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FC1E9">
      <w:pPr>
        <w:spacing w:before="480" w:after="480" w:line="288" w:lineRule="auto"/>
        <w:ind w:firstLine="0" w:firstLineChars="0"/>
        <w:jc w:val="center"/>
        <w:rPr>
          <w:highlight w:val="none"/>
        </w:rPr>
      </w:pPr>
      <w:r>
        <w:rPr>
          <w:rFonts w:ascii="Arial" w:hAnsi="Arial" w:eastAsia="等线" w:cs="Arial"/>
          <w:b/>
          <w:sz w:val="52"/>
          <w:highlight w:val="none"/>
        </w:rPr>
        <w:t>基于无人机机场的无人机+AI算法综合应用及可视化平台建设项目</w:t>
      </w:r>
      <w:r>
        <w:rPr>
          <w:rFonts w:hint="eastAsia" w:ascii="Arial" w:hAnsi="Arial" w:eastAsia="等线" w:cs="Arial"/>
          <w:b/>
          <w:sz w:val="52"/>
          <w:highlight w:val="none"/>
        </w:rPr>
        <w:t>技术</w:t>
      </w:r>
      <w:r>
        <w:rPr>
          <w:rFonts w:ascii="Arial" w:hAnsi="Arial" w:eastAsia="等线" w:cs="Arial"/>
          <w:b/>
          <w:sz w:val="52"/>
          <w:highlight w:val="none"/>
        </w:rPr>
        <w:t>需求</w:t>
      </w:r>
    </w:p>
    <w:p w14:paraId="1B4F0920">
      <w:pPr>
        <w:spacing w:before="320" w:after="120" w:line="288" w:lineRule="auto"/>
        <w:ind w:firstLine="640"/>
        <w:jc w:val="both"/>
        <w:outlineLvl w:val="1"/>
        <w:rPr>
          <w:highlight w:val="none"/>
        </w:rPr>
      </w:pPr>
      <w:bookmarkStart w:id="0" w:name="heading_1"/>
      <w:r>
        <w:rPr>
          <w:rFonts w:hint="eastAsia" w:ascii="Arial" w:hAnsi="Arial" w:eastAsia="等线" w:cs="Arial"/>
          <w:b/>
          <w:sz w:val="32"/>
          <w:highlight w:val="none"/>
        </w:rPr>
        <w:t>一、</w:t>
      </w:r>
      <w:r>
        <w:rPr>
          <w:rFonts w:ascii="Arial" w:hAnsi="Arial" w:eastAsia="等线" w:cs="Arial"/>
          <w:b/>
          <w:sz w:val="32"/>
          <w:highlight w:val="none"/>
        </w:rPr>
        <w:t>项目概述</w:t>
      </w:r>
      <w:bookmarkEnd w:id="0"/>
    </w:p>
    <w:p w14:paraId="421DBF4E">
      <w:pPr>
        <w:spacing w:before="300" w:after="120" w:line="288" w:lineRule="auto"/>
        <w:ind w:firstLine="600"/>
        <w:jc w:val="both"/>
        <w:outlineLvl w:val="2"/>
        <w:rPr>
          <w:highlight w:val="none"/>
        </w:rPr>
      </w:pPr>
      <w:bookmarkStart w:id="1" w:name="heading_2"/>
      <w:r>
        <w:rPr>
          <w:rFonts w:hint="eastAsia" w:ascii="Arial" w:hAnsi="Arial" w:eastAsia="等线" w:cs="Arial"/>
          <w:b/>
          <w:sz w:val="30"/>
          <w:highlight w:val="none"/>
        </w:rPr>
        <w:t>1</w:t>
      </w:r>
      <w:r>
        <w:rPr>
          <w:rFonts w:ascii="Arial" w:hAnsi="Arial" w:eastAsia="等线" w:cs="Arial"/>
          <w:b/>
          <w:sz w:val="30"/>
          <w:highlight w:val="none"/>
        </w:rPr>
        <w:t>.1 项目名称</w:t>
      </w:r>
      <w:bookmarkEnd w:id="1"/>
    </w:p>
    <w:p w14:paraId="0A40F366">
      <w:pPr>
        <w:ind w:firstLine="480"/>
        <w:jc w:val="both"/>
        <w:rPr>
          <w:highlight w:val="none"/>
        </w:rPr>
      </w:pPr>
      <w:r>
        <w:rPr>
          <w:highlight w:val="none"/>
        </w:rPr>
        <w:t>基于无人机机场的无人机 + AI 算法综合应用及可视化平台建设项目</w:t>
      </w:r>
    </w:p>
    <w:p w14:paraId="78C63E48">
      <w:pPr>
        <w:spacing w:before="300" w:after="120" w:line="288" w:lineRule="auto"/>
        <w:ind w:firstLine="600"/>
        <w:jc w:val="both"/>
        <w:outlineLvl w:val="2"/>
        <w:rPr>
          <w:highlight w:val="none"/>
        </w:rPr>
      </w:pPr>
      <w:bookmarkStart w:id="2" w:name="heading_3"/>
      <w:r>
        <w:rPr>
          <w:rFonts w:hint="eastAsia" w:ascii="Arial" w:hAnsi="Arial" w:eastAsia="等线" w:cs="Arial"/>
          <w:b/>
          <w:sz w:val="30"/>
          <w:highlight w:val="none"/>
        </w:rPr>
        <w:t>1</w:t>
      </w:r>
      <w:r>
        <w:rPr>
          <w:rFonts w:ascii="Arial" w:hAnsi="Arial" w:eastAsia="等线" w:cs="Arial"/>
          <w:b/>
          <w:sz w:val="30"/>
          <w:highlight w:val="none"/>
        </w:rPr>
        <w:t>.2 项目背景</w:t>
      </w:r>
      <w:bookmarkEnd w:id="2"/>
    </w:p>
    <w:p w14:paraId="68505321">
      <w:pPr>
        <w:ind w:firstLine="480"/>
        <w:jc w:val="both"/>
        <w:rPr>
          <w:highlight w:val="none"/>
        </w:rPr>
      </w:pPr>
      <w:r>
        <w:rPr>
          <w:rFonts w:hint="eastAsia"/>
          <w:highlight w:val="none"/>
        </w:rPr>
        <w:t>项目源于青浦区作为长三角一体化示范区核心承载区面临的复合型治理挑战。青浦公安通过无人机的实时飞行视频能力与算法、可视化平台等深度融合，打造跨区域智能防控新范式。</w:t>
      </w:r>
    </w:p>
    <w:p w14:paraId="6C92064E">
      <w:pPr>
        <w:spacing w:before="300" w:after="120" w:line="288" w:lineRule="auto"/>
        <w:ind w:firstLine="600"/>
        <w:jc w:val="both"/>
        <w:outlineLvl w:val="2"/>
        <w:rPr>
          <w:highlight w:val="none"/>
        </w:rPr>
      </w:pPr>
      <w:bookmarkStart w:id="3" w:name="heading_4"/>
      <w:r>
        <w:rPr>
          <w:rFonts w:hint="eastAsia" w:ascii="Arial" w:hAnsi="Arial" w:eastAsia="等线" w:cs="Arial"/>
          <w:b/>
          <w:sz w:val="30"/>
          <w:highlight w:val="none"/>
        </w:rPr>
        <w:t>1</w:t>
      </w:r>
      <w:r>
        <w:rPr>
          <w:rFonts w:ascii="Arial" w:hAnsi="Arial" w:eastAsia="等线" w:cs="Arial"/>
          <w:b/>
          <w:sz w:val="30"/>
          <w:highlight w:val="none"/>
        </w:rPr>
        <w:t>.3 建设目标</w:t>
      </w:r>
      <w:bookmarkEnd w:id="3"/>
    </w:p>
    <w:p w14:paraId="3908DF10">
      <w:pPr>
        <w:spacing w:before="300" w:after="120" w:line="288" w:lineRule="auto"/>
        <w:ind w:firstLine="482"/>
        <w:jc w:val="both"/>
        <w:outlineLvl w:val="2"/>
        <w:rPr>
          <w:rFonts w:ascii="宋体" w:hAnsi="宋体" w:cs="宋体"/>
          <w:b/>
          <w:bCs/>
          <w:kern w:val="0"/>
          <w:szCs w:val="22"/>
          <w:highlight w:val="none"/>
        </w:rPr>
      </w:pPr>
      <w:bookmarkStart w:id="4" w:name="heading_5"/>
      <w:r>
        <w:rPr>
          <w:rFonts w:hint="eastAsia" w:ascii="宋体" w:hAnsi="宋体" w:cs="宋体"/>
          <w:b/>
          <w:bCs/>
          <w:kern w:val="0"/>
          <w:szCs w:val="22"/>
          <w:highlight w:val="none"/>
        </w:rPr>
        <w:t>（一）总体目标</w:t>
      </w:r>
      <w:bookmarkEnd w:id="4"/>
    </w:p>
    <w:p w14:paraId="2462450D">
      <w:pPr>
        <w:ind w:firstLine="480"/>
        <w:jc w:val="both"/>
        <w:rPr>
          <w:highlight w:val="none"/>
        </w:rPr>
      </w:pPr>
      <w:r>
        <w:rPr>
          <w:highlight w:val="none"/>
        </w:rPr>
        <w:t>搭建青浦公安分局无人机综合应用及可视化平台实现与市级平台</w:t>
      </w:r>
      <w:r>
        <w:rPr>
          <w:rFonts w:hint="eastAsia"/>
          <w:highlight w:val="none"/>
        </w:rPr>
        <w:t>互通、指令</w:t>
      </w:r>
      <w:r>
        <w:rPr>
          <w:highlight w:val="none"/>
        </w:rPr>
        <w:t>。</w:t>
      </w:r>
    </w:p>
    <w:p w14:paraId="68FFCE33">
      <w:pPr>
        <w:ind w:firstLine="480"/>
        <w:jc w:val="both"/>
        <w:rPr>
          <w:highlight w:val="none"/>
        </w:rPr>
      </w:pPr>
      <w:r>
        <w:rPr>
          <w:rFonts w:hint="eastAsia"/>
          <w:highlight w:val="none"/>
        </w:rPr>
        <w:t>青浦公安分局</w:t>
      </w:r>
      <w:bookmarkStart w:id="5" w:name="OLE_LINK1"/>
      <w:r>
        <w:rPr>
          <w:rFonts w:hint="eastAsia"/>
          <w:highlight w:val="none"/>
        </w:rPr>
        <w:t>无人机综合应用及可视化平台</w:t>
      </w:r>
      <w:bookmarkEnd w:id="5"/>
      <w:r>
        <w:rPr>
          <w:rFonts w:hint="eastAsia"/>
          <w:highlight w:val="none"/>
        </w:rPr>
        <w:t>坚持“建管并重、实战为先”的建设理念，助力各部门依托空中巡查优势，高效开展各类业务工作。</w:t>
      </w:r>
    </w:p>
    <w:p w14:paraId="3896697F">
      <w:pPr>
        <w:spacing w:before="300" w:after="120" w:line="288" w:lineRule="auto"/>
        <w:ind w:firstLine="482"/>
        <w:jc w:val="both"/>
        <w:outlineLvl w:val="2"/>
        <w:rPr>
          <w:rFonts w:ascii="宋体" w:hAnsi="宋体" w:cs="宋体"/>
          <w:b/>
          <w:bCs/>
          <w:kern w:val="0"/>
          <w:szCs w:val="22"/>
          <w:highlight w:val="none"/>
        </w:rPr>
      </w:pPr>
      <w:bookmarkStart w:id="6" w:name="heading_6"/>
      <w:r>
        <w:rPr>
          <w:rFonts w:hint="eastAsia" w:ascii="宋体" w:hAnsi="宋体" w:cs="宋体"/>
          <w:b/>
          <w:bCs/>
          <w:kern w:val="0"/>
          <w:szCs w:val="22"/>
          <w:highlight w:val="none"/>
        </w:rPr>
        <w:t>（二）具体目标</w:t>
      </w:r>
      <w:bookmarkEnd w:id="6"/>
    </w:p>
    <w:p w14:paraId="7D5A0759">
      <w:pPr>
        <w:numPr>
          <w:ilvl w:val="0"/>
          <w:numId w:val="1"/>
        </w:numPr>
        <w:spacing w:before="120" w:after="120" w:line="288" w:lineRule="auto"/>
        <w:ind w:firstLine="480"/>
        <w:jc w:val="both"/>
        <w:rPr>
          <w:rFonts w:ascii="Arial" w:hAnsi="Arial" w:eastAsia="等线" w:cs="Arial"/>
          <w:b/>
          <w:bCs/>
          <w:highlight w:val="none"/>
        </w:rPr>
      </w:pPr>
      <w:r>
        <w:rPr>
          <w:rFonts w:hint="eastAsia" w:ascii="Arial" w:hAnsi="Arial" w:eastAsia="等线" w:cs="Arial"/>
          <w:b/>
          <w:bCs/>
          <w:highlight w:val="none"/>
        </w:rPr>
        <w:t>构建无人机核心支撑中台</w:t>
      </w:r>
    </w:p>
    <w:p w14:paraId="01D8D5DA">
      <w:pPr>
        <w:ind w:firstLine="480"/>
        <w:jc w:val="both"/>
        <w:rPr>
          <w:highlight w:val="none"/>
        </w:rPr>
      </w:pPr>
      <w:r>
        <w:rPr>
          <w:rFonts w:hint="eastAsia"/>
          <w:highlight w:val="none"/>
        </w:rPr>
        <w:t>建设低空全域汇聚中台，实现对人员、装备、地理信息及任务数据的汇聚与资产化管理；集成多协议飞控模块，兼容勤务与政务飞行需求。同时，建设智能驾驶舱，通过设备监控、异常预警、沉浸式虚拟飞行界面等功能，构建具备全域感知与快速响应能力的数字化指挥中枢。完善系统管理体系，确保权限管控严密、运维可追溯。</w:t>
      </w:r>
    </w:p>
    <w:p w14:paraId="7690AAB0">
      <w:pPr>
        <w:numPr>
          <w:ilvl w:val="0"/>
          <w:numId w:val="1"/>
        </w:numPr>
        <w:spacing w:before="120" w:after="120" w:line="288" w:lineRule="auto"/>
        <w:ind w:firstLine="480"/>
        <w:jc w:val="both"/>
        <w:rPr>
          <w:rFonts w:ascii="Arial" w:hAnsi="Arial" w:eastAsia="等线" w:cs="Arial"/>
          <w:b/>
          <w:bCs/>
          <w:highlight w:val="none"/>
        </w:rPr>
      </w:pPr>
      <w:r>
        <w:rPr>
          <w:rFonts w:hint="eastAsia" w:ascii="Arial" w:hAnsi="Arial" w:eastAsia="等线" w:cs="Arial"/>
          <w:b/>
          <w:bCs/>
          <w:highlight w:val="none"/>
        </w:rPr>
        <w:t>实现闭环高效的业务应用体系</w:t>
      </w:r>
    </w:p>
    <w:p w14:paraId="26F11F5F">
      <w:pPr>
        <w:ind w:firstLine="480"/>
        <w:jc w:val="both"/>
        <w:rPr>
          <w:highlight w:val="none"/>
        </w:rPr>
      </w:pPr>
      <w:r>
        <w:rPr>
          <w:rFonts w:hint="eastAsia"/>
          <w:highlight w:val="none"/>
        </w:rPr>
        <w:t>聚焦实战业务逻辑，建立从要素管理</w:t>
      </w:r>
      <w:r>
        <w:rPr>
          <w:highlight w:val="none"/>
        </w:rPr>
        <w:t>、任务统筹到指挥调度的</w:t>
      </w:r>
      <w:r>
        <w:rPr>
          <w:rFonts w:hint="eastAsia"/>
          <w:highlight w:val="none"/>
        </w:rPr>
        <w:t>综合</w:t>
      </w:r>
      <w:r>
        <w:rPr>
          <w:highlight w:val="none"/>
        </w:rPr>
        <w:t>管理体系。构建开放的算法仓，支持非现场执法等算法的快速部署</w:t>
      </w:r>
      <w:r>
        <w:rPr>
          <w:rFonts w:hint="eastAsia"/>
          <w:highlight w:val="none"/>
        </w:rPr>
        <w:t>及场景化应用。</w:t>
      </w:r>
    </w:p>
    <w:p w14:paraId="0B4D4C9E">
      <w:pPr>
        <w:numPr>
          <w:ilvl w:val="0"/>
          <w:numId w:val="1"/>
        </w:numPr>
        <w:spacing w:before="120" w:after="120" w:line="288" w:lineRule="auto"/>
        <w:ind w:firstLine="480"/>
        <w:jc w:val="both"/>
        <w:rPr>
          <w:rFonts w:ascii="Arial" w:hAnsi="Arial" w:eastAsia="等线" w:cs="Arial"/>
          <w:b/>
          <w:bCs/>
          <w:highlight w:val="none"/>
        </w:rPr>
      </w:pPr>
      <w:r>
        <w:rPr>
          <w:rFonts w:hint="eastAsia" w:ascii="Arial" w:hAnsi="Arial" w:eastAsia="等线" w:cs="Arial"/>
          <w:b/>
          <w:bCs/>
          <w:highlight w:val="none"/>
        </w:rPr>
        <w:t>提供场景定制化的多维展示服务</w:t>
      </w:r>
    </w:p>
    <w:p w14:paraId="2F80F95B">
      <w:pPr>
        <w:ind w:firstLine="480"/>
        <w:jc w:val="both"/>
        <w:rPr>
          <w:highlight w:val="none"/>
        </w:rPr>
      </w:pPr>
      <w:r>
        <w:rPr>
          <w:rFonts w:hint="eastAsia"/>
          <w:highlight w:val="none"/>
        </w:rPr>
        <w:t>面向业务场景，定制开发综合态势大屏，实现关键指标与低空态势的“一屏统览”，为管理层提供清晰、实时的可视化决策依据。</w:t>
      </w:r>
    </w:p>
    <w:p w14:paraId="01EAD521">
      <w:pPr>
        <w:spacing w:before="300" w:after="120" w:line="288" w:lineRule="auto"/>
        <w:ind w:firstLine="600"/>
        <w:jc w:val="both"/>
        <w:outlineLvl w:val="2"/>
        <w:rPr>
          <w:highlight w:val="none"/>
        </w:rPr>
      </w:pPr>
      <w:bookmarkStart w:id="7" w:name="heading_7"/>
      <w:r>
        <w:rPr>
          <w:rFonts w:hint="eastAsia" w:ascii="Arial" w:hAnsi="Arial" w:eastAsia="等线" w:cs="Arial"/>
          <w:b/>
          <w:sz w:val="30"/>
          <w:highlight w:val="none"/>
        </w:rPr>
        <w:t>1</w:t>
      </w:r>
      <w:r>
        <w:rPr>
          <w:rFonts w:ascii="Arial" w:hAnsi="Arial" w:eastAsia="等线" w:cs="Arial"/>
          <w:b/>
          <w:sz w:val="30"/>
          <w:highlight w:val="none"/>
        </w:rPr>
        <w:t>.4 建设周期</w:t>
      </w:r>
      <w:bookmarkEnd w:id="7"/>
    </w:p>
    <w:p w14:paraId="28FF07E4">
      <w:pPr>
        <w:ind w:firstLine="480"/>
        <w:jc w:val="both"/>
        <w:rPr>
          <w:highlight w:val="none"/>
        </w:rPr>
      </w:pPr>
      <w:r>
        <w:rPr>
          <w:rFonts w:hint="eastAsia"/>
          <w:highlight w:val="none"/>
        </w:rPr>
        <w:t>本项目实施建设周期为</w:t>
      </w:r>
      <w:r>
        <w:rPr>
          <w:highlight w:val="none"/>
        </w:rPr>
        <w:t xml:space="preserve"> </w:t>
      </w:r>
      <w:r>
        <w:rPr>
          <w:rFonts w:hint="eastAsia"/>
          <w:highlight w:val="none"/>
        </w:rPr>
        <w:t>5</w:t>
      </w:r>
      <w:r>
        <w:rPr>
          <w:highlight w:val="none"/>
        </w:rPr>
        <w:t xml:space="preserve"> </w:t>
      </w:r>
      <w:r>
        <w:rPr>
          <w:rFonts w:hint="eastAsia"/>
          <w:highlight w:val="none"/>
        </w:rPr>
        <w:t>个月。其中软件开发</w:t>
      </w:r>
      <w:r>
        <w:rPr>
          <w:rFonts w:hint="eastAsia"/>
          <w:highlight w:val="none"/>
          <w:lang w:eastAsia="zh-CN"/>
        </w:rPr>
        <w:t>不少于</w:t>
      </w:r>
      <w:r>
        <w:rPr>
          <w:rFonts w:hint="eastAsia"/>
          <w:highlight w:val="none"/>
        </w:rPr>
        <w:t xml:space="preserve"> </w:t>
      </w:r>
      <w:r>
        <w:rPr>
          <w:highlight w:val="none"/>
        </w:rPr>
        <w:t xml:space="preserve">1 </w:t>
      </w:r>
      <w:r>
        <w:rPr>
          <w:rFonts w:hint="eastAsia"/>
          <w:highlight w:val="none"/>
        </w:rPr>
        <w:t>个月，系统测试与部署上线</w:t>
      </w:r>
      <w:r>
        <w:rPr>
          <w:rFonts w:hint="eastAsia"/>
          <w:highlight w:val="none"/>
          <w:lang w:eastAsia="zh-CN"/>
        </w:rPr>
        <w:t>不少于</w:t>
      </w:r>
      <w:r>
        <w:rPr>
          <w:rFonts w:hint="eastAsia"/>
          <w:highlight w:val="none"/>
        </w:rPr>
        <w:t>1个月。项目上线后开展试运行不少于 3 个月。</w:t>
      </w:r>
    </w:p>
    <w:p w14:paraId="5ADE7272">
      <w:pPr>
        <w:spacing w:before="320" w:after="120" w:line="288" w:lineRule="auto"/>
        <w:ind w:firstLine="640"/>
        <w:jc w:val="both"/>
        <w:outlineLvl w:val="1"/>
        <w:rPr>
          <w:highlight w:val="none"/>
        </w:rPr>
      </w:pPr>
      <w:bookmarkStart w:id="8" w:name="heading_9"/>
      <w:r>
        <w:rPr>
          <w:rFonts w:hint="eastAsia" w:ascii="Arial" w:hAnsi="Arial" w:eastAsia="等线" w:cs="Arial"/>
          <w:b/>
          <w:sz w:val="32"/>
          <w:highlight w:val="none"/>
        </w:rPr>
        <w:t>二、</w:t>
      </w:r>
      <w:r>
        <w:rPr>
          <w:rFonts w:ascii="Arial" w:hAnsi="Arial" w:eastAsia="等线" w:cs="Arial"/>
          <w:b/>
          <w:sz w:val="32"/>
          <w:highlight w:val="none"/>
        </w:rPr>
        <w:t>项目建设内容及工作量清单</w:t>
      </w:r>
      <w:bookmarkEnd w:id="8"/>
    </w:p>
    <w:p w14:paraId="22D96E3C">
      <w:pPr>
        <w:spacing w:before="120" w:after="120" w:line="288" w:lineRule="auto"/>
        <w:ind w:firstLine="480"/>
        <w:jc w:val="both"/>
        <w:rPr>
          <w:highlight w:val="none"/>
        </w:rPr>
      </w:pPr>
      <w:r>
        <w:rPr>
          <w:rFonts w:ascii="Arial" w:hAnsi="Arial" w:eastAsia="等线" w:cs="Arial"/>
          <w:highlight w:val="none"/>
        </w:rPr>
        <w:t>本项目建设内容分为</w:t>
      </w:r>
      <w:r>
        <w:rPr>
          <w:rFonts w:ascii="Arial" w:hAnsi="Arial" w:eastAsia="等线" w:cs="Arial"/>
          <w:b/>
          <w:highlight w:val="none"/>
        </w:rPr>
        <w:t>应用软件开发</w:t>
      </w:r>
      <w:r>
        <w:rPr>
          <w:rFonts w:ascii="Arial" w:hAnsi="Arial" w:eastAsia="等线" w:cs="Arial"/>
          <w:highlight w:val="none"/>
        </w:rPr>
        <w:t>、</w:t>
      </w:r>
      <w:r>
        <w:rPr>
          <w:rFonts w:ascii="Arial" w:hAnsi="Arial" w:eastAsia="等线" w:cs="Arial"/>
          <w:b/>
          <w:highlight w:val="none"/>
        </w:rPr>
        <w:t>基础设施</w:t>
      </w:r>
      <w:r>
        <w:rPr>
          <w:rFonts w:hint="eastAsia" w:ascii="Arial" w:hAnsi="Arial" w:eastAsia="等线" w:cs="Arial"/>
          <w:b/>
          <w:highlight w:val="none"/>
        </w:rPr>
        <w:t>费用</w:t>
      </w:r>
      <w:r>
        <w:rPr>
          <w:rFonts w:ascii="Arial" w:hAnsi="Arial" w:eastAsia="等线" w:cs="Arial"/>
          <w:highlight w:val="none"/>
        </w:rPr>
        <w:t>、</w:t>
      </w:r>
      <w:r>
        <w:rPr>
          <w:rFonts w:ascii="Arial" w:hAnsi="Arial" w:eastAsia="等线" w:cs="Arial"/>
          <w:b/>
          <w:highlight w:val="none"/>
        </w:rPr>
        <w:t>系统集成</w:t>
      </w:r>
      <w:r>
        <w:rPr>
          <w:rFonts w:ascii="Arial" w:hAnsi="Arial" w:eastAsia="等线" w:cs="Arial"/>
          <w:highlight w:val="none"/>
        </w:rPr>
        <w:t>三部分，核心为应用软件开发，具体工作量清单如下：</w:t>
      </w:r>
    </w:p>
    <w:p w14:paraId="0A66C014">
      <w:pPr>
        <w:spacing w:before="300" w:after="120" w:line="288" w:lineRule="auto"/>
        <w:ind w:firstLine="600"/>
        <w:jc w:val="both"/>
        <w:outlineLvl w:val="2"/>
        <w:rPr>
          <w:rFonts w:ascii="Arial" w:hAnsi="Arial" w:eastAsia="等线" w:cs="Arial"/>
          <w:b/>
          <w:sz w:val="30"/>
          <w:highlight w:val="none"/>
        </w:rPr>
      </w:pPr>
      <w:bookmarkStart w:id="9" w:name="heading_10"/>
      <w:r>
        <w:rPr>
          <w:rFonts w:hint="eastAsia" w:ascii="Arial" w:hAnsi="Arial" w:eastAsia="等线" w:cs="Arial"/>
          <w:b/>
          <w:sz w:val="30"/>
          <w:highlight w:val="none"/>
        </w:rPr>
        <w:t>2</w:t>
      </w:r>
      <w:r>
        <w:rPr>
          <w:rFonts w:ascii="Arial" w:hAnsi="Arial" w:eastAsia="等线" w:cs="Arial"/>
          <w:b/>
          <w:sz w:val="30"/>
          <w:highlight w:val="none"/>
        </w:rPr>
        <w:t>.1 应用软件开发</w:t>
      </w:r>
      <w:bookmarkEnd w:id="9"/>
    </w:p>
    <w:p w14:paraId="22E36F4C">
      <w:pPr>
        <w:spacing w:before="300" w:after="120" w:line="288" w:lineRule="auto"/>
        <w:ind w:firstLine="482"/>
        <w:jc w:val="both"/>
        <w:outlineLvl w:val="2"/>
        <w:rPr>
          <w:rFonts w:ascii="宋体" w:hAnsi="宋体" w:cs="宋体"/>
          <w:b/>
          <w:bCs/>
          <w:kern w:val="0"/>
          <w:szCs w:val="22"/>
          <w:highlight w:val="none"/>
        </w:rPr>
      </w:pPr>
      <w:r>
        <w:rPr>
          <w:rFonts w:hint="eastAsia" w:ascii="宋体" w:hAnsi="宋体" w:cs="宋体"/>
          <w:b/>
          <w:bCs/>
          <w:kern w:val="0"/>
          <w:szCs w:val="22"/>
          <w:highlight w:val="none"/>
        </w:rPr>
        <w:t>（一）基础支撑体系建设</w:t>
      </w:r>
    </w:p>
    <w:p w14:paraId="0A317AA6">
      <w:pPr>
        <w:spacing w:before="120" w:after="120" w:line="288" w:lineRule="auto"/>
        <w:ind w:firstLine="480"/>
        <w:jc w:val="both"/>
        <w:rPr>
          <w:rFonts w:ascii="Arial" w:hAnsi="Arial" w:eastAsia="等线" w:cs="Arial"/>
          <w:highlight w:val="none"/>
        </w:rPr>
      </w:pPr>
      <w:r>
        <w:rPr>
          <w:rFonts w:hint="eastAsia" w:ascii="Arial" w:hAnsi="Arial" w:eastAsia="等线" w:cs="Arial"/>
          <w:highlight w:val="none"/>
        </w:rPr>
        <w:t>本模块旨在构建全区无人机应用基础底座，通过建设低空全域汇聚中台，提供对多品牌、异构无人机飞控系统的统一接入与适配能力。构建数据库，完成对飞行数据、设备状态、任务日志等全域数据的统一汇聚、清洗与标准化处理。同时，为满足决策需求，需开发智能驾驶舱，集成飞行总览、设备状态监控及沉浸式虚拟飞控界面，实现对全区远程精准管控。</w:t>
      </w:r>
    </w:p>
    <w:tbl>
      <w:tblPr>
        <w:tblStyle w:val="5"/>
        <w:tblW w:w="8215" w:type="dxa"/>
        <w:tblInd w:w="93" w:type="dxa"/>
        <w:tblLayout w:type="autofit"/>
        <w:tblCellMar>
          <w:top w:w="0" w:type="dxa"/>
          <w:left w:w="108" w:type="dxa"/>
          <w:bottom w:w="0" w:type="dxa"/>
          <w:right w:w="108" w:type="dxa"/>
        </w:tblCellMar>
      </w:tblPr>
      <w:tblGrid>
        <w:gridCol w:w="748"/>
        <w:gridCol w:w="1134"/>
        <w:gridCol w:w="1358"/>
        <w:gridCol w:w="4975"/>
      </w:tblGrid>
      <w:tr w14:paraId="483F15B2">
        <w:tblPrEx>
          <w:tblCellMar>
            <w:top w:w="0" w:type="dxa"/>
            <w:left w:w="108" w:type="dxa"/>
            <w:bottom w:w="0" w:type="dxa"/>
            <w:right w:w="108" w:type="dxa"/>
          </w:tblCellMar>
        </w:tblPrEx>
        <w:trPr>
          <w:trHeight w:val="20" w:hRule="atLeast"/>
        </w:trPr>
        <w:tc>
          <w:tcPr>
            <w:tcW w:w="74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273AE316">
            <w:pPr>
              <w:widowControl/>
              <w:ind w:firstLine="0" w:firstLineChars="0"/>
              <w:jc w:val="both"/>
              <w:textAlignment w:val="center"/>
              <w:rPr>
                <w:rFonts w:ascii="宋体" w:hAnsi="宋体" w:cs="宋体"/>
                <w:b/>
                <w:bCs/>
                <w:szCs w:val="22"/>
                <w:highlight w:val="none"/>
              </w:rPr>
            </w:pPr>
            <w:r>
              <w:rPr>
                <w:rFonts w:hint="eastAsia" w:ascii="宋体" w:hAnsi="宋体" w:cs="宋体"/>
                <w:b/>
                <w:bCs/>
                <w:kern w:val="0"/>
                <w:szCs w:val="22"/>
                <w:highlight w:val="none"/>
                <w:lang w:bidi="ar"/>
              </w:rPr>
              <w:t>序号</w:t>
            </w:r>
          </w:p>
        </w:tc>
        <w:tc>
          <w:tcPr>
            <w:tcW w:w="1134" w:type="dxa"/>
            <w:tcBorders>
              <w:top w:val="single" w:color="000000" w:sz="8" w:space="0"/>
              <w:left w:val="nil"/>
              <w:bottom w:val="single" w:color="000000" w:sz="8" w:space="0"/>
              <w:right w:val="single" w:color="000000" w:sz="8" w:space="0"/>
            </w:tcBorders>
            <w:shd w:val="clear" w:color="auto" w:fill="FFFFFF"/>
            <w:noWrap/>
            <w:vAlign w:val="center"/>
          </w:tcPr>
          <w:p w14:paraId="19267FFD">
            <w:pPr>
              <w:widowControl/>
              <w:ind w:firstLine="0" w:firstLineChars="0"/>
              <w:jc w:val="both"/>
              <w:textAlignment w:val="center"/>
              <w:rPr>
                <w:rFonts w:ascii="宋体" w:hAnsi="宋体" w:cs="宋体"/>
                <w:b/>
                <w:bCs/>
                <w:szCs w:val="22"/>
                <w:highlight w:val="none"/>
              </w:rPr>
            </w:pPr>
            <w:r>
              <w:rPr>
                <w:rFonts w:hint="eastAsia" w:ascii="宋体" w:hAnsi="宋体" w:cs="宋体"/>
                <w:b/>
                <w:bCs/>
                <w:kern w:val="0"/>
                <w:szCs w:val="22"/>
                <w:highlight w:val="none"/>
                <w:lang w:bidi="ar"/>
              </w:rPr>
              <w:t>类别</w:t>
            </w:r>
          </w:p>
        </w:tc>
        <w:tc>
          <w:tcPr>
            <w:tcW w:w="1358" w:type="dxa"/>
            <w:tcBorders>
              <w:top w:val="single" w:color="000000" w:sz="8" w:space="0"/>
              <w:left w:val="nil"/>
              <w:bottom w:val="single" w:color="000000" w:sz="8" w:space="0"/>
              <w:right w:val="single" w:color="000000" w:sz="8" w:space="0"/>
            </w:tcBorders>
            <w:shd w:val="clear" w:color="auto" w:fill="FFFFFF"/>
            <w:noWrap/>
            <w:vAlign w:val="center"/>
          </w:tcPr>
          <w:p w14:paraId="7508BAD7">
            <w:pPr>
              <w:widowControl/>
              <w:ind w:firstLine="0" w:firstLineChars="0"/>
              <w:jc w:val="both"/>
              <w:textAlignment w:val="center"/>
              <w:rPr>
                <w:rFonts w:ascii="宋体" w:hAnsi="宋体" w:cs="宋体"/>
                <w:b/>
                <w:bCs/>
                <w:szCs w:val="22"/>
                <w:highlight w:val="none"/>
              </w:rPr>
            </w:pPr>
            <w:r>
              <w:rPr>
                <w:rFonts w:hint="eastAsia" w:ascii="宋体" w:hAnsi="宋体" w:cs="宋体"/>
                <w:b/>
                <w:bCs/>
                <w:kern w:val="0"/>
                <w:szCs w:val="22"/>
                <w:highlight w:val="none"/>
                <w:lang w:bidi="ar"/>
              </w:rPr>
              <w:t>功能模块</w:t>
            </w:r>
          </w:p>
        </w:tc>
        <w:tc>
          <w:tcPr>
            <w:tcW w:w="4975" w:type="dxa"/>
            <w:tcBorders>
              <w:top w:val="single" w:color="000000" w:sz="8" w:space="0"/>
              <w:left w:val="nil"/>
              <w:bottom w:val="single" w:color="000000" w:sz="8" w:space="0"/>
              <w:right w:val="single" w:color="000000" w:sz="8" w:space="0"/>
            </w:tcBorders>
            <w:shd w:val="clear" w:color="auto" w:fill="FFFFFF"/>
            <w:noWrap/>
            <w:vAlign w:val="center"/>
          </w:tcPr>
          <w:p w14:paraId="6AF4B134">
            <w:pPr>
              <w:widowControl/>
              <w:ind w:firstLine="0" w:firstLineChars="0"/>
              <w:jc w:val="both"/>
              <w:textAlignment w:val="center"/>
              <w:rPr>
                <w:rFonts w:ascii="宋体" w:hAnsi="宋体" w:cs="宋体"/>
                <w:b/>
                <w:bCs/>
                <w:szCs w:val="22"/>
                <w:highlight w:val="none"/>
              </w:rPr>
            </w:pPr>
            <w:r>
              <w:rPr>
                <w:rFonts w:hint="eastAsia" w:ascii="宋体" w:hAnsi="宋体" w:cs="宋体"/>
                <w:b/>
                <w:bCs/>
                <w:kern w:val="0"/>
                <w:szCs w:val="22"/>
                <w:highlight w:val="none"/>
                <w:lang w:bidi="ar"/>
              </w:rPr>
              <w:t>功能描述</w:t>
            </w:r>
          </w:p>
        </w:tc>
      </w:tr>
      <w:tr w14:paraId="079F5D97">
        <w:tblPrEx>
          <w:tblCellMar>
            <w:top w:w="0" w:type="dxa"/>
            <w:left w:w="108" w:type="dxa"/>
            <w:bottom w:w="0" w:type="dxa"/>
            <w:right w:w="108" w:type="dxa"/>
          </w:tblCellMar>
        </w:tblPrEx>
        <w:trPr>
          <w:trHeight w:val="475" w:hRule="atLeast"/>
        </w:trPr>
        <w:tc>
          <w:tcPr>
            <w:tcW w:w="748" w:type="dxa"/>
            <w:vMerge w:val="restart"/>
            <w:tcBorders>
              <w:top w:val="nil"/>
              <w:left w:val="single" w:color="000000" w:sz="8" w:space="0"/>
              <w:bottom w:val="single" w:color="000000" w:sz="8" w:space="0"/>
              <w:right w:val="single" w:color="000000" w:sz="8" w:space="0"/>
            </w:tcBorders>
            <w:vAlign w:val="center"/>
          </w:tcPr>
          <w:p w14:paraId="3730269B">
            <w:pPr>
              <w:widowControl/>
              <w:ind w:firstLine="0" w:firstLineChars="0"/>
              <w:jc w:val="both"/>
              <w:textAlignment w:val="center"/>
              <w:rPr>
                <w:rFonts w:ascii="仿宋" w:hAnsi="仿宋" w:eastAsia="仿宋" w:cs="仿宋"/>
                <w:sz w:val="21"/>
                <w:szCs w:val="21"/>
                <w:highlight w:val="none"/>
              </w:rPr>
            </w:pPr>
            <w:r>
              <w:rPr>
                <w:rFonts w:ascii="仿宋" w:hAnsi="仿宋" w:eastAsia="仿宋" w:cs="仿宋"/>
                <w:kern w:val="0"/>
                <w:sz w:val="21"/>
                <w:szCs w:val="21"/>
                <w:highlight w:val="none"/>
                <w:lang w:bidi="ar"/>
              </w:rPr>
              <w:t>1</w:t>
            </w:r>
          </w:p>
        </w:tc>
        <w:tc>
          <w:tcPr>
            <w:tcW w:w="1134" w:type="dxa"/>
            <w:vMerge w:val="restart"/>
            <w:tcBorders>
              <w:top w:val="nil"/>
              <w:left w:val="nil"/>
              <w:bottom w:val="single" w:color="000000" w:sz="8" w:space="0"/>
              <w:right w:val="single" w:color="000000" w:sz="8" w:space="0"/>
            </w:tcBorders>
            <w:vAlign w:val="center"/>
          </w:tcPr>
          <w:p w14:paraId="4D45D316">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低空全域汇聚中台</w:t>
            </w:r>
          </w:p>
        </w:tc>
        <w:tc>
          <w:tcPr>
            <w:tcW w:w="1358" w:type="dxa"/>
            <w:vMerge w:val="restart"/>
            <w:tcBorders>
              <w:top w:val="nil"/>
              <w:left w:val="nil"/>
              <w:bottom w:val="single" w:color="000000" w:sz="8" w:space="0"/>
              <w:right w:val="single" w:color="000000" w:sz="8" w:space="0"/>
            </w:tcBorders>
            <w:vAlign w:val="center"/>
          </w:tcPr>
          <w:p w14:paraId="0ABFD779">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异构飞控适配</w:t>
            </w:r>
          </w:p>
        </w:tc>
        <w:tc>
          <w:tcPr>
            <w:tcW w:w="4975" w:type="dxa"/>
            <w:vMerge w:val="restart"/>
            <w:tcBorders>
              <w:top w:val="nil"/>
              <w:left w:val="nil"/>
              <w:bottom w:val="single" w:color="000000" w:sz="8" w:space="0"/>
              <w:right w:val="single" w:color="000000" w:sz="8" w:space="0"/>
            </w:tcBorders>
            <w:vAlign w:val="bottom"/>
          </w:tcPr>
          <w:p w14:paraId="7CBA06AF">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构建统一的协议转换与指令分发中枢，通过深度集成飞控模块的私有协议，实现对无人机的统一纳管。</w:t>
            </w:r>
          </w:p>
        </w:tc>
      </w:tr>
      <w:tr w14:paraId="1CB47855">
        <w:tblPrEx>
          <w:tblCellMar>
            <w:top w:w="0" w:type="dxa"/>
            <w:left w:w="108" w:type="dxa"/>
            <w:bottom w:w="0" w:type="dxa"/>
            <w:right w:w="108" w:type="dxa"/>
          </w:tblCellMar>
        </w:tblPrEx>
        <w:trPr>
          <w:trHeight w:val="475" w:hRule="atLeast"/>
        </w:trPr>
        <w:tc>
          <w:tcPr>
            <w:tcW w:w="748" w:type="dxa"/>
            <w:vMerge w:val="continue"/>
            <w:tcBorders>
              <w:top w:val="nil"/>
              <w:left w:val="single" w:color="000000" w:sz="8" w:space="0"/>
              <w:bottom w:val="single" w:color="000000" w:sz="8" w:space="0"/>
              <w:right w:val="single" w:color="000000" w:sz="8" w:space="0"/>
            </w:tcBorders>
            <w:vAlign w:val="center"/>
          </w:tcPr>
          <w:p w14:paraId="07D620A2">
            <w:pPr>
              <w:ind w:firstLine="0" w:firstLineChars="0"/>
              <w:jc w:val="both"/>
              <w:rPr>
                <w:rFonts w:ascii="仿宋" w:hAnsi="仿宋" w:eastAsia="仿宋" w:cs="仿宋"/>
                <w:sz w:val="21"/>
                <w:szCs w:val="21"/>
                <w:highlight w:val="none"/>
              </w:rPr>
            </w:pPr>
          </w:p>
        </w:tc>
        <w:tc>
          <w:tcPr>
            <w:tcW w:w="1134" w:type="dxa"/>
            <w:vMerge w:val="continue"/>
            <w:tcBorders>
              <w:top w:val="nil"/>
              <w:left w:val="nil"/>
              <w:bottom w:val="single" w:color="000000" w:sz="8" w:space="0"/>
              <w:right w:val="single" w:color="000000" w:sz="8" w:space="0"/>
            </w:tcBorders>
            <w:vAlign w:val="center"/>
          </w:tcPr>
          <w:p w14:paraId="3CAE91DC">
            <w:pPr>
              <w:ind w:firstLine="0" w:firstLineChars="0"/>
              <w:jc w:val="both"/>
              <w:rPr>
                <w:rFonts w:ascii="仿宋" w:hAnsi="仿宋" w:eastAsia="仿宋" w:cs="仿宋"/>
                <w:sz w:val="21"/>
                <w:szCs w:val="21"/>
                <w:highlight w:val="none"/>
              </w:rPr>
            </w:pPr>
          </w:p>
        </w:tc>
        <w:tc>
          <w:tcPr>
            <w:tcW w:w="1358" w:type="dxa"/>
            <w:vMerge w:val="continue"/>
            <w:tcBorders>
              <w:top w:val="nil"/>
              <w:left w:val="nil"/>
              <w:bottom w:val="single" w:color="000000" w:sz="8" w:space="0"/>
              <w:right w:val="single" w:color="000000" w:sz="8" w:space="0"/>
            </w:tcBorders>
            <w:vAlign w:val="center"/>
          </w:tcPr>
          <w:p w14:paraId="101E88CE">
            <w:pPr>
              <w:ind w:firstLine="0" w:firstLineChars="0"/>
              <w:jc w:val="both"/>
              <w:rPr>
                <w:rFonts w:ascii="仿宋" w:hAnsi="仿宋" w:eastAsia="仿宋" w:cs="仿宋"/>
                <w:sz w:val="21"/>
                <w:szCs w:val="21"/>
                <w:highlight w:val="none"/>
              </w:rPr>
            </w:pPr>
          </w:p>
        </w:tc>
        <w:tc>
          <w:tcPr>
            <w:tcW w:w="4975" w:type="dxa"/>
            <w:vMerge w:val="continue"/>
            <w:tcBorders>
              <w:top w:val="nil"/>
              <w:left w:val="nil"/>
              <w:bottom w:val="single" w:color="000000" w:sz="8" w:space="0"/>
              <w:right w:val="single" w:color="000000" w:sz="8" w:space="0"/>
            </w:tcBorders>
            <w:vAlign w:val="bottom"/>
          </w:tcPr>
          <w:p w14:paraId="7E72FF2E">
            <w:pPr>
              <w:ind w:firstLine="0" w:firstLineChars="0"/>
              <w:jc w:val="both"/>
              <w:rPr>
                <w:rFonts w:ascii="仿宋" w:hAnsi="仿宋" w:eastAsia="仿宋" w:cs="仿宋"/>
                <w:sz w:val="21"/>
                <w:szCs w:val="21"/>
                <w:highlight w:val="none"/>
              </w:rPr>
            </w:pPr>
          </w:p>
        </w:tc>
      </w:tr>
      <w:tr w14:paraId="02E41B79">
        <w:tblPrEx>
          <w:tblCellMar>
            <w:top w:w="0" w:type="dxa"/>
            <w:left w:w="108" w:type="dxa"/>
            <w:bottom w:w="0" w:type="dxa"/>
            <w:right w:w="108" w:type="dxa"/>
          </w:tblCellMar>
        </w:tblPrEx>
        <w:trPr>
          <w:trHeight w:val="20" w:hRule="atLeast"/>
        </w:trPr>
        <w:tc>
          <w:tcPr>
            <w:tcW w:w="748" w:type="dxa"/>
            <w:vMerge w:val="continue"/>
            <w:tcBorders>
              <w:top w:val="nil"/>
              <w:left w:val="single" w:color="000000" w:sz="8" w:space="0"/>
              <w:bottom w:val="single" w:color="000000" w:sz="8" w:space="0"/>
              <w:right w:val="single" w:color="000000" w:sz="8" w:space="0"/>
            </w:tcBorders>
            <w:vAlign w:val="center"/>
          </w:tcPr>
          <w:p w14:paraId="527908A7">
            <w:pPr>
              <w:ind w:firstLine="0" w:firstLineChars="0"/>
              <w:jc w:val="both"/>
              <w:rPr>
                <w:rFonts w:ascii="仿宋" w:hAnsi="仿宋" w:eastAsia="仿宋" w:cs="仿宋"/>
                <w:sz w:val="21"/>
                <w:szCs w:val="21"/>
                <w:highlight w:val="none"/>
              </w:rPr>
            </w:pPr>
          </w:p>
        </w:tc>
        <w:tc>
          <w:tcPr>
            <w:tcW w:w="1134" w:type="dxa"/>
            <w:vMerge w:val="continue"/>
            <w:tcBorders>
              <w:top w:val="nil"/>
              <w:left w:val="nil"/>
              <w:bottom w:val="single" w:color="000000" w:sz="8" w:space="0"/>
              <w:right w:val="single" w:color="000000" w:sz="8" w:space="0"/>
            </w:tcBorders>
            <w:vAlign w:val="center"/>
          </w:tcPr>
          <w:p w14:paraId="084DDC38">
            <w:pPr>
              <w:ind w:firstLine="0" w:firstLineChars="0"/>
              <w:jc w:val="both"/>
              <w:rPr>
                <w:rFonts w:ascii="仿宋" w:hAnsi="仿宋" w:eastAsia="仿宋" w:cs="仿宋"/>
                <w:sz w:val="21"/>
                <w:szCs w:val="21"/>
                <w:highlight w:val="none"/>
              </w:rPr>
            </w:pPr>
          </w:p>
        </w:tc>
        <w:tc>
          <w:tcPr>
            <w:tcW w:w="1358" w:type="dxa"/>
            <w:tcBorders>
              <w:top w:val="nil"/>
              <w:left w:val="nil"/>
              <w:bottom w:val="single" w:color="000000" w:sz="8" w:space="0"/>
              <w:right w:val="single" w:color="000000" w:sz="8" w:space="0"/>
            </w:tcBorders>
            <w:vAlign w:val="center"/>
          </w:tcPr>
          <w:p w14:paraId="2E05F2E3">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数据汇聚</w:t>
            </w:r>
          </w:p>
        </w:tc>
        <w:tc>
          <w:tcPr>
            <w:tcW w:w="4975" w:type="dxa"/>
            <w:tcBorders>
              <w:top w:val="nil"/>
              <w:left w:val="nil"/>
              <w:bottom w:val="single" w:color="000000" w:sz="8" w:space="0"/>
              <w:right w:val="single" w:color="000000" w:sz="8" w:space="0"/>
            </w:tcBorders>
            <w:vAlign w:val="bottom"/>
          </w:tcPr>
          <w:p w14:paraId="3543BE31">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构建数据信息库，进行数据的清洗、关联与标准化存储。</w:t>
            </w:r>
          </w:p>
        </w:tc>
      </w:tr>
      <w:tr w14:paraId="736CBE41">
        <w:tblPrEx>
          <w:tblCellMar>
            <w:top w:w="0" w:type="dxa"/>
            <w:left w:w="108" w:type="dxa"/>
            <w:bottom w:w="0" w:type="dxa"/>
            <w:right w:w="108" w:type="dxa"/>
          </w:tblCellMar>
        </w:tblPrEx>
        <w:trPr>
          <w:trHeight w:val="20" w:hRule="atLeast"/>
        </w:trPr>
        <w:tc>
          <w:tcPr>
            <w:tcW w:w="748" w:type="dxa"/>
            <w:vMerge w:val="restart"/>
            <w:tcBorders>
              <w:top w:val="nil"/>
              <w:left w:val="single" w:color="000000" w:sz="8" w:space="0"/>
              <w:bottom w:val="single" w:color="000000" w:sz="8" w:space="0"/>
              <w:right w:val="single" w:color="000000" w:sz="8" w:space="0"/>
            </w:tcBorders>
            <w:vAlign w:val="center"/>
          </w:tcPr>
          <w:p w14:paraId="03FE90E1">
            <w:pPr>
              <w:widowControl/>
              <w:ind w:firstLine="0" w:firstLineChars="0"/>
              <w:jc w:val="both"/>
              <w:textAlignment w:val="center"/>
              <w:rPr>
                <w:rFonts w:ascii="仿宋" w:hAnsi="仿宋" w:eastAsia="仿宋" w:cs="仿宋"/>
                <w:sz w:val="21"/>
                <w:szCs w:val="21"/>
                <w:highlight w:val="none"/>
              </w:rPr>
            </w:pPr>
            <w:r>
              <w:rPr>
                <w:rFonts w:ascii="仿宋" w:hAnsi="仿宋" w:eastAsia="仿宋" w:cs="仿宋"/>
                <w:kern w:val="0"/>
                <w:sz w:val="21"/>
                <w:szCs w:val="21"/>
                <w:highlight w:val="none"/>
                <w:lang w:bidi="ar"/>
              </w:rPr>
              <w:t>2</w:t>
            </w:r>
          </w:p>
        </w:tc>
        <w:tc>
          <w:tcPr>
            <w:tcW w:w="1134" w:type="dxa"/>
            <w:vMerge w:val="restart"/>
            <w:tcBorders>
              <w:top w:val="nil"/>
              <w:left w:val="nil"/>
              <w:bottom w:val="single" w:color="000000" w:sz="8" w:space="0"/>
              <w:right w:val="single" w:color="000000" w:sz="8" w:space="0"/>
            </w:tcBorders>
            <w:vAlign w:val="center"/>
          </w:tcPr>
          <w:p w14:paraId="5808C9C0">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智能驾驶舱</w:t>
            </w:r>
          </w:p>
        </w:tc>
        <w:tc>
          <w:tcPr>
            <w:tcW w:w="1358" w:type="dxa"/>
            <w:tcBorders>
              <w:top w:val="nil"/>
              <w:left w:val="nil"/>
              <w:bottom w:val="single" w:color="000000" w:sz="8" w:space="0"/>
              <w:right w:val="single" w:color="000000" w:sz="8" w:space="0"/>
            </w:tcBorders>
            <w:vAlign w:val="center"/>
          </w:tcPr>
          <w:p w14:paraId="6430BC8E">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飞行总览</w:t>
            </w:r>
          </w:p>
        </w:tc>
        <w:tc>
          <w:tcPr>
            <w:tcW w:w="4975" w:type="dxa"/>
            <w:tcBorders>
              <w:top w:val="nil"/>
              <w:left w:val="nil"/>
              <w:bottom w:val="single" w:color="000000" w:sz="8" w:space="0"/>
              <w:right w:val="single" w:color="000000" w:sz="8" w:space="0"/>
            </w:tcBorders>
            <w:vAlign w:val="bottom"/>
          </w:tcPr>
          <w:p w14:paraId="3CBE8122">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按标签对全区资产分类筛选，可灵活切换查看不同机场运行实况，并内置智能异常预警机制，能针对电池低电量、飞行时长超限等风险自动告警，并支持应急接管策略。</w:t>
            </w:r>
          </w:p>
        </w:tc>
      </w:tr>
      <w:tr w14:paraId="7B4C7040">
        <w:tblPrEx>
          <w:tblCellMar>
            <w:top w:w="0" w:type="dxa"/>
            <w:left w:w="108" w:type="dxa"/>
            <w:bottom w:w="0" w:type="dxa"/>
            <w:right w:w="108" w:type="dxa"/>
          </w:tblCellMar>
        </w:tblPrEx>
        <w:trPr>
          <w:trHeight w:val="20" w:hRule="atLeast"/>
        </w:trPr>
        <w:tc>
          <w:tcPr>
            <w:tcW w:w="748" w:type="dxa"/>
            <w:vMerge w:val="continue"/>
            <w:tcBorders>
              <w:top w:val="nil"/>
              <w:left w:val="single" w:color="000000" w:sz="8" w:space="0"/>
              <w:bottom w:val="single" w:color="000000" w:sz="8" w:space="0"/>
              <w:right w:val="single" w:color="000000" w:sz="8" w:space="0"/>
            </w:tcBorders>
            <w:vAlign w:val="center"/>
          </w:tcPr>
          <w:p w14:paraId="2DCBB9B4">
            <w:pPr>
              <w:ind w:firstLine="0" w:firstLineChars="0"/>
              <w:jc w:val="both"/>
              <w:rPr>
                <w:rFonts w:ascii="仿宋" w:hAnsi="仿宋" w:eastAsia="仿宋" w:cs="仿宋"/>
                <w:sz w:val="21"/>
                <w:szCs w:val="21"/>
                <w:highlight w:val="none"/>
              </w:rPr>
            </w:pPr>
          </w:p>
        </w:tc>
        <w:tc>
          <w:tcPr>
            <w:tcW w:w="1134" w:type="dxa"/>
            <w:vMerge w:val="continue"/>
            <w:tcBorders>
              <w:top w:val="nil"/>
              <w:left w:val="nil"/>
              <w:bottom w:val="single" w:color="000000" w:sz="8" w:space="0"/>
              <w:right w:val="single" w:color="000000" w:sz="8" w:space="0"/>
            </w:tcBorders>
            <w:vAlign w:val="center"/>
          </w:tcPr>
          <w:p w14:paraId="7B9FEC0E">
            <w:pPr>
              <w:ind w:firstLine="0" w:firstLineChars="0"/>
              <w:jc w:val="both"/>
              <w:rPr>
                <w:rFonts w:ascii="仿宋" w:hAnsi="仿宋" w:eastAsia="仿宋" w:cs="仿宋"/>
                <w:sz w:val="21"/>
                <w:szCs w:val="21"/>
                <w:highlight w:val="none"/>
              </w:rPr>
            </w:pPr>
          </w:p>
        </w:tc>
        <w:tc>
          <w:tcPr>
            <w:tcW w:w="1358" w:type="dxa"/>
            <w:tcBorders>
              <w:top w:val="nil"/>
              <w:left w:val="nil"/>
              <w:bottom w:val="single" w:color="000000" w:sz="8" w:space="0"/>
              <w:right w:val="single" w:color="000000" w:sz="8" w:space="0"/>
            </w:tcBorders>
            <w:vAlign w:val="center"/>
          </w:tcPr>
          <w:p w14:paraId="412FC1BB">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飞控管理</w:t>
            </w:r>
          </w:p>
        </w:tc>
        <w:tc>
          <w:tcPr>
            <w:tcW w:w="4975" w:type="dxa"/>
            <w:tcBorders>
              <w:top w:val="nil"/>
              <w:left w:val="nil"/>
              <w:bottom w:val="single" w:color="000000" w:sz="8" w:space="0"/>
              <w:right w:val="single" w:color="000000" w:sz="8" w:space="0"/>
            </w:tcBorders>
            <w:vAlign w:val="bottom"/>
          </w:tcPr>
          <w:p w14:paraId="60280B75">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实现沉浸式虚拟飞行界面、动态态势感知融合、告警可视化等功能</w:t>
            </w:r>
          </w:p>
        </w:tc>
      </w:tr>
    </w:tbl>
    <w:p w14:paraId="3E7B44E8">
      <w:pPr>
        <w:spacing w:before="300" w:after="120" w:line="288" w:lineRule="auto"/>
        <w:ind w:firstLine="482"/>
        <w:jc w:val="both"/>
        <w:outlineLvl w:val="2"/>
        <w:rPr>
          <w:rFonts w:ascii="宋体" w:hAnsi="宋体" w:cs="宋体"/>
          <w:b/>
          <w:bCs/>
          <w:kern w:val="0"/>
          <w:szCs w:val="22"/>
          <w:highlight w:val="none"/>
        </w:rPr>
      </w:pPr>
      <w:r>
        <w:rPr>
          <w:rFonts w:hint="eastAsia" w:ascii="宋体" w:hAnsi="宋体" w:cs="宋体"/>
          <w:b/>
          <w:bCs/>
          <w:kern w:val="0"/>
          <w:szCs w:val="22"/>
          <w:highlight w:val="none"/>
        </w:rPr>
        <w:t>（二）核心业务应用</w:t>
      </w:r>
    </w:p>
    <w:p w14:paraId="1A0F434A">
      <w:pPr>
        <w:spacing w:before="120" w:after="120" w:line="288" w:lineRule="auto"/>
        <w:ind w:firstLine="480"/>
        <w:jc w:val="both"/>
        <w:rPr>
          <w:rFonts w:ascii="Arial" w:hAnsi="Arial" w:eastAsia="等线" w:cs="Arial"/>
          <w:highlight w:val="none"/>
        </w:rPr>
      </w:pPr>
      <w:r>
        <w:rPr>
          <w:rFonts w:hint="eastAsia" w:ascii="Arial" w:hAnsi="Arial" w:eastAsia="等线" w:cs="Arial"/>
          <w:highlight w:val="none"/>
        </w:rPr>
        <w:t>本模块聚焦于低空飞行的全流程闭环管理。在要素管理层面，需实现对设备、人员、航线及飞行成果的全生命周期数字化管控；在指挥调度层面，建设场景化巡查管理与治理中心，融合视频监控与动态资源管理，支持无人机</w:t>
      </w:r>
      <w:r>
        <w:rPr>
          <w:rFonts w:ascii="Arial" w:hAnsi="Arial" w:eastAsia="等线" w:cs="Arial"/>
          <w:highlight w:val="none"/>
        </w:rPr>
        <w:t>AR虚拟实景超融合，提升复杂场景下的态势感知能力。此外，系统需具备精细化的飞行控制能力与高效的任务统筹机制，涵盖从需求发起、审批、签收至归档的全流程闭环，并通过算法仓集成违停巡查、流量监测、合规性稽查等多样化AI场景化应用。</w:t>
      </w:r>
    </w:p>
    <w:tbl>
      <w:tblPr>
        <w:tblStyle w:val="5"/>
        <w:tblW w:w="8411"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992"/>
        <w:gridCol w:w="1276"/>
        <w:gridCol w:w="5395"/>
      </w:tblGrid>
      <w:tr w14:paraId="6ED4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shd w:val="clear" w:color="auto" w:fill="FFFFFF"/>
            <w:vAlign w:val="center"/>
          </w:tcPr>
          <w:p w14:paraId="56951A8A">
            <w:pPr>
              <w:widowControl/>
              <w:ind w:firstLine="0" w:firstLineChars="0"/>
              <w:jc w:val="both"/>
              <w:textAlignment w:val="center"/>
              <w:rPr>
                <w:rFonts w:ascii="宋体" w:hAnsi="宋体" w:cs="宋体"/>
                <w:b/>
                <w:bCs/>
                <w:szCs w:val="22"/>
                <w:highlight w:val="none"/>
              </w:rPr>
            </w:pPr>
            <w:r>
              <w:rPr>
                <w:rFonts w:hint="eastAsia" w:ascii="宋体" w:hAnsi="宋体" w:cs="宋体"/>
                <w:b/>
                <w:bCs/>
                <w:kern w:val="0"/>
                <w:szCs w:val="22"/>
                <w:highlight w:val="none"/>
                <w:lang w:bidi="ar"/>
              </w:rPr>
              <w:t>序号</w:t>
            </w:r>
          </w:p>
        </w:tc>
        <w:tc>
          <w:tcPr>
            <w:tcW w:w="992" w:type="dxa"/>
            <w:shd w:val="clear" w:color="auto" w:fill="FFFFFF"/>
            <w:vAlign w:val="center"/>
          </w:tcPr>
          <w:p w14:paraId="312803DD">
            <w:pPr>
              <w:widowControl/>
              <w:ind w:firstLine="0" w:firstLineChars="0"/>
              <w:jc w:val="both"/>
              <w:textAlignment w:val="center"/>
              <w:rPr>
                <w:rFonts w:ascii="宋体" w:hAnsi="宋体" w:cs="宋体"/>
                <w:b/>
                <w:bCs/>
                <w:szCs w:val="22"/>
                <w:highlight w:val="none"/>
              </w:rPr>
            </w:pPr>
            <w:r>
              <w:rPr>
                <w:rFonts w:hint="eastAsia" w:ascii="宋体" w:hAnsi="宋体" w:cs="宋体"/>
                <w:b/>
                <w:bCs/>
                <w:kern w:val="0"/>
                <w:szCs w:val="22"/>
                <w:highlight w:val="none"/>
                <w:lang w:bidi="ar"/>
              </w:rPr>
              <w:t>类别</w:t>
            </w:r>
          </w:p>
        </w:tc>
        <w:tc>
          <w:tcPr>
            <w:tcW w:w="1276" w:type="dxa"/>
            <w:shd w:val="clear" w:color="auto" w:fill="FFFFFF"/>
            <w:vAlign w:val="center"/>
          </w:tcPr>
          <w:p w14:paraId="6729060E">
            <w:pPr>
              <w:widowControl/>
              <w:ind w:firstLine="0" w:firstLineChars="0"/>
              <w:jc w:val="both"/>
              <w:textAlignment w:val="center"/>
              <w:rPr>
                <w:rFonts w:ascii="宋体" w:hAnsi="宋体" w:cs="宋体"/>
                <w:b/>
                <w:bCs/>
                <w:szCs w:val="22"/>
                <w:highlight w:val="none"/>
              </w:rPr>
            </w:pPr>
            <w:r>
              <w:rPr>
                <w:rFonts w:hint="eastAsia" w:ascii="宋体" w:hAnsi="宋体" w:cs="宋体"/>
                <w:b/>
                <w:bCs/>
                <w:kern w:val="0"/>
                <w:szCs w:val="22"/>
                <w:highlight w:val="none"/>
                <w:lang w:bidi="ar"/>
              </w:rPr>
              <w:t>功能模块</w:t>
            </w:r>
          </w:p>
        </w:tc>
        <w:tc>
          <w:tcPr>
            <w:tcW w:w="5395" w:type="dxa"/>
            <w:shd w:val="clear" w:color="auto" w:fill="FFFFFF"/>
            <w:vAlign w:val="center"/>
          </w:tcPr>
          <w:p w14:paraId="2BDA3FF2">
            <w:pPr>
              <w:widowControl/>
              <w:ind w:firstLine="0" w:firstLineChars="0"/>
              <w:jc w:val="both"/>
              <w:textAlignment w:val="center"/>
              <w:rPr>
                <w:rFonts w:ascii="宋体" w:hAnsi="宋体" w:cs="宋体"/>
                <w:b/>
                <w:bCs/>
                <w:szCs w:val="22"/>
                <w:highlight w:val="none"/>
              </w:rPr>
            </w:pPr>
            <w:r>
              <w:rPr>
                <w:rFonts w:hint="eastAsia" w:ascii="宋体" w:hAnsi="宋体" w:cs="宋体"/>
                <w:b/>
                <w:bCs/>
                <w:kern w:val="0"/>
                <w:szCs w:val="22"/>
                <w:highlight w:val="none"/>
                <w:lang w:bidi="ar"/>
              </w:rPr>
              <w:t>功能描述</w:t>
            </w:r>
          </w:p>
        </w:tc>
      </w:tr>
      <w:tr w14:paraId="34DC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restart"/>
            <w:vAlign w:val="center"/>
          </w:tcPr>
          <w:p w14:paraId="56199EB0">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sz w:val="21"/>
                <w:szCs w:val="21"/>
                <w:highlight w:val="none"/>
              </w:rPr>
              <w:t>1</w:t>
            </w:r>
          </w:p>
        </w:tc>
        <w:tc>
          <w:tcPr>
            <w:tcW w:w="992" w:type="dxa"/>
            <w:vMerge w:val="restart"/>
            <w:vAlign w:val="center"/>
          </w:tcPr>
          <w:p w14:paraId="2FE9BC40">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要素管理</w:t>
            </w:r>
          </w:p>
        </w:tc>
        <w:tc>
          <w:tcPr>
            <w:tcW w:w="1276" w:type="dxa"/>
            <w:vAlign w:val="center"/>
          </w:tcPr>
          <w:p w14:paraId="34E7B5D2">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设备管理</w:t>
            </w:r>
          </w:p>
        </w:tc>
        <w:tc>
          <w:tcPr>
            <w:tcW w:w="5395" w:type="dxa"/>
            <w:vAlign w:val="center"/>
          </w:tcPr>
          <w:p w14:paraId="38371993">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围绕无人机机场、单兵无人机等全类型硬件，构建设备全生命周期管理体系，核心功能涵盖设备建档、远程运维、异常预警与处置、故障维修等，确保设备状态可监、可管、可追溯。</w:t>
            </w:r>
          </w:p>
        </w:tc>
      </w:tr>
      <w:tr w14:paraId="7DDC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continue"/>
            <w:vAlign w:val="center"/>
          </w:tcPr>
          <w:p w14:paraId="18788162">
            <w:pPr>
              <w:ind w:firstLine="0" w:firstLineChars="0"/>
              <w:jc w:val="both"/>
              <w:rPr>
                <w:rFonts w:ascii="仿宋" w:hAnsi="仿宋" w:eastAsia="仿宋" w:cs="仿宋"/>
                <w:sz w:val="21"/>
                <w:szCs w:val="21"/>
                <w:highlight w:val="none"/>
              </w:rPr>
            </w:pPr>
          </w:p>
        </w:tc>
        <w:tc>
          <w:tcPr>
            <w:tcW w:w="992" w:type="dxa"/>
            <w:vMerge w:val="continue"/>
            <w:vAlign w:val="center"/>
          </w:tcPr>
          <w:p w14:paraId="620854AE">
            <w:pPr>
              <w:ind w:firstLine="0" w:firstLineChars="0"/>
              <w:jc w:val="both"/>
              <w:rPr>
                <w:rFonts w:ascii="仿宋" w:hAnsi="仿宋" w:eastAsia="仿宋" w:cs="仿宋"/>
                <w:sz w:val="21"/>
                <w:szCs w:val="21"/>
                <w:highlight w:val="none"/>
              </w:rPr>
            </w:pPr>
          </w:p>
        </w:tc>
        <w:tc>
          <w:tcPr>
            <w:tcW w:w="1276" w:type="dxa"/>
            <w:vAlign w:val="center"/>
          </w:tcPr>
          <w:p w14:paraId="74A58D5F">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人员管理</w:t>
            </w:r>
          </w:p>
        </w:tc>
        <w:tc>
          <w:tcPr>
            <w:tcW w:w="5395" w:type="dxa"/>
            <w:vAlign w:val="center"/>
          </w:tcPr>
          <w:p w14:paraId="0E2D6083">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以无人机飞手为管理核心，构建从入职到离职的飞手全生命周期资质管理体系，实现飞手资质合规、任务适配，确保飞手执飞行为符合法规与警务要求，提升执法任务执行质量与效率。</w:t>
            </w:r>
          </w:p>
        </w:tc>
      </w:tr>
      <w:tr w14:paraId="70A3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continue"/>
            <w:vAlign w:val="center"/>
          </w:tcPr>
          <w:p w14:paraId="06200581">
            <w:pPr>
              <w:widowControl/>
              <w:ind w:firstLine="0" w:firstLineChars="0"/>
              <w:jc w:val="both"/>
              <w:textAlignment w:val="center"/>
              <w:rPr>
                <w:sz w:val="21"/>
                <w:szCs w:val="21"/>
                <w:highlight w:val="none"/>
              </w:rPr>
            </w:pPr>
          </w:p>
        </w:tc>
        <w:tc>
          <w:tcPr>
            <w:tcW w:w="992" w:type="dxa"/>
            <w:vMerge w:val="continue"/>
            <w:vAlign w:val="center"/>
          </w:tcPr>
          <w:p w14:paraId="157FD6F2">
            <w:pPr>
              <w:widowControl/>
              <w:ind w:firstLine="0" w:firstLineChars="0"/>
              <w:jc w:val="both"/>
              <w:textAlignment w:val="center"/>
              <w:rPr>
                <w:sz w:val="21"/>
                <w:szCs w:val="21"/>
                <w:highlight w:val="none"/>
              </w:rPr>
            </w:pPr>
          </w:p>
        </w:tc>
        <w:tc>
          <w:tcPr>
            <w:tcW w:w="1276" w:type="dxa"/>
            <w:vAlign w:val="center"/>
          </w:tcPr>
          <w:p w14:paraId="6465B46A">
            <w:pPr>
              <w:widowControl/>
              <w:ind w:firstLine="0" w:firstLineChars="0"/>
              <w:jc w:val="both"/>
              <w:textAlignment w:val="center"/>
              <w:rPr>
                <w:rFonts w:ascii="仿宋" w:hAnsi="仿宋" w:eastAsia="仿宋" w:cs="仿宋"/>
                <w:kern w:val="0"/>
                <w:sz w:val="21"/>
                <w:szCs w:val="21"/>
                <w:highlight w:val="none"/>
                <w:lang w:bidi="ar"/>
              </w:rPr>
            </w:pPr>
            <w:r>
              <w:rPr>
                <w:rFonts w:hint="eastAsia" w:ascii="仿宋" w:hAnsi="仿宋" w:eastAsia="仿宋" w:cs="仿宋"/>
                <w:kern w:val="0"/>
                <w:sz w:val="21"/>
                <w:szCs w:val="21"/>
                <w:highlight w:val="none"/>
                <w:lang w:bidi="ar"/>
              </w:rPr>
              <w:t>飞手管理</w:t>
            </w:r>
            <w:r>
              <w:rPr>
                <w:rFonts w:ascii="仿宋" w:hAnsi="仿宋" w:eastAsia="仿宋" w:cs="仿宋"/>
                <w:kern w:val="0"/>
                <w:sz w:val="21"/>
                <w:szCs w:val="21"/>
                <w:highlight w:val="none"/>
                <w:lang w:bidi="ar"/>
              </w:rPr>
              <w:t xml:space="preserve"> </w:t>
            </w:r>
          </w:p>
        </w:tc>
        <w:tc>
          <w:tcPr>
            <w:tcW w:w="5395" w:type="dxa"/>
            <w:vAlign w:val="center"/>
          </w:tcPr>
          <w:p w14:paraId="2CC730AF">
            <w:pPr>
              <w:widowControl/>
              <w:ind w:firstLine="0" w:firstLineChars="0"/>
              <w:jc w:val="both"/>
              <w:textAlignment w:val="center"/>
              <w:rPr>
                <w:rFonts w:hint="eastAsia" w:ascii="仿宋" w:hAnsi="仿宋" w:eastAsia="仿宋" w:cs="仿宋"/>
                <w:kern w:val="0"/>
                <w:sz w:val="21"/>
                <w:szCs w:val="21"/>
                <w:highlight w:val="none"/>
                <w:lang w:eastAsia="zh-CN" w:bidi="ar"/>
              </w:rPr>
            </w:pPr>
            <w:r>
              <w:rPr>
                <w:rFonts w:hint="eastAsia" w:ascii="仿宋" w:hAnsi="仿宋" w:eastAsia="仿宋" w:cs="仿宋"/>
                <w:kern w:val="0"/>
                <w:sz w:val="21"/>
                <w:szCs w:val="21"/>
                <w:highlight w:val="none"/>
                <w:lang w:bidi="ar"/>
              </w:rPr>
              <w:t>对青浦区内无人机飞手和无人机进行管理</w:t>
            </w:r>
            <w:r>
              <w:rPr>
                <w:rFonts w:hint="eastAsia" w:ascii="仿宋" w:hAnsi="仿宋" w:eastAsia="仿宋" w:cs="仿宋"/>
                <w:kern w:val="0"/>
                <w:sz w:val="21"/>
                <w:szCs w:val="21"/>
                <w:highlight w:val="none"/>
                <w:lang w:eastAsia="zh-CN" w:bidi="ar"/>
              </w:rPr>
              <w:t>。</w:t>
            </w:r>
          </w:p>
        </w:tc>
      </w:tr>
      <w:tr w14:paraId="62C8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continue"/>
            <w:vAlign w:val="center"/>
          </w:tcPr>
          <w:p w14:paraId="486BD3EB">
            <w:pPr>
              <w:ind w:firstLine="0" w:firstLineChars="0"/>
              <w:jc w:val="both"/>
              <w:rPr>
                <w:rFonts w:ascii="仿宋" w:hAnsi="仿宋" w:eastAsia="仿宋" w:cs="仿宋"/>
                <w:sz w:val="21"/>
                <w:szCs w:val="21"/>
                <w:highlight w:val="none"/>
              </w:rPr>
            </w:pPr>
          </w:p>
        </w:tc>
        <w:tc>
          <w:tcPr>
            <w:tcW w:w="992" w:type="dxa"/>
            <w:vMerge w:val="continue"/>
            <w:vAlign w:val="center"/>
          </w:tcPr>
          <w:p w14:paraId="6BADB19D">
            <w:pPr>
              <w:ind w:firstLine="0" w:firstLineChars="0"/>
              <w:jc w:val="both"/>
              <w:rPr>
                <w:rFonts w:ascii="仿宋" w:hAnsi="仿宋" w:eastAsia="仿宋" w:cs="仿宋"/>
                <w:sz w:val="21"/>
                <w:szCs w:val="21"/>
                <w:highlight w:val="none"/>
              </w:rPr>
            </w:pPr>
          </w:p>
        </w:tc>
        <w:tc>
          <w:tcPr>
            <w:tcW w:w="1276" w:type="dxa"/>
            <w:vAlign w:val="center"/>
          </w:tcPr>
          <w:p w14:paraId="0183CCAD">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航线管理</w:t>
            </w:r>
          </w:p>
        </w:tc>
        <w:tc>
          <w:tcPr>
            <w:tcW w:w="5395" w:type="dxa"/>
            <w:vAlign w:val="center"/>
          </w:tcPr>
          <w:p w14:paraId="384FA70B">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航线管理模块旨在实现航线规划管理，重点建设高精度的航线规划能力与自动化的执行逻辑。</w:t>
            </w:r>
          </w:p>
        </w:tc>
      </w:tr>
      <w:tr w14:paraId="5ADA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continue"/>
            <w:vAlign w:val="center"/>
          </w:tcPr>
          <w:p w14:paraId="3548438F">
            <w:pPr>
              <w:ind w:firstLine="0" w:firstLineChars="0"/>
              <w:jc w:val="both"/>
              <w:rPr>
                <w:rFonts w:ascii="仿宋" w:hAnsi="仿宋" w:eastAsia="仿宋" w:cs="仿宋"/>
                <w:sz w:val="21"/>
                <w:szCs w:val="21"/>
                <w:highlight w:val="none"/>
              </w:rPr>
            </w:pPr>
          </w:p>
        </w:tc>
        <w:tc>
          <w:tcPr>
            <w:tcW w:w="992" w:type="dxa"/>
            <w:vMerge w:val="continue"/>
            <w:vAlign w:val="center"/>
          </w:tcPr>
          <w:p w14:paraId="305493DA">
            <w:pPr>
              <w:ind w:firstLine="0" w:firstLineChars="0"/>
              <w:jc w:val="both"/>
              <w:rPr>
                <w:rFonts w:ascii="仿宋" w:hAnsi="仿宋" w:eastAsia="仿宋" w:cs="仿宋"/>
                <w:sz w:val="21"/>
                <w:szCs w:val="21"/>
                <w:highlight w:val="none"/>
              </w:rPr>
            </w:pPr>
          </w:p>
        </w:tc>
        <w:tc>
          <w:tcPr>
            <w:tcW w:w="1276" w:type="dxa"/>
            <w:vAlign w:val="center"/>
          </w:tcPr>
          <w:p w14:paraId="37B8CFF0">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成果管理</w:t>
            </w:r>
          </w:p>
        </w:tc>
        <w:tc>
          <w:tcPr>
            <w:tcW w:w="5395" w:type="dxa"/>
            <w:vAlign w:val="center"/>
          </w:tcPr>
          <w:p w14:paraId="480DF770">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实现数据云端同步、多维度成果分类及成果详情展示。</w:t>
            </w:r>
          </w:p>
        </w:tc>
      </w:tr>
      <w:tr w14:paraId="7E7C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restart"/>
            <w:vAlign w:val="center"/>
          </w:tcPr>
          <w:p w14:paraId="07D263BE">
            <w:pPr>
              <w:widowControl/>
              <w:ind w:firstLine="0" w:firstLineChars="0"/>
              <w:jc w:val="both"/>
              <w:textAlignment w:val="center"/>
              <w:rPr>
                <w:rFonts w:ascii="仿宋" w:hAnsi="仿宋" w:eastAsia="仿宋" w:cs="仿宋"/>
                <w:sz w:val="21"/>
                <w:szCs w:val="21"/>
                <w:highlight w:val="none"/>
              </w:rPr>
            </w:pPr>
            <w:r>
              <w:rPr>
                <w:rFonts w:ascii="仿宋" w:hAnsi="仿宋" w:eastAsia="仿宋" w:cs="仿宋"/>
                <w:kern w:val="0"/>
                <w:sz w:val="21"/>
                <w:szCs w:val="21"/>
                <w:highlight w:val="none"/>
                <w:lang w:bidi="ar"/>
              </w:rPr>
              <w:t>2</w:t>
            </w:r>
          </w:p>
        </w:tc>
        <w:tc>
          <w:tcPr>
            <w:tcW w:w="992" w:type="dxa"/>
            <w:vMerge w:val="restart"/>
            <w:vAlign w:val="center"/>
          </w:tcPr>
          <w:p w14:paraId="2D4925AC">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指挥调度</w:t>
            </w:r>
          </w:p>
        </w:tc>
        <w:tc>
          <w:tcPr>
            <w:tcW w:w="1276" w:type="dxa"/>
            <w:vAlign w:val="center"/>
          </w:tcPr>
          <w:p w14:paraId="6A37136B">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场景管理</w:t>
            </w:r>
          </w:p>
        </w:tc>
        <w:tc>
          <w:tcPr>
            <w:tcW w:w="5395" w:type="dxa"/>
            <w:vAlign w:val="center"/>
          </w:tcPr>
          <w:p w14:paraId="5DF0EB34">
            <w:pPr>
              <w:widowControl/>
              <w:ind w:firstLine="0" w:firstLineChars="0"/>
              <w:jc w:val="both"/>
              <w:textAlignment w:val="bottom"/>
              <w:rPr>
                <w:rFonts w:hint="eastAsia" w:ascii="仿宋" w:hAnsi="仿宋" w:eastAsia="仿宋" w:cs="仿宋"/>
                <w:sz w:val="21"/>
                <w:szCs w:val="21"/>
                <w:highlight w:val="none"/>
                <w:lang w:eastAsia="zh-CN"/>
              </w:rPr>
            </w:pPr>
            <w:r>
              <w:rPr>
                <w:rFonts w:hint="eastAsia" w:ascii="仿宋" w:hAnsi="仿宋" w:eastAsia="仿宋" w:cs="仿宋"/>
                <w:kern w:val="0"/>
                <w:sz w:val="21"/>
                <w:szCs w:val="21"/>
                <w:highlight w:val="none"/>
                <w:lang w:bidi="ar"/>
              </w:rPr>
              <w:t>涵盖场景列表、场景编辑器、场景库</w:t>
            </w:r>
            <w:r>
              <w:rPr>
                <w:rFonts w:hint="eastAsia" w:ascii="仿宋" w:hAnsi="仿宋" w:eastAsia="仿宋" w:cs="仿宋"/>
                <w:kern w:val="0"/>
                <w:sz w:val="21"/>
                <w:szCs w:val="21"/>
                <w:highlight w:val="none"/>
                <w:lang w:eastAsia="zh-CN" w:bidi="ar"/>
              </w:rPr>
              <w:t>。</w:t>
            </w:r>
          </w:p>
        </w:tc>
      </w:tr>
      <w:tr w14:paraId="274A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continue"/>
            <w:vAlign w:val="center"/>
          </w:tcPr>
          <w:p w14:paraId="768B2FE5">
            <w:pPr>
              <w:ind w:firstLine="0" w:firstLineChars="0"/>
              <w:jc w:val="both"/>
              <w:rPr>
                <w:rFonts w:ascii="仿宋" w:hAnsi="仿宋" w:eastAsia="仿宋" w:cs="仿宋"/>
                <w:sz w:val="21"/>
                <w:szCs w:val="21"/>
                <w:highlight w:val="none"/>
              </w:rPr>
            </w:pPr>
          </w:p>
        </w:tc>
        <w:tc>
          <w:tcPr>
            <w:tcW w:w="992" w:type="dxa"/>
            <w:vMerge w:val="continue"/>
            <w:vAlign w:val="center"/>
          </w:tcPr>
          <w:p w14:paraId="54B966CA">
            <w:pPr>
              <w:ind w:firstLine="0" w:firstLineChars="0"/>
              <w:jc w:val="both"/>
              <w:rPr>
                <w:rFonts w:ascii="仿宋" w:hAnsi="仿宋" w:eastAsia="仿宋" w:cs="仿宋"/>
                <w:sz w:val="21"/>
                <w:szCs w:val="21"/>
                <w:highlight w:val="none"/>
              </w:rPr>
            </w:pPr>
          </w:p>
        </w:tc>
        <w:tc>
          <w:tcPr>
            <w:tcW w:w="1276" w:type="dxa"/>
            <w:vAlign w:val="center"/>
          </w:tcPr>
          <w:p w14:paraId="67A9444C">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巡查管理</w:t>
            </w:r>
          </w:p>
        </w:tc>
        <w:tc>
          <w:tcPr>
            <w:tcW w:w="5395" w:type="dxa"/>
            <w:vAlign w:val="center"/>
          </w:tcPr>
          <w:p w14:paraId="63AE0D8B">
            <w:pPr>
              <w:widowControl/>
              <w:ind w:firstLine="0" w:firstLineChars="0"/>
              <w:jc w:val="both"/>
              <w:textAlignment w:val="bottom"/>
              <w:rPr>
                <w:rFonts w:hint="eastAsia" w:ascii="仿宋" w:hAnsi="仿宋" w:eastAsia="仿宋" w:cs="仿宋"/>
                <w:sz w:val="21"/>
                <w:szCs w:val="21"/>
                <w:highlight w:val="none"/>
                <w:lang w:eastAsia="zh-CN"/>
              </w:rPr>
            </w:pPr>
            <w:r>
              <w:rPr>
                <w:rFonts w:hint="eastAsia" w:ascii="仿宋" w:hAnsi="仿宋" w:eastAsia="仿宋" w:cs="仿宋"/>
                <w:kern w:val="0"/>
                <w:sz w:val="21"/>
                <w:szCs w:val="21"/>
                <w:highlight w:val="none"/>
                <w:lang w:bidi="ar"/>
              </w:rPr>
              <w:t>涵盖巡查任务管理、策略模板管理、巡查报告</w:t>
            </w:r>
            <w:r>
              <w:rPr>
                <w:rFonts w:hint="eastAsia" w:ascii="仿宋" w:hAnsi="仿宋" w:eastAsia="仿宋" w:cs="仿宋"/>
                <w:kern w:val="0"/>
                <w:sz w:val="21"/>
                <w:szCs w:val="21"/>
                <w:highlight w:val="none"/>
                <w:lang w:eastAsia="zh-CN" w:bidi="ar"/>
              </w:rPr>
              <w:t>。</w:t>
            </w:r>
          </w:p>
        </w:tc>
      </w:tr>
      <w:tr w14:paraId="0A67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continue"/>
            <w:vAlign w:val="center"/>
          </w:tcPr>
          <w:p w14:paraId="719B242A">
            <w:pPr>
              <w:ind w:firstLine="0" w:firstLineChars="0"/>
              <w:jc w:val="both"/>
              <w:rPr>
                <w:rFonts w:ascii="仿宋" w:hAnsi="仿宋" w:eastAsia="仿宋" w:cs="仿宋"/>
                <w:sz w:val="21"/>
                <w:szCs w:val="21"/>
                <w:highlight w:val="none"/>
              </w:rPr>
            </w:pPr>
          </w:p>
        </w:tc>
        <w:tc>
          <w:tcPr>
            <w:tcW w:w="992" w:type="dxa"/>
            <w:vMerge w:val="continue"/>
            <w:vAlign w:val="center"/>
          </w:tcPr>
          <w:p w14:paraId="67C746E2">
            <w:pPr>
              <w:ind w:firstLine="0" w:firstLineChars="0"/>
              <w:jc w:val="both"/>
              <w:rPr>
                <w:rFonts w:ascii="仿宋" w:hAnsi="仿宋" w:eastAsia="仿宋" w:cs="仿宋"/>
                <w:sz w:val="21"/>
                <w:szCs w:val="21"/>
                <w:highlight w:val="none"/>
              </w:rPr>
            </w:pPr>
          </w:p>
        </w:tc>
        <w:tc>
          <w:tcPr>
            <w:tcW w:w="1276" w:type="dxa"/>
            <w:vAlign w:val="center"/>
          </w:tcPr>
          <w:p w14:paraId="62F72E08">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治理中心</w:t>
            </w:r>
          </w:p>
        </w:tc>
        <w:tc>
          <w:tcPr>
            <w:tcW w:w="5395" w:type="dxa"/>
            <w:vAlign w:val="center"/>
          </w:tcPr>
          <w:p w14:paraId="3FADD241">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治理中心集成了业务资源、视频监控、动态资源及无人机管理等基础能力，同时涵盖事件数据、快照仓库与业务标签库的全生命周期管理，实现对全域资源的统一调度、治理与高效利用。</w:t>
            </w:r>
          </w:p>
        </w:tc>
      </w:tr>
      <w:tr w14:paraId="790E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continue"/>
            <w:vAlign w:val="center"/>
          </w:tcPr>
          <w:p w14:paraId="507A1735">
            <w:pPr>
              <w:ind w:firstLine="0" w:firstLineChars="0"/>
              <w:jc w:val="both"/>
              <w:rPr>
                <w:rFonts w:ascii="仿宋" w:hAnsi="仿宋" w:eastAsia="仿宋" w:cs="仿宋"/>
                <w:sz w:val="21"/>
                <w:szCs w:val="21"/>
                <w:highlight w:val="none"/>
              </w:rPr>
            </w:pPr>
          </w:p>
        </w:tc>
        <w:tc>
          <w:tcPr>
            <w:tcW w:w="992" w:type="dxa"/>
            <w:vMerge w:val="continue"/>
            <w:vAlign w:val="center"/>
          </w:tcPr>
          <w:p w14:paraId="76D91B4D">
            <w:pPr>
              <w:ind w:firstLine="0" w:firstLineChars="0"/>
              <w:jc w:val="both"/>
              <w:rPr>
                <w:rFonts w:ascii="仿宋" w:hAnsi="仿宋" w:eastAsia="仿宋" w:cs="仿宋"/>
                <w:sz w:val="21"/>
                <w:szCs w:val="21"/>
                <w:highlight w:val="none"/>
              </w:rPr>
            </w:pPr>
          </w:p>
        </w:tc>
        <w:tc>
          <w:tcPr>
            <w:tcW w:w="1276" w:type="dxa"/>
            <w:vAlign w:val="center"/>
          </w:tcPr>
          <w:p w14:paraId="01F94B05">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无人机</w:t>
            </w:r>
            <w:r>
              <w:rPr>
                <w:rFonts w:ascii="仿宋" w:hAnsi="仿宋" w:eastAsia="仿宋" w:cs="仿宋"/>
                <w:kern w:val="0"/>
                <w:sz w:val="21"/>
                <w:szCs w:val="21"/>
                <w:highlight w:val="none"/>
                <w:lang w:bidi="ar"/>
              </w:rPr>
              <w:t>AR虚拟实景超融合</w:t>
            </w:r>
          </w:p>
        </w:tc>
        <w:tc>
          <w:tcPr>
            <w:tcW w:w="5395" w:type="dxa"/>
            <w:vAlign w:val="center"/>
          </w:tcPr>
          <w:p w14:paraId="53BF9D9C">
            <w:pPr>
              <w:widowControl/>
              <w:spacing w:after="220"/>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无人机</w:t>
            </w:r>
            <w:r>
              <w:rPr>
                <w:rFonts w:ascii="仿宋" w:hAnsi="仿宋" w:eastAsia="仿宋" w:cs="仿宋"/>
                <w:kern w:val="0"/>
                <w:sz w:val="21"/>
                <w:szCs w:val="21"/>
                <w:highlight w:val="none"/>
                <w:lang w:bidi="ar"/>
              </w:rPr>
              <w:t>AR虚拟实景超融合模块通过特定算法将资源数据叠加到视频上，支持资源上图、设备列表管理、临时预案、二维地图定位、刻度尺距离设定、周边监控联动及协同标绘等功能，实现无人机与地面资源的AR融合展示与交互。</w:t>
            </w:r>
          </w:p>
        </w:tc>
      </w:tr>
      <w:tr w14:paraId="3FE2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Align w:val="center"/>
          </w:tcPr>
          <w:p w14:paraId="3703D5F1">
            <w:pPr>
              <w:widowControl/>
              <w:ind w:firstLine="0" w:firstLineChars="0"/>
              <w:jc w:val="both"/>
              <w:textAlignment w:val="center"/>
              <w:rPr>
                <w:rFonts w:ascii="仿宋" w:hAnsi="仿宋" w:eastAsia="仿宋" w:cs="仿宋"/>
                <w:sz w:val="21"/>
                <w:szCs w:val="21"/>
                <w:highlight w:val="none"/>
              </w:rPr>
            </w:pPr>
            <w:r>
              <w:rPr>
                <w:rFonts w:ascii="仿宋" w:hAnsi="仿宋" w:eastAsia="仿宋" w:cs="仿宋"/>
                <w:kern w:val="0"/>
                <w:sz w:val="21"/>
                <w:szCs w:val="21"/>
                <w:highlight w:val="none"/>
                <w:lang w:bidi="ar"/>
              </w:rPr>
              <w:t>3</w:t>
            </w:r>
          </w:p>
        </w:tc>
        <w:tc>
          <w:tcPr>
            <w:tcW w:w="992" w:type="dxa"/>
            <w:vAlign w:val="center"/>
          </w:tcPr>
          <w:p w14:paraId="29334F66">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飞行控制</w:t>
            </w:r>
          </w:p>
        </w:tc>
        <w:tc>
          <w:tcPr>
            <w:tcW w:w="1276" w:type="dxa"/>
            <w:vAlign w:val="center"/>
          </w:tcPr>
          <w:p w14:paraId="3079D585">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飞行控制</w:t>
            </w:r>
          </w:p>
        </w:tc>
        <w:tc>
          <w:tcPr>
            <w:tcW w:w="5395" w:type="dxa"/>
            <w:vAlign w:val="center"/>
          </w:tcPr>
          <w:p w14:paraId="4D012482">
            <w:pPr>
              <w:widowControl/>
              <w:spacing w:after="220"/>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飞行控制模块支持飞手远程接管无人机，可实时调整飞行姿态与参数，精细化操控机载载荷，并在应急时快速执行返航、悬停或接管操作，确保任务灵活执行与飞行安全可控。</w:t>
            </w:r>
          </w:p>
        </w:tc>
      </w:tr>
      <w:tr w14:paraId="71AE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Align w:val="center"/>
          </w:tcPr>
          <w:p w14:paraId="6EEAC00E">
            <w:pPr>
              <w:widowControl/>
              <w:ind w:firstLine="0" w:firstLineChars="0"/>
              <w:jc w:val="both"/>
              <w:textAlignment w:val="center"/>
              <w:rPr>
                <w:rFonts w:ascii="仿宋" w:hAnsi="仿宋" w:eastAsia="仿宋" w:cs="仿宋"/>
                <w:sz w:val="21"/>
                <w:szCs w:val="21"/>
                <w:highlight w:val="none"/>
              </w:rPr>
            </w:pPr>
            <w:r>
              <w:rPr>
                <w:rFonts w:ascii="仿宋" w:hAnsi="仿宋" w:eastAsia="仿宋" w:cs="仿宋"/>
                <w:kern w:val="0"/>
                <w:sz w:val="21"/>
                <w:szCs w:val="21"/>
                <w:highlight w:val="none"/>
                <w:lang w:bidi="ar"/>
              </w:rPr>
              <w:t>4</w:t>
            </w:r>
          </w:p>
        </w:tc>
        <w:tc>
          <w:tcPr>
            <w:tcW w:w="992" w:type="dxa"/>
            <w:vAlign w:val="center"/>
          </w:tcPr>
          <w:p w14:paraId="3ED6DCCF">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任务统筹</w:t>
            </w:r>
          </w:p>
        </w:tc>
        <w:tc>
          <w:tcPr>
            <w:tcW w:w="1276" w:type="dxa"/>
            <w:vAlign w:val="center"/>
          </w:tcPr>
          <w:p w14:paraId="53E1D7A0">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任务统筹</w:t>
            </w:r>
          </w:p>
        </w:tc>
        <w:tc>
          <w:tcPr>
            <w:tcW w:w="5395" w:type="dxa"/>
            <w:vAlign w:val="center"/>
          </w:tcPr>
          <w:p w14:paraId="1A19FA95">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以无人机实战任务为驱动核心，构建从“需求发起、多级审批、分派执行”到“成果归档”的全流程闭环管理体系。实现任务指令的标准化下达、作业过程的可视化监控及数据成果的自动化归集，确保飞行任务高效流转、责任到人、有据可查，提升空地一体化协同作战能力。</w:t>
            </w:r>
          </w:p>
        </w:tc>
      </w:tr>
      <w:tr w14:paraId="4A67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vMerge w:val="restart"/>
            <w:vAlign w:val="center"/>
          </w:tcPr>
          <w:p w14:paraId="5B88A4DC">
            <w:pPr>
              <w:widowControl/>
              <w:ind w:firstLine="0" w:firstLineChars="0"/>
              <w:jc w:val="both"/>
              <w:textAlignment w:val="center"/>
              <w:rPr>
                <w:rFonts w:ascii="仿宋" w:hAnsi="仿宋" w:eastAsia="仿宋" w:cs="仿宋"/>
                <w:sz w:val="21"/>
                <w:szCs w:val="21"/>
                <w:highlight w:val="none"/>
              </w:rPr>
            </w:pPr>
            <w:r>
              <w:rPr>
                <w:rFonts w:ascii="仿宋" w:hAnsi="仿宋" w:eastAsia="仿宋" w:cs="仿宋"/>
                <w:kern w:val="0"/>
                <w:sz w:val="21"/>
                <w:szCs w:val="21"/>
                <w:highlight w:val="none"/>
                <w:lang w:bidi="ar"/>
              </w:rPr>
              <w:t>5</w:t>
            </w:r>
          </w:p>
        </w:tc>
        <w:tc>
          <w:tcPr>
            <w:tcW w:w="992" w:type="dxa"/>
            <w:vMerge w:val="restart"/>
            <w:vAlign w:val="center"/>
          </w:tcPr>
          <w:p w14:paraId="24296DDB">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算法仓</w:t>
            </w:r>
          </w:p>
        </w:tc>
        <w:tc>
          <w:tcPr>
            <w:tcW w:w="1276" w:type="dxa"/>
            <w:vAlign w:val="center"/>
          </w:tcPr>
          <w:p w14:paraId="64682D8B">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接口服务</w:t>
            </w:r>
          </w:p>
        </w:tc>
        <w:tc>
          <w:tcPr>
            <w:tcW w:w="5395" w:type="dxa"/>
            <w:vAlign w:val="center"/>
          </w:tcPr>
          <w:p w14:paraId="0BA8162D">
            <w:pPr>
              <w:widowControl/>
              <w:ind w:firstLine="0" w:firstLineChars="0"/>
              <w:jc w:val="both"/>
              <w:textAlignment w:val="bottom"/>
              <w:rPr>
                <w:rFonts w:ascii="仿宋" w:hAnsi="仿宋" w:eastAsia="仿宋" w:cs="仿宋"/>
                <w:sz w:val="21"/>
                <w:szCs w:val="21"/>
                <w:highlight w:val="none"/>
              </w:rPr>
            </w:pPr>
            <w:r>
              <w:rPr>
                <w:rFonts w:hint="eastAsia" w:ascii="仿宋" w:hAnsi="仿宋" w:eastAsia="仿宋" w:cs="仿宋"/>
                <w:kern w:val="0"/>
                <w:sz w:val="21"/>
                <w:szCs w:val="21"/>
                <w:highlight w:val="none"/>
                <w:lang w:bidi="ar"/>
              </w:rPr>
              <w:t>统一算法接口、区级算法资源对接、核心算法配置</w:t>
            </w:r>
          </w:p>
        </w:tc>
      </w:tr>
      <w:tr w14:paraId="1CFB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4" w:hRule="atLeast"/>
        </w:trPr>
        <w:tc>
          <w:tcPr>
            <w:tcW w:w="748" w:type="dxa"/>
            <w:vMerge w:val="continue"/>
            <w:vAlign w:val="center"/>
          </w:tcPr>
          <w:p w14:paraId="7BCCB3BF">
            <w:pPr>
              <w:ind w:firstLine="0" w:firstLineChars="0"/>
              <w:jc w:val="both"/>
              <w:rPr>
                <w:rFonts w:ascii="仿宋" w:hAnsi="仿宋" w:eastAsia="仿宋" w:cs="仿宋"/>
                <w:sz w:val="21"/>
                <w:szCs w:val="21"/>
                <w:highlight w:val="none"/>
              </w:rPr>
            </w:pPr>
          </w:p>
        </w:tc>
        <w:tc>
          <w:tcPr>
            <w:tcW w:w="992" w:type="dxa"/>
            <w:vMerge w:val="continue"/>
            <w:vAlign w:val="center"/>
          </w:tcPr>
          <w:p w14:paraId="7718986D">
            <w:pPr>
              <w:ind w:firstLine="0" w:firstLineChars="0"/>
              <w:jc w:val="both"/>
              <w:rPr>
                <w:rFonts w:ascii="仿宋" w:hAnsi="仿宋" w:eastAsia="仿宋" w:cs="仿宋"/>
                <w:sz w:val="21"/>
                <w:szCs w:val="21"/>
                <w:highlight w:val="none"/>
              </w:rPr>
            </w:pPr>
          </w:p>
        </w:tc>
        <w:tc>
          <w:tcPr>
            <w:tcW w:w="1276" w:type="dxa"/>
            <w:vAlign w:val="center"/>
          </w:tcPr>
          <w:p w14:paraId="059C7920">
            <w:pPr>
              <w:widowControl/>
              <w:ind w:firstLine="0" w:firstLineChars="0"/>
              <w:jc w:val="both"/>
              <w:textAlignment w:val="center"/>
              <w:rPr>
                <w:rFonts w:ascii="仿宋" w:hAnsi="仿宋" w:eastAsia="仿宋" w:cs="仿宋"/>
                <w:sz w:val="21"/>
                <w:szCs w:val="21"/>
                <w:highlight w:val="none"/>
              </w:rPr>
            </w:pPr>
            <w:r>
              <w:rPr>
                <w:rFonts w:hint="eastAsia" w:ascii="仿宋" w:hAnsi="仿宋" w:eastAsia="仿宋" w:cs="仿宋"/>
                <w:kern w:val="0"/>
                <w:sz w:val="21"/>
                <w:szCs w:val="21"/>
                <w:highlight w:val="none"/>
                <w:lang w:bidi="ar"/>
              </w:rPr>
              <w:t>场景化应用</w:t>
            </w:r>
          </w:p>
        </w:tc>
        <w:tc>
          <w:tcPr>
            <w:tcW w:w="5395" w:type="dxa"/>
            <w:vAlign w:val="center"/>
          </w:tcPr>
          <w:p w14:paraId="3B7BF1E1">
            <w:pPr>
              <w:widowControl/>
              <w:spacing w:line="240" w:lineRule="auto"/>
              <w:ind w:firstLine="0" w:firstLineChars="0"/>
              <w:jc w:val="both"/>
              <w:textAlignment w:val="bottom"/>
              <w:rPr>
                <w:rFonts w:ascii="仿宋" w:hAnsi="仿宋" w:eastAsia="仿宋" w:cs="仿宋"/>
                <w:kern w:val="0"/>
                <w:sz w:val="21"/>
                <w:szCs w:val="21"/>
                <w:highlight w:val="none"/>
                <w:lang w:bidi="ar"/>
              </w:rPr>
            </w:pPr>
            <w:r>
              <w:rPr>
                <w:rFonts w:hint="eastAsia" w:ascii="仿宋" w:hAnsi="仿宋" w:eastAsia="仿宋" w:cs="仿宋"/>
                <w:kern w:val="0"/>
                <w:sz w:val="21"/>
                <w:szCs w:val="21"/>
                <w:highlight w:val="none"/>
                <w:lang w:bidi="ar"/>
              </w:rPr>
              <w:t>支撑重点区域违停自动巡查、路面异常障碍物快速巡查、道路流量实时监测、露天泊位盘点、道路挖掘合规性稽查、重点区域拥堵态势研判、校园商圈人流动态监测等场景化应用</w:t>
            </w:r>
          </w:p>
        </w:tc>
      </w:tr>
    </w:tbl>
    <w:p w14:paraId="41BAEFE2">
      <w:pPr>
        <w:spacing w:before="300" w:after="120" w:line="288" w:lineRule="auto"/>
        <w:ind w:firstLine="482"/>
        <w:jc w:val="both"/>
        <w:outlineLvl w:val="2"/>
        <w:rPr>
          <w:rFonts w:ascii="宋体" w:hAnsi="宋体" w:cs="宋体"/>
          <w:b/>
          <w:bCs/>
          <w:kern w:val="0"/>
          <w:szCs w:val="22"/>
          <w:highlight w:val="none"/>
        </w:rPr>
      </w:pPr>
      <w:r>
        <w:rPr>
          <w:rFonts w:hint="eastAsia" w:ascii="宋体" w:hAnsi="宋体" w:cs="宋体"/>
          <w:b/>
          <w:bCs/>
          <w:kern w:val="0"/>
          <w:szCs w:val="22"/>
          <w:highlight w:val="none"/>
        </w:rPr>
        <w:t>（三）可视化指挥展示体系</w:t>
      </w:r>
    </w:p>
    <w:p w14:paraId="3B91834C">
      <w:pPr>
        <w:spacing w:before="120" w:after="120" w:line="288" w:lineRule="auto"/>
        <w:ind w:firstLine="480"/>
        <w:jc w:val="both"/>
        <w:rPr>
          <w:rFonts w:ascii="Arial" w:hAnsi="Arial" w:eastAsia="等线" w:cs="Arial"/>
          <w:highlight w:val="none"/>
        </w:rPr>
      </w:pPr>
      <w:r>
        <w:rPr>
          <w:rFonts w:hint="eastAsia" w:ascii="Arial" w:hAnsi="Arial" w:eastAsia="等线" w:cs="Arial"/>
          <w:highlight w:val="none"/>
        </w:rPr>
        <w:t>本模块致力于打造立体化的指挥展示视图。需建设态势大屏（B端），</w:t>
      </w:r>
      <w:r>
        <w:rPr>
          <w:rFonts w:ascii="Arial" w:hAnsi="Arial" w:eastAsia="等线" w:cs="Arial"/>
          <w:highlight w:val="none"/>
        </w:rPr>
        <w:t>支持大屏输出适配的可视化看板，</w:t>
      </w:r>
      <w:r>
        <w:rPr>
          <w:rFonts w:hint="eastAsia" w:ascii="Arial" w:hAnsi="Arial" w:eastAsia="等线" w:cs="Arial"/>
          <w:highlight w:val="none"/>
        </w:rPr>
        <w:t>以</w:t>
      </w:r>
      <w:r>
        <w:rPr>
          <w:rFonts w:ascii="Arial" w:hAnsi="Arial" w:eastAsia="等线" w:cs="Arial"/>
          <w:highlight w:val="none"/>
        </w:rPr>
        <w:t>GIS地图为核心载体，实时呈现全区飞行器分布、人员资质指标及任务执行状态，支持分级告警与黑飞趋势分析。同时，针对重点区域，建设场景展示大屏，构建作战指挥体系。通过数字沙盘孪生、云上现场及动线巡查预案等功能，实现物理空间与数字空间的实时交互，为跨部门协同指挥与应急处置提供直观、高效的数据支撑。</w:t>
      </w:r>
    </w:p>
    <w:tbl>
      <w:tblPr>
        <w:tblStyle w:val="5"/>
        <w:tblW w:w="823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57"/>
        <w:gridCol w:w="1243"/>
        <w:gridCol w:w="5557"/>
      </w:tblGrid>
      <w:tr w14:paraId="2D37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 w:hRule="atLeast"/>
        </w:trPr>
        <w:tc>
          <w:tcPr>
            <w:tcW w:w="675" w:type="dxa"/>
            <w:shd w:val="clear" w:color="auto" w:fill="FFFFFF"/>
            <w:noWrap/>
            <w:vAlign w:val="center"/>
          </w:tcPr>
          <w:p w14:paraId="5866DE6A">
            <w:pPr>
              <w:widowControl/>
              <w:ind w:firstLine="0" w:firstLineChars="0"/>
              <w:jc w:val="both"/>
              <w:textAlignment w:val="center"/>
              <w:rPr>
                <w:rFonts w:ascii="宋体" w:hAnsi="宋体" w:cs="宋体"/>
                <w:b/>
                <w:bCs/>
                <w:highlight w:val="none"/>
              </w:rPr>
            </w:pPr>
            <w:r>
              <w:rPr>
                <w:rFonts w:hint="eastAsia" w:ascii="宋体" w:hAnsi="宋体" w:cs="宋体"/>
                <w:b/>
                <w:bCs/>
                <w:kern w:val="0"/>
                <w:highlight w:val="none"/>
                <w:lang w:bidi="ar"/>
              </w:rPr>
              <w:t>序号</w:t>
            </w:r>
          </w:p>
        </w:tc>
        <w:tc>
          <w:tcPr>
            <w:tcW w:w="757" w:type="dxa"/>
            <w:shd w:val="clear" w:color="auto" w:fill="FFFFFF"/>
            <w:noWrap/>
            <w:vAlign w:val="center"/>
          </w:tcPr>
          <w:p w14:paraId="7D6F603F">
            <w:pPr>
              <w:widowControl/>
              <w:ind w:firstLine="0" w:firstLineChars="0"/>
              <w:jc w:val="both"/>
              <w:textAlignment w:val="center"/>
              <w:rPr>
                <w:rFonts w:ascii="宋体" w:hAnsi="宋体" w:cs="宋体"/>
                <w:b/>
                <w:bCs/>
                <w:highlight w:val="none"/>
              </w:rPr>
            </w:pPr>
            <w:r>
              <w:rPr>
                <w:rFonts w:hint="eastAsia" w:ascii="宋体" w:hAnsi="宋体" w:cs="宋体"/>
                <w:b/>
                <w:bCs/>
                <w:kern w:val="0"/>
                <w:highlight w:val="none"/>
                <w:lang w:bidi="ar"/>
              </w:rPr>
              <w:t>类别</w:t>
            </w:r>
          </w:p>
        </w:tc>
        <w:tc>
          <w:tcPr>
            <w:tcW w:w="1243" w:type="dxa"/>
            <w:shd w:val="clear" w:color="auto" w:fill="FFFFFF"/>
            <w:noWrap/>
            <w:vAlign w:val="center"/>
          </w:tcPr>
          <w:p w14:paraId="34CC45A0">
            <w:pPr>
              <w:widowControl/>
              <w:ind w:firstLine="0" w:firstLineChars="0"/>
              <w:jc w:val="both"/>
              <w:textAlignment w:val="center"/>
              <w:rPr>
                <w:rFonts w:ascii="宋体" w:hAnsi="宋体" w:cs="宋体"/>
                <w:b/>
                <w:bCs/>
                <w:highlight w:val="none"/>
              </w:rPr>
            </w:pPr>
            <w:r>
              <w:rPr>
                <w:rFonts w:hint="eastAsia" w:ascii="宋体" w:hAnsi="宋体" w:cs="宋体"/>
                <w:b/>
                <w:bCs/>
                <w:kern w:val="0"/>
                <w:highlight w:val="none"/>
                <w:lang w:bidi="ar"/>
              </w:rPr>
              <w:t>功能模块</w:t>
            </w:r>
          </w:p>
        </w:tc>
        <w:tc>
          <w:tcPr>
            <w:tcW w:w="5557" w:type="dxa"/>
            <w:shd w:val="clear" w:color="auto" w:fill="FFFFFF"/>
            <w:noWrap/>
            <w:vAlign w:val="center"/>
          </w:tcPr>
          <w:p w14:paraId="1B97E4F7">
            <w:pPr>
              <w:widowControl/>
              <w:ind w:firstLine="0" w:firstLineChars="0"/>
              <w:jc w:val="both"/>
              <w:textAlignment w:val="center"/>
              <w:rPr>
                <w:rFonts w:ascii="宋体" w:hAnsi="宋体" w:cs="宋体"/>
                <w:b/>
                <w:bCs/>
                <w:highlight w:val="none"/>
              </w:rPr>
            </w:pPr>
            <w:r>
              <w:rPr>
                <w:rFonts w:hint="eastAsia" w:ascii="宋体" w:hAnsi="宋体" w:cs="宋体"/>
                <w:b/>
                <w:bCs/>
                <w:kern w:val="0"/>
                <w:highlight w:val="none"/>
                <w:lang w:bidi="ar"/>
              </w:rPr>
              <w:t>功能描述</w:t>
            </w:r>
          </w:p>
        </w:tc>
      </w:tr>
      <w:tr w14:paraId="1004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75" w:type="dxa"/>
            <w:noWrap/>
            <w:vAlign w:val="center"/>
          </w:tcPr>
          <w:p w14:paraId="4B6AADCF">
            <w:pPr>
              <w:widowControl/>
              <w:ind w:firstLine="0" w:firstLineChars="0"/>
              <w:jc w:val="both"/>
              <w:textAlignment w:val="center"/>
              <w:rPr>
                <w:rFonts w:ascii="仿宋" w:hAnsi="仿宋" w:eastAsia="仿宋" w:cs="仿宋"/>
                <w:highlight w:val="none"/>
              </w:rPr>
            </w:pPr>
            <w:r>
              <w:rPr>
                <w:rFonts w:ascii="仿宋" w:hAnsi="仿宋" w:eastAsia="仿宋" w:cs="仿宋"/>
                <w:kern w:val="0"/>
                <w:highlight w:val="none"/>
                <w:lang w:bidi="ar"/>
              </w:rPr>
              <w:t>1</w:t>
            </w:r>
          </w:p>
        </w:tc>
        <w:tc>
          <w:tcPr>
            <w:tcW w:w="757" w:type="dxa"/>
            <w:noWrap/>
            <w:vAlign w:val="center"/>
          </w:tcPr>
          <w:p w14:paraId="569AAC6C">
            <w:pPr>
              <w:widowControl/>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场景展示大屏（B端）</w:t>
            </w:r>
          </w:p>
        </w:tc>
        <w:tc>
          <w:tcPr>
            <w:tcW w:w="1243" w:type="dxa"/>
            <w:noWrap/>
            <w:vAlign w:val="center"/>
          </w:tcPr>
          <w:p w14:paraId="06D59D5B">
            <w:pPr>
              <w:widowControl/>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可视化驾驶舱</w:t>
            </w:r>
          </w:p>
        </w:tc>
        <w:tc>
          <w:tcPr>
            <w:tcW w:w="5557" w:type="dxa"/>
            <w:shd w:val="clear" w:color="auto" w:fill="FFFFFF"/>
            <w:noWrap/>
            <w:vAlign w:val="center"/>
          </w:tcPr>
          <w:p w14:paraId="4C0251AC">
            <w:pPr>
              <w:widowControl/>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建多</w:t>
            </w:r>
            <w:r>
              <w:rPr>
                <w:rFonts w:ascii="仿宋" w:hAnsi="仿宋" w:eastAsia="仿宋" w:cs="仿宋"/>
                <w:kern w:val="0"/>
                <w:highlight w:val="none"/>
                <w:lang w:bidi="ar"/>
              </w:rPr>
              <w:t>个场景展示大屏，支持大屏输出适配的可视化看板</w:t>
            </w:r>
            <w:r>
              <w:rPr>
                <w:rFonts w:hint="eastAsia" w:ascii="仿宋" w:hAnsi="仿宋" w:eastAsia="仿宋" w:cs="仿宋"/>
                <w:kern w:val="0"/>
                <w:highlight w:val="none"/>
                <w:lang w:bidi="ar"/>
              </w:rPr>
              <w:t>，</w:t>
            </w:r>
            <w:r>
              <w:rPr>
                <w:rFonts w:ascii="仿宋" w:hAnsi="仿宋" w:eastAsia="仿宋" w:cs="仿宋"/>
                <w:kern w:val="0"/>
                <w:highlight w:val="none"/>
                <w:lang w:bidi="ar"/>
              </w:rPr>
              <w:t>综合考虑场景建设需求，每个场景中需包含如下能力：场景地图、数字沙盘孪生呈现、云上现场、一屏多播、事件呈现、视频巡查预案、动线巡查预案、管理要素搜索、巡查策略配置、周边关联分析、天地联动</w:t>
            </w:r>
          </w:p>
        </w:tc>
      </w:tr>
      <w:tr w14:paraId="61E1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75" w:type="dxa"/>
            <w:noWrap/>
            <w:vAlign w:val="center"/>
          </w:tcPr>
          <w:p w14:paraId="078E2EAC">
            <w:pPr>
              <w:widowControl/>
              <w:ind w:firstLine="0" w:firstLineChars="0"/>
              <w:jc w:val="both"/>
              <w:textAlignment w:val="center"/>
              <w:rPr>
                <w:rFonts w:ascii="仿宋" w:hAnsi="仿宋" w:eastAsia="仿宋" w:cs="仿宋"/>
                <w:highlight w:val="none"/>
              </w:rPr>
            </w:pPr>
            <w:r>
              <w:rPr>
                <w:rFonts w:ascii="仿宋" w:hAnsi="仿宋" w:eastAsia="仿宋" w:cs="仿宋"/>
                <w:kern w:val="0"/>
                <w:highlight w:val="none"/>
                <w:lang w:bidi="ar"/>
              </w:rPr>
              <w:t>2</w:t>
            </w:r>
          </w:p>
        </w:tc>
        <w:tc>
          <w:tcPr>
            <w:tcW w:w="757" w:type="dxa"/>
            <w:noWrap/>
            <w:vAlign w:val="center"/>
          </w:tcPr>
          <w:p w14:paraId="74A12BC3">
            <w:pPr>
              <w:widowControl/>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态势大屏（B端）</w:t>
            </w:r>
          </w:p>
        </w:tc>
        <w:tc>
          <w:tcPr>
            <w:tcW w:w="1243" w:type="dxa"/>
            <w:noWrap/>
            <w:vAlign w:val="center"/>
          </w:tcPr>
          <w:p w14:paraId="6618C947">
            <w:pPr>
              <w:widowControl/>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态势大屏（可视化展示看板）</w:t>
            </w:r>
          </w:p>
        </w:tc>
        <w:tc>
          <w:tcPr>
            <w:tcW w:w="5557" w:type="dxa"/>
            <w:noWrap/>
            <w:vAlign w:val="center"/>
          </w:tcPr>
          <w:p w14:paraId="5FEEA94B">
            <w:pPr>
              <w:widowControl/>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态势大屏以</w:t>
            </w:r>
            <w:r>
              <w:rPr>
                <w:rFonts w:ascii="仿宋" w:hAnsi="仿宋" w:eastAsia="仿宋" w:cs="仿宋"/>
                <w:kern w:val="0"/>
                <w:highlight w:val="none"/>
                <w:lang w:bidi="ar"/>
              </w:rPr>
              <w:t>GIS地图为核心载体，支持大屏输出适配的可视化看板</w:t>
            </w:r>
            <w:r>
              <w:rPr>
                <w:rFonts w:hint="eastAsia" w:ascii="仿宋" w:hAnsi="仿宋" w:eastAsia="仿宋" w:cs="仿宋"/>
                <w:kern w:val="0"/>
                <w:highlight w:val="none"/>
                <w:lang w:bidi="ar"/>
              </w:rPr>
              <w:t>，</w:t>
            </w:r>
            <w:r>
              <w:rPr>
                <w:rFonts w:ascii="仿宋" w:hAnsi="仿宋" w:eastAsia="仿宋" w:cs="仿宋"/>
                <w:kern w:val="0"/>
                <w:highlight w:val="none"/>
                <w:lang w:bidi="ar"/>
              </w:rPr>
              <w:t>展示人员指标与设备概览，实时滚动告警信息并分级标识紧急程度；呈现今日任务执行状态与飞行类别统计，集成黑飞处置趋势图表、设备实时列表及实时图传入口；支持通过地图缩放、图层切换查看不同区域的飞行轨迹与设备分布，</w:t>
            </w:r>
            <w:r>
              <w:rPr>
                <w:rFonts w:hint="eastAsia" w:ascii="仿宋" w:hAnsi="仿宋" w:eastAsia="仿宋" w:cs="仿宋"/>
                <w:kern w:val="0"/>
                <w:highlight w:val="none"/>
                <w:lang w:bidi="ar"/>
              </w:rPr>
              <w:t>可</w:t>
            </w:r>
            <w:r>
              <w:rPr>
                <w:rFonts w:ascii="仿宋" w:hAnsi="仿宋" w:eastAsia="仿宋" w:cs="仿宋"/>
                <w:kern w:val="0"/>
                <w:highlight w:val="none"/>
                <w:lang w:bidi="ar"/>
              </w:rPr>
              <w:t>实现全区低空飞行态势的“一屏统览”，为跨部门协同指挥提供直观、高效的数据支撑</w:t>
            </w:r>
            <w:r>
              <w:rPr>
                <w:rFonts w:hint="eastAsia" w:ascii="仿宋" w:hAnsi="仿宋" w:eastAsia="仿宋" w:cs="仿宋"/>
                <w:kern w:val="0"/>
                <w:highlight w:val="none"/>
                <w:lang w:bidi="ar"/>
              </w:rPr>
              <w:t>。</w:t>
            </w:r>
          </w:p>
        </w:tc>
      </w:tr>
      <w:tr w14:paraId="458C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675" w:type="dxa"/>
            <w:noWrap/>
            <w:vAlign w:val="center"/>
          </w:tcPr>
          <w:p w14:paraId="255627A7">
            <w:pPr>
              <w:widowControl/>
              <w:ind w:firstLine="0" w:firstLineChars="0"/>
              <w:jc w:val="both"/>
              <w:textAlignment w:val="center"/>
              <w:rPr>
                <w:rFonts w:ascii="仿宋" w:hAnsi="仿宋" w:eastAsia="仿宋" w:cs="仿宋"/>
                <w:highlight w:val="none"/>
              </w:rPr>
            </w:pPr>
            <w:r>
              <w:rPr>
                <w:rFonts w:ascii="仿宋" w:hAnsi="仿宋" w:eastAsia="仿宋" w:cs="仿宋"/>
                <w:kern w:val="0"/>
                <w:highlight w:val="none"/>
                <w:lang w:bidi="ar"/>
              </w:rPr>
              <w:t>3</w:t>
            </w:r>
          </w:p>
        </w:tc>
        <w:tc>
          <w:tcPr>
            <w:tcW w:w="757" w:type="dxa"/>
            <w:noWrap/>
            <w:vAlign w:val="center"/>
          </w:tcPr>
          <w:p w14:paraId="753C0164">
            <w:pPr>
              <w:widowControl/>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数字孪生</w:t>
            </w:r>
          </w:p>
        </w:tc>
        <w:tc>
          <w:tcPr>
            <w:tcW w:w="1243" w:type="dxa"/>
            <w:noWrap/>
            <w:vAlign w:val="center"/>
          </w:tcPr>
          <w:p w14:paraId="1A0E3D5C">
            <w:pPr>
              <w:widowControl/>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三维数字化</w:t>
            </w:r>
          </w:p>
        </w:tc>
        <w:tc>
          <w:tcPr>
            <w:tcW w:w="5557" w:type="dxa"/>
            <w:noWrap/>
            <w:vAlign w:val="center"/>
          </w:tcPr>
          <w:p w14:paraId="19434A76">
            <w:pPr>
              <w:widowControl/>
              <w:ind w:firstLine="0" w:firstLineChars="0"/>
              <w:jc w:val="both"/>
              <w:textAlignment w:val="center"/>
              <w:rPr>
                <w:rFonts w:ascii="仿宋" w:hAnsi="仿宋" w:eastAsia="仿宋" w:cs="仿宋"/>
                <w:kern w:val="0"/>
                <w:highlight w:val="none"/>
                <w:lang w:bidi="ar"/>
              </w:rPr>
            </w:pPr>
            <w:r>
              <w:rPr>
                <w:rFonts w:hint="eastAsia" w:ascii="仿宋" w:hAnsi="仿宋" w:eastAsia="仿宋" w:cs="仿宋"/>
                <w:kern w:val="0"/>
                <w:highlight w:val="none"/>
                <w:lang w:bidi="ar"/>
              </w:rPr>
              <w:t>以多个重点区域数字孪生空间为底座的“一张图”基础，整合各类辖区信息和调度资源，建设“融合、可视、扁平、协同”的融合作战可视化系统。</w:t>
            </w:r>
          </w:p>
        </w:tc>
      </w:tr>
    </w:tbl>
    <w:p w14:paraId="32CD42A1">
      <w:pPr>
        <w:spacing w:before="300" w:after="120" w:line="288" w:lineRule="auto"/>
        <w:ind w:firstLine="482"/>
        <w:jc w:val="both"/>
        <w:outlineLvl w:val="2"/>
        <w:rPr>
          <w:rFonts w:ascii="宋体" w:hAnsi="宋体" w:cs="宋体"/>
          <w:b/>
          <w:bCs/>
          <w:kern w:val="0"/>
          <w:szCs w:val="22"/>
          <w:highlight w:val="none"/>
        </w:rPr>
      </w:pPr>
      <w:r>
        <w:rPr>
          <w:rFonts w:hint="eastAsia" w:ascii="宋体" w:hAnsi="宋体" w:cs="宋体"/>
          <w:b/>
          <w:bCs/>
          <w:kern w:val="0"/>
          <w:szCs w:val="22"/>
          <w:highlight w:val="none"/>
        </w:rPr>
        <w:t>（四）系统集成与运维保障</w:t>
      </w:r>
    </w:p>
    <w:p w14:paraId="0781FBE6">
      <w:pPr>
        <w:spacing w:before="120" w:after="120" w:line="288" w:lineRule="auto"/>
        <w:ind w:firstLine="480"/>
        <w:jc w:val="both"/>
        <w:rPr>
          <w:rFonts w:ascii="Arial" w:hAnsi="Arial" w:eastAsia="等线" w:cs="Arial"/>
          <w:highlight w:val="none"/>
        </w:rPr>
      </w:pPr>
      <w:r>
        <w:rPr>
          <w:rFonts w:hint="eastAsia" w:ascii="Arial" w:hAnsi="Arial" w:eastAsia="等线" w:cs="Arial"/>
          <w:highlight w:val="none"/>
        </w:rPr>
        <w:t>本模块确保平台的互联互通与长效运行。系统需完成与市级警航平台、视频共享平台、区级“一网统管”平台以及</w:t>
      </w:r>
      <w:r>
        <w:rPr>
          <w:rFonts w:ascii="Arial" w:hAnsi="Arial" w:eastAsia="等线" w:cs="Arial"/>
          <w:highlight w:val="none"/>
        </w:rPr>
        <w:t>区集指平台</w:t>
      </w:r>
      <w:r>
        <w:rPr>
          <w:rFonts w:hint="eastAsia" w:ascii="Arial" w:hAnsi="Arial" w:eastAsia="等线" w:cs="Arial"/>
          <w:highlight w:val="none"/>
        </w:rPr>
        <w:t>的对接，实现数据共享。在系统管理层面，需建立多层级权限管控体系，涵盖组织、角色、用户及功能菜单的精细化授权，并完善日志管理与系统配置功能。此外，需提供全面的消息中心与运维监控机制，保障系统安全稳定运行，满足区级低空飞行管理的常态化、规范化运维需求。</w:t>
      </w:r>
    </w:p>
    <w:tbl>
      <w:tblPr>
        <w:tblStyle w:val="5"/>
        <w:tblW w:w="8359" w:type="dxa"/>
        <w:tblInd w:w="0" w:type="dxa"/>
        <w:tblLayout w:type="autofit"/>
        <w:tblCellMar>
          <w:top w:w="0" w:type="dxa"/>
          <w:left w:w="108" w:type="dxa"/>
          <w:bottom w:w="0" w:type="dxa"/>
          <w:right w:w="108" w:type="dxa"/>
        </w:tblCellMar>
      </w:tblPr>
      <w:tblGrid>
        <w:gridCol w:w="704"/>
        <w:gridCol w:w="1134"/>
        <w:gridCol w:w="1276"/>
        <w:gridCol w:w="5245"/>
      </w:tblGrid>
      <w:tr w14:paraId="35893C52">
        <w:tblPrEx>
          <w:tblCellMar>
            <w:top w:w="0" w:type="dxa"/>
            <w:left w:w="108" w:type="dxa"/>
            <w:bottom w:w="0" w:type="dxa"/>
            <w:right w:w="108" w:type="dxa"/>
          </w:tblCellMar>
        </w:tblPrEx>
        <w:trPr>
          <w:trHeight w:val="20" w:hRule="atLeast"/>
          <w:tblHeader/>
        </w:trPr>
        <w:tc>
          <w:tcPr>
            <w:tcW w:w="70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95F21">
            <w:pPr>
              <w:widowControl/>
              <w:ind w:firstLine="0" w:firstLineChars="0"/>
              <w:jc w:val="both"/>
              <w:rPr>
                <w:rFonts w:ascii="宋体" w:hAnsi="宋体" w:cs="宋体"/>
                <w:b/>
                <w:bCs/>
                <w:kern w:val="0"/>
                <w:highlight w:val="none"/>
              </w:rPr>
            </w:pPr>
            <w:r>
              <w:rPr>
                <w:rFonts w:ascii="宋体" w:hAnsi="宋体" w:cs="宋体"/>
                <w:b/>
                <w:bCs/>
                <w:kern w:val="0"/>
                <w:highlight w:val="none"/>
              </w:rPr>
              <w:t>序号</w:t>
            </w:r>
          </w:p>
        </w:tc>
        <w:tc>
          <w:tcPr>
            <w:tcW w:w="1134" w:type="dxa"/>
            <w:tcBorders>
              <w:top w:val="single" w:color="auto" w:sz="4" w:space="0"/>
              <w:left w:val="nil"/>
              <w:bottom w:val="single" w:color="auto" w:sz="4" w:space="0"/>
              <w:right w:val="single" w:color="auto" w:sz="4" w:space="0"/>
            </w:tcBorders>
            <w:shd w:val="clear" w:color="000000" w:fill="FFFFFF"/>
            <w:noWrap/>
            <w:vAlign w:val="center"/>
          </w:tcPr>
          <w:p w14:paraId="1CB32DC9">
            <w:pPr>
              <w:widowControl/>
              <w:ind w:firstLine="0" w:firstLineChars="0"/>
              <w:jc w:val="both"/>
              <w:rPr>
                <w:rFonts w:ascii="宋体" w:hAnsi="宋体" w:cs="宋体"/>
                <w:b/>
                <w:bCs/>
                <w:kern w:val="0"/>
                <w:highlight w:val="none"/>
              </w:rPr>
            </w:pPr>
            <w:r>
              <w:rPr>
                <w:rFonts w:ascii="宋体" w:hAnsi="宋体" w:cs="宋体"/>
                <w:b/>
                <w:bCs/>
                <w:kern w:val="0"/>
                <w:highlight w:val="none"/>
              </w:rPr>
              <w:t>类别</w:t>
            </w:r>
          </w:p>
        </w:tc>
        <w:tc>
          <w:tcPr>
            <w:tcW w:w="1276" w:type="dxa"/>
            <w:tcBorders>
              <w:top w:val="single" w:color="auto" w:sz="4" w:space="0"/>
              <w:left w:val="nil"/>
              <w:bottom w:val="single" w:color="auto" w:sz="4" w:space="0"/>
              <w:right w:val="single" w:color="auto" w:sz="4" w:space="0"/>
            </w:tcBorders>
            <w:shd w:val="clear" w:color="000000" w:fill="FFFFFF"/>
            <w:noWrap/>
            <w:vAlign w:val="center"/>
          </w:tcPr>
          <w:p w14:paraId="20F045B9">
            <w:pPr>
              <w:widowControl/>
              <w:ind w:firstLine="0" w:firstLineChars="0"/>
              <w:jc w:val="both"/>
              <w:rPr>
                <w:rFonts w:ascii="宋体" w:hAnsi="宋体" w:cs="宋体"/>
                <w:b/>
                <w:bCs/>
                <w:kern w:val="0"/>
                <w:highlight w:val="none"/>
              </w:rPr>
            </w:pPr>
            <w:r>
              <w:rPr>
                <w:rFonts w:ascii="宋体" w:hAnsi="宋体" w:cs="宋体"/>
                <w:b/>
                <w:bCs/>
                <w:kern w:val="0"/>
                <w:highlight w:val="none"/>
              </w:rPr>
              <w:t>功能模块</w:t>
            </w:r>
          </w:p>
        </w:tc>
        <w:tc>
          <w:tcPr>
            <w:tcW w:w="5245" w:type="dxa"/>
            <w:tcBorders>
              <w:top w:val="single" w:color="auto" w:sz="4" w:space="0"/>
              <w:left w:val="nil"/>
              <w:bottom w:val="single" w:color="auto" w:sz="4" w:space="0"/>
              <w:right w:val="single" w:color="auto" w:sz="4" w:space="0"/>
            </w:tcBorders>
            <w:shd w:val="clear" w:color="000000" w:fill="FFFFFF"/>
            <w:noWrap/>
            <w:vAlign w:val="center"/>
          </w:tcPr>
          <w:p w14:paraId="3CAF8B8C">
            <w:pPr>
              <w:widowControl/>
              <w:ind w:firstLine="0" w:firstLineChars="0"/>
              <w:jc w:val="both"/>
              <w:rPr>
                <w:rFonts w:ascii="宋体" w:hAnsi="宋体" w:cs="宋体"/>
                <w:b/>
                <w:bCs/>
                <w:kern w:val="0"/>
                <w:highlight w:val="none"/>
              </w:rPr>
            </w:pPr>
            <w:r>
              <w:rPr>
                <w:rFonts w:ascii="宋体" w:hAnsi="宋体" w:cs="宋体"/>
                <w:b/>
                <w:bCs/>
                <w:kern w:val="0"/>
                <w:highlight w:val="none"/>
              </w:rPr>
              <w:t>功能描述</w:t>
            </w:r>
          </w:p>
        </w:tc>
      </w:tr>
      <w:tr w14:paraId="4F44C4CD">
        <w:tblPrEx>
          <w:tblCellMar>
            <w:top w:w="0" w:type="dxa"/>
            <w:left w:w="108" w:type="dxa"/>
            <w:bottom w:w="0" w:type="dxa"/>
            <w:right w:w="108" w:type="dxa"/>
          </w:tblCellMar>
        </w:tblPrEx>
        <w:trPr>
          <w:trHeight w:val="20" w:hRule="atLeast"/>
        </w:trPr>
        <w:tc>
          <w:tcPr>
            <w:tcW w:w="704" w:type="dxa"/>
            <w:vMerge w:val="restart"/>
            <w:tcBorders>
              <w:top w:val="nil"/>
              <w:left w:val="single" w:color="auto" w:sz="4" w:space="0"/>
              <w:bottom w:val="single" w:color="auto" w:sz="4" w:space="0"/>
              <w:right w:val="single" w:color="auto" w:sz="4" w:space="0"/>
            </w:tcBorders>
            <w:vAlign w:val="center"/>
          </w:tcPr>
          <w:p w14:paraId="6CDBF40C">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1</w:t>
            </w:r>
          </w:p>
        </w:tc>
        <w:tc>
          <w:tcPr>
            <w:tcW w:w="1134" w:type="dxa"/>
            <w:vMerge w:val="restart"/>
            <w:tcBorders>
              <w:top w:val="nil"/>
              <w:left w:val="single" w:color="auto" w:sz="4" w:space="0"/>
              <w:bottom w:val="single" w:color="auto" w:sz="4" w:space="0"/>
              <w:right w:val="single" w:color="auto" w:sz="4" w:space="0"/>
            </w:tcBorders>
            <w:vAlign w:val="center"/>
          </w:tcPr>
          <w:p w14:paraId="4D2E5D88">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系统管理</w:t>
            </w:r>
          </w:p>
        </w:tc>
        <w:tc>
          <w:tcPr>
            <w:tcW w:w="1276" w:type="dxa"/>
            <w:tcBorders>
              <w:top w:val="nil"/>
              <w:left w:val="nil"/>
              <w:bottom w:val="single" w:color="auto" w:sz="4" w:space="0"/>
              <w:right w:val="single" w:color="auto" w:sz="4" w:space="0"/>
            </w:tcBorders>
            <w:vAlign w:val="center"/>
          </w:tcPr>
          <w:p w14:paraId="06C6F6E9">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多层级权限管控</w:t>
            </w:r>
          </w:p>
        </w:tc>
        <w:tc>
          <w:tcPr>
            <w:tcW w:w="5245" w:type="dxa"/>
            <w:tcBorders>
              <w:top w:val="nil"/>
              <w:left w:val="nil"/>
              <w:bottom w:val="single" w:color="auto" w:sz="4" w:space="0"/>
              <w:right w:val="single" w:color="auto" w:sz="4" w:space="0"/>
            </w:tcBorders>
            <w:vAlign w:val="center"/>
          </w:tcPr>
          <w:p w14:paraId="19FB0D95">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建立多层级多维度权限体系，根据不同角色的业务需求，精细化配置功能权限与数据访问权限，实现权责清晰、分级管理</w:t>
            </w:r>
          </w:p>
        </w:tc>
      </w:tr>
      <w:tr w14:paraId="582CBB43">
        <w:tblPrEx>
          <w:tblCellMar>
            <w:top w:w="0" w:type="dxa"/>
            <w:left w:w="108" w:type="dxa"/>
            <w:bottom w:w="0" w:type="dxa"/>
            <w:right w:w="108" w:type="dxa"/>
          </w:tblCellMar>
        </w:tblPrEx>
        <w:trPr>
          <w:trHeight w:val="20" w:hRule="atLeast"/>
        </w:trPr>
        <w:tc>
          <w:tcPr>
            <w:tcW w:w="704" w:type="dxa"/>
            <w:vMerge w:val="continue"/>
            <w:tcBorders>
              <w:top w:val="nil"/>
              <w:left w:val="single" w:color="auto" w:sz="4" w:space="0"/>
              <w:bottom w:val="single" w:color="auto" w:sz="4" w:space="0"/>
              <w:right w:val="single" w:color="auto" w:sz="4" w:space="0"/>
            </w:tcBorders>
            <w:vAlign w:val="center"/>
          </w:tcPr>
          <w:p w14:paraId="1C3EC4BE">
            <w:pPr>
              <w:widowControl/>
              <w:ind w:firstLine="0" w:firstLineChars="0"/>
              <w:jc w:val="both"/>
              <w:rPr>
                <w:rFonts w:ascii="仿宋" w:hAnsi="仿宋" w:eastAsia="仿宋" w:cs="宋体"/>
                <w:kern w:val="0"/>
                <w:highlight w:val="none"/>
              </w:rPr>
            </w:pPr>
          </w:p>
        </w:tc>
        <w:tc>
          <w:tcPr>
            <w:tcW w:w="1134" w:type="dxa"/>
            <w:vMerge w:val="continue"/>
            <w:tcBorders>
              <w:top w:val="nil"/>
              <w:left w:val="single" w:color="auto" w:sz="4" w:space="0"/>
              <w:bottom w:val="single" w:color="auto" w:sz="4" w:space="0"/>
              <w:right w:val="single" w:color="auto" w:sz="4" w:space="0"/>
            </w:tcBorders>
            <w:vAlign w:val="center"/>
          </w:tcPr>
          <w:p w14:paraId="2F0E5F74">
            <w:pPr>
              <w:widowControl/>
              <w:ind w:firstLine="0" w:firstLineChars="0"/>
              <w:jc w:val="both"/>
              <w:rPr>
                <w:rFonts w:ascii="仿宋" w:hAnsi="仿宋" w:eastAsia="仿宋" w:cs="宋体"/>
                <w:kern w:val="0"/>
                <w:highlight w:val="none"/>
              </w:rPr>
            </w:pPr>
          </w:p>
        </w:tc>
        <w:tc>
          <w:tcPr>
            <w:tcW w:w="1276" w:type="dxa"/>
            <w:tcBorders>
              <w:top w:val="nil"/>
              <w:left w:val="nil"/>
              <w:bottom w:val="single" w:color="auto" w:sz="4" w:space="0"/>
              <w:right w:val="single" w:color="auto" w:sz="4" w:space="0"/>
            </w:tcBorders>
            <w:vAlign w:val="center"/>
          </w:tcPr>
          <w:p w14:paraId="5570A1FB">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日志管理</w:t>
            </w:r>
          </w:p>
        </w:tc>
        <w:tc>
          <w:tcPr>
            <w:tcW w:w="5245" w:type="dxa"/>
            <w:tcBorders>
              <w:top w:val="nil"/>
              <w:left w:val="nil"/>
              <w:bottom w:val="single" w:color="auto" w:sz="4" w:space="0"/>
              <w:right w:val="single" w:color="auto" w:sz="4" w:space="0"/>
            </w:tcBorders>
            <w:vAlign w:val="center"/>
          </w:tcPr>
          <w:p w14:paraId="5D0306E7">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涵盖操作日志与登录日志，支持按功能模块、操作人员、登录地址等多维度查询，可追溯系统操作轨迹与用户登录行为，保障系统运行可审计、可溯源。</w:t>
            </w:r>
          </w:p>
        </w:tc>
      </w:tr>
      <w:tr w14:paraId="5EECE3C1">
        <w:tblPrEx>
          <w:tblCellMar>
            <w:top w:w="0" w:type="dxa"/>
            <w:left w:w="108" w:type="dxa"/>
            <w:bottom w:w="0" w:type="dxa"/>
            <w:right w:w="108" w:type="dxa"/>
          </w:tblCellMar>
        </w:tblPrEx>
        <w:trPr>
          <w:trHeight w:val="20" w:hRule="atLeast"/>
        </w:trPr>
        <w:tc>
          <w:tcPr>
            <w:tcW w:w="704" w:type="dxa"/>
            <w:vMerge w:val="continue"/>
            <w:tcBorders>
              <w:top w:val="nil"/>
              <w:left w:val="single" w:color="auto" w:sz="4" w:space="0"/>
              <w:bottom w:val="single" w:color="auto" w:sz="4" w:space="0"/>
              <w:right w:val="single" w:color="auto" w:sz="4" w:space="0"/>
            </w:tcBorders>
            <w:vAlign w:val="center"/>
          </w:tcPr>
          <w:p w14:paraId="4718D008">
            <w:pPr>
              <w:widowControl/>
              <w:ind w:firstLine="0" w:firstLineChars="0"/>
              <w:jc w:val="both"/>
              <w:rPr>
                <w:rFonts w:ascii="仿宋" w:hAnsi="仿宋" w:eastAsia="仿宋" w:cs="宋体"/>
                <w:kern w:val="0"/>
                <w:highlight w:val="none"/>
              </w:rPr>
            </w:pPr>
          </w:p>
        </w:tc>
        <w:tc>
          <w:tcPr>
            <w:tcW w:w="1134" w:type="dxa"/>
            <w:vMerge w:val="continue"/>
            <w:tcBorders>
              <w:top w:val="nil"/>
              <w:left w:val="single" w:color="auto" w:sz="4" w:space="0"/>
              <w:bottom w:val="single" w:color="auto" w:sz="4" w:space="0"/>
              <w:right w:val="single" w:color="auto" w:sz="4" w:space="0"/>
            </w:tcBorders>
            <w:vAlign w:val="center"/>
          </w:tcPr>
          <w:p w14:paraId="1DF1A2D1">
            <w:pPr>
              <w:widowControl/>
              <w:ind w:firstLine="0" w:firstLineChars="0"/>
              <w:jc w:val="both"/>
              <w:rPr>
                <w:rFonts w:ascii="仿宋" w:hAnsi="仿宋" w:eastAsia="仿宋" w:cs="宋体"/>
                <w:kern w:val="0"/>
                <w:highlight w:val="none"/>
              </w:rPr>
            </w:pPr>
          </w:p>
        </w:tc>
        <w:tc>
          <w:tcPr>
            <w:tcW w:w="1276" w:type="dxa"/>
            <w:tcBorders>
              <w:top w:val="nil"/>
              <w:left w:val="nil"/>
              <w:bottom w:val="single" w:color="auto" w:sz="4" w:space="0"/>
              <w:right w:val="single" w:color="auto" w:sz="4" w:space="0"/>
            </w:tcBorders>
            <w:vAlign w:val="center"/>
          </w:tcPr>
          <w:p w14:paraId="59FFF295">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消息中心</w:t>
            </w:r>
          </w:p>
        </w:tc>
        <w:tc>
          <w:tcPr>
            <w:tcW w:w="5245" w:type="dxa"/>
            <w:tcBorders>
              <w:top w:val="nil"/>
              <w:left w:val="nil"/>
              <w:bottom w:val="single" w:color="auto" w:sz="4" w:space="0"/>
              <w:right w:val="single" w:color="auto" w:sz="4" w:space="0"/>
            </w:tcBorders>
            <w:vAlign w:val="center"/>
          </w:tcPr>
          <w:p w14:paraId="4B0A22FB">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按类型、业务系统、状态等多条件查询个人及全量消息，可查看统计数、详情并一键标记已读，实现消息的统一管理与高效触达。</w:t>
            </w:r>
          </w:p>
        </w:tc>
      </w:tr>
      <w:tr w14:paraId="7410F5FC">
        <w:tblPrEx>
          <w:tblCellMar>
            <w:top w:w="0" w:type="dxa"/>
            <w:left w:w="108" w:type="dxa"/>
            <w:bottom w:w="0" w:type="dxa"/>
            <w:right w:w="108" w:type="dxa"/>
          </w:tblCellMar>
        </w:tblPrEx>
        <w:trPr>
          <w:trHeight w:val="20" w:hRule="atLeast"/>
        </w:trPr>
        <w:tc>
          <w:tcPr>
            <w:tcW w:w="704" w:type="dxa"/>
            <w:vMerge w:val="continue"/>
            <w:tcBorders>
              <w:top w:val="nil"/>
              <w:left w:val="single" w:color="auto" w:sz="4" w:space="0"/>
              <w:bottom w:val="single" w:color="auto" w:sz="4" w:space="0"/>
              <w:right w:val="single" w:color="auto" w:sz="4" w:space="0"/>
            </w:tcBorders>
            <w:vAlign w:val="center"/>
          </w:tcPr>
          <w:p w14:paraId="40EA4485">
            <w:pPr>
              <w:widowControl/>
              <w:ind w:firstLine="0" w:firstLineChars="0"/>
              <w:jc w:val="both"/>
              <w:rPr>
                <w:rFonts w:ascii="仿宋" w:hAnsi="仿宋" w:eastAsia="仿宋" w:cs="宋体"/>
                <w:kern w:val="0"/>
                <w:highlight w:val="none"/>
              </w:rPr>
            </w:pPr>
          </w:p>
        </w:tc>
        <w:tc>
          <w:tcPr>
            <w:tcW w:w="1134" w:type="dxa"/>
            <w:vMerge w:val="continue"/>
            <w:tcBorders>
              <w:top w:val="nil"/>
              <w:left w:val="single" w:color="auto" w:sz="4" w:space="0"/>
              <w:bottom w:val="single" w:color="auto" w:sz="4" w:space="0"/>
              <w:right w:val="single" w:color="auto" w:sz="4" w:space="0"/>
            </w:tcBorders>
            <w:vAlign w:val="center"/>
          </w:tcPr>
          <w:p w14:paraId="7653813F">
            <w:pPr>
              <w:widowControl/>
              <w:ind w:firstLine="0" w:firstLineChars="0"/>
              <w:jc w:val="both"/>
              <w:rPr>
                <w:rFonts w:ascii="仿宋" w:hAnsi="仿宋" w:eastAsia="仿宋" w:cs="宋体"/>
                <w:kern w:val="0"/>
                <w:highlight w:val="none"/>
              </w:rPr>
            </w:pPr>
          </w:p>
        </w:tc>
        <w:tc>
          <w:tcPr>
            <w:tcW w:w="1276" w:type="dxa"/>
            <w:tcBorders>
              <w:top w:val="nil"/>
              <w:left w:val="nil"/>
              <w:bottom w:val="single" w:color="auto" w:sz="4" w:space="0"/>
              <w:right w:val="single" w:color="auto" w:sz="4" w:space="0"/>
            </w:tcBorders>
            <w:vAlign w:val="center"/>
          </w:tcPr>
          <w:p w14:paraId="7C925368">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系统配置</w:t>
            </w:r>
          </w:p>
        </w:tc>
        <w:tc>
          <w:tcPr>
            <w:tcW w:w="5245" w:type="dxa"/>
            <w:tcBorders>
              <w:top w:val="nil"/>
              <w:left w:val="nil"/>
              <w:bottom w:val="single" w:color="auto" w:sz="4" w:space="0"/>
              <w:right w:val="single" w:color="auto" w:sz="4" w:space="0"/>
            </w:tcBorders>
            <w:vAlign w:val="center"/>
          </w:tcPr>
          <w:p w14:paraId="1496B0FF">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系统配置提供全局环境及水印设置功能，支持自定义电子水印的内容、透明度并管理其启用状态，同时可自定义内容包的文字内容与透明度等，满足数据安全与界面个性化需求。</w:t>
            </w:r>
          </w:p>
        </w:tc>
      </w:tr>
      <w:tr w14:paraId="082A0D6D">
        <w:tblPrEx>
          <w:tblCellMar>
            <w:top w:w="0" w:type="dxa"/>
            <w:left w:w="108" w:type="dxa"/>
            <w:bottom w:w="0" w:type="dxa"/>
            <w:right w:w="108" w:type="dxa"/>
          </w:tblCellMar>
        </w:tblPrEx>
        <w:trPr>
          <w:trHeight w:val="20" w:hRule="atLeast"/>
        </w:trPr>
        <w:tc>
          <w:tcPr>
            <w:tcW w:w="704" w:type="dxa"/>
            <w:tcBorders>
              <w:top w:val="nil"/>
              <w:left w:val="single" w:color="auto" w:sz="4" w:space="0"/>
              <w:bottom w:val="single" w:color="auto" w:sz="4" w:space="0"/>
              <w:right w:val="single" w:color="auto" w:sz="4" w:space="0"/>
            </w:tcBorders>
            <w:vAlign w:val="center"/>
          </w:tcPr>
          <w:p w14:paraId="49B9AC19">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2</w:t>
            </w:r>
          </w:p>
        </w:tc>
        <w:tc>
          <w:tcPr>
            <w:tcW w:w="1134" w:type="dxa"/>
            <w:tcBorders>
              <w:top w:val="nil"/>
              <w:left w:val="nil"/>
              <w:bottom w:val="single" w:color="auto" w:sz="4" w:space="0"/>
              <w:right w:val="single" w:color="auto" w:sz="4" w:space="0"/>
            </w:tcBorders>
            <w:vAlign w:val="center"/>
          </w:tcPr>
          <w:p w14:paraId="730C161E">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系统对接</w:t>
            </w:r>
          </w:p>
        </w:tc>
        <w:tc>
          <w:tcPr>
            <w:tcW w:w="1276" w:type="dxa"/>
            <w:tcBorders>
              <w:top w:val="nil"/>
              <w:left w:val="nil"/>
              <w:bottom w:val="single" w:color="auto" w:sz="4" w:space="0"/>
              <w:right w:val="single" w:color="auto" w:sz="4" w:space="0"/>
            </w:tcBorders>
            <w:vAlign w:val="center"/>
          </w:tcPr>
          <w:p w14:paraId="31B97157">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三方系统对接</w:t>
            </w:r>
          </w:p>
        </w:tc>
        <w:tc>
          <w:tcPr>
            <w:tcW w:w="5245" w:type="dxa"/>
            <w:tcBorders>
              <w:top w:val="nil"/>
              <w:left w:val="nil"/>
              <w:bottom w:val="single" w:color="auto" w:sz="4" w:space="0"/>
              <w:right w:val="single" w:color="auto" w:sz="4" w:space="0"/>
            </w:tcBorders>
            <w:vAlign w:val="center"/>
          </w:tcPr>
          <w:p w14:paraId="323DD493">
            <w:pPr>
              <w:widowControl/>
              <w:ind w:firstLine="0" w:firstLineChars="0"/>
              <w:jc w:val="both"/>
              <w:rPr>
                <w:rFonts w:ascii="仿宋" w:hAnsi="仿宋" w:eastAsia="仿宋" w:cs="宋体"/>
                <w:kern w:val="0"/>
                <w:highlight w:val="none"/>
              </w:rPr>
            </w:pPr>
            <w:r>
              <w:rPr>
                <w:rFonts w:ascii="仿宋" w:hAnsi="仿宋" w:eastAsia="仿宋" w:cs="宋体"/>
                <w:kern w:val="0"/>
                <w:highlight w:val="none"/>
              </w:rPr>
              <w:t>实现与警航平台、视频共享平台、一网统管平台、区集指平台对接</w:t>
            </w:r>
            <w:r>
              <w:rPr>
                <w:rFonts w:hint="eastAsia" w:ascii="仿宋" w:hAnsi="仿宋" w:eastAsia="仿宋" w:cs="宋体"/>
                <w:kern w:val="0"/>
                <w:highlight w:val="none"/>
              </w:rPr>
              <w:t>：</w:t>
            </w:r>
          </w:p>
          <w:p w14:paraId="0910C733">
            <w:pPr>
              <w:widowControl/>
              <w:numPr>
                <w:ilvl w:val="0"/>
                <w:numId w:val="2"/>
              </w:numPr>
              <w:ind w:firstLine="0" w:firstLineChars="0"/>
              <w:jc w:val="both"/>
              <w:rPr>
                <w:rFonts w:ascii="仿宋" w:hAnsi="仿宋" w:eastAsia="仿宋" w:cs="宋体"/>
                <w:kern w:val="0"/>
                <w:highlight w:val="none"/>
              </w:rPr>
            </w:pPr>
            <w:r>
              <w:rPr>
                <w:rFonts w:hint="eastAsia" w:ascii="仿宋" w:hAnsi="仿宋" w:eastAsia="仿宋" w:cs="宋体"/>
                <w:kern w:val="0"/>
                <w:highlight w:val="none"/>
              </w:rPr>
              <w:t>警航平台：为响应上海市公安局关于所有警用无人机需统一接入市级相关平台的合规性要求，本项目与市级相关平台进行对接，实现无人机资源的统一纳管、任务协同与数据合规共享。</w:t>
            </w:r>
          </w:p>
          <w:p w14:paraId="63B6A10E">
            <w:pPr>
              <w:widowControl/>
              <w:numPr>
                <w:ilvl w:val="0"/>
                <w:numId w:val="2"/>
              </w:numPr>
              <w:ind w:firstLine="0" w:firstLineChars="0"/>
              <w:jc w:val="both"/>
              <w:rPr>
                <w:rFonts w:ascii="仿宋" w:hAnsi="仿宋" w:eastAsia="仿宋" w:cs="宋体"/>
                <w:kern w:val="0"/>
                <w:highlight w:val="none"/>
              </w:rPr>
            </w:pPr>
            <w:r>
              <w:rPr>
                <w:rFonts w:hint="eastAsia" w:ascii="仿宋" w:hAnsi="仿宋" w:eastAsia="仿宋" w:cs="宋体"/>
                <w:kern w:val="0"/>
                <w:highlight w:val="none"/>
              </w:rPr>
              <w:t>视频共享平台：平台基于</w:t>
            </w:r>
            <w:r>
              <w:rPr>
                <w:rFonts w:ascii="仿宋" w:hAnsi="仿宋" w:eastAsia="仿宋" w:cs="宋体"/>
                <w:kern w:val="0"/>
                <w:highlight w:val="none"/>
              </w:rPr>
              <w:t>GB/T 28181国标协议或SDK开发，将无人机实时回传的视频流及历史录像推送到视频共享平台。</w:t>
            </w:r>
          </w:p>
          <w:p w14:paraId="704D7265">
            <w:pPr>
              <w:widowControl/>
              <w:numPr>
                <w:ilvl w:val="0"/>
                <w:numId w:val="2"/>
              </w:numPr>
              <w:ind w:firstLine="0" w:firstLineChars="0"/>
              <w:jc w:val="both"/>
              <w:rPr>
                <w:rFonts w:ascii="仿宋" w:hAnsi="仿宋" w:eastAsia="仿宋" w:cs="宋体"/>
                <w:kern w:val="0"/>
                <w:highlight w:val="none"/>
              </w:rPr>
            </w:pPr>
            <w:r>
              <w:rPr>
                <w:rFonts w:hint="eastAsia" w:ascii="仿宋" w:hAnsi="仿宋" w:eastAsia="仿宋" w:cs="宋体"/>
                <w:kern w:val="0"/>
                <w:highlight w:val="none"/>
              </w:rPr>
              <w:t>一网统管平台：平台将基于</w:t>
            </w:r>
            <w:r>
              <w:rPr>
                <w:rFonts w:ascii="仿宋" w:hAnsi="仿宋" w:eastAsia="仿宋" w:cs="宋体"/>
                <w:kern w:val="0"/>
                <w:highlight w:val="none"/>
              </w:rPr>
              <w:t>RTMP协议，将实时采集的高清图传画面稳定、低延迟地推送至“</w:t>
            </w:r>
            <w:r>
              <w:rPr>
                <w:rFonts w:hint="eastAsia" w:ascii="仿宋" w:hAnsi="仿宋" w:eastAsia="仿宋" w:cs="宋体"/>
                <w:kern w:val="0"/>
                <w:highlight w:val="none"/>
              </w:rPr>
              <w:t>一网统管”平台。最终实现空地视频流在一网统管中的统一汇聚与统一调阅，构建空地一体的全域可视化感知体系。</w:t>
            </w:r>
          </w:p>
          <w:p w14:paraId="662A8480">
            <w:pPr>
              <w:widowControl/>
              <w:numPr>
                <w:ilvl w:val="0"/>
                <w:numId w:val="2"/>
              </w:numPr>
              <w:ind w:firstLine="0" w:firstLineChars="0"/>
              <w:jc w:val="both"/>
              <w:rPr>
                <w:rFonts w:ascii="仿宋" w:hAnsi="仿宋" w:eastAsia="仿宋" w:cs="宋体"/>
                <w:kern w:val="0"/>
                <w:highlight w:val="none"/>
              </w:rPr>
            </w:pPr>
            <w:r>
              <w:rPr>
                <w:rFonts w:hint="eastAsia" w:ascii="仿宋" w:hAnsi="仿宋" w:eastAsia="仿宋" w:cs="宋体"/>
                <w:kern w:val="0"/>
                <w:highlight w:val="none"/>
              </w:rPr>
              <w:t>区集指平台：与区集指平台进行数据对接，严格遵循</w:t>
            </w:r>
            <w:r>
              <w:rPr>
                <w:rFonts w:ascii="仿宋" w:hAnsi="仿宋" w:eastAsia="仿宋" w:cs="宋体"/>
                <w:kern w:val="0"/>
                <w:highlight w:val="none"/>
              </w:rPr>
              <w:t>GA/T 1400公共安全视频监控联网信息安全技术要求，建立标准化的数据交换通道。当系统识别到违法数据后，自动采集违法事件实时推送至区集指平台。</w:t>
            </w:r>
          </w:p>
        </w:tc>
      </w:tr>
    </w:tbl>
    <w:p w14:paraId="5051C9CA">
      <w:pPr>
        <w:ind w:firstLine="480"/>
        <w:jc w:val="both"/>
        <w:rPr>
          <w:highlight w:val="none"/>
        </w:rPr>
      </w:pPr>
    </w:p>
    <w:p w14:paraId="6CB73740">
      <w:pPr>
        <w:spacing w:before="300" w:after="120" w:line="288" w:lineRule="auto"/>
        <w:ind w:firstLine="482"/>
        <w:jc w:val="both"/>
        <w:outlineLvl w:val="2"/>
        <w:rPr>
          <w:rFonts w:ascii="宋体" w:hAnsi="宋体" w:cs="宋体"/>
          <w:b/>
          <w:bCs/>
          <w:kern w:val="0"/>
          <w:szCs w:val="22"/>
          <w:highlight w:val="none"/>
        </w:rPr>
      </w:pPr>
      <w:r>
        <w:rPr>
          <w:rFonts w:hint="eastAsia" w:ascii="宋体" w:hAnsi="宋体" w:cs="宋体"/>
          <w:b/>
          <w:bCs/>
          <w:kern w:val="0"/>
          <w:szCs w:val="22"/>
          <w:highlight w:val="none"/>
        </w:rPr>
        <w:t>（五）密码应用功能模块开发</w:t>
      </w:r>
    </w:p>
    <w:tbl>
      <w:tblPr>
        <w:tblStyle w:val="5"/>
        <w:tblW w:w="8354"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2155"/>
        <w:gridCol w:w="5500"/>
      </w:tblGrid>
      <w:tr w14:paraId="20A1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99" w:type="dxa"/>
            <w:shd w:val="clear" w:color="000000" w:fill="FFFFFF"/>
            <w:noWrap/>
            <w:vAlign w:val="center"/>
          </w:tcPr>
          <w:p w14:paraId="4BCF8F88">
            <w:pPr>
              <w:widowControl/>
              <w:ind w:firstLine="0" w:firstLineChars="0"/>
              <w:jc w:val="both"/>
              <w:rPr>
                <w:rFonts w:ascii="宋体" w:hAnsi="宋体" w:cs="宋体"/>
                <w:b/>
                <w:bCs/>
                <w:kern w:val="0"/>
                <w:highlight w:val="none"/>
              </w:rPr>
            </w:pPr>
            <w:r>
              <w:rPr>
                <w:rFonts w:hint="eastAsia" w:ascii="宋体" w:hAnsi="宋体" w:cs="宋体"/>
                <w:b/>
                <w:bCs/>
                <w:kern w:val="0"/>
                <w:highlight w:val="none"/>
              </w:rPr>
              <w:t>序号</w:t>
            </w:r>
          </w:p>
        </w:tc>
        <w:tc>
          <w:tcPr>
            <w:tcW w:w="2155" w:type="dxa"/>
            <w:shd w:val="clear" w:color="000000" w:fill="FFFFFF"/>
            <w:noWrap/>
            <w:vAlign w:val="center"/>
          </w:tcPr>
          <w:p w14:paraId="74C222DA">
            <w:pPr>
              <w:widowControl/>
              <w:ind w:firstLine="0" w:firstLineChars="0"/>
              <w:jc w:val="both"/>
              <w:rPr>
                <w:rFonts w:ascii="宋体" w:hAnsi="宋体" w:cs="宋体"/>
                <w:b/>
                <w:bCs/>
                <w:kern w:val="0"/>
                <w:highlight w:val="none"/>
              </w:rPr>
            </w:pPr>
            <w:r>
              <w:rPr>
                <w:rFonts w:hint="eastAsia" w:ascii="宋体" w:hAnsi="宋体" w:cs="宋体"/>
                <w:b/>
                <w:bCs/>
                <w:kern w:val="0"/>
                <w:highlight w:val="none"/>
              </w:rPr>
              <w:t>类别</w:t>
            </w:r>
          </w:p>
        </w:tc>
        <w:tc>
          <w:tcPr>
            <w:tcW w:w="5500" w:type="dxa"/>
            <w:shd w:val="clear" w:color="000000" w:fill="FFFFFF"/>
            <w:noWrap/>
            <w:vAlign w:val="center"/>
          </w:tcPr>
          <w:p w14:paraId="56C00C37">
            <w:pPr>
              <w:widowControl/>
              <w:ind w:firstLine="0" w:firstLineChars="0"/>
              <w:jc w:val="both"/>
              <w:rPr>
                <w:rFonts w:ascii="宋体" w:hAnsi="宋体" w:cs="宋体"/>
                <w:b/>
                <w:bCs/>
                <w:kern w:val="0"/>
                <w:highlight w:val="none"/>
              </w:rPr>
            </w:pPr>
            <w:r>
              <w:rPr>
                <w:rFonts w:hint="eastAsia" w:ascii="宋体" w:hAnsi="宋体" w:cs="宋体"/>
                <w:b/>
                <w:bCs/>
                <w:kern w:val="0"/>
                <w:highlight w:val="none"/>
              </w:rPr>
              <w:t>功能模块</w:t>
            </w:r>
          </w:p>
        </w:tc>
      </w:tr>
      <w:tr w14:paraId="0C0A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9" w:type="dxa"/>
            <w:shd w:val="clear" w:color="000000" w:fill="FFFFFF"/>
            <w:vAlign w:val="center"/>
          </w:tcPr>
          <w:p w14:paraId="6EBC7BC0">
            <w:pPr>
              <w:widowControl/>
              <w:ind w:firstLine="0" w:firstLineChars="0"/>
              <w:jc w:val="both"/>
              <w:rPr>
                <w:rFonts w:ascii="宋体" w:hAnsi="宋体" w:cs="宋体"/>
                <w:kern w:val="0"/>
                <w:highlight w:val="none"/>
              </w:rPr>
            </w:pPr>
            <w:r>
              <w:rPr>
                <w:rFonts w:hint="eastAsia" w:ascii="宋体" w:hAnsi="宋体" w:cs="宋体"/>
                <w:kern w:val="0"/>
                <w:highlight w:val="none"/>
              </w:rPr>
              <w:t>1</w:t>
            </w:r>
          </w:p>
        </w:tc>
        <w:tc>
          <w:tcPr>
            <w:tcW w:w="2155" w:type="dxa"/>
            <w:vMerge w:val="restart"/>
            <w:shd w:val="clear" w:color="000000" w:fill="FFFFFF"/>
            <w:vAlign w:val="center"/>
          </w:tcPr>
          <w:p w14:paraId="4FE45CD3">
            <w:pPr>
              <w:widowControl/>
              <w:ind w:firstLine="0" w:firstLineChars="0"/>
              <w:jc w:val="both"/>
              <w:rPr>
                <w:rFonts w:ascii="宋体" w:hAnsi="宋体" w:cs="宋体"/>
                <w:kern w:val="0"/>
                <w:highlight w:val="none"/>
              </w:rPr>
            </w:pPr>
            <w:r>
              <w:rPr>
                <w:rFonts w:hint="eastAsia" w:ascii="宋体" w:hAnsi="宋体" w:cs="宋体"/>
                <w:kern w:val="0"/>
                <w:highlight w:val="none"/>
              </w:rPr>
              <w:t>密码应用功能模块</w:t>
            </w:r>
          </w:p>
        </w:tc>
        <w:tc>
          <w:tcPr>
            <w:tcW w:w="5500" w:type="dxa"/>
            <w:shd w:val="clear" w:color="000000" w:fill="FFFFFF"/>
            <w:vAlign w:val="center"/>
          </w:tcPr>
          <w:p w14:paraId="06C9F009">
            <w:pPr>
              <w:widowControl/>
              <w:ind w:firstLine="0" w:firstLineChars="0"/>
              <w:jc w:val="both"/>
              <w:rPr>
                <w:rFonts w:ascii="宋体" w:hAnsi="宋体" w:cs="宋体"/>
                <w:kern w:val="0"/>
                <w:highlight w:val="none"/>
              </w:rPr>
            </w:pPr>
            <w:r>
              <w:rPr>
                <w:rFonts w:hint="eastAsia" w:ascii="宋体" w:hAnsi="宋体" w:cs="宋体"/>
                <w:kern w:val="0"/>
                <w:highlight w:val="none"/>
              </w:rPr>
              <w:t>用户身份认证机制模块</w:t>
            </w:r>
          </w:p>
        </w:tc>
      </w:tr>
      <w:tr w14:paraId="433F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9" w:type="dxa"/>
            <w:shd w:val="clear" w:color="000000" w:fill="FFFFFF"/>
            <w:vAlign w:val="center"/>
          </w:tcPr>
          <w:p w14:paraId="7E67ACF6">
            <w:pPr>
              <w:widowControl/>
              <w:ind w:firstLine="0" w:firstLineChars="0"/>
              <w:jc w:val="both"/>
              <w:rPr>
                <w:rFonts w:ascii="宋体" w:hAnsi="宋体" w:cs="宋体"/>
                <w:kern w:val="0"/>
                <w:highlight w:val="none"/>
              </w:rPr>
            </w:pPr>
            <w:r>
              <w:rPr>
                <w:rFonts w:hint="eastAsia" w:ascii="宋体" w:hAnsi="宋体" w:cs="宋体"/>
                <w:kern w:val="0"/>
                <w:highlight w:val="none"/>
              </w:rPr>
              <w:t>2</w:t>
            </w:r>
          </w:p>
        </w:tc>
        <w:tc>
          <w:tcPr>
            <w:tcW w:w="2155" w:type="dxa"/>
            <w:vMerge w:val="continue"/>
            <w:vAlign w:val="center"/>
          </w:tcPr>
          <w:p w14:paraId="6A636149">
            <w:pPr>
              <w:widowControl/>
              <w:ind w:firstLine="0" w:firstLineChars="0"/>
              <w:jc w:val="both"/>
              <w:rPr>
                <w:rFonts w:ascii="宋体" w:hAnsi="宋体" w:cs="宋体"/>
                <w:kern w:val="0"/>
                <w:highlight w:val="none"/>
              </w:rPr>
            </w:pPr>
          </w:p>
        </w:tc>
        <w:tc>
          <w:tcPr>
            <w:tcW w:w="5500" w:type="dxa"/>
            <w:shd w:val="clear" w:color="000000" w:fill="FFFFFF"/>
            <w:vAlign w:val="center"/>
          </w:tcPr>
          <w:p w14:paraId="01981A8B">
            <w:pPr>
              <w:widowControl/>
              <w:ind w:firstLine="0" w:firstLineChars="0"/>
              <w:jc w:val="both"/>
              <w:rPr>
                <w:rFonts w:ascii="宋体" w:hAnsi="宋体" w:cs="宋体"/>
                <w:kern w:val="0"/>
                <w:highlight w:val="none"/>
              </w:rPr>
            </w:pPr>
            <w:r>
              <w:rPr>
                <w:rFonts w:hint="eastAsia" w:ascii="宋体" w:hAnsi="宋体" w:cs="宋体"/>
                <w:kern w:val="0"/>
                <w:highlight w:val="none"/>
              </w:rPr>
              <w:t>业务重要数据安全传输模块</w:t>
            </w:r>
          </w:p>
        </w:tc>
      </w:tr>
      <w:tr w14:paraId="2762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9" w:type="dxa"/>
            <w:shd w:val="clear" w:color="000000" w:fill="FFFFFF"/>
            <w:vAlign w:val="center"/>
          </w:tcPr>
          <w:p w14:paraId="63AF241E">
            <w:pPr>
              <w:widowControl/>
              <w:ind w:firstLine="0" w:firstLineChars="0"/>
              <w:jc w:val="both"/>
              <w:rPr>
                <w:rFonts w:ascii="宋体" w:hAnsi="宋体" w:cs="宋体"/>
                <w:kern w:val="0"/>
                <w:highlight w:val="none"/>
              </w:rPr>
            </w:pPr>
            <w:r>
              <w:rPr>
                <w:rFonts w:hint="eastAsia" w:ascii="宋体" w:hAnsi="宋体" w:cs="宋体"/>
                <w:kern w:val="0"/>
                <w:highlight w:val="none"/>
              </w:rPr>
              <w:t>3</w:t>
            </w:r>
          </w:p>
        </w:tc>
        <w:tc>
          <w:tcPr>
            <w:tcW w:w="2155" w:type="dxa"/>
            <w:vMerge w:val="continue"/>
            <w:vAlign w:val="center"/>
          </w:tcPr>
          <w:p w14:paraId="51097FC5">
            <w:pPr>
              <w:widowControl/>
              <w:ind w:firstLine="0" w:firstLineChars="0"/>
              <w:jc w:val="both"/>
              <w:rPr>
                <w:rFonts w:ascii="宋体" w:hAnsi="宋体" w:cs="宋体"/>
                <w:kern w:val="0"/>
                <w:highlight w:val="none"/>
              </w:rPr>
            </w:pPr>
          </w:p>
        </w:tc>
        <w:tc>
          <w:tcPr>
            <w:tcW w:w="5500" w:type="dxa"/>
            <w:shd w:val="clear" w:color="000000" w:fill="FFFFFF"/>
            <w:vAlign w:val="center"/>
          </w:tcPr>
          <w:p w14:paraId="74777F7B">
            <w:pPr>
              <w:widowControl/>
              <w:ind w:firstLine="0" w:firstLineChars="0"/>
              <w:jc w:val="both"/>
              <w:rPr>
                <w:rFonts w:ascii="宋体" w:hAnsi="宋体" w:cs="宋体"/>
                <w:kern w:val="0"/>
                <w:highlight w:val="none"/>
              </w:rPr>
            </w:pPr>
            <w:r>
              <w:rPr>
                <w:rFonts w:hint="eastAsia" w:ascii="宋体" w:hAnsi="宋体" w:cs="宋体"/>
                <w:kern w:val="0"/>
                <w:highlight w:val="none"/>
              </w:rPr>
              <w:t>服务器虚拟机设备日志/访问控制信息完整性模块</w:t>
            </w:r>
          </w:p>
        </w:tc>
      </w:tr>
      <w:tr w14:paraId="7A2C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9" w:type="dxa"/>
            <w:shd w:val="clear" w:color="000000" w:fill="FFFFFF"/>
            <w:vAlign w:val="center"/>
          </w:tcPr>
          <w:p w14:paraId="09CE96DF">
            <w:pPr>
              <w:widowControl/>
              <w:ind w:firstLine="0" w:firstLineChars="0"/>
              <w:jc w:val="both"/>
              <w:rPr>
                <w:rFonts w:ascii="宋体" w:hAnsi="宋体" w:cs="宋体"/>
                <w:kern w:val="0"/>
                <w:highlight w:val="none"/>
              </w:rPr>
            </w:pPr>
            <w:r>
              <w:rPr>
                <w:rFonts w:hint="eastAsia" w:ascii="宋体" w:hAnsi="宋体" w:cs="宋体"/>
                <w:kern w:val="0"/>
                <w:highlight w:val="none"/>
              </w:rPr>
              <w:t>4</w:t>
            </w:r>
          </w:p>
        </w:tc>
        <w:tc>
          <w:tcPr>
            <w:tcW w:w="2155" w:type="dxa"/>
            <w:vMerge w:val="continue"/>
            <w:vAlign w:val="center"/>
          </w:tcPr>
          <w:p w14:paraId="557EAF98">
            <w:pPr>
              <w:widowControl/>
              <w:ind w:firstLine="0" w:firstLineChars="0"/>
              <w:jc w:val="both"/>
              <w:rPr>
                <w:rFonts w:ascii="宋体" w:hAnsi="宋体" w:cs="宋体"/>
                <w:kern w:val="0"/>
                <w:highlight w:val="none"/>
              </w:rPr>
            </w:pPr>
          </w:p>
        </w:tc>
        <w:tc>
          <w:tcPr>
            <w:tcW w:w="5500" w:type="dxa"/>
            <w:shd w:val="clear" w:color="000000" w:fill="FFFFFF"/>
            <w:vAlign w:val="center"/>
          </w:tcPr>
          <w:p w14:paraId="7823381A">
            <w:pPr>
              <w:widowControl/>
              <w:ind w:firstLine="0" w:firstLineChars="0"/>
              <w:jc w:val="both"/>
              <w:rPr>
                <w:rFonts w:ascii="宋体" w:hAnsi="宋体" w:cs="宋体"/>
                <w:kern w:val="0"/>
                <w:highlight w:val="none"/>
              </w:rPr>
            </w:pPr>
            <w:r>
              <w:rPr>
                <w:rFonts w:hint="eastAsia" w:ascii="宋体" w:hAnsi="宋体" w:cs="宋体"/>
                <w:kern w:val="0"/>
                <w:highlight w:val="none"/>
              </w:rPr>
              <w:t>重要可执行程序签名验签模块</w:t>
            </w:r>
          </w:p>
        </w:tc>
      </w:tr>
      <w:tr w14:paraId="5538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9" w:type="dxa"/>
            <w:shd w:val="clear" w:color="000000" w:fill="FFFFFF"/>
            <w:vAlign w:val="center"/>
          </w:tcPr>
          <w:p w14:paraId="0BF2D5C0">
            <w:pPr>
              <w:widowControl/>
              <w:ind w:firstLine="0" w:firstLineChars="0"/>
              <w:jc w:val="both"/>
              <w:rPr>
                <w:rFonts w:ascii="宋体" w:hAnsi="宋体" w:cs="宋体"/>
                <w:kern w:val="0"/>
                <w:highlight w:val="none"/>
              </w:rPr>
            </w:pPr>
            <w:r>
              <w:rPr>
                <w:rFonts w:hint="eastAsia" w:ascii="宋体" w:hAnsi="宋体" w:cs="宋体"/>
                <w:kern w:val="0"/>
                <w:highlight w:val="none"/>
              </w:rPr>
              <w:t>5</w:t>
            </w:r>
          </w:p>
        </w:tc>
        <w:tc>
          <w:tcPr>
            <w:tcW w:w="2155" w:type="dxa"/>
            <w:vMerge w:val="continue"/>
            <w:vAlign w:val="center"/>
          </w:tcPr>
          <w:p w14:paraId="7DFEE2EA">
            <w:pPr>
              <w:widowControl/>
              <w:ind w:firstLine="0" w:firstLineChars="0"/>
              <w:jc w:val="both"/>
              <w:rPr>
                <w:rFonts w:ascii="宋体" w:hAnsi="宋体" w:cs="宋体"/>
                <w:kern w:val="0"/>
                <w:highlight w:val="none"/>
              </w:rPr>
            </w:pPr>
          </w:p>
        </w:tc>
        <w:tc>
          <w:tcPr>
            <w:tcW w:w="5500" w:type="dxa"/>
            <w:shd w:val="clear" w:color="000000" w:fill="FFFFFF"/>
            <w:vAlign w:val="center"/>
          </w:tcPr>
          <w:p w14:paraId="365425BE">
            <w:pPr>
              <w:widowControl/>
              <w:ind w:firstLine="0" w:firstLineChars="0"/>
              <w:jc w:val="both"/>
              <w:rPr>
                <w:rFonts w:ascii="宋体" w:hAnsi="宋体" w:cs="宋体"/>
                <w:kern w:val="0"/>
                <w:highlight w:val="none"/>
              </w:rPr>
            </w:pPr>
            <w:r>
              <w:rPr>
                <w:rFonts w:hint="eastAsia" w:ascii="宋体" w:hAnsi="宋体" w:cs="宋体"/>
                <w:kern w:val="0"/>
                <w:highlight w:val="none"/>
              </w:rPr>
              <w:t>用户访问控制信息签名验签模块</w:t>
            </w:r>
          </w:p>
        </w:tc>
      </w:tr>
      <w:tr w14:paraId="75D31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9" w:type="dxa"/>
            <w:shd w:val="clear" w:color="000000" w:fill="FFFFFF"/>
            <w:vAlign w:val="center"/>
          </w:tcPr>
          <w:p w14:paraId="7B0CE5FE">
            <w:pPr>
              <w:widowControl/>
              <w:ind w:firstLine="0" w:firstLineChars="0"/>
              <w:jc w:val="both"/>
              <w:rPr>
                <w:rFonts w:ascii="宋体" w:hAnsi="宋体" w:cs="宋体"/>
                <w:kern w:val="0"/>
                <w:highlight w:val="none"/>
              </w:rPr>
            </w:pPr>
            <w:r>
              <w:rPr>
                <w:rFonts w:hint="eastAsia" w:ascii="宋体" w:hAnsi="宋体" w:cs="宋体"/>
                <w:kern w:val="0"/>
                <w:highlight w:val="none"/>
              </w:rPr>
              <w:t>6</w:t>
            </w:r>
          </w:p>
        </w:tc>
        <w:tc>
          <w:tcPr>
            <w:tcW w:w="2155" w:type="dxa"/>
            <w:vMerge w:val="continue"/>
            <w:vAlign w:val="center"/>
          </w:tcPr>
          <w:p w14:paraId="38E038A3">
            <w:pPr>
              <w:widowControl/>
              <w:ind w:firstLine="0" w:firstLineChars="0"/>
              <w:jc w:val="both"/>
              <w:rPr>
                <w:rFonts w:ascii="宋体" w:hAnsi="宋体" w:cs="宋体"/>
                <w:kern w:val="0"/>
                <w:highlight w:val="none"/>
              </w:rPr>
            </w:pPr>
          </w:p>
        </w:tc>
        <w:tc>
          <w:tcPr>
            <w:tcW w:w="5500" w:type="dxa"/>
            <w:shd w:val="clear" w:color="000000" w:fill="FFFFFF"/>
            <w:vAlign w:val="center"/>
          </w:tcPr>
          <w:p w14:paraId="0CE98655">
            <w:pPr>
              <w:widowControl/>
              <w:ind w:firstLine="0" w:firstLineChars="0"/>
              <w:jc w:val="both"/>
              <w:rPr>
                <w:rFonts w:ascii="宋体" w:hAnsi="宋体" w:cs="宋体"/>
                <w:kern w:val="0"/>
                <w:highlight w:val="none"/>
              </w:rPr>
            </w:pPr>
            <w:r>
              <w:rPr>
                <w:rFonts w:hint="eastAsia" w:ascii="宋体" w:hAnsi="宋体" w:cs="宋体"/>
                <w:kern w:val="0"/>
                <w:highlight w:val="none"/>
              </w:rPr>
              <w:t>应用系统重要数据加解密模块</w:t>
            </w:r>
          </w:p>
        </w:tc>
      </w:tr>
      <w:tr w14:paraId="266A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9" w:type="dxa"/>
            <w:shd w:val="clear" w:color="000000" w:fill="FFFFFF"/>
            <w:vAlign w:val="center"/>
          </w:tcPr>
          <w:p w14:paraId="3E5D44F3">
            <w:pPr>
              <w:widowControl/>
              <w:ind w:firstLine="0" w:firstLineChars="0"/>
              <w:jc w:val="both"/>
              <w:rPr>
                <w:rFonts w:ascii="宋体" w:hAnsi="宋体" w:cs="宋体"/>
                <w:kern w:val="0"/>
                <w:highlight w:val="none"/>
              </w:rPr>
            </w:pPr>
            <w:r>
              <w:rPr>
                <w:rFonts w:hint="eastAsia" w:ascii="宋体" w:hAnsi="宋体" w:cs="宋体"/>
                <w:kern w:val="0"/>
                <w:highlight w:val="none"/>
              </w:rPr>
              <w:t>7</w:t>
            </w:r>
          </w:p>
        </w:tc>
        <w:tc>
          <w:tcPr>
            <w:tcW w:w="2155" w:type="dxa"/>
            <w:vMerge w:val="continue"/>
            <w:vAlign w:val="center"/>
          </w:tcPr>
          <w:p w14:paraId="1B2AE40A">
            <w:pPr>
              <w:widowControl/>
              <w:ind w:firstLine="0" w:firstLineChars="0"/>
              <w:jc w:val="both"/>
              <w:rPr>
                <w:rFonts w:ascii="宋体" w:hAnsi="宋体" w:cs="宋体"/>
                <w:kern w:val="0"/>
                <w:highlight w:val="none"/>
              </w:rPr>
            </w:pPr>
          </w:p>
        </w:tc>
        <w:tc>
          <w:tcPr>
            <w:tcW w:w="5500" w:type="dxa"/>
            <w:shd w:val="clear" w:color="000000" w:fill="FFFFFF"/>
            <w:vAlign w:val="center"/>
          </w:tcPr>
          <w:p w14:paraId="577B0B3A">
            <w:pPr>
              <w:widowControl/>
              <w:ind w:firstLine="0" w:firstLineChars="0"/>
              <w:jc w:val="both"/>
              <w:rPr>
                <w:rFonts w:ascii="宋体" w:hAnsi="宋体" w:cs="宋体"/>
                <w:kern w:val="0"/>
                <w:highlight w:val="none"/>
              </w:rPr>
            </w:pPr>
            <w:r>
              <w:rPr>
                <w:rFonts w:hint="eastAsia" w:ascii="宋体" w:hAnsi="宋体" w:cs="宋体"/>
                <w:kern w:val="0"/>
                <w:highlight w:val="none"/>
              </w:rPr>
              <w:t>应用系统重要数据签名验签模块</w:t>
            </w:r>
          </w:p>
        </w:tc>
      </w:tr>
      <w:tr w14:paraId="327A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9" w:type="dxa"/>
            <w:shd w:val="clear" w:color="000000" w:fill="FFFFFF"/>
            <w:vAlign w:val="center"/>
          </w:tcPr>
          <w:p w14:paraId="64B18DD8">
            <w:pPr>
              <w:widowControl/>
              <w:ind w:firstLine="0" w:firstLineChars="0"/>
              <w:jc w:val="both"/>
              <w:rPr>
                <w:rFonts w:ascii="宋体" w:hAnsi="宋体" w:cs="宋体"/>
                <w:kern w:val="0"/>
                <w:highlight w:val="none"/>
              </w:rPr>
            </w:pPr>
            <w:r>
              <w:rPr>
                <w:rFonts w:hint="eastAsia" w:ascii="宋体" w:hAnsi="宋体" w:cs="宋体"/>
                <w:kern w:val="0"/>
                <w:highlight w:val="none"/>
              </w:rPr>
              <w:t>8</w:t>
            </w:r>
          </w:p>
        </w:tc>
        <w:tc>
          <w:tcPr>
            <w:tcW w:w="2155" w:type="dxa"/>
            <w:vAlign w:val="center"/>
          </w:tcPr>
          <w:p w14:paraId="0A9B7A4E">
            <w:pPr>
              <w:widowControl/>
              <w:ind w:firstLine="0" w:firstLineChars="0"/>
              <w:jc w:val="both"/>
              <w:rPr>
                <w:rFonts w:ascii="宋体" w:hAnsi="宋体" w:cs="宋体"/>
                <w:kern w:val="0"/>
                <w:highlight w:val="none"/>
              </w:rPr>
            </w:pPr>
            <w:r>
              <w:rPr>
                <w:rFonts w:hint="eastAsia" w:ascii="宋体" w:hAnsi="宋体" w:cs="宋体"/>
                <w:kern w:val="0"/>
                <w:highlight w:val="none"/>
              </w:rPr>
              <w:t>边界数据交互模块</w:t>
            </w:r>
          </w:p>
        </w:tc>
        <w:tc>
          <w:tcPr>
            <w:tcW w:w="5500" w:type="dxa"/>
            <w:shd w:val="clear" w:color="000000" w:fill="FFFFFF"/>
            <w:vAlign w:val="center"/>
          </w:tcPr>
          <w:p w14:paraId="09AFA5DB">
            <w:pPr>
              <w:widowControl/>
              <w:ind w:firstLine="0" w:firstLineChars="0"/>
              <w:jc w:val="both"/>
              <w:rPr>
                <w:rFonts w:ascii="宋体" w:hAnsi="宋体" w:cs="宋体"/>
                <w:kern w:val="0"/>
                <w:highlight w:val="none"/>
              </w:rPr>
            </w:pPr>
            <w:r>
              <w:rPr>
                <w:rFonts w:ascii="宋体" w:hAnsi="宋体" w:cs="宋体"/>
                <w:kern w:val="0"/>
                <w:highlight w:val="none"/>
              </w:rPr>
              <w:t>边界数据交互模块</w:t>
            </w:r>
          </w:p>
        </w:tc>
      </w:tr>
    </w:tbl>
    <w:p w14:paraId="1F9EC27A">
      <w:pPr>
        <w:spacing w:before="120" w:after="120" w:line="288" w:lineRule="auto"/>
        <w:ind w:firstLine="480"/>
        <w:jc w:val="both"/>
        <w:rPr>
          <w:rFonts w:ascii="Arial" w:hAnsi="Arial" w:eastAsia="等线" w:cs="Arial"/>
          <w:highlight w:val="none"/>
        </w:rPr>
      </w:pPr>
    </w:p>
    <w:p w14:paraId="28978D7A">
      <w:pPr>
        <w:spacing w:before="300" w:after="120" w:line="288" w:lineRule="auto"/>
        <w:ind w:firstLine="600"/>
        <w:jc w:val="both"/>
        <w:outlineLvl w:val="2"/>
        <w:rPr>
          <w:rFonts w:ascii="Arial" w:hAnsi="Arial" w:eastAsia="等线" w:cs="Arial"/>
          <w:b/>
          <w:sz w:val="30"/>
          <w:highlight w:val="none"/>
        </w:rPr>
      </w:pPr>
      <w:bookmarkStart w:id="10" w:name="heading_11"/>
      <w:r>
        <w:rPr>
          <w:rFonts w:hint="eastAsia" w:ascii="Arial" w:hAnsi="Arial" w:eastAsia="等线" w:cs="Arial"/>
          <w:b/>
          <w:sz w:val="30"/>
          <w:highlight w:val="none"/>
        </w:rPr>
        <w:t>2</w:t>
      </w:r>
      <w:r>
        <w:rPr>
          <w:rFonts w:ascii="Arial" w:hAnsi="Arial" w:eastAsia="等线" w:cs="Arial"/>
          <w:b/>
          <w:sz w:val="30"/>
          <w:highlight w:val="none"/>
        </w:rPr>
        <w:t>.2 基础设施</w:t>
      </w:r>
      <w:bookmarkEnd w:id="10"/>
      <w:r>
        <w:rPr>
          <w:rFonts w:hint="eastAsia" w:ascii="Arial" w:hAnsi="Arial" w:eastAsia="等线" w:cs="Arial"/>
          <w:b/>
          <w:sz w:val="30"/>
          <w:highlight w:val="none"/>
        </w:rPr>
        <w:t>建设</w:t>
      </w:r>
    </w:p>
    <w:p w14:paraId="591B3BEA">
      <w:pPr>
        <w:spacing w:before="300" w:after="120" w:line="288" w:lineRule="auto"/>
        <w:ind w:firstLine="600"/>
        <w:jc w:val="both"/>
        <w:rPr>
          <w:rFonts w:ascii="Arial" w:hAnsi="Arial" w:eastAsia="等线" w:cs="Arial"/>
          <w:b/>
          <w:sz w:val="30"/>
          <w:highlight w:val="none"/>
        </w:rPr>
      </w:pPr>
      <w:r>
        <w:rPr>
          <w:rFonts w:hint="eastAsia" w:ascii="Arial" w:hAnsi="Arial" w:eastAsia="等线" w:cs="Arial"/>
          <w:b/>
          <w:sz w:val="30"/>
          <w:highlight w:val="none"/>
        </w:rPr>
        <w:t>本次项目部分资源由采购人提供。其余由中标人提供。具体见下表备注列。</w:t>
      </w:r>
    </w:p>
    <w:tbl>
      <w:tblPr>
        <w:tblStyle w:val="5"/>
        <w:tblW w:w="8244" w:type="dxa"/>
        <w:tblInd w:w="93" w:type="dxa"/>
        <w:tblLayout w:type="fixed"/>
        <w:tblCellMar>
          <w:top w:w="0" w:type="dxa"/>
          <w:left w:w="108" w:type="dxa"/>
          <w:bottom w:w="0" w:type="dxa"/>
          <w:right w:w="108" w:type="dxa"/>
        </w:tblCellMar>
      </w:tblPr>
      <w:tblGrid>
        <w:gridCol w:w="518"/>
        <w:gridCol w:w="707"/>
        <w:gridCol w:w="1512"/>
        <w:gridCol w:w="3544"/>
        <w:gridCol w:w="709"/>
        <w:gridCol w:w="1254"/>
      </w:tblGrid>
      <w:tr w14:paraId="7B47A1D5">
        <w:tblPrEx>
          <w:tblCellMar>
            <w:top w:w="0" w:type="dxa"/>
            <w:left w:w="108" w:type="dxa"/>
            <w:bottom w:w="0" w:type="dxa"/>
            <w:right w:w="108" w:type="dxa"/>
          </w:tblCellMar>
        </w:tblPrEx>
        <w:trPr>
          <w:trHeight w:val="20" w:hRule="atLeast"/>
        </w:trPr>
        <w:tc>
          <w:tcPr>
            <w:tcW w:w="518" w:type="dxa"/>
            <w:tcBorders>
              <w:top w:val="single" w:color="000000" w:sz="4" w:space="0"/>
              <w:left w:val="single" w:color="000000" w:sz="4" w:space="0"/>
              <w:bottom w:val="single" w:color="000000" w:sz="4" w:space="0"/>
              <w:right w:val="single" w:color="000000" w:sz="4" w:space="0"/>
            </w:tcBorders>
            <w:noWrap/>
            <w:vAlign w:val="center"/>
          </w:tcPr>
          <w:p w14:paraId="04D65B80">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序号</w:t>
            </w:r>
          </w:p>
        </w:tc>
        <w:tc>
          <w:tcPr>
            <w:tcW w:w="707" w:type="dxa"/>
            <w:tcBorders>
              <w:top w:val="single" w:color="000000" w:sz="4" w:space="0"/>
              <w:left w:val="single" w:color="000000" w:sz="4" w:space="0"/>
              <w:bottom w:val="single" w:color="000000" w:sz="4" w:space="0"/>
              <w:right w:val="single" w:color="000000" w:sz="4" w:space="0"/>
            </w:tcBorders>
            <w:vAlign w:val="center"/>
          </w:tcPr>
          <w:p w14:paraId="2E80E8A9">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类别</w:t>
            </w:r>
          </w:p>
        </w:tc>
        <w:tc>
          <w:tcPr>
            <w:tcW w:w="1512" w:type="dxa"/>
            <w:tcBorders>
              <w:top w:val="single" w:color="000000" w:sz="4" w:space="0"/>
              <w:left w:val="single" w:color="000000" w:sz="4" w:space="0"/>
              <w:bottom w:val="single" w:color="000000" w:sz="4" w:space="0"/>
              <w:right w:val="single" w:color="000000" w:sz="4" w:space="0"/>
            </w:tcBorders>
            <w:vAlign w:val="center"/>
          </w:tcPr>
          <w:p w14:paraId="226A66D9">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功能模块</w:t>
            </w:r>
          </w:p>
        </w:tc>
        <w:tc>
          <w:tcPr>
            <w:tcW w:w="3544" w:type="dxa"/>
            <w:tcBorders>
              <w:top w:val="single" w:color="000000" w:sz="4" w:space="0"/>
              <w:left w:val="single" w:color="000000" w:sz="4" w:space="0"/>
              <w:bottom w:val="single" w:color="000000" w:sz="4" w:space="0"/>
              <w:right w:val="single" w:color="000000" w:sz="4" w:space="0"/>
            </w:tcBorders>
            <w:vAlign w:val="center"/>
          </w:tcPr>
          <w:p w14:paraId="66F8694C">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功能描述</w:t>
            </w:r>
          </w:p>
        </w:tc>
        <w:tc>
          <w:tcPr>
            <w:tcW w:w="709" w:type="dxa"/>
            <w:tcBorders>
              <w:top w:val="single" w:color="000000" w:sz="4" w:space="0"/>
              <w:left w:val="single" w:color="000000" w:sz="4" w:space="0"/>
              <w:bottom w:val="single" w:color="000000" w:sz="4" w:space="0"/>
              <w:right w:val="single" w:color="000000" w:sz="4" w:space="0"/>
            </w:tcBorders>
            <w:vAlign w:val="center"/>
          </w:tcPr>
          <w:p w14:paraId="62EC79F9">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数量</w:t>
            </w:r>
          </w:p>
        </w:tc>
        <w:tc>
          <w:tcPr>
            <w:tcW w:w="1254" w:type="dxa"/>
            <w:tcBorders>
              <w:top w:val="single" w:color="000000" w:sz="4" w:space="0"/>
              <w:left w:val="single" w:color="000000" w:sz="4" w:space="0"/>
              <w:bottom w:val="single" w:color="000000" w:sz="4" w:space="0"/>
              <w:right w:val="single" w:color="000000" w:sz="4" w:space="0"/>
            </w:tcBorders>
            <w:vAlign w:val="center"/>
          </w:tcPr>
          <w:p w14:paraId="25103ED8">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备注</w:t>
            </w:r>
          </w:p>
        </w:tc>
      </w:tr>
      <w:tr w14:paraId="03742339">
        <w:tblPrEx>
          <w:tblCellMar>
            <w:top w:w="0" w:type="dxa"/>
            <w:left w:w="108" w:type="dxa"/>
            <w:bottom w:w="0" w:type="dxa"/>
            <w:right w:w="108" w:type="dxa"/>
          </w:tblCellMar>
        </w:tblPrEx>
        <w:trPr>
          <w:trHeight w:val="311" w:hRule="atLeast"/>
        </w:trPr>
        <w:tc>
          <w:tcPr>
            <w:tcW w:w="518" w:type="dxa"/>
            <w:vMerge w:val="restart"/>
            <w:tcBorders>
              <w:top w:val="single" w:color="000000" w:sz="4" w:space="0"/>
              <w:left w:val="single" w:color="000000" w:sz="4" w:space="0"/>
              <w:bottom w:val="single" w:color="000000" w:sz="4" w:space="0"/>
              <w:right w:val="single" w:color="000000" w:sz="4" w:space="0"/>
            </w:tcBorders>
            <w:noWrap/>
            <w:vAlign w:val="center"/>
          </w:tcPr>
          <w:p w14:paraId="06185F85">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1</w:t>
            </w:r>
          </w:p>
        </w:tc>
        <w:tc>
          <w:tcPr>
            <w:tcW w:w="707" w:type="dxa"/>
            <w:vMerge w:val="restart"/>
            <w:tcBorders>
              <w:top w:val="single" w:color="000000" w:sz="4" w:space="0"/>
              <w:left w:val="single" w:color="000000" w:sz="4" w:space="0"/>
              <w:bottom w:val="single" w:color="000000" w:sz="4" w:space="0"/>
              <w:right w:val="single" w:color="000000" w:sz="4" w:space="0"/>
            </w:tcBorders>
            <w:vAlign w:val="center"/>
          </w:tcPr>
          <w:p w14:paraId="70151D99">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密码产品</w:t>
            </w:r>
          </w:p>
        </w:tc>
        <w:tc>
          <w:tcPr>
            <w:tcW w:w="1512" w:type="dxa"/>
            <w:vMerge w:val="restart"/>
            <w:tcBorders>
              <w:top w:val="single" w:color="000000" w:sz="4" w:space="0"/>
              <w:left w:val="single" w:color="000000" w:sz="4" w:space="0"/>
              <w:bottom w:val="single" w:color="000000" w:sz="4" w:space="0"/>
              <w:right w:val="single" w:color="000000" w:sz="4" w:space="0"/>
            </w:tcBorders>
            <w:vAlign w:val="center"/>
          </w:tcPr>
          <w:p w14:paraId="751D5DD5">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安全认证网关服务（含虚 拟 密 码 机）</w:t>
            </w:r>
          </w:p>
        </w:tc>
        <w:tc>
          <w:tcPr>
            <w:tcW w:w="3544" w:type="dxa"/>
            <w:vMerge w:val="restart"/>
            <w:tcBorders>
              <w:top w:val="single" w:color="000000" w:sz="4" w:space="0"/>
              <w:left w:val="single" w:color="000000" w:sz="4" w:space="0"/>
              <w:bottom w:val="single" w:color="000000" w:sz="4" w:space="0"/>
              <w:right w:val="single" w:color="000000" w:sz="4" w:space="0"/>
            </w:tcBorders>
            <w:vAlign w:val="center"/>
          </w:tcPr>
          <w:p w14:paraId="02A599E9">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为政务外网用户提供安全接入 通道；配合 PC 端部署的安全浏览器（含密码模块），实现 PC 端到服务端之间数据传输机密性和完整性保护。</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260E37EB">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2套</w:t>
            </w:r>
          </w:p>
        </w:tc>
        <w:tc>
          <w:tcPr>
            <w:tcW w:w="1254" w:type="dxa"/>
            <w:vMerge w:val="restart"/>
            <w:tcBorders>
              <w:top w:val="single" w:color="000000" w:sz="4" w:space="0"/>
              <w:left w:val="single" w:color="000000" w:sz="4" w:space="0"/>
              <w:bottom w:val="single" w:color="000000" w:sz="4" w:space="0"/>
              <w:right w:val="single" w:color="000000" w:sz="4" w:space="0"/>
            </w:tcBorders>
            <w:vAlign w:val="center"/>
          </w:tcPr>
          <w:p w14:paraId="0A83F5AA">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由采购人提供</w:t>
            </w:r>
          </w:p>
        </w:tc>
      </w:tr>
      <w:tr w14:paraId="1CBC30C9">
        <w:tblPrEx>
          <w:tblCellMar>
            <w:top w:w="0" w:type="dxa"/>
            <w:left w:w="108" w:type="dxa"/>
            <w:bottom w:w="0" w:type="dxa"/>
            <w:right w:w="108" w:type="dxa"/>
          </w:tblCellMar>
        </w:tblPrEx>
        <w:trPr>
          <w:trHeight w:val="311"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1977F87B">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2A84580F">
            <w:pPr>
              <w:spacing w:line="240" w:lineRule="auto"/>
              <w:ind w:firstLine="0" w:firstLineChars="0"/>
              <w:jc w:val="both"/>
              <w:rPr>
                <w:rFonts w:ascii="仿宋" w:hAnsi="仿宋" w:eastAsia="仿宋" w:cs="仿宋"/>
                <w:highlight w:val="none"/>
              </w:rPr>
            </w:pPr>
          </w:p>
        </w:tc>
        <w:tc>
          <w:tcPr>
            <w:tcW w:w="1512" w:type="dxa"/>
            <w:vMerge w:val="continue"/>
            <w:tcBorders>
              <w:top w:val="single" w:color="000000" w:sz="4" w:space="0"/>
              <w:left w:val="single" w:color="000000" w:sz="4" w:space="0"/>
              <w:bottom w:val="single" w:color="000000" w:sz="4" w:space="0"/>
              <w:right w:val="single" w:color="000000" w:sz="4" w:space="0"/>
            </w:tcBorders>
            <w:vAlign w:val="center"/>
          </w:tcPr>
          <w:p w14:paraId="3232F4F7">
            <w:pPr>
              <w:spacing w:line="240" w:lineRule="auto"/>
              <w:ind w:firstLine="0" w:firstLineChars="0"/>
              <w:jc w:val="both"/>
              <w:rPr>
                <w:rFonts w:ascii="仿宋" w:hAnsi="仿宋" w:eastAsia="仿宋" w:cs="仿宋"/>
                <w:highlight w:val="none"/>
              </w:rPr>
            </w:pPr>
          </w:p>
        </w:tc>
        <w:tc>
          <w:tcPr>
            <w:tcW w:w="3544" w:type="dxa"/>
            <w:vMerge w:val="continue"/>
            <w:tcBorders>
              <w:top w:val="single" w:color="000000" w:sz="4" w:space="0"/>
              <w:left w:val="single" w:color="000000" w:sz="4" w:space="0"/>
              <w:bottom w:val="single" w:color="000000" w:sz="4" w:space="0"/>
              <w:right w:val="single" w:color="000000" w:sz="4" w:space="0"/>
            </w:tcBorders>
            <w:vAlign w:val="center"/>
          </w:tcPr>
          <w:p w14:paraId="67EC8670">
            <w:pPr>
              <w:spacing w:line="240" w:lineRule="auto"/>
              <w:ind w:firstLine="0" w:firstLineChars="0"/>
              <w:jc w:val="both"/>
              <w:rPr>
                <w:rFonts w:ascii="仿宋" w:hAnsi="仿宋" w:eastAsia="仿宋" w:cs="仿宋"/>
                <w:highlight w:val="none"/>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77EE674D">
            <w:pPr>
              <w:spacing w:line="240" w:lineRule="auto"/>
              <w:ind w:firstLine="0" w:firstLineChars="0"/>
              <w:jc w:val="both"/>
              <w:rPr>
                <w:rFonts w:ascii="仿宋" w:hAnsi="仿宋" w:eastAsia="仿宋" w:cs="仿宋"/>
                <w:highlight w:val="none"/>
              </w:rPr>
            </w:pPr>
          </w:p>
        </w:tc>
        <w:tc>
          <w:tcPr>
            <w:tcW w:w="1254" w:type="dxa"/>
            <w:vMerge w:val="continue"/>
            <w:tcBorders>
              <w:top w:val="single" w:color="000000" w:sz="4" w:space="0"/>
              <w:left w:val="single" w:color="000000" w:sz="4" w:space="0"/>
              <w:bottom w:val="single" w:color="000000" w:sz="4" w:space="0"/>
              <w:right w:val="single" w:color="000000" w:sz="4" w:space="0"/>
            </w:tcBorders>
            <w:vAlign w:val="center"/>
          </w:tcPr>
          <w:p w14:paraId="0FFDF567">
            <w:pPr>
              <w:spacing w:line="240" w:lineRule="auto"/>
              <w:ind w:firstLine="0" w:firstLineChars="0"/>
              <w:jc w:val="both"/>
              <w:rPr>
                <w:rFonts w:ascii="仿宋" w:hAnsi="仿宋" w:eastAsia="仿宋" w:cs="仿宋"/>
                <w:highlight w:val="none"/>
              </w:rPr>
            </w:pPr>
          </w:p>
        </w:tc>
      </w:tr>
      <w:tr w14:paraId="591BD055">
        <w:tblPrEx>
          <w:tblCellMar>
            <w:top w:w="0" w:type="dxa"/>
            <w:left w:w="108" w:type="dxa"/>
            <w:bottom w:w="0" w:type="dxa"/>
            <w:right w:w="108" w:type="dxa"/>
          </w:tblCellMar>
        </w:tblPrEx>
        <w:trPr>
          <w:trHeight w:val="311"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7AA8439E">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2436F1DF">
            <w:pPr>
              <w:spacing w:line="240" w:lineRule="auto"/>
              <w:ind w:firstLine="0" w:firstLineChars="0"/>
              <w:jc w:val="both"/>
              <w:rPr>
                <w:rFonts w:ascii="仿宋" w:hAnsi="仿宋" w:eastAsia="仿宋" w:cs="仿宋"/>
                <w:highlight w:val="none"/>
              </w:rPr>
            </w:pPr>
          </w:p>
        </w:tc>
        <w:tc>
          <w:tcPr>
            <w:tcW w:w="1512" w:type="dxa"/>
            <w:vMerge w:val="restart"/>
            <w:tcBorders>
              <w:top w:val="single" w:color="000000" w:sz="4" w:space="0"/>
              <w:left w:val="single" w:color="000000" w:sz="4" w:space="0"/>
              <w:bottom w:val="single" w:color="000000" w:sz="4" w:space="0"/>
              <w:right w:val="single" w:color="000000" w:sz="4" w:space="0"/>
            </w:tcBorders>
            <w:vAlign w:val="center"/>
          </w:tcPr>
          <w:p w14:paraId="6AE9BA05">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安全认证网关服务（含虚 拟 密 码 机）</w:t>
            </w:r>
          </w:p>
        </w:tc>
        <w:tc>
          <w:tcPr>
            <w:tcW w:w="3544" w:type="dxa"/>
            <w:vMerge w:val="restart"/>
            <w:tcBorders>
              <w:top w:val="single" w:color="000000" w:sz="4" w:space="0"/>
              <w:left w:val="single" w:color="000000" w:sz="4" w:space="0"/>
              <w:bottom w:val="single" w:color="000000" w:sz="4" w:space="0"/>
              <w:right w:val="single" w:color="000000" w:sz="4" w:space="0"/>
            </w:tcBorders>
            <w:vAlign w:val="center"/>
          </w:tcPr>
          <w:p w14:paraId="239252FF">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政务外网与青浦分局图像感知网国密传输链路边界使用。</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3F86B9CF">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1套</w:t>
            </w:r>
          </w:p>
        </w:tc>
        <w:tc>
          <w:tcPr>
            <w:tcW w:w="1254" w:type="dxa"/>
            <w:vMerge w:val="restart"/>
            <w:tcBorders>
              <w:top w:val="single" w:color="000000" w:sz="4" w:space="0"/>
              <w:left w:val="single" w:color="000000" w:sz="4" w:space="0"/>
              <w:bottom w:val="single" w:color="000000" w:sz="4" w:space="0"/>
              <w:right w:val="single" w:color="000000" w:sz="4" w:space="0"/>
            </w:tcBorders>
            <w:vAlign w:val="center"/>
          </w:tcPr>
          <w:p w14:paraId="2E930461">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由采购人提供</w:t>
            </w:r>
          </w:p>
        </w:tc>
      </w:tr>
      <w:tr w14:paraId="21ADD360">
        <w:tblPrEx>
          <w:tblCellMar>
            <w:top w:w="0" w:type="dxa"/>
            <w:left w:w="108" w:type="dxa"/>
            <w:bottom w:w="0" w:type="dxa"/>
            <w:right w:w="108" w:type="dxa"/>
          </w:tblCellMar>
        </w:tblPrEx>
        <w:trPr>
          <w:trHeight w:val="311"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1B143794">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71A4F56A">
            <w:pPr>
              <w:spacing w:line="240" w:lineRule="auto"/>
              <w:ind w:firstLine="0" w:firstLineChars="0"/>
              <w:jc w:val="both"/>
              <w:rPr>
                <w:rFonts w:ascii="仿宋" w:hAnsi="仿宋" w:eastAsia="仿宋" w:cs="仿宋"/>
                <w:highlight w:val="none"/>
              </w:rPr>
            </w:pPr>
          </w:p>
        </w:tc>
        <w:tc>
          <w:tcPr>
            <w:tcW w:w="1512" w:type="dxa"/>
            <w:vMerge w:val="continue"/>
            <w:tcBorders>
              <w:top w:val="single" w:color="000000" w:sz="4" w:space="0"/>
              <w:left w:val="single" w:color="000000" w:sz="4" w:space="0"/>
              <w:bottom w:val="single" w:color="000000" w:sz="4" w:space="0"/>
              <w:right w:val="single" w:color="000000" w:sz="4" w:space="0"/>
            </w:tcBorders>
            <w:vAlign w:val="center"/>
          </w:tcPr>
          <w:p w14:paraId="6067DCBD">
            <w:pPr>
              <w:spacing w:line="240" w:lineRule="auto"/>
              <w:ind w:firstLine="0" w:firstLineChars="0"/>
              <w:jc w:val="both"/>
              <w:rPr>
                <w:rFonts w:ascii="仿宋" w:hAnsi="仿宋" w:eastAsia="仿宋" w:cs="仿宋"/>
                <w:highlight w:val="none"/>
              </w:rPr>
            </w:pPr>
          </w:p>
        </w:tc>
        <w:tc>
          <w:tcPr>
            <w:tcW w:w="3544" w:type="dxa"/>
            <w:vMerge w:val="continue"/>
            <w:tcBorders>
              <w:top w:val="single" w:color="000000" w:sz="4" w:space="0"/>
              <w:left w:val="single" w:color="000000" w:sz="4" w:space="0"/>
              <w:bottom w:val="single" w:color="000000" w:sz="4" w:space="0"/>
              <w:right w:val="single" w:color="000000" w:sz="4" w:space="0"/>
            </w:tcBorders>
            <w:vAlign w:val="center"/>
          </w:tcPr>
          <w:p w14:paraId="0B8C3AF8">
            <w:pPr>
              <w:spacing w:line="240" w:lineRule="auto"/>
              <w:ind w:firstLine="0" w:firstLineChars="0"/>
              <w:jc w:val="both"/>
              <w:rPr>
                <w:rFonts w:ascii="仿宋" w:hAnsi="仿宋" w:eastAsia="仿宋" w:cs="仿宋"/>
                <w:highlight w:val="none"/>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14:paraId="1DBEFCAF">
            <w:pPr>
              <w:spacing w:line="240" w:lineRule="auto"/>
              <w:ind w:firstLine="0" w:firstLineChars="0"/>
              <w:jc w:val="both"/>
              <w:rPr>
                <w:rFonts w:ascii="仿宋" w:hAnsi="仿宋" w:eastAsia="仿宋" w:cs="仿宋"/>
                <w:highlight w:val="none"/>
              </w:rPr>
            </w:pPr>
          </w:p>
        </w:tc>
        <w:tc>
          <w:tcPr>
            <w:tcW w:w="1254" w:type="dxa"/>
            <w:vMerge w:val="continue"/>
            <w:tcBorders>
              <w:top w:val="single" w:color="000000" w:sz="4" w:space="0"/>
              <w:left w:val="single" w:color="000000" w:sz="4" w:space="0"/>
              <w:bottom w:val="single" w:color="000000" w:sz="4" w:space="0"/>
              <w:right w:val="single" w:color="000000" w:sz="4" w:space="0"/>
            </w:tcBorders>
            <w:vAlign w:val="center"/>
          </w:tcPr>
          <w:p w14:paraId="42F08F14">
            <w:pPr>
              <w:spacing w:line="240" w:lineRule="auto"/>
              <w:ind w:firstLine="0" w:firstLineChars="0"/>
              <w:jc w:val="both"/>
              <w:rPr>
                <w:rFonts w:ascii="仿宋" w:hAnsi="仿宋" w:eastAsia="仿宋" w:cs="仿宋"/>
                <w:highlight w:val="none"/>
              </w:rPr>
            </w:pPr>
          </w:p>
        </w:tc>
      </w:tr>
      <w:tr w14:paraId="109EC62A">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2492CCF0">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2ECCDC78">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0432B3CD">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安全认证网关服务</w:t>
            </w:r>
          </w:p>
        </w:tc>
        <w:tc>
          <w:tcPr>
            <w:tcW w:w="3544" w:type="dxa"/>
            <w:tcBorders>
              <w:top w:val="single" w:color="000000" w:sz="4" w:space="0"/>
              <w:left w:val="single" w:color="000000" w:sz="4" w:space="0"/>
              <w:bottom w:val="single" w:color="000000" w:sz="4" w:space="0"/>
              <w:right w:val="single" w:color="000000" w:sz="4" w:space="0"/>
            </w:tcBorders>
            <w:vAlign w:val="center"/>
          </w:tcPr>
          <w:p w14:paraId="28286889">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青浦分局图像感知网与政务外网国密传输链路边界使用。</w:t>
            </w:r>
          </w:p>
        </w:tc>
        <w:tc>
          <w:tcPr>
            <w:tcW w:w="709" w:type="dxa"/>
            <w:tcBorders>
              <w:top w:val="single" w:color="000000" w:sz="4" w:space="0"/>
              <w:left w:val="single" w:color="000000" w:sz="4" w:space="0"/>
              <w:bottom w:val="single" w:color="000000" w:sz="4" w:space="0"/>
              <w:right w:val="single" w:color="000000" w:sz="4" w:space="0"/>
            </w:tcBorders>
            <w:vAlign w:val="center"/>
          </w:tcPr>
          <w:p w14:paraId="313F17ED">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1套</w:t>
            </w:r>
          </w:p>
        </w:tc>
        <w:tc>
          <w:tcPr>
            <w:tcW w:w="1254" w:type="dxa"/>
            <w:tcBorders>
              <w:top w:val="single" w:color="000000" w:sz="4" w:space="0"/>
              <w:left w:val="single" w:color="000000" w:sz="4" w:space="0"/>
              <w:bottom w:val="single" w:color="000000" w:sz="4" w:space="0"/>
              <w:right w:val="single" w:color="000000" w:sz="4" w:space="0"/>
            </w:tcBorders>
            <w:vAlign w:val="center"/>
          </w:tcPr>
          <w:p w14:paraId="5C85B5DD">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由采购人提供</w:t>
            </w:r>
          </w:p>
        </w:tc>
      </w:tr>
      <w:tr w14:paraId="55042F8A">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3624FBCC">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43DC7FF9">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7D265C81">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签名验签服务（含虚拟密码机）</w:t>
            </w:r>
          </w:p>
        </w:tc>
        <w:tc>
          <w:tcPr>
            <w:tcW w:w="3544" w:type="dxa"/>
            <w:tcBorders>
              <w:top w:val="single" w:color="000000" w:sz="4" w:space="0"/>
              <w:left w:val="single" w:color="000000" w:sz="4" w:space="0"/>
              <w:bottom w:val="single" w:color="000000" w:sz="4" w:space="0"/>
              <w:right w:val="single" w:color="000000" w:sz="4" w:space="0"/>
            </w:tcBorders>
            <w:vAlign w:val="center"/>
          </w:tcPr>
          <w:p w14:paraId="43B7B407">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供系统调用，通过数字签名技术对系统重要数据进行完整性保护。</w:t>
            </w:r>
          </w:p>
        </w:tc>
        <w:tc>
          <w:tcPr>
            <w:tcW w:w="709" w:type="dxa"/>
            <w:tcBorders>
              <w:top w:val="single" w:color="000000" w:sz="4" w:space="0"/>
              <w:left w:val="single" w:color="000000" w:sz="4" w:space="0"/>
              <w:bottom w:val="single" w:color="000000" w:sz="4" w:space="0"/>
              <w:right w:val="single" w:color="000000" w:sz="4" w:space="0"/>
            </w:tcBorders>
            <w:vAlign w:val="center"/>
          </w:tcPr>
          <w:p w14:paraId="7982516C">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1套</w:t>
            </w:r>
          </w:p>
        </w:tc>
        <w:tc>
          <w:tcPr>
            <w:tcW w:w="1254" w:type="dxa"/>
            <w:tcBorders>
              <w:top w:val="single" w:color="000000" w:sz="4" w:space="0"/>
              <w:left w:val="single" w:color="000000" w:sz="4" w:space="0"/>
              <w:bottom w:val="single" w:color="000000" w:sz="4" w:space="0"/>
              <w:right w:val="single" w:color="000000" w:sz="4" w:space="0"/>
            </w:tcBorders>
            <w:vAlign w:val="center"/>
          </w:tcPr>
          <w:p w14:paraId="177A971F">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由采购人提供</w:t>
            </w:r>
          </w:p>
        </w:tc>
      </w:tr>
      <w:tr w14:paraId="5751EB4A">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1CA0B294">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5BEF8B64">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0FC35AF1">
            <w:pPr>
              <w:widowControl/>
              <w:spacing w:line="240" w:lineRule="auto"/>
              <w:ind w:firstLine="0" w:firstLineChars="0"/>
              <w:jc w:val="both"/>
              <w:textAlignment w:val="center"/>
              <w:rPr>
                <w:rFonts w:ascii="仿宋" w:hAnsi="仿宋" w:eastAsia="仿宋" w:cs="仿宋"/>
                <w:b/>
                <w:bCs/>
                <w:highlight w:val="none"/>
              </w:rPr>
            </w:pPr>
            <w:r>
              <w:rPr>
                <w:rFonts w:ascii="仿宋" w:hAnsi="仿宋" w:eastAsia="仿宋" w:cs="仿宋"/>
                <w:b/>
                <w:bCs/>
                <w:kern w:val="0"/>
                <w:highlight w:val="none"/>
                <w:lang w:bidi="ar"/>
              </w:rPr>
              <w:t>视频完整性保护网关</w:t>
            </w:r>
          </w:p>
        </w:tc>
        <w:tc>
          <w:tcPr>
            <w:tcW w:w="3544" w:type="dxa"/>
            <w:tcBorders>
              <w:top w:val="single" w:color="000000" w:sz="4" w:space="0"/>
              <w:left w:val="single" w:color="000000" w:sz="4" w:space="0"/>
              <w:bottom w:val="single" w:color="000000" w:sz="4" w:space="0"/>
              <w:right w:val="single" w:color="000000" w:sz="4" w:space="0"/>
            </w:tcBorders>
            <w:vAlign w:val="center"/>
          </w:tcPr>
          <w:p w14:paraId="54847A55">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按公共图像强制标准，对前端无人机采集的视频数据进行签名，保证数据的真实性和完整性，也能对目标数据进行验签，验证目标数据的真实性和完整性，并生成对应的验签报告。</w:t>
            </w:r>
          </w:p>
        </w:tc>
        <w:tc>
          <w:tcPr>
            <w:tcW w:w="709" w:type="dxa"/>
            <w:tcBorders>
              <w:top w:val="single" w:color="000000" w:sz="4" w:space="0"/>
              <w:left w:val="single" w:color="000000" w:sz="4" w:space="0"/>
              <w:bottom w:val="single" w:color="000000" w:sz="4" w:space="0"/>
              <w:right w:val="single" w:color="000000" w:sz="4" w:space="0"/>
            </w:tcBorders>
            <w:vAlign w:val="center"/>
          </w:tcPr>
          <w:p w14:paraId="79560437">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1</w:t>
            </w:r>
          </w:p>
        </w:tc>
        <w:tc>
          <w:tcPr>
            <w:tcW w:w="1254" w:type="dxa"/>
            <w:tcBorders>
              <w:top w:val="single" w:color="000000" w:sz="4" w:space="0"/>
              <w:left w:val="single" w:color="000000" w:sz="4" w:space="0"/>
              <w:bottom w:val="single" w:color="000000" w:sz="4" w:space="0"/>
              <w:right w:val="single" w:color="000000" w:sz="4" w:space="0"/>
            </w:tcBorders>
            <w:vAlign w:val="center"/>
          </w:tcPr>
          <w:p w14:paraId="73EC9D0D">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由中标人提供</w:t>
            </w:r>
          </w:p>
        </w:tc>
      </w:tr>
      <w:tr w14:paraId="1F64C613">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7CBC618D">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61F75F19">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6A082C1A">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数据库加解密服务（含虚拟密码机）</w:t>
            </w:r>
          </w:p>
        </w:tc>
        <w:tc>
          <w:tcPr>
            <w:tcW w:w="3544" w:type="dxa"/>
            <w:tcBorders>
              <w:top w:val="single" w:color="000000" w:sz="4" w:space="0"/>
              <w:left w:val="single" w:color="000000" w:sz="4" w:space="0"/>
              <w:bottom w:val="single" w:color="000000" w:sz="4" w:space="0"/>
              <w:right w:val="single" w:color="000000" w:sz="4" w:space="0"/>
            </w:tcBorders>
            <w:vAlign w:val="center"/>
          </w:tcPr>
          <w:p w14:paraId="5690E279">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对政务外网PC端用户身份鉴别数据、系统重要数据进行存储机密性保护。</w:t>
            </w:r>
          </w:p>
        </w:tc>
        <w:tc>
          <w:tcPr>
            <w:tcW w:w="709" w:type="dxa"/>
            <w:tcBorders>
              <w:top w:val="single" w:color="000000" w:sz="4" w:space="0"/>
              <w:left w:val="single" w:color="000000" w:sz="4" w:space="0"/>
              <w:bottom w:val="single" w:color="000000" w:sz="4" w:space="0"/>
              <w:right w:val="single" w:color="000000" w:sz="4" w:space="0"/>
            </w:tcBorders>
            <w:vAlign w:val="center"/>
          </w:tcPr>
          <w:p w14:paraId="0F4D0D8F">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1</w:t>
            </w:r>
          </w:p>
        </w:tc>
        <w:tc>
          <w:tcPr>
            <w:tcW w:w="1254" w:type="dxa"/>
            <w:tcBorders>
              <w:top w:val="single" w:color="000000" w:sz="4" w:space="0"/>
              <w:left w:val="single" w:color="000000" w:sz="4" w:space="0"/>
              <w:bottom w:val="single" w:color="000000" w:sz="4" w:space="0"/>
              <w:right w:val="single" w:color="000000" w:sz="4" w:space="0"/>
            </w:tcBorders>
            <w:vAlign w:val="center"/>
          </w:tcPr>
          <w:p w14:paraId="1A0DD302">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由采购人提供</w:t>
            </w:r>
          </w:p>
        </w:tc>
      </w:tr>
      <w:tr w14:paraId="3EA6145C">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780F9247">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086BA3A9">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2472333C">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安全存储服务（含虚拟密码机）</w:t>
            </w:r>
          </w:p>
        </w:tc>
        <w:tc>
          <w:tcPr>
            <w:tcW w:w="3544" w:type="dxa"/>
            <w:tcBorders>
              <w:top w:val="single" w:color="000000" w:sz="4" w:space="0"/>
              <w:left w:val="single" w:color="000000" w:sz="4" w:space="0"/>
              <w:bottom w:val="single" w:color="000000" w:sz="4" w:space="0"/>
              <w:right w:val="single" w:color="000000" w:sz="4" w:space="0"/>
            </w:tcBorders>
            <w:vAlign w:val="center"/>
          </w:tcPr>
          <w:p w14:paraId="4C24380C">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对冷暖热归档数据进行存储机密性保护。（非结构化数据）</w:t>
            </w:r>
          </w:p>
        </w:tc>
        <w:tc>
          <w:tcPr>
            <w:tcW w:w="709" w:type="dxa"/>
            <w:tcBorders>
              <w:top w:val="single" w:color="000000" w:sz="4" w:space="0"/>
              <w:left w:val="single" w:color="000000" w:sz="4" w:space="0"/>
              <w:bottom w:val="single" w:color="000000" w:sz="4" w:space="0"/>
              <w:right w:val="single" w:color="000000" w:sz="4" w:space="0"/>
            </w:tcBorders>
            <w:vAlign w:val="center"/>
          </w:tcPr>
          <w:p w14:paraId="2487077E">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50T</w:t>
            </w:r>
          </w:p>
        </w:tc>
        <w:tc>
          <w:tcPr>
            <w:tcW w:w="1254" w:type="dxa"/>
            <w:tcBorders>
              <w:top w:val="single" w:color="000000" w:sz="4" w:space="0"/>
              <w:left w:val="single" w:color="000000" w:sz="4" w:space="0"/>
              <w:bottom w:val="single" w:color="000000" w:sz="4" w:space="0"/>
              <w:right w:val="single" w:color="000000" w:sz="4" w:space="0"/>
            </w:tcBorders>
            <w:vAlign w:val="center"/>
          </w:tcPr>
          <w:p w14:paraId="6B372C29">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由采购人提供</w:t>
            </w:r>
          </w:p>
        </w:tc>
      </w:tr>
      <w:tr w14:paraId="71F386AE">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0467E3D1">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209B8CF7">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0A7B9083">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数字认证服务</w:t>
            </w:r>
          </w:p>
        </w:tc>
        <w:tc>
          <w:tcPr>
            <w:tcW w:w="3544" w:type="dxa"/>
            <w:tcBorders>
              <w:top w:val="single" w:color="000000" w:sz="4" w:space="0"/>
              <w:left w:val="single" w:color="000000" w:sz="4" w:space="0"/>
              <w:bottom w:val="single" w:color="000000" w:sz="4" w:space="0"/>
              <w:right w:val="single" w:color="000000" w:sz="4" w:space="0"/>
            </w:tcBorders>
            <w:vAlign w:val="center"/>
          </w:tcPr>
          <w:p w14:paraId="4163AE95">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站点证书，SM2单域名</w:t>
            </w:r>
          </w:p>
        </w:tc>
        <w:tc>
          <w:tcPr>
            <w:tcW w:w="709" w:type="dxa"/>
            <w:tcBorders>
              <w:top w:val="single" w:color="000000" w:sz="4" w:space="0"/>
              <w:left w:val="single" w:color="000000" w:sz="4" w:space="0"/>
              <w:bottom w:val="single" w:color="000000" w:sz="4" w:space="0"/>
              <w:right w:val="single" w:color="000000" w:sz="4" w:space="0"/>
            </w:tcBorders>
            <w:vAlign w:val="center"/>
          </w:tcPr>
          <w:p w14:paraId="282D5E6D">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1</w:t>
            </w:r>
          </w:p>
        </w:tc>
        <w:tc>
          <w:tcPr>
            <w:tcW w:w="1254" w:type="dxa"/>
            <w:tcBorders>
              <w:top w:val="single" w:color="000000" w:sz="4" w:space="0"/>
              <w:left w:val="single" w:color="000000" w:sz="4" w:space="0"/>
              <w:bottom w:val="single" w:color="000000" w:sz="4" w:space="0"/>
              <w:right w:val="single" w:color="000000" w:sz="4" w:space="0"/>
            </w:tcBorders>
            <w:vAlign w:val="center"/>
          </w:tcPr>
          <w:p w14:paraId="6F8C3C55">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1年服务，由中标人提供</w:t>
            </w:r>
          </w:p>
        </w:tc>
      </w:tr>
      <w:tr w14:paraId="0B5295ED">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2682C084">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012052D0">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50159448">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数字认证服务</w:t>
            </w:r>
          </w:p>
        </w:tc>
        <w:tc>
          <w:tcPr>
            <w:tcW w:w="3544" w:type="dxa"/>
            <w:tcBorders>
              <w:top w:val="single" w:color="000000" w:sz="4" w:space="0"/>
              <w:left w:val="single" w:color="000000" w:sz="4" w:space="0"/>
              <w:bottom w:val="single" w:color="000000" w:sz="4" w:space="0"/>
              <w:right w:val="single" w:color="000000" w:sz="4" w:space="0"/>
            </w:tcBorders>
            <w:vAlign w:val="center"/>
          </w:tcPr>
          <w:p w14:paraId="66E67A21">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设备证书，SM2（签名验签、时间戳）</w:t>
            </w:r>
          </w:p>
        </w:tc>
        <w:tc>
          <w:tcPr>
            <w:tcW w:w="709" w:type="dxa"/>
            <w:tcBorders>
              <w:top w:val="single" w:color="000000" w:sz="4" w:space="0"/>
              <w:left w:val="single" w:color="000000" w:sz="4" w:space="0"/>
              <w:bottom w:val="single" w:color="000000" w:sz="4" w:space="0"/>
              <w:right w:val="single" w:color="000000" w:sz="4" w:space="0"/>
            </w:tcBorders>
            <w:vAlign w:val="center"/>
          </w:tcPr>
          <w:p w14:paraId="32E81F7A">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2</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0E0C5CD8">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1年服务，由中标人提供</w:t>
            </w:r>
          </w:p>
        </w:tc>
      </w:tr>
      <w:tr w14:paraId="51CB2F05">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7A4E5533">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2A2776E5">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47090249">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数字认证服务</w:t>
            </w:r>
          </w:p>
        </w:tc>
        <w:tc>
          <w:tcPr>
            <w:tcW w:w="3544" w:type="dxa"/>
            <w:tcBorders>
              <w:top w:val="single" w:color="000000" w:sz="4" w:space="0"/>
              <w:left w:val="single" w:color="000000" w:sz="4" w:space="0"/>
              <w:bottom w:val="single" w:color="000000" w:sz="4" w:space="0"/>
              <w:right w:val="single" w:color="000000" w:sz="4" w:space="0"/>
            </w:tcBorders>
            <w:vAlign w:val="center"/>
          </w:tcPr>
          <w:p w14:paraId="3FA99538">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个人证书，SM2（市局统一）</w:t>
            </w:r>
          </w:p>
        </w:tc>
        <w:tc>
          <w:tcPr>
            <w:tcW w:w="709" w:type="dxa"/>
            <w:tcBorders>
              <w:top w:val="single" w:color="000000" w:sz="4" w:space="0"/>
              <w:left w:val="single" w:color="000000" w:sz="4" w:space="0"/>
              <w:bottom w:val="single" w:color="000000" w:sz="4" w:space="0"/>
              <w:right w:val="single" w:color="000000" w:sz="4" w:space="0"/>
            </w:tcBorders>
            <w:vAlign w:val="center"/>
          </w:tcPr>
          <w:p w14:paraId="67CE51FE">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100</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712C7681">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由采购人提供</w:t>
            </w:r>
          </w:p>
        </w:tc>
      </w:tr>
      <w:tr w14:paraId="2BA3E31C">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7AD7ABE7">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3EEABBFF">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4E3B01DF">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安全浏览器 （含密码模块）</w:t>
            </w:r>
          </w:p>
        </w:tc>
        <w:tc>
          <w:tcPr>
            <w:tcW w:w="3544" w:type="dxa"/>
            <w:tcBorders>
              <w:top w:val="single" w:color="000000" w:sz="4" w:space="0"/>
              <w:left w:val="single" w:color="000000" w:sz="4" w:space="0"/>
              <w:bottom w:val="single" w:color="000000" w:sz="4" w:space="0"/>
              <w:right w:val="single" w:color="000000" w:sz="4" w:space="0"/>
            </w:tcBorders>
            <w:vAlign w:val="center"/>
          </w:tcPr>
          <w:p w14:paraId="48C3B8DA">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确保设备管理员安全登录堡垒机，政务外网用户安全访问系统。</w:t>
            </w:r>
          </w:p>
        </w:tc>
        <w:tc>
          <w:tcPr>
            <w:tcW w:w="709" w:type="dxa"/>
            <w:tcBorders>
              <w:top w:val="single" w:color="000000" w:sz="4" w:space="0"/>
              <w:left w:val="single" w:color="000000" w:sz="4" w:space="0"/>
              <w:bottom w:val="single" w:color="000000" w:sz="4" w:space="0"/>
              <w:right w:val="single" w:color="000000" w:sz="4" w:space="0"/>
            </w:tcBorders>
            <w:vAlign w:val="center"/>
          </w:tcPr>
          <w:p w14:paraId="1797722B">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100</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28038F79">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由中标人提供</w:t>
            </w:r>
          </w:p>
        </w:tc>
      </w:tr>
      <w:tr w14:paraId="59865823">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494C6DF5">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1423201B">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229365F4">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智能密码钥匙</w:t>
            </w:r>
          </w:p>
        </w:tc>
        <w:tc>
          <w:tcPr>
            <w:tcW w:w="3544" w:type="dxa"/>
            <w:tcBorders>
              <w:top w:val="single" w:color="000000" w:sz="4" w:space="0"/>
              <w:left w:val="single" w:color="000000" w:sz="4" w:space="0"/>
              <w:bottom w:val="single" w:color="000000" w:sz="4" w:space="0"/>
              <w:right w:val="single" w:color="000000" w:sz="4" w:space="0"/>
            </w:tcBorders>
            <w:vAlign w:val="center"/>
          </w:tcPr>
          <w:p w14:paraId="0BBB19AF">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为设备管理员登录堡垒机、系 统用户/管理员登录系统进行 身份鉴别。</w:t>
            </w:r>
          </w:p>
        </w:tc>
        <w:tc>
          <w:tcPr>
            <w:tcW w:w="709" w:type="dxa"/>
            <w:tcBorders>
              <w:top w:val="single" w:color="000000" w:sz="4" w:space="0"/>
              <w:left w:val="single" w:color="000000" w:sz="4" w:space="0"/>
              <w:bottom w:val="single" w:color="000000" w:sz="4" w:space="0"/>
              <w:right w:val="single" w:color="000000" w:sz="4" w:space="0"/>
            </w:tcBorders>
            <w:vAlign w:val="center"/>
          </w:tcPr>
          <w:p w14:paraId="23D51276">
            <w:pPr>
              <w:widowControl/>
              <w:spacing w:line="240" w:lineRule="auto"/>
              <w:ind w:firstLine="0" w:firstLineChars="0"/>
              <w:jc w:val="both"/>
              <w:textAlignment w:val="center"/>
              <w:rPr>
                <w:rFonts w:ascii="仿宋" w:hAnsi="仿宋" w:eastAsia="仿宋" w:cs="仿宋"/>
                <w:b/>
                <w:bCs/>
                <w:highlight w:val="none"/>
              </w:rPr>
            </w:pPr>
            <w:r>
              <w:rPr>
                <w:rFonts w:hint="eastAsia" w:ascii="仿宋" w:hAnsi="仿宋" w:eastAsia="仿宋" w:cs="仿宋"/>
                <w:b/>
                <w:bCs/>
                <w:kern w:val="0"/>
                <w:highlight w:val="none"/>
                <w:lang w:bidi="ar"/>
              </w:rPr>
              <w:t>100</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40320213">
            <w:pPr>
              <w:spacing w:line="240" w:lineRule="auto"/>
              <w:ind w:firstLine="0" w:firstLineChars="0"/>
              <w:jc w:val="both"/>
              <w:rPr>
                <w:rFonts w:ascii="仿宋" w:hAnsi="仿宋" w:eastAsia="仿宋" w:cs="仿宋"/>
                <w:b/>
                <w:bCs/>
                <w:highlight w:val="none"/>
              </w:rPr>
            </w:pPr>
            <w:r>
              <w:rPr>
                <w:rFonts w:hint="eastAsia" w:ascii="仿宋" w:hAnsi="仿宋" w:eastAsia="仿宋" w:cs="仿宋"/>
                <w:b/>
                <w:bCs/>
                <w:kern w:val="0"/>
                <w:highlight w:val="none"/>
                <w:lang w:bidi="ar"/>
              </w:rPr>
              <w:t>由中标人提供</w:t>
            </w:r>
          </w:p>
        </w:tc>
      </w:tr>
      <w:tr w14:paraId="58B1D902">
        <w:tblPrEx>
          <w:tblCellMar>
            <w:top w:w="0" w:type="dxa"/>
            <w:left w:w="108" w:type="dxa"/>
            <w:bottom w:w="0" w:type="dxa"/>
            <w:right w:w="108" w:type="dxa"/>
          </w:tblCellMar>
        </w:tblPrEx>
        <w:trPr>
          <w:trHeight w:val="20" w:hRule="atLeast"/>
        </w:trPr>
        <w:tc>
          <w:tcPr>
            <w:tcW w:w="518" w:type="dxa"/>
            <w:vMerge w:val="restart"/>
            <w:tcBorders>
              <w:top w:val="single" w:color="000000" w:sz="4" w:space="0"/>
              <w:left w:val="single" w:color="000000" w:sz="4" w:space="0"/>
              <w:bottom w:val="single" w:color="000000" w:sz="4" w:space="0"/>
              <w:right w:val="single" w:color="000000" w:sz="4" w:space="0"/>
            </w:tcBorders>
            <w:noWrap/>
            <w:vAlign w:val="center"/>
          </w:tcPr>
          <w:p w14:paraId="11F00A43">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2</w:t>
            </w:r>
          </w:p>
        </w:tc>
        <w:tc>
          <w:tcPr>
            <w:tcW w:w="707" w:type="dxa"/>
            <w:vMerge w:val="restart"/>
            <w:tcBorders>
              <w:top w:val="single" w:color="000000" w:sz="4" w:space="0"/>
              <w:left w:val="single" w:color="000000" w:sz="4" w:space="0"/>
              <w:bottom w:val="single" w:color="000000" w:sz="4" w:space="0"/>
              <w:right w:val="single" w:color="000000" w:sz="4" w:space="0"/>
            </w:tcBorders>
            <w:vAlign w:val="center"/>
          </w:tcPr>
          <w:p w14:paraId="40C6741F">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基础软件</w:t>
            </w:r>
          </w:p>
        </w:tc>
        <w:tc>
          <w:tcPr>
            <w:tcW w:w="1512" w:type="dxa"/>
            <w:tcBorders>
              <w:top w:val="single" w:color="000000" w:sz="4" w:space="0"/>
              <w:left w:val="single" w:color="000000" w:sz="4" w:space="0"/>
              <w:bottom w:val="single" w:color="000000" w:sz="4" w:space="0"/>
              <w:right w:val="single" w:color="000000" w:sz="4" w:space="0"/>
            </w:tcBorders>
            <w:vAlign w:val="center"/>
          </w:tcPr>
          <w:p w14:paraId="1861A38E">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中间件</w:t>
            </w:r>
          </w:p>
        </w:tc>
        <w:tc>
          <w:tcPr>
            <w:tcW w:w="3544" w:type="dxa"/>
            <w:tcBorders>
              <w:top w:val="single" w:color="000000" w:sz="4" w:space="0"/>
              <w:left w:val="single" w:color="000000" w:sz="4" w:space="0"/>
              <w:bottom w:val="single" w:color="000000" w:sz="4" w:space="0"/>
              <w:right w:val="single" w:color="000000" w:sz="4" w:space="0"/>
            </w:tcBorders>
            <w:vAlign w:val="center"/>
          </w:tcPr>
          <w:p w14:paraId="74CC2D57">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highlight w:val="none"/>
              </w:rPr>
              <w:t>国产</w:t>
            </w:r>
            <w:r>
              <w:rPr>
                <w:rFonts w:ascii="仿宋" w:hAnsi="仿宋" w:eastAsia="仿宋" w:cs="仿宋"/>
                <w:highlight w:val="none"/>
              </w:rPr>
              <w:t>应用服务器中间件</w:t>
            </w:r>
          </w:p>
        </w:tc>
        <w:tc>
          <w:tcPr>
            <w:tcW w:w="709" w:type="dxa"/>
            <w:tcBorders>
              <w:top w:val="single" w:color="000000" w:sz="4" w:space="0"/>
              <w:left w:val="single" w:color="000000" w:sz="4" w:space="0"/>
              <w:bottom w:val="single" w:color="000000" w:sz="4" w:space="0"/>
              <w:right w:val="single" w:color="000000" w:sz="4" w:space="0"/>
            </w:tcBorders>
            <w:vAlign w:val="center"/>
          </w:tcPr>
          <w:p w14:paraId="57F449A1">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2</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51B99C66">
            <w:pPr>
              <w:spacing w:line="240" w:lineRule="auto"/>
              <w:ind w:firstLine="0" w:firstLineChars="0"/>
              <w:jc w:val="both"/>
              <w:rPr>
                <w:rFonts w:ascii="仿宋" w:hAnsi="仿宋" w:eastAsia="仿宋" w:cs="仿宋"/>
                <w:highlight w:val="none"/>
              </w:rPr>
            </w:pPr>
            <w:r>
              <w:rPr>
                <w:rFonts w:hint="eastAsia" w:ascii="仿宋" w:hAnsi="仿宋" w:eastAsia="仿宋" w:cs="仿宋"/>
                <w:b/>
                <w:bCs/>
                <w:kern w:val="0"/>
                <w:highlight w:val="none"/>
                <w:lang w:bidi="ar"/>
              </w:rPr>
              <w:t>由中标人提供</w:t>
            </w:r>
          </w:p>
        </w:tc>
      </w:tr>
      <w:tr w14:paraId="10AFD598">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39DF0768">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3C2BE6EA">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7B467971">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操作系统</w:t>
            </w:r>
          </w:p>
        </w:tc>
        <w:tc>
          <w:tcPr>
            <w:tcW w:w="3544" w:type="dxa"/>
            <w:tcBorders>
              <w:top w:val="single" w:color="000000" w:sz="4" w:space="0"/>
              <w:left w:val="single" w:color="000000" w:sz="4" w:space="0"/>
              <w:bottom w:val="single" w:color="000000" w:sz="4" w:space="0"/>
              <w:right w:val="single" w:color="000000" w:sz="4" w:space="0"/>
            </w:tcBorders>
            <w:vAlign w:val="center"/>
          </w:tcPr>
          <w:p w14:paraId="59ADED78">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highlight w:val="none"/>
              </w:rPr>
              <w:t>国产操作系统</w:t>
            </w:r>
          </w:p>
        </w:tc>
        <w:tc>
          <w:tcPr>
            <w:tcW w:w="709" w:type="dxa"/>
            <w:tcBorders>
              <w:top w:val="single" w:color="000000" w:sz="4" w:space="0"/>
              <w:left w:val="single" w:color="000000" w:sz="4" w:space="0"/>
              <w:bottom w:val="single" w:color="000000" w:sz="4" w:space="0"/>
              <w:right w:val="single" w:color="000000" w:sz="4" w:space="0"/>
            </w:tcBorders>
            <w:vAlign w:val="center"/>
          </w:tcPr>
          <w:p w14:paraId="007BF388">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7</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2E3A6134">
            <w:pPr>
              <w:spacing w:line="240" w:lineRule="auto"/>
              <w:ind w:firstLine="0" w:firstLineChars="0"/>
              <w:jc w:val="both"/>
              <w:rPr>
                <w:rFonts w:ascii="仿宋" w:hAnsi="仿宋" w:eastAsia="仿宋" w:cs="仿宋"/>
                <w:highlight w:val="none"/>
              </w:rPr>
            </w:pPr>
            <w:r>
              <w:rPr>
                <w:rFonts w:hint="eastAsia" w:ascii="仿宋" w:hAnsi="仿宋" w:eastAsia="仿宋" w:cs="仿宋"/>
                <w:b/>
                <w:bCs/>
                <w:kern w:val="0"/>
                <w:highlight w:val="none"/>
                <w:lang w:bidi="ar"/>
              </w:rPr>
              <w:t>由中标人提供</w:t>
            </w:r>
          </w:p>
        </w:tc>
      </w:tr>
      <w:tr w14:paraId="0E23067E">
        <w:tblPrEx>
          <w:tblCellMar>
            <w:top w:w="0" w:type="dxa"/>
            <w:left w:w="108" w:type="dxa"/>
            <w:bottom w:w="0" w:type="dxa"/>
            <w:right w:w="108" w:type="dxa"/>
          </w:tblCellMar>
        </w:tblPrEx>
        <w:trPr>
          <w:trHeight w:val="20" w:hRule="atLeast"/>
        </w:trPr>
        <w:tc>
          <w:tcPr>
            <w:tcW w:w="518" w:type="dxa"/>
            <w:vMerge w:val="continue"/>
            <w:tcBorders>
              <w:top w:val="single" w:color="000000" w:sz="4" w:space="0"/>
              <w:left w:val="single" w:color="000000" w:sz="4" w:space="0"/>
              <w:bottom w:val="single" w:color="000000" w:sz="4" w:space="0"/>
              <w:right w:val="single" w:color="000000" w:sz="4" w:space="0"/>
            </w:tcBorders>
            <w:noWrap/>
            <w:vAlign w:val="center"/>
          </w:tcPr>
          <w:p w14:paraId="44A1F50F">
            <w:pPr>
              <w:spacing w:line="240" w:lineRule="auto"/>
              <w:ind w:firstLine="0" w:firstLineChars="0"/>
              <w:jc w:val="both"/>
              <w:rPr>
                <w:rFonts w:ascii="仿宋" w:hAnsi="仿宋" w:eastAsia="仿宋" w:cs="仿宋"/>
                <w:highlight w:val="none"/>
              </w:rPr>
            </w:pPr>
          </w:p>
        </w:tc>
        <w:tc>
          <w:tcPr>
            <w:tcW w:w="707" w:type="dxa"/>
            <w:vMerge w:val="continue"/>
            <w:tcBorders>
              <w:top w:val="single" w:color="000000" w:sz="4" w:space="0"/>
              <w:left w:val="single" w:color="000000" w:sz="4" w:space="0"/>
              <w:bottom w:val="single" w:color="000000" w:sz="4" w:space="0"/>
              <w:right w:val="single" w:color="000000" w:sz="4" w:space="0"/>
            </w:tcBorders>
            <w:vAlign w:val="center"/>
          </w:tcPr>
          <w:p w14:paraId="14431190">
            <w:pPr>
              <w:spacing w:line="240" w:lineRule="auto"/>
              <w:ind w:firstLine="0" w:firstLineChars="0"/>
              <w:jc w:val="both"/>
              <w:rPr>
                <w:rFonts w:ascii="仿宋" w:hAnsi="仿宋" w:eastAsia="仿宋" w:cs="仿宋"/>
                <w:highlight w:val="none"/>
              </w:rPr>
            </w:pPr>
          </w:p>
        </w:tc>
        <w:tc>
          <w:tcPr>
            <w:tcW w:w="1512" w:type="dxa"/>
            <w:tcBorders>
              <w:top w:val="single" w:color="000000" w:sz="4" w:space="0"/>
              <w:left w:val="single" w:color="000000" w:sz="4" w:space="0"/>
              <w:bottom w:val="single" w:color="000000" w:sz="4" w:space="0"/>
              <w:right w:val="single" w:color="000000" w:sz="4" w:space="0"/>
            </w:tcBorders>
            <w:vAlign w:val="center"/>
          </w:tcPr>
          <w:p w14:paraId="6C0579A8">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数据库</w:t>
            </w:r>
          </w:p>
        </w:tc>
        <w:tc>
          <w:tcPr>
            <w:tcW w:w="3544" w:type="dxa"/>
            <w:tcBorders>
              <w:top w:val="single" w:color="000000" w:sz="4" w:space="0"/>
              <w:left w:val="single" w:color="000000" w:sz="4" w:space="0"/>
              <w:bottom w:val="single" w:color="000000" w:sz="4" w:space="0"/>
              <w:right w:val="single" w:color="000000" w:sz="4" w:space="0"/>
            </w:tcBorders>
            <w:noWrap/>
            <w:vAlign w:val="center"/>
          </w:tcPr>
          <w:p w14:paraId="291912A6">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达梦V8.1，由政务云提供数据库实例</w:t>
            </w:r>
          </w:p>
        </w:tc>
        <w:tc>
          <w:tcPr>
            <w:tcW w:w="709" w:type="dxa"/>
            <w:tcBorders>
              <w:top w:val="single" w:color="000000" w:sz="4" w:space="0"/>
              <w:left w:val="single" w:color="000000" w:sz="4" w:space="0"/>
              <w:bottom w:val="single" w:color="000000" w:sz="4" w:space="0"/>
              <w:right w:val="single" w:color="000000" w:sz="4" w:space="0"/>
            </w:tcBorders>
            <w:vAlign w:val="center"/>
          </w:tcPr>
          <w:p w14:paraId="41ED4472">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2</w:t>
            </w:r>
          </w:p>
        </w:tc>
        <w:tc>
          <w:tcPr>
            <w:tcW w:w="1254" w:type="dxa"/>
            <w:tcBorders>
              <w:top w:val="single" w:color="000000" w:sz="4" w:space="0"/>
              <w:left w:val="single" w:color="000000" w:sz="4" w:space="0"/>
              <w:bottom w:val="single" w:color="000000" w:sz="4" w:space="0"/>
              <w:right w:val="single" w:color="000000" w:sz="4" w:space="0"/>
            </w:tcBorders>
            <w:vAlign w:val="center"/>
          </w:tcPr>
          <w:p w14:paraId="46679099">
            <w:pPr>
              <w:widowControl/>
              <w:spacing w:line="240" w:lineRule="auto"/>
              <w:ind w:firstLine="0" w:firstLineChars="0"/>
              <w:jc w:val="both"/>
              <w:textAlignment w:val="center"/>
              <w:rPr>
                <w:rFonts w:ascii="仿宋" w:hAnsi="仿宋" w:eastAsia="仿宋" w:cs="仿宋"/>
                <w:highlight w:val="none"/>
              </w:rPr>
            </w:pPr>
            <w:r>
              <w:rPr>
                <w:rFonts w:hint="eastAsia" w:ascii="仿宋" w:hAnsi="仿宋" w:eastAsia="仿宋" w:cs="仿宋"/>
                <w:kern w:val="0"/>
                <w:highlight w:val="none"/>
                <w:lang w:bidi="ar"/>
              </w:rPr>
              <w:t>由采购人提供</w:t>
            </w:r>
          </w:p>
        </w:tc>
      </w:tr>
    </w:tbl>
    <w:p w14:paraId="70BCB922">
      <w:pPr>
        <w:widowControl/>
        <w:snapToGrid w:val="0"/>
        <w:spacing w:before="120"/>
        <w:ind w:firstLine="482"/>
        <w:jc w:val="both"/>
        <w:rPr>
          <w:rFonts w:ascii="宋体" w:hAnsi="宋体" w:cs="宋体"/>
          <w:b/>
          <w:bCs/>
          <w:highlight w:val="none"/>
        </w:rPr>
      </w:pPr>
      <w:bookmarkStart w:id="11" w:name="heading_12"/>
      <w:r>
        <w:rPr>
          <w:rFonts w:hint="eastAsia" w:ascii="宋体" w:hAnsi="宋体" w:cs="宋体"/>
          <w:b/>
          <w:bCs/>
          <w:color w:val="C00000"/>
          <w:highlight w:val="none"/>
          <w:lang w:bidi="ar"/>
        </w:rPr>
        <w:t>★ 操作系统必须满足</w:t>
      </w:r>
      <w:r>
        <w:rPr>
          <w:rFonts w:hint="eastAsia" w:ascii="宋体" w:hAnsi="宋体" w:cs="宋体"/>
          <w:b/>
          <w:bCs/>
          <w:color w:val="C00000"/>
          <w:highlight w:val="none"/>
          <w:lang w:eastAsia="zh-CN" w:bidi="ar"/>
        </w:rPr>
        <w:t>《财政部工业和信息化部关于引发</w:t>
      </w:r>
      <w:r>
        <w:rPr>
          <w:rFonts w:hint="eastAsia" w:ascii="宋体" w:hAnsi="宋体" w:cs="宋体"/>
          <w:b/>
          <w:bCs/>
          <w:color w:val="C00000"/>
          <w:highlight w:val="none"/>
          <w:lang w:val="en-US" w:eastAsia="zh-CN" w:bidi="ar"/>
        </w:rPr>
        <w:t>&lt;操作系统政府采购需求标准（2023年版本）的通知</w:t>
      </w:r>
      <w:r>
        <w:rPr>
          <w:rFonts w:hint="eastAsia" w:ascii="宋体" w:hAnsi="宋体" w:cs="宋体"/>
          <w:b/>
          <w:bCs/>
          <w:color w:val="C00000"/>
          <w:highlight w:val="none"/>
          <w:lang w:eastAsia="zh-CN" w:bidi="ar"/>
        </w:rPr>
        <w:t>》（财库〔</w:t>
      </w:r>
      <w:r>
        <w:rPr>
          <w:rFonts w:hint="eastAsia" w:ascii="宋体" w:hAnsi="宋体" w:cs="宋体"/>
          <w:b/>
          <w:bCs/>
          <w:color w:val="C00000"/>
          <w:highlight w:val="none"/>
          <w:lang w:val="en-US" w:eastAsia="zh-CN" w:bidi="ar"/>
        </w:rPr>
        <w:t>2023</w:t>
      </w:r>
      <w:r>
        <w:rPr>
          <w:rFonts w:hint="eastAsia" w:ascii="宋体" w:hAnsi="宋体" w:cs="宋体"/>
          <w:b/>
          <w:bCs/>
          <w:color w:val="C00000"/>
          <w:highlight w:val="none"/>
          <w:lang w:eastAsia="zh-CN" w:bidi="ar"/>
        </w:rPr>
        <w:t>〕</w:t>
      </w:r>
      <w:r>
        <w:rPr>
          <w:rFonts w:hint="eastAsia" w:ascii="宋体" w:hAnsi="宋体" w:cs="宋体"/>
          <w:b/>
          <w:bCs/>
          <w:color w:val="C00000"/>
          <w:highlight w:val="none"/>
          <w:lang w:val="en-US" w:eastAsia="zh-CN" w:bidi="ar"/>
        </w:rPr>
        <w:t>34号</w:t>
      </w:r>
      <w:r>
        <w:rPr>
          <w:rFonts w:hint="eastAsia" w:ascii="宋体" w:hAnsi="宋体" w:cs="宋体"/>
          <w:b/>
          <w:bCs/>
          <w:color w:val="C00000"/>
          <w:highlight w:val="none"/>
          <w:lang w:eastAsia="zh-CN" w:bidi="ar"/>
        </w:rPr>
        <w:t>）文件的要求，</w:t>
      </w:r>
      <w:r>
        <w:rPr>
          <w:rFonts w:hint="eastAsia" w:ascii="宋体" w:hAnsi="宋体" w:cs="宋体"/>
          <w:b/>
          <w:bCs/>
          <w:color w:val="C00000"/>
          <w:highlight w:val="none"/>
        </w:rPr>
        <w:t>投标人应提供实质性响应承诺函</w:t>
      </w:r>
      <w:r>
        <w:rPr>
          <w:rFonts w:hint="eastAsia" w:ascii="宋体" w:hAnsi="宋体" w:cs="宋体"/>
          <w:b/>
          <w:bCs/>
          <w:color w:val="C00000"/>
          <w:highlight w:val="none"/>
          <w:lang w:bidi="ar"/>
        </w:rPr>
        <w:t>。（需提供承诺书，承诺本项目投标操作系统满足采购需求文件中加“</w:t>
      </w:r>
      <w:r>
        <w:rPr>
          <w:rFonts w:ascii="宋体" w:hAnsi="宋体" w:cs="宋体"/>
          <w:b/>
          <w:bCs/>
          <w:color w:val="C00000"/>
          <w:highlight w:val="none"/>
          <w:lang w:bidi="ar"/>
        </w:rPr>
        <w:t>*</w:t>
      </w:r>
      <w:r>
        <w:rPr>
          <w:rFonts w:hint="eastAsia" w:ascii="宋体" w:hAnsi="宋体" w:cs="宋体"/>
          <w:b/>
          <w:bCs/>
          <w:color w:val="C00000"/>
          <w:highlight w:val="none"/>
          <w:lang w:bidi="ar"/>
        </w:rPr>
        <w:t>”指标要求，未提供视为不满足）</w:t>
      </w:r>
    </w:p>
    <w:p w14:paraId="13173162">
      <w:pPr>
        <w:spacing w:before="300" w:after="120" w:line="288" w:lineRule="auto"/>
        <w:ind w:firstLine="600"/>
        <w:jc w:val="both"/>
        <w:outlineLvl w:val="2"/>
        <w:rPr>
          <w:rFonts w:ascii="Arial" w:hAnsi="Arial" w:eastAsia="等线" w:cs="Arial"/>
          <w:b/>
          <w:sz w:val="30"/>
          <w:highlight w:val="none"/>
        </w:rPr>
      </w:pPr>
      <w:r>
        <w:rPr>
          <w:rFonts w:hint="eastAsia" w:ascii="Arial" w:hAnsi="Arial" w:eastAsia="等线" w:cs="Arial"/>
          <w:b/>
          <w:sz w:val="30"/>
          <w:highlight w:val="none"/>
        </w:rPr>
        <w:t>2.4 服务器及算力资源</w:t>
      </w:r>
    </w:p>
    <w:p w14:paraId="7BCE42F5">
      <w:pPr>
        <w:wordWrap w:val="0"/>
        <w:ind w:firstLine="480"/>
        <w:jc w:val="both"/>
        <w:rPr>
          <w:rFonts w:ascii="宋体" w:hAnsi="宋体" w:cs="宋体"/>
          <w:highlight w:val="none"/>
        </w:rPr>
      </w:pPr>
      <w:r>
        <w:rPr>
          <w:rFonts w:hint="eastAsia" w:ascii="宋体" w:hAnsi="宋体" w:cs="宋体"/>
          <w:highlight w:val="none"/>
        </w:rPr>
        <w:t>本项目所需的服务器硬件及算力资源将统一依托区级政务云资源进行部署，由采购人提供，资源配置情况如下：</w:t>
      </w:r>
    </w:p>
    <w:p w14:paraId="32EBA059">
      <w:pPr>
        <w:wordWrap w:val="0"/>
        <w:ind w:firstLine="480"/>
        <w:jc w:val="both"/>
        <w:rPr>
          <w:rFonts w:ascii="宋体" w:hAnsi="宋体" w:cs="宋体"/>
          <w:highlight w:val="none"/>
        </w:rPr>
      </w:pPr>
      <w:r>
        <w:rPr>
          <w:rFonts w:hint="eastAsia" w:ascii="宋体" w:hAnsi="宋体" w:cs="宋体"/>
          <w:highlight w:val="none"/>
        </w:rPr>
        <w:t>应用服务器3台，数据库服务器1台，文件服务器1台，AI算法服务器2台。</w:t>
      </w:r>
    </w:p>
    <w:tbl>
      <w:tblPr>
        <w:tblStyle w:val="5"/>
        <w:tblW w:w="8649" w:type="dxa"/>
        <w:tblInd w:w="-34" w:type="dxa"/>
        <w:tblLayout w:type="autofit"/>
        <w:tblCellMar>
          <w:top w:w="57" w:type="dxa"/>
          <w:left w:w="108" w:type="dxa"/>
          <w:bottom w:w="57" w:type="dxa"/>
          <w:right w:w="108" w:type="dxa"/>
        </w:tblCellMar>
      </w:tblPr>
      <w:tblGrid>
        <w:gridCol w:w="440"/>
        <w:gridCol w:w="1017"/>
        <w:gridCol w:w="781"/>
        <w:gridCol w:w="1204"/>
        <w:gridCol w:w="1247"/>
        <w:gridCol w:w="1558"/>
        <w:gridCol w:w="699"/>
        <w:gridCol w:w="928"/>
        <w:gridCol w:w="775"/>
      </w:tblGrid>
      <w:tr w14:paraId="6D337E83">
        <w:tblPrEx>
          <w:tblCellMar>
            <w:top w:w="57" w:type="dxa"/>
            <w:left w:w="108" w:type="dxa"/>
            <w:bottom w:w="57" w:type="dxa"/>
            <w:right w:w="108" w:type="dxa"/>
          </w:tblCellMar>
        </w:tblPrEx>
        <w:trPr>
          <w:trHeight w:val="90" w:hRule="atLeast"/>
          <w:tblHeader/>
        </w:trPr>
        <w:tc>
          <w:tcPr>
            <w:tcW w:w="440"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14734D2D">
            <w:pPr>
              <w:widowControl/>
              <w:spacing w:line="240" w:lineRule="auto"/>
              <w:ind w:firstLine="0" w:firstLineChars="0"/>
              <w:jc w:val="both"/>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序号</w:t>
            </w:r>
          </w:p>
        </w:tc>
        <w:tc>
          <w:tcPr>
            <w:tcW w:w="101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26647ED5">
            <w:pPr>
              <w:widowControl/>
              <w:spacing w:line="240" w:lineRule="auto"/>
              <w:ind w:firstLine="0" w:firstLineChars="0"/>
              <w:jc w:val="both"/>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主机类型</w:t>
            </w:r>
          </w:p>
        </w:tc>
        <w:tc>
          <w:tcPr>
            <w:tcW w:w="781"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8626FCB">
            <w:pPr>
              <w:widowControl/>
              <w:spacing w:line="240" w:lineRule="auto"/>
              <w:ind w:firstLine="0" w:firstLineChars="0"/>
              <w:jc w:val="both"/>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主机数量</w:t>
            </w:r>
          </w:p>
        </w:tc>
        <w:tc>
          <w:tcPr>
            <w:tcW w:w="1204"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367A459">
            <w:pPr>
              <w:widowControl/>
              <w:spacing w:line="240" w:lineRule="auto"/>
              <w:ind w:firstLine="0" w:firstLineChars="0"/>
              <w:jc w:val="both"/>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单台主机CPU数（核）</w:t>
            </w:r>
          </w:p>
        </w:tc>
        <w:tc>
          <w:tcPr>
            <w:tcW w:w="1247"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6A18CFDC">
            <w:pPr>
              <w:widowControl/>
              <w:spacing w:line="240" w:lineRule="auto"/>
              <w:ind w:firstLine="0" w:firstLineChars="0"/>
              <w:jc w:val="both"/>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单台主机</w:t>
            </w:r>
            <w:r>
              <w:rPr>
                <w:rFonts w:hint="eastAsia" w:ascii="宋体" w:hAnsi="宋体" w:cs="宋体"/>
                <w:b/>
                <w:bCs/>
                <w:kern w:val="0"/>
                <w:sz w:val="22"/>
                <w:szCs w:val="22"/>
                <w:highlight w:val="none"/>
                <w:lang w:bidi="ar"/>
              </w:rPr>
              <w:br w:type="textWrapping"/>
            </w:r>
            <w:r>
              <w:rPr>
                <w:rFonts w:hint="eastAsia" w:ascii="宋体" w:hAnsi="宋体" w:cs="宋体"/>
                <w:b/>
                <w:bCs/>
                <w:kern w:val="0"/>
                <w:sz w:val="22"/>
                <w:szCs w:val="22"/>
                <w:highlight w:val="none"/>
                <w:lang w:bidi="ar"/>
              </w:rPr>
              <w:t>内存数</w:t>
            </w:r>
            <w:r>
              <w:rPr>
                <w:rFonts w:hint="eastAsia" w:ascii="宋体" w:hAnsi="宋体" w:cs="宋体"/>
                <w:b/>
                <w:bCs/>
                <w:kern w:val="0"/>
                <w:sz w:val="22"/>
                <w:szCs w:val="22"/>
                <w:highlight w:val="none"/>
                <w:lang w:bidi="ar"/>
              </w:rPr>
              <w:br w:type="textWrapping"/>
            </w:r>
            <w:r>
              <w:rPr>
                <w:rFonts w:hint="eastAsia" w:ascii="宋体" w:hAnsi="宋体" w:cs="宋体"/>
                <w:b/>
                <w:bCs/>
                <w:kern w:val="0"/>
                <w:sz w:val="22"/>
                <w:szCs w:val="22"/>
                <w:highlight w:val="none"/>
                <w:lang w:bidi="ar"/>
              </w:rPr>
              <w:t>（GB）</w:t>
            </w:r>
          </w:p>
        </w:tc>
        <w:tc>
          <w:tcPr>
            <w:tcW w:w="1558"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4EB098E">
            <w:pPr>
              <w:widowControl/>
              <w:spacing w:line="240" w:lineRule="auto"/>
              <w:ind w:firstLine="0" w:firstLineChars="0"/>
              <w:jc w:val="both"/>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单台主机</w:t>
            </w:r>
            <w:r>
              <w:rPr>
                <w:rFonts w:hint="eastAsia" w:ascii="宋体" w:hAnsi="宋体" w:cs="宋体"/>
                <w:b/>
                <w:bCs/>
                <w:kern w:val="0"/>
                <w:sz w:val="22"/>
                <w:szCs w:val="22"/>
                <w:highlight w:val="none"/>
                <w:lang w:bidi="ar"/>
              </w:rPr>
              <w:br w:type="textWrapping"/>
            </w:r>
            <w:r>
              <w:rPr>
                <w:rFonts w:hint="eastAsia" w:ascii="宋体" w:hAnsi="宋体" w:cs="宋体"/>
                <w:b/>
                <w:bCs/>
                <w:kern w:val="0"/>
                <w:sz w:val="22"/>
                <w:szCs w:val="22"/>
                <w:highlight w:val="none"/>
                <w:lang w:bidi="ar"/>
              </w:rPr>
              <w:t>硬盘数</w:t>
            </w:r>
            <w:r>
              <w:rPr>
                <w:rFonts w:hint="eastAsia" w:ascii="宋体" w:hAnsi="宋体" w:cs="宋体"/>
                <w:b/>
                <w:bCs/>
                <w:kern w:val="0"/>
                <w:sz w:val="22"/>
                <w:szCs w:val="22"/>
                <w:highlight w:val="none"/>
                <w:lang w:bidi="ar"/>
              </w:rPr>
              <w:br w:type="textWrapping"/>
            </w:r>
            <w:r>
              <w:rPr>
                <w:rFonts w:hint="eastAsia" w:ascii="宋体" w:hAnsi="宋体" w:cs="宋体"/>
                <w:b/>
                <w:bCs/>
                <w:kern w:val="0"/>
                <w:sz w:val="22"/>
                <w:szCs w:val="22"/>
                <w:highlight w:val="none"/>
                <w:lang w:bidi="ar"/>
              </w:rPr>
              <w:t>（GB）</w:t>
            </w:r>
          </w:p>
        </w:tc>
        <w:tc>
          <w:tcPr>
            <w:tcW w:w="699"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57DA763C">
            <w:pPr>
              <w:widowControl/>
              <w:spacing w:line="240" w:lineRule="auto"/>
              <w:ind w:firstLine="0" w:firstLineChars="0"/>
              <w:jc w:val="both"/>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部署域</w:t>
            </w:r>
          </w:p>
        </w:tc>
        <w:tc>
          <w:tcPr>
            <w:tcW w:w="928"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2F6B9FB">
            <w:pPr>
              <w:widowControl/>
              <w:spacing w:line="240" w:lineRule="auto"/>
              <w:ind w:firstLine="0" w:firstLineChars="0"/>
              <w:jc w:val="both"/>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是否需要</w:t>
            </w:r>
            <w:r>
              <w:rPr>
                <w:rFonts w:hint="eastAsia" w:ascii="宋体" w:hAnsi="宋体" w:cs="宋体"/>
                <w:b/>
                <w:bCs/>
                <w:kern w:val="0"/>
                <w:sz w:val="22"/>
                <w:szCs w:val="22"/>
                <w:highlight w:val="none"/>
                <w:lang w:bidi="ar"/>
              </w:rPr>
              <w:br w:type="textWrapping"/>
            </w:r>
            <w:r>
              <w:rPr>
                <w:rFonts w:hint="eastAsia" w:ascii="宋体" w:hAnsi="宋体" w:cs="宋体"/>
                <w:b/>
                <w:bCs/>
                <w:kern w:val="0"/>
                <w:sz w:val="22"/>
                <w:szCs w:val="22"/>
                <w:highlight w:val="none"/>
                <w:lang w:bidi="ar"/>
              </w:rPr>
              <w:t>NAS文件存储</w:t>
            </w:r>
          </w:p>
        </w:tc>
        <w:tc>
          <w:tcPr>
            <w:tcW w:w="775" w:type="dxa"/>
            <w:tcBorders>
              <w:top w:val="single" w:color="000000" w:sz="4" w:space="0"/>
              <w:left w:val="single" w:color="000000" w:sz="4" w:space="0"/>
              <w:bottom w:val="single" w:color="000000" w:sz="4" w:space="0"/>
              <w:right w:val="single" w:color="000000" w:sz="4" w:space="0"/>
            </w:tcBorders>
            <w:shd w:val="clear" w:color="auto" w:fill="F2F2F2"/>
            <w:vAlign w:val="center"/>
          </w:tcPr>
          <w:p w14:paraId="7E49B862">
            <w:pPr>
              <w:widowControl/>
              <w:spacing w:line="240" w:lineRule="auto"/>
              <w:ind w:firstLine="0" w:firstLineChars="0"/>
              <w:jc w:val="both"/>
              <w:textAlignment w:val="center"/>
              <w:rPr>
                <w:rFonts w:ascii="宋体" w:hAnsi="宋体" w:cs="宋体"/>
                <w:b/>
                <w:bCs/>
                <w:sz w:val="22"/>
                <w:szCs w:val="22"/>
                <w:highlight w:val="none"/>
              </w:rPr>
            </w:pPr>
            <w:r>
              <w:rPr>
                <w:rFonts w:hint="eastAsia" w:ascii="宋体" w:hAnsi="宋体" w:cs="宋体"/>
                <w:b/>
                <w:bCs/>
                <w:kern w:val="0"/>
                <w:sz w:val="22"/>
                <w:szCs w:val="22"/>
                <w:highlight w:val="none"/>
                <w:lang w:bidi="ar"/>
              </w:rPr>
              <w:t>NAS容量（GB)</w:t>
            </w:r>
          </w:p>
        </w:tc>
      </w:tr>
      <w:tr w14:paraId="0608A249">
        <w:tblPrEx>
          <w:tblCellMar>
            <w:top w:w="57" w:type="dxa"/>
            <w:left w:w="108" w:type="dxa"/>
            <w:bottom w:w="57" w:type="dxa"/>
            <w:right w:w="108" w:type="dxa"/>
          </w:tblCellMar>
        </w:tblPrEx>
        <w:trPr>
          <w:trHeight w:val="90"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6B894B9E">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1</w:t>
            </w:r>
          </w:p>
        </w:tc>
        <w:tc>
          <w:tcPr>
            <w:tcW w:w="1017" w:type="dxa"/>
            <w:tcBorders>
              <w:top w:val="single" w:color="000000" w:sz="4" w:space="0"/>
              <w:left w:val="single" w:color="000000" w:sz="4" w:space="0"/>
              <w:bottom w:val="single" w:color="000000" w:sz="4" w:space="0"/>
              <w:right w:val="single" w:color="000000" w:sz="4" w:space="0"/>
            </w:tcBorders>
            <w:vAlign w:val="center"/>
          </w:tcPr>
          <w:p w14:paraId="0D26D91F">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应用服务器</w:t>
            </w:r>
          </w:p>
        </w:tc>
        <w:tc>
          <w:tcPr>
            <w:tcW w:w="781" w:type="dxa"/>
            <w:tcBorders>
              <w:top w:val="single" w:color="000000" w:sz="4" w:space="0"/>
              <w:left w:val="single" w:color="000000" w:sz="4" w:space="0"/>
              <w:bottom w:val="single" w:color="000000" w:sz="4" w:space="0"/>
              <w:right w:val="single" w:color="000000" w:sz="4" w:space="0"/>
            </w:tcBorders>
            <w:vAlign w:val="center"/>
          </w:tcPr>
          <w:p w14:paraId="26644352">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1</w:t>
            </w:r>
          </w:p>
        </w:tc>
        <w:tc>
          <w:tcPr>
            <w:tcW w:w="1204" w:type="dxa"/>
            <w:tcBorders>
              <w:top w:val="single" w:color="000000" w:sz="4" w:space="0"/>
              <w:left w:val="single" w:color="000000" w:sz="4" w:space="0"/>
              <w:bottom w:val="single" w:color="000000" w:sz="4" w:space="0"/>
              <w:right w:val="single" w:color="000000" w:sz="4" w:space="0"/>
            </w:tcBorders>
            <w:vAlign w:val="center"/>
          </w:tcPr>
          <w:p w14:paraId="6F775815">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64</w:t>
            </w:r>
          </w:p>
        </w:tc>
        <w:tc>
          <w:tcPr>
            <w:tcW w:w="1247" w:type="dxa"/>
            <w:tcBorders>
              <w:top w:val="single" w:color="000000" w:sz="4" w:space="0"/>
              <w:left w:val="single" w:color="000000" w:sz="4" w:space="0"/>
              <w:bottom w:val="single" w:color="000000" w:sz="4" w:space="0"/>
              <w:right w:val="single" w:color="000000" w:sz="4" w:space="0"/>
            </w:tcBorders>
            <w:vAlign w:val="center"/>
          </w:tcPr>
          <w:p w14:paraId="507B1FC7">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128</w:t>
            </w:r>
          </w:p>
        </w:tc>
        <w:tc>
          <w:tcPr>
            <w:tcW w:w="1558" w:type="dxa"/>
            <w:tcBorders>
              <w:top w:val="single" w:color="000000" w:sz="4" w:space="0"/>
              <w:left w:val="single" w:color="000000" w:sz="4" w:space="0"/>
              <w:bottom w:val="single" w:color="000000" w:sz="4" w:space="0"/>
              <w:right w:val="single" w:color="000000" w:sz="4" w:space="0"/>
            </w:tcBorders>
            <w:vAlign w:val="center"/>
          </w:tcPr>
          <w:p w14:paraId="1E7F02C4">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单台主机硬盘数：2000GB</w:t>
            </w:r>
          </w:p>
        </w:tc>
        <w:tc>
          <w:tcPr>
            <w:tcW w:w="699" w:type="dxa"/>
            <w:vMerge w:val="restart"/>
            <w:tcBorders>
              <w:top w:val="single" w:color="000000" w:sz="4" w:space="0"/>
              <w:left w:val="single" w:color="000000" w:sz="4" w:space="0"/>
              <w:right w:val="single" w:color="000000" w:sz="4" w:space="0"/>
            </w:tcBorders>
            <w:vAlign w:val="center"/>
          </w:tcPr>
          <w:p w14:paraId="0999DB25">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政务云政务外网区</w:t>
            </w:r>
          </w:p>
        </w:tc>
        <w:tc>
          <w:tcPr>
            <w:tcW w:w="928" w:type="dxa"/>
            <w:tcBorders>
              <w:top w:val="single" w:color="000000" w:sz="4" w:space="0"/>
              <w:left w:val="single" w:color="000000" w:sz="4" w:space="0"/>
              <w:bottom w:val="single" w:color="000000" w:sz="4" w:space="0"/>
              <w:right w:val="single" w:color="000000" w:sz="4" w:space="0"/>
            </w:tcBorders>
            <w:vAlign w:val="center"/>
          </w:tcPr>
          <w:p w14:paraId="6E78C7EC">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否</w:t>
            </w:r>
          </w:p>
        </w:tc>
        <w:tc>
          <w:tcPr>
            <w:tcW w:w="775" w:type="dxa"/>
            <w:tcBorders>
              <w:top w:val="single" w:color="000000" w:sz="4" w:space="0"/>
              <w:left w:val="single" w:color="000000" w:sz="4" w:space="0"/>
              <w:bottom w:val="single" w:color="000000" w:sz="4" w:space="0"/>
              <w:right w:val="single" w:color="000000" w:sz="4" w:space="0"/>
            </w:tcBorders>
            <w:vAlign w:val="center"/>
          </w:tcPr>
          <w:p w14:paraId="2A9A8C64">
            <w:pPr>
              <w:spacing w:line="240" w:lineRule="auto"/>
              <w:ind w:firstLine="0" w:firstLineChars="0"/>
              <w:jc w:val="both"/>
              <w:rPr>
                <w:rFonts w:ascii="宋体" w:hAnsi="宋体" w:cs="宋体"/>
                <w:sz w:val="22"/>
                <w:szCs w:val="22"/>
                <w:highlight w:val="none"/>
              </w:rPr>
            </w:pPr>
          </w:p>
        </w:tc>
      </w:tr>
      <w:tr w14:paraId="349728E9">
        <w:tblPrEx>
          <w:tblCellMar>
            <w:top w:w="57" w:type="dxa"/>
            <w:left w:w="108" w:type="dxa"/>
            <w:bottom w:w="57" w:type="dxa"/>
            <w:right w:w="108" w:type="dxa"/>
          </w:tblCellMar>
        </w:tblPrEx>
        <w:trPr>
          <w:trHeight w:val="90"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144688B7">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2</w:t>
            </w:r>
          </w:p>
        </w:tc>
        <w:tc>
          <w:tcPr>
            <w:tcW w:w="1017" w:type="dxa"/>
            <w:tcBorders>
              <w:top w:val="single" w:color="000000" w:sz="4" w:space="0"/>
              <w:left w:val="single" w:color="000000" w:sz="4" w:space="0"/>
              <w:bottom w:val="single" w:color="000000" w:sz="4" w:space="0"/>
              <w:right w:val="single" w:color="000000" w:sz="4" w:space="0"/>
            </w:tcBorders>
            <w:vAlign w:val="center"/>
          </w:tcPr>
          <w:p w14:paraId="70F77ED0">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应用服务器</w:t>
            </w:r>
          </w:p>
        </w:tc>
        <w:tc>
          <w:tcPr>
            <w:tcW w:w="781" w:type="dxa"/>
            <w:tcBorders>
              <w:top w:val="single" w:color="000000" w:sz="4" w:space="0"/>
              <w:left w:val="single" w:color="000000" w:sz="4" w:space="0"/>
              <w:bottom w:val="single" w:color="000000" w:sz="4" w:space="0"/>
              <w:right w:val="single" w:color="000000" w:sz="4" w:space="0"/>
            </w:tcBorders>
            <w:vAlign w:val="center"/>
          </w:tcPr>
          <w:p w14:paraId="61C8E374">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1</w:t>
            </w:r>
          </w:p>
        </w:tc>
        <w:tc>
          <w:tcPr>
            <w:tcW w:w="1204" w:type="dxa"/>
            <w:tcBorders>
              <w:top w:val="single" w:color="000000" w:sz="4" w:space="0"/>
              <w:left w:val="single" w:color="000000" w:sz="4" w:space="0"/>
              <w:bottom w:val="single" w:color="000000" w:sz="4" w:space="0"/>
              <w:right w:val="single" w:color="000000" w:sz="4" w:space="0"/>
            </w:tcBorders>
            <w:vAlign w:val="center"/>
          </w:tcPr>
          <w:p w14:paraId="72CAB693">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64</w:t>
            </w:r>
          </w:p>
        </w:tc>
        <w:tc>
          <w:tcPr>
            <w:tcW w:w="1247" w:type="dxa"/>
            <w:tcBorders>
              <w:top w:val="single" w:color="000000" w:sz="4" w:space="0"/>
              <w:left w:val="single" w:color="000000" w:sz="4" w:space="0"/>
              <w:bottom w:val="single" w:color="000000" w:sz="4" w:space="0"/>
              <w:right w:val="single" w:color="000000" w:sz="4" w:space="0"/>
            </w:tcBorders>
            <w:vAlign w:val="center"/>
          </w:tcPr>
          <w:p w14:paraId="65CB12A5">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128</w:t>
            </w:r>
          </w:p>
        </w:tc>
        <w:tc>
          <w:tcPr>
            <w:tcW w:w="1558" w:type="dxa"/>
            <w:tcBorders>
              <w:top w:val="single" w:color="000000" w:sz="4" w:space="0"/>
              <w:left w:val="single" w:color="000000" w:sz="4" w:space="0"/>
              <w:bottom w:val="single" w:color="000000" w:sz="4" w:space="0"/>
              <w:right w:val="single" w:color="000000" w:sz="4" w:space="0"/>
            </w:tcBorders>
            <w:vAlign w:val="center"/>
          </w:tcPr>
          <w:p w14:paraId="3A973DDA">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单台主机硬盘数：2500GB</w:t>
            </w:r>
          </w:p>
        </w:tc>
        <w:tc>
          <w:tcPr>
            <w:tcW w:w="699" w:type="dxa"/>
            <w:vMerge w:val="continue"/>
            <w:tcBorders>
              <w:left w:val="single" w:color="000000" w:sz="4" w:space="0"/>
              <w:right w:val="single" w:color="000000" w:sz="4" w:space="0"/>
            </w:tcBorders>
            <w:vAlign w:val="center"/>
          </w:tcPr>
          <w:p w14:paraId="572C9BFA">
            <w:pPr>
              <w:spacing w:line="240" w:lineRule="auto"/>
              <w:ind w:firstLine="0" w:firstLineChars="0"/>
              <w:jc w:val="both"/>
              <w:rPr>
                <w:rFonts w:ascii="宋体" w:hAnsi="宋体" w:cs="宋体"/>
                <w:sz w:val="22"/>
                <w:szCs w:val="22"/>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6568A01B">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否</w:t>
            </w:r>
          </w:p>
        </w:tc>
        <w:tc>
          <w:tcPr>
            <w:tcW w:w="775" w:type="dxa"/>
            <w:tcBorders>
              <w:top w:val="single" w:color="000000" w:sz="4" w:space="0"/>
              <w:left w:val="single" w:color="000000" w:sz="4" w:space="0"/>
              <w:bottom w:val="single" w:color="000000" w:sz="4" w:space="0"/>
              <w:right w:val="single" w:color="000000" w:sz="4" w:space="0"/>
            </w:tcBorders>
            <w:vAlign w:val="center"/>
          </w:tcPr>
          <w:p w14:paraId="79D3274A">
            <w:pPr>
              <w:spacing w:line="240" w:lineRule="auto"/>
              <w:ind w:firstLine="0" w:firstLineChars="0"/>
              <w:jc w:val="both"/>
              <w:rPr>
                <w:rFonts w:ascii="宋体" w:hAnsi="宋体" w:cs="宋体"/>
                <w:sz w:val="22"/>
                <w:szCs w:val="22"/>
                <w:highlight w:val="none"/>
              </w:rPr>
            </w:pPr>
          </w:p>
        </w:tc>
      </w:tr>
      <w:tr w14:paraId="29EF4246">
        <w:tblPrEx>
          <w:tblCellMar>
            <w:top w:w="57" w:type="dxa"/>
            <w:left w:w="108" w:type="dxa"/>
            <w:bottom w:w="57" w:type="dxa"/>
            <w:right w:w="108" w:type="dxa"/>
          </w:tblCellMar>
        </w:tblPrEx>
        <w:trPr>
          <w:trHeight w:val="90"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26094332">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3</w:t>
            </w:r>
          </w:p>
        </w:tc>
        <w:tc>
          <w:tcPr>
            <w:tcW w:w="1017" w:type="dxa"/>
            <w:tcBorders>
              <w:top w:val="single" w:color="000000" w:sz="4" w:space="0"/>
              <w:left w:val="single" w:color="000000" w:sz="4" w:space="0"/>
              <w:bottom w:val="single" w:color="000000" w:sz="4" w:space="0"/>
              <w:right w:val="single" w:color="000000" w:sz="4" w:space="0"/>
            </w:tcBorders>
            <w:vAlign w:val="center"/>
          </w:tcPr>
          <w:p w14:paraId="4C6392C1">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数据库服务器</w:t>
            </w:r>
          </w:p>
        </w:tc>
        <w:tc>
          <w:tcPr>
            <w:tcW w:w="781" w:type="dxa"/>
            <w:tcBorders>
              <w:top w:val="single" w:color="000000" w:sz="4" w:space="0"/>
              <w:left w:val="single" w:color="000000" w:sz="4" w:space="0"/>
              <w:bottom w:val="single" w:color="000000" w:sz="4" w:space="0"/>
              <w:right w:val="single" w:color="000000" w:sz="4" w:space="0"/>
            </w:tcBorders>
            <w:vAlign w:val="center"/>
          </w:tcPr>
          <w:p w14:paraId="2301DBCB">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1</w:t>
            </w:r>
          </w:p>
        </w:tc>
        <w:tc>
          <w:tcPr>
            <w:tcW w:w="1204" w:type="dxa"/>
            <w:tcBorders>
              <w:top w:val="single" w:color="000000" w:sz="4" w:space="0"/>
              <w:left w:val="single" w:color="000000" w:sz="4" w:space="0"/>
              <w:bottom w:val="single" w:color="000000" w:sz="4" w:space="0"/>
              <w:right w:val="single" w:color="000000" w:sz="4" w:space="0"/>
            </w:tcBorders>
            <w:vAlign w:val="center"/>
          </w:tcPr>
          <w:p w14:paraId="1959C0E2">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32</w:t>
            </w:r>
          </w:p>
        </w:tc>
        <w:tc>
          <w:tcPr>
            <w:tcW w:w="1247" w:type="dxa"/>
            <w:tcBorders>
              <w:top w:val="single" w:color="000000" w:sz="4" w:space="0"/>
              <w:left w:val="single" w:color="000000" w:sz="4" w:space="0"/>
              <w:bottom w:val="single" w:color="000000" w:sz="4" w:space="0"/>
              <w:right w:val="single" w:color="000000" w:sz="4" w:space="0"/>
            </w:tcBorders>
            <w:vAlign w:val="center"/>
          </w:tcPr>
          <w:p w14:paraId="2349522E">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64</w:t>
            </w:r>
          </w:p>
        </w:tc>
        <w:tc>
          <w:tcPr>
            <w:tcW w:w="1558" w:type="dxa"/>
            <w:tcBorders>
              <w:top w:val="single" w:color="000000" w:sz="4" w:space="0"/>
              <w:left w:val="single" w:color="000000" w:sz="4" w:space="0"/>
              <w:bottom w:val="single" w:color="000000" w:sz="4" w:space="0"/>
              <w:right w:val="single" w:color="000000" w:sz="4" w:space="0"/>
            </w:tcBorders>
            <w:vAlign w:val="center"/>
          </w:tcPr>
          <w:p w14:paraId="4EE26B67">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单台主机硬盘数：1000GB</w:t>
            </w:r>
          </w:p>
        </w:tc>
        <w:tc>
          <w:tcPr>
            <w:tcW w:w="699" w:type="dxa"/>
            <w:vMerge w:val="continue"/>
            <w:tcBorders>
              <w:left w:val="single" w:color="000000" w:sz="4" w:space="0"/>
              <w:right w:val="single" w:color="000000" w:sz="4" w:space="0"/>
            </w:tcBorders>
            <w:vAlign w:val="center"/>
          </w:tcPr>
          <w:p w14:paraId="5F3F2D33">
            <w:pPr>
              <w:spacing w:line="240" w:lineRule="auto"/>
              <w:ind w:firstLine="0" w:firstLineChars="0"/>
              <w:jc w:val="both"/>
              <w:rPr>
                <w:rFonts w:ascii="宋体" w:hAnsi="宋体" w:cs="宋体"/>
                <w:sz w:val="22"/>
                <w:szCs w:val="22"/>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15B5F51E">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是</w:t>
            </w:r>
          </w:p>
        </w:tc>
        <w:tc>
          <w:tcPr>
            <w:tcW w:w="775" w:type="dxa"/>
            <w:tcBorders>
              <w:top w:val="single" w:color="000000" w:sz="4" w:space="0"/>
              <w:left w:val="single" w:color="000000" w:sz="4" w:space="0"/>
              <w:bottom w:val="single" w:color="000000" w:sz="4" w:space="0"/>
              <w:right w:val="single" w:color="000000" w:sz="4" w:space="0"/>
            </w:tcBorders>
            <w:vAlign w:val="center"/>
          </w:tcPr>
          <w:p w14:paraId="00892F7B">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71680</w:t>
            </w:r>
          </w:p>
        </w:tc>
      </w:tr>
      <w:tr w14:paraId="00D6AF1C">
        <w:tblPrEx>
          <w:tblCellMar>
            <w:top w:w="57" w:type="dxa"/>
            <w:left w:w="108" w:type="dxa"/>
            <w:bottom w:w="57" w:type="dxa"/>
            <w:right w:w="108" w:type="dxa"/>
          </w:tblCellMar>
        </w:tblPrEx>
        <w:trPr>
          <w:trHeight w:val="90"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5ACE40EF">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4</w:t>
            </w:r>
          </w:p>
        </w:tc>
        <w:tc>
          <w:tcPr>
            <w:tcW w:w="1017" w:type="dxa"/>
            <w:tcBorders>
              <w:top w:val="single" w:color="000000" w:sz="4" w:space="0"/>
              <w:left w:val="single" w:color="000000" w:sz="4" w:space="0"/>
              <w:bottom w:val="single" w:color="000000" w:sz="4" w:space="0"/>
              <w:right w:val="single" w:color="000000" w:sz="4" w:space="0"/>
            </w:tcBorders>
            <w:vAlign w:val="center"/>
          </w:tcPr>
          <w:p w14:paraId="359DFD6F">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文件服务器</w:t>
            </w:r>
          </w:p>
        </w:tc>
        <w:tc>
          <w:tcPr>
            <w:tcW w:w="781" w:type="dxa"/>
            <w:tcBorders>
              <w:top w:val="single" w:color="000000" w:sz="4" w:space="0"/>
              <w:left w:val="single" w:color="000000" w:sz="4" w:space="0"/>
              <w:bottom w:val="single" w:color="000000" w:sz="4" w:space="0"/>
              <w:right w:val="single" w:color="000000" w:sz="4" w:space="0"/>
            </w:tcBorders>
            <w:vAlign w:val="center"/>
          </w:tcPr>
          <w:p w14:paraId="09105D00">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1</w:t>
            </w:r>
          </w:p>
        </w:tc>
        <w:tc>
          <w:tcPr>
            <w:tcW w:w="1204" w:type="dxa"/>
            <w:tcBorders>
              <w:top w:val="single" w:color="000000" w:sz="4" w:space="0"/>
              <w:left w:val="single" w:color="000000" w:sz="4" w:space="0"/>
              <w:bottom w:val="single" w:color="000000" w:sz="4" w:space="0"/>
              <w:right w:val="single" w:color="000000" w:sz="4" w:space="0"/>
            </w:tcBorders>
            <w:vAlign w:val="center"/>
          </w:tcPr>
          <w:p w14:paraId="53CC7C06">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32</w:t>
            </w:r>
          </w:p>
        </w:tc>
        <w:tc>
          <w:tcPr>
            <w:tcW w:w="1247" w:type="dxa"/>
            <w:tcBorders>
              <w:top w:val="single" w:color="000000" w:sz="4" w:space="0"/>
              <w:left w:val="single" w:color="000000" w:sz="4" w:space="0"/>
              <w:bottom w:val="single" w:color="000000" w:sz="4" w:space="0"/>
              <w:right w:val="single" w:color="000000" w:sz="4" w:space="0"/>
            </w:tcBorders>
            <w:vAlign w:val="center"/>
          </w:tcPr>
          <w:p w14:paraId="66BEE6C4">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32</w:t>
            </w:r>
          </w:p>
        </w:tc>
        <w:tc>
          <w:tcPr>
            <w:tcW w:w="1558" w:type="dxa"/>
            <w:tcBorders>
              <w:top w:val="single" w:color="000000" w:sz="4" w:space="0"/>
              <w:left w:val="single" w:color="000000" w:sz="4" w:space="0"/>
              <w:bottom w:val="single" w:color="000000" w:sz="4" w:space="0"/>
              <w:right w:val="single" w:color="000000" w:sz="4" w:space="0"/>
            </w:tcBorders>
            <w:vAlign w:val="center"/>
          </w:tcPr>
          <w:p w14:paraId="44A7DF52">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单台主机硬盘数：2500GB</w:t>
            </w:r>
          </w:p>
        </w:tc>
        <w:tc>
          <w:tcPr>
            <w:tcW w:w="699" w:type="dxa"/>
            <w:vMerge w:val="continue"/>
            <w:tcBorders>
              <w:left w:val="single" w:color="000000" w:sz="4" w:space="0"/>
              <w:right w:val="single" w:color="000000" w:sz="4" w:space="0"/>
            </w:tcBorders>
            <w:vAlign w:val="center"/>
          </w:tcPr>
          <w:p w14:paraId="772F18C3">
            <w:pPr>
              <w:spacing w:line="240" w:lineRule="auto"/>
              <w:ind w:firstLine="0" w:firstLineChars="0"/>
              <w:jc w:val="both"/>
              <w:rPr>
                <w:rFonts w:ascii="宋体" w:hAnsi="宋体" w:cs="宋体"/>
                <w:sz w:val="22"/>
                <w:szCs w:val="22"/>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64D5F815">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否</w:t>
            </w:r>
          </w:p>
        </w:tc>
        <w:tc>
          <w:tcPr>
            <w:tcW w:w="775" w:type="dxa"/>
            <w:tcBorders>
              <w:top w:val="single" w:color="000000" w:sz="4" w:space="0"/>
              <w:left w:val="single" w:color="000000" w:sz="4" w:space="0"/>
              <w:bottom w:val="single" w:color="000000" w:sz="4" w:space="0"/>
              <w:right w:val="single" w:color="000000" w:sz="4" w:space="0"/>
            </w:tcBorders>
            <w:vAlign w:val="center"/>
          </w:tcPr>
          <w:p w14:paraId="7F9B3895">
            <w:pPr>
              <w:spacing w:line="240" w:lineRule="auto"/>
              <w:ind w:firstLine="0" w:firstLineChars="0"/>
              <w:jc w:val="both"/>
              <w:rPr>
                <w:rFonts w:ascii="宋体" w:hAnsi="宋体" w:cs="宋体"/>
                <w:sz w:val="22"/>
                <w:szCs w:val="22"/>
                <w:highlight w:val="none"/>
              </w:rPr>
            </w:pPr>
          </w:p>
        </w:tc>
      </w:tr>
      <w:tr w14:paraId="1686DF2A">
        <w:tblPrEx>
          <w:tblCellMar>
            <w:top w:w="57" w:type="dxa"/>
            <w:left w:w="108" w:type="dxa"/>
            <w:bottom w:w="57" w:type="dxa"/>
            <w:right w:w="108" w:type="dxa"/>
          </w:tblCellMar>
        </w:tblPrEx>
        <w:trPr>
          <w:trHeight w:val="90"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470865C4">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5</w:t>
            </w:r>
          </w:p>
        </w:tc>
        <w:tc>
          <w:tcPr>
            <w:tcW w:w="1017" w:type="dxa"/>
            <w:tcBorders>
              <w:top w:val="single" w:color="000000" w:sz="4" w:space="0"/>
              <w:left w:val="single" w:color="000000" w:sz="4" w:space="0"/>
              <w:bottom w:val="single" w:color="000000" w:sz="4" w:space="0"/>
              <w:right w:val="single" w:color="000000" w:sz="4" w:space="0"/>
            </w:tcBorders>
            <w:vAlign w:val="center"/>
          </w:tcPr>
          <w:p w14:paraId="2834EA92">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应用服务器</w:t>
            </w:r>
          </w:p>
        </w:tc>
        <w:tc>
          <w:tcPr>
            <w:tcW w:w="781" w:type="dxa"/>
            <w:tcBorders>
              <w:top w:val="single" w:color="000000" w:sz="4" w:space="0"/>
              <w:left w:val="single" w:color="000000" w:sz="4" w:space="0"/>
              <w:bottom w:val="single" w:color="000000" w:sz="4" w:space="0"/>
              <w:right w:val="single" w:color="000000" w:sz="4" w:space="0"/>
            </w:tcBorders>
            <w:vAlign w:val="center"/>
          </w:tcPr>
          <w:p w14:paraId="1117A43B">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1</w:t>
            </w:r>
          </w:p>
        </w:tc>
        <w:tc>
          <w:tcPr>
            <w:tcW w:w="1204" w:type="dxa"/>
            <w:tcBorders>
              <w:top w:val="single" w:color="000000" w:sz="4" w:space="0"/>
              <w:left w:val="single" w:color="000000" w:sz="4" w:space="0"/>
              <w:bottom w:val="single" w:color="000000" w:sz="4" w:space="0"/>
              <w:right w:val="single" w:color="000000" w:sz="4" w:space="0"/>
            </w:tcBorders>
            <w:vAlign w:val="center"/>
          </w:tcPr>
          <w:p w14:paraId="53041FF5">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32</w:t>
            </w:r>
          </w:p>
        </w:tc>
        <w:tc>
          <w:tcPr>
            <w:tcW w:w="1247" w:type="dxa"/>
            <w:tcBorders>
              <w:top w:val="single" w:color="000000" w:sz="4" w:space="0"/>
              <w:left w:val="single" w:color="000000" w:sz="4" w:space="0"/>
              <w:bottom w:val="single" w:color="000000" w:sz="4" w:space="0"/>
              <w:right w:val="single" w:color="000000" w:sz="4" w:space="0"/>
            </w:tcBorders>
            <w:vAlign w:val="center"/>
          </w:tcPr>
          <w:p w14:paraId="604AE081">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64</w:t>
            </w:r>
          </w:p>
        </w:tc>
        <w:tc>
          <w:tcPr>
            <w:tcW w:w="1558" w:type="dxa"/>
            <w:tcBorders>
              <w:top w:val="single" w:color="000000" w:sz="4" w:space="0"/>
              <w:left w:val="single" w:color="000000" w:sz="4" w:space="0"/>
              <w:bottom w:val="single" w:color="000000" w:sz="4" w:space="0"/>
              <w:right w:val="single" w:color="000000" w:sz="4" w:space="0"/>
            </w:tcBorders>
            <w:vAlign w:val="center"/>
          </w:tcPr>
          <w:p w14:paraId="3393A149">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单台主机硬盘数：1100GB</w:t>
            </w:r>
          </w:p>
        </w:tc>
        <w:tc>
          <w:tcPr>
            <w:tcW w:w="699" w:type="dxa"/>
            <w:vMerge w:val="continue"/>
            <w:tcBorders>
              <w:left w:val="single" w:color="000000" w:sz="4" w:space="0"/>
              <w:right w:val="single" w:color="000000" w:sz="4" w:space="0"/>
            </w:tcBorders>
            <w:vAlign w:val="center"/>
          </w:tcPr>
          <w:p w14:paraId="419F40FD">
            <w:pPr>
              <w:spacing w:line="240" w:lineRule="auto"/>
              <w:ind w:firstLine="0" w:firstLineChars="0"/>
              <w:jc w:val="both"/>
              <w:rPr>
                <w:rFonts w:ascii="宋体" w:hAnsi="宋体" w:cs="宋体"/>
                <w:sz w:val="22"/>
                <w:szCs w:val="22"/>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158D1117">
            <w:pPr>
              <w:widowControl/>
              <w:spacing w:line="240" w:lineRule="auto"/>
              <w:ind w:firstLine="0" w:firstLineChars="0"/>
              <w:jc w:val="both"/>
              <w:textAlignment w:val="center"/>
              <w:rPr>
                <w:rFonts w:ascii="宋体" w:hAnsi="宋体" w:cs="宋体"/>
                <w:sz w:val="22"/>
                <w:szCs w:val="22"/>
                <w:highlight w:val="none"/>
              </w:rPr>
            </w:pPr>
            <w:r>
              <w:rPr>
                <w:rFonts w:hint="eastAsia" w:ascii="宋体" w:hAnsi="宋体" w:cs="宋体"/>
                <w:kern w:val="0"/>
                <w:sz w:val="22"/>
                <w:szCs w:val="22"/>
                <w:highlight w:val="none"/>
                <w:lang w:bidi="ar"/>
              </w:rPr>
              <w:t>否</w:t>
            </w:r>
          </w:p>
        </w:tc>
        <w:tc>
          <w:tcPr>
            <w:tcW w:w="775" w:type="dxa"/>
            <w:tcBorders>
              <w:top w:val="single" w:color="000000" w:sz="4" w:space="0"/>
              <w:left w:val="single" w:color="000000" w:sz="4" w:space="0"/>
              <w:bottom w:val="single" w:color="000000" w:sz="4" w:space="0"/>
              <w:right w:val="single" w:color="000000" w:sz="4" w:space="0"/>
            </w:tcBorders>
            <w:vAlign w:val="center"/>
          </w:tcPr>
          <w:p w14:paraId="5FD55766">
            <w:pPr>
              <w:spacing w:line="240" w:lineRule="auto"/>
              <w:ind w:firstLine="0" w:firstLineChars="0"/>
              <w:jc w:val="both"/>
              <w:rPr>
                <w:rFonts w:ascii="宋体" w:hAnsi="宋体" w:cs="宋体"/>
                <w:sz w:val="22"/>
                <w:szCs w:val="22"/>
                <w:highlight w:val="none"/>
              </w:rPr>
            </w:pPr>
          </w:p>
        </w:tc>
      </w:tr>
      <w:tr w14:paraId="029E89CD">
        <w:tblPrEx>
          <w:tblCellMar>
            <w:top w:w="57" w:type="dxa"/>
            <w:left w:w="108" w:type="dxa"/>
            <w:bottom w:w="57" w:type="dxa"/>
            <w:right w:w="108" w:type="dxa"/>
          </w:tblCellMar>
        </w:tblPrEx>
        <w:trPr>
          <w:trHeight w:val="90"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4F2C1271">
            <w:pPr>
              <w:widowControl/>
              <w:spacing w:line="240" w:lineRule="auto"/>
              <w:ind w:firstLine="0" w:firstLineChars="0"/>
              <w:jc w:val="both"/>
              <w:textAlignment w:val="center"/>
              <w:rPr>
                <w:rFonts w:ascii="宋体" w:hAnsi="宋体" w:cs="宋体"/>
                <w:kern w:val="0"/>
                <w:sz w:val="22"/>
                <w:szCs w:val="22"/>
                <w:highlight w:val="none"/>
                <w:lang w:bidi="ar"/>
              </w:rPr>
            </w:pPr>
            <w:r>
              <w:rPr>
                <w:rFonts w:hint="eastAsia" w:ascii="宋体" w:hAnsi="宋体" w:cs="宋体"/>
                <w:kern w:val="0"/>
                <w:sz w:val="22"/>
                <w:szCs w:val="22"/>
                <w:highlight w:val="none"/>
                <w:lang w:bidi="ar"/>
              </w:rPr>
              <w:t>6</w:t>
            </w:r>
          </w:p>
        </w:tc>
        <w:tc>
          <w:tcPr>
            <w:tcW w:w="1017" w:type="dxa"/>
            <w:tcBorders>
              <w:top w:val="single" w:color="000000" w:sz="4" w:space="0"/>
              <w:left w:val="single" w:color="000000" w:sz="4" w:space="0"/>
              <w:bottom w:val="single" w:color="000000" w:sz="4" w:space="0"/>
              <w:right w:val="single" w:color="000000" w:sz="4" w:space="0"/>
            </w:tcBorders>
            <w:vAlign w:val="center"/>
          </w:tcPr>
          <w:p w14:paraId="68CC5E20">
            <w:pPr>
              <w:widowControl/>
              <w:spacing w:line="240" w:lineRule="auto"/>
              <w:ind w:firstLine="0" w:firstLineChars="0"/>
              <w:jc w:val="both"/>
              <w:textAlignment w:val="center"/>
              <w:rPr>
                <w:rFonts w:ascii="宋体" w:hAnsi="宋体" w:cs="宋体"/>
                <w:kern w:val="0"/>
                <w:sz w:val="22"/>
                <w:szCs w:val="22"/>
                <w:highlight w:val="none"/>
                <w:lang w:bidi="ar"/>
              </w:rPr>
            </w:pPr>
            <w:r>
              <w:rPr>
                <w:rFonts w:hint="eastAsia" w:ascii="宋体" w:hAnsi="宋体" w:cs="宋体"/>
                <w:kern w:val="0"/>
                <w:sz w:val="22"/>
                <w:szCs w:val="22"/>
                <w:highlight w:val="none"/>
                <w:lang w:bidi="ar"/>
              </w:rPr>
              <w:t>AI算法服务器</w:t>
            </w:r>
          </w:p>
        </w:tc>
        <w:tc>
          <w:tcPr>
            <w:tcW w:w="781" w:type="dxa"/>
            <w:tcBorders>
              <w:top w:val="single" w:color="000000" w:sz="4" w:space="0"/>
              <w:left w:val="single" w:color="000000" w:sz="4" w:space="0"/>
              <w:bottom w:val="single" w:color="000000" w:sz="4" w:space="0"/>
              <w:right w:val="single" w:color="000000" w:sz="4" w:space="0"/>
            </w:tcBorders>
            <w:vAlign w:val="center"/>
          </w:tcPr>
          <w:p w14:paraId="0343F31B">
            <w:pPr>
              <w:widowControl/>
              <w:spacing w:line="240" w:lineRule="auto"/>
              <w:ind w:firstLine="0" w:firstLineChars="0"/>
              <w:jc w:val="both"/>
              <w:textAlignment w:val="center"/>
              <w:rPr>
                <w:rFonts w:ascii="宋体" w:hAnsi="宋体" w:cs="宋体"/>
                <w:kern w:val="0"/>
                <w:sz w:val="22"/>
                <w:szCs w:val="22"/>
                <w:highlight w:val="none"/>
                <w:lang w:bidi="ar"/>
              </w:rPr>
            </w:pPr>
            <w:r>
              <w:rPr>
                <w:rFonts w:hint="eastAsia" w:ascii="宋体" w:hAnsi="宋体" w:cs="宋体"/>
                <w:kern w:val="0"/>
                <w:sz w:val="22"/>
                <w:szCs w:val="22"/>
                <w:highlight w:val="none"/>
                <w:lang w:bidi="ar"/>
              </w:rPr>
              <w:t>2</w:t>
            </w:r>
          </w:p>
        </w:tc>
        <w:tc>
          <w:tcPr>
            <w:tcW w:w="1204" w:type="dxa"/>
            <w:tcBorders>
              <w:top w:val="single" w:color="000000" w:sz="4" w:space="0"/>
              <w:left w:val="single" w:color="000000" w:sz="4" w:space="0"/>
              <w:bottom w:val="single" w:color="000000" w:sz="4" w:space="0"/>
              <w:right w:val="single" w:color="000000" w:sz="4" w:space="0"/>
            </w:tcBorders>
            <w:vAlign w:val="center"/>
          </w:tcPr>
          <w:p w14:paraId="60D2017D">
            <w:pPr>
              <w:widowControl/>
              <w:spacing w:line="240" w:lineRule="auto"/>
              <w:ind w:firstLine="0" w:firstLineChars="0"/>
              <w:jc w:val="both"/>
              <w:textAlignment w:val="center"/>
              <w:rPr>
                <w:rFonts w:ascii="宋体" w:hAnsi="宋体" w:cs="宋体"/>
                <w:kern w:val="0"/>
                <w:sz w:val="22"/>
                <w:szCs w:val="22"/>
                <w:highlight w:val="none"/>
                <w:lang w:bidi="ar"/>
              </w:rPr>
            </w:pPr>
            <w:r>
              <w:rPr>
                <w:rFonts w:hint="eastAsia" w:ascii="宋体" w:hAnsi="宋体" w:cs="宋体"/>
                <w:kern w:val="0"/>
                <w:sz w:val="22"/>
                <w:szCs w:val="22"/>
                <w:highlight w:val="none"/>
                <w:lang w:bidi="ar"/>
              </w:rPr>
              <w:t>64</w:t>
            </w:r>
          </w:p>
        </w:tc>
        <w:tc>
          <w:tcPr>
            <w:tcW w:w="1247" w:type="dxa"/>
            <w:tcBorders>
              <w:top w:val="single" w:color="000000" w:sz="4" w:space="0"/>
              <w:left w:val="single" w:color="000000" w:sz="4" w:space="0"/>
              <w:bottom w:val="single" w:color="000000" w:sz="4" w:space="0"/>
              <w:right w:val="single" w:color="000000" w:sz="4" w:space="0"/>
            </w:tcBorders>
            <w:vAlign w:val="center"/>
          </w:tcPr>
          <w:p w14:paraId="738FF878">
            <w:pPr>
              <w:widowControl/>
              <w:spacing w:line="240" w:lineRule="auto"/>
              <w:ind w:firstLine="0" w:firstLineChars="0"/>
              <w:jc w:val="both"/>
              <w:textAlignment w:val="center"/>
              <w:rPr>
                <w:rFonts w:ascii="宋体" w:hAnsi="宋体" w:cs="宋体"/>
                <w:kern w:val="0"/>
                <w:sz w:val="22"/>
                <w:szCs w:val="22"/>
                <w:highlight w:val="none"/>
                <w:lang w:bidi="ar"/>
              </w:rPr>
            </w:pPr>
            <w:r>
              <w:rPr>
                <w:rFonts w:hint="eastAsia" w:ascii="宋体" w:hAnsi="宋体" w:cs="宋体"/>
                <w:kern w:val="0"/>
                <w:sz w:val="22"/>
                <w:szCs w:val="22"/>
                <w:highlight w:val="none"/>
                <w:lang w:bidi="ar"/>
              </w:rPr>
              <w:t>128</w:t>
            </w:r>
          </w:p>
        </w:tc>
        <w:tc>
          <w:tcPr>
            <w:tcW w:w="1558" w:type="dxa"/>
            <w:tcBorders>
              <w:top w:val="single" w:color="000000" w:sz="4" w:space="0"/>
              <w:left w:val="single" w:color="000000" w:sz="4" w:space="0"/>
              <w:bottom w:val="single" w:color="000000" w:sz="4" w:space="0"/>
              <w:right w:val="single" w:color="000000" w:sz="4" w:space="0"/>
            </w:tcBorders>
            <w:vAlign w:val="center"/>
          </w:tcPr>
          <w:p w14:paraId="753BFF30">
            <w:pPr>
              <w:widowControl/>
              <w:spacing w:line="240" w:lineRule="auto"/>
              <w:ind w:firstLine="0" w:firstLineChars="0"/>
              <w:jc w:val="both"/>
              <w:textAlignment w:val="center"/>
              <w:rPr>
                <w:rFonts w:ascii="宋体" w:hAnsi="宋体" w:cs="宋体"/>
                <w:kern w:val="0"/>
                <w:sz w:val="22"/>
                <w:szCs w:val="22"/>
                <w:highlight w:val="none"/>
                <w:lang w:bidi="ar"/>
              </w:rPr>
            </w:pPr>
            <w:r>
              <w:rPr>
                <w:rFonts w:hint="eastAsia" w:ascii="宋体" w:hAnsi="宋体" w:cs="宋体"/>
                <w:kern w:val="0"/>
                <w:sz w:val="22"/>
                <w:szCs w:val="22"/>
                <w:highlight w:val="none"/>
                <w:lang w:bidi="ar"/>
              </w:rPr>
              <w:t>单台主机硬盘数：</w:t>
            </w:r>
            <w:r>
              <w:rPr>
                <w:rFonts w:ascii="宋体" w:hAnsi="宋体" w:cs="宋体"/>
                <w:kern w:val="0"/>
                <w:sz w:val="22"/>
                <w:szCs w:val="22"/>
                <w:highlight w:val="none"/>
                <w:lang w:bidi="ar"/>
              </w:rPr>
              <w:t>1500GB</w:t>
            </w:r>
          </w:p>
          <w:p w14:paraId="19B9CE59">
            <w:pPr>
              <w:widowControl/>
              <w:spacing w:line="240" w:lineRule="auto"/>
              <w:ind w:firstLine="0" w:firstLineChars="0"/>
              <w:jc w:val="both"/>
              <w:textAlignment w:val="center"/>
              <w:rPr>
                <w:rFonts w:ascii="宋体" w:hAnsi="宋体" w:cs="宋体"/>
                <w:kern w:val="0"/>
                <w:sz w:val="22"/>
                <w:szCs w:val="22"/>
                <w:highlight w:val="none"/>
                <w:lang w:bidi="ar"/>
              </w:rPr>
            </w:pPr>
            <w:r>
              <w:rPr>
                <w:rFonts w:hint="eastAsia" w:ascii="宋体" w:hAnsi="宋体" w:cs="宋体"/>
                <w:kern w:val="0"/>
                <w:sz w:val="22"/>
                <w:szCs w:val="22"/>
                <w:highlight w:val="none"/>
                <w:lang w:bidi="ar"/>
              </w:rPr>
              <w:t>单台主机</w:t>
            </w:r>
            <w:r>
              <w:rPr>
                <w:rFonts w:ascii="宋体" w:hAnsi="宋体" w:cs="宋体"/>
                <w:kern w:val="0"/>
                <w:sz w:val="22"/>
                <w:szCs w:val="22"/>
                <w:highlight w:val="none"/>
                <w:lang w:bidi="ar"/>
              </w:rPr>
              <w:t>GPU: Atlas 300I Duo推理卡 × 5，单卡5路并发，每路支撑一个算法</w:t>
            </w:r>
          </w:p>
        </w:tc>
        <w:tc>
          <w:tcPr>
            <w:tcW w:w="699" w:type="dxa"/>
            <w:vMerge w:val="continue"/>
            <w:tcBorders>
              <w:left w:val="single" w:color="000000" w:sz="4" w:space="0"/>
              <w:bottom w:val="single" w:color="000000" w:sz="4" w:space="0"/>
              <w:right w:val="single" w:color="000000" w:sz="4" w:space="0"/>
            </w:tcBorders>
            <w:vAlign w:val="center"/>
          </w:tcPr>
          <w:p w14:paraId="082DF431">
            <w:pPr>
              <w:spacing w:line="240" w:lineRule="auto"/>
              <w:ind w:firstLine="0" w:firstLineChars="0"/>
              <w:jc w:val="both"/>
              <w:rPr>
                <w:rFonts w:ascii="宋体" w:hAnsi="宋体" w:cs="宋体"/>
                <w:sz w:val="22"/>
                <w:szCs w:val="22"/>
                <w:highlight w:val="none"/>
              </w:rPr>
            </w:pPr>
          </w:p>
        </w:tc>
        <w:tc>
          <w:tcPr>
            <w:tcW w:w="928" w:type="dxa"/>
            <w:tcBorders>
              <w:top w:val="single" w:color="000000" w:sz="4" w:space="0"/>
              <w:left w:val="single" w:color="000000" w:sz="4" w:space="0"/>
              <w:bottom w:val="single" w:color="000000" w:sz="4" w:space="0"/>
              <w:right w:val="single" w:color="000000" w:sz="4" w:space="0"/>
            </w:tcBorders>
            <w:vAlign w:val="center"/>
          </w:tcPr>
          <w:p w14:paraId="65FDB6B1">
            <w:pPr>
              <w:widowControl/>
              <w:spacing w:line="240" w:lineRule="auto"/>
              <w:ind w:firstLine="0" w:firstLineChars="0"/>
              <w:jc w:val="both"/>
              <w:textAlignment w:val="center"/>
              <w:rPr>
                <w:rFonts w:ascii="宋体" w:hAnsi="宋体" w:cs="宋体"/>
                <w:kern w:val="0"/>
                <w:sz w:val="22"/>
                <w:szCs w:val="22"/>
                <w:highlight w:val="none"/>
                <w:lang w:bidi="ar"/>
              </w:rPr>
            </w:pPr>
            <w:r>
              <w:rPr>
                <w:rFonts w:hint="eastAsia" w:ascii="宋体" w:hAnsi="宋体" w:cs="宋体"/>
                <w:kern w:val="0"/>
                <w:sz w:val="22"/>
                <w:szCs w:val="22"/>
                <w:highlight w:val="none"/>
                <w:lang w:bidi="ar"/>
              </w:rPr>
              <w:t>否</w:t>
            </w:r>
          </w:p>
        </w:tc>
        <w:tc>
          <w:tcPr>
            <w:tcW w:w="775" w:type="dxa"/>
            <w:tcBorders>
              <w:top w:val="single" w:color="000000" w:sz="4" w:space="0"/>
              <w:left w:val="single" w:color="000000" w:sz="4" w:space="0"/>
              <w:bottom w:val="single" w:color="000000" w:sz="4" w:space="0"/>
              <w:right w:val="single" w:color="000000" w:sz="4" w:space="0"/>
            </w:tcBorders>
            <w:vAlign w:val="center"/>
          </w:tcPr>
          <w:p w14:paraId="51569BA9">
            <w:pPr>
              <w:spacing w:line="240" w:lineRule="auto"/>
              <w:ind w:firstLine="0" w:firstLineChars="0"/>
              <w:jc w:val="both"/>
              <w:rPr>
                <w:rFonts w:ascii="宋体" w:hAnsi="宋体" w:cs="宋体"/>
                <w:sz w:val="22"/>
                <w:szCs w:val="22"/>
                <w:highlight w:val="none"/>
              </w:rPr>
            </w:pPr>
          </w:p>
        </w:tc>
      </w:tr>
    </w:tbl>
    <w:p w14:paraId="3A894232">
      <w:pPr>
        <w:spacing w:before="300" w:after="120" w:line="288" w:lineRule="auto"/>
        <w:ind w:firstLine="600"/>
        <w:jc w:val="both"/>
        <w:outlineLvl w:val="2"/>
        <w:rPr>
          <w:highlight w:val="none"/>
        </w:rPr>
      </w:pPr>
      <w:r>
        <w:rPr>
          <w:rFonts w:hint="eastAsia" w:ascii="Arial" w:hAnsi="Arial" w:eastAsia="等线" w:cs="Arial"/>
          <w:b/>
          <w:sz w:val="30"/>
          <w:highlight w:val="none"/>
        </w:rPr>
        <w:t>2</w:t>
      </w:r>
      <w:r>
        <w:rPr>
          <w:rFonts w:ascii="Arial" w:hAnsi="Arial" w:eastAsia="等线" w:cs="Arial"/>
          <w:b/>
          <w:sz w:val="30"/>
          <w:highlight w:val="none"/>
        </w:rPr>
        <w:t>.</w:t>
      </w:r>
      <w:r>
        <w:rPr>
          <w:rFonts w:hint="eastAsia" w:ascii="Arial" w:hAnsi="Arial" w:eastAsia="等线" w:cs="Arial"/>
          <w:b/>
          <w:sz w:val="30"/>
          <w:highlight w:val="none"/>
        </w:rPr>
        <w:t>5</w:t>
      </w:r>
      <w:r>
        <w:rPr>
          <w:rFonts w:ascii="Arial" w:hAnsi="Arial" w:eastAsia="等线" w:cs="Arial"/>
          <w:b/>
          <w:sz w:val="30"/>
          <w:highlight w:val="none"/>
        </w:rPr>
        <w:t xml:space="preserve"> 系统集成</w:t>
      </w:r>
      <w:bookmarkEnd w:id="11"/>
      <w:r>
        <w:rPr>
          <w:rFonts w:hint="eastAsia" w:ascii="Arial" w:hAnsi="Arial" w:eastAsia="等线" w:cs="Arial"/>
          <w:b/>
          <w:sz w:val="30"/>
          <w:highlight w:val="none"/>
        </w:rPr>
        <w:t>服务</w:t>
      </w:r>
    </w:p>
    <w:p w14:paraId="3EBD547A">
      <w:pPr>
        <w:spacing w:before="120" w:after="120" w:line="288" w:lineRule="auto"/>
        <w:ind w:firstLine="480"/>
        <w:jc w:val="both"/>
        <w:rPr>
          <w:rFonts w:ascii="宋体" w:hAnsi="宋体" w:cs="Arial"/>
          <w:highlight w:val="none"/>
        </w:rPr>
      </w:pPr>
      <w:r>
        <w:rPr>
          <w:rFonts w:hint="eastAsia" w:ascii="宋体" w:hAnsi="宋体" w:cs="Arial"/>
          <w:highlight w:val="none"/>
        </w:rPr>
        <w:t>包含</w:t>
      </w:r>
      <w:r>
        <w:rPr>
          <w:rFonts w:ascii="宋体" w:hAnsi="宋体" w:cs="Arial"/>
          <w:highlight w:val="none"/>
        </w:rPr>
        <w:t>所有软硬件的部署调试、网络配置、系统联调及现场技术支持等全部</w:t>
      </w:r>
      <w:r>
        <w:rPr>
          <w:rFonts w:hint="eastAsia" w:ascii="宋体" w:hAnsi="宋体" w:cs="Arial"/>
          <w:highlight w:val="none"/>
        </w:rPr>
        <w:t>集成</w:t>
      </w:r>
      <w:r>
        <w:rPr>
          <w:rFonts w:ascii="宋体" w:hAnsi="宋体" w:cs="Arial"/>
          <w:highlight w:val="none"/>
        </w:rPr>
        <w:t>工作内容，费用包含在总报价中。</w:t>
      </w:r>
      <w:r>
        <w:rPr>
          <w:rFonts w:hint="eastAsia" w:ascii="宋体" w:hAnsi="宋体" w:cs="Arial"/>
          <w:highlight w:val="none"/>
        </w:rPr>
        <w:t>投标人应注意，本项目的硬件设备以及成品软件是平台系统的一部分，不可脱离应用软件开发工作独立提供，应通过集成与配置，以满足平台系统的实际应用需求为交付目标。</w:t>
      </w:r>
    </w:p>
    <w:p w14:paraId="005E9DC6">
      <w:pPr>
        <w:spacing w:before="320" w:after="120" w:line="288" w:lineRule="auto"/>
        <w:ind w:firstLine="640"/>
        <w:jc w:val="both"/>
        <w:outlineLvl w:val="1"/>
        <w:rPr>
          <w:highlight w:val="none"/>
        </w:rPr>
      </w:pPr>
      <w:bookmarkStart w:id="12" w:name="heading_13"/>
      <w:r>
        <w:rPr>
          <w:rFonts w:hint="eastAsia" w:ascii="Arial" w:hAnsi="Arial" w:eastAsia="等线" w:cs="Arial"/>
          <w:b/>
          <w:sz w:val="32"/>
          <w:highlight w:val="none"/>
        </w:rPr>
        <w:t>三、</w:t>
      </w:r>
      <w:r>
        <w:rPr>
          <w:rFonts w:ascii="Arial" w:hAnsi="Arial" w:eastAsia="等线" w:cs="Arial"/>
          <w:b/>
          <w:sz w:val="32"/>
          <w:highlight w:val="none"/>
        </w:rPr>
        <w:t>技术质量要求</w:t>
      </w:r>
      <w:bookmarkEnd w:id="12"/>
    </w:p>
    <w:p w14:paraId="48D7530D">
      <w:pPr>
        <w:spacing w:before="300" w:after="120" w:line="288" w:lineRule="auto"/>
        <w:ind w:firstLine="600"/>
        <w:jc w:val="both"/>
        <w:outlineLvl w:val="2"/>
        <w:rPr>
          <w:highlight w:val="none"/>
        </w:rPr>
      </w:pPr>
      <w:bookmarkStart w:id="13" w:name="heading_14"/>
      <w:r>
        <w:rPr>
          <w:rFonts w:hint="eastAsia" w:ascii="Arial" w:hAnsi="Arial" w:eastAsia="等线" w:cs="Arial"/>
          <w:b/>
          <w:sz w:val="30"/>
          <w:highlight w:val="none"/>
        </w:rPr>
        <w:t>3</w:t>
      </w:r>
      <w:r>
        <w:rPr>
          <w:rFonts w:ascii="Arial" w:hAnsi="Arial" w:eastAsia="等线" w:cs="Arial"/>
          <w:b/>
          <w:sz w:val="30"/>
          <w:highlight w:val="none"/>
        </w:rPr>
        <w:t>.1 适用技术规范</w:t>
      </w:r>
      <w:bookmarkEnd w:id="13"/>
    </w:p>
    <w:p w14:paraId="0799F451">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 42590-2023《民用无人驾驶航空器系统安全要求》</w:t>
      </w:r>
    </w:p>
    <w:p w14:paraId="383E7A14">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HB 8593-2021《民用轻小型多旋翼无人机系统飞行性能》</w:t>
      </w:r>
    </w:p>
    <w:p w14:paraId="4FDE2303">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44717-2024《民用无人机可靠性飞行试验要求与方法》</w:t>
      </w:r>
    </w:p>
    <w:p w14:paraId="17F20A73">
      <w:pPr>
        <w:numPr>
          <w:ilvl w:val="0"/>
          <w:numId w:val="3"/>
        </w:numPr>
        <w:spacing w:before="120" w:after="120"/>
        <w:ind w:left="283" w:leftChars="118" w:firstLineChars="0"/>
        <w:jc w:val="both"/>
        <w:rPr>
          <w:rFonts w:ascii="宋体" w:hAnsi="宋体" w:cs="Arial"/>
          <w:highlight w:val="none"/>
        </w:rPr>
      </w:pPr>
      <w:r>
        <w:rPr>
          <w:rFonts w:hint="eastAsia" w:ascii="宋体" w:hAnsi="宋体" w:cs="Arial"/>
          <w:highlight w:val="none"/>
        </w:rPr>
        <w:t>《民用无人驾驶航空器经营飞行活动管理办法》</w:t>
      </w:r>
    </w:p>
    <w:p w14:paraId="3B87A7E2">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9385-2008《计算机软件需求规格说明规范》；</w:t>
      </w:r>
    </w:p>
    <w:p w14:paraId="5E40553A">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GB/T15532-2008 《计算机软件测试规范》；</w:t>
      </w:r>
    </w:p>
    <w:p w14:paraId="651280E3">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20158-2006《信息技术软件生存周期过程配置管理》；</w:t>
      </w:r>
    </w:p>
    <w:p w14:paraId="11E7771C">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20157-2006《信息技术软件维护》；</w:t>
      </w:r>
    </w:p>
    <w:p w14:paraId="77D11D33">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CB 1360-2002《计算机软件测试规程》；</w:t>
      </w:r>
    </w:p>
    <w:p w14:paraId="2C5A17ED">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39788-2021 《系统与软件工程 性能测试方法》；</w:t>
      </w:r>
    </w:p>
    <w:p w14:paraId="1754B63E">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38639-2020 《系统与软件工程 软件组合测试方法》；</w:t>
      </w:r>
    </w:p>
    <w:p w14:paraId="27E02584">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8566-2007《信息技术软件生存周期过程》；</w:t>
      </w:r>
    </w:p>
    <w:p w14:paraId="5D0C0D3F">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13502-1992《信息处理程序构造及其表示的约定》；</w:t>
      </w:r>
    </w:p>
    <w:p w14:paraId="326510FD">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14085-1993《信息处理系统计算机系统配置图符号及约定》；</w:t>
      </w:r>
    </w:p>
    <w:p w14:paraId="6A499159">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20009-2019《信息安全技术 数据库管理系统安全评估准则》；</w:t>
      </w:r>
    </w:p>
    <w:p w14:paraId="235A0290">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20272-2019《信息安全技术 操作系统安全技术要求》；</w:t>
      </w:r>
    </w:p>
    <w:p w14:paraId="4F21121F">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25058-2019《信息安全技术 网络安全等级保护实施指南》；</w:t>
      </w:r>
    </w:p>
    <w:p w14:paraId="42C117DD">
      <w:pPr>
        <w:numPr>
          <w:ilvl w:val="0"/>
          <w:numId w:val="3"/>
        </w:numPr>
        <w:spacing w:before="120" w:after="120"/>
        <w:ind w:left="283" w:leftChars="118" w:firstLineChars="0"/>
        <w:jc w:val="both"/>
        <w:rPr>
          <w:rFonts w:ascii="宋体" w:hAnsi="宋体" w:cs="Arial"/>
          <w:highlight w:val="none"/>
        </w:rPr>
      </w:pPr>
      <w:r>
        <w:rPr>
          <w:rFonts w:ascii="宋体" w:hAnsi="宋体" w:cs="Arial"/>
          <w:highlight w:val="none"/>
        </w:rPr>
        <w:t>GB/T 20273-2019《信息安全技术 数据库管理系统安全技术要求》。</w:t>
      </w:r>
    </w:p>
    <w:p w14:paraId="04BD42A5">
      <w:pPr>
        <w:numPr>
          <w:ilvl w:val="0"/>
          <w:numId w:val="3"/>
        </w:numPr>
        <w:spacing w:before="120" w:after="120"/>
        <w:ind w:left="283" w:leftChars="118" w:firstLineChars="0"/>
        <w:jc w:val="both"/>
        <w:rPr>
          <w:rFonts w:ascii="宋体" w:hAnsi="宋体" w:cs="Arial"/>
          <w:highlight w:val="none"/>
        </w:rPr>
      </w:pPr>
      <w:r>
        <w:rPr>
          <w:rFonts w:hint="eastAsia" w:ascii="宋体" w:hAnsi="宋体" w:cs="Arial"/>
          <w:highlight w:val="none"/>
        </w:rPr>
        <w:t>其他标准，以国家最新相关标准为准。</w:t>
      </w:r>
    </w:p>
    <w:p w14:paraId="6BB260BF">
      <w:pPr>
        <w:spacing w:before="120" w:after="120" w:line="288" w:lineRule="auto"/>
        <w:ind w:firstLine="480"/>
        <w:jc w:val="both"/>
        <w:rPr>
          <w:highlight w:val="none"/>
        </w:rPr>
      </w:pPr>
    </w:p>
    <w:p w14:paraId="3536710E">
      <w:pPr>
        <w:spacing w:before="300" w:after="120" w:line="288" w:lineRule="auto"/>
        <w:ind w:firstLine="600"/>
        <w:jc w:val="both"/>
        <w:outlineLvl w:val="2"/>
        <w:rPr>
          <w:rFonts w:ascii="Arial" w:hAnsi="Arial" w:eastAsia="等线" w:cs="Arial"/>
          <w:b/>
          <w:sz w:val="30"/>
          <w:highlight w:val="none"/>
        </w:rPr>
      </w:pPr>
      <w:bookmarkStart w:id="14" w:name="heading_15"/>
      <w:r>
        <w:rPr>
          <w:rFonts w:hint="eastAsia" w:ascii="Arial" w:hAnsi="Arial" w:eastAsia="等线" w:cs="Arial"/>
          <w:b/>
          <w:sz w:val="30"/>
          <w:highlight w:val="none"/>
        </w:rPr>
        <w:t>3</w:t>
      </w:r>
      <w:r>
        <w:rPr>
          <w:rFonts w:ascii="Arial" w:hAnsi="Arial" w:eastAsia="等线" w:cs="Arial"/>
          <w:b/>
          <w:sz w:val="30"/>
          <w:highlight w:val="none"/>
        </w:rPr>
        <w:t>.2 核心性能指标</w:t>
      </w:r>
      <w:bookmarkEnd w:id="14"/>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4029"/>
        <w:gridCol w:w="2771"/>
      </w:tblGrid>
      <w:tr w14:paraId="62F1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Align w:val="center"/>
          </w:tcPr>
          <w:p w14:paraId="049BEEB2">
            <w:pPr>
              <w:ind w:firstLine="0" w:firstLineChars="0"/>
              <w:jc w:val="both"/>
              <w:rPr>
                <w:rFonts w:ascii="宋体" w:hAnsi="宋体"/>
                <w:highlight w:val="none"/>
              </w:rPr>
            </w:pPr>
            <w:bookmarkStart w:id="15" w:name="heading_17"/>
            <w:r>
              <w:rPr>
                <w:rFonts w:hint="eastAsia" w:ascii="宋体" w:hAnsi="宋体" w:cs="宋体"/>
                <w:b/>
                <w:bCs/>
                <w:kern w:val="0"/>
                <w:highlight w:val="none"/>
              </w:rPr>
              <w:t>指标类别</w:t>
            </w:r>
          </w:p>
        </w:tc>
        <w:tc>
          <w:tcPr>
            <w:tcW w:w="4029" w:type="dxa"/>
            <w:vAlign w:val="center"/>
          </w:tcPr>
          <w:p w14:paraId="6D20D683">
            <w:pPr>
              <w:ind w:firstLine="0" w:firstLineChars="0"/>
              <w:jc w:val="both"/>
              <w:rPr>
                <w:rFonts w:ascii="宋体" w:hAnsi="宋体"/>
                <w:highlight w:val="none"/>
              </w:rPr>
            </w:pPr>
            <w:r>
              <w:rPr>
                <w:rFonts w:hint="eastAsia" w:ascii="宋体" w:hAnsi="宋体" w:cs="宋体"/>
                <w:b/>
                <w:bCs/>
                <w:kern w:val="0"/>
                <w:highlight w:val="none"/>
              </w:rPr>
              <w:t>具体指标</w:t>
            </w:r>
          </w:p>
        </w:tc>
        <w:tc>
          <w:tcPr>
            <w:tcW w:w="2771" w:type="dxa"/>
            <w:vAlign w:val="center"/>
          </w:tcPr>
          <w:p w14:paraId="1FD2541B">
            <w:pPr>
              <w:ind w:firstLine="0" w:firstLineChars="0"/>
              <w:jc w:val="both"/>
              <w:rPr>
                <w:rFonts w:ascii="宋体" w:hAnsi="宋体"/>
                <w:highlight w:val="none"/>
              </w:rPr>
            </w:pPr>
            <w:r>
              <w:rPr>
                <w:rFonts w:hint="eastAsia" w:ascii="宋体" w:hAnsi="宋体" w:cs="宋体"/>
                <w:b/>
                <w:bCs/>
                <w:kern w:val="0"/>
                <w:highlight w:val="none"/>
              </w:rPr>
              <w:t>要求值</w:t>
            </w:r>
          </w:p>
        </w:tc>
      </w:tr>
      <w:tr w14:paraId="60C1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restart"/>
            <w:vAlign w:val="center"/>
          </w:tcPr>
          <w:p w14:paraId="5F49FB30">
            <w:pPr>
              <w:ind w:firstLine="0" w:firstLineChars="0"/>
              <w:jc w:val="both"/>
              <w:rPr>
                <w:rFonts w:ascii="宋体" w:hAnsi="宋体" w:cs="仿宋"/>
                <w:highlight w:val="none"/>
              </w:rPr>
            </w:pPr>
            <w:r>
              <w:rPr>
                <w:rFonts w:hint="eastAsia" w:ascii="宋体" w:hAnsi="宋体" w:cs="仿宋"/>
                <w:highlight w:val="none"/>
              </w:rPr>
              <w:t>AI算法性能</w:t>
            </w:r>
          </w:p>
        </w:tc>
        <w:tc>
          <w:tcPr>
            <w:tcW w:w="4029" w:type="dxa"/>
            <w:vAlign w:val="center"/>
          </w:tcPr>
          <w:p w14:paraId="34363CD3">
            <w:pPr>
              <w:ind w:firstLine="0" w:firstLineChars="0"/>
              <w:jc w:val="both"/>
              <w:rPr>
                <w:rFonts w:ascii="宋体" w:hAnsi="宋体" w:cs="仿宋"/>
                <w:kern w:val="0"/>
                <w:highlight w:val="none"/>
              </w:rPr>
            </w:pPr>
            <w:r>
              <w:rPr>
                <w:rFonts w:hint="eastAsia" w:ascii="宋体" w:hAnsi="宋体" w:cs="仿宋"/>
                <w:highlight w:val="none"/>
              </w:rPr>
              <w:t>违停识别准确率</w:t>
            </w:r>
          </w:p>
        </w:tc>
        <w:tc>
          <w:tcPr>
            <w:tcW w:w="2771" w:type="dxa"/>
            <w:vAlign w:val="center"/>
          </w:tcPr>
          <w:p w14:paraId="1FC84312">
            <w:pPr>
              <w:ind w:firstLine="0" w:firstLineChars="0"/>
              <w:jc w:val="both"/>
              <w:rPr>
                <w:rFonts w:ascii="宋体" w:hAnsi="宋体" w:cs="仿宋"/>
                <w:kern w:val="0"/>
                <w:highlight w:val="none"/>
              </w:rPr>
            </w:pPr>
            <w:r>
              <w:rPr>
                <w:rFonts w:hint="eastAsia" w:ascii="宋体" w:hAnsi="宋体" w:cs="仿宋"/>
                <w:highlight w:val="none"/>
              </w:rPr>
              <w:t>≥80%</w:t>
            </w:r>
          </w:p>
        </w:tc>
      </w:tr>
      <w:tr w14:paraId="081C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056B7DE3">
            <w:pPr>
              <w:ind w:firstLine="0" w:firstLineChars="0"/>
              <w:jc w:val="both"/>
              <w:rPr>
                <w:rFonts w:ascii="宋体" w:hAnsi="宋体" w:cs="仿宋"/>
                <w:highlight w:val="none"/>
              </w:rPr>
            </w:pPr>
          </w:p>
        </w:tc>
        <w:tc>
          <w:tcPr>
            <w:tcW w:w="4029" w:type="dxa"/>
            <w:vAlign w:val="center"/>
          </w:tcPr>
          <w:p w14:paraId="07C90E36">
            <w:pPr>
              <w:ind w:firstLine="0" w:firstLineChars="0"/>
              <w:jc w:val="both"/>
              <w:rPr>
                <w:rFonts w:ascii="宋体" w:hAnsi="宋体" w:cs="仿宋"/>
                <w:kern w:val="0"/>
                <w:highlight w:val="none"/>
              </w:rPr>
            </w:pPr>
            <w:r>
              <w:rPr>
                <w:rFonts w:hint="eastAsia" w:ascii="宋体" w:hAnsi="宋体" w:cs="仿宋"/>
                <w:highlight w:val="none"/>
              </w:rPr>
              <w:t>车流量检测准确率</w:t>
            </w:r>
          </w:p>
        </w:tc>
        <w:tc>
          <w:tcPr>
            <w:tcW w:w="2771" w:type="dxa"/>
            <w:vAlign w:val="center"/>
          </w:tcPr>
          <w:p w14:paraId="4732EF8E">
            <w:pPr>
              <w:ind w:firstLine="0" w:firstLineChars="0"/>
              <w:jc w:val="both"/>
              <w:rPr>
                <w:rFonts w:ascii="宋体" w:hAnsi="宋体" w:cs="仿宋"/>
                <w:kern w:val="0"/>
                <w:highlight w:val="none"/>
              </w:rPr>
            </w:pPr>
            <w:r>
              <w:rPr>
                <w:rFonts w:hint="eastAsia" w:ascii="宋体" w:hAnsi="宋体" w:cs="仿宋"/>
                <w:highlight w:val="none"/>
              </w:rPr>
              <w:t>≥80%</w:t>
            </w:r>
          </w:p>
        </w:tc>
      </w:tr>
      <w:tr w14:paraId="502C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58F3D59D">
            <w:pPr>
              <w:ind w:firstLine="0" w:firstLineChars="0"/>
              <w:jc w:val="both"/>
              <w:rPr>
                <w:rFonts w:ascii="宋体" w:hAnsi="宋体" w:cs="仿宋"/>
                <w:highlight w:val="none"/>
              </w:rPr>
            </w:pPr>
          </w:p>
        </w:tc>
        <w:tc>
          <w:tcPr>
            <w:tcW w:w="4029" w:type="dxa"/>
            <w:vAlign w:val="center"/>
          </w:tcPr>
          <w:p w14:paraId="1D56D835">
            <w:pPr>
              <w:ind w:firstLine="0" w:firstLineChars="0"/>
              <w:jc w:val="both"/>
              <w:rPr>
                <w:rFonts w:ascii="宋体" w:hAnsi="宋体" w:cs="仿宋"/>
                <w:kern w:val="0"/>
                <w:highlight w:val="none"/>
              </w:rPr>
            </w:pPr>
            <w:r>
              <w:rPr>
                <w:rFonts w:hint="eastAsia" w:ascii="宋体" w:hAnsi="宋体" w:cs="仿宋"/>
                <w:highlight w:val="none"/>
              </w:rPr>
              <w:t>高速抛洒物识别准确率</w:t>
            </w:r>
          </w:p>
        </w:tc>
        <w:tc>
          <w:tcPr>
            <w:tcW w:w="2771" w:type="dxa"/>
            <w:vAlign w:val="center"/>
          </w:tcPr>
          <w:p w14:paraId="27B11982">
            <w:pPr>
              <w:ind w:firstLine="0" w:firstLineChars="0"/>
              <w:jc w:val="both"/>
              <w:rPr>
                <w:rFonts w:ascii="宋体" w:hAnsi="宋体" w:cs="仿宋"/>
                <w:kern w:val="0"/>
                <w:highlight w:val="none"/>
              </w:rPr>
            </w:pPr>
            <w:r>
              <w:rPr>
                <w:rFonts w:hint="eastAsia" w:ascii="宋体" w:hAnsi="宋体" w:cs="仿宋"/>
                <w:highlight w:val="none"/>
              </w:rPr>
              <w:t>≥80%</w:t>
            </w:r>
          </w:p>
        </w:tc>
      </w:tr>
      <w:tr w14:paraId="0659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52CB6166">
            <w:pPr>
              <w:ind w:firstLine="0" w:firstLineChars="0"/>
              <w:jc w:val="both"/>
              <w:rPr>
                <w:rFonts w:ascii="宋体" w:hAnsi="宋体" w:cs="仿宋"/>
                <w:highlight w:val="none"/>
              </w:rPr>
            </w:pPr>
          </w:p>
        </w:tc>
        <w:tc>
          <w:tcPr>
            <w:tcW w:w="4029" w:type="dxa"/>
            <w:vAlign w:val="center"/>
          </w:tcPr>
          <w:p w14:paraId="5F646A88">
            <w:pPr>
              <w:ind w:firstLine="0" w:firstLineChars="0"/>
              <w:jc w:val="both"/>
              <w:rPr>
                <w:rFonts w:ascii="宋体" w:hAnsi="宋体" w:cs="仿宋"/>
                <w:kern w:val="0"/>
                <w:highlight w:val="none"/>
              </w:rPr>
            </w:pPr>
            <w:r>
              <w:rPr>
                <w:rFonts w:hint="eastAsia" w:ascii="宋体" w:hAnsi="宋体" w:cs="仿宋"/>
                <w:highlight w:val="none"/>
              </w:rPr>
              <w:t>停车场内车辆计数准确率</w:t>
            </w:r>
          </w:p>
        </w:tc>
        <w:tc>
          <w:tcPr>
            <w:tcW w:w="2771" w:type="dxa"/>
            <w:vAlign w:val="center"/>
          </w:tcPr>
          <w:p w14:paraId="2A57D380">
            <w:pPr>
              <w:ind w:firstLine="0" w:firstLineChars="0"/>
              <w:jc w:val="both"/>
              <w:rPr>
                <w:rFonts w:ascii="宋体" w:hAnsi="宋体" w:cs="仿宋"/>
                <w:kern w:val="0"/>
                <w:highlight w:val="none"/>
              </w:rPr>
            </w:pPr>
            <w:r>
              <w:rPr>
                <w:rFonts w:hint="eastAsia" w:ascii="宋体" w:hAnsi="宋体" w:cs="仿宋"/>
                <w:highlight w:val="none"/>
              </w:rPr>
              <w:t>≥80%</w:t>
            </w:r>
          </w:p>
        </w:tc>
      </w:tr>
      <w:tr w14:paraId="1E06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38217FDE">
            <w:pPr>
              <w:ind w:firstLine="0" w:firstLineChars="0"/>
              <w:jc w:val="both"/>
              <w:rPr>
                <w:rFonts w:ascii="宋体" w:hAnsi="宋体" w:cs="仿宋"/>
                <w:highlight w:val="none"/>
              </w:rPr>
            </w:pPr>
          </w:p>
        </w:tc>
        <w:tc>
          <w:tcPr>
            <w:tcW w:w="4029" w:type="dxa"/>
            <w:vAlign w:val="center"/>
          </w:tcPr>
          <w:p w14:paraId="7833320D">
            <w:pPr>
              <w:ind w:firstLine="0" w:firstLineChars="0"/>
              <w:jc w:val="both"/>
              <w:rPr>
                <w:rFonts w:ascii="宋体" w:hAnsi="宋体" w:cs="仿宋"/>
                <w:kern w:val="0"/>
                <w:highlight w:val="none"/>
              </w:rPr>
            </w:pPr>
            <w:r>
              <w:rPr>
                <w:rFonts w:hint="eastAsia" w:ascii="宋体" w:hAnsi="宋体" w:cs="仿宋"/>
                <w:highlight w:val="none"/>
              </w:rPr>
              <w:t>道路施工识别准确率</w:t>
            </w:r>
          </w:p>
        </w:tc>
        <w:tc>
          <w:tcPr>
            <w:tcW w:w="2771" w:type="dxa"/>
            <w:vAlign w:val="center"/>
          </w:tcPr>
          <w:p w14:paraId="5F1404B9">
            <w:pPr>
              <w:ind w:firstLine="0" w:firstLineChars="0"/>
              <w:jc w:val="both"/>
              <w:rPr>
                <w:rFonts w:ascii="宋体" w:hAnsi="宋体" w:cs="仿宋"/>
                <w:kern w:val="0"/>
                <w:highlight w:val="none"/>
              </w:rPr>
            </w:pPr>
            <w:r>
              <w:rPr>
                <w:rFonts w:hint="eastAsia" w:ascii="宋体" w:hAnsi="宋体" w:cs="仿宋"/>
                <w:highlight w:val="none"/>
              </w:rPr>
              <w:t>≥80%</w:t>
            </w:r>
          </w:p>
        </w:tc>
      </w:tr>
      <w:tr w14:paraId="254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68F5A145">
            <w:pPr>
              <w:ind w:firstLine="0" w:firstLineChars="0"/>
              <w:jc w:val="both"/>
              <w:rPr>
                <w:rFonts w:ascii="宋体" w:hAnsi="宋体" w:cs="仿宋"/>
                <w:highlight w:val="none"/>
              </w:rPr>
            </w:pPr>
          </w:p>
        </w:tc>
        <w:tc>
          <w:tcPr>
            <w:tcW w:w="4029" w:type="dxa"/>
            <w:vAlign w:val="center"/>
          </w:tcPr>
          <w:p w14:paraId="3238C2BD">
            <w:pPr>
              <w:ind w:firstLine="0" w:firstLineChars="0"/>
              <w:jc w:val="both"/>
              <w:rPr>
                <w:rFonts w:ascii="宋体" w:hAnsi="宋体" w:cs="仿宋"/>
                <w:kern w:val="0"/>
                <w:highlight w:val="none"/>
              </w:rPr>
            </w:pPr>
            <w:r>
              <w:rPr>
                <w:rFonts w:hint="eastAsia" w:ascii="宋体" w:hAnsi="宋体" w:cs="仿宋"/>
                <w:highlight w:val="none"/>
              </w:rPr>
              <w:t>机动车违反禁止标线识别准确率</w:t>
            </w:r>
          </w:p>
        </w:tc>
        <w:tc>
          <w:tcPr>
            <w:tcW w:w="2771" w:type="dxa"/>
            <w:vAlign w:val="center"/>
          </w:tcPr>
          <w:p w14:paraId="46938B00">
            <w:pPr>
              <w:ind w:firstLine="0" w:firstLineChars="0"/>
              <w:jc w:val="both"/>
              <w:rPr>
                <w:rFonts w:ascii="宋体" w:hAnsi="宋体" w:cs="仿宋"/>
                <w:highlight w:val="none"/>
              </w:rPr>
            </w:pPr>
            <w:r>
              <w:rPr>
                <w:rFonts w:hint="eastAsia" w:ascii="宋体" w:hAnsi="宋体" w:cs="仿宋"/>
                <w:highlight w:val="none"/>
              </w:rPr>
              <w:t>≥80%</w:t>
            </w:r>
          </w:p>
        </w:tc>
      </w:tr>
      <w:tr w14:paraId="02B92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643CF980">
            <w:pPr>
              <w:ind w:firstLine="0" w:firstLineChars="0"/>
              <w:jc w:val="both"/>
              <w:rPr>
                <w:rFonts w:ascii="宋体" w:hAnsi="宋体" w:cs="仿宋"/>
                <w:highlight w:val="none"/>
              </w:rPr>
            </w:pPr>
          </w:p>
        </w:tc>
        <w:tc>
          <w:tcPr>
            <w:tcW w:w="4029" w:type="dxa"/>
            <w:vAlign w:val="center"/>
          </w:tcPr>
          <w:p w14:paraId="123C81B0">
            <w:pPr>
              <w:ind w:firstLine="0" w:firstLineChars="0"/>
              <w:jc w:val="both"/>
              <w:rPr>
                <w:rFonts w:ascii="宋体" w:hAnsi="宋体" w:cs="仿宋"/>
                <w:kern w:val="0"/>
                <w:highlight w:val="none"/>
              </w:rPr>
            </w:pPr>
            <w:r>
              <w:rPr>
                <w:rFonts w:hint="eastAsia" w:ascii="宋体" w:hAnsi="宋体" w:cs="仿宋"/>
                <w:highlight w:val="none"/>
              </w:rPr>
              <w:t>车辆拥堵识别准确率</w:t>
            </w:r>
          </w:p>
        </w:tc>
        <w:tc>
          <w:tcPr>
            <w:tcW w:w="2771" w:type="dxa"/>
            <w:vAlign w:val="center"/>
          </w:tcPr>
          <w:p w14:paraId="3647FCC7">
            <w:pPr>
              <w:ind w:firstLine="0" w:firstLineChars="0"/>
              <w:jc w:val="both"/>
              <w:rPr>
                <w:rFonts w:ascii="宋体" w:hAnsi="宋体" w:cs="仿宋"/>
                <w:highlight w:val="none"/>
              </w:rPr>
            </w:pPr>
            <w:r>
              <w:rPr>
                <w:rFonts w:hint="eastAsia" w:ascii="宋体" w:hAnsi="宋体" w:cs="仿宋"/>
                <w:highlight w:val="none"/>
              </w:rPr>
              <w:t>≥80%</w:t>
            </w:r>
          </w:p>
        </w:tc>
      </w:tr>
      <w:tr w14:paraId="71EA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1546D210">
            <w:pPr>
              <w:ind w:firstLine="0" w:firstLineChars="0"/>
              <w:jc w:val="both"/>
              <w:rPr>
                <w:rFonts w:ascii="宋体" w:hAnsi="宋体" w:cs="仿宋"/>
                <w:highlight w:val="none"/>
              </w:rPr>
            </w:pPr>
          </w:p>
        </w:tc>
        <w:tc>
          <w:tcPr>
            <w:tcW w:w="4029" w:type="dxa"/>
            <w:vAlign w:val="center"/>
          </w:tcPr>
          <w:p w14:paraId="58F56F21">
            <w:pPr>
              <w:ind w:firstLine="0" w:firstLineChars="0"/>
              <w:jc w:val="both"/>
              <w:rPr>
                <w:rFonts w:ascii="宋体" w:hAnsi="宋体" w:cs="仿宋"/>
                <w:kern w:val="0"/>
                <w:highlight w:val="none"/>
              </w:rPr>
            </w:pPr>
            <w:r>
              <w:rPr>
                <w:rFonts w:hint="eastAsia" w:ascii="宋体" w:hAnsi="宋体" w:cs="仿宋"/>
                <w:highlight w:val="none"/>
              </w:rPr>
              <w:t>人流量识别准确率</w:t>
            </w:r>
          </w:p>
        </w:tc>
        <w:tc>
          <w:tcPr>
            <w:tcW w:w="2771" w:type="dxa"/>
            <w:vAlign w:val="center"/>
          </w:tcPr>
          <w:p w14:paraId="5AB5221F">
            <w:pPr>
              <w:ind w:firstLine="0" w:firstLineChars="0"/>
              <w:jc w:val="both"/>
              <w:rPr>
                <w:rFonts w:ascii="宋体" w:hAnsi="宋体" w:cs="仿宋"/>
                <w:highlight w:val="none"/>
              </w:rPr>
            </w:pPr>
            <w:r>
              <w:rPr>
                <w:rFonts w:hint="eastAsia" w:ascii="宋体" w:hAnsi="宋体" w:cs="仿宋"/>
                <w:highlight w:val="none"/>
              </w:rPr>
              <w:t>≥80%</w:t>
            </w:r>
          </w:p>
        </w:tc>
      </w:tr>
      <w:tr w14:paraId="019F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5E127884">
            <w:pPr>
              <w:ind w:firstLine="0" w:firstLineChars="0"/>
              <w:jc w:val="both"/>
              <w:rPr>
                <w:rFonts w:ascii="宋体" w:hAnsi="宋体" w:cs="仿宋"/>
                <w:highlight w:val="none"/>
              </w:rPr>
            </w:pPr>
          </w:p>
        </w:tc>
        <w:tc>
          <w:tcPr>
            <w:tcW w:w="4029" w:type="dxa"/>
            <w:vAlign w:val="center"/>
          </w:tcPr>
          <w:p w14:paraId="05A63EBE">
            <w:pPr>
              <w:ind w:firstLine="0" w:firstLineChars="0"/>
              <w:jc w:val="both"/>
              <w:rPr>
                <w:rFonts w:ascii="宋体" w:hAnsi="宋体" w:cs="仿宋"/>
                <w:kern w:val="0"/>
                <w:highlight w:val="none"/>
              </w:rPr>
            </w:pPr>
            <w:r>
              <w:rPr>
                <w:rFonts w:hint="eastAsia" w:ascii="宋体" w:hAnsi="宋体" w:cs="仿宋"/>
                <w:highlight w:val="none"/>
              </w:rPr>
              <w:t>非机动车违停识别准确率</w:t>
            </w:r>
          </w:p>
        </w:tc>
        <w:tc>
          <w:tcPr>
            <w:tcW w:w="2771" w:type="dxa"/>
            <w:vAlign w:val="center"/>
          </w:tcPr>
          <w:p w14:paraId="55C1A9E2">
            <w:pPr>
              <w:ind w:firstLine="0" w:firstLineChars="0"/>
              <w:jc w:val="both"/>
              <w:rPr>
                <w:rFonts w:ascii="宋体" w:hAnsi="宋体" w:cs="仿宋"/>
                <w:highlight w:val="none"/>
              </w:rPr>
            </w:pPr>
            <w:r>
              <w:rPr>
                <w:rFonts w:hint="eastAsia" w:ascii="宋体" w:hAnsi="宋体" w:cs="仿宋"/>
                <w:highlight w:val="none"/>
              </w:rPr>
              <w:t>≥80%</w:t>
            </w:r>
          </w:p>
        </w:tc>
      </w:tr>
      <w:tr w14:paraId="4F8B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restart"/>
            <w:vAlign w:val="center"/>
          </w:tcPr>
          <w:p w14:paraId="4F90A1F2">
            <w:pPr>
              <w:ind w:firstLine="0" w:firstLineChars="0"/>
              <w:jc w:val="both"/>
              <w:rPr>
                <w:rFonts w:ascii="宋体" w:hAnsi="宋体" w:cs="仿宋"/>
                <w:kern w:val="0"/>
                <w:highlight w:val="none"/>
              </w:rPr>
            </w:pPr>
            <w:r>
              <w:rPr>
                <w:rFonts w:hint="eastAsia" w:ascii="宋体" w:hAnsi="宋体" w:cs="仿宋"/>
                <w:kern w:val="0"/>
                <w:highlight w:val="none"/>
              </w:rPr>
              <w:t>系统指标</w:t>
            </w:r>
          </w:p>
        </w:tc>
        <w:tc>
          <w:tcPr>
            <w:tcW w:w="4029" w:type="dxa"/>
            <w:vAlign w:val="center"/>
          </w:tcPr>
          <w:p w14:paraId="7AA1B0C8">
            <w:pPr>
              <w:ind w:firstLine="0" w:firstLineChars="0"/>
              <w:jc w:val="both"/>
              <w:rPr>
                <w:rFonts w:ascii="宋体" w:hAnsi="宋体" w:cs="仿宋"/>
                <w:kern w:val="0"/>
                <w:highlight w:val="none"/>
              </w:rPr>
            </w:pPr>
            <w:r>
              <w:rPr>
                <w:rFonts w:hint="eastAsia" w:ascii="宋体" w:hAnsi="宋体" w:cs="仿宋"/>
                <w:kern w:val="0"/>
                <w:highlight w:val="none"/>
              </w:rPr>
              <w:t>系统支持7×24小时不间断运行</w:t>
            </w:r>
          </w:p>
        </w:tc>
        <w:tc>
          <w:tcPr>
            <w:tcW w:w="2771" w:type="dxa"/>
            <w:vAlign w:val="center"/>
          </w:tcPr>
          <w:p w14:paraId="2807D53B">
            <w:pPr>
              <w:ind w:firstLine="0" w:firstLineChars="0"/>
              <w:jc w:val="both"/>
              <w:rPr>
                <w:rFonts w:ascii="宋体" w:hAnsi="宋体" w:cs="仿宋"/>
                <w:kern w:val="0"/>
                <w:highlight w:val="none"/>
              </w:rPr>
            </w:pPr>
            <w:r>
              <w:rPr>
                <w:rFonts w:hint="eastAsia" w:ascii="宋体" w:hAnsi="宋体" w:cs="仿宋"/>
                <w:highlight w:val="none"/>
              </w:rPr>
              <w:t>-</w:t>
            </w:r>
          </w:p>
        </w:tc>
      </w:tr>
      <w:tr w14:paraId="4B30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470B4E20">
            <w:pPr>
              <w:ind w:firstLine="0" w:firstLineChars="0"/>
              <w:jc w:val="both"/>
              <w:rPr>
                <w:rFonts w:ascii="宋体" w:hAnsi="宋体" w:cs="仿宋"/>
                <w:kern w:val="0"/>
                <w:highlight w:val="none"/>
              </w:rPr>
            </w:pPr>
          </w:p>
        </w:tc>
        <w:tc>
          <w:tcPr>
            <w:tcW w:w="4029" w:type="dxa"/>
            <w:vAlign w:val="center"/>
          </w:tcPr>
          <w:p w14:paraId="17C0FCAA">
            <w:pPr>
              <w:ind w:firstLine="0" w:firstLineChars="0"/>
              <w:jc w:val="both"/>
              <w:rPr>
                <w:rFonts w:ascii="宋体" w:hAnsi="宋体" w:cs="仿宋"/>
                <w:kern w:val="0"/>
                <w:highlight w:val="none"/>
              </w:rPr>
            </w:pPr>
            <w:r>
              <w:rPr>
                <w:rFonts w:hint="eastAsia" w:ascii="宋体" w:hAnsi="宋体" w:cs="仿宋"/>
                <w:kern w:val="0"/>
                <w:highlight w:val="none"/>
              </w:rPr>
              <w:t>抓拍图像清晰度-文字识别分辨率</w:t>
            </w:r>
          </w:p>
        </w:tc>
        <w:tc>
          <w:tcPr>
            <w:tcW w:w="2771" w:type="dxa"/>
            <w:vAlign w:val="center"/>
          </w:tcPr>
          <w:p w14:paraId="61A9D3D5">
            <w:pPr>
              <w:ind w:firstLine="0" w:firstLineChars="0"/>
              <w:jc w:val="both"/>
              <w:rPr>
                <w:rFonts w:ascii="宋体" w:hAnsi="宋体" w:cs="仿宋"/>
                <w:kern w:val="0"/>
                <w:highlight w:val="none"/>
              </w:rPr>
            </w:pPr>
            <w:r>
              <w:rPr>
                <w:rFonts w:hint="eastAsia" w:ascii="宋体" w:hAnsi="宋体" w:cs="仿宋"/>
                <w:kern w:val="0"/>
                <w:highlight w:val="none"/>
              </w:rPr>
              <w:t>≥200万像素</w:t>
            </w:r>
          </w:p>
        </w:tc>
      </w:tr>
      <w:tr w14:paraId="741B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1D41202C">
            <w:pPr>
              <w:ind w:firstLine="0" w:firstLineChars="0"/>
              <w:jc w:val="both"/>
              <w:rPr>
                <w:rFonts w:ascii="宋体" w:hAnsi="宋体" w:cs="仿宋"/>
                <w:kern w:val="0"/>
                <w:highlight w:val="none"/>
              </w:rPr>
            </w:pPr>
          </w:p>
        </w:tc>
        <w:tc>
          <w:tcPr>
            <w:tcW w:w="4029" w:type="dxa"/>
            <w:vAlign w:val="center"/>
          </w:tcPr>
          <w:p w14:paraId="667BF1C1">
            <w:pPr>
              <w:ind w:firstLine="0" w:firstLineChars="0"/>
              <w:jc w:val="both"/>
              <w:rPr>
                <w:rFonts w:ascii="宋体" w:hAnsi="宋体" w:cs="仿宋"/>
                <w:kern w:val="0"/>
                <w:highlight w:val="none"/>
              </w:rPr>
            </w:pPr>
            <w:r>
              <w:rPr>
                <w:rFonts w:hint="eastAsia" w:ascii="宋体" w:hAnsi="宋体" w:cs="仿宋"/>
                <w:kern w:val="0"/>
                <w:highlight w:val="none"/>
              </w:rPr>
              <w:t>视频流码率</w:t>
            </w:r>
          </w:p>
        </w:tc>
        <w:tc>
          <w:tcPr>
            <w:tcW w:w="2771" w:type="dxa"/>
            <w:vAlign w:val="center"/>
          </w:tcPr>
          <w:p w14:paraId="3BF654AD">
            <w:pPr>
              <w:ind w:firstLine="0" w:firstLineChars="0"/>
              <w:jc w:val="both"/>
              <w:rPr>
                <w:rFonts w:ascii="宋体" w:hAnsi="宋体" w:cs="仿宋"/>
                <w:kern w:val="0"/>
                <w:highlight w:val="none"/>
              </w:rPr>
            </w:pPr>
            <w:r>
              <w:rPr>
                <w:rFonts w:hint="eastAsia" w:ascii="宋体" w:hAnsi="宋体" w:cs="仿宋"/>
                <w:kern w:val="0"/>
                <w:highlight w:val="none"/>
              </w:rPr>
              <w:t>≥8Mbps</w:t>
            </w:r>
          </w:p>
        </w:tc>
      </w:tr>
      <w:tr w14:paraId="1C59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55D955F0">
            <w:pPr>
              <w:ind w:firstLine="0" w:firstLineChars="0"/>
              <w:jc w:val="both"/>
              <w:rPr>
                <w:rFonts w:ascii="宋体" w:hAnsi="宋体" w:cs="仿宋"/>
                <w:kern w:val="0"/>
                <w:highlight w:val="none"/>
              </w:rPr>
            </w:pPr>
          </w:p>
        </w:tc>
        <w:tc>
          <w:tcPr>
            <w:tcW w:w="4029" w:type="dxa"/>
            <w:vAlign w:val="center"/>
          </w:tcPr>
          <w:p w14:paraId="0DC2AF08">
            <w:pPr>
              <w:ind w:firstLine="0" w:firstLineChars="0"/>
              <w:jc w:val="both"/>
              <w:rPr>
                <w:rFonts w:ascii="宋体" w:hAnsi="宋体" w:cs="仿宋"/>
                <w:kern w:val="0"/>
                <w:highlight w:val="none"/>
              </w:rPr>
            </w:pPr>
            <w:r>
              <w:rPr>
                <w:rFonts w:hint="eastAsia" w:ascii="宋体" w:hAnsi="宋体" w:cs="仿宋"/>
                <w:kern w:val="0"/>
                <w:highlight w:val="none"/>
              </w:rPr>
              <w:t>月度数据丢失率</w:t>
            </w:r>
          </w:p>
        </w:tc>
        <w:tc>
          <w:tcPr>
            <w:tcW w:w="2771" w:type="dxa"/>
            <w:vAlign w:val="center"/>
          </w:tcPr>
          <w:p w14:paraId="00C18D64">
            <w:pPr>
              <w:ind w:firstLine="0" w:firstLineChars="0"/>
              <w:jc w:val="both"/>
              <w:rPr>
                <w:rFonts w:ascii="宋体" w:hAnsi="宋体" w:cs="仿宋"/>
                <w:kern w:val="0"/>
                <w:highlight w:val="none"/>
              </w:rPr>
            </w:pPr>
            <w:r>
              <w:rPr>
                <w:rFonts w:hint="eastAsia" w:ascii="宋体" w:hAnsi="宋体" w:cs="仿宋"/>
                <w:kern w:val="0"/>
                <w:highlight w:val="none"/>
              </w:rPr>
              <w:t>≤0.01%</w:t>
            </w:r>
          </w:p>
        </w:tc>
      </w:tr>
      <w:tr w14:paraId="2A1B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restart"/>
            <w:vAlign w:val="center"/>
          </w:tcPr>
          <w:p w14:paraId="41E8A5A1">
            <w:pPr>
              <w:ind w:firstLine="0" w:firstLineChars="0"/>
              <w:jc w:val="both"/>
              <w:rPr>
                <w:rFonts w:ascii="宋体" w:hAnsi="宋体" w:cs="仿宋"/>
                <w:highlight w:val="none"/>
              </w:rPr>
            </w:pPr>
            <w:r>
              <w:rPr>
                <w:rFonts w:hint="eastAsia" w:ascii="宋体" w:hAnsi="宋体" w:cs="仿宋"/>
                <w:kern w:val="0"/>
                <w:highlight w:val="none"/>
              </w:rPr>
              <w:t>用户体验指标</w:t>
            </w:r>
          </w:p>
        </w:tc>
        <w:tc>
          <w:tcPr>
            <w:tcW w:w="4029" w:type="dxa"/>
            <w:vAlign w:val="center"/>
          </w:tcPr>
          <w:p w14:paraId="1526DC28">
            <w:pPr>
              <w:ind w:firstLine="0" w:firstLineChars="0"/>
              <w:jc w:val="both"/>
              <w:rPr>
                <w:rFonts w:ascii="宋体" w:hAnsi="宋体" w:cs="仿宋"/>
                <w:highlight w:val="none"/>
              </w:rPr>
            </w:pPr>
            <w:r>
              <w:rPr>
                <w:rFonts w:hint="eastAsia" w:ascii="宋体" w:hAnsi="宋体" w:cs="仿宋"/>
                <w:kern w:val="0"/>
                <w:highlight w:val="none"/>
              </w:rPr>
              <w:t>任务规划界面响应时间</w:t>
            </w:r>
          </w:p>
        </w:tc>
        <w:tc>
          <w:tcPr>
            <w:tcW w:w="2771" w:type="dxa"/>
            <w:vAlign w:val="center"/>
          </w:tcPr>
          <w:p w14:paraId="0ED8B16B">
            <w:pPr>
              <w:ind w:firstLine="0" w:firstLineChars="0"/>
              <w:jc w:val="both"/>
              <w:rPr>
                <w:rFonts w:ascii="宋体" w:hAnsi="宋体" w:cs="仿宋"/>
                <w:highlight w:val="none"/>
              </w:rPr>
            </w:pPr>
            <w:r>
              <w:rPr>
                <w:rFonts w:hint="eastAsia" w:ascii="宋体" w:hAnsi="宋体" w:cs="仿宋"/>
                <w:kern w:val="0"/>
                <w:highlight w:val="none"/>
              </w:rPr>
              <w:t>≤2s</w:t>
            </w:r>
          </w:p>
        </w:tc>
      </w:tr>
      <w:tr w14:paraId="56C1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694B3820">
            <w:pPr>
              <w:ind w:firstLine="0" w:firstLineChars="0"/>
              <w:jc w:val="both"/>
              <w:rPr>
                <w:rFonts w:ascii="宋体" w:hAnsi="宋体" w:cs="仿宋"/>
                <w:highlight w:val="none"/>
              </w:rPr>
            </w:pPr>
          </w:p>
        </w:tc>
        <w:tc>
          <w:tcPr>
            <w:tcW w:w="4029" w:type="dxa"/>
            <w:vAlign w:val="center"/>
          </w:tcPr>
          <w:p w14:paraId="05B50629">
            <w:pPr>
              <w:ind w:firstLine="0" w:firstLineChars="0"/>
              <w:jc w:val="both"/>
              <w:rPr>
                <w:rFonts w:ascii="宋体" w:hAnsi="宋体" w:cs="仿宋"/>
                <w:highlight w:val="none"/>
              </w:rPr>
            </w:pPr>
            <w:r>
              <w:rPr>
                <w:rFonts w:hint="eastAsia" w:ascii="宋体" w:hAnsi="宋体" w:cs="仿宋"/>
                <w:kern w:val="0"/>
                <w:highlight w:val="none"/>
              </w:rPr>
              <w:t>设备异常情况自动告警准确率</w:t>
            </w:r>
          </w:p>
        </w:tc>
        <w:tc>
          <w:tcPr>
            <w:tcW w:w="2771" w:type="dxa"/>
            <w:vAlign w:val="center"/>
          </w:tcPr>
          <w:p w14:paraId="0CBA00E7">
            <w:pPr>
              <w:ind w:firstLine="0" w:firstLineChars="0"/>
              <w:jc w:val="both"/>
              <w:rPr>
                <w:rFonts w:ascii="宋体" w:hAnsi="宋体" w:cs="仿宋"/>
                <w:highlight w:val="none"/>
              </w:rPr>
            </w:pPr>
            <w:r>
              <w:rPr>
                <w:rFonts w:hint="eastAsia" w:ascii="宋体" w:hAnsi="宋体" w:cs="仿宋"/>
                <w:kern w:val="0"/>
                <w:highlight w:val="none"/>
              </w:rPr>
              <w:t>≥90%</w:t>
            </w:r>
          </w:p>
        </w:tc>
      </w:tr>
      <w:tr w14:paraId="10AA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54647E72">
            <w:pPr>
              <w:ind w:firstLine="0" w:firstLineChars="0"/>
              <w:jc w:val="both"/>
              <w:rPr>
                <w:rFonts w:ascii="宋体" w:hAnsi="宋体" w:cs="仿宋"/>
                <w:highlight w:val="none"/>
              </w:rPr>
            </w:pPr>
          </w:p>
        </w:tc>
        <w:tc>
          <w:tcPr>
            <w:tcW w:w="4029" w:type="dxa"/>
            <w:vAlign w:val="center"/>
          </w:tcPr>
          <w:p w14:paraId="2E53B4A8">
            <w:pPr>
              <w:ind w:firstLine="0" w:firstLineChars="0"/>
              <w:jc w:val="both"/>
              <w:rPr>
                <w:rFonts w:ascii="宋体" w:hAnsi="宋体" w:cs="仿宋"/>
                <w:highlight w:val="none"/>
              </w:rPr>
            </w:pPr>
            <w:r>
              <w:rPr>
                <w:rFonts w:hint="eastAsia" w:ascii="宋体" w:hAnsi="宋体" w:cs="仿宋"/>
                <w:kern w:val="0"/>
                <w:highlight w:val="none"/>
              </w:rPr>
              <w:t>动态数据刷新延迟</w:t>
            </w:r>
          </w:p>
        </w:tc>
        <w:tc>
          <w:tcPr>
            <w:tcW w:w="2771" w:type="dxa"/>
            <w:vAlign w:val="center"/>
          </w:tcPr>
          <w:p w14:paraId="5C465151">
            <w:pPr>
              <w:ind w:firstLine="0" w:firstLineChars="0"/>
              <w:jc w:val="both"/>
              <w:rPr>
                <w:rFonts w:ascii="宋体" w:hAnsi="宋体" w:cs="仿宋"/>
                <w:highlight w:val="none"/>
              </w:rPr>
            </w:pPr>
            <w:r>
              <w:rPr>
                <w:rFonts w:hint="eastAsia" w:ascii="宋体" w:hAnsi="宋体" w:cs="仿宋"/>
                <w:kern w:val="0"/>
                <w:highlight w:val="none"/>
              </w:rPr>
              <w:t>≤2s</w:t>
            </w:r>
          </w:p>
        </w:tc>
      </w:tr>
      <w:tr w14:paraId="5366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Merge w:val="continue"/>
            <w:vAlign w:val="center"/>
          </w:tcPr>
          <w:p w14:paraId="799B0C3F">
            <w:pPr>
              <w:ind w:firstLine="0" w:firstLineChars="0"/>
              <w:jc w:val="both"/>
              <w:rPr>
                <w:rFonts w:ascii="宋体" w:hAnsi="宋体" w:cs="仿宋"/>
                <w:highlight w:val="none"/>
              </w:rPr>
            </w:pPr>
          </w:p>
        </w:tc>
        <w:tc>
          <w:tcPr>
            <w:tcW w:w="4029" w:type="dxa"/>
            <w:vAlign w:val="center"/>
          </w:tcPr>
          <w:p w14:paraId="4C31B4D0">
            <w:pPr>
              <w:ind w:firstLine="0" w:firstLineChars="0"/>
              <w:jc w:val="both"/>
              <w:rPr>
                <w:rFonts w:ascii="宋体" w:hAnsi="宋体" w:cs="仿宋"/>
                <w:highlight w:val="none"/>
              </w:rPr>
            </w:pPr>
            <w:r>
              <w:rPr>
                <w:rFonts w:hint="eastAsia" w:ascii="宋体" w:hAnsi="宋体" w:cs="仿宋"/>
                <w:kern w:val="0"/>
                <w:highlight w:val="none"/>
              </w:rPr>
              <w:t>数据共享延迟</w:t>
            </w:r>
          </w:p>
        </w:tc>
        <w:tc>
          <w:tcPr>
            <w:tcW w:w="2771" w:type="dxa"/>
            <w:vAlign w:val="center"/>
          </w:tcPr>
          <w:p w14:paraId="29F26701">
            <w:pPr>
              <w:ind w:firstLine="0" w:firstLineChars="0"/>
              <w:jc w:val="both"/>
              <w:rPr>
                <w:rFonts w:ascii="宋体" w:hAnsi="宋体" w:cs="仿宋"/>
                <w:highlight w:val="none"/>
              </w:rPr>
            </w:pPr>
            <w:r>
              <w:rPr>
                <w:rFonts w:hint="eastAsia" w:ascii="宋体" w:hAnsi="宋体" w:cs="仿宋"/>
                <w:kern w:val="0"/>
                <w:highlight w:val="none"/>
              </w:rPr>
              <w:t>≤1min</w:t>
            </w:r>
          </w:p>
        </w:tc>
      </w:tr>
      <w:tr w14:paraId="7668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Align w:val="center"/>
          </w:tcPr>
          <w:p w14:paraId="1B061D3F">
            <w:pPr>
              <w:ind w:firstLine="0" w:firstLineChars="0"/>
              <w:jc w:val="both"/>
              <w:rPr>
                <w:rFonts w:ascii="宋体" w:hAnsi="宋体" w:cs="仿宋"/>
                <w:highlight w:val="none"/>
              </w:rPr>
            </w:pPr>
            <w:r>
              <w:rPr>
                <w:rFonts w:hint="eastAsia" w:ascii="宋体" w:hAnsi="宋体" w:cs="仿宋"/>
                <w:kern w:val="0"/>
                <w:highlight w:val="none"/>
              </w:rPr>
              <w:t>空域合规性</w:t>
            </w:r>
          </w:p>
        </w:tc>
        <w:tc>
          <w:tcPr>
            <w:tcW w:w="4029" w:type="dxa"/>
            <w:vAlign w:val="center"/>
          </w:tcPr>
          <w:p w14:paraId="549CBC1F">
            <w:pPr>
              <w:ind w:firstLine="0" w:firstLineChars="0"/>
              <w:jc w:val="both"/>
              <w:rPr>
                <w:rFonts w:ascii="宋体" w:hAnsi="宋体" w:cs="仿宋"/>
                <w:highlight w:val="none"/>
              </w:rPr>
            </w:pPr>
            <w:r>
              <w:rPr>
                <w:rFonts w:hint="eastAsia" w:ascii="宋体" w:hAnsi="宋体" w:cs="仿宋"/>
                <w:kern w:val="0"/>
                <w:highlight w:val="none"/>
              </w:rPr>
              <w:t>飞行限制区域合规性</w:t>
            </w:r>
          </w:p>
        </w:tc>
        <w:tc>
          <w:tcPr>
            <w:tcW w:w="2771" w:type="dxa"/>
            <w:vAlign w:val="center"/>
          </w:tcPr>
          <w:p w14:paraId="1BE9E0FB">
            <w:pPr>
              <w:ind w:firstLine="0" w:firstLineChars="0"/>
              <w:jc w:val="both"/>
              <w:rPr>
                <w:rFonts w:ascii="宋体" w:hAnsi="宋体" w:cs="仿宋"/>
                <w:highlight w:val="none"/>
              </w:rPr>
            </w:pPr>
            <w:r>
              <w:rPr>
                <w:rFonts w:hint="eastAsia" w:ascii="宋体" w:hAnsi="宋体" w:cs="仿宋"/>
                <w:kern w:val="0"/>
                <w:highlight w:val="none"/>
              </w:rPr>
              <w:t>100%符合《民用无人机航空管理条例》</w:t>
            </w:r>
          </w:p>
        </w:tc>
      </w:tr>
      <w:tr w14:paraId="0E8A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Align w:val="center"/>
          </w:tcPr>
          <w:p w14:paraId="2E0DFE5D">
            <w:pPr>
              <w:ind w:firstLine="0" w:firstLineChars="0"/>
              <w:jc w:val="both"/>
              <w:rPr>
                <w:rFonts w:ascii="宋体" w:hAnsi="宋体" w:cs="仿宋"/>
                <w:kern w:val="0"/>
                <w:highlight w:val="none"/>
              </w:rPr>
            </w:pPr>
            <w:r>
              <w:rPr>
                <w:rFonts w:hint="eastAsia" w:ascii="宋体" w:hAnsi="宋体" w:cs="仿宋"/>
                <w:kern w:val="0"/>
                <w:highlight w:val="none"/>
              </w:rPr>
              <w:t>安全性要求</w:t>
            </w:r>
          </w:p>
        </w:tc>
        <w:tc>
          <w:tcPr>
            <w:tcW w:w="4029" w:type="dxa"/>
            <w:vAlign w:val="center"/>
          </w:tcPr>
          <w:p w14:paraId="69E3FE63">
            <w:pPr>
              <w:ind w:firstLine="0" w:firstLineChars="0"/>
              <w:jc w:val="both"/>
              <w:rPr>
                <w:rFonts w:ascii="宋体" w:hAnsi="宋体" w:cs="仿宋"/>
                <w:kern w:val="0"/>
                <w:highlight w:val="none"/>
              </w:rPr>
            </w:pPr>
            <w:r>
              <w:rPr>
                <w:rFonts w:hint="eastAsia" w:ascii="宋体" w:hAnsi="宋体" w:cs="仿宋"/>
                <w:kern w:val="0"/>
                <w:highlight w:val="none"/>
              </w:rPr>
              <w:t>通过等保三级认证</w:t>
            </w:r>
          </w:p>
        </w:tc>
        <w:tc>
          <w:tcPr>
            <w:tcW w:w="2771" w:type="dxa"/>
            <w:vAlign w:val="center"/>
          </w:tcPr>
          <w:p w14:paraId="6AA31C8A">
            <w:pPr>
              <w:ind w:firstLine="0" w:firstLineChars="0"/>
              <w:jc w:val="both"/>
              <w:rPr>
                <w:rFonts w:ascii="宋体" w:hAnsi="宋体" w:cs="仿宋"/>
                <w:kern w:val="0"/>
                <w:highlight w:val="none"/>
              </w:rPr>
            </w:pPr>
            <w:r>
              <w:rPr>
                <w:rFonts w:hint="eastAsia" w:ascii="宋体" w:hAnsi="宋体" w:cs="仿宋"/>
                <w:kern w:val="0"/>
                <w:highlight w:val="none"/>
              </w:rPr>
              <w:t>通过等保三级认证</w:t>
            </w:r>
          </w:p>
        </w:tc>
      </w:tr>
    </w:tbl>
    <w:p w14:paraId="7E267B16">
      <w:pPr>
        <w:spacing w:before="300" w:after="120" w:line="288" w:lineRule="auto"/>
        <w:ind w:firstLine="600"/>
        <w:jc w:val="both"/>
        <w:outlineLvl w:val="2"/>
        <w:rPr>
          <w:highlight w:val="none"/>
        </w:rPr>
      </w:pPr>
      <w:r>
        <w:rPr>
          <w:rFonts w:hint="eastAsia" w:ascii="Arial" w:hAnsi="Arial" w:eastAsia="等线" w:cs="Arial"/>
          <w:b/>
          <w:sz w:val="30"/>
          <w:highlight w:val="none"/>
        </w:rPr>
        <w:t>3</w:t>
      </w:r>
      <w:r>
        <w:rPr>
          <w:rFonts w:ascii="Arial" w:hAnsi="Arial" w:eastAsia="等线" w:cs="Arial"/>
          <w:b/>
          <w:sz w:val="30"/>
          <w:highlight w:val="none"/>
        </w:rPr>
        <w:t>.4 接口要求</w:t>
      </w:r>
      <w:bookmarkEnd w:id="15"/>
    </w:p>
    <w:p w14:paraId="254CF175">
      <w:pPr>
        <w:numPr>
          <w:ilvl w:val="0"/>
          <w:numId w:val="4"/>
        </w:numPr>
        <w:spacing w:before="120" w:after="120"/>
        <w:ind w:firstLine="480"/>
        <w:jc w:val="both"/>
        <w:rPr>
          <w:rFonts w:ascii="宋体" w:hAnsi="宋体"/>
          <w:highlight w:val="none"/>
        </w:rPr>
      </w:pPr>
      <w:r>
        <w:rPr>
          <w:rFonts w:ascii="宋体" w:hAnsi="宋体" w:cs="Arial"/>
          <w:highlight w:val="none"/>
        </w:rPr>
        <w:t>所有接口采用标准化设计，支持 RESTful、Kafka、MQTT 等主流协议</w:t>
      </w:r>
    </w:p>
    <w:p w14:paraId="13D7CFBA">
      <w:pPr>
        <w:numPr>
          <w:ilvl w:val="0"/>
          <w:numId w:val="5"/>
        </w:numPr>
        <w:spacing w:before="120" w:after="120"/>
        <w:ind w:firstLine="480"/>
        <w:jc w:val="both"/>
        <w:rPr>
          <w:rFonts w:ascii="宋体" w:hAnsi="宋体"/>
          <w:highlight w:val="none"/>
        </w:rPr>
      </w:pPr>
      <w:r>
        <w:rPr>
          <w:rFonts w:ascii="宋体" w:hAnsi="宋体" w:cs="Arial"/>
          <w:highlight w:val="none"/>
        </w:rPr>
        <w:t>与区电子警察平台对接采用 Kafka+FTP 协议，数据格式符合 GA/T 1400 标准</w:t>
      </w:r>
    </w:p>
    <w:p w14:paraId="5948CB37">
      <w:pPr>
        <w:numPr>
          <w:ilvl w:val="0"/>
          <w:numId w:val="6"/>
        </w:numPr>
        <w:spacing w:before="120" w:after="120"/>
        <w:ind w:firstLine="480"/>
        <w:jc w:val="both"/>
        <w:rPr>
          <w:rFonts w:ascii="宋体" w:hAnsi="宋体"/>
          <w:highlight w:val="none"/>
        </w:rPr>
      </w:pPr>
      <w:r>
        <w:rPr>
          <w:rFonts w:ascii="宋体" w:hAnsi="宋体" w:cs="Arial"/>
          <w:highlight w:val="none"/>
        </w:rPr>
        <w:t>与市级警航平台对接采用官方开放 API，实现任务报备、状态同步、指令转发</w:t>
      </w:r>
    </w:p>
    <w:p w14:paraId="58A8E31B">
      <w:pPr>
        <w:numPr>
          <w:ilvl w:val="0"/>
          <w:numId w:val="7"/>
        </w:numPr>
        <w:spacing w:before="120" w:after="120"/>
        <w:ind w:firstLine="480"/>
        <w:jc w:val="both"/>
        <w:rPr>
          <w:rFonts w:ascii="宋体" w:hAnsi="宋体"/>
          <w:highlight w:val="none"/>
        </w:rPr>
      </w:pPr>
      <w:r>
        <w:rPr>
          <w:rFonts w:ascii="宋体" w:hAnsi="宋体" w:cs="Arial"/>
          <w:highlight w:val="none"/>
        </w:rPr>
        <w:t>提供完整的接口文档，包括接口定义、参数说明、错误码、调用示例等</w:t>
      </w:r>
    </w:p>
    <w:p w14:paraId="621D72C0">
      <w:pPr>
        <w:spacing w:before="300" w:after="120" w:line="288" w:lineRule="auto"/>
        <w:ind w:firstLine="600"/>
        <w:jc w:val="both"/>
        <w:outlineLvl w:val="2"/>
        <w:rPr>
          <w:highlight w:val="none"/>
        </w:rPr>
      </w:pPr>
      <w:bookmarkStart w:id="16" w:name="heading_18"/>
      <w:r>
        <w:rPr>
          <w:rFonts w:hint="eastAsia" w:ascii="Arial" w:hAnsi="Arial" w:eastAsia="等线" w:cs="Arial"/>
          <w:b/>
          <w:sz w:val="30"/>
          <w:highlight w:val="none"/>
        </w:rPr>
        <w:t>3</w:t>
      </w:r>
      <w:r>
        <w:rPr>
          <w:rFonts w:ascii="Arial" w:hAnsi="Arial" w:eastAsia="等线" w:cs="Arial"/>
          <w:b/>
          <w:sz w:val="30"/>
          <w:highlight w:val="none"/>
        </w:rPr>
        <w:t>.5 安全要求</w:t>
      </w:r>
      <w:bookmarkEnd w:id="16"/>
    </w:p>
    <w:p w14:paraId="1EC817D4">
      <w:pPr>
        <w:numPr>
          <w:ilvl w:val="0"/>
          <w:numId w:val="8"/>
        </w:numPr>
        <w:spacing w:before="120" w:after="120"/>
        <w:ind w:firstLine="480"/>
        <w:jc w:val="both"/>
        <w:rPr>
          <w:rFonts w:ascii="宋体" w:hAnsi="宋体"/>
          <w:highlight w:val="none"/>
        </w:rPr>
      </w:pPr>
      <w:r>
        <w:rPr>
          <w:rFonts w:ascii="宋体" w:hAnsi="宋体" w:cs="Arial"/>
          <w:highlight w:val="none"/>
        </w:rPr>
        <w:t>系统需通过</w:t>
      </w:r>
      <w:r>
        <w:rPr>
          <w:rFonts w:hint="eastAsia" w:ascii="宋体" w:hAnsi="宋体" w:cs="Arial"/>
          <w:b/>
          <w:highlight w:val="none"/>
        </w:rPr>
        <w:t>信息</w:t>
      </w:r>
      <w:r>
        <w:rPr>
          <w:rFonts w:ascii="宋体" w:hAnsi="宋体" w:cs="Arial"/>
          <w:b/>
          <w:highlight w:val="none"/>
        </w:rPr>
        <w:t>安全等级保护</w:t>
      </w:r>
      <w:r>
        <w:rPr>
          <w:rFonts w:hint="eastAsia" w:ascii="宋体" w:hAnsi="宋体" w:cs="Arial"/>
          <w:b/>
          <w:highlight w:val="none"/>
        </w:rPr>
        <w:t>三</w:t>
      </w:r>
      <w:r>
        <w:rPr>
          <w:rFonts w:ascii="宋体" w:hAnsi="宋体" w:cs="Arial"/>
          <w:b/>
          <w:highlight w:val="none"/>
        </w:rPr>
        <w:t>级</w:t>
      </w:r>
      <w:r>
        <w:rPr>
          <w:rFonts w:ascii="宋体" w:hAnsi="宋体" w:cs="Arial"/>
          <w:highlight w:val="none"/>
        </w:rPr>
        <w:t>测评，满足等保 2.0 相关要求</w:t>
      </w:r>
    </w:p>
    <w:p w14:paraId="7D46DEF4">
      <w:pPr>
        <w:numPr>
          <w:ilvl w:val="0"/>
          <w:numId w:val="9"/>
        </w:numPr>
        <w:spacing w:before="120" w:after="120"/>
        <w:ind w:firstLine="480"/>
        <w:jc w:val="both"/>
        <w:rPr>
          <w:rFonts w:ascii="宋体" w:hAnsi="宋体"/>
          <w:highlight w:val="none"/>
        </w:rPr>
      </w:pPr>
      <w:r>
        <w:rPr>
          <w:rFonts w:ascii="宋体" w:hAnsi="宋体" w:cs="Arial"/>
          <w:highlight w:val="none"/>
        </w:rPr>
        <w:t>密码应用需符合《信息安全技术 密码应用基本要求》（GB/T 39786-2021）</w:t>
      </w:r>
      <w:r>
        <w:rPr>
          <w:rFonts w:hint="eastAsia" w:ascii="宋体" w:hAnsi="宋体" w:cs="Arial"/>
          <w:highlight w:val="none"/>
        </w:rPr>
        <w:t>三</w:t>
      </w:r>
      <w:r>
        <w:rPr>
          <w:rFonts w:ascii="宋体" w:hAnsi="宋体" w:cs="Arial"/>
          <w:highlight w:val="none"/>
        </w:rPr>
        <w:t>级要求，通过密码应用安全性评估</w:t>
      </w:r>
    </w:p>
    <w:p w14:paraId="22E426A9">
      <w:pPr>
        <w:numPr>
          <w:ilvl w:val="0"/>
          <w:numId w:val="10"/>
        </w:numPr>
        <w:spacing w:before="120" w:after="120"/>
        <w:ind w:firstLine="480"/>
        <w:jc w:val="both"/>
        <w:rPr>
          <w:rFonts w:ascii="宋体" w:hAnsi="宋体"/>
          <w:highlight w:val="none"/>
        </w:rPr>
      </w:pPr>
      <w:r>
        <w:rPr>
          <w:rFonts w:ascii="宋体" w:hAnsi="宋体" w:cs="Arial"/>
          <w:highlight w:val="none"/>
        </w:rPr>
        <w:t>实现用户双因素身份认证，所有操作日志留存不少于 6 个月</w:t>
      </w:r>
    </w:p>
    <w:p w14:paraId="25ABEA27">
      <w:pPr>
        <w:numPr>
          <w:ilvl w:val="0"/>
          <w:numId w:val="11"/>
        </w:numPr>
        <w:spacing w:before="120" w:after="120"/>
        <w:ind w:firstLine="480"/>
        <w:jc w:val="both"/>
        <w:rPr>
          <w:rFonts w:ascii="宋体" w:hAnsi="宋体"/>
          <w:highlight w:val="none"/>
        </w:rPr>
      </w:pPr>
      <w:r>
        <w:rPr>
          <w:rFonts w:ascii="宋体" w:hAnsi="宋体" w:cs="Arial"/>
          <w:highlight w:val="none"/>
        </w:rPr>
        <w:t>数据传输采用国密算法加密，敏感数据存储加密处理</w:t>
      </w:r>
    </w:p>
    <w:p w14:paraId="4F429BF4">
      <w:pPr>
        <w:numPr>
          <w:ilvl w:val="0"/>
          <w:numId w:val="12"/>
        </w:numPr>
        <w:spacing w:before="120" w:after="120"/>
        <w:ind w:firstLine="480"/>
        <w:jc w:val="both"/>
        <w:rPr>
          <w:rFonts w:ascii="宋体" w:hAnsi="宋体"/>
          <w:highlight w:val="none"/>
        </w:rPr>
      </w:pPr>
      <w:r>
        <w:rPr>
          <w:rFonts w:ascii="宋体" w:hAnsi="宋体" w:cs="Arial"/>
          <w:highlight w:val="none"/>
        </w:rPr>
        <w:t>建立完善的安全审计机制，对所有关键操作进行全程记录与追溯</w:t>
      </w:r>
    </w:p>
    <w:p w14:paraId="4965CBE9">
      <w:pPr>
        <w:spacing w:before="320" w:after="120" w:line="288" w:lineRule="auto"/>
        <w:ind w:firstLine="640"/>
        <w:jc w:val="both"/>
        <w:outlineLvl w:val="1"/>
        <w:rPr>
          <w:rFonts w:ascii="Arial" w:hAnsi="Arial" w:eastAsia="等线" w:cs="Arial"/>
          <w:b/>
          <w:sz w:val="32"/>
          <w:highlight w:val="none"/>
        </w:rPr>
      </w:pPr>
      <w:bookmarkStart w:id="17" w:name="heading_19"/>
      <w:r>
        <w:rPr>
          <w:rFonts w:hint="eastAsia" w:ascii="Arial" w:hAnsi="Arial" w:eastAsia="等线" w:cs="Arial"/>
          <w:b/>
          <w:sz w:val="32"/>
          <w:highlight w:val="none"/>
        </w:rPr>
        <w:t>四、</w:t>
      </w:r>
      <w:r>
        <w:rPr>
          <w:rFonts w:ascii="Arial" w:hAnsi="Arial" w:eastAsia="等线" w:cs="Arial"/>
          <w:b/>
          <w:sz w:val="32"/>
          <w:highlight w:val="none"/>
        </w:rPr>
        <w:t>项目实施要求</w:t>
      </w:r>
      <w:bookmarkEnd w:id="17"/>
    </w:p>
    <w:p w14:paraId="614C958A">
      <w:pPr>
        <w:spacing w:before="300" w:after="120" w:line="288" w:lineRule="auto"/>
        <w:ind w:firstLine="600"/>
        <w:jc w:val="both"/>
        <w:outlineLvl w:val="2"/>
        <w:rPr>
          <w:rFonts w:ascii="Arial" w:hAnsi="Arial" w:eastAsia="等线" w:cs="Arial"/>
          <w:b/>
          <w:sz w:val="30"/>
          <w:highlight w:val="none"/>
        </w:rPr>
      </w:pPr>
      <w:r>
        <w:rPr>
          <w:rFonts w:hint="eastAsia" w:ascii="Arial" w:hAnsi="Arial" w:eastAsia="等线" w:cs="Arial"/>
          <w:b/>
          <w:sz w:val="30"/>
          <w:highlight w:val="none"/>
        </w:rPr>
        <w:t>4.1 项目工期</w:t>
      </w:r>
    </w:p>
    <w:p w14:paraId="5211BE8D">
      <w:pPr>
        <w:numPr>
          <w:ilvl w:val="0"/>
          <w:numId w:val="13"/>
        </w:numPr>
        <w:spacing w:before="120" w:after="120"/>
        <w:ind w:firstLine="480"/>
        <w:jc w:val="both"/>
        <w:rPr>
          <w:rFonts w:ascii="宋体" w:hAnsi="宋体" w:cs="Arial"/>
          <w:bCs/>
          <w:highlight w:val="none"/>
        </w:rPr>
      </w:pPr>
      <w:r>
        <w:rPr>
          <w:rFonts w:hint="eastAsia" w:ascii="宋体" w:hAnsi="宋体" w:cs="Arial"/>
          <w:bCs/>
          <w:highlight w:val="none"/>
        </w:rPr>
        <w:t>本部分的实施周期要求为</w:t>
      </w:r>
      <w:r>
        <w:rPr>
          <w:rFonts w:hint="eastAsia" w:ascii="宋体" w:hAnsi="宋体" w:cs="Arial"/>
          <w:bCs/>
          <w:highlight w:val="none"/>
          <w:lang w:val="en-US" w:eastAsia="zh-CN"/>
        </w:rPr>
        <w:t>5</w:t>
      </w:r>
      <w:r>
        <w:rPr>
          <w:rFonts w:hint="eastAsia" w:ascii="宋体" w:hAnsi="宋体" w:cs="Arial"/>
          <w:bCs/>
          <w:highlight w:val="none"/>
        </w:rPr>
        <w:t>个月</w:t>
      </w:r>
      <w:r>
        <w:rPr>
          <w:rFonts w:ascii="宋体" w:hAnsi="宋体" w:cs="Arial"/>
          <w:bCs/>
          <w:highlight w:val="none"/>
        </w:rPr>
        <w:t>，投标方完成所有设备安装调试工作经自检合格通过预验收</w:t>
      </w:r>
      <w:r>
        <w:rPr>
          <w:rFonts w:hint="eastAsia" w:ascii="宋体" w:hAnsi="宋体" w:cs="Arial"/>
          <w:bCs/>
          <w:highlight w:val="none"/>
        </w:rPr>
        <w:t>；</w:t>
      </w:r>
      <w:r>
        <w:rPr>
          <w:rFonts w:ascii="宋体" w:hAnsi="宋体" w:cs="Arial"/>
          <w:bCs/>
          <w:highlight w:val="none"/>
        </w:rPr>
        <w:t>预</w:t>
      </w:r>
      <w:r>
        <w:rPr>
          <w:rFonts w:hint="eastAsia" w:ascii="宋体" w:hAnsi="宋体" w:cs="Arial"/>
          <w:bCs/>
          <w:highlight w:val="none"/>
        </w:rPr>
        <w:t>验收后开展不少于90个</w:t>
      </w:r>
      <w:r>
        <w:rPr>
          <w:rFonts w:ascii="宋体" w:hAnsi="宋体" w:cs="Arial"/>
          <w:bCs/>
          <w:highlight w:val="none"/>
        </w:rPr>
        <w:t>日历天的试运行。</w:t>
      </w:r>
    </w:p>
    <w:p w14:paraId="0DC804E3">
      <w:pPr>
        <w:numPr>
          <w:ilvl w:val="0"/>
          <w:numId w:val="13"/>
        </w:numPr>
        <w:spacing w:before="120" w:after="120"/>
        <w:ind w:firstLine="480"/>
        <w:jc w:val="both"/>
        <w:rPr>
          <w:rFonts w:ascii="宋体" w:hAnsi="宋体" w:cs="Arial"/>
          <w:bCs/>
          <w:highlight w:val="none"/>
        </w:rPr>
      </w:pPr>
      <w:r>
        <w:rPr>
          <w:rFonts w:hint="eastAsia" w:ascii="宋体" w:hAnsi="宋体" w:cs="Arial"/>
          <w:bCs/>
          <w:highlight w:val="none"/>
        </w:rPr>
        <w:t>中标方须根据招标需求，对项目进行详细的方案设计，并经用户确认。</w:t>
      </w:r>
    </w:p>
    <w:p w14:paraId="4D702DE3">
      <w:pPr>
        <w:numPr>
          <w:ilvl w:val="0"/>
          <w:numId w:val="13"/>
        </w:numPr>
        <w:spacing w:before="120" w:after="120"/>
        <w:ind w:firstLine="480"/>
        <w:jc w:val="both"/>
        <w:rPr>
          <w:rFonts w:ascii="宋体" w:hAnsi="宋体" w:cs="Arial"/>
          <w:bCs/>
          <w:highlight w:val="none"/>
        </w:rPr>
      </w:pPr>
      <w:r>
        <w:rPr>
          <w:rFonts w:hint="eastAsia" w:ascii="宋体" w:hAnsi="宋体" w:cs="Arial"/>
          <w:bCs/>
          <w:highlight w:val="none"/>
        </w:rPr>
        <w:t>本项目建设部署完成需向青浦区数据局提出“中期检查申请”、“试运行申请”；达到验收要求</w:t>
      </w:r>
      <w:r>
        <w:rPr>
          <w:rFonts w:ascii="宋体" w:hAnsi="宋体" w:cs="Arial"/>
          <w:bCs/>
          <w:highlight w:val="none"/>
        </w:rPr>
        <w:t>向</w:t>
      </w:r>
      <w:r>
        <w:rPr>
          <w:rFonts w:hint="eastAsia" w:ascii="宋体" w:hAnsi="宋体" w:cs="Arial"/>
          <w:bCs/>
          <w:highlight w:val="none"/>
        </w:rPr>
        <w:t>青浦</w:t>
      </w:r>
      <w:r>
        <w:rPr>
          <w:rFonts w:ascii="宋体" w:hAnsi="宋体" w:cs="Arial"/>
          <w:bCs/>
          <w:highlight w:val="none"/>
        </w:rPr>
        <w:t>区数据局</w:t>
      </w:r>
      <w:r>
        <w:rPr>
          <w:rFonts w:hint="eastAsia" w:ascii="宋体" w:hAnsi="宋体" w:cs="Arial"/>
          <w:bCs/>
          <w:highlight w:val="none"/>
        </w:rPr>
        <w:t>发起“验收</w:t>
      </w:r>
      <w:r>
        <w:rPr>
          <w:rFonts w:ascii="宋体" w:hAnsi="宋体" w:cs="Arial"/>
          <w:bCs/>
          <w:highlight w:val="none"/>
        </w:rPr>
        <w:t>申请</w:t>
      </w:r>
      <w:r>
        <w:rPr>
          <w:rFonts w:hint="eastAsia" w:ascii="宋体" w:hAnsi="宋体" w:cs="Arial"/>
          <w:bCs/>
          <w:highlight w:val="none"/>
        </w:rPr>
        <w:t>”</w:t>
      </w:r>
      <w:r>
        <w:rPr>
          <w:rFonts w:ascii="宋体" w:hAnsi="宋体" w:cs="Arial"/>
          <w:bCs/>
          <w:highlight w:val="none"/>
        </w:rPr>
        <w:t>，由</w:t>
      </w:r>
      <w:r>
        <w:rPr>
          <w:rFonts w:hint="eastAsia" w:ascii="宋体" w:hAnsi="宋体" w:cs="Arial"/>
          <w:bCs/>
          <w:highlight w:val="none"/>
        </w:rPr>
        <w:t>青浦区数据局</w:t>
      </w:r>
      <w:r>
        <w:rPr>
          <w:rFonts w:ascii="宋体" w:hAnsi="宋体" w:cs="Arial"/>
          <w:bCs/>
          <w:highlight w:val="none"/>
        </w:rPr>
        <w:t>组织开展验收工作。中标人需配合招标人委托的第三方机构开展相应工作，提供必要技术支撑</w:t>
      </w:r>
      <w:r>
        <w:rPr>
          <w:rFonts w:hint="eastAsia" w:ascii="宋体" w:hAnsi="宋体" w:cs="Arial"/>
          <w:bCs/>
          <w:highlight w:val="none"/>
        </w:rPr>
        <w:t>（数据局具体具体要求见</w:t>
      </w:r>
      <w:r>
        <w:rPr>
          <w:rFonts w:ascii="宋体" w:hAnsi="宋体" w:cs="Arial"/>
          <w:bCs/>
          <w:highlight w:val="none"/>
        </w:rPr>
        <w:t>6.1节）。</w:t>
      </w:r>
    </w:p>
    <w:p w14:paraId="639D4ADC">
      <w:pPr>
        <w:spacing w:before="300" w:after="120" w:line="288" w:lineRule="auto"/>
        <w:ind w:firstLine="600"/>
        <w:jc w:val="both"/>
        <w:outlineLvl w:val="2"/>
        <w:rPr>
          <w:highlight w:val="none"/>
        </w:rPr>
      </w:pPr>
      <w:bookmarkStart w:id="18" w:name="heading_21"/>
      <w:r>
        <w:rPr>
          <w:rFonts w:hint="eastAsia" w:ascii="Arial" w:hAnsi="Arial" w:eastAsia="等线" w:cs="Arial"/>
          <w:b/>
          <w:sz w:val="30"/>
          <w:highlight w:val="none"/>
        </w:rPr>
        <w:t>4</w:t>
      </w:r>
      <w:r>
        <w:rPr>
          <w:rFonts w:ascii="Arial" w:hAnsi="Arial" w:eastAsia="等线" w:cs="Arial"/>
          <w:b/>
          <w:sz w:val="30"/>
          <w:highlight w:val="none"/>
        </w:rPr>
        <w:t>.2 人员要求</w:t>
      </w:r>
      <w:bookmarkEnd w:id="18"/>
    </w:p>
    <w:p w14:paraId="244DBB41">
      <w:pPr>
        <w:numPr>
          <w:ilvl w:val="0"/>
          <w:numId w:val="14"/>
        </w:numPr>
        <w:spacing w:before="120" w:after="120"/>
        <w:ind w:firstLine="482"/>
        <w:jc w:val="both"/>
        <w:rPr>
          <w:rFonts w:ascii="宋体" w:hAnsi="宋体"/>
          <w:highlight w:val="none"/>
        </w:rPr>
      </w:pPr>
      <w:r>
        <w:rPr>
          <w:rFonts w:ascii="宋体" w:hAnsi="宋体" w:cs="Arial"/>
          <w:b/>
          <w:highlight w:val="none"/>
        </w:rPr>
        <w:t>项目经理</w:t>
      </w:r>
      <w:r>
        <w:rPr>
          <w:rFonts w:ascii="宋体" w:hAnsi="宋体" w:cs="Arial"/>
          <w:highlight w:val="none"/>
        </w:rPr>
        <w:t xml:space="preserve">：具备高级工程师职称及信息系统项目管理师资质，有 3 </w:t>
      </w:r>
      <w:r>
        <w:rPr>
          <w:rFonts w:hint="eastAsia" w:ascii="宋体" w:hAnsi="宋体" w:cs="Arial"/>
          <w:highlight w:val="none"/>
        </w:rPr>
        <w:t>年</w:t>
      </w:r>
      <w:r>
        <w:rPr>
          <w:rFonts w:ascii="宋体" w:hAnsi="宋体" w:cs="Arial"/>
          <w:highlight w:val="none"/>
        </w:rPr>
        <w:t>以上信息化项目管理经验</w:t>
      </w:r>
    </w:p>
    <w:p w14:paraId="55158494">
      <w:pPr>
        <w:numPr>
          <w:ilvl w:val="0"/>
          <w:numId w:val="15"/>
        </w:numPr>
        <w:spacing w:before="120" w:after="120"/>
        <w:ind w:firstLine="482"/>
        <w:jc w:val="both"/>
        <w:rPr>
          <w:rFonts w:ascii="宋体" w:hAnsi="宋体"/>
          <w:highlight w:val="none"/>
        </w:rPr>
      </w:pPr>
      <w:r>
        <w:rPr>
          <w:rFonts w:ascii="宋体" w:hAnsi="宋体" w:cs="Arial"/>
          <w:b/>
          <w:highlight w:val="none"/>
        </w:rPr>
        <w:t>技术经理</w:t>
      </w:r>
      <w:r>
        <w:rPr>
          <w:rFonts w:ascii="宋体" w:hAnsi="宋体" w:cs="Arial"/>
          <w:highlight w:val="none"/>
        </w:rPr>
        <w:t>：具备高级工程师职称，有无人机平台项目技术负责人经验</w:t>
      </w:r>
    </w:p>
    <w:p w14:paraId="358C050C">
      <w:pPr>
        <w:numPr>
          <w:ilvl w:val="0"/>
          <w:numId w:val="16"/>
        </w:numPr>
        <w:spacing w:before="120" w:after="120"/>
        <w:ind w:firstLine="482"/>
        <w:jc w:val="both"/>
        <w:rPr>
          <w:rFonts w:ascii="宋体" w:hAnsi="宋体"/>
          <w:highlight w:val="none"/>
        </w:rPr>
      </w:pPr>
      <w:r>
        <w:rPr>
          <w:rFonts w:ascii="宋体" w:hAnsi="宋体" w:cs="Arial"/>
          <w:b/>
          <w:highlight w:val="none"/>
        </w:rPr>
        <w:t>安全工程师</w:t>
      </w:r>
      <w:r>
        <w:rPr>
          <w:rFonts w:ascii="宋体" w:hAnsi="宋体" w:cs="Arial"/>
          <w:highlight w:val="none"/>
        </w:rPr>
        <w:t>：具备注册信息安全专业人员（CISP）资质</w:t>
      </w:r>
    </w:p>
    <w:p w14:paraId="57AA6AAF">
      <w:pPr>
        <w:numPr>
          <w:ilvl w:val="0"/>
          <w:numId w:val="16"/>
        </w:numPr>
        <w:spacing w:before="120" w:after="120"/>
        <w:ind w:firstLine="480"/>
        <w:jc w:val="both"/>
        <w:rPr>
          <w:rFonts w:ascii="宋体" w:hAnsi="宋体"/>
          <w:highlight w:val="none"/>
        </w:rPr>
      </w:pPr>
      <w:r>
        <w:rPr>
          <w:rFonts w:hint="eastAsia" w:ascii="宋体" w:hAnsi="宋体"/>
          <w:highlight w:val="none"/>
        </w:rPr>
        <w:t>项目经理需负责整个项目的统筹、协调，管理各开发人员，跟踪指导项目的进度、开发全过程的流程协调、进行软件测试和应急处置措施的编写、故障处理方案的确定、咨询评估、技术支持及相关的结果汇报工作。</w:t>
      </w:r>
    </w:p>
    <w:p w14:paraId="3FCBA6CC">
      <w:pPr>
        <w:numPr>
          <w:ilvl w:val="0"/>
          <w:numId w:val="17"/>
        </w:numPr>
        <w:spacing w:before="120" w:after="120"/>
        <w:ind w:firstLine="480"/>
        <w:jc w:val="both"/>
        <w:rPr>
          <w:rFonts w:ascii="宋体" w:hAnsi="宋体"/>
          <w:highlight w:val="none"/>
        </w:rPr>
      </w:pPr>
      <w:r>
        <w:rPr>
          <w:rFonts w:ascii="宋体" w:hAnsi="宋体" w:cs="Arial"/>
          <w:highlight w:val="none"/>
        </w:rPr>
        <w:t xml:space="preserve">项目团队总人数不少于 12 人，其中研发人员不少于 8 人，所有人员需提供近 </w:t>
      </w:r>
      <w:r>
        <w:rPr>
          <w:rFonts w:hint="eastAsia" w:ascii="宋体" w:hAnsi="宋体" w:cs="Arial"/>
          <w:highlight w:val="none"/>
        </w:rPr>
        <w:t>1</w:t>
      </w:r>
      <w:r>
        <w:rPr>
          <w:rFonts w:ascii="宋体" w:hAnsi="宋体" w:cs="Arial"/>
          <w:highlight w:val="none"/>
        </w:rPr>
        <w:t>个月社保缴纳证明</w:t>
      </w:r>
    </w:p>
    <w:p w14:paraId="02CAB72E">
      <w:pPr>
        <w:spacing w:before="320" w:after="120" w:line="288" w:lineRule="auto"/>
        <w:ind w:firstLine="640"/>
        <w:jc w:val="both"/>
        <w:outlineLvl w:val="1"/>
        <w:rPr>
          <w:highlight w:val="none"/>
        </w:rPr>
      </w:pPr>
      <w:bookmarkStart w:id="19" w:name="heading_22"/>
      <w:r>
        <w:rPr>
          <w:rFonts w:hint="eastAsia" w:ascii="Arial" w:hAnsi="Arial" w:eastAsia="等线" w:cs="Arial"/>
          <w:b/>
          <w:sz w:val="32"/>
          <w:highlight w:val="none"/>
        </w:rPr>
        <w:t>五、</w:t>
      </w:r>
      <w:r>
        <w:rPr>
          <w:rFonts w:ascii="Arial" w:hAnsi="Arial" w:eastAsia="等线" w:cs="Arial"/>
          <w:b/>
          <w:sz w:val="32"/>
          <w:highlight w:val="none"/>
        </w:rPr>
        <w:t>服务保障要求</w:t>
      </w:r>
      <w:bookmarkEnd w:id="19"/>
    </w:p>
    <w:p w14:paraId="35E215BC">
      <w:pPr>
        <w:spacing w:before="300" w:after="120" w:line="288" w:lineRule="auto"/>
        <w:ind w:firstLine="600"/>
        <w:jc w:val="both"/>
        <w:outlineLvl w:val="2"/>
        <w:rPr>
          <w:highlight w:val="none"/>
        </w:rPr>
      </w:pPr>
      <w:bookmarkStart w:id="20" w:name="heading_23"/>
      <w:r>
        <w:rPr>
          <w:rFonts w:hint="eastAsia" w:ascii="Arial" w:hAnsi="Arial" w:eastAsia="等线" w:cs="Arial"/>
          <w:b/>
          <w:sz w:val="30"/>
          <w:highlight w:val="none"/>
        </w:rPr>
        <w:t>5</w:t>
      </w:r>
      <w:r>
        <w:rPr>
          <w:rFonts w:ascii="Arial" w:hAnsi="Arial" w:eastAsia="等线" w:cs="Arial"/>
          <w:b/>
          <w:sz w:val="30"/>
          <w:highlight w:val="none"/>
        </w:rPr>
        <w:t xml:space="preserve">.1 </w:t>
      </w:r>
      <w:r>
        <w:rPr>
          <w:rFonts w:hint="eastAsia" w:ascii="Arial" w:hAnsi="Arial" w:eastAsia="等线" w:cs="Arial"/>
          <w:b/>
          <w:sz w:val="30"/>
          <w:highlight w:val="none"/>
        </w:rPr>
        <w:t>项目</w:t>
      </w:r>
      <w:bookmarkEnd w:id="20"/>
      <w:r>
        <w:rPr>
          <w:rFonts w:hint="eastAsia" w:ascii="Arial" w:hAnsi="Arial" w:eastAsia="等线" w:cs="Arial"/>
          <w:b/>
          <w:sz w:val="30"/>
          <w:highlight w:val="none"/>
        </w:rPr>
        <w:t>维护与质保服务</w:t>
      </w:r>
    </w:p>
    <w:p w14:paraId="3D68A5B7">
      <w:pPr>
        <w:spacing w:before="120" w:after="120"/>
        <w:ind w:firstLine="480"/>
        <w:jc w:val="both"/>
        <w:rPr>
          <w:rFonts w:ascii="宋体" w:hAnsi="宋体" w:cs="Arial"/>
          <w:highlight w:val="none"/>
        </w:rPr>
      </w:pPr>
      <w:r>
        <w:rPr>
          <w:rFonts w:hint="eastAsia" w:ascii="宋体" w:hAnsi="宋体" w:cs="Arial"/>
          <w:highlight w:val="none"/>
        </w:rPr>
        <w:t>为了更好支撑本次招标系统的稳定运行，中标方需组建项目运维服务团队，从实施项目组中直接抽调人员，对口支持，同时保证主要维护团队成员的稳定。设置专门的运维组长，负责运维的统一接口，并组织技术支持团队，根据系统特点制定服务计划，定期与使用部门沟通以监控服务质量，并在服务实施中负责相关协调。团队成员将定期对系统及设备运行情况进行讨论评估以便提前发现并消除运行隐患。</w:t>
      </w:r>
    </w:p>
    <w:p w14:paraId="72AA34D8">
      <w:pPr>
        <w:spacing w:before="120" w:after="120"/>
        <w:ind w:firstLine="482"/>
        <w:jc w:val="both"/>
        <w:rPr>
          <w:rFonts w:ascii="宋体" w:hAnsi="宋体" w:cs="Arial"/>
          <w:b/>
          <w:bCs/>
          <w:highlight w:val="none"/>
        </w:rPr>
      </w:pPr>
      <w:r>
        <w:rPr>
          <w:rFonts w:ascii="宋体" w:hAnsi="宋体" w:cs="Arial"/>
          <w:b/>
          <w:bCs/>
          <w:highlight w:val="none"/>
        </w:rPr>
        <w:t>1）项目质保需求</w:t>
      </w:r>
    </w:p>
    <w:p w14:paraId="06BA3ABC">
      <w:pPr>
        <w:spacing w:before="120" w:after="120"/>
        <w:ind w:firstLine="480"/>
        <w:jc w:val="both"/>
        <w:rPr>
          <w:rFonts w:ascii="宋体" w:hAnsi="宋体" w:cs="Arial"/>
          <w:highlight w:val="none"/>
        </w:rPr>
      </w:pPr>
      <w:r>
        <w:rPr>
          <w:rFonts w:hint="eastAsia" w:ascii="宋体" w:hAnsi="宋体" w:cs="Arial"/>
          <w:highlight w:val="none"/>
        </w:rPr>
        <w:t>同时，为项目中的硬件设备提供为期三年的质保服务，软件提供为期一年的质保服务。</w:t>
      </w:r>
    </w:p>
    <w:p w14:paraId="316BDFF1">
      <w:pPr>
        <w:spacing w:before="120" w:after="120"/>
        <w:ind w:firstLine="482"/>
        <w:jc w:val="both"/>
        <w:rPr>
          <w:rFonts w:ascii="宋体" w:hAnsi="宋体" w:cs="Arial"/>
          <w:b/>
          <w:bCs/>
          <w:highlight w:val="none"/>
        </w:rPr>
      </w:pPr>
      <w:r>
        <w:rPr>
          <w:rFonts w:ascii="宋体" w:hAnsi="宋体" w:cs="Arial"/>
          <w:b/>
          <w:bCs/>
          <w:highlight w:val="none"/>
        </w:rPr>
        <w:t>2）日常运行维护</w:t>
      </w:r>
    </w:p>
    <w:p w14:paraId="127AE962">
      <w:pPr>
        <w:spacing w:before="120" w:after="120"/>
        <w:ind w:firstLine="480"/>
        <w:jc w:val="both"/>
        <w:rPr>
          <w:rFonts w:ascii="宋体" w:hAnsi="宋体" w:cs="Arial"/>
          <w:highlight w:val="none"/>
        </w:rPr>
      </w:pPr>
      <w:r>
        <w:rPr>
          <w:rFonts w:hint="eastAsia" w:ascii="宋体" w:hAnsi="宋体" w:cs="Arial"/>
          <w:highlight w:val="none"/>
        </w:rPr>
        <w:t>项目验收后，提供项目日常运维服务一年。</w:t>
      </w:r>
      <w:r>
        <w:rPr>
          <w:rFonts w:ascii="宋体" w:hAnsi="宋体" w:cs="Arial"/>
          <w:highlight w:val="none"/>
        </w:rPr>
        <w:t>由中标人提供7×24 小时的服务保障及故障电话申报。开展主动性、预防性的检查，对涉及的设备告警、性能、运行</w:t>
      </w:r>
      <w:r>
        <w:rPr>
          <w:rFonts w:hint="eastAsia" w:ascii="宋体" w:hAnsi="宋体" w:cs="Arial"/>
          <w:highlight w:val="none"/>
        </w:rPr>
        <w:t>状态进行检查分析。同时核对系统开发技术资料保持资料的准确性和可用性。</w:t>
      </w:r>
    </w:p>
    <w:p w14:paraId="10581D5C">
      <w:pPr>
        <w:spacing w:before="120" w:after="120"/>
        <w:ind w:firstLine="482"/>
        <w:jc w:val="both"/>
        <w:rPr>
          <w:rFonts w:ascii="宋体" w:hAnsi="宋体" w:cs="Arial"/>
          <w:b/>
          <w:bCs/>
          <w:highlight w:val="none"/>
        </w:rPr>
      </w:pPr>
      <w:r>
        <w:rPr>
          <w:rFonts w:ascii="宋体" w:hAnsi="宋体" w:cs="Arial"/>
          <w:b/>
          <w:bCs/>
          <w:highlight w:val="none"/>
        </w:rPr>
        <w:t>3）故障响应</w:t>
      </w:r>
    </w:p>
    <w:p w14:paraId="1F6B1436">
      <w:pPr>
        <w:spacing w:before="120" w:after="120"/>
        <w:ind w:firstLine="480"/>
        <w:jc w:val="both"/>
        <w:rPr>
          <w:rFonts w:ascii="宋体" w:hAnsi="宋体" w:cs="Arial"/>
          <w:highlight w:val="none"/>
        </w:rPr>
      </w:pPr>
      <w:r>
        <w:rPr>
          <w:rFonts w:hint="eastAsia" w:ascii="宋体" w:hAnsi="宋体" w:cs="Arial"/>
          <w:highlight w:val="none"/>
        </w:rPr>
        <w:t>一般工作日响应时间：提供</w:t>
      </w:r>
      <w:r>
        <w:rPr>
          <w:rFonts w:ascii="宋体" w:hAnsi="宋体" w:cs="Arial"/>
          <w:highlight w:val="none"/>
        </w:rPr>
        <w:t>7*8 小时驻场服务，即时响应各类服务请求；</w:t>
      </w:r>
    </w:p>
    <w:p w14:paraId="69F32186">
      <w:pPr>
        <w:spacing w:before="120" w:after="120"/>
        <w:ind w:firstLine="480"/>
        <w:jc w:val="both"/>
        <w:rPr>
          <w:rFonts w:ascii="宋体" w:hAnsi="宋体" w:cs="Arial"/>
          <w:highlight w:val="none"/>
        </w:rPr>
      </w:pPr>
      <w:r>
        <w:rPr>
          <w:rFonts w:hint="eastAsia" w:ascii="宋体" w:hAnsi="宋体" w:cs="Arial"/>
          <w:highlight w:val="none"/>
        </w:rPr>
        <w:t>非工作日响应时间：提供</w:t>
      </w:r>
      <w:r>
        <w:rPr>
          <w:rFonts w:ascii="宋体" w:hAnsi="宋体" w:cs="Arial"/>
          <w:highlight w:val="none"/>
        </w:rPr>
        <w:t>24 小时热线电话服务，接到报修及相关服务请求，15 分钟内响应，通过</w:t>
      </w:r>
      <w:r>
        <w:rPr>
          <w:rFonts w:hint="eastAsia" w:ascii="宋体" w:hAnsi="宋体" w:cs="Arial"/>
          <w:highlight w:val="none"/>
        </w:rPr>
        <w:t>远程方式不能解决问题，需在</w:t>
      </w:r>
      <w:r>
        <w:rPr>
          <w:rFonts w:ascii="宋体" w:hAnsi="宋体" w:cs="Arial"/>
          <w:highlight w:val="none"/>
        </w:rPr>
        <w:t>4 小时内到达现场处理；</w:t>
      </w:r>
    </w:p>
    <w:p w14:paraId="2F59FD94">
      <w:pPr>
        <w:spacing w:before="120" w:after="120"/>
        <w:ind w:firstLine="480"/>
        <w:jc w:val="both"/>
        <w:rPr>
          <w:rFonts w:ascii="宋体" w:hAnsi="宋体" w:cs="Arial"/>
          <w:highlight w:val="none"/>
        </w:rPr>
      </w:pPr>
      <w:r>
        <w:rPr>
          <w:rFonts w:hint="eastAsia" w:ascii="宋体" w:hAnsi="宋体" w:cs="Arial"/>
          <w:highlight w:val="none"/>
        </w:rPr>
        <w:t>重大活动响应时间：重大活动期间，工程师需提供</w:t>
      </w:r>
      <w:r>
        <w:rPr>
          <w:rFonts w:ascii="宋体" w:hAnsi="宋体" w:cs="Arial"/>
          <w:highlight w:val="none"/>
        </w:rPr>
        <w:t>24 小时现场值班，随时响应；</w:t>
      </w:r>
    </w:p>
    <w:p w14:paraId="2A61DFD3">
      <w:pPr>
        <w:spacing w:before="300" w:after="120" w:line="288" w:lineRule="auto"/>
        <w:ind w:firstLine="600"/>
        <w:jc w:val="both"/>
        <w:outlineLvl w:val="2"/>
        <w:rPr>
          <w:highlight w:val="none"/>
        </w:rPr>
      </w:pPr>
      <w:bookmarkStart w:id="21" w:name="heading_24"/>
      <w:r>
        <w:rPr>
          <w:rFonts w:hint="eastAsia" w:ascii="Arial" w:hAnsi="Arial" w:eastAsia="等线" w:cs="Arial"/>
          <w:b/>
          <w:sz w:val="30"/>
          <w:highlight w:val="none"/>
        </w:rPr>
        <w:t>5</w:t>
      </w:r>
      <w:r>
        <w:rPr>
          <w:rFonts w:ascii="Arial" w:hAnsi="Arial" w:eastAsia="等线" w:cs="Arial"/>
          <w:b/>
          <w:sz w:val="30"/>
          <w:highlight w:val="none"/>
        </w:rPr>
        <w:t>.2 日常运维服务</w:t>
      </w:r>
      <w:bookmarkEnd w:id="21"/>
    </w:p>
    <w:p w14:paraId="07D458F4">
      <w:pPr>
        <w:numPr>
          <w:ilvl w:val="0"/>
          <w:numId w:val="18"/>
        </w:numPr>
        <w:spacing w:before="120" w:after="120"/>
        <w:ind w:firstLine="480"/>
        <w:jc w:val="both"/>
        <w:rPr>
          <w:rFonts w:ascii="宋体" w:hAnsi="宋体"/>
          <w:highlight w:val="none"/>
        </w:rPr>
      </w:pPr>
      <w:r>
        <w:rPr>
          <w:rFonts w:ascii="宋体" w:hAnsi="宋体" w:cs="Arial"/>
          <w:highlight w:val="none"/>
        </w:rPr>
        <w:t>提供 7×24 小时技术支持热线，非工作日 15 分钟内响应</w:t>
      </w:r>
    </w:p>
    <w:p w14:paraId="78653E10">
      <w:pPr>
        <w:numPr>
          <w:ilvl w:val="0"/>
          <w:numId w:val="19"/>
        </w:numPr>
        <w:spacing w:before="120" w:after="120"/>
        <w:ind w:firstLine="480"/>
        <w:jc w:val="both"/>
        <w:rPr>
          <w:rFonts w:ascii="宋体" w:hAnsi="宋体"/>
          <w:highlight w:val="none"/>
        </w:rPr>
      </w:pPr>
      <w:r>
        <w:rPr>
          <w:rFonts w:ascii="宋体" w:hAnsi="宋体" w:cs="Arial"/>
          <w:highlight w:val="none"/>
        </w:rPr>
        <w:t>一般工作日提供 7×8 小时驻场服务，重大活动期间提供 24 小时现场值班</w:t>
      </w:r>
    </w:p>
    <w:p w14:paraId="5F0AD935">
      <w:pPr>
        <w:numPr>
          <w:ilvl w:val="0"/>
          <w:numId w:val="20"/>
        </w:numPr>
        <w:spacing w:before="120" w:after="120"/>
        <w:ind w:firstLine="480"/>
        <w:jc w:val="both"/>
        <w:rPr>
          <w:rFonts w:ascii="宋体" w:hAnsi="宋体"/>
          <w:highlight w:val="none"/>
        </w:rPr>
      </w:pPr>
      <w:r>
        <w:rPr>
          <w:rFonts w:ascii="宋体" w:hAnsi="宋体" w:cs="Arial"/>
          <w:highlight w:val="none"/>
        </w:rPr>
        <w:t>远程无法解决的问题，4 小时内到达现场处置</w:t>
      </w:r>
    </w:p>
    <w:p w14:paraId="3E3BA796">
      <w:pPr>
        <w:numPr>
          <w:ilvl w:val="0"/>
          <w:numId w:val="20"/>
        </w:numPr>
        <w:spacing w:before="120" w:after="120"/>
        <w:ind w:firstLine="480"/>
        <w:jc w:val="both"/>
        <w:rPr>
          <w:rFonts w:ascii="宋体" w:hAnsi="宋体" w:cs="Arial"/>
          <w:highlight w:val="none"/>
        </w:rPr>
      </w:pPr>
      <w:r>
        <w:rPr>
          <w:rFonts w:ascii="宋体" w:hAnsi="宋体" w:cs="Arial"/>
          <w:highlight w:val="none"/>
        </w:rPr>
        <w:t>建立故障分级响应机制：</w:t>
      </w:r>
    </w:p>
    <w:p w14:paraId="1198FD76">
      <w:pPr>
        <w:numPr>
          <w:ilvl w:val="0"/>
          <w:numId w:val="21"/>
        </w:numPr>
        <w:spacing w:before="120" w:after="120"/>
        <w:ind w:firstLineChars="0"/>
        <w:jc w:val="both"/>
        <w:rPr>
          <w:rFonts w:ascii="宋体" w:hAnsi="宋体"/>
          <w:highlight w:val="none"/>
        </w:rPr>
      </w:pPr>
      <w:r>
        <w:rPr>
          <w:rFonts w:ascii="宋体" w:hAnsi="宋体" w:cs="Arial"/>
          <w:highlight w:val="none"/>
        </w:rPr>
        <w:t>I 级故障（系统崩溃、业务中断）：1 小时内解决</w:t>
      </w:r>
    </w:p>
    <w:p w14:paraId="354054C9">
      <w:pPr>
        <w:numPr>
          <w:ilvl w:val="0"/>
          <w:numId w:val="21"/>
        </w:numPr>
        <w:spacing w:before="120" w:after="120"/>
        <w:ind w:firstLineChars="0"/>
        <w:jc w:val="both"/>
        <w:rPr>
          <w:rFonts w:ascii="宋体" w:hAnsi="宋体"/>
          <w:highlight w:val="none"/>
        </w:rPr>
      </w:pPr>
      <w:r>
        <w:rPr>
          <w:rFonts w:ascii="宋体" w:hAnsi="宋体" w:cs="Arial"/>
          <w:highlight w:val="none"/>
        </w:rPr>
        <w:t>II 级故障（部分功能异常、性能下降）：4 小时内解决</w:t>
      </w:r>
    </w:p>
    <w:p w14:paraId="0001705A">
      <w:pPr>
        <w:numPr>
          <w:ilvl w:val="0"/>
          <w:numId w:val="21"/>
        </w:numPr>
        <w:spacing w:before="120" w:after="120"/>
        <w:ind w:firstLineChars="0"/>
        <w:jc w:val="both"/>
        <w:rPr>
          <w:rFonts w:ascii="宋体" w:hAnsi="宋体"/>
          <w:highlight w:val="none"/>
        </w:rPr>
      </w:pPr>
      <w:r>
        <w:rPr>
          <w:rFonts w:ascii="宋体" w:hAnsi="宋体" w:cs="Arial"/>
          <w:highlight w:val="none"/>
        </w:rPr>
        <w:t>III 级故障（系统告警、不影响核心业务）：8 小时内解决</w:t>
      </w:r>
    </w:p>
    <w:p w14:paraId="2628BCD1">
      <w:pPr>
        <w:spacing w:before="320" w:after="120" w:line="288" w:lineRule="auto"/>
        <w:ind w:firstLine="640"/>
        <w:jc w:val="both"/>
        <w:outlineLvl w:val="1"/>
        <w:rPr>
          <w:highlight w:val="none"/>
        </w:rPr>
      </w:pPr>
      <w:bookmarkStart w:id="22" w:name="heading_26"/>
      <w:r>
        <w:rPr>
          <w:rFonts w:hint="eastAsia" w:ascii="Arial" w:hAnsi="Arial" w:eastAsia="等线" w:cs="Arial"/>
          <w:b/>
          <w:sz w:val="32"/>
          <w:highlight w:val="none"/>
        </w:rPr>
        <w:t>六、</w:t>
      </w:r>
      <w:r>
        <w:rPr>
          <w:rFonts w:ascii="Arial" w:hAnsi="Arial" w:eastAsia="等线" w:cs="Arial"/>
          <w:b/>
          <w:sz w:val="32"/>
          <w:highlight w:val="none"/>
        </w:rPr>
        <w:t>验收</w:t>
      </w:r>
      <w:bookmarkEnd w:id="22"/>
      <w:r>
        <w:rPr>
          <w:rFonts w:hint="eastAsia" w:ascii="Arial" w:hAnsi="Arial" w:eastAsia="等线" w:cs="Arial"/>
          <w:b/>
          <w:sz w:val="32"/>
          <w:highlight w:val="none"/>
        </w:rPr>
        <w:t>要求</w:t>
      </w:r>
    </w:p>
    <w:p w14:paraId="03E0693C">
      <w:pPr>
        <w:spacing w:before="300" w:after="120" w:line="288" w:lineRule="auto"/>
        <w:ind w:firstLine="600"/>
        <w:jc w:val="both"/>
        <w:outlineLvl w:val="2"/>
        <w:rPr>
          <w:highlight w:val="none"/>
        </w:rPr>
      </w:pPr>
      <w:bookmarkStart w:id="23" w:name="heading_27"/>
      <w:r>
        <w:rPr>
          <w:rFonts w:hint="eastAsia" w:ascii="Arial" w:hAnsi="Arial" w:eastAsia="等线" w:cs="Arial"/>
          <w:b/>
          <w:sz w:val="30"/>
          <w:highlight w:val="none"/>
        </w:rPr>
        <w:t>6</w:t>
      </w:r>
      <w:r>
        <w:rPr>
          <w:rFonts w:ascii="Arial" w:hAnsi="Arial" w:eastAsia="等线" w:cs="Arial"/>
          <w:b/>
          <w:sz w:val="30"/>
          <w:highlight w:val="none"/>
        </w:rPr>
        <w:t xml:space="preserve">.1 </w:t>
      </w:r>
      <w:bookmarkEnd w:id="23"/>
      <w:r>
        <w:rPr>
          <w:rFonts w:hint="eastAsia" w:ascii="Arial" w:hAnsi="Arial" w:eastAsia="等线" w:cs="Arial"/>
          <w:b/>
          <w:sz w:val="30"/>
          <w:highlight w:val="none"/>
        </w:rPr>
        <w:t>验收要求</w:t>
      </w:r>
    </w:p>
    <w:p w14:paraId="5331C4F7">
      <w:pPr>
        <w:numPr>
          <w:ilvl w:val="0"/>
          <w:numId w:val="22"/>
        </w:numPr>
        <w:spacing w:before="120" w:after="120"/>
        <w:ind w:firstLine="480"/>
        <w:jc w:val="both"/>
        <w:rPr>
          <w:rFonts w:ascii="宋体" w:hAnsi="宋体"/>
          <w:highlight w:val="none"/>
        </w:rPr>
      </w:pPr>
      <w:r>
        <w:rPr>
          <w:rFonts w:ascii="宋体" w:hAnsi="宋体" w:cs="Arial"/>
          <w:highlight w:val="none"/>
        </w:rPr>
        <w:t>所有交付成果符合国家、行业及上海市地方相关标准，满足本招标文件技术要求</w:t>
      </w:r>
      <w:r>
        <w:rPr>
          <w:rFonts w:hint="eastAsia" w:ascii="宋体" w:hAnsi="宋体" w:cs="Arial"/>
          <w:highlight w:val="none"/>
        </w:rPr>
        <w:t>。</w:t>
      </w:r>
    </w:p>
    <w:p w14:paraId="375E0AFA">
      <w:pPr>
        <w:numPr>
          <w:ilvl w:val="0"/>
          <w:numId w:val="23"/>
        </w:numPr>
        <w:spacing w:before="120" w:after="120"/>
        <w:ind w:firstLine="480"/>
        <w:jc w:val="both"/>
        <w:rPr>
          <w:rFonts w:ascii="宋体" w:hAnsi="宋体"/>
          <w:highlight w:val="none"/>
        </w:rPr>
      </w:pPr>
      <w:r>
        <w:rPr>
          <w:rFonts w:ascii="宋体" w:hAnsi="宋体" w:cs="Arial"/>
          <w:highlight w:val="none"/>
        </w:rPr>
        <w:t>软件产品需通过第三方软件功能测试</w:t>
      </w:r>
      <w:r>
        <w:rPr>
          <w:rFonts w:hint="eastAsia" w:ascii="宋体" w:hAnsi="宋体" w:cs="Arial"/>
          <w:highlight w:val="none"/>
        </w:rPr>
        <w:t>和</w:t>
      </w:r>
      <w:r>
        <w:rPr>
          <w:rFonts w:ascii="宋体" w:hAnsi="宋体" w:cs="Arial"/>
          <w:highlight w:val="none"/>
        </w:rPr>
        <w:t>性能测试</w:t>
      </w:r>
      <w:r>
        <w:rPr>
          <w:rFonts w:hint="eastAsia" w:ascii="宋体" w:hAnsi="宋体" w:cs="Arial"/>
          <w:highlight w:val="none"/>
        </w:rPr>
        <w:t>、安全测评、密码应用测评</w:t>
      </w:r>
      <w:r>
        <w:rPr>
          <w:rFonts w:ascii="宋体" w:hAnsi="宋体" w:cs="Arial"/>
          <w:highlight w:val="none"/>
        </w:rPr>
        <w:t>，出具正式</w:t>
      </w:r>
      <w:r>
        <w:rPr>
          <w:rFonts w:hint="eastAsia" w:ascii="宋体" w:hAnsi="宋体" w:cs="Arial"/>
          <w:highlight w:val="none"/>
        </w:rPr>
        <w:t>的软件</w:t>
      </w:r>
      <w:r>
        <w:rPr>
          <w:rFonts w:ascii="宋体" w:hAnsi="宋体" w:cs="Arial"/>
          <w:highlight w:val="none"/>
        </w:rPr>
        <w:t>测试报告</w:t>
      </w:r>
      <w:r>
        <w:rPr>
          <w:rFonts w:hint="eastAsia" w:ascii="宋体" w:hAnsi="宋体" w:cs="Arial"/>
          <w:highlight w:val="none"/>
        </w:rPr>
        <w:t>、安全测评报告、密码应用测评报告。</w:t>
      </w:r>
    </w:p>
    <w:p w14:paraId="4F62BC21">
      <w:pPr>
        <w:numPr>
          <w:ilvl w:val="0"/>
          <w:numId w:val="23"/>
        </w:numPr>
        <w:spacing w:before="120" w:after="120"/>
        <w:ind w:firstLine="480"/>
        <w:jc w:val="both"/>
        <w:rPr>
          <w:rFonts w:ascii="宋体" w:hAnsi="宋体" w:cs="Arial"/>
          <w:highlight w:val="none"/>
        </w:rPr>
      </w:pPr>
      <w:r>
        <w:rPr>
          <w:rFonts w:ascii="宋体" w:hAnsi="宋体" w:cs="Arial"/>
          <w:highlight w:val="none"/>
        </w:rPr>
        <w:t>试运行期间系统可用率≥99.9%，核心业务中断时间累计不超过 8 小时</w:t>
      </w:r>
      <w:r>
        <w:rPr>
          <w:rFonts w:hint="eastAsia" w:ascii="宋体" w:hAnsi="宋体" w:cs="Arial"/>
          <w:highlight w:val="none"/>
        </w:rPr>
        <w:t>。</w:t>
      </w:r>
    </w:p>
    <w:p w14:paraId="19D8119C">
      <w:pPr>
        <w:spacing w:before="300" w:after="120" w:line="288" w:lineRule="auto"/>
        <w:ind w:firstLine="600"/>
        <w:jc w:val="both"/>
        <w:outlineLvl w:val="2"/>
        <w:rPr>
          <w:highlight w:val="none"/>
        </w:rPr>
      </w:pPr>
      <w:bookmarkStart w:id="24" w:name="heading_28"/>
      <w:r>
        <w:rPr>
          <w:rFonts w:hint="eastAsia" w:ascii="Arial" w:hAnsi="Arial" w:eastAsia="等线" w:cs="Arial"/>
          <w:b/>
          <w:sz w:val="30"/>
          <w:highlight w:val="none"/>
        </w:rPr>
        <w:t>6</w:t>
      </w:r>
      <w:r>
        <w:rPr>
          <w:rFonts w:ascii="Arial" w:hAnsi="Arial" w:eastAsia="等线" w:cs="Arial"/>
          <w:b/>
          <w:sz w:val="30"/>
          <w:highlight w:val="none"/>
        </w:rPr>
        <w:t>.2 验收流程</w:t>
      </w:r>
      <w:bookmarkEnd w:id="24"/>
    </w:p>
    <w:p w14:paraId="11285C6D">
      <w:pPr>
        <w:numPr>
          <w:ilvl w:val="0"/>
          <w:numId w:val="24"/>
        </w:numPr>
        <w:spacing w:before="120" w:after="120"/>
        <w:ind w:firstLine="482"/>
        <w:jc w:val="both"/>
        <w:rPr>
          <w:rFonts w:ascii="宋体" w:hAnsi="宋体"/>
          <w:highlight w:val="none"/>
        </w:rPr>
      </w:pPr>
      <w:r>
        <w:rPr>
          <w:rFonts w:hint="eastAsia" w:ascii="宋体" w:hAnsi="宋体"/>
          <w:b/>
          <w:bCs/>
          <w:highlight w:val="none"/>
        </w:rPr>
        <w:t>中期检查：</w:t>
      </w:r>
      <w:r>
        <w:rPr>
          <w:rFonts w:hint="eastAsia" w:ascii="宋体" w:hAnsi="宋体" w:cs="Arial"/>
          <w:highlight w:val="none"/>
        </w:rPr>
        <w:t>中</w:t>
      </w:r>
      <w:r>
        <w:rPr>
          <w:rFonts w:ascii="宋体" w:hAnsi="宋体" w:cs="Arial"/>
          <w:highlight w:val="none"/>
        </w:rPr>
        <w:t>标人</w:t>
      </w:r>
      <w:r>
        <w:rPr>
          <w:rFonts w:hint="eastAsia" w:ascii="宋体" w:hAnsi="宋体" w:cs="Arial"/>
          <w:highlight w:val="none"/>
        </w:rPr>
        <w:t>基本</w:t>
      </w:r>
      <w:r>
        <w:rPr>
          <w:rFonts w:ascii="宋体" w:hAnsi="宋体" w:cs="Arial"/>
          <w:highlight w:val="none"/>
        </w:rPr>
        <w:t>完成系统开发部署</w:t>
      </w:r>
      <w:r>
        <w:rPr>
          <w:rFonts w:hint="eastAsia" w:ascii="宋体" w:hAnsi="宋体" w:cs="Arial"/>
          <w:highlight w:val="none"/>
        </w:rPr>
        <w:t>，中</w:t>
      </w:r>
      <w:r>
        <w:rPr>
          <w:rFonts w:ascii="宋体" w:hAnsi="宋体" w:cs="Arial"/>
          <w:highlight w:val="none"/>
        </w:rPr>
        <w:t>标人提交</w:t>
      </w:r>
      <w:r>
        <w:rPr>
          <w:rFonts w:hint="eastAsia" w:ascii="宋体" w:hAnsi="宋体" w:cs="Arial"/>
          <w:highlight w:val="none"/>
        </w:rPr>
        <w:t>项目建设相关</w:t>
      </w:r>
      <w:r>
        <w:rPr>
          <w:rFonts w:ascii="宋体" w:hAnsi="宋体" w:cs="Arial"/>
          <w:highlight w:val="none"/>
        </w:rPr>
        <w:t>资料</w:t>
      </w:r>
      <w:r>
        <w:rPr>
          <w:rFonts w:hint="eastAsia" w:ascii="宋体" w:hAnsi="宋体" w:cs="Arial"/>
          <w:highlight w:val="none"/>
        </w:rPr>
        <w:t>，由采购人向青浦区数据局提出项目中期检查申请，中标人配合检查。</w:t>
      </w:r>
    </w:p>
    <w:p w14:paraId="546E7167">
      <w:pPr>
        <w:numPr>
          <w:ilvl w:val="0"/>
          <w:numId w:val="24"/>
        </w:numPr>
        <w:spacing w:before="120" w:after="120"/>
        <w:ind w:firstLine="482"/>
        <w:jc w:val="both"/>
        <w:rPr>
          <w:rFonts w:ascii="宋体" w:hAnsi="宋体"/>
          <w:highlight w:val="none"/>
        </w:rPr>
      </w:pPr>
      <w:r>
        <w:rPr>
          <w:rFonts w:ascii="宋体" w:hAnsi="宋体" w:cs="Arial"/>
          <w:b/>
          <w:highlight w:val="none"/>
        </w:rPr>
        <w:t>初验：</w:t>
      </w:r>
      <w:r>
        <w:rPr>
          <w:rFonts w:hint="eastAsia" w:ascii="宋体" w:hAnsi="宋体" w:cs="Arial"/>
          <w:highlight w:val="none"/>
        </w:rPr>
        <w:t>中</w:t>
      </w:r>
      <w:r>
        <w:rPr>
          <w:rFonts w:ascii="宋体" w:hAnsi="宋体" w:cs="Arial"/>
          <w:highlight w:val="none"/>
        </w:rPr>
        <w:t>标人完成系统开发部署并自检合格后，向采购人提交初验申请。采购人组织初验，初验合格后进入</w:t>
      </w:r>
      <w:r>
        <w:rPr>
          <w:rFonts w:hint="eastAsia" w:ascii="宋体" w:hAnsi="宋体" w:cs="Arial"/>
          <w:highlight w:val="none"/>
        </w:rPr>
        <w:t>不少于</w:t>
      </w:r>
      <w:r>
        <w:rPr>
          <w:rFonts w:ascii="宋体" w:hAnsi="宋体" w:cs="Arial"/>
          <w:highlight w:val="none"/>
        </w:rPr>
        <w:t xml:space="preserve"> </w:t>
      </w:r>
      <w:r>
        <w:rPr>
          <w:rFonts w:hint="eastAsia" w:ascii="宋体" w:hAnsi="宋体" w:cs="Arial"/>
          <w:highlight w:val="none"/>
        </w:rPr>
        <w:t>90</w:t>
      </w:r>
      <w:r>
        <w:rPr>
          <w:rFonts w:ascii="宋体" w:hAnsi="宋体" w:cs="Arial"/>
          <w:highlight w:val="none"/>
        </w:rPr>
        <w:t xml:space="preserve"> 天试运行期</w:t>
      </w:r>
      <w:r>
        <w:rPr>
          <w:rFonts w:hint="eastAsia" w:ascii="宋体" w:hAnsi="宋体" w:cs="Arial"/>
          <w:highlight w:val="none"/>
        </w:rPr>
        <w:t>。</w:t>
      </w:r>
    </w:p>
    <w:p w14:paraId="2C0151EA">
      <w:pPr>
        <w:numPr>
          <w:ilvl w:val="0"/>
          <w:numId w:val="24"/>
        </w:numPr>
        <w:spacing w:before="120" w:after="120"/>
        <w:ind w:firstLine="482"/>
        <w:jc w:val="both"/>
        <w:rPr>
          <w:rFonts w:ascii="宋体" w:hAnsi="宋体" w:cs="Arial"/>
          <w:bCs/>
          <w:highlight w:val="none"/>
        </w:rPr>
      </w:pPr>
      <w:r>
        <w:rPr>
          <w:rFonts w:ascii="宋体" w:hAnsi="宋体" w:cs="Arial"/>
          <w:b/>
          <w:highlight w:val="none"/>
        </w:rPr>
        <w:t>试运行：</w:t>
      </w:r>
      <w:r>
        <w:rPr>
          <w:rFonts w:ascii="宋体" w:hAnsi="宋体" w:cs="Arial"/>
          <w:bCs/>
          <w:highlight w:val="none"/>
        </w:rPr>
        <w:t>初验合格后，由采购人向青浦区数据局提出试运行申请。试运行期间系统稳定运行，无重大故障，所有功能正常使用。中标人需记录试运行期间的问题并及时整改。</w:t>
      </w:r>
    </w:p>
    <w:p w14:paraId="49B03B26">
      <w:pPr>
        <w:numPr>
          <w:ilvl w:val="0"/>
          <w:numId w:val="24"/>
        </w:numPr>
        <w:spacing w:before="120" w:after="120"/>
        <w:ind w:firstLine="482"/>
        <w:jc w:val="both"/>
        <w:rPr>
          <w:rFonts w:ascii="宋体" w:hAnsi="宋体" w:cs="Arial"/>
          <w:bCs/>
          <w:highlight w:val="none"/>
        </w:rPr>
      </w:pPr>
      <w:r>
        <w:rPr>
          <w:rFonts w:ascii="宋体" w:hAnsi="宋体" w:cs="Arial"/>
          <w:b/>
          <w:highlight w:val="none"/>
        </w:rPr>
        <w:t>终验：</w:t>
      </w:r>
      <w:r>
        <w:rPr>
          <w:rFonts w:ascii="宋体" w:hAnsi="宋体" w:cs="Arial"/>
          <w:bCs/>
          <w:highlight w:val="none"/>
        </w:rPr>
        <w:t>试运行结束后，中标人提交终验申请及完整的竣工资料</w:t>
      </w:r>
      <w:r>
        <w:rPr>
          <w:rFonts w:hint="eastAsia" w:ascii="宋体" w:hAnsi="宋体" w:cs="Arial"/>
          <w:bCs/>
          <w:highlight w:val="none"/>
          <w:lang w:eastAsia="zh-CN"/>
        </w:rPr>
        <w:t>同时确保采购方完全掌握并熟练操作本项目设备及系统</w:t>
      </w:r>
      <w:r>
        <w:rPr>
          <w:rFonts w:ascii="宋体" w:hAnsi="宋体" w:cs="Arial"/>
          <w:bCs/>
          <w:highlight w:val="none"/>
        </w:rPr>
        <w:t>。由青浦区数据局组织开展验收工作。中标人需配合招标人委托的第三方机构开展相应工作，提供必要技术支撑。</w:t>
      </w:r>
    </w:p>
    <w:p w14:paraId="08DA030A">
      <w:pPr>
        <w:spacing w:before="300" w:after="120" w:line="288" w:lineRule="auto"/>
        <w:ind w:firstLine="600"/>
        <w:jc w:val="both"/>
        <w:outlineLvl w:val="2"/>
        <w:rPr>
          <w:highlight w:val="none"/>
        </w:rPr>
      </w:pPr>
      <w:bookmarkStart w:id="25" w:name="heading_29"/>
      <w:r>
        <w:rPr>
          <w:rFonts w:hint="eastAsia" w:ascii="Arial" w:hAnsi="Arial" w:eastAsia="等线" w:cs="Arial"/>
          <w:b/>
          <w:sz w:val="30"/>
          <w:highlight w:val="none"/>
        </w:rPr>
        <w:t>6</w:t>
      </w:r>
      <w:r>
        <w:rPr>
          <w:rFonts w:ascii="Arial" w:hAnsi="Arial" w:eastAsia="等线" w:cs="Arial"/>
          <w:b/>
          <w:sz w:val="30"/>
          <w:highlight w:val="none"/>
        </w:rPr>
        <w:t>.3 验收内容</w:t>
      </w:r>
      <w:bookmarkEnd w:id="25"/>
    </w:p>
    <w:p w14:paraId="2EB34F21">
      <w:pPr>
        <w:numPr>
          <w:ilvl w:val="0"/>
          <w:numId w:val="25"/>
        </w:numPr>
        <w:spacing w:before="120" w:after="120"/>
        <w:ind w:firstLine="480"/>
        <w:jc w:val="both"/>
        <w:rPr>
          <w:rFonts w:ascii="宋体" w:hAnsi="宋体"/>
          <w:highlight w:val="none"/>
        </w:rPr>
      </w:pPr>
      <w:r>
        <w:rPr>
          <w:rFonts w:ascii="宋体" w:hAnsi="宋体" w:cs="Arial"/>
          <w:highlight w:val="none"/>
        </w:rPr>
        <w:t>文档验收：需求规格说明书、设计文档、测试报告、用户手册、运维手册、源代码等</w:t>
      </w:r>
      <w:r>
        <w:rPr>
          <w:rFonts w:hint="eastAsia" w:ascii="宋体" w:hAnsi="宋体" w:cs="Arial"/>
          <w:highlight w:val="none"/>
        </w:rPr>
        <w:t>的</w:t>
      </w:r>
      <w:r>
        <w:rPr>
          <w:rFonts w:ascii="宋体" w:hAnsi="宋体" w:cs="Arial"/>
          <w:highlight w:val="none"/>
        </w:rPr>
        <w:t>全套技术文档</w:t>
      </w:r>
      <w:r>
        <w:rPr>
          <w:rFonts w:hint="eastAsia" w:ascii="宋体" w:hAnsi="宋体" w:cs="Arial"/>
          <w:highlight w:val="none"/>
        </w:rPr>
        <w:t>，并需符合青浦区数据局相关要求。</w:t>
      </w:r>
    </w:p>
    <w:p w14:paraId="2FEF7D2E">
      <w:pPr>
        <w:numPr>
          <w:ilvl w:val="0"/>
          <w:numId w:val="26"/>
        </w:numPr>
        <w:spacing w:before="120" w:after="120"/>
        <w:ind w:firstLine="480"/>
        <w:jc w:val="both"/>
        <w:rPr>
          <w:rFonts w:ascii="宋体" w:hAnsi="宋体"/>
          <w:highlight w:val="none"/>
        </w:rPr>
      </w:pPr>
      <w:r>
        <w:rPr>
          <w:rFonts w:ascii="宋体" w:hAnsi="宋体" w:cs="Arial"/>
          <w:highlight w:val="none"/>
        </w:rPr>
        <w:t>功能验收：所有功能模块按需求规格说明书逐一测试，功能覆盖率 100%</w:t>
      </w:r>
      <w:r>
        <w:rPr>
          <w:rFonts w:hint="eastAsia" w:ascii="宋体" w:hAnsi="宋体" w:cs="Arial"/>
          <w:highlight w:val="none"/>
        </w:rPr>
        <w:t>。</w:t>
      </w:r>
    </w:p>
    <w:p w14:paraId="11A21F89">
      <w:pPr>
        <w:numPr>
          <w:ilvl w:val="0"/>
          <w:numId w:val="27"/>
        </w:numPr>
        <w:spacing w:before="120" w:after="120"/>
        <w:ind w:firstLine="480"/>
        <w:jc w:val="both"/>
        <w:rPr>
          <w:rFonts w:ascii="宋体" w:hAnsi="宋体"/>
          <w:highlight w:val="none"/>
        </w:rPr>
      </w:pPr>
      <w:r>
        <w:rPr>
          <w:rFonts w:ascii="宋体" w:hAnsi="宋体" w:cs="Arial"/>
          <w:highlight w:val="none"/>
        </w:rPr>
        <w:t>性能验收：验证系统各项性能指标达到本招标文件要求</w:t>
      </w:r>
      <w:r>
        <w:rPr>
          <w:rFonts w:hint="eastAsia" w:ascii="宋体" w:hAnsi="宋体" w:cs="Arial"/>
          <w:highlight w:val="none"/>
        </w:rPr>
        <w:t>。</w:t>
      </w:r>
    </w:p>
    <w:p w14:paraId="13A08BBC">
      <w:pPr>
        <w:numPr>
          <w:ilvl w:val="0"/>
          <w:numId w:val="28"/>
        </w:numPr>
        <w:spacing w:before="120" w:after="120"/>
        <w:ind w:firstLine="480"/>
        <w:jc w:val="both"/>
        <w:rPr>
          <w:rFonts w:ascii="宋体" w:hAnsi="宋体"/>
          <w:highlight w:val="none"/>
        </w:rPr>
      </w:pPr>
      <w:r>
        <w:rPr>
          <w:rFonts w:ascii="宋体" w:hAnsi="宋体" w:cs="Arial"/>
          <w:highlight w:val="none"/>
        </w:rPr>
        <w:t>安全验收：查验</w:t>
      </w:r>
      <w:r>
        <w:rPr>
          <w:rFonts w:hint="eastAsia" w:ascii="宋体" w:hAnsi="宋体" w:cs="Arial"/>
          <w:highlight w:val="none"/>
        </w:rPr>
        <w:t>安全测评报告</w:t>
      </w:r>
      <w:r>
        <w:rPr>
          <w:rFonts w:ascii="宋体" w:hAnsi="宋体" w:cs="Arial"/>
          <w:highlight w:val="none"/>
        </w:rPr>
        <w:t>、密码应用测评报告</w:t>
      </w:r>
      <w:r>
        <w:rPr>
          <w:rFonts w:hint="eastAsia" w:ascii="宋体" w:hAnsi="宋体" w:cs="Arial"/>
          <w:highlight w:val="none"/>
        </w:rPr>
        <w:t>。</w:t>
      </w:r>
    </w:p>
    <w:p w14:paraId="111D7148">
      <w:pPr>
        <w:numPr>
          <w:ilvl w:val="0"/>
          <w:numId w:val="29"/>
        </w:numPr>
        <w:spacing w:before="120" w:after="120"/>
        <w:ind w:firstLine="480"/>
        <w:jc w:val="both"/>
        <w:rPr>
          <w:rFonts w:ascii="宋体" w:hAnsi="宋体"/>
          <w:highlight w:val="none"/>
        </w:rPr>
      </w:pPr>
      <w:r>
        <w:rPr>
          <w:rFonts w:ascii="宋体" w:hAnsi="宋体" w:cs="Arial"/>
          <w:highlight w:val="none"/>
        </w:rPr>
        <w:t>服务验收：查验培训记录、运维方案、服务承诺等</w:t>
      </w:r>
      <w:r>
        <w:rPr>
          <w:rFonts w:hint="eastAsia" w:ascii="宋体" w:hAnsi="宋体" w:cs="Arial"/>
          <w:highlight w:val="none"/>
        </w:rPr>
        <w:t>。</w:t>
      </w:r>
    </w:p>
    <w:p w14:paraId="318FA3A9">
      <w:pPr>
        <w:spacing w:before="320" w:after="120" w:line="288" w:lineRule="auto"/>
        <w:ind w:firstLine="640"/>
        <w:jc w:val="both"/>
        <w:outlineLvl w:val="1"/>
        <w:rPr>
          <w:rFonts w:ascii="Arial" w:hAnsi="Arial" w:eastAsia="等线" w:cs="Arial"/>
          <w:b/>
          <w:sz w:val="32"/>
          <w:highlight w:val="none"/>
        </w:rPr>
      </w:pPr>
      <w:bookmarkStart w:id="26" w:name="heading_30"/>
      <w:r>
        <w:rPr>
          <w:rFonts w:hint="eastAsia" w:ascii="Arial" w:hAnsi="Arial" w:eastAsia="等线" w:cs="Arial"/>
          <w:b/>
          <w:sz w:val="32"/>
          <w:highlight w:val="none"/>
        </w:rPr>
        <w:t>七、</w:t>
      </w:r>
      <w:r>
        <w:rPr>
          <w:rFonts w:ascii="Arial" w:hAnsi="Arial" w:eastAsia="等线" w:cs="Arial"/>
          <w:b/>
          <w:sz w:val="32"/>
          <w:highlight w:val="none"/>
        </w:rPr>
        <w:t>保密与知识产权</w:t>
      </w:r>
      <w:bookmarkEnd w:id="26"/>
    </w:p>
    <w:p w14:paraId="6E864F53">
      <w:pPr>
        <w:spacing w:before="300" w:after="120" w:line="288" w:lineRule="auto"/>
        <w:ind w:firstLine="600"/>
        <w:jc w:val="both"/>
        <w:outlineLvl w:val="2"/>
        <w:rPr>
          <w:rFonts w:ascii="Arial" w:hAnsi="Arial" w:eastAsia="等线" w:cs="Arial"/>
          <w:b/>
          <w:sz w:val="30"/>
          <w:highlight w:val="none"/>
        </w:rPr>
      </w:pPr>
      <w:r>
        <w:rPr>
          <w:rFonts w:hint="eastAsia" w:ascii="Arial" w:hAnsi="Arial" w:eastAsia="等线" w:cs="Arial"/>
          <w:b/>
          <w:sz w:val="30"/>
          <w:highlight w:val="none"/>
        </w:rPr>
        <w:t>7.1</w:t>
      </w:r>
      <w:r>
        <w:rPr>
          <w:rFonts w:ascii="Arial" w:hAnsi="Arial" w:eastAsia="等线" w:cs="Arial"/>
          <w:b/>
          <w:sz w:val="30"/>
          <w:highlight w:val="none"/>
        </w:rPr>
        <w:t>、数据、文件、资料知识产权</w:t>
      </w:r>
    </w:p>
    <w:p w14:paraId="319E278D">
      <w:pPr>
        <w:ind w:firstLine="480"/>
        <w:jc w:val="both"/>
        <w:rPr>
          <w:highlight w:val="none"/>
        </w:rPr>
      </w:pPr>
      <w:r>
        <w:rPr>
          <w:rFonts w:hint="eastAsia"/>
          <w:highlight w:val="none"/>
        </w:rPr>
        <w:t>中标人保证其所提供的服务和交付的成果以及在履行本项目义务中使用到的所有数据、文件、信息不会引起任何第三方在专利权、著作权、商标权等知识产权方面向采购人或采购人的关联方及合作方（包括但不限于采购人的主管单位和采购人的合作单位等）发出侵权指控或提出索赔。若有，中标人应负责与第三方解决纠纷，若因此导致采购人损失的，采购人有权要求中标人赔偿采购人因此遭受的全部损失，包括但不限于直接损失、间接损失、诉讼费／仲裁费、律师费、公证费、鉴定费等。</w:t>
      </w:r>
    </w:p>
    <w:p w14:paraId="1B602491">
      <w:pPr>
        <w:spacing w:before="300" w:after="120" w:line="288" w:lineRule="auto"/>
        <w:ind w:firstLine="600"/>
        <w:jc w:val="both"/>
        <w:outlineLvl w:val="2"/>
        <w:rPr>
          <w:rFonts w:ascii="Arial" w:hAnsi="Arial" w:eastAsia="等线" w:cs="Arial"/>
          <w:b/>
          <w:sz w:val="30"/>
          <w:highlight w:val="none"/>
        </w:rPr>
      </w:pPr>
      <w:r>
        <w:rPr>
          <w:rFonts w:hint="eastAsia" w:ascii="Arial" w:hAnsi="Arial" w:eastAsia="等线" w:cs="Arial"/>
          <w:b/>
          <w:sz w:val="30"/>
          <w:highlight w:val="none"/>
        </w:rPr>
        <w:t>7.</w:t>
      </w:r>
      <w:r>
        <w:rPr>
          <w:rFonts w:ascii="Arial" w:hAnsi="Arial" w:eastAsia="等线" w:cs="Arial"/>
          <w:b/>
          <w:sz w:val="30"/>
          <w:highlight w:val="none"/>
        </w:rPr>
        <w:t>2、项目保密要求</w:t>
      </w:r>
    </w:p>
    <w:p w14:paraId="52678812">
      <w:pPr>
        <w:ind w:firstLine="480"/>
        <w:jc w:val="both"/>
        <w:rPr>
          <w:highlight w:val="none"/>
        </w:rPr>
      </w:pPr>
      <w:r>
        <w:rPr>
          <w:rFonts w:hint="eastAsia"/>
          <w:highlight w:val="none"/>
        </w:rPr>
        <w:t>中标人因履行本项目而知悉的所有数据、信息和资料（包括但不限于账号信息、图表、文字、计算过程、任何形式的文件、访谈记录、现场实测数据、采购人相关工作程序等）以及因履行本项目而形成的数据、信息和任何形式的工作成果，均是采购人要求保密的信息。未经采购人书面同意，中标人不得对外泄露采购人要求保密的信息，不得用于其他用途，否则中标人需承担由此引起的法律责任和经济责任，包括但不限于直接损失、间接损失、律师费、诉讼费/仲裁费、调查费、公证费等。</w:t>
      </w:r>
    </w:p>
    <w:p w14:paraId="68DBF99F">
      <w:pPr>
        <w:ind w:firstLine="480"/>
        <w:jc w:val="both"/>
        <w:rPr>
          <w:highlight w:val="none"/>
        </w:rPr>
      </w:pPr>
      <w:r>
        <w:rPr>
          <w:rFonts w:hint="eastAsia"/>
          <w:highlight w:val="none"/>
        </w:rPr>
        <w:t>中标人应采取必要的有效措施保证其参与本项目的人员（包括中标人聘用的人员、借调的人员、实习的人员）无论是在职或离职后，以及中标人的合作方无论是合作中或合作终止后，都能够履行本项目约定的保密义务。若中标人人员或中标人合作方违反保密规定，中标人应承担连带责任。</w:t>
      </w:r>
    </w:p>
    <w:p w14:paraId="5A0435DB">
      <w:pPr>
        <w:ind w:firstLine="480"/>
        <w:jc w:val="both"/>
        <w:rPr>
          <w:highlight w:val="none"/>
        </w:rPr>
      </w:pPr>
      <w:r>
        <w:rPr>
          <w:rFonts w:hint="eastAsia"/>
          <w:highlight w:val="none"/>
        </w:rPr>
        <w:t>中标人（含中标人参与本项目的人员以及其合作方）未经采购方书面许可，不得以任何形式自行使用或以任何方式向第三方披露、转让、授权、出售与本项目有关的技术成果、计算机软件、源代码、策划文档、技术诀窍、秘密信息、技术资料和其他文件。</w:t>
      </w:r>
    </w:p>
    <w:p w14:paraId="6E92FE61">
      <w:pPr>
        <w:ind w:firstLine="480"/>
        <w:jc w:val="both"/>
        <w:rPr>
          <w:highlight w:val="none"/>
        </w:rPr>
      </w:pPr>
      <w:r>
        <w:rPr>
          <w:rFonts w:hint="eastAsia"/>
          <w:highlight w:val="none"/>
        </w:rPr>
        <w:t>以上内容的保密期限自中标人知悉保密信息起始至保密信息被合法公开之日止。</w:t>
      </w:r>
      <w:bookmarkStart w:id="28" w:name="_GoBack"/>
      <w:bookmarkEnd w:id="28"/>
    </w:p>
    <w:p w14:paraId="1835B7B1">
      <w:pPr>
        <w:spacing w:before="320" w:after="120" w:line="288" w:lineRule="auto"/>
        <w:ind w:firstLine="640"/>
        <w:jc w:val="both"/>
        <w:outlineLvl w:val="1"/>
        <w:rPr>
          <w:rFonts w:ascii="Arial" w:hAnsi="Arial" w:eastAsia="等线" w:cs="Arial"/>
          <w:b/>
          <w:sz w:val="32"/>
          <w:highlight w:val="none"/>
        </w:rPr>
      </w:pPr>
      <w:bookmarkStart w:id="27" w:name="heading_31"/>
      <w:r>
        <w:rPr>
          <w:rFonts w:hint="eastAsia" w:ascii="Arial" w:hAnsi="Arial" w:eastAsia="等线" w:cs="Arial"/>
          <w:b/>
          <w:sz w:val="32"/>
          <w:highlight w:val="none"/>
        </w:rPr>
        <w:t>八、项目转包和分包要求</w:t>
      </w:r>
    </w:p>
    <w:p w14:paraId="5FD4BCDE">
      <w:pPr>
        <w:ind w:firstLine="480"/>
        <w:jc w:val="both"/>
        <w:rPr>
          <w:rFonts w:hint="eastAsia"/>
          <w:highlight w:val="none"/>
        </w:rPr>
      </w:pPr>
      <w:r>
        <w:rPr>
          <w:rFonts w:hint="eastAsia"/>
          <w:highlight w:val="none"/>
        </w:rPr>
        <w:t>本项目</w:t>
      </w:r>
      <w:r>
        <w:rPr>
          <w:highlight w:val="none"/>
        </w:rPr>
        <w:t>合同不得转让，中标方负责整个项目的运营</w:t>
      </w:r>
      <w:r>
        <w:rPr>
          <w:rFonts w:hint="eastAsia"/>
          <w:highlight w:val="none"/>
        </w:rPr>
        <w:t>服务。</w:t>
      </w:r>
      <w:r>
        <w:rPr>
          <w:rFonts w:hint="eastAsia"/>
          <w:highlight w:val="none"/>
          <w:lang w:eastAsia="zh-CN"/>
        </w:rPr>
        <w:t>本项目非主体、非关键性工作部分经采购方同意后允许部分</w:t>
      </w:r>
      <w:r>
        <w:rPr>
          <w:highlight w:val="none"/>
        </w:rPr>
        <w:t>分包，</w:t>
      </w:r>
      <w:r>
        <w:rPr>
          <w:b/>
          <w:bCs/>
          <w:highlight w:val="none"/>
        </w:rPr>
        <w:t>投标人拟在中标后将服务项分包，应当在投标文件中明确说明</w:t>
      </w:r>
      <w:r>
        <w:rPr>
          <w:highlight w:val="none"/>
        </w:rPr>
        <w:t>。除上述情形外，中标后一律不得对</w:t>
      </w:r>
      <w:r>
        <w:rPr>
          <w:rFonts w:hint="eastAsia"/>
          <w:highlight w:val="none"/>
        </w:rPr>
        <w:t>外分包或者劳务外包。</w:t>
      </w:r>
    </w:p>
    <w:p w14:paraId="1AE06726">
      <w:pPr>
        <w:ind w:firstLine="480"/>
        <w:jc w:val="both"/>
        <w:rPr>
          <w:rFonts w:hint="eastAsia" w:eastAsia="宋体"/>
          <w:highlight w:val="none"/>
          <w:lang w:eastAsia="zh-CN"/>
        </w:rPr>
      </w:pPr>
      <w:r>
        <w:rPr>
          <w:rFonts w:hint="eastAsia"/>
          <w:highlight w:val="none"/>
          <w:lang w:eastAsia="zh-CN"/>
        </w:rPr>
        <w:t>本项目的主体和关键工作包括：应用软件开发（包括基础支撑体系建设、核心业务应用、系统集成和运维保障、密码应用功能模块开发）、基础设施、系统集成部分。</w:t>
      </w:r>
    </w:p>
    <w:p w14:paraId="7F5E79FE">
      <w:pPr>
        <w:spacing w:before="320" w:after="120" w:line="288" w:lineRule="auto"/>
        <w:ind w:firstLine="640"/>
        <w:jc w:val="both"/>
        <w:outlineLvl w:val="1"/>
        <w:rPr>
          <w:highlight w:val="none"/>
        </w:rPr>
      </w:pPr>
      <w:r>
        <w:rPr>
          <w:rFonts w:hint="eastAsia" w:ascii="Arial" w:hAnsi="Arial" w:eastAsia="等线" w:cs="Arial"/>
          <w:b/>
          <w:sz w:val="32"/>
          <w:highlight w:val="none"/>
        </w:rPr>
        <w:t>九、</w:t>
      </w:r>
      <w:r>
        <w:rPr>
          <w:rFonts w:ascii="Arial" w:hAnsi="Arial" w:eastAsia="等线" w:cs="Arial"/>
          <w:b/>
          <w:sz w:val="32"/>
          <w:highlight w:val="none"/>
        </w:rPr>
        <w:t>付款方式</w:t>
      </w:r>
      <w:bookmarkEnd w:id="27"/>
    </w:p>
    <w:p w14:paraId="49EAC090">
      <w:pPr>
        <w:keepNext w:val="0"/>
        <w:keepLines w:val="0"/>
        <w:pageBreakBefore w:val="0"/>
        <w:widowControl w:val="0"/>
        <w:numPr>
          <w:ilvl w:val="0"/>
          <w:numId w:val="0"/>
        </w:numPr>
        <w:kinsoku/>
        <w:wordWrap/>
        <w:overflowPunct/>
        <w:topLinePunct w:val="0"/>
        <w:autoSpaceDE/>
        <w:autoSpaceDN/>
        <w:bidi w:val="0"/>
        <w:adjustRightInd/>
        <w:snapToGrid/>
        <w:spacing w:before="120" w:after="120"/>
        <w:ind w:firstLine="482" w:firstLineChars="200"/>
        <w:jc w:val="both"/>
        <w:textAlignment w:val="auto"/>
        <w:rPr>
          <w:rFonts w:ascii="宋体" w:hAnsi="宋体"/>
          <w:highlight w:val="none"/>
        </w:rPr>
      </w:pPr>
      <w:r>
        <w:rPr>
          <w:rFonts w:hint="eastAsia" w:ascii="宋体" w:hAnsi="宋体" w:cs="Arial"/>
          <w:b/>
          <w:highlight w:val="none"/>
        </w:rPr>
        <w:t>合同签订后采购人可支付不高于合同金额30%的预付款；项目初验通过后，采购人可支付合同金额的50%；项目终验通过并交付后，采购人结清剩余款项。</w:t>
      </w:r>
      <w:r>
        <w:rPr>
          <w:rFonts w:hint="eastAsia" w:ascii="宋体" w:hAnsi="宋体" w:cs="Arial"/>
          <w:highlight w:val="none"/>
        </w:rPr>
        <w:t>以上实际支付以财政实际安排预算为准。</w:t>
      </w:r>
    </w:p>
    <w:sectPr>
      <w:headerReference r:id="rId7" w:type="first"/>
      <w:footerReference r:id="rId10" w:type="first"/>
      <w:headerReference r:id="rId5" w:type="default"/>
      <w:footerReference r:id="rId8" w:type="default"/>
      <w:headerReference r:id="rId6" w:type="even"/>
      <w:footerReference r:id="rId9" w:type="even"/>
      <w:pgSz w:w="11905" w:h="16840"/>
      <w:pgMar w:top="1440" w:right="1800" w:bottom="144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5EDCD">
    <w:pPr>
      <w:pStyle w:val="3"/>
      <w:ind w:firstLine="360"/>
    </w:pPr>
    <w:r>
      <mc:AlternateContent>
        <mc:Choice Requires="wps">
          <w:drawing>
            <wp:anchor distT="0" distB="0" distL="114300" distR="114300" simplePos="0" relativeHeight="251659264" behindDoc="0" locked="0" layoutInCell="1" allowOverlap="1">
              <wp:simplePos x="0" y="0"/>
              <wp:positionH relativeFrom="margin">
                <wp:posOffset>2486025</wp:posOffset>
              </wp:positionH>
              <wp:positionV relativeFrom="paragraph">
                <wp:posOffset>-3810</wp:posOffset>
              </wp:positionV>
              <wp:extent cx="55245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52450" cy="1828800"/>
                      </a:xfrm>
                      <a:prstGeom prst="rect">
                        <a:avLst/>
                      </a:prstGeom>
                      <a:noFill/>
                      <a:ln w="6350">
                        <a:noFill/>
                      </a:ln>
                      <a:effectLst/>
                    </wps:spPr>
                    <wps:txbx>
                      <w:txbxContent>
                        <w:p w14:paraId="40E45F6A">
                          <w:pPr>
                            <w:pStyle w:val="3"/>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5.75pt;margin-top:-0.3pt;height:144pt;width:43.5pt;mso-position-horizontal-relative:margin;z-index:251659264;mso-width-relative:page;mso-height-relative:page;" filled="f" stroked="f" coordsize="21600,21600" o:gfxdata="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N2dfo2AAAAAkBAAAPAAAAAAAAAAEAIAAAACIAAABkcnMvZG93bnJl&#10;di54bWxQSwECFAAUAAAACACHTuJApZ0G4zYCAABkBAAADgAAAAAAAAABACAAAAAnAQAAZHJzL2Uy&#10;b0RvYy54bWxQSwUGAAAAAAYABgBZAQAAzwUAAAAA&#10;">
              <v:fill on="f" focussize="0,0"/>
              <v:stroke on="f" weight="0.5pt"/>
              <v:imagedata o:title=""/>
              <o:lock v:ext="edit" aspectratio="f"/>
              <v:textbox inset="0mm,0mm,0mm,0mm" style="mso-fit-shape-to-text:t;">
                <w:txbxContent>
                  <w:p w14:paraId="40E45F6A">
                    <w:pPr>
                      <w:pStyle w:val="3"/>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98C4E">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5B615">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75F3C">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FBE29">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329BF">
    <w:pPr>
      <w:pStyle w:val="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614F3"/>
    <w:multiLevelType w:val="multilevel"/>
    <w:tmpl w:val="01D614F3"/>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3EB7835"/>
    <w:multiLevelType w:val="multilevel"/>
    <w:tmpl w:val="03EB7835"/>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555433A"/>
    <w:multiLevelType w:val="multilevel"/>
    <w:tmpl w:val="0555433A"/>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0B957DD3"/>
    <w:multiLevelType w:val="multilevel"/>
    <w:tmpl w:val="0B957DD3"/>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0CBC2A04"/>
    <w:multiLevelType w:val="multilevel"/>
    <w:tmpl w:val="0CBC2A04"/>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0CED0BC5"/>
    <w:multiLevelType w:val="multilevel"/>
    <w:tmpl w:val="0CED0BC5"/>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0E3A691B"/>
    <w:multiLevelType w:val="multilevel"/>
    <w:tmpl w:val="0E3A691B"/>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FFC7700"/>
    <w:multiLevelType w:val="multilevel"/>
    <w:tmpl w:val="0FFC7700"/>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11FA5B39"/>
    <w:multiLevelType w:val="multilevel"/>
    <w:tmpl w:val="11FA5B39"/>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13D33C47"/>
    <w:multiLevelType w:val="multilevel"/>
    <w:tmpl w:val="13D33C47"/>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199C3BA8"/>
    <w:multiLevelType w:val="multilevel"/>
    <w:tmpl w:val="199C3BA8"/>
    <w:lvl w:ilvl="0" w:tentative="0">
      <w:start w:val="1"/>
      <w:numFmt w:val="lowerLetter"/>
      <w:lvlText w:val="%1)"/>
      <w:lvlJc w:val="left"/>
      <w:pPr>
        <w:ind w:left="1280" w:hanging="440"/>
      </w:pPr>
    </w:lvl>
    <w:lvl w:ilvl="1" w:tentative="0">
      <w:start w:val="1"/>
      <w:numFmt w:val="lowerLetter"/>
      <w:lvlText w:val="%2)"/>
      <w:lvlJc w:val="left"/>
      <w:pPr>
        <w:ind w:left="1720" w:hanging="440"/>
      </w:pPr>
    </w:lvl>
    <w:lvl w:ilvl="2" w:tentative="0">
      <w:start w:val="1"/>
      <w:numFmt w:val="lowerRoman"/>
      <w:lvlText w:val="%3."/>
      <w:lvlJc w:val="right"/>
      <w:pPr>
        <w:ind w:left="2160" w:hanging="440"/>
      </w:pPr>
    </w:lvl>
    <w:lvl w:ilvl="3" w:tentative="0">
      <w:start w:val="1"/>
      <w:numFmt w:val="decimal"/>
      <w:lvlText w:val="%4."/>
      <w:lvlJc w:val="left"/>
      <w:pPr>
        <w:ind w:left="2600" w:hanging="440"/>
      </w:pPr>
    </w:lvl>
    <w:lvl w:ilvl="4" w:tentative="0">
      <w:start w:val="1"/>
      <w:numFmt w:val="lowerLetter"/>
      <w:lvlText w:val="%5)"/>
      <w:lvlJc w:val="left"/>
      <w:pPr>
        <w:ind w:left="3040" w:hanging="440"/>
      </w:pPr>
    </w:lvl>
    <w:lvl w:ilvl="5" w:tentative="0">
      <w:start w:val="1"/>
      <w:numFmt w:val="lowerRoman"/>
      <w:lvlText w:val="%6."/>
      <w:lvlJc w:val="right"/>
      <w:pPr>
        <w:ind w:left="3480" w:hanging="440"/>
      </w:pPr>
    </w:lvl>
    <w:lvl w:ilvl="6" w:tentative="0">
      <w:start w:val="1"/>
      <w:numFmt w:val="decimal"/>
      <w:lvlText w:val="%7."/>
      <w:lvlJc w:val="left"/>
      <w:pPr>
        <w:ind w:left="3920" w:hanging="440"/>
      </w:pPr>
    </w:lvl>
    <w:lvl w:ilvl="7" w:tentative="0">
      <w:start w:val="1"/>
      <w:numFmt w:val="lowerLetter"/>
      <w:lvlText w:val="%8)"/>
      <w:lvlJc w:val="left"/>
      <w:pPr>
        <w:ind w:left="4360" w:hanging="440"/>
      </w:pPr>
    </w:lvl>
    <w:lvl w:ilvl="8" w:tentative="0">
      <w:start w:val="1"/>
      <w:numFmt w:val="lowerRoman"/>
      <w:lvlText w:val="%9."/>
      <w:lvlJc w:val="right"/>
      <w:pPr>
        <w:ind w:left="4800" w:hanging="440"/>
      </w:pPr>
    </w:lvl>
  </w:abstractNum>
  <w:abstractNum w:abstractNumId="11">
    <w:nsid w:val="219C1F23"/>
    <w:multiLevelType w:val="multilevel"/>
    <w:tmpl w:val="219C1F23"/>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235478DC"/>
    <w:multiLevelType w:val="multilevel"/>
    <w:tmpl w:val="235478DC"/>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2658282E"/>
    <w:multiLevelType w:val="multilevel"/>
    <w:tmpl w:val="2658282E"/>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2E756A0B"/>
    <w:multiLevelType w:val="multilevel"/>
    <w:tmpl w:val="2E756A0B"/>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36C26288"/>
    <w:multiLevelType w:val="multilevel"/>
    <w:tmpl w:val="36C26288"/>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38A015FB"/>
    <w:multiLevelType w:val="multilevel"/>
    <w:tmpl w:val="38A015FB"/>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3A1336F2"/>
    <w:multiLevelType w:val="multilevel"/>
    <w:tmpl w:val="3A1336F2"/>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3E8075CD"/>
    <w:multiLevelType w:val="multilevel"/>
    <w:tmpl w:val="3E8075CD"/>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4EBE0F2F"/>
    <w:multiLevelType w:val="multilevel"/>
    <w:tmpl w:val="4EBE0F2F"/>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551A0F0C"/>
    <w:multiLevelType w:val="multilevel"/>
    <w:tmpl w:val="551A0F0C"/>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
    <w:nsid w:val="59FD133D"/>
    <w:multiLevelType w:val="multilevel"/>
    <w:tmpl w:val="59FD133D"/>
    <w:lvl w:ilvl="0" w:tentative="0">
      <w:start w:val="1"/>
      <w:numFmt w:val="decimal"/>
      <w:lvlText w:val="%1)"/>
      <w:lvlJc w:val="left"/>
      <w:pPr>
        <w:ind w:left="0" w:firstLine="0"/>
      </w:pPr>
      <w:rPr>
        <w:rFonts w:hint="eastAsia"/>
        <w:color w:val="3370FF"/>
      </w:rPr>
    </w:lvl>
    <w:lvl w:ilvl="1" w:tentative="0">
      <w:start w:val="0"/>
      <w:numFmt w:val="decimal"/>
      <w:lvlText w:val=""/>
      <w:lvlJc w:val="left"/>
      <w:pPr>
        <w:ind w:left="0" w:firstLine="0"/>
      </w:pPr>
      <w:rPr>
        <w:rFonts w:hint="eastAsia"/>
      </w:rPr>
    </w:lvl>
    <w:lvl w:ilvl="2" w:tentative="0">
      <w:start w:val="0"/>
      <w:numFmt w:val="decimal"/>
      <w:lvlText w:val=""/>
      <w:lvlJc w:val="left"/>
      <w:pPr>
        <w:ind w:left="0" w:firstLine="0"/>
      </w:pPr>
      <w:rPr>
        <w:rFonts w:hint="eastAsia"/>
      </w:rPr>
    </w:lvl>
    <w:lvl w:ilvl="3" w:tentative="0">
      <w:start w:val="0"/>
      <w:numFmt w:val="decimal"/>
      <w:lvlText w:val=""/>
      <w:lvlJc w:val="left"/>
      <w:pPr>
        <w:ind w:left="0" w:firstLine="0"/>
      </w:pPr>
      <w:rPr>
        <w:rFonts w:hint="eastAsia"/>
      </w:rPr>
    </w:lvl>
    <w:lvl w:ilvl="4" w:tentative="0">
      <w:start w:val="0"/>
      <w:numFmt w:val="decimal"/>
      <w:lvlText w:val=""/>
      <w:lvlJc w:val="left"/>
      <w:pPr>
        <w:ind w:left="0" w:firstLine="0"/>
      </w:pPr>
      <w:rPr>
        <w:rFonts w:hint="eastAsia"/>
      </w:rPr>
    </w:lvl>
    <w:lvl w:ilvl="5" w:tentative="0">
      <w:start w:val="0"/>
      <w:numFmt w:val="decimal"/>
      <w:lvlText w:val=""/>
      <w:lvlJc w:val="left"/>
      <w:pPr>
        <w:ind w:left="0" w:firstLine="0"/>
      </w:pPr>
      <w:rPr>
        <w:rFonts w:hint="eastAsia"/>
      </w:rPr>
    </w:lvl>
    <w:lvl w:ilvl="6" w:tentative="0">
      <w:start w:val="0"/>
      <w:numFmt w:val="decimal"/>
      <w:lvlText w:val=""/>
      <w:lvlJc w:val="left"/>
      <w:pPr>
        <w:ind w:left="0" w:firstLine="0"/>
      </w:pPr>
      <w:rPr>
        <w:rFonts w:hint="eastAsia"/>
      </w:rPr>
    </w:lvl>
    <w:lvl w:ilvl="7" w:tentative="0">
      <w:start w:val="0"/>
      <w:numFmt w:val="decimal"/>
      <w:lvlText w:val=""/>
      <w:lvlJc w:val="left"/>
      <w:pPr>
        <w:ind w:left="0" w:firstLine="0"/>
      </w:pPr>
      <w:rPr>
        <w:rFonts w:hint="eastAsia"/>
      </w:rPr>
    </w:lvl>
    <w:lvl w:ilvl="8" w:tentative="0">
      <w:start w:val="0"/>
      <w:numFmt w:val="decimal"/>
      <w:lvlText w:val=""/>
      <w:lvlJc w:val="left"/>
      <w:pPr>
        <w:ind w:left="0" w:firstLine="0"/>
      </w:pPr>
      <w:rPr>
        <w:rFonts w:hint="eastAsia"/>
      </w:rPr>
    </w:lvl>
  </w:abstractNum>
  <w:abstractNum w:abstractNumId="22">
    <w:nsid w:val="5CA5697E"/>
    <w:multiLevelType w:val="multilevel"/>
    <w:tmpl w:val="5CA5697E"/>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
    <w:nsid w:val="5DC75610"/>
    <w:multiLevelType w:val="multilevel"/>
    <w:tmpl w:val="5DC75610"/>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65EF448A"/>
    <w:multiLevelType w:val="multilevel"/>
    <w:tmpl w:val="65EF448A"/>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
    <w:nsid w:val="6EE87D02"/>
    <w:multiLevelType w:val="multilevel"/>
    <w:tmpl w:val="6EE87D02"/>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
    <w:nsid w:val="71BB2C11"/>
    <w:multiLevelType w:val="singleLevel"/>
    <w:tmpl w:val="71BB2C11"/>
    <w:lvl w:ilvl="0" w:tentative="0">
      <w:start w:val="1"/>
      <w:numFmt w:val="decimal"/>
      <w:suff w:val="nothing"/>
      <w:lvlText w:val="（%1）"/>
      <w:lvlJc w:val="left"/>
    </w:lvl>
  </w:abstractNum>
  <w:abstractNum w:abstractNumId="27">
    <w:nsid w:val="71C01618"/>
    <w:multiLevelType w:val="multilevel"/>
    <w:tmpl w:val="71C01618"/>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
    <w:nsid w:val="7F3313ED"/>
    <w:multiLevelType w:val="multilevel"/>
    <w:tmpl w:val="7F3313ED"/>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7"/>
  </w:num>
  <w:num w:numId="2">
    <w:abstractNumId w:val="26"/>
  </w:num>
  <w:num w:numId="3">
    <w:abstractNumId w:val="21"/>
  </w:num>
  <w:num w:numId="4">
    <w:abstractNumId w:val="7"/>
  </w:num>
  <w:num w:numId="5">
    <w:abstractNumId w:val="20"/>
  </w:num>
  <w:num w:numId="6">
    <w:abstractNumId w:val="13"/>
  </w:num>
  <w:num w:numId="7">
    <w:abstractNumId w:val="14"/>
  </w:num>
  <w:num w:numId="8">
    <w:abstractNumId w:val="15"/>
  </w:num>
  <w:num w:numId="9">
    <w:abstractNumId w:val="28"/>
  </w:num>
  <w:num w:numId="10">
    <w:abstractNumId w:val="4"/>
  </w:num>
  <w:num w:numId="11">
    <w:abstractNumId w:val="23"/>
  </w:num>
  <w:num w:numId="12">
    <w:abstractNumId w:val="11"/>
  </w:num>
  <w:num w:numId="13">
    <w:abstractNumId w:val="25"/>
  </w:num>
  <w:num w:numId="14">
    <w:abstractNumId w:val="16"/>
  </w:num>
  <w:num w:numId="15">
    <w:abstractNumId w:val="18"/>
  </w:num>
  <w:num w:numId="16">
    <w:abstractNumId w:val="6"/>
  </w:num>
  <w:num w:numId="17">
    <w:abstractNumId w:val="8"/>
  </w:num>
  <w:num w:numId="18">
    <w:abstractNumId w:val="5"/>
  </w:num>
  <w:num w:numId="19">
    <w:abstractNumId w:val="27"/>
  </w:num>
  <w:num w:numId="20">
    <w:abstractNumId w:val="19"/>
  </w:num>
  <w:num w:numId="21">
    <w:abstractNumId w:val="10"/>
  </w:num>
  <w:num w:numId="22">
    <w:abstractNumId w:val="1"/>
  </w:num>
  <w:num w:numId="23">
    <w:abstractNumId w:val="3"/>
  </w:num>
  <w:num w:numId="24">
    <w:abstractNumId w:val="12"/>
  </w:num>
  <w:num w:numId="25">
    <w:abstractNumId w:val="2"/>
  </w:num>
  <w:num w:numId="26">
    <w:abstractNumId w:val="0"/>
  </w:num>
  <w:num w:numId="27">
    <w:abstractNumId w:val="22"/>
  </w:num>
  <w:num w:numId="28">
    <w:abstractNumId w:val="24"/>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doNotCompress"/>
  <w:footnotePr>
    <w:footnote w:id="0"/>
    <w:footnote w:id="1"/>
  </w:footnotePr>
  <w:endnotePr>
    <w:endnote w:id="0"/>
    <w:endnote w:id="1"/>
  </w:endnotePr>
  <w:compat>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4N2UwZGQ1Yjc3NDU5M2VjN2I1ZGUzNzA4Yzc0YzAifQ=="/>
  </w:docVars>
  <w:rsids>
    <w:rsidRoot w:val="00F41634"/>
    <w:rsid w:val="000011E9"/>
    <w:rsid w:val="00056DE9"/>
    <w:rsid w:val="000744EB"/>
    <w:rsid w:val="000A58D4"/>
    <w:rsid w:val="000C678A"/>
    <w:rsid w:val="000F24BB"/>
    <w:rsid w:val="000F28F9"/>
    <w:rsid w:val="001046E7"/>
    <w:rsid w:val="0012101D"/>
    <w:rsid w:val="00130B1D"/>
    <w:rsid w:val="00135E92"/>
    <w:rsid w:val="001622C1"/>
    <w:rsid w:val="001D733B"/>
    <w:rsid w:val="002032BE"/>
    <w:rsid w:val="002157D0"/>
    <w:rsid w:val="002300A8"/>
    <w:rsid w:val="00233BDE"/>
    <w:rsid w:val="002418BA"/>
    <w:rsid w:val="00265368"/>
    <w:rsid w:val="00271538"/>
    <w:rsid w:val="00275982"/>
    <w:rsid w:val="002A29EA"/>
    <w:rsid w:val="002C7DFB"/>
    <w:rsid w:val="002D4CF5"/>
    <w:rsid w:val="002E785D"/>
    <w:rsid w:val="00324306"/>
    <w:rsid w:val="00346968"/>
    <w:rsid w:val="00351690"/>
    <w:rsid w:val="0039732F"/>
    <w:rsid w:val="003A7862"/>
    <w:rsid w:val="00423255"/>
    <w:rsid w:val="00434B5D"/>
    <w:rsid w:val="00447A36"/>
    <w:rsid w:val="00465397"/>
    <w:rsid w:val="004F12F2"/>
    <w:rsid w:val="005013A3"/>
    <w:rsid w:val="0050313C"/>
    <w:rsid w:val="00542B70"/>
    <w:rsid w:val="00555C77"/>
    <w:rsid w:val="00571B3B"/>
    <w:rsid w:val="00590365"/>
    <w:rsid w:val="00591B7D"/>
    <w:rsid w:val="005D4749"/>
    <w:rsid w:val="00632AEB"/>
    <w:rsid w:val="00643155"/>
    <w:rsid w:val="006451C3"/>
    <w:rsid w:val="00655E7B"/>
    <w:rsid w:val="006803B3"/>
    <w:rsid w:val="006815FD"/>
    <w:rsid w:val="0069359A"/>
    <w:rsid w:val="006A7D20"/>
    <w:rsid w:val="007052D7"/>
    <w:rsid w:val="00724608"/>
    <w:rsid w:val="00767096"/>
    <w:rsid w:val="0077308A"/>
    <w:rsid w:val="007A33E1"/>
    <w:rsid w:val="007A7F4B"/>
    <w:rsid w:val="007C5395"/>
    <w:rsid w:val="007D0371"/>
    <w:rsid w:val="007E0673"/>
    <w:rsid w:val="007F264E"/>
    <w:rsid w:val="007F54C7"/>
    <w:rsid w:val="00832450"/>
    <w:rsid w:val="00860757"/>
    <w:rsid w:val="008E4FC6"/>
    <w:rsid w:val="00915528"/>
    <w:rsid w:val="00945D90"/>
    <w:rsid w:val="00955069"/>
    <w:rsid w:val="00972EFB"/>
    <w:rsid w:val="009C1D2C"/>
    <w:rsid w:val="00A3209D"/>
    <w:rsid w:val="00A425A8"/>
    <w:rsid w:val="00A556C1"/>
    <w:rsid w:val="00A6460D"/>
    <w:rsid w:val="00A86A7E"/>
    <w:rsid w:val="00AC3519"/>
    <w:rsid w:val="00AD3A24"/>
    <w:rsid w:val="00AF345F"/>
    <w:rsid w:val="00B72A1A"/>
    <w:rsid w:val="00BE4E83"/>
    <w:rsid w:val="00C46B19"/>
    <w:rsid w:val="00C51241"/>
    <w:rsid w:val="00C83B8F"/>
    <w:rsid w:val="00C871F9"/>
    <w:rsid w:val="00C87663"/>
    <w:rsid w:val="00CE64E6"/>
    <w:rsid w:val="00D244AD"/>
    <w:rsid w:val="00D91D35"/>
    <w:rsid w:val="00DA105A"/>
    <w:rsid w:val="00DB133A"/>
    <w:rsid w:val="00DB7085"/>
    <w:rsid w:val="00DC306F"/>
    <w:rsid w:val="00DD2540"/>
    <w:rsid w:val="00DF165E"/>
    <w:rsid w:val="00E2299F"/>
    <w:rsid w:val="00E466E8"/>
    <w:rsid w:val="00E53F61"/>
    <w:rsid w:val="00ED4562"/>
    <w:rsid w:val="00F33A00"/>
    <w:rsid w:val="00F36847"/>
    <w:rsid w:val="00F41340"/>
    <w:rsid w:val="00F41634"/>
    <w:rsid w:val="00F57B1A"/>
    <w:rsid w:val="00FA05C8"/>
    <w:rsid w:val="00FA2D59"/>
    <w:rsid w:val="00FB3555"/>
    <w:rsid w:val="00FD09A2"/>
    <w:rsid w:val="00FD224F"/>
    <w:rsid w:val="00FF0ED7"/>
    <w:rsid w:val="02D41F0B"/>
    <w:rsid w:val="034F3196"/>
    <w:rsid w:val="03D543A0"/>
    <w:rsid w:val="040842CD"/>
    <w:rsid w:val="0449371C"/>
    <w:rsid w:val="0661382A"/>
    <w:rsid w:val="06D64EB8"/>
    <w:rsid w:val="07C50705"/>
    <w:rsid w:val="07E14028"/>
    <w:rsid w:val="0B5F1B77"/>
    <w:rsid w:val="0B7A581D"/>
    <w:rsid w:val="0BF40E1C"/>
    <w:rsid w:val="0F362151"/>
    <w:rsid w:val="1131013A"/>
    <w:rsid w:val="11FF551A"/>
    <w:rsid w:val="13FA41EA"/>
    <w:rsid w:val="157F6CF7"/>
    <w:rsid w:val="16070E41"/>
    <w:rsid w:val="18925339"/>
    <w:rsid w:val="19D96F98"/>
    <w:rsid w:val="19DF7438"/>
    <w:rsid w:val="1A2065E4"/>
    <w:rsid w:val="1D344C11"/>
    <w:rsid w:val="1D541ABC"/>
    <w:rsid w:val="1E1E3EC7"/>
    <w:rsid w:val="1F0B7BF4"/>
    <w:rsid w:val="1FC57D26"/>
    <w:rsid w:val="200603BB"/>
    <w:rsid w:val="208D08C0"/>
    <w:rsid w:val="222E7050"/>
    <w:rsid w:val="248F795A"/>
    <w:rsid w:val="252F5CBE"/>
    <w:rsid w:val="26881B2A"/>
    <w:rsid w:val="28414B67"/>
    <w:rsid w:val="286363AA"/>
    <w:rsid w:val="28EA6ACC"/>
    <w:rsid w:val="29656152"/>
    <w:rsid w:val="2A7C3754"/>
    <w:rsid w:val="2CE52A18"/>
    <w:rsid w:val="2D450775"/>
    <w:rsid w:val="2D733452"/>
    <w:rsid w:val="2DCF3A3B"/>
    <w:rsid w:val="2E9372BE"/>
    <w:rsid w:val="30823A8E"/>
    <w:rsid w:val="31012DCC"/>
    <w:rsid w:val="319E48F7"/>
    <w:rsid w:val="32D14DDA"/>
    <w:rsid w:val="34D4418C"/>
    <w:rsid w:val="360E1DB7"/>
    <w:rsid w:val="366C20C4"/>
    <w:rsid w:val="37E64902"/>
    <w:rsid w:val="38C84008"/>
    <w:rsid w:val="39D76BF8"/>
    <w:rsid w:val="3A612966"/>
    <w:rsid w:val="3A6D5650"/>
    <w:rsid w:val="3B082DE1"/>
    <w:rsid w:val="3B7B4841"/>
    <w:rsid w:val="3B8C279A"/>
    <w:rsid w:val="3B9A612F"/>
    <w:rsid w:val="3DE47B36"/>
    <w:rsid w:val="41160006"/>
    <w:rsid w:val="43C81360"/>
    <w:rsid w:val="451C7BB5"/>
    <w:rsid w:val="455F16A9"/>
    <w:rsid w:val="456436FB"/>
    <w:rsid w:val="4685178A"/>
    <w:rsid w:val="47C00CCC"/>
    <w:rsid w:val="482A083B"/>
    <w:rsid w:val="485C102C"/>
    <w:rsid w:val="486755EB"/>
    <w:rsid w:val="498333CC"/>
    <w:rsid w:val="49EC326B"/>
    <w:rsid w:val="4A183041"/>
    <w:rsid w:val="4A49144C"/>
    <w:rsid w:val="4C1B0713"/>
    <w:rsid w:val="4CE01273"/>
    <w:rsid w:val="4D40584F"/>
    <w:rsid w:val="4DFF0B5C"/>
    <w:rsid w:val="4EAD187E"/>
    <w:rsid w:val="4F073684"/>
    <w:rsid w:val="50067498"/>
    <w:rsid w:val="501A0052"/>
    <w:rsid w:val="50916E06"/>
    <w:rsid w:val="50F97C41"/>
    <w:rsid w:val="5156444F"/>
    <w:rsid w:val="51B64C0F"/>
    <w:rsid w:val="52171E30"/>
    <w:rsid w:val="5254016A"/>
    <w:rsid w:val="52E7152C"/>
    <w:rsid w:val="53E956A8"/>
    <w:rsid w:val="54336CAA"/>
    <w:rsid w:val="54BC7665"/>
    <w:rsid w:val="55B160F8"/>
    <w:rsid w:val="55EE10FA"/>
    <w:rsid w:val="568C66CD"/>
    <w:rsid w:val="5CAC586B"/>
    <w:rsid w:val="5CD33C95"/>
    <w:rsid w:val="5D6E2740"/>
    <w:rsid w:val="5DBB736C"/>
    <w:rsid w:val="5DE43E5E"/>
    <w:rsid w:val="5F784592"/>
    <w:rsid w:val="62B90EDE"/>
    <w:rsid w:val="62FF4946"/>
    <w:rsid w:val="63A87200"/>
    <w:rsid w:val="640E4AEB"/>
    <w:rsid w:val="6555211B"/>
    <w:rsid w:val="658B4525"/>
    <w:rsid w:val="673C5693"/>
    <w:rsid w:val="6A4E61B3"/>
    <w:rsid w:val="6BA45A54"/>
    <w:rsid w:val="6C5A0E3F"/>
    <w:rsid w:val="6C8C7F4D"/>
    <w:rsid w:val="6EEE3AC1"/>
    <w:rsid w:val="6F8B4A66"/>
    <w:rsid w:val="700417EE"/>
    <w:rsid w:val="703419A7"/>
    <w:rsid w:val="70F7264E"/>
    <w:rsid w:val="72533DC1"/>
    <w:rsid w:val="732B52E4"/>
    <w:rsid w:val="735D17F2"/>
    <w:rsid w:val="74891405"/>
    <w:rsid w:val="74B22513"/>
    <w:rsid w:val="74CB10E1"/>
    <w:rsid w:val="75A94138"/>
    <w:rsid w:val="75B94E29"/>
    <w:rsid w:val="767C00E6"/>
    <w:rsid w:val="768C42EB"/>
    <w:rsid w:val="7769501C"/>
    <w:rsid w:val="77BE3C35"/>
    <w:rsid w:val="78202F0E"/>
    <w:rsid w:val="78D83818"/>
    <w:rsid w:val="7BCF6E26"/>
    <w:rsid w:val="7BEA5D3E"/>
    <w:rsid w:val="7CF47B1F"/>
    <w:rsid w:val="7CFD79D2"/>
    <w:rsid w:val="7D2F3C22"/>
    <w:rsid w:val="7EA67F14"/>
    <w:rsid w:val="7EBE525E"/>
    <w:rsid w:val="7FD05147"/>
    <w:rsid w:val="FB7F4F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等线" w:hAnsi="等线" w:eastAsia="宋体" w:cs="Times New Roman"/>
      <w:kern w:val="2"/>
      <w:sz w:val="24"/>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footer"/>
    <w:basedOn w:val="1"/>
    <w:link w:val="9"/>
    <w:unhideWhenUsed/>
    <w:qFormat/>
    <w:uiPriority w:val="99"/>
    <w:pPr>
      <w:tabs>
        <w:tab w:val="center" w:pos="4153"/>
        <w:tab w:val="right" w:pos="8306"/>
      </w:tabs>
      <w:snapToGrid w:val="0"/>
      <w:spacing w:line="240" w:lineRule="auto"/>
    </w:pPr>
    <w:rPr>
      <w:sz w:val="18"/>
      <w:szCs w:val="18"/>
    </w:rPr>
  </w:style>
  <w:style w:type="paragraph" w:styleId="4">
    <w:name w:val="header"/>
    <w:basedOn w:val="1"/>
    <w:link w:val="10"/>
    <w:unhideWhenUsed/>
    <w:qFormat/>
    <w:uiPriority w:val="99"/>
    <w:pPr>
      <w:tabs>
        <w:tab w:val="center" w:pos="4153"/>
        <w:tab w:val="right" w:pos="8306"/>
      </w:tabs>
      <w:snapToGrid w:val="0"/>
      <w:spacing w:line="240" w:lineRule="auto"/>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basedOn w:val="7"/>
    <w:semiHidden/>
    <w:unhideWhenUsed/>
    <w:qFormat/>
    <w:uiPriority w:val="99"/>
    <w:rPr>
      <w:sz w:val="21"/>
      <w:szCs w:val="21"/>
    </w:rPr>
  </w:style>
  <w:style w:type="character" w:customStyle="1" w:styleId="9">
    <w:name w:val="页脚 字符"/>
    <w:basedOn w:val="7"/>
    <w:link w:val="3"/>
    <w:qFormat/>
    <w:uiPriority w:val="99"/>
    <w:rPr>
      <w:sz w:val="18"/>
      <w:szCs w:val="18"/>
    </w:rPr>
  </w:style>
  <w:style w:type="character" w:customStyle="1" w:styleId="10">
    <w:name w:val="页眉 字符"/>
    <w:basedOn w:val="7"/>
    <w:link w:val="4"/>
    <w:qFormat/>
    <w:uiPriority w:val="99"/>
    <w:rPr>
      <w:sz w:val="18"/>
      <w:szCs w:val="18"/>
    </w:rPr>
  </w:style>
  <w:style w:type="paragraph" w:customStyle="1" w:styleId="11">
    <w:name w:val="样式2"/>
    <w:basedOn w:val="1"/>
    <w:qFormat/>
    <w:uiPriority w:val="0"/>
    <w:pPr>
      <w:widowControl/>
      <w:adjustRightInd w:val="0"/>
      <w:ind w:firstLine="480"/>
    </w:pPr>
    <w:rPr>
      <w:rFonts w:ascii="宋体" w:hAnsi="宋体"/>
      <w:kern w:val="0"/>
      <w:lang w:eastAsia="en-US"/>
    </w:rPr>
  </w:style>
  <w:style w:type="paragraph" w:customStyle="1" w:styleId="12">
    <w:name w:val="修订1"/>
    <w:unhideWhenUsed/>
    <w:qFormat/>
    <w:uiPriority w:val="99"/>
    <w:rPr>
      <w:rFonts w:ascii="等线" w:hAnsi="等线" w:eastAsia="等线" w:cs="Times New Roman"/>
      <w:kern w:val="2"/>
      <w:sz w:val="22"/>
      <w:szCs w:val="24"/>
      <w:lang w:val="en-US" w:eastAsia="zh-CN" w:bidi="ar-SA"/>
    </w:rPr>
  </w:style>
  <w:style w:type="paragraph" w:customStyle="1" w:styleId="13">
    <w:name w:val="修订2"/>
    <w:unhideWhenUsed/>
    <w:qFormat/>
    <w:uiPriority w:val="99"/>
    <w:rPr>
      <w:rFonts w:ascii="等线" w:hAnsi="等线" w:eastAsia="等线" w:cs="Times New Roman"/>
      <w:kern w:val="2"/>
      <w:sz w:val="22"/>
      <w:szCs w:val="24"/>
      <w:lang w:val="en-US" w:eastAsia="zh-CN" w:bidi="ar-SA"/>
    </w:rPr>
  </w:style>
  <w:style w:type="paragraph" w:customStyle="1" w:styleId="14">
    <w:name w:val="修订3"/>
    <w:unhideWhenUsed/>
    <w:qFormat/>
    <w:uiPriority w:val="99"/>
    <w:rPr>
      <w:rFonts w:ascii="等线" w:hAnsi="等线" w:eastAsia="宋体" w:cs="Times New Roman"/>
      <w:kern w:val="2"/>
      <w:sz w:val="24"/>
      <w:szCs w:val="24"/>
      <w:lang w:val="en-US" w:eastAsia="zh-CN" w:bidi="ar-SA"/>
    </w:rPr>
  </w:style>
  <w:style w:type="paragraph" w:customStyle="1" w:styleId="15">
    <w:name w:val="Table Text"/>
    <w:basedOn w:val="1"/>
    <w:semiHidden/>
    <w:qFormat/>
    <w:uiPriority w:val="0"/>
    <w:rPr>
      <w:rFonts w:ascii="宋体" w:hAnsi="宋体" w:cs="宋体"/>
      <w:lang w:eastAsia="en-US"/>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Revision"/>
    <w:hidden/>
    <w:unhideWhenUsed/>
    <w:qFormat/>
    <w:uiPriority w:val="99"/>
    <w:rPr>
      <w:rFonts w:ascii="等线" w:hAnsi="等线"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3667</Words>
  <Characters>3707</Characters>
  <Lines>72</Lines>
  <Paragraphs>20</Paragraphs>
  <TotalTime>66</TotalTime>
  <ScaleCrop>false</ScaleCrop>
  <LinksUpToDate>false</LinksUpToDate>
  <CharactersWithSpaces>3724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2026-05-21T00:45:00Z</dcterms:created>
  <dc:creator>Apache POI</dc:creator>
  <cp:lastModifiedBy>dajun</cp:lastModifiedBy>
  <cp:lastPrinted>2026-09-07T02:13:00Z</cp:lastPrinted>
  <dcterms:modified xsi:type="dcterms:W3CDTF">2026-09-22T06:57:26Z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C8F06F0CCF0543B2A360871B10E625B4_13</vt:lpwstr>
  </property>
  <property fmtid="{D5CDD505-2E9C-101B-9397-08002B2CF9AE}" pid="4" name="KSOTemplateDocerSaveRecord">
    <vt:lpwstr>eyJoZGlkIjoiZjIxMmViNWZhMDc2ZThjMmU5NzMyMzg5MDY5YzE0ZDkiLCJ1c2VySWQiOiIzMjQ1ODAzMTIifQ==</vt:lpwstr>
  </property>
</Properties>
</file>