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18DF" w14:textId="59B2BB46" w:rsidR="005A7EFB" w:rsidRPr="00CD6DB0" w:rsidRDefault="005A7EFB" w:rsidP="00D24C03">
      <w:pPr>
        <w:spacing w:line="360" w:lineRule="auto"/>
        <w:jc w:val="center"/>
        <w:rPr>
          <w:rFonts w:ascii="黑体" w:eastAsia="黑体" w:hAnsi="黑体" w:hint="eastAsia"/>
          <w:sz w:val="28"/>
        </w:rPr>
      </w:pPr>
      <w:bookmarkStart w:id="0" w:name="PO_PURCHASE_REQUIREMENT_FILE84889_1"/>
      <w:r w:rsidRPr="00CD6DB0">
        <w:rPr>
          <w:rFonts w:ascii="黑体" w:eastAsia="黑体" w:hAnsi="黑体" w:hint="eastAsia"/>
          <w:sz w:val="28"/>
        </w:rPr>
        <w:t>《</w:t>
      </w:r>
      <w:r w:rsidR="00D24C03" w:rsidRPr="00CD6DB0">
        <w:rPr>
          <w:rFonts w:ascii="黑体" w:eastAsia="黑体" w:hAnsi="黑体" w:hint="eastAsia"/>
          <w:sz w:val="28"/>
        </w:rPr>
        <w:t>上海市青浦区白鹤港产业园用地规划前期研究</w:t>
      </w:r>
      <w:r w:rsidRPr="00CD6DB0">
        <w:rPr>
          <w:rFonts w:ascii="黑体" w:eastAsia="黑体" w:hAnsi="黑体" w:hint="eastAsia"/>
          <w:sz w:val="28"/>
        </w:rPr>
        <w:t>》</w:t>
      </w:r>
    </w:p>
    <w:p w14:paraId="2E120DA3" w14:textId="77777777" w:rsidR="005A7EFB" w:rsidRPr="00CD6DB0" w:rsidRDefault="005A7EFB" w:rsidP="005A7EFB">
      <w:pPr>
        <w:spacing w:line="360" w:lineRule="auto"/>
        <w:jc w:val="center"/>
        <w:rPr>
          <w:rFonts w:ascii="黑体" w:eastAsia="黑体" w:hAnsi="黑体" w:hint="eastAsia"/>
          <w:sz w:val="28"/>
        </w:rPr>
      </w:pPr>
      <w:r w:rsidRPr="00CD6DB0">
        <w:rPr>
          <w:rFonts w:ascii="黑体" w:eastAsia="黑体" w:hAnsi="黑体"/>
          <w:sz w:val="28"/>
        </w:rPr>
        <w:t>采购需求</w:t>
      </w:r>
    </w:p>
    <w:p w14:paraId="05A1EBE7" w14:textId="77777777" w:rsidR="005A7EFB" w:rsidRPr="00CD6DB0" w:rsidRDefault="005A7EFB" w:rsidP="005A7EFB">
      <w:pPr>
        <w:spacing w:line="360" w:lineRule="auto"/>
        <w:ind w:firstLineChars="200" w:firstLine="420"/>
        <w:rPr>
          <w:rFonts w:ascii="宋体" w:hAnsi="宋体" w:hint="eastAsia"/>
        </w:rPr>
      </w:pPr>
    </w:p>
    <w:p w14:paraId="2FE3AD8C" w14:textId="77777777" w:rsidR="005A7EFB" w:rsidRPr="00CD6DB0" w:rsidRDefault="005A7EFB" w:rsidP="005A7EFB">
      <w:pPr>
        <w:spacing w:line="360" w:lineRule="auto"/>
        <w:rPr>
          <w:rFonts w:ascii="宋体" w:hAnsi="宋体" w:hint="eastAsia"/>
          <w:b/>
          <w:bCs/>
        </w:rPr>
      </w:pPr>
      <w:r w:rsidRPr="00CD6DB0">
        <w:rPr>
          <w:rFonts w:ascii="宋体" w:hAnsi="宋体" w:hint="eastAsia"/>
          <w:b/>
          <w:bCs/>
        </w:rPr>
        <w:t>一、工作背景</w:t>
      </w:r>
    </w:p>
    <w:p w14:paraId="4C85A947" w14:textId="09AE707A" w:rsidR="005A7EFB" w:rsidRPr="00CD6DB0" w:rsidRDefault="00D24C03" w:rsidP="005A7EFB">
      <w:pPr>
        <w:spacing w:line="360" w:lineRule="auto"/>
        <w:ind w:firstLineChars="200" w:firstLine="420"/>
        <w:rPr>
          <w:rFonts w:ascii="宋体" w:hAnsi="宋体" w:hint="eastAsia"/>
        </w:rPr>
      </w:pPr>
      <w:r w:rsidRPr="00CD6DB0">
        <w:rPr>
          <w:rFonts w:ascii="宋体" w:hAnsi="宋体" w:hint="eastAsia"/>
        </w:rPr>
        <w:t>白鹤港区是上海市内河港区的重要组成部分，承担着上海市内河航运的重要运输功能，是当前全市唯一已批复为二级港区且实质性开工建设的准一级港区，建成后将成为长三角要素流动、应急保障的核心节点，承担长三角一体化产业协同与创新融合的核心功能。为进一步保障港区关联产业聚集发展需求，助力白鹤镇传统企业转型升级和进一步提升工业现代化生产水平，最大限度发挥港区经济效益和社会效益，在不突破相关刚性管控要素的前提下开展青浦区白鹤港产业园用地规划前期研究工作。</w:t>
      </w:r>
    </w:p>
    <w:p w14:paraId="3EBBE554" w14:textId="77777777" w:rsidR="005A7EFB" w:rsidRPr="00CD6DB0" w:rsidRDefault="005A7EFB" w:rsidP="005A7EFB">
      <w:pPr>
        <w:spacing w:line="360" w:lineRule="auto"/>
        <w:rPr>
          <w:rFonts w:ascii="宋体" w:hAnsi="宋体" w:hint="eastAsia"/>
          <w:b/>
          <w:bCs/>
        </w:rPr>
      </w:pPr>
      <w:r w:rsidRPr="00CD6DB0">
        <w:rPr>
          <w:rFonts w:ascii="宋体" w:hAnsi="宋体" w:hint="eastAsia"/>
          <w:b/>
          <w:bCs/>
        </w:rPr>
        <w:t>二、工作要求</w:t>
      </w:r>
    </w:p>
    <w:p w14:paraId="4959ADDE" w14:textId="75D056C3" w:rsidR="005A7EFB" w:rsidRPr="00CD6DB0" w:rsidRDefault="005A7EFB" w:rsidP="005A7EFB">
      <w:pPr>
        <w:spacing w:line="360" w:lineRule="auto"/>
        <w:rPr>
          <w:rFonts w:ascii="宋体" w:hAnsi="宋体" w:hint="eastAsia"/>
          <w:b/>
          <w:bCs/>
        </w:rPr>
      </w:pPr>
      <w:r w:rsidRPr="00CD6DB0">
        <w:rPr>
          <w:rFonts w:ascii="宋体" w:hAnsi="宋体" w:hint="eastAsia"/>
          <w:b/>
          <w:bCs/>
        </w:rPr>
        <w:t>（一）</w:t>
      </w:r>
      <w:r w:rsidR="00D24C03" w:rsidRPr="00CD6DB0">
        <w:rPr>
          <w:rFonts w:ascii="宋体" w:hAnsi="宋体" w:hint="eastAsia"/>
          <w:b/>
          <w:bCs/>
        </w:rPr>
        <w:t>规划</w:t>
      </w:r>
      <w:r w:rsidRPr="00CD6DB0">
        <w:rPr>
          <w:rFonts w:ascii="宋体" w:hAnsi="宋体" w:hint="eastAsia"/>
          <w:b/>
          <w:bCs/>
        </w:rPr>
        <w:t>范围</w:t>
      </w:r>
    </w:p>
    <w:p w14:paraId="106FFC23" w14:textId="6E026932" w:rsidR="005A7EFB" w:rsidRPr="00CD6DB0" w:rsidRDefault="00D24C03" w:rsidP="005A7EFB">
      <w:pPr>
        <w:spacing w:line="360" w:lineRule="auto"/>
        <w:ind w:firstLineChars="200" w:firstLine="420"/>
        <w:rPr>
          <w:rFonts w:ascii="宋体" w:hAnsi="宋体" w:hint="eastAsia"/>
        </w:rPr>
      </w:pPr>
      <w:r w:rsidRPr="00CD6DB0">
        <w:rPr>
          <w:rFonts w:ascii="宋体" w:hAnsi="宋体" w:hint="eastAsia"/>
        </w:rPr>
        <w:t>规划范围包括研究范围和调整建议范围两个层次，其中，研究范围为白鹤镇行政辖区，总面积58.74平方千米；调整建议范围为白鹤港区周边区域及白鹤镇城镇开发边界范围，具体结合研究结论确定。</w:t>
      </w:r>
    </w:p>
    <w:p w14:paraId="33288011" w14:textId="77777777" w:rsidR="005A7EFB" w:rsidRPr="00CD6DB0" w:rsidRDefault="005A7EFB" w:rsidP="005A7EFB">
      <w:pPr>
        <w:spacing w:line="360" w:lineRule="auto"/>
        <w:rPr>
          <w:rFonts w:ascii="宋体" w:hAnsi="宋体" w:hint="eastAsia"/>
          <w:b/>
          <w:bCs/>
        </w:rPr>
      </w:pPr>
      <w:r w:rsidRPr="00CD6DB0">
        <w:rPr>
          <w:rFonts w:ascii="宋体" w:hAnsi="宋体" w:hint="eastAsia"/>
          <w:b/>
          <w:bCs/>
        </w:rPr>
        <w:t>（二）工作主要内容</w:t>
      </w:r>
    </w:p>
    <w:p w14:paraId="1ECCDC38" w14:textId="1207D3CD" w:rsidR="00D24C03" w:rsidRPr="00CD6DB0" w:rsidRDefault="00D24C03" w:rsidP="00D24C03">
      <w:pPr>
        <w:spacing w:line="360" w:lineRule="auto"/>
        <w:ind w:firstLineChars="200" w:firstLine="420"/>
        <w:rPr>
          <w:rFonts w:ascii="宋体" w:hAnsi="宋体" w:hint="eastAsia"/>
        </w:rPr>
      </w:pPr>
      <w:r w:rsidRPr="00CD6DB0">
        <w:rPr>
          <w:rFonts w:ascii="宋体" w:hAnsi="宋体" w:hint="eastAsia"/>
        </w:rPr>
        <w:t>1.明确研究的必要性及可行性</w:t>
      </w:r>
    </w:p>
    <w:p w14:paraId="3429071E" w14:textId="77777777" w:rsidR="00D24C03" w:rsidRPr="00CD6DB0" w:rsidRDefault="00D24C03" w:rsidP="00D24C03">
      <w:pPr>
        <w:spacing w:line="360" w:lineRule="auto"/>
        <w:ind w:firstLineChars="200" w:firstLine="420"/>
        <w:rPr>
          <w:rFonts w:ascii="宋体" w:hAnsi="宋体" w:hint="eastAsia"/>
        </w:rPr>
      </w:pPr>
      <w:r w:rsidRPr="00CD6DB0">
        <w:rPr>
          <w:rFonts w:ascii="宋体" w:hAnsi="宋体" w:hint="eastAsia"/>
        </w:rPr>
        <w:t>梳理示范区、大虹桥、吴淞江等区域的发展趋势，以及区域及周边前景较好的能级产业，研究白鹤港产业园重要性、区域职能、发展方向、园区规模，以及对于赵屯及物流园等片区的整体带动作用。</w:t>
      </w:r>
    </w:p>
    <w:p w14:paraId="2502DB46" w14:textId="4596C16C" w:rsidR="00D24C03" w:rsidRPr="00CD6DB0" w:rsidRDefault="00D24C03" w:rsidP="00D24C03">
      <w:pPr>
        <w:spacing w:line="360" w:lineRule="auto"/>
        <w:ind w:firstLineChars="200" w:firstLine="420"/>
        <w:rPr>
          <w:rFonts w:ascii="宋体" w:hAnsi="宋体" w:hint="eastAsia"/>
        </w:rPr>
      </w:pPr>
      <w:r w:rsidRPr="00CD6DB0">
        <w:rPr>
          <w:rFonts w:ascii="宋体" w:hAnsi="宋体" w:hint="eastAsia"/>
        </w:rPr>
        <w:t>2.编制城镇开发边界局部优化方案</w:t>
      </w:r>
    </w:p>
    <w:p w14:paraId="79A2C9F1" w14:textId="77777777" w:rsidR="00D24C03" w:rsidRPr="00CD6DB0" w:rsidRDefault="00D24C03" w:rsidP="00D24C03">
      <w:pPr>
        <w:spacing w:line="360" w:lineRule="auto"/>
        <w:ind w:firstLineChars="200" w:firstLine="420"/>
        <w:rPr>
          <w:rFonts w:ascii="宋体" w:hAnsi="宋体" w:hint="eastAsia"/>
        </w:rPr>
      </w:pPr>
      <w:r w:rsidRPr="00CD6DB0">
        <w:rPr>
          <w:rFonts w:ascii="宋体" w:hAnsi="宋体" w:hint="eastAsia"/>
        </w:rPr>
        <w:t>结合白鹤港产业园空间要素保障实际需求，提出城镇开发边界局部优化调整方案，相应明确农居安置的调整措施、公共服务设施和基础设施调整措施、耕地和林地总量平衡的补偿措施等。</w:t>
      </w:r>
    </w:p>
    <w:p w14:paraId="752A279F" w14:textId="14493545" w:rsidR="00D24C03" w:rsidRPr="00CD6DB0" w:rsidRDefault="00D24C03" w:rsidP="00D24C03">
      <w:pPr>
        <w:spacing w:line="360" w:lineRule="auto"/>
        <w:ind w:firstLineChars="200" w:firstLine="420"/>
        <w:rPr>
          <w:rFonts w:ascii="宋体" w:hAnsi="宋体" w:hint="eastAsia"/>
        </w:rPr>
      </w:pPr>
      <w:r w:rsidRPr="00CD6DB0">
        <w:rPr>
          <w:rFonts w:ascii="宋体" w:hAnsi="宋体" w:hint="eastAsia"/>
        </w:rPr>
        <w:t>3.加强城市设计引导</w:t>
      </w:r>
    </w:p>
    <w:p w14:paraId="4639259D" w14:textId="578D4EC3" w:rsidR="005A7EFB" w:rsidRPr="00CD6DB0" w:rsidRDefault="00D24C03" w:rsidP="00D24C03">
      <w:pPr>
        <w:spacing w:line="360" w:lineRule="auto"/>
        <w:ind w:firstLineChars="200" w:firstLine="420"/>
        <w:rPr>
          <w:rFonts w:ascii="宋体" w:hAnsi="宋体" w:hint="eastAsia"/>
        </w:rPr>
      </w:pPr>
      <w:r w:rsidRPr="00CD6DB0">
        <w:rPr>
          <w:rFonts w:ascii="宋体" w:hAnsi="宋体" w:hint="eastAsia"/>
        </w:rPr>
        <w:t>结合城镇开发边界优化方案的调整，针对白鹤港产业园提出城市设计引导，侧重园区高品质环境塑造以及与吴淞江的景观协调；镇区涉及城镇开发边界调整的区域，提出与白鹤港历史文化风貌区的协调指引，并注重与周边城镇风貌的融合。</w:t>
      </w:r>
    </w:p>
    <w:p w14:paraId="3ECF4D08" w14:textId="77777777" w:rsidR="005A7EFB" w:rsidRPr="00CD6DB0" w:rsidRDefault="005A7EFB" w:rsidP="005A7EFB">
      <w:pPr>
        <w:spacing w:line="360" w:lineRule="auto"/>
        <w:rPr>
          <w:rFonts w:ascii="宋体" w:hAnsi="宋体" w:hint="eastAsia"/>
          <w:b/>
          <w:bCs/>
        </w:rPr>
      </w:pPr>
      <w:r w:rsidRPr="00CD6DB0">
        <w:rPr>
          <w:rFonts w:ascii="宋体" w:hAnsi="宋体" w:hint="eastAsia"/>
          <w:b/>
          <w:bCs/>
        </w:rPr>
        <w:t>三、成果要求</w:t>
      </w:r>
    </w:p>
    <w:p w14:paraId="31CAEEE5" w14:textId="0A03A708"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lastRenderedPageBreak/>
        <w:t>乙方应向甲方一并提交以下最终服务成果，包括</w:t>
      </w:r>
      <w:r w:rsidR="00D24C03" w:rsidRPr="00CD6DB0">
        <w:rPr>
          <w:rFonts w:ascii="宋体" w:hAnsi="宋体" w:hint="eastAsia"/>
        </w:rPr>
        <w:t>研究报告、分析图集、数据库，提交时间为2026年12月底之前。</w:t>
      </w:r>
    </w:p>
    <w:p w14:paraId="3DBF0B8F" w14:textId="77777777" w:rsidR="005A7EFB" w:rsidRPr="00CD6DB0" w:rsidRDefault="005A7EFB" w:rsidP="005A7EFB">
      <w:pPr>
        <w:spacing w:line="360" w:lineRule="auto"/>
        <w:rPr>
          <w:rFonts w:ascii="宋体" w:hAnsi="宋体" w:hint="eastAsia"/>
          <w:b/>
          <w:bCs/>
        </w:rPr>
      </w:pPr>
      <w:r w:rsidRPr="00CD6DB0">
        <w:rPr>
          <w:rFonts w:ascii="宋体" w:hAnsi="宋体" w:hint="eastAsia"/>
          <w:b/>
          <w:bCs/>
        </w:rPr>
        <w:t>四、服务期限</w:t>
      </w:r>
    </w:p>
    <w:p w14:paraId="652B4E82" w14:textId="77777777" w:rsidR="005A7EFB" w:rsidRPr="00CD6DB0" w:rsidRDefault="005A7EFB" w:rsidP="005A7EFB">
      <w:pPr>
        <w:spacing w:line="360" w:lineRule="auto"/>
        <w:ind w:firstLineChars="200" w:firstLine="420"/>
        <w:rPr>
          <w:rFonts w:ascii="宋体" w:hAnsi="宋体" w:hint="eastAsia"/>
        </w:rPr>
      </w:pPr>
      <w:bookmarkStart w:id="1" w:name="OLE_LINK1"/>
      <w:r w:rsidRPr="00CD6DB0">
        <w:rPr>
          <w:rFonts w:ascii="宋体" w:hAnsi="宋体" w:hint="eastAsia"/>
        </w:rPr>
        <w:t>2026年12月底之前完成成果（如遇政策原因，时间顺延）。相关工作成果符合甲方要求。</w:t>
      </w:r>
    </w:p>
    <w:bookmarkEnd w:id="1"/>
    <w:p w14:paraId="496FAEBD" w14:textId="77777777" w:rsidR="005A7EFB" w:rsidRPr="00CD6DB0" w:rsidRDefault="005A7EFB" w:rsidP="005A7EFB">
      <w:pPr>
        <w:spacing w:line="360" w:lineRule="auto"/>
        <w:rPr>
          <w:rFonts w:ascii="宋体" w:hAnsi="宋体" w:hint="eastAsia"/>
          <w:b/>
          <w:bCs/>
        </w:rPr>
      </w:pPr>
      <w:r w:rsidRPr="00CD6DB0">
        <w:rPr>
          <w:rFonts w:ascii="宋体" w:hAnsi="宋体" w:hint="eastAsia"/>
          <w:b/>
          <w:bCs/>
        </w:rPr>
        <w:t>五</w:t>
      </w:r>
      <w:r w:rsidRPr="00CD6DB0">
        <w:rPr>
          <w:rFonts w:ascii="宋体" w:hAnsi="宋体"/>
          <w:b/>
          <w:bCs/>
        </w:rPr>
        <w:t>、付款方式</w:t>
      </w:r>
    </w:p>
    <w:p w14:paraId="5C8F5682" w14:textId="0F1F9458"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t>1. 甲方于签订本合同后30个工作日内向乙方支付合同金额的</w:t>
      </w:r>
      <w:r w:rsidR="00D24C03" w:rsidRPr="00CD6DB0">
        <w:rPr>
          <w:rFonts w:ascii="宋体" w:hAnsi="宋体" w:hint="eastAsia"/>
        </w:rPr>
        <w:t>4</w:t>
      </w:r>
      <w:r w:rsidRPr="00CD6DB0">
        <w:rPr>
          <w:rFonts w:ascii="宋体" w:hAnsi="宋体" w:hint="eastAsia"/>
        </w:rPr>
        <w:t>0%；</w:t>
      </w:r>
    </w:p>
    <w:p w14:paraId="01F6AEDE" w14:textId="058AF694"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t>2. 形成《</w:t>
      </w:r>
      <w:r w:rsidR="00D24C03" w:rsidRPr="00CD6DB0">
        <w:rPr>
          <w:rFonts w:ascii="宋体" w:hAnsi="宋体" w:hint="eastAsia"/>
        </w:rPr>
        <w:t>上海市青浦区白鹤港产业园用地规划前期研究</w:t>
      </w:r>
      <w:r w:rsidRPr="00CD6DB0">
        <w:rPr>
          <w:rFonts w:ascii="宋体" w:hAnsi="宋体" w:hint="eastAsia"/>
        </w:rPr>
        <w:t>》阶段性成果后30个工作日内，甲方向乙方支付合同金额的</w:t>
      </w:r>
      <w:r w:rsidR="002C3D32" w:rsidRPr="00CD6DB0">
        <w:rPr>
          <w:rFonts w:ascii="宋体" w:hAnsi="宋体" w:hint="eastAsia"/>
        </w:rPr>
        <w:t>3</w:t>
      </w:r>
      <w:r w:rsidRPr="00CD6DB0">
        <w:rPr>
          <w:rFonts w:ascii="宋体" w:hAnsi="宋体" w:hint="eastAsia"/>
        </w:rPr>
        <w:t>0%；</w:t>
      </w:r>
    </w:p>
    <w:p w14:paraId="6F9F34DD" w14:textId="299A9CD6"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t xml:space="preserve">3. </w:t>
      </w:r>
      <w:r w:rsidR="002C3D32" w:rsidRPr="00CD6DB0">
        <w:rPr>
          <w:rFonts w:ascii="宋体" w:hAnsi="宋体" w:hint="eastAsia"/>
        </w:rPr>
        <w:t>形成</w:t>
      </w:r>
      <w:r w:rsidRPr="00CD6DB0">
        <w:rPr>
          <w:rFonts w:ascii="宋体" w:hAnsi="宋体" w:hint="eastAsia"/>
        </w:rPr>
        <w:t>《</w:t>
      </w:r>
      <w:r w:rsidR="002C3D32" w:rsidRPr="00CD6DB0">
        <w:rPr>
          <w:rFonts w:ascii="宋体" w:hAnsi="宋体" w:hint="eastAsia"/>
        </w:rPr>
        <w:t>上海市青浦区白鹤港产业园用地规划前期研究</w:t>
      </w:r>
      <w:r w:rsidRPr="00CD6DB0">
        <w:rPr>
          <w:rFonts w:ascii="宋体" w:hAnsi="宋体" w:hint="eastAsia"/>
        </w:rPr>
        <w:t>》</w:t>
      </w:r>
      <w:r w:rsidR="002C3D32" w:rsidRPr="00CD6DB0">
        <w:rPr>
          <w:rFonts w:ascii="宋体" w:hAnsi="宋体" w:hint="eastAsia"/>
        </w:rPr>
        <w:t>成果，上报青浦区审查</w:t>
      </w:r>
      <w:r w:rsidRPr="00CD6DB0">
        <w:rPr>
          <w:rFonts w:ascii="宋体" w:hAnsi="宋体" w:hint="eastAsia"/>
        </w:rPr>
        <w:t>，甲方向乙方支付合同金额的</w:t>
      </w:r>
      <w:r w:rsidR="002C3D32" w:rsidRPr="00CD6DB0">
        <w:rPr>
          <w:rFonts w:ascii="宋体" w:hAnsi="宋体" w:hint="eastAsia"/>
        </w:rPr>
        <w:t>3</w:t>
      </w:r>
      <w:r w:rsidRPr="00CD6DB0">
        <w:rPr>
          <w:rFonts w:ascii="宋体" w:hAnsi="宋体" w:hint="eastAsia"/>
        </w:rPr>
        <w:t>0%</w:t>
      </w:r>
      <w:r w:rsidR="002C3D32" w:rsidRPr="00CD6DB0">
        <w:rPr>
          <w:rFonts w:ascii="宋体" w:hAnsi="宋体" w:hint="eastAsia"/>
        </w:rPr>
        <w:t>。</w:t>
      </w:r>
    </w:p>
    <w:p w14:paraId="10FBACA5" w14:textId="77777777"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t>注：付款前中标单位应按规定向采购人开具正规发票。</w:t>
      </w:r>
    </w:p>
    <w:p w14:paraId="221AF45C" w14:textId="77777777" w:rsidR="005A7EFB" w:rsidRPr="00CD6DB0" w:rsidRDefault="005A7EFB" w:rsidP="005A7EFB">
      <w:pPr>
        <w:spacing w:line="360" w:lineRule="auto"/>
        <w:rPr>
          <w:rFonts w:ascii="宋体" w:hAnsi="宋体" w:hint="eastAsia"/>
          <w:b/>
          <w:bCs/>
        </w:rPr>
      </w:pPr>
      <w:r w:rsidRPr="00CD6DB0">
        <w:rPr>
          <w:rFonts w:ascii="宋体" w:hAnsi="宋体" w:hint="eastAsia"/>
          <w:b/>
          <w:bCs/>
        </w:rPr>
        <w:t>六、工作进度安排</w:t>
      </w:r>
    </w:p>
    <w:p w14:paraId="56CCA3C5" w14:textId="77777777" w:rsidR="00E367CD" w:rsidRPr="00E367CD" w:rsidRDefault="00E367CD" w:rsidP="00E367CD">
      <w:pPr>
        <w:spacing w:line="360" w:lineRule="auto"/>
        <w:ind w:firstLineChars="200" w:firstLine="420"/>
        <w:rPr>
          <w:rFonts w:ascii="宋体" w:hAnsi="宋体" w:hint="eastAsia"/>
        </w:rPr>
      </w:pPr>
      <w:r w:rsidRPr="00E367CD">
        <w:rPr>
          <w:rFonts w:ascii="宋体" w:hAnsi="宋体" w:hint="eastAsia"/>
        </w:rPr>
        <w:t>项目实施周期为2026年1月-2026年12月。</w:t>
      </w:r>
    </w:p>
    <w:p w14:paraId="03B3A03A" w14:textId="77777777" w:rsidR="00E367CD" w:rsidRPr="00E367CD" w:rsidRDefault="00E367CD" w:rsidP="00E367CD">
      <w:pPr>
        <w:spacing w:line="360" w:lineRule="auto"/>
        <w:ind w:firstLineChars="200" w:firstLine="420"/>
        <w:rPr>
          <w:rFonts w:ascii="宋体" w:hAnsi="宋体" w:hint="eastAsia"/>
        </w:rPr>
      </w:pPr>
      <w:r w:rsidRPr="00E367CD">
        <w:rPr>
          <w:rFonts w:ascii="宋体" w:hAnsi="宋体" w:hint="eastAsia"/>
        </w:rPr>
        <w:t>2026年1月—2026年2月，开展资料收集、实地调研、数据分析等前期工作；</w:t>
      </w:r>
    </w:p>
    <w:p w14:paraId="1D167484" w14:textId="77777777" w:rsidR="00E367CD" w:rsidRPr="00E367CD" w:rsidRDefault="00E367CD" w:rsidP="00E367CD">
      <w:pPr>
        <w:spacing w:line="360" w:lineRule="auto"/>
        <w:ind w:firstLineChars="200" w:firstLine="420"/>
        <w:rPr>
          <w:rFonts w:ascii="宋体" w:hAnsi="宋体" w:hint="eastAsia"/>
        </w:rPr>
      </w:pPr>
      <w:r w:rsidRPr="00E367CD">
        <w:rPr>
          <w:rFonts w:ascii="宋体" w:hAnsi="宋体" w:hint="eastAsia"/>
        </w:rPr>
        <w:t>2026年3-5月，形成《上海市青浦区白鹤港产业园用地规划前期研究》初步成果，召开镇级讨论，结合各方意见建议完善成果；</w:t>
      </w:r>
    </w:p>
    <w:p w14:paraId="01809C36" w14:textId="77777777" w:rsidR="00E367CD" w:rsidRPr="00E367CD" w:rsidRDefault="00E367CD" w:rsidP="00E367CD">
      <w:pPr>
        <w:spacing w:line="360" w:lineRule="auto"/>
        <w:ind w:firstLineChars="200" w:firstLine="420"/>
        <w:rPr>
          <w:rFonts w:ascii="宋体" w:hAnsi="宋体" w:hint="eastAsia"/>
        </w:rPr>
      </w:pPr>
      <w:r w:rsidRPr="00E367CD">
        <w:rPr>
          <w:rFonts w:ascii="宋体" w:hAnsi="宋体" w:hint="eastAsia"/>
        </w:rPr>
        <w:t>2026年6-8月，形成《上海市青浦区白鹤港产业园用地规划前期研究》阶段性成果，提交青浦区讨论，修改完善规划成果。</w:t>
      </w:r>
    </w:p>
    <w:p w14:paraId="3DF57632" w14:textId="77777777" w:rsidR="00E367CD" w:rsidRPr="00E367CD" w:rsidRDefault="00E367CD" w:rsidP="00E367CD">
      <w:pPr>
        <w:spacing w:line="360" w:lineRule="auto"/>
        <w:ind w:firstLineChars="200" w:firstLine="420"/>
        <w:rPr>
          <w:rFonts w:ascii="宋体" w:hAnsi="宋体" w:hint="eastAsia"/>
        </w:rPr>
      </w:pPr>
      <w:r w:rsidRPr="00E367CD">
        <w:rPr>
          <w:rFonts w:ascii="宋体" w:hAnsi="宋体" w:hint="eastAsia"/>
        </w:rPr>
        <w:t>2026年9-12月，形成《上海市青浦区白鹤港产业园用地规划前期研究》最终成果。</w:t>
      </w:r>
    </w:p>
    <w:p w14:paraId="0CC426F2" w14:textId="77777777" w:rsidR="00E367CD" w:rsidRPr="00CD6DB0" w:rsidRDefault="00E367CD" w:rsidP="00E367CD">
      <w:pPr>
        <w:spacing w:line="360" w:lineRule="auto"/>
        <w:ind w:firstLineChars="200" w:firstLine="420"/>
        <w:rPr>
          <w:rFonts w:ascii="宋体" w:hAnsi="宋体" w:hint="eastAsia"/>
        </w:rPr>
      </w:pPr>
      <w:r w:rsidRPr="00E367CD">
        <w:rPr>
          <w:rFonts w:ascii="宋体" w:hAnsi="宋体" w:hint="eastAsia"/>
        </w:rPr>
        <w:t>具体时间节点以工作实际推进情况为准。</w:t>
      </w:r>
    </w:p>
    <w:p w14:paraId="10C8C3EC" w14:textId="77777777" w:rsidR="00682356" w:rsidRPr="00E367CD" w:rsidRDefault="00682356" w:rsidP="005A7EFB">
      <w:pPr>
        <w:spacing w:line="360" w:lineRule="auto"/>
        <w:ind w:firstLineChars="200" w:firstLine="420"/>
        <w:rPr>
          <w:rFonts w:ascii="宋体" w:hAnsi="宋体" w:hint="eastAsia"/>
        </w:rPr>
      </w:pPr>
    </w:p>
    <w:p w14:paraId="6C482C55" w14:textId="77777777" w:rsidR="005A7EFB" w:rsidRPr="00CD6DB0" w:rsidRDefault="005A7EFB" w:rsidP="005A7EFB">
      <w:pPr>
        <w:spacing w:line="360" w:lineRule="auto"/>
        <w:rPr>
          <w:rFonts w:ascii="宋体" w:hAnsi="宋体" w:hint="eastAsia"/>
          <w:b/>
          <w:bCs/>
        </w:rPr>
      </w:pPr>
      <w:r w:rsidRPr="00CD6DB0">
        <w:rPr>
          <w:rFonts w:ascii="宋体" w:hAnsi="宋体" w:hint="eastAsia"/>
          <w:b/>
          <w:bCs/>
        </w:rPr>
        <w:t>七、资质要求</w:t>
      </w:r>
    </w:p>
    <w:p w14:paraId="66E32945" w14:textId="2FA7AFC7"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t>响应供应商应具备城乡规划甲级资质且证书在有效期内。</w:t>
      </w:r>
    </w:p>
    <w:p w14:paraId="6B8D0763" w14:textId="77777777" w:rsidR="005A7EFB" w:rsidRPr="00CD6DB0" w:rsidRDefault="005A7EFB" w:rsidP="005A7EFB">
      <w:pPr>
        <w:spacing w:line="360" w:lineRule="auto"/>
        <w:ind w:firstLineChars="200" w:firstLine="420"/>
        <w:rPr>
          <w:rFonts w:ascii="宋体" w:hAnsi="宋体" w:hint="eastAsia"/>
        </w:rPr>
      </w:pPr>
    </w:p>
    <w:p w14:paraId="33B32C9C" w14:textId="77777777" w:rsidR="005A7EFB" w:rsidRPr="00CD6DB0" w:rsidRDefault="005A7EFB" w:rsidP="005A7EFB">
      <w:pPr>
        <w:spacing w:line="360" w:lineRule="auto"/>
        <w:rPr>
          <w:rFonts w:ascii="宋体" w:hAnsi="宋体" w:hint="eastAsia"/>
          <w:b/>
          <w:bCs/>
        </w:rPr>
      </w:pPr>
      <w:r w:rsidRPr="00CD6DB0">
        <w:rPr>
          <w:rFonts w:ascii="宋体" w:hAnsi="宋体" w:hint="eastAsia"/>
          <w:b/>
          <w:bCs/>
        </w:rPr>
        <w:t>八、项目组人员要求</w:t>
      </w:r>
    </w:p>
    <w:p w14:paraId="7BC32FC4" w14:textId="77777777"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t>1、项目组人员数量和专业组成结构等方面应满足本项目服务需求，在服务期限内，项目组人员应保持相对稳定，以保证服务工作的正常进行。</w:t>
      </w:r>
    </w:p>
    <w:p w14:paraId="0A0C5CE8" w14:textId="0195AE70"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t>2、</w:t>
      </w:r>
      <w:r w:rsidRPr="00F77CD1">
        <w:rPr>
          <w:rFonts w:ascii="宋体" w:hAnsi="宋体" w:hint="eastAsia"/>
        </w:rPr>
        <w:t>项目负责人需从事相关技术工作十年以上，且具有</w:t>
      </w:r>
      <w:r w:rsidR="00F77CD1" w:rsidRPr="00F77CD1">
        <w:rPr>
          <w:rFonts w:ascii="宋体" w:hAnsi="宋体" w:hint="eastAsia"/>
        </w:rPr>
        <w:t>城乡（市）规划专业高级职称和注册城乡（城市）规划师证书</w:t>
      </w:r>
      <w:r w:rsidRPr="00CD6DB0">
        <w:rPr>
          <w:rFonts w:ascii="宋体" w:hAnsi="宋体" w:hint="eastAsia"/>
        </w:rPr>
        <w:t>。</w:t>
      </w:r>
    </w:p>
    <w:p w14:paraId="1754D693" w14:textId="484D687C"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lastRenderedPageBreak/>
        <w:t>3、供应商提供负责本项目的服务团队人数（不包含项目负责人）不少于</w:t>
      </w:r>
      <w:r w:rsidR="00682356" w:rsidRPr="00CD6DB0">
        <w:rPr>
          <w:rFonts w:ascii="宋体" w:hAnsi="宋体" w:hint="eastAsia"/>
        </w:rPr>
        <w:t>6</w:t>
      </w:r>
      <w:r w:rsidRPr="00CD6DB0">
        <w:rPr>
          <w:rFonts w:ascii="宋体" w:hAnsi="宋体" w:hint="eastAsia"/>
        </w:rPr>
        <w:t>人。</w:t>
      </w:r>
      <w:r w:rsidR="00F77CD1">
        <w:rPr>
          <w:rFonts w:ascii="宋体" w:hAnsi="宋体" w:hint="eastAsia"/>
        </w:rPr>
        <w:t>具备</w:t>
      </w:r>
      <w:r w:rsidR="00F77CD1" w:rsidRPr="00F77CD1">
        <w:rPr>
          <w:rFonts w:ascii="宋体" w:hAnsi="宋体" w:hint="eastAsia"/>
        </w:rPr>
        <w:t>注册城乡（城市）规划师和城乡（市）规划中级工程师及以上职称，并具备建筑、道路交通、风景园林、市政四种专业人员</w:t>
      </w:r>
      <w:r w:rsidRPr="00F77CD1">
        <w:rPr>
          <w:rFonts w:ascii="宋体" w:hAnsi="宋体" w:hint="eastAsia"/>
        </w:rPr>
        <w:t>。</w:t>
      </w:r>
    </w:p>
    <w:p w14:paraId="2CB871E9" w14:textId="77777777" w:rsidR="005A7EFB" w:rsidRPr="00CD6DB0" w:rsidRDefault="005A7EFB" w:rsidP="005A7EFB">
      <w:pPr>
        <w:spacing w:line="360" w:lineRule="auto"/>
        <w:rPr>
          <w:rFonts w:ascii="宋体" w:hAnsi="宋体" w:hint="eastAsia"/>
          <w:b/>
          <w:bCs/>
        </w:rPr>
      </w:pPr>
    </w:p>
    <w:p w14:paraId="17C34813" w14:textId="77777777" w:rsidR="005A7EFB" w:rsidRPr="00CD6DB0" w:rsidRDefault="005A7EFB" w:rsidP="005A7EFB">
      <w:pPr>
        <w:spacing w:line="360" w:lineRule="auto"/>
        <w:rPr>
          <w:rFonts w:ascii="宋体" w:hAnsi="宋体" w:hint="eastAsia"/>
          <w:b/>
          <w:bCs/>
        </w:rPr>
      </w:pPr>
    </w:p>
    <w:p w14:paraId="39B0CB02" w14:textId="77CF6246" w:rsidR="005A7EFB" w:rsidRPr="00CD6DB0" w:rsidRDefault="00971983" w:rsidP="005A7EFB">
      <w:pPr>
        <w:spacing w:line="360" w:lineRule="auto"/>
        <w:rPr>
          <w:rFonts w:ascii="宋体" w:hAnsi="宋体" w:hint="eastAsia"/>
          <w:b/>
          <w:bCs/>
        </w:rPr>
      </w:pPr>
      <w:r w:rsidRPr="00CD6DB0">
        <w:rPr>
          <w:rFonts w:ascii="宋体" w:hAnsi="宋体" w:hint="eastAsia"/>
          <w:b/>
          <w:bCs/>
        </w:rPr>
        <w:t>九</w:t>
      </w:r>
      <w:r w:rsidR="005A7EFB" w:rsidRPr="00CD6DB0">
        <w:rPr>
          <w:rFonts w:ascii="宋体" w:hAnsi="宋体" w:hint="eastAsia"/>
          <w:b/>
          <w:bCs/>
        </w:rPr>
        <w:t>、其他要求</w:t>
      </w:r>
    </w:p>
    <w:p w14:paraId="4E68D7DA" w14:textId="69FA10D0"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t>1、供应商应按照委托方要求，负责项目进行过程中阶段性成果及最终成果的打印，承担打印费用，并承担评审等费用支出。</w:t>
      </w:r>
    </w:p>
    <w:p w14:paraId="272DB504" w14:textId="2B729EF2"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t>2、本项目采购预算</w:t>
      </w:r>
      <w:r w:rsidR="00971983" w:rsidRPr="00CD6DB0">
        <w:rPr>
          <w:rFonts w:ascii="宋体" w:hAnsi="宋体" w:hint="eastAsia"/>
        </w:rPr>
        <w:t>1,250,000</w:t>
      </w:r>
      <w:r w:rsidRPr="00CD6DB0">
        <w:rPr>
          <w:rFonts w:ascii="宋体" w:hAnsi="宋体" w:hint="eastAsia"/>
        </w:rPr>
        <w:t>元人民币，超过采购预算的响应不予接受。</w:t>
      </w:r>
    </w:p>
    <w:p w14:paraId="1F8626BC" w14:textId="77777777" w:rsidR="005A7EFB" w:rsidRPr="00CD6DB0" w:rsidRDefault="005A7EFB" w:rsidP="005A7EFB">
      <w:pPr>
        <w:spacing w:line="360" w:lineRule="auto"/>
        <w:ind w:firstLineChars="200" w:firstLine="420"/>
        <w:rPr>
          <w:rFonts w:ascii="宋体" w:hAnsi="宋体" w:hint="eastAsia"/>
        </w:rPr>
      </w:pPr>
      <w:r w:rsidRPr="00CD6DB0">
        <w:rPr>
          <w:rFonts w:ascii="宋体" w:hAnsi="宋体" w:hint="eastAsia"/>
        </w:rPr>
        <w:t>3、本项目非专门面向中小企业采购。</w:t>
      </w:r>
    </w:p>
    <w:p w14:paraId="44C91589" w14:textId="1D5668D1" w:rsidR="00F50C31" w:rsidRPr="00CD6DB0" w:rsidRDefault="005A7EFB" w:rsidP="00852E0B">
      <w:pPr>
        <w:spacing w:line="360" w:lineRule="auto"/>
        <w:ind w:firstLineChars="200" w:firstLine="420"/>
        <w:rPr>
          <w:rFonts w:ascii="宋体" w:hAnsi="宋体" w:hint="eastAsia"/>
        </w:rPr>
      </w:pPr>
      <w:r w:rsidRPr="00CD6DB0">
        <w:rPr>
          <w:rFonts w:ascii="宋体" w:hAnsi="宋体" w:hint="eastAsia"/>
        </w:rPr>
        <w:t>4、本项目</w:t>
      </w:r>
      <w:r w:rsidR="00EF0464">
        <w:rPr>
          <w:rFonts w:ascii="宋体" w:hAnsi="宋体" w:hint="eastAsia"/>
        </w:rPr>
        <w:t>不</w:t>
      </w:r>
      <w:r w:rsidRPr="00CD6DB0">
        <w:rPr>
          <w:rFonts w:ascii="宋体" w:hAnsi="宋体" w:hint="eastAsia"/>
        </w:rPr>
        <w:t>接受联合体投标。</w:t>
      </w:r>
      <w:bookmarkEnd w:id="0"/>
    </w:p>
    <w:sectPr w:rsidR="00F50C31" w:rsidRPr="00CD6D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3OGMyMDdiZjI2MzU0MWE4MTY0YjIyMGFlZWE3ZWEifQ=="/>
  </w:docVars>
  <w:rsids>
    <w:rsidRoot w:val="001A41BA"/>
    <w:rsid w:val="000002D0"/>
    <w:rsid w:val="000055F8"/>
    <w:rsid w:val="00024284"/>
    <w:rsid w:val="0004287C"/>
    <w:rsid w:val="00053411"/>
    <w:rsid w:val="000551A2"/>
    <w:rsid w:val="00072859"/>
    <w:rsid w:val="00080890"/>
    <w:rsid w:val="00091AC3"/>
    <w:rsid w:val="000B7F45"/>
    <w:rsid w:val="000D646E"/>
    <w:rsid w:val="000E1BA0"/>
    <w:rsid w:val="000F5448"/>
    <w:rsid w:val="001230D4"/>
    <w:rsid w:val="001511BC"/>
    <w:rsid w:val="0018550F"/>
    <w:rsid w:val="001A1DA9"/>
    <w:rsid w:val="001A41BA"/>
    <w:rsid w:val="001E7A83"/>
    <w:rsid w:val="00215428"/>
    <w:rsid w:val="002319D0"/>
    <w:rsid w:val="00235023"/>
    <w:rsid w:val="002652AB"/>
    <w:rsid w:val="002847B3"/>
    <w:rsid w:val="002848F6"/>
    <w:rsid w:val="002905B0"/>
    <w:rsid w:val="002A3A29"/>
    <w:rsid w:val="002A5218"/>
    <w:rsid w:val="002B0A4F"/>
    <w:rsid w:val="002C3D32"/>
    <w:rsid w:val="002D3D20"/>
    <w:rsid w:val="002D7737"/>
    <w:rsid w:val="002F0B9D"/>
    <w:rsid w:val="00303065"/>
    <w:rsid w:val="00310A2C"/>
    <w:rsid w:val="003175D0"/>
    <w:rsid w:val="00322F18"/>
    <w:rsid w:val="003337DA"/>
    <w:rsid w:val="003612C7"/>
    <w:rsid w:val="00396EF4"/>
    <w:rsid w:val="003C16E1"/>
    <w:rsid w:val="003D7251"/>
    <w:rsid w:val="00425E88"/>
    <w:rsid w:val="00465B67"/>
    <w:rsid w:val="00465DC1"/>
    <w:rsid w:val="004B01D3"/>
    <w:rsid w:val="00521D31"/>
    <w:rsid w:val="00522BD0"/>
    <w:rsid w:val="005326D4"/>
    <w:rsid w:val="00552033"/>
    <w:rsid w:val="00585B2C"/>
    <w:rsid w:val="0059660C"/>
    <w:rsid w:val="005A7EFB"/>
    <w:rsid w:val="005D6338"/>
    <w:rsid w:val="005E3132"/>
    <w:rsid w:val="006338F7"/>
    <w:rsid w:val="00673321"/>
    <w:rsid w:val="00682356"/>
    <w:rsid w:val="0068727C"/>
    <w:rsid w:val="006B344C"/>
    <w:rsid w:val="006C3364"/>
    <w:rsid w:val="006C337E"/>
    <w:rsid w:val="006C789D"/>
    <w:rsid w:val="006D1862"/>
    <w:rsid w:val="00731579"/>
    <w:rsid w:val="00741665"/>
    <w:rsid w:val="00744604"/>
    <w:rsid w:val="00770627"/>
    <w:rsid w:val="007779D3"/>
    <w:rsid w:val="007B7AC0"/>
    <w:rsid w:val="007E0F37"/>
    <w:rsid w:val="0083513F"/>
    <w:rsid w:val="008519F5"/>
    <w:rsid w:val="00852E0B"/>
    <w:rsid w:val="00871A30"/>
    <w:rsid w:val="00872192"/>
    <w:rsid w:val="00896473"/>
    <w:rsid w:val="008A1EA5"/>
    <w:rsid w:val="008B0AE8"/>
    <w:rsid w:val="008D774B"/>
    <w:rsid w:val="008F3E41"/>
    <w:rsid w:val="008F4C4E"/>
    <w:rsid w:val="00902F06"/>
    <w:rsid w:val="00971983"/>
    <w:rsid w:val="009A1A46"/>
    <w:rsid w:val="009A5562"/>
    <w:rsid w:val="009B28E7"/>
    <w:rsid w:val="009C7B41"/>
    <w:rsid w:val="00A16F16"/>
    <w:rsid w:val="00A357C3"/>
    <w:rsid w:val="00A56F13"/>
    <w:rsid w:val="00A65018"/>
    <w:rsid w:val="00A75D2A"/>
    <w:rsid w:val="00A81B5C"/>
    <w:rsid w:val="00A8719A"/>
    <w:rsid w:val="00A900E9"/>
    <w:rsid w:val="00AA6C7C"/>
    <w:rsid w:val="00AD15C4"/>
    <w:rsid w:val="00AF544F"/>
    <w:rsid w:val="00B54E9D"/>
    <w:rsid w:val="00B94B93"/>
    <w:rsid w:val="00B96ACB"/>
    <w:rsid w:val="00BA0516"/>
    <w:rsid w:val="00BB3794"/>
    <w:rsid w:val="00BE09D0"/>
    <w:rsid w:val="00BE0A5B"/>
    <w:rsid w:val="00C0011E"/>
    <w:rsid w:val="00C116BB"/>
    <w:rsid w:val="00C314A7"/>
    <w:rsid w:val="00C57D52"/>
    <w:rsid w:val="00C65491"/>
    <w:rsid w:val="00C9160C"/>
    <w:rsid w:val="00C93624"/>
    <w:rsid w:val="00C94983"/>
    <w:rsid w:val="00CD6DB0"/>
    <w:rsid w:val="00CD740C"/>
    <w:rsid w:val="00CE2271"/>
    <w:rsid w:val="00D008D6"/>
    <w:rsid w:val="00D073B7"/>
    <w:rsid w:val="00D10647"/>
    <w:rsid w:val="00D24C03"/>
    <w:rsid w:val="00D34A03"/>
    <w:rsid w:val="00D47E09"/>
    <w:rsid w:val="00D6527F"/>
    <w:rsid w:val="00D90066"/>
    <w:rsid w:val="00DB7864"/>
    <w:rsid w:val="00DD187E"/>
    <w:rsid w:val="00E135BB"/>
    <w:rsid w:val="00E222B3"/>
    <w:rsid w:val="00E367CD"/>
    <w:rsid w:val="00E579FB"/>
    <w:rsid w:val="00E6259B"/>
    <w:rsid w:val="00E663A2"/>
    <w:rsid w:val="00E701C8"/>
    <w:rsid w:val="00E708A7"/>
    <w:rsid w:val="00E73052"/>
    <w:rsid w:val="00E97ADF"/>
    <w:rsid w:val="00EA0A52"/>
    <w:rsid w:val="00ED4863"/>
    <w:rsid w:val="00EE5355"/>
    <w:rsid w:val="00EF0464"/>
    <w:rsid w:val="00EF1CC9"/>
    <w:rsid w:val="00EF546E"/>
    <w:rsid w:val="00F00B1F"/>
    <w:rsid w:val="00F04A32"/>
    <w:rsid w:val="00F14ACD"/>
    <w:rsid w:val="00F3535A"/>
    <w:rsid w:val="00F50C31"/>
    <w:rsid w:val="00F64821"/>
    <w:rsid w:val="00F77CD1"/>
    <w:rsid w:val="00F9082D"/>
    <w:rsid w:val="00F92174"/>
    <w:rsid w:val="00FA5996"/>
    <w:rsid w:val="00FB613A"/>
    <w:rsid w:val="00FC18B3"/>
    <w:rsid w:val="00FC27F4"/>
    <w:rsid w:val="00FF0181"/>
    <w:rsid w:val="00FF3A1F"/>
    <w:rsid w:val="06F331FD"/>
    <w:rsid w:val="07014BC0"/>
    <w:rsid w:val="09CC06C0"/>
    <w:rsid w:val="0DDA13E0"/>
    <w:rsid w:val="13F310AE"/>
    <w:rsid w:val="15963FB5"/>
    <w:rsid w:val="15B97F07"/>
    <w:rsid w:val="212234DC"/>
    <w:rsid w:val="21ED74ED"/>
    <w:rsid w:val="247840E5"/>
    <w:rsid w:val="32736F68"/>
    <w:rsid w:val="32DE6BCF"/>
    <w:rsid w:val="358552BB"/>
    <w:rsid w:val="3777792B"/>
    <w:rsid w:val="3BD268F5"/>
    <w:rsid w:val="3C003CFD"/>
    <w:rsid w:val="3C2B63C9"/>
    <w:rsid w:val="3E7B4411"/>
    <w:rsid w:val="4067554E"/>
    <w:rsid w:val="4431238B"/>
    <w:rsid w:val="48A96D36"/>
    <w:rsid w:val="4AB63B11"/>
    <w:rsid w:val="4BC71EA1"/>
    <w:rsid w:val="55013C20"/>
    <w:rsid w:val="55DA5F23"/>
    <w:rsid w:val="57925F3D"/>
    <w:rsid w:val="57B74973"/>
    <w:rsid w:val="5C381817"/>
    <w:rsid w:val="62A52B40"/>
    <w:rsid w:val="65881815"/>
    <w:rsid w:val="66A94484"/>
    <w:rsid w:val="6E9B2C4D"/>
    <w:rsid w:val="6FAA7D57"/>
    <w:rsid w:val="71267175"/>
    <w:rsid w:val="728104CC"/>
    <w:rsid w:val="763D100B"/>
    <w:rsid w:val="7D667F1E"/>
    <w:rsid w:val="7E600C9E"/>
    <w:rsid w:val="7F8364BF"/>
    <w:rsid w:val="7F870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FACE2"/>
  <w15:docId w15:val="{A9B0A443-2CE4-4FBA-B997-B7665D29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uiPriority w:val="99"/>
    <w:qFormat/>
    <w:pPr>
      <w:keepNext/>
      <w:keepLines/>
      <w:spacing w:before="340" w:after="330" w:line="578" w:lineRule="auto"/>
      <w:outlineLvl w:val="0"/>
    </w:pPr>
    <w:rPr>
      <w:b/>
      <w:bCs/>
      <w:kern w:val="44"/>
      <w:sz w:val="32"/>
      <w:szCs w:val="32"/>
    </w:rPr>
  </w:style>
  <w:style w:type="paragraph" w:styleId="2">
    <w:name w:val="heading 2"/>
    <w:basedOn w:val="a"/>
    <w:next w:val="a"/>
    <w:link w:val="20"/>
    <w:uiPriority w:val="9"/>
    <w:unhideWhenUsed/>
    <w:qFormat/>
    <w:pPr>
      <w:keepNext/>
      <w:keepLines/>
      <w:spacing w:before="120" w:line="360" w:lineRule="auto"/>
      <w:ind w:firstLine="693"/>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rPr>
      <w:sz w:val="28"/>
      <w:szCs w:val="20"/>
    </w:rPr>
  </w:style>
  <w:style w:type="paragraph" w:styleId="a4">
    <w:name w:val="annotation text"/>
    <w:basedOn w:val="a"/>
    <w:link w:val="a5"/>
    <w:uiPriority w:val="99"/>
    <w:unhideWhenUsed/>
    <w:qFormat/>
    <w:pPr>
      <w:jc w:val="left"/>
    </w:pPr>
  </w:style>
  <w:style w:type="paragraph" w:styleId="a6">
    <w:name w:val="Plain Text"/>
    <w:basedOn w:val="a"/>
    <w:link w:val="a7"/>
    <w:uiPriority w:val="99"/>
    <w:qFormat/>
    <w:rPr>
      <w:rFonts w:ascii="宋体" w:hAnsi="Courier New" w:cs="Times New Roman"/>
      <w:szCs w:val="21"/>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Autospacing="1" w:afterAutospacing="1"/>
      <w:jc w:val="left"/>
    </w:pPr>
    <w:rPr>
      <w:rFonts w:cs="Times New Roman"/>
      <w:kern w:val="0"/>
      <w:sz w:val="24"/>
    </w:rPr>
  </w:style>
  <w:style w:type="paragraph" w:styleId="af">
    <w:name w:val="annotation subject"/>
    <w:basedOn w:val="a4"/>
    <w:next w:val="a4"/>
    <w:link w:val="af0"/>
    <w:uiPriority w:val="99"/>
    <w:unhideWhenUsed/>
    <w:qFormat/>
    <w:rPr>
      <w:b/>
      <w:bCs/>
    </w:rPr>
  </w:style>
  <w:style w:type="character" w:styleId="af1">
    <w:name w:val="Emphasis"/>
    <w:basedOn w:val="a0"/>
    <w:uiPriority w:val="20"/>
    <w:qFormat/>
    <w:rPr>
      <w:i/>
    </w:rPr>
  </w:style>
  <w:style w:type="character" w:styleId="af2">
    <w:name w:val="annotation reference"/>
    <w:basedOn w:val="a0"/>
    <w:uiPriority w:val="99"/>
    <w:unhideWhenUsed/>
    <w:qFormat/>
    <w:rPr>
      <w:sz w:val="21"/>
      <w:szCs w:val="21"/>
    </w:rPr>
  </w:style>
  <w:style w:type="character" w:styleId="HTML">
    <w:name w:val="HTML Sample"/>
    <w:basedOn w:val="a0"/>
    <w:qFormat/>
    <w:rPr>
      <w:rFonts w:ascii="Courier New" w:hAnsi="Courier New"/>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纯文本 字符"/>
    <w:basedOn w:val="a0"/>
    <w:link w:val="a6"/>
    <w:uiPriority w:val="99"/>
    <w:qFormat/>
    <w:rPr>
      <w:rFonts w:ascii="宋体" w:eastAsia="宋体" w:hAnsi="Courier New" w:cs="Times New Roman"/>
      <w:szCs w:val="21"/>
    </w:rPr>
  </w:style>
  <w:style w:type="character" w:customStyle="1" w:styleId="20">
    <w:name w:val="标题 2 字符"/>
    <w:basedOn w:val="a0"/>
    <w:link w:val="2"/>
    <w:qFormat/>
    <w:rPr>
      <w:rFonts w:ascii="Calibri Light" w:eastAsia="宋体" w:hAnsi="Calibri Light" w:cs="宋体"/>
      <w:b/>
      <w:bCs/>
      <w:sz w:val="32"/>
      <w:szCs w:val="32"/>
    </w:rPr>
  </w:style>
  <w:style w:type="paragraph" w:customStyle="1" w:styleId="-">
    <w:name w:val="样式-正文"/>
    <w:qFormat/>
    <w:pPr>
      <w:keepNext/>
      <w:widowControl w:val="0"/>
      <w:spacing w:line="560" w:lineRule="exact"/>
      <w:ind w:firstLine="200"/>
      <w:jc w:val="both"/>
    </w:pPr>
    <w:rPr>
      <w:rFonts w:ascii="Arial Unicode MS" w:eastAsia="Arial Unicode MS" w:cs="Arial Unicode MS"/>
      <w:color w:val="000000"/>
      <w:sz w:val="30"/>
      <w:szCs w:val="30"/>
      <w:u w:color="000000"/>
    </w:rPr>
  </w:style>
  <w:style w:type="character" w:customStyle="1" w:styleId="a9">
    <w:name w:val="批注框文本 字符"/>
    <w:basedOn w:val="a0"/>
    <w:link w:val="a8"/>
    <w:uiPriority w:val="99"/>
    <w:semiHidden/>
    <w:qFormat/>
    <w:rPr>
      <w:sz w:val="18"/>
      <w:szCs w:val="18"/>
    </w:rPr>
  </w:style>
  <w:style w:type="character" w:customStyle="1" w:styleId="a5">
    <w:name w:val="批注文字 字符"/>
    <w:basedOn w:val="a0"/>
    <w:link w:val="a4"/>
    <w:uiPriority w:val="99"/>
    <w:qFormat/>
  </w:style>
  <w:style w:type="character" w:customStyle="1" w:styleId="af0">
    <w:name w:val="批注主题 字符"/>
    <w:basedOn w:val="a5"/>
    <w:link w:val="af"/>
    <w:uiPriority w:val="99"/>
    <w:semiHidden/>
    <w:qFormat/>
    <w:rPr>
      <w:b/>
      <w:bCs/>
    </w:rPr>
  </w:style>
  <w:style w:type="paragraph" w:customStyle="1" w:styleId="af3">
    <w:name w:val="规范正文"/>
    <w:basedOn w:val="a"/>
    <w:link w:val="Char"/>
    <w:qFormat/>
    <w:pPr>
      <w:spacing w:line="600" w:lineRule="exact"/>
      <w:ind w:firstLineChars="200" w:firstLine="800"/>
    </w:pPr>
    <w:rPr>
      <w:rFonts w:eastAsia="仿宋_GB2312"/>
      <w:kern w:val="0"/>
      <w:sz w:val="32"/>
      <w:szCs w:val="20"/>
    </w:rPr>
  </w:style>
  <w:style w:type="paragraph" w:customStyle="1" w:styleId="3">
    <w:name w:val="规范标题3"/>
    <w:basedOn w:val="af3"/>
    <w:next w:val="af3"/>
    <w:qFormat/>
    <w:pPr>
      <w:outlineLvl w:val="2"/>
    </w:pPr>
    <w:rPr>
      <w:b/>
      <w:bCs/>
    </w:rPr>
  </w:style>
  <w:style w:type="paragraph" w:customStyle="1" w:styleId="21">
    <w:name w:val="规范标题2"/>
    <w:basedOn w:val="10"/>
    <w:next w:val="af3"/>
    <w:link w:val="2Char"/>
    <w:qFormat/>
    <w:pPr>
      <w:ind w:firstLine="640"/>
      <w:outlineLvl w:val="1"/>
    </w:pPr>
    <w:rPr>
      <w:rFonts w:ascii="Times New Roman" w:eastAsia="楷体_GB2312" w:hAnsi="Times New Roman"/>
      <w:szCs w:val="32"/>
    </w:rPr>
  </w:style>
  <w:style w:type="paragraph" w:customStyle="1" w:styleId="10">
    <w:name w:val="规范标题1"/>
    <w:basedOn w:val="af3"/>
    <w:next w:val="af3"/>
    <w:qFormat/>
    <w:pPr>
      <w:outlineLvl w:val="0"/>
    </w:pPr>
    <w:rPr>
      <w:rFonts w:eastAsia="黑体"/>
    </w:rPr>
  </w:style>
  <w:style w:type="character" w:customStyle="1" w:styleId="Char">
    <w:name w:val="规范正文 Char"/>
    <w:link w:val="af3"/>
    <w:qFormat/>
    <w:rPr>
      <w:rFonts w:ascii="Calibri" w:eastAsia="仿宋_GB2312" w:hAnsi="Calibri"/>
      <w:kern w:val="0"/>
      <w:sz w:val="32"/>
      <w:szCs w:val="20"/>
    </w:rPr>
  </w:style>
  <w:style w:type="character" w:customStyle="1" w:styleId="2Char">
    <w:name w:val="规范标题2 Char"/>
    <w:link w:val="21"/>
    <w:qFormat/>
    <w:rPr>
      <w:rFonts w:ascii="Times New Roman" w:eastAsia="楷体_GB2312" w:hAnsi="Times New Roman"/>
      <w:szCs w:val="32"/>
    </w:rPr>
  </w:style>
  <w:style w:type="paragraph" w:customStyle="1" w:styleId="TableParagraph">
    <w:name w:val="Table Paragraph"/>
    <w:basedOn w:val="a"/>
    <w:uiPriority w:val="1"/>
    <w:qFormat/>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styleId="af4">
    <w:name w:val="Revision"/>
    <w:hidden/>
    <w:uiPriority w:val="99"/>
    <w:unhideWhenUsed/>
    <w:rsid w:val="002B0A4F"/>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3</Pages>
  <Words>242</Words>
  <Characters>1381</Characters>
  <Application>Microsoft Office Word</Application>
  <DocSecurity>0</DocSecurity>
  <Lines>11</Lines>
  <Paragraphs>3</Paragraphs>
  <ScaleCrop>false</ScaleCrop>
  <Company>MS</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igor</cp:lastModifiedBy>
  <cp:revision>74</cp:revision>
  <dcterms:created xsi:type="dcterms:W3CDTF">2024-10-10T04:40:00Z</dcterms:created>
  <dcterms:modified xsi:type="dcterms:W3CDTF">2025-12-19T02:54:00Z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EC39DC460C8A4B34A6EDAB483BA8F3EF_13</vt:lpwstr>
  </property>
  <property fmtid="{D5CDD505-2E9C-101B-9397-08002B2CF9AE}" pid="3" name="KSOTemplateDocerSaveRecord">
    <vt:lpwstr>eyJoZGlkIjoiNGIxMmJjOGE2NjI3ZTEyNmNmMzhmOTFmYTg5MjI1NTkiLCJ1c2VySWQiOiI2MDYzODQ4NjIifQ==</vt:lpwstr>
  </property>
  <property fmtid="{D5CDD505-2E9C-101B-9397-08002B2CF9AE}" pid="4" name="KSOProductBuildVer">
    <vt:lpwstr>2052-12.1.0.21541</vt:lpwstr>
  </property>
</Properties>
</file>