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70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08"/>
        <w:gridCol w:w="900"/>
        <w:gridCol w:w="1038"/>
        <w:gridCol w:w="987"/>
        <w:gridCol w:w="1150"/>
        <w:gridCol w:w="1450"/>
      </w:tblGrid>
      <w:tr w:rsidR="00912FD0" w14:paraId="3341568E" w14:textId="77777777">
        <w:trPr>
          <w:trHeight w:val="780"/>
        </w:trPr>
        <w:tc>
          <w:tcPr>
            <w:tcW w:w="437" w:type="dxa"/>
            <w:tcBorders>
              <w:tl2br w:val="nil"/>
              <w:tr2bl w:val="nil"/>
            </w:tcBorders>
            <w:vAlign w:val="center"/>
          </w:tcPr>
          <w:p w14:paraId="70F65512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22D33839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701AF4E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数量（套）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2B2E2B55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单价预算金额（万元）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548A7910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是否接受进口产品投标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28601C4C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医疗设备类别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3A1B5ED7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交货日期</w:t>
            </w:r>
          </w:p>
        </w:tc>
      </w:tr>
      <w:tr w:rsidR="00912FD0" w14:paraId="7ADBECFE" w14:textId="77777777">
        <w:trPr>
          <w:trHeight w:val="1000"/>
        </w:trPr>
        <w:tc>
          <w:tcPr>
            <w:tcW w:w="437" w:type="dxa"/>
            <w:tcBorders>
              <w:tl2br w:val="nil"/>
              <w:tr2bl w:val="nil"/>
            </w:tcBorders>
            <w:vAlign w:val="center"/>
          </w:tcPr>
          <w:p w14:paraId="57504A93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1B1C63A9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心脏脉冲电场消融仪+心脏电生理三维标测系统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88A36F5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vAlign w:val="center"/>
          </w:tcPr>
          <w:p w14:paraId="04BFCD4F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 w14:paraId="763E7AB2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 w14:paraId="19D140DB" w14:textId="0552BE5F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三类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vAlign w:val="center"/>
          </w:tcPr>
          <w:p w14:paraId="6E6B56B5" w14:textId="77777777" w:rsidR="00912FD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自合同签订生效之日30天内</w:t>
            </w:r>
          </w:p>
        </w:tc>
      </w:tr>
    </w:tbl>
    <w:p w14:paraId="310F6C97" w14:textId="77777777" w:rsidR="00C447E7" w:rsidRDefault="00C447E7" w:rsidP="00C447E7">
      <w:pPr>
        <w:widowControl/>
        <w:spacing w:line="36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注:★每台设备投标价不能超过单价预算金额。超过每台单价预算的投标报价不予接受。</w:t>
      </w:r>
    </w:p>
    <w:p w14:paraId="37C5B4AC" w14:textId="77777777" w:rsidR="00C447E7" w:rsidRDefault="00C447E7" w:rsidP="00C447E7">
      <w:pPr>
        <w:widowControl/>
        <w:snapToGrid w:val="0"/>
        <w:spacing w:line="360" w:lineRule="auto"/>
        <w:ind w:firstLineChars="200" w:firstLine="422"/>
        <w:jc w:val="left"/>
        <w:rPr>
          <w:rFonts w:ascii="宋体" w:hAnsi="宋体" w:cs="Arial" w:hint="eastAsia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投标人应提供投标产品的《中华人民共和国医疗器械注册证》</w:t>
      </w:r>
    </w:p>
    <w:p w14:paraId="36B0FFD4" w14:textId="61834DF6" w:rsidR="00C447E7" w:rsidRDefault="00C447E7" w:rsidP="00C447E7">
      <w:pPr>
        <w:widowControl/>
        <w:snapToGrid w:val="0"/>
        <w:spacing w:line="360" w:lineRule="auto"/>
        <w:ind w:firstLineChars="200" w:firstLine="420"/>
        <w:jc w:val="left"/>
        <w:rPr>
          <w:rFonts w:ascii="宋体" w:hAnsi="宋体" w:cs="Arial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供应商应具备以下资质：1.</w:t>
      </w:r>
      <w:r>
        <w:rPr>
          <w:rFonts w:ascii="宋体" w:hAnsi="宋体" w:cs="Arial" w:hint="eastAsia"/>
          <w:color w:val="000000"/>
          <w:kern w:val="0"/>
          <w:szCs w:val="21"/>
        </w:rPr>
        <w:t>如果投标人是投标产品制造厂家，应提供《医疗器械生产许可证》。2.</w:t>
      </w:r>
      <w:r>
        <w:rPr>
          <w:rFonts w:ascii="宋体" w:hAnsi="宋体" w:hint="eastAsia"/>
          <w:color w:val="000000"/>
          <w:szCs w:val="21"/>
        </w:rPr>
        <w:t>如果投标人是投标产品经营企业，应提供《医疗器械经营许可证》（若两证合一，则只需提供《医疗器械经营许可证》）。</w:t>
      </w:r>
    </w:p>
    <w:p w14:paraId="3F533D96" w14:textId="77777777" w:rsidR="00C447E7" w:rsidRDefault="00C447E7" w:rsidP="00C447E7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投标人的总体要求:</w:t>
      </w:r>
    </w:p>
    <w:p w14:paraId="776E6799" w14:textId="77777777" w:rsidR="00C447E7" w:rsidRDefault="00C447E7" w:rsidP="00C447E7">
      <w:pPr>
        <w:spacing w:line="276" w:lineRule="auto"/>
        <w:jc w:val="center"/>
        <w:rPr>
          <w:rFonts w:ascii="宋体" w:hAnsi="宋体" w:cs="宋体" w:hint="eastAsia"/>
          <w:color w:val="000000"/>
          <w:szCs w:val="21"/>
        </w:rPr>
      </w:pPr>
    </w:p>
    <w:p w14:paraId="61895D0E" w14:textId="77777777" w:rsidR="00C447E7" w:rsidRDefault="00C447E7" w:rsidP="00C447E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 xml:space="preserve">售后服务要求：1、提供产品的相关技术文件；2.所投产品的详细配置清单及固定的售后服务机构；3.供应商对所投产品报修响应时间、到场时间及配套服务方案。 </w:t>
      </w:r>
    </w:p>
    <w:p w14:paraId="6DC3C151" w14:textId="77777777" w:rsidR="00C447E7" w:rsidRDefault="00C447E7" w:rsidP="00C447E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质保期满后维保服务方案：1、质保期满后备品备件报价、质保期满后维保服务方案；2、质保期满后整机年保修周期维护保养计划内容与次数、质保期满后每次维修的工时的单价等维保相关服务承诺</w:t>
      </w:r>
    </w:p>
    <w:p w14:paraId="09DC3B76" w14:textId="77777777" w:rsidR="00C447E7" w:rsidRDefault="00C447E7" w:rsidP="00C447E7">
      <w:pPr>
        <w:spacing w:line="276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安装调试验收及培训：1、产品的现场搬运方案、提供产品安装和维修所需的专用工具和辅助材料。2、调试方法、程序及关键点。3、产品验收方案。4、对提供临床操作及维修人员培训及其培训次数、提供免费技术咨询服务及其期限长短。</w:t>
      </w:r>
    </w:p>
    <w:p w14:paraId="60E1DB3B" w14:textId="77777777" w:rsidR="00C447E7" w:rsidRDefault="00C447E7" w:rsidP="00C447E7">
      <w:pPr>
        <w:spacing w:line="276" w:lineRule="auto"/>
        <w:rPr>
          <w:rFonts w:ascii="宋体" w:hAnsi="宋体" w:cs="仿宋_GB2312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综合实力：1、投标产品的运行稳定性、返修率以及投标产品的品牌的市场认可度。2、制造商的研发机构设置、产品研发流程及执行情况、设计分析能力。制造商的产品制造能力、供应链管理能力、制造产品配置。</w:t>
      </w:r>
    </w:p>
    <w:p w14:paraId="53A45D92" w14:textId="77777777" w:rsidR="00C447E7" w:rsidRPr="009B2DA7" w:rsidRDefault="00C447E7" w:rsidP="00C447E7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63A67C89" w14:textId="77777777" w:rsidR="00C447E7" w:rsidRDefault="00C447E7" w:rsidP="00C447E7">
      <w:pPr>
        <w:adjustRightInd w:val="0"/>
        <w:snapToGrid w:val="0"/>
        <w:rPr>
          <w:rFonts w:ascii="宋体" w:hAnsi="宋体" w:cs="宋体" w:hint="eastAsia"/>
          <w:szCs w:val="21"/>
        </w:rPr>
      </w:pPr>
    </w:p>
    <w:p w14:paraId="2CC6C5A9" w14:textId="77777777" w:rsidR="00912FD0" w:rsidRPr="00C447E7" w:rsidRDefault="00912FD0">
      <w:pPr>
        <w:rPr>
          <w:rFonts w:ascii="宋体" w:hAnsi="宋体" w:hint="eastAsia"/>
          <w:b/>
          <w:kern w:val="44"/>
          <w:sz w:val="32"/>
          <w:szCs w:val="32"/>
        </w:rPr>
      </w:pPr>
    </w:p>
    <w:p w14:paraId="3779259F" w14:textId="77777777" w:rsidR="00912FD0" w:rsidRDefault="00912FD0">
      <w:pPr>
        <w:widowControl/>
        <w:jc w:val="left"/>
        <w:textAlignment w:val="center"/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</w:pPr>
    </w:p>
    <w:p w14:paraId="5651EE5F" w14:textId="77777777" w:rsidR="00912FD0" w:rsidRDefault="00000000">
      <w:pPr>
        <w:jc w:val="center"/>
        <w:rPr>
          <w:rFonts w:ascii="宋体" w:hAnsi="宋体" w:hint="eastAsia"/>
          <w:b/>
          <w:kern w:val="44"/>
          <w:sz w:val="32"/>
          <w:szCs w:val="32"/>
        </w:rPr>
      </w:pPr>
      <w:r>
        <w:rPr>
          <w:rFonts w:ascii="宋体" w:hAnsi="宋体" w:hint="eastAsia"/>
          <w:b/>
          <w:kern w:val="44"/>
          <w:sz w:val="32"/>
          <w:szCs w:val="32"/>
        </w:rPr>
        <w:t>心脏脉冲电场消融仪+心脏电生理三维标测系统</w:t>
      </w:r>
    </w:p>
    <w:p w14:paraId="2778C94E" w14:textId="77777777" w:rsidR="00912FD0" w:rsidRDefault="00000000">
      <w:pPr>
        <w:jc w:val="center"/>
        <w:rPr>
          <w:rFonts w:ascii="宋体" w:hAnsi="宋体" w:hint="eastAsia"/>
          <w:b/>
          <w:kern w:val="44"/>
          <w:sz w:val="32"/>
          <w:szCs w:val="32"/>
        </w:rPr>
      </w:pPr>
      <w:r>
        <w:rPr>
          <w:rFonts w:ascii="宋体" w:hAnsi="宋体" w:hint="eastAsia"/>
          <w:b/>
          <w:kern w:val="44"/>
          <w:sz w:val="32"/>
          <w:szCs w:val="32"/>
        </w:rPr>
        <w:t>技术规格及参数修改版</w:t>
      </w:r>
    </w:p>
    <w:p w14:paraId="091E58D4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</w:t>
      </w:r>
      <w:r>
        <w:rPr>
          <w:rFonts w:ascii="宋体" w:hAnsi="宋体" w:hint="eastAsia"/>
          <w:szCs w:val="21"/>
        </w:rPr>
        <w:tab/>
        <w:t>设备使用单位：  复旦大学附属中山医院青浦分院（上海市青浦区中心医院）</w:t>
      </w:r>
    </w:p>
    <w:p w14:paraId="514ED333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hint="eastAsia"/>
          <w:szCs w:val="21"/>
        </w:rPr>
        <w:tab/>
        <w:t>设备名称：心脏脉冲电场消融仪+心脏电生理三维标测系统</w:t>
      </w:r>
    </w:p>
    <w:p w14:paraId="73FA7E3C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三、</w:t>
      </w:r>
      <w:r>
        <w:rPr>
          <w:rFonts w:ascii="宋体" w:hAnsi="宋体" w:hint="eastAsia"/>
          <w:szCs w:val="21"/>
        </w:rPr>
        <w:tab/>
        <w:t>数量：1套</w:t>
      </w:r>
    </w:p>
    <w:p w14:paraId="4B9A3B67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四、</w:t>
      </w:r>
      <w:r>
        <w:rPr>
          <w:rFonts w:ascii="宋体" w:hAnsi="宋体" w:hint="eastAsia"/>
          <w:szCs w:val="21"/>
        </w:rPr>
        <w:tab/>
        <w:t>所属医疗设备类别：三类</w:t>
      </w:r>
    </w:p>
    <w:p w14:paraId="411BC18C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五、</w:t>
      </w:r>
      <w:r>
        <w:rPr>
          <w:rFonts w:ascii="宋体" w:hAnsi="宋体" w:hint="eastAsia"/>
          <w:szCs w:val="21"/>
        </w:rPr>
        <w:tab/>
        <w:t>是否可以采购进口产品：否</w:t>
      </w:r>
    </w:p>
    <w:p w14:paraId="79075B9F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六、</w:t>
      </w:r>
      <w:r>
        <w:rPr>
          <w:rFonts w:ascii="宋体" w:hAnsi="宋体" w:hint="eastAsia"/>
          <w:szCs w:val="21"/>
        </w:rPr>
        <w:tab/>
        <w:t>总体要求：</w:t>
      </w:r>
    </w:p>
    <w:p w14:paraId="4370BA9F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ab/>
        <w:t>制造商在上海有相应的维修机构。设有正规的维修点，拥有良好的售后服务信誉。保修</w:t>
      </w:r>
      <w:r>
        <w:rPr>
          <w:rFonts w:ascii="宋体" w:hAnsi="宋体" w:hint="eastAsia"/>
          <w:szCs w:val="21"/>
        </w:rPr>
        <w:lastRenderedPageBreak/>
        <w:t>时间≥5年（全保）。维修接到通知4小时内到场，24小时内修复，48小时内无法修复，能提供备用机的需要提供备用机。终身维修，必须注明整机保修范围。必须提供维修费用及零配件价格。</w:t>
      </w:r>
    </w:p>
    <w:p w14:paraId="27DDE1A8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2、计量设备首次检定费用由供方负责。免费提供完善的仪器使用人员的操作培训及设备维修培训。免费与医院现有科室软件系统及医院PACS系统连接。</w:t>
      </w:r>
    </w:p>
    <w:p w14:paraId="579D7582" w14:textId="77777777" w:rsidR="00912FD0" w:rsidRDefault="00000000">
      <w:pPr>
        <w:adjustRightInd w:val="0"/>
        <w:snapToGrid w:val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七、</w:t>
      </w:r>
      <w:r>
        <w:rPr>
          <w:rFonts w:ascii="宋体" w:hAnsi="宋体" w:hint="eastAsia"/>
          <w:szCs w:val="21"/>
        </w:rPr>
        <w:tab/>
        <w:t>技术规格、参数以及要求</w:t>
      </w:r>
    </w:p>
    <w:p w14:paraId="5E843198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1、心脏电生理三维标测系统</w:t>
      </w:r>
    </w:p>
    <w:p w14:paraId="1A9E216A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1.1计算机系统：4核CPU,8G内存，1T+1T双硬盘双系统，正版WINDOWS系统。</w:t>
      </w:r>
    </w:p>
    <w:p w14:paraId="2AD1EB93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1.2显示器：≥4台≥24寸液晶显示器，分辨率≥1920*1200。</w:t>
      </w:r>
    </w:p>
    <w:p w14:paraId="73AF129D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1.3具有磁定位通道≥50个。</w:t>
      </w:r>
    </w:p>
    <w:p w14:paraId="2AE9A42F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▲1.4、有创血压通道≥2个，满足冠脉手术需要。</w:t>
      </w:r>
    </w:p>
    <w:p w14:paraId="31FAE304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1.5、高通滤波：体表高通0.05Hz 、0.50Hz、1Hz，心内高通DC、0.05Hz、0.50Hz、10Hz、30Hz、100Hz。</w:t>
      </w:r>
    </w:p>
    <w:p w14:paraId="0950B56C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1.6、低通滤波：心内低通200Hz、400Hz、600Hz、800Hz，体表低通20Hz、30Hz、100Hz、150Hz。</w:t>
      </w:r>
    </w:p>
    <w:p w14:paraId="435248E6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▲1.7、增益档（幅值转换档）：1mV、2mV、4mV、10mV、20mV、40mV、100mV、200mV。</w:t>
      </w:r>
    </w:p>
    <w:p w14:paraId="34A0A095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1.8、三维标测系统具有内置刺激功能，且三维标测的软件可以控制内置刺激仪的输出。</w:t>
      </w:r>
    </w:p>
    <w:p w14:paraId="1E39C818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▲1.9、内置刺激仪同时具有电压刺激和电流刺激≥2种模式。 </w:t>
      </w:r>
    </w:p>
    <w:p w14:paraId="2F6B8933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▲1.10、内置刺激仪电压刺激：1V～8V，采用步进可调，步进0.5V。</w:t>
      </w:r>
    </w:p>
    <w:p w14:paraId="26D9EC79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▲1.11、内置刺激仪电流刺激：0.2mA～25.0mA，步进为0.1mA。</w:t>
      </w:r>
    </w:p>
    <w:p w14:paraId="484751EA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▲1.12、模拟输出：可选任意体表、心内和有创压力通道作为输出。</w:t>
      </w:r>
    </w:p>
    <w:p w14:paraId="7D5BD389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1.13模拟输出：≥2路模拟信号输出。</w:t>
      </w:r>
    </w:p>
    <w:p w14:paraId="50003162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1.14、三维标测系统上对消融系统进行远程显示和控制。</w:t>
      </w:r>
    </w:p>
    <w:p w14:paraId="750D5201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1.15、三维标测消融系统软件能够显示消融仪控制面板</w:t>
      </w:r>
    </w:p>
    <w:p w14:paraId="49BE1682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1.16、三维标测消融系统具备消融导管头端四周可显示为红、绿、蓝、黄≥4个颜色，方便术者预判导管的下一步操作。</w:t>
      </w:r>
    </w:p>
    <w:p w14:paraId="096D3DEE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1.17、三维标测消融系统具有CT/MRI图像融合功能，能将CT/MRI图像与三维导航实时构建的心脏模型相融合。</w:t>
      </w:r>
    </w:p>
    <w:p w14:paraId="0D277D99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1.18、可以在三维标测系统上开关脉冲电场消融导管的电极。</w:t>
      </w:r>
    </w:p>
    <w:p w14:paraId="506E4D6E" w14:textId="77777777" w:rsidR="00912FD0" w:rsidRDefault="00000000">
      <w:pPr>
        <w:pStyle w:val="a7"/>
        <w:ind w:firstLineChars="0" w:firstLine="0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2、心脏脉冲电场消融仪系统</w:t>
      </w:r>
    </w:p>
    <w:p w14:paraId="21AF5FAD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2.1.脉冲电场消融仪用于治疗药物难治性复发性症状性阵发性房颤。</w:t>
      </w:r>
    </w:p>
    <w:p w14:paraId="3A78A3E8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▲2.2.使用脉冲电场消融手术麻醉方式局部麻醉下开展。 </w:t>
      </w:r>
    </w:p>
    <w:p w14:paraId="727FB698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2.3.脉冲消融输出方式为双极。</w:t>
      </w:r>
    </w:p>
    <w:p w14:paraId="680A6FD8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2.4.脉冲消融仪能量输出电极通道数量为≥9路。</w:t>
      </w:r>
    </w:p>
    <w:p w14:paraId="00BC543D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2.5.脉冲波形：正负双相波形。</w:t>
      </w:r>
    </w:p>
    <w:p w14:paraId="692F5C2E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2.6.最高脉冲幅度</w:t>
      </w:r>
      <w:r>
        <w:rPr>
          <w:rFonts w:ascii="宋体" w:hAnsi="宋体"/>
          <w:szCs w:val="21"/>
        </w:rPr>
        <w:t>≥</w:t>
      </w:r>
      <w:r>
        <w:rPr>
          <w:rFonts w:ascii="宋体" w:hAnsi="宋体" w:hint="eastAsia"/>
          <w:szCs w:val="21"/>
        </w:rPr>
        <w:t>1800V。</w:t>
      </w:r>
    </w:p>
    <w:p w14:paraId="4B948482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▲2.7.具备参数预设功能，模式≥5组。 </w:t>
      </w:r>
    </w:p>
    <w:p w14:paraId="7B19B167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2.8.具备系统自锁功能，须解锁才能输出能量。</w:t>
      </w:r>
    </w:p>
    <w:p w14:paraId="2CAB29FD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2.9.具有开机自检功能: 脉冲消融仪每次开机后自动进行自检，自检未通过报警提示。</w:t>
      </w:r>
    </w:p>
    <w:p w14:paraId="172FF4AC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2.10.脉冲消融提示音音量可调。</w:t>
      </w:r>
    </w:p>
    <w:p w14:paraId="14CFA46E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2.11.可以通过显示面板、主机按键或脚踏开关启动/停止脉冲能量输出。</w:t>
      </w:r>
    </w:p>
    <w:p w14:paraId="779FF047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2.12.脉冲消融时可以手动关闭部分电极，可以部分电极脉冲输出。</w:t>
      </w:r>
    </w:p>
    <w:p w14:paraId="6A9D7CD5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2.13.消融仪能量输出过程中，不影响正常的心电信号实时监测。</w:t>
      </w:r>
    </w:p>
    <w:p w14:paraId="76E7E7FC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2.14.具有同步启动功能，在感知到同步输入端口输入的体表同步信号后输出脉冲能量。</w:t>
      </w:r>
    </w:p>
    <w:p w14:paraId="340044CF" w14:textId="77777777" w:rsidR="00912FD0" w:rsidRDefault="00000000">
      <w:pPr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3、配置要求</w:t>
      </w:r>
    </w:p>
    <w:p w14:paraId="5D859077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1、计算机系统1套（包括显示器 4台）</w:t>
      </w:r>
    </w:p>
    <w:p w14:paraId="51B3D25D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2、前置放大器1套</w:t>
      </w:r>
    </w:p>
    <w:p w14:paraId="23185567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3、高速高分辨率激光打印机1套</w:t>
      </w:r>
    </w:p>
    <w:p w14:paraId="42EF908C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4、体表导联线2套</w:t>
      </w:r>
    </w:p>
    <w:p w14:paraId="3A1CDF8F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5、血压导联线2套</w:t>
      </w:r>
    </w:p>
    <w:p w14:paraId="696813B4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6、心脏三维磁定位装置1套</w:t>
      </w:r>
    </w:p>
    <w:p w14:paraId="45DD4C42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7、心内输入盒2个</w:t>
      </w:r>
    </w:p>
    <w:p w14:paraId="3353586E" w14:textId="77777777" w:rsidR="00912FD0" w:rsidRDefault="00000000">
      <w:pPr>
        <w:widowControl/>
        <w:tabs>
          <w:tab w:val="left" w:pos="720"/>
        </w:tabs>
        <w:adjustRightInd w:val="0"/>
        <w:snapToGrid w:val="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8、</w:t>
      </w:r>
      <w:r>
        <w:rPr>
          <w:rFonts w:hint="eastAsia"/>
          <w:snapToGrid w:val="0"/>
          <w:color w:val="000000"/>
          <w:spacing w:val="7"/>
          <w:kern w:val="0"/>
        </w:rPr>
        <w:t>消融系统</w:t>
      </w:r>
      <w:r>
        <w:rPr>
          <w:rFonts w:ascii="宋体" w:hAnsi="宋体" w:hint="eastAsia"/>
          <w:szCs w:val="21"/>
        </w:rPr>
        <w:t>1套</w:t>
      </w:r>
    </w:p>
    <w:p w14:paraId="36258061" w14:textId="77777777" w:rsidR="00912FD0" w:rsidRDefault="00912FD0">
      <w:pPr>
        <w:rPr>
          <w:rFonts w:ascii="宋体" w:hAnsi="宋体" w:hint="eastAsia"/>
          <w:b/>
          <w:kern w:val="44"/>
          <w:sz w:val="32"/>
          <w:szCs w:val="32"/>
        </w:rPr>
      </w:pPr>
    </w:p>
    <w:p w14:paraId="4BD7515D" w14:textId="77777777" w:rsidR="00912FD0" w:rsidRDefault="00912FD0">
      <w:pPr>
        <w:adjustRightInd w:val="0"/>
        <w:snapToGrid w:val="0"/>
        <w:rPr>
          <w:rFonts w:ascii="宋体" w:hAnsi="宋体" w:hint="eastAsia"/>
          <w:szCs w:val="21"/>
        </w:rPr>
      </w:pPr>
    </w:p>
    <w:p w14:paraId="68355CE3" w14:textId="77777777" w:rsidR="00912FD0" w:rsidRDefault="00912FD0">
      <w:pPr>
        <w:adjustRightInd w:val="0"/>
        <w:snapToGrid w:val="0"/>
        <w:rPr>
          <w:rFonts w:ascii="宋体" w:hAnsi="宋体" w:hint="eastAsia"/>
          <w:szCs w:val="21"/>
        </w:rPr>
      </w:pPr>
    </w:p>
    <w:p w14:paraId="599D9E0E" w14:textId="77777777" w:rsidR="00912FD0" w:rsidRDefault="00912FD0">
      <w:pPr>
        <w:adjustRightInd w:val="0"/>
        <w:snapToGrid w:val="0"/>
        <w:rPr>
          <w:rFonts w:ascii="宋体" w:hAnsi="宋体" w:hint="eastAsia"/>
          <w:szCs w:val="21"/>
        </w:rPr>
      </w:pPr>
    </w:p>
    <w:p w14:paraId="4A425A8C" w14:textId="77777777" w:rsidR="00912FD0" w:rsidRDefault="00912FD0">
      <w:pPr>
        <w:adjustRightInd w:val="0"/>
        <w:snapToGrid w:val="0"/>
        <w:rPr>
          <w:rFonts w:ascii="宋体" w:hAnsi="宋体" w:hint="eastAsia"/>
          <w:szCs w:val="21"/>
        </w:rPr>
      </w:pPr>
    </w:p>
    <w:p w14:paraId="73B2321F" w14:textId="77777777" w:rsidR="00912FD0" w:rsidRDefault="00912FD0">
      <w:pPr>
        <w:adjustRightInd w:val="0"/>
        <w:snapToGrid w:val="0"/>
        <w:rPr>
          <w:rFonts w:ascii="宋体" w:hAnsi="宋体" w:hint="eastAsia"/>
          <w:szCs w:val="21"/>
        </w:rPr>
      </w:pPr>
    </w:p>
    <w:sectPr w:rsidR="0091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105785"/>
    <w:rsid w:val="003E4426"/>
    <w:rsid w:val="00477159"/>
    <w:rsid w:val="00721064"/>
    <w:rsid w:val="00912FD0"/>
    <w:rsid w:val="00B45707"/>
    <w:rsid w:val="00C447E7"/>
    <w:rsid w:val="00FF2DD5"/>
    <w:rsid w:val="0850203E"/>
    <w:rsid w:val="09105785"/>
    <w:rsid w:val="0B5A2678"/>
    <w:rsid w:val="0FD93B75"/>
    <w:rsid w:val="10B10E2F"/>
    <w:rsid w:val="16EF3DAF"/>
    <w:rsid w:val="17A553DC"/>
    <w:rsid w:val="18D37685"/>
    <w:rsid w:val="1A3146DE"/>
    <w:rsid w:val="1AA56D1C"/>
    <w:rsid w:val="1FCD71BD"/>
    <w:rsid w:val="2B55331F"/>
    <w:rsid w:val="345468FB"/>
    <w:rsid w:val="37060F75"/>
    <w:rsid w:val="39227BBC"/>
    <w:rsid w:val="45A2692A"/>
    <w:rsid w:val="495B7047"/>
    <w:rsid w:val="49825129"/>
    <w:rsid w:val="4FB27ACC"/>
    <w:rsid w:val="5180343C"/>
    <w:rsid w:val="53D313AF"/>
    <w:rsid w:val="544042CD"/>
    <w:rsid w:val="5AA16656"/>
    <w:rsid w:val="61412A26"/>
    <w:rsid w:val="649D20AF"/>
    <w:rsid w:val="67D75E41"/>
    <w:rsid w:val="6CFC5A53"/>
    <w:rsid w:val="6E7D11D2"/>
    <w:rsid w:val="73D24415"/>
    <w:rsid w:val="74937DAA"/>
    <w:rsid w:val="7536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4BFD5"/>
  <w15:docId w15:val="{AC3C3D99-9FC3-4DEF-92A9-9A70390A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semiHidden/>
    <w:qFormat/>
    <w:rPr>
      <w:rFonts w:ascii="宋体" w:hAnsi="宋体" w:cs="宋体"/>
      <w:sz w:val="18"/>
      <w:szCs w:val="18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a8">
    <w:name w:val="表格文字"/>
    <w:basedOn w:val="a"/>
    <w:qFormat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曦</dc:creator>
  <cp:lastModifiedBy>igor</cp:lastModifiedBy>
  <cp:revision>5</cp:revision>
  <cp:lastPrinted>2025-08-25T01:19:00Z</cp:lastPrinted>
  <dcterms:created xsi:type="dcterms:W3CDTF">2025-06-10T07:09:00Z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260FAC857D874BA78D40FF023E1CB44A_13</vt:lpwstr>
  </property>
  <property fmtid="{D5CDD505-2E9C-101B-9397-08002B2CF9AE}" pid="4" name="KSOTemplateDocerSaveRecord">
    <vt:lpwstr>eyJoZGlkIjoiNTFlOGEwMDZlMGZmMjE4NGUwMGZjMWE5MjEwM2M2MDgiLCJ1c2VySWQiOiI0MzIxODQyNjUifQ==</vt:lpwstr>
  </property>
</Properties>
</file>