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7FC99">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一、基本概况</w:t>
      </w:r>
    </w:p>
    <w:p w14:paraId="72F4F1D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长宁区教育系统托儿所、幼儿园（西）共22个点位，每个点位均须保证全年24小时有人在岗，工作日日间岗每点位不少于两人，其余时间每点位不少于一人；已关闭学校日间及夜间岗每点位均不少于一人；除24小时保安服务人员外，还须提供叠加保安服务，叠加保安每点位不少于两人，已关闭学校无需提供叠加保安服务。</w:t>
      </w:r>
    </w:p>
    <w:p w14:paraId="49D13343">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日间岗工作时间段：周一至周五7:00-17:00；</w:t>
      </w:r>
    </w:p>
    <w:p w14:paraId="3BD168A5">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叠加岗工作时间段：周一至周五7:00-8:30,15:00-17:30；</w:t>
      </w:r>
    </w:p>
    <w:p w14:paraId="16A17F99">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夜间岗工作时间段：周一至周五17:00-7:00，双休日全天。</w:t>
      </w:r>
    </w:p>
    <w:p w14:paraId="40B9016F">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已关闭学校日间岗工作时间段：周一-周五7:00-17:00；</w:t>
      </w:r>
    </w:p>
    <w:p w14:paraId="6469601E">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已关闭学校夜间岗工作时间段：周一-周五17:00-7:00，双休日全天。</w:t>
      </w:r>
    </w:p>
    <w:p w14:paraId="75043F6A">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以上工作时间段为一般工作时间段，具体以点位单位实际作息时间作适当调整。</w:t>
      </w:r>
    </w:p>
    <w:p w14:paraId="52609803">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本次招标共需岗位数145个。</w:t>
      </w:r>
    </w:p>
    <w:p w14:paraId="397EAB75">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服务对象：长宁区教育局下属各托儿所、幼儿园（西）合计22个点位。</w:t>
      </w:r>
    </w:p>
    <w:p w14:paraId="57CE731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服务期限：服务期为一年（自2026年9月1日至2027年8月31日，实际服务期为12个月，包含寒暑假及国定假）。</w:t>
      </w:r>
    </w:p>
    <w:p w14:paraId="536C9A41">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二、服务内容</w:t>
      </w:r>
    </w:p>
    <w:p w14:paraId="32273225">
      <w:pP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（一）工作内容、范围：</w:t>
      </w:r>
    </w:p>
    <w:p w14:paraId="4F7A3B26">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本次招标服务内容涉及治安管理、消防管理、交通管理、突发事件处理、其他服务等方面。其中：</w:t>
      </w:r>
    </w:p>
    <w:p w14:paraId="667F934D">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1.治安管理：门卫管理、巡逻管理、监控管理、人员进出管理、货物出入管理、重要区域管理等工作内容。</w:t>
      </w:r>
    </w:p>
    <w:p w14:paraId="4B26B100">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2.消防管理：配合学校做好消防管理相关工作，包括：业消防档案的建立、义务消防队的建立、消防宣传、消防监控、消防应急预案演练、消防器材管理等工作内容，人员须掌握相关技防设备基本操作</w:t>
      </w:r>
      <w:r>
        <w:rPr>
          <w:rFonts w:hint="eastAsia" w:ascii="宋体" w:hAnsi="宋体" w:eastAsia="宋体"/>
          <w:color w:val="auto"/>
        </w:rPr>
        <w:t>。</w:t>
      </w:r>
    </w:p>
    <w:p w14:paraId="2F353AC9">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3.交通管理：行车管理、道路管理、车辆管理、停车管理、标识管理等工作内容。</w:t>
      </w:r>
    </w:p>
    <w:p w14:paraId="64EA4E61">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4.突发事件处理：突发事件处理机制的建立（包括突发事件处理的程序、流程等），并对保安人员进行定期的包括突发事件处理等方面培训及突发事件处理的演练等工作。</w:t>
      </w:r>
    </w:p>
    <w:p w14:paraId="41D73A41">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5.其他服务：配合、协助采购方（业主方）做好其他相关工作。</w:t>
      </w:r>
    </w:p>
    <w:p w14:paraId="5913F6DD">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6.投标方须承诺用工不违反劳动法，作业不违反安全规程。</w:t>
      </w:r>
    </w:p>
    <w:p w14:paraId="272C42B8">
      <w:pP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（二）岗位职责要求：</w:t>
      </w:r>
    </w:p>
    <w:p w14:paraId="53EC61B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1．按时交接班；</w:t>
      </w:r>
    </w:p>
    <w:p w14:paraId="2447724B">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2．检查门窗关闭，切断不使用的用电设施；</w:t>
      </w:r>
    </w:p>
    <w:p w14:paraId="61C55460">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3．定时巡查，发现异常及时报告并配合处置；</w:t>
      </w:r>
    </w:p>
    <w:p w14:paraId="4B404571">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4．开启监控技防报警系统；</w:t>
      </w:r>
    </w:p>
    <w:p w14:paraId="19081835">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5．做好安保（消防）台帐记录；</w:t>
      </w:r>
    </w:p>
    <w:p w14:paraId="6D9173FB">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6．保证校内师生安全，有效应对突发事件；</w:t>
      </w:r>
    </w:p>
    <w:p w14:paraId="00FCD2D5">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7．不得擅自添加家长、学生的联系方式。</w:t>
      </w:r>
    </w:p>
    <w:p w14:paraId="567E9C3E">
      <w:pP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（三）值守时间：</w:t>
      </w:r>
    </w:p>
    <w:p w14:paraId="35D60729">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1．每个点位均须保证24小时有人在岗，工作日日间岗每点位不少于两人，其余时间每点位不少于一人，已关闭学校日间及夜间岗每点位均不少于一人。</w:t>
      </w:r>
    </w:p>
    <w:p w14:paraId="5A1F773E">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2．叠加保安：每点位不少于两人，工作时间段一般为工作日7:00——8:30；15:00——17:30（上岗时间以学校实际上放学为准，确保每个点位上放学不少于两名叠加队员）。</w:t>
      </w:r>
    </w:p>
    <w:p w14:paraId="59D20A91">
      <w:pPr>
        <w:spacing w:line="360" w:lineRule="auto"/>
        <w:ind w:firstLine="420" w:firstLineChars="200"/>
        <w:jc w:val="left"/>
        <w:rPr>
          <w:rFonts w:hint="eastAsia" w:ascii="宋体" w:hAnsi="宋体" w:eastAsia="宋体" w:cs="宋体"/>
          <w:sz w:val="21"/>
          <w:szCs w:val="21"/>
        </w:rPr>
      </w:pPr>
    </w:p>
    <w:p w14:paraId="19EC4EAB">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三、人员配备要求</w:t>
      </w:r>
    </w:p>
    <w:p w14:paraId="4C33F7C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本项目涉及长宁区教育局下属托儿所、幼儿园（西）共计22个门卫点，共需岗位数145个。</w:t>
      </w:r>
    </w:p>
    <w:p w14:paraId="3B697CE7">
      <w:pP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（一）基本要求：</w:t>
      </w:r>
    </w:p>
    <w:p w14:paraId="52E0073C">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所有保安人员须具备无传染病及精神病史，遵纪守法、品行良好、无违法犯罪记录，敬业爱岗、工作认真、责任心强。</w:t>
      </w:r>
    </w:p>
    <w:p w14:paraId="376B58AB">
      <w:pPr>
        <w:spacing w:line="360" w:lineRule="auto"/>
        <w:ind w:firstLine="422" w:firstLineChars="200"/>
        <w:rPr>
          <w:rFonts w:hint="eastAsia" w:ascii="宋体" w:hAnsi="宋体" w:eastAsia="宋体" w:cs="宋体"/>
          <w:b/>
          <w:color w:val="auto"/>
        </w:rPr>
      </w:pPr>
      <w:r>
        <w:rPr>
          <w:rFonts w:hint="eastAsia" w:ascii="宋体" w:hAnsi="宋体" w:eastAsia="宋体" w:cs="宋体"/>
          <w:b/>
          <w:color w:val="auto"/>
        </w:rPr>
        <w:t>保安员：</w:t>
      </w:r>
    </w:p>
    <w:p w14:paraId="14B9D850">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性别：不限；</w:t>
      </w:r>
    </w:p>
    <w:p w14:paraId="1021F5FA">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年龄：</w:t>
      </w:r>
      <w:r>
        <w:rPr>
          <w:rFonts w:hint="eastAsia" w:ascii="宋体" w:hAnsi="宋体" w:eastAsia="宋体"/>
          <w:color w:val="auto"/>
        </w:rPr>
        <w:t>合同期内</w:t>
      </w:r>
      <w:r>
        <w:rPr>
          <w:rFonts w:hint="eastAsia" w:ascii="宋体" w:hAnsi="宋体" w:eastAsia="宋体" w:cs="宋体"/>
          <w:color w:val="auto"/>
        </w:rPr>
        <w:t>60周岁以下；</w:t>
      </w:r>
    </w:p>
    <w:p w14:paraId="6D7BCF76">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经历要求：有1年以上的工作经历；</w:t>
      </w:r>
    </w:p>
    <w:p w14:paraId="71B0095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其他：</w:t>
      </w:r>
    </w:p>
    <w:p w14:paraId="2BCA8883">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olor w:val="auto"/>
        </w:rPr>
        <w:t>须持有保安上岗证书、有效健康证等相关证书，</w:t>
      </w:r>
      <w:r>
        <w:rPr>
          <w:rFonts w:hint="eastAsia" w:ascii="宋体" w:hAnsi="宋体" w:eastAsia="宋体" w:cs="宋体"/>
          <w:color w:val="auto"/>
        </w:rPr>
        <w:t>无不良嗜好，无违法犯罪记录，工作责任心强，服从命令，能完成上级交办的各项工作；</w:t>
      </w:r>
    </w:p>
    <w:p w14:paraId="2A95BF12">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2．按每30岗须配置一名保安队长，持有“保安三级以上证书”保安人员不少于5人；</w:t>
      </w:r>
    </w:p>
    <w:p w14:paraId="261549CE">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3、所有的服务人员均须参加公安部门组织的校园保安岗位专业轮训考评，通过“心理健康测评”项目，体能达标、考评合格，且在保安员电子证照（IC卡）中获得认证后方能上岗。</w:t>
      </w:r>
    </w:p>
    <w:p w14:paraId="1A59F1B2">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（二）点位要求：</w:t>
      </w:r>
    </w:p>
    <w:tbl>
      <w:tblPr>
        <w:tblStyle w:val="3"/>
        <w:tblW w:w="9045" w:type="dxa"/>
        <w:jc w:val="center"/>
        <w:tblLayout w:type="autofit"/>
        <w:tblCellMar>
          <w:top w:w="0" w:type="dxa"/>
          <w:left w:w="0" w:type="dxa"/>
          <w:bottom w:w="0" w:type="dxa"/>
          <w:right w:w="0" w:type="dxa"/>
        </w:tblCellMar>
      </w:tblPr>
      <w:tblGrid>
        <w:gridCol w:w="810"/>
        <w:gridCol w:w="5244"/>
        <w:gridCol w:w="2991"/>
      </w:tblGrid>
      <w:tr w14:paraId="5A9C04EC">
        <w:tblPrEx>
          <w:tblCellMar>
            <w:top w:w="0" w:type="dxa"/>
            <w:left w:w="0" w:type="dxa"/>
            <w:bottom w:w="0" w:type="dxa"/>
            <w:right w:w="0" w:type="dxa"/>
          </w:tblCellMar>
        </w:tblPrEx>
        <w:trPr>
          <w:trHeight w:val="375" w:hRule="atLeast"/>
          <w:jc w:val="center"/>
        </w:trPr>
        <w:tc>
          <w:tcPr>
            <w:tcW w:w="8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FF8E7C6">
            <w:pPr>
              <w:jc w:val="center"/>
              <w:rPr>
                <w:rFonts w:hint="eastAsia" w:ascii="宋体" w:hAnsi="宋体" w:eastAsia="宋体" w:cs="宋体"/>
                <w:b/>
                <w:bCs/>
                <w:color w:val="auto"/>
              </w:rPr>
            </w:pPr>
            <w:r>
              <w:rPr>
                <w:rFonts w:hint="eastAsia" w:ascii="宋体" w:hAnsi="宋体" w:eastAsia="宋体" w:cs="宋体"/>
                <w:b/>
                <w:bCs/>
                <w:color w:val="auto"/>
              </w:rPr>
              <w:t>序号</w:t>
            </w:r>
          </w:p>
        </w:tc>
        <w:tc>
          <w:tcPr>
            <w:tcW w:w="5244"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F2092B0">
            <w:pPr>
              <w:jc w:val="center"/>
              <w:rPr>
                <w:rFonts w:hint="eastAsia" w:ascii="宋体" w:hAnsi="宋体" w:eastAsia="宋体" w:cs="宋体"/>
                <w:b/>
                <w:bCs/>
                <w:color w:val="auto"/>
              </w:rPr>
            </w:pPr>
            <w:r>
              <w:rPr>
                <w:rFonts w:hint="eastAsia" w:ascii="宋体" w:hAnsi="宋体" w:eastAsia="宋体" w:cs="宋体"/>
                <w:b/>
                <w:bCs/>
                <w:color w:val="auto"/>
              </w:rPr>
              <w:t>点位单位全称</w:t>
            </w:r>
          </w:p>
        </w:tc>
        <w:tc>
          <w:tcPr>
            <w:tcW w:w="299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96EF686">
            <w:pPr>
              <w:jc w:val="center"/>
              <w:rPr>
                <w:rFonts w:hint="eastAsia" w:ascii="宋体" w:hAnsi="宋体" w:eastAsia="宋体" w:cs="宋体"/>
                <w:b/>
                <w:bCs/>
                <w:color w:val="auto"/>
              </w:rPr>
            </w:pPr>
            <w:r>
              <w:rPr>
                <w:rFonts w:hint="eastAsia" w:ascii="宋体" w:hAnsi="宋体" w:eastAsia="宋体" w:cs="宋体"/>
                <w:b/>
                <w:bCs/>
                <w:color w:val="auto"/>
              </w:rPr>
              <w:t>地址</w:t>
            </w:r>
          </w:p>
        </w:tc>
      </w:tr>
      <w:tr w14:paraId="2399A8D3">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682FDC9">
            <w:pPr>
              <w:jc w:val="center"/>
              <w:rPr>
                <w:rFonts w:hint="eastAsia" w:ascii="宋体" w:hAnsi="宋体" w:eastAsia="宋体" w:cs="宋体"/>
                <w:color w:val="auto"/>
              </w:rPr>
            </w:pPr>
            <w:r>
              <w:rPr>
                <w:rFonts w:hint="eastAsia" w:ascii="宋体" w:hAnsi="宋体" w:eastAsia="宋体" w:cs="宋体"/>
                <w:color w:val="auto"/>
                <w:lang w:bidi="ar"/>
              </w:rPr>
              <w:t>1</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E71EA7A">
            <w:pPr>
              <w:spacing w:line="360" w:lineRule="auto"/>
              <w:jc w:val="center"/>
              <w:textAlignment w:val="center"/>
              <w:rPr>
                <w:rFonts w:hint="eastAsia" w:ascii="宋体" w:hAnsi="宋体" w:eastAsia="宋体" w:cs="宋体"/>
              </w:rPr>
            </w:pPr>
            <w:r>
              <w:rPr>
                <w:rFonts w:hint="eastAsia" w:ascii="宋体" w:hAnsi="宋体" w:eastAsia="宋体" w:cs="宋体"/>
                <w:lang w:bidi="ar"/>
              </w:rPr>
              <w:t>剑河托儿所</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B5C2AF3">
            <w:pPr>
              <w:spacing w:line="360" w:lineRule="auto"/>
              <w:jc w:val="center"/>
              <w:textAlignment w:val="center"/>
              <w:rPr>
                <w:rFonts w:hint="eastAsia" w:ascii="宋体" w:hAnsi="宋体" w:eastAsia="宋体" w:cs="宋体"/>
              </w:rPr>
            </w:pPr>
            <w:r>
              <w:rPr>
                <w:rFonts w:hint="eastAsia" w:ascii="宋体" w:hAnsi="宋体" w:eastAsia="宋体" w:cs="宋体"/>
                <w:lang w:bidi="ar"/>
              </w:rPr>
              <w:t>剑河路414弄30号</w:t>
            </w:r>
          </w:p>
        </w:tc>
      </w:tr>
      <w:tr w14:paraId="094AFE56">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438DA43">
            <w:pPr>
              <w:jc w:val="center"/>
              <w:rPr>
                <w:rFonts w:hint="eastAsia" w:ascii="宋体" w:hAnsi="宋体" w:eastAsia="宋体" w:cs="宋体"/>
                <w:color w:val="auto"/>
              </w:rPr>
            </w:pPr>
            <w:r>
              <w:rPr>
                <w:rFonts w:hint="eastAsia" w:ascii="宋体" w:hAnsi="宋体" w:eastAsia="宋体" w:cs="宋体"/>
                <w:color w:val="auto"/>
                <w:lang w:bidi="ar"/>
              </w:rPr>
              <w:t>2</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F7857DA">
            <w:pPr>
              <w:spacing w:line="360" w:lineRule="auto"/>
              <w:jc w:val="center"/>
              <w:textAlignment w:val="center"/>
              <w:rPr>
                <w:rFonts w:hint="eastAsia" w:ascii="宋体" w:hAnsi="宋体" w:eastAsia="宋体" w:cs="宋体"/>
              </w:rPr>
            </w:pPr>
            <w:r>
              <w:rPr>
                <w:rFonts w:hint="eastAsia" w:ascii="宋体" w:hAnsi="宋体" w:eastAsia="宋体" w:cs="宋体"/>
                <w:lang w:bidi="ar"/>
              </w:rPr>
              <w:t>乐苑托儿所</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7F368C8">
            <w:pPr>
              <w:spacing w:line="360" w:lineRule="auto"/>
              <w:jc w:val="center"/>
              <w:textAlignment w:val="center"/>
              <w:rPr>
                <w:rFonts w:hint="eastAsia" w:ascii="宋体" w:hAnsi="宋体" w:eastAsia="宋体" w:cs="宋体"/>
              </w:rPr>
            </w:pPr>
            <w:r>
              <w:rPr>
                <w:rFonts w:hint="eastAsia" w:ascii="宋体" w:hAnsi="宋体" w:eastAsia="宋体" w:cs="宋体"/>
                <w:lang w:bidi="ar"/>
              </w:rPr>
              <w:t>平塘路700弄41号</w:t>
            </w:r>
          </w:p>
        </w:tc>
      </w:tr>
      <w:tr w14:paraId="05BF7B1D">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6B00256">
            <w:pPr>
              <w:jc w:val="center"/>
              <w:rPr>
                <w:rFonts w:hint="eastAsia" w:ascii="宋体" w:hAnsi="宋体" w:eastAsia="宋体" w:cs="宋体"/>
                <w:color w:val="auto"/>
              </w:rPr>
            </w:pPr>
            <w:r>
              <w:rPr>
                <w:rFonts w:hint="eastAsia" w:ascii="宋体" w:hAnsi="宋体" w:eastAsia="宋体" w:cs="宋体"/>
                <w:color w:val="auto"/>
                <w:lang w:bidi="ar"/>
              </w:rPr>
              <w:t>3</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0AD7F0F">
            <w:pPr>
              <w:spacing w:line="360" w:lineRule="auto"/>
              <w:jc w:val="center"/>
              <w:textAlignment w:val="center"/>
              <w:rPr>
                <w:rFonts w:hint="eastAsia" w:ascii="宋体" w:hAnsi="宋体" w:eastAsia="宋体" w:cs="宋体"/>
              </w:rPr>
            </w:pPr>
            <w:r>
              <w:rPr>
                <w:rFonts w:hint="eastAsia" w:ascii="宋体" w:hAnsi="宋体" w:eastAsia="宋体" w:cs="宋体"/>
                <w:lang w:bidi="ar"/>
              </w:rPr>
              <w:t>程桥托儿所</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A9FBE6C">
            <w:pPr>
              <w:spacing w:line="360" w:lineRule="auto"/>
              <w:jc w:val="center"/>
              <w:textAlignment w:val="center"/>
              <w:rPr>
                <w:rFonts w:hint="eastAsia" w:ascii="宋体" w:hAnsi="宋体" w:eastAsia="宋体" w:cs="宋体"/>
              </w:rPr>
            </w:pPr>
            <w:r>
              <w:rPr>
                <w:rFonts w:hint="eastAsia" w:ascii="宋体" w:hAnsi="宋体" w:eastAsia="宋体" w:cs="宋体"/>
                <w:lang w:bidi="ar"/>
              </w:rPr>
              <w:t>程桥二村64号</w:t>
            </w:r>
          </w:p>
        </w:tc>
      </w:tr>
      <w:tr w14:paraId="0F68F763">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45E7EF87">
            <w:pPr>
              <w:jc w:val="center"/>
              <w:rPr>
                <w:rFonts w:hint="eastAsia" w:ascii="宋体" w:hAnsi="宋体" w:eastAsia="宋体" w:cs="宋体"/>
                <w:color w:val="auto"/>
              </w:rPr>
            </w:pPr>
            <w:r>
              <w:rPr>
                <w:rFonts w:hint="eastAsia" w:ascii="宋体" w:hAnsi="宋体" w:eastAsia="宋体" w:cs="宋体"/>
                <w:color w:val="auto"/>
                <w:lang w:bidi="ar"/>
              </w:rPr>
              <w:t>4</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A19038F">
            <w:pPr>
              <w:spacing w:line="360" w:lineRule="auto"/>
              <w:jc w:val="center"/>
              <w:textAlignment w:val="center"/>
              <w:rPr>
                <w:rFonts w:hint="eastAsia" w:ascii="宋体" w:hAnsi="宋体" w:eastAsia="宋体" w:cs="宋体"/>
              </w:rPr>
            </w:pPr>
            <w:r>
              <w:rPr>
                <w:rFonts w:hint="eastAsia" w:ascii="宋体" w:hAnsi="宋体" w:eastAsia="宋体" w:cs="宋体"/>
                <w:lang w:bidi="ar"/>
              </w:rPr>
              <w:t>新春蕾托儿所</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137CFAE">
            <w:pPr>
              <w:spacing w:line="360" w:lineRule="auto"/>
              <w:jc w:val="center"/>
              <w:textAlignment w:val="center"/>
              <w:rPr>
                <w:rFonts w:hint="eastAsia" w:ascii="宋体" w:hAnsi="宋体" w:eastAsia="宋体" w:cs="宋体"/>
              </w:rPr>
            </w:pPr>
            <w:r>
              <w:rPr>
                <w:rFonts w:hint="eastAsia" w:ascii="宋体" w:hAnsi="宋体" w:eastAsia="宋体" w:cs="宋体"/>
                <w:lang w:bidi="ar"/>
              </w:rPr>
              <w:t>甘溪路211号</w:t>
            </w:r>
          </w:p>
        </w:tc>
      </w:tr>
      <w:tr w14:paraId="0E751780">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53CC766">
            <w:pPr>
              <w:jc w:val="center"/>
              <w:rPr>
                <w:rFonts w:hint="eastAsia" w:ascii="宋体" w:hAnsi="宋体" w:eastAsia="宋体" w:cs="宋体"/>
                <w:color w:val="auto"/>
                <w:lang w:bidi="ar"/>
              </w:rPr>
            </w:pPr>
            <w:r>
              <w:rPr>
                <w:rFonts w:hint="eastAsia" w:ascii="宋体" w:hAnsi="宋体" w:eastAsia="宋体" w:cs="宋体"/>
                <w:color w:val="auto"/>
                <w:lang w:bidi="ar"/>
              </w:rPr>
              <w:t>5</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85D7A7F">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上海市长宁区哈密路幼儿园（虹桥分园）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1C3DD19">
            <w:pPr>
              <w:spacing w:line="360" w:lineRule="auto"/>
              <w:jc w:val="center"/>
              <w:textAlignment w:val="center"/>
              <w:rPr>
                <w:rFonts w:hint="eastAsia" w:ascii="宋体" w:hAnsi="宋体" w:eastAsia="宋体" w:cs="宋体"/>
              </w:rPr>
            </w:pPr>
            <w:r>
              <w:rPr>
                <w:rFonts w:hint="eastAsia" w:ascii="宋体" w:hAnsi="宋体" w:eastAsia="宋体" w:cs="宋体"/>
                <w:lang w:bidi="ar"/>
              </w:rPr>
              <w:t>虹桥路2222弄37号</w:t>
            </w:r>
          </w:p>
        </w:tc>
      </w:tr>
      <w:tr w14:paraId="1990CB69">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E7D9DB0">
            <w:pPr>
              <w:jc w:val="center"/>
              <w:rPr>
                <w:rFonts w:hint="eastAsia" w:ascii="宋体" w:hAnsi="宋体" w:eastAsia="宋体" w:cs="宋体"/>
                <w:color w:val="auto"/>
              </w:rPr>
            </w:pPr>
            <w:r>
              <w:rPr>
                <w:rFonts w:hint="eastAsia" w:ascii="宋体" w:hAnsi="宋体" w:eastAsia="宋体" w:cs="宋体"/>
                <w:color w:val="auto"/>
              </w:rPr>
              <w:t>6</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AF9BE78">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上海市长宁区虹古路第三幼儿园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4BF673C">
            <w:pPr>
              <w:spacing w:line="360" w:lineRule="auto"/>
              <w:jc w:val="center"/>
              <w:textAlignment w:val="center"/>
              <w:rPr>
                <w:rFonts w:hint="eastAsia" w:ascii="宋体" w:hAnsi="宋体" w:eastAsia="宋体" w:cs="宋体"/>
              </w:rPr>
            </w:pPr>
            <w:r>
              <w:rPr>
                <w:rFonts w:hint="eastAsia" w:ascii="宋体" w:hAnsi="宋体" w:eastAsia="宋体" w:cs="宋体"/>
                <w:lang w:bidi="ar"/>
              </w:rPr>
              <w:t>仙霞路700弄43号</w:t>
            </w:r>
          </w:p>
        </w:tc>
      </w:tr>
      <w:tr w14:paraId="4FC6E13B">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5C9DAEE">
            <w:pPr>
              <w:jc w:val="center"/>
              <w:rPr>
                <w:rFonts w:hint="eastAsia" w:ascii="宋体" w:hAnsi="宋体" w:eastAsia="宋体" w:cs="宋体"/>
                <w:color w:val="auto"/>
              </w:rPr>
            </w:pPr>
            <w:r>
              <w:rPr>
                <w:rFonts w:hint="eastAsia" w:ascii="宋体" w:hAnsi="宋体" w:eastAsia="宋体" w:cs="宋体"/>
                <w:color w:val="auto"/>
              </w:rPr>
              <w:t>7</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1C1744A">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上海市长宁区南新幼儿园（总园）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33F04AE">
            <w:pPr>
              <w:spacing w:line="360" w:lineRule="auto"/>
              <w:jc w:val="center"/>
              <w:textAlignment w:val="center"/>
              <w:rPr>
                <w:rFonts w:hint="eastAsia" w:ascii="宋体" w:hAnsi="宋体" w:eastAsia="宋体" w:cs="宋体"/>
              </w:rPr>
            </w:pPr>
            <w:r>
              <w:rPr>
                <w:rFonts w:hint="eastAsia" w:ascii="宋体" w:hAnsi="宋体" w:eastAsia="宋体" w:cs="宋体"/>
                <w:lang w:bidi="ar"/>
              </w:rPr>
              <w:t>新渔东路630号</w:t>
            </w:r>
          </w:p>
        </w:tc>
      </w:tr>
      <w:tr w14:paraId="67EF3FBE">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1A59686C">
            <w:pPr>
              <w:jc w:val="center"/>
              <w:rPr>
                <w:rFonts w:hint="eastAsia" w:ascii="宋体" w:hAnsi="宋体" w:eastAsia="宋体" w:cs="宋体"/>
                <w:color w:val="auto"/>
              </w:rPr>
            </w:pPr>
            <w:r>
              <w:rPr>
                <w:rFonts w:hint="eastAsia" w:ascii="宋体" w:hAnsi="宋体" w:eastAsia="宋体" w:cs="宋体"/>
                <w:color w:val="auto"/>
              </w:rPr>
              <w:t>8</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00AEA4A">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上海市长宁区南新幼儿园（分园）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3D232FD">
            <w:pPr>
              <w:spacing w:line="360" w:lineRule="auto"/>
              <w:jc w:val="center"/>
              <w:textAlignment w:val="center"/>
              <w:rPr>
                <w:rFonts w:hint="eastAsia" w:ascii="宋体" w:hAnsi="宋体" w:eastAsia="宋体" w:cs="宋体"/>
              </w:rPr>
            </w:pPr>
            <w:r>
              <w:rPr>
                <w:rFonts w:hint="eastAsia" w:ascii="宋体" w:hAnsi="宋体" w:eastAsia="宋体" w:cs="宋体"/>
                <w:lang w:bidi="ar"/>
              </w:rPr>
              <w:t>林泉路268号</w:t>
            </w:r>
          </w:p>
        </w:tc>
      </w:tr>
      <w:tr w14:paraId="22DEE065">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4B0682A">
            <w:pPr>
              <w:jc w:val="center"/>
              <w:rPr>
                <w:rFonts w:hint="eastAsia" w:ascii="宋体" w:hAnsi="宋体" w:eastAsia="宋体" w:cs="宋体"/>
                <w:color w:val="auto"/>
              </w:rPr>
            </w:pPr>
            <w:r>
              <w:rPr>
                <w:rFonts w:hint="eastAsia" w:ascii="宋体" w:hAnsi="宋体" w:eastAsia="宋体" w:cs="宋体"/>
                <w:color w:val="auto"/>
              </w:rPr>
              <w:t>9</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04A84A0">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上海市长宁区新实验幼儿园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3A3DCA8">
            <w:pPr>
              <w:spacing w:line="360" w:lineRule="auto"/>
              <w:jc w:val="center"/>
              <w:textAlignment w:val="center"/>
              <w:rPr>
                <w:rFonts w:hint="eastAsia" w:ascii="宋体" w:hAnsi="宋体" w:eastAsia="宋体" w:cs="宋体"/>
              </w:rPr>
            </w:pPr>
            <w:r>
              <w:rPr>
                <w:rFonts w:hint="eastAsia" w:ascii="宋体" w:hAnsi="宋体" w:eastAsia="宋体" w:cs="宋体"/>
                <w:lang w:bidi="ar"/>
              </w:rPr>
              <w:t>双流路380号</w:t>
            </w:r>
          </w:p>
        </w:tc>
      </w:tr>
      <w:tr w14:paraId="6CDC31E7">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04CE945">
            <w:pPr>
              <w:jc w:val="center"/>
              <w:rPr>
                <w:rFonts w:hint="eastAsia" w:ascii="宋体" w:hAnsi="宋体" w:eastAsia="宋体" w:cs="宋体"/>
                <w:color w:val="auto"/>
              </w:rPr>
            </w:pPr>
            <w:r>
              <w:rPr>
                <w:rFonts w:hint="eastAsia" w:ascii="宋体" w:hAnsi="宋体" w:eastAsia="宋体" w:cs="宋体"/>
                <w:color w:val="auto"/>
              </w:rPr>
              <w:t>10</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6A47092">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上海市长宁区北新泾第二幼儿园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BE5FAAB">
            <w:pPr>
              <w:spacing w:line="360" w:lineRule="auto"/>
              <w:jc w:val="center"/>
              <w:textAlignment w:val="center"/>
              <w:rPr>
                <w:rFonts w:hint="eastAsia" w:ascii="宋体" w:hAnsi="宋体" w:eastAsia="宋体" w:cs="宋体"/>
              </w:rPr>
            </w:pPr>
            <w:r>
              <w:rPr>
                <w:rFonts w:hint="eastAsia" w:ascii="宋体" w:hAnsi="宋体" w:eastAsia="宋体" w:cs="宋体"/>
                <w:lang w:bidi="ar"/>
              </w:rPr>
              <w:t>新泾三村45号</w:t>
            </w:r>
          </w:p>
        </w:tc>
      </w:tr>
      <w:tr w14:paraId="1E42EAD0">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492DB547">
            <w:pPr>
              <w:jc w:val="center"/>
              <w:rPr>
                <w:rFonts w:hint="eastAsia" w:ascii="宋体" w:hAnsi="宋体" w:eastAsia="宋体" w:cs="宋体"/>
                <w:color w:val="auto"/>
              </w:rPr>
            </w:pPr>
            <w:r>
              <w:rPr>
                <w:rFonts w:hint="eastAsia" w:ascii="宋体" w:hAnsi="宋体" w:eastAsia="宋体" w:cs="宋体"/>
                <w:color w:val="auto"/>
              </w:rPr>
              <w:t>11</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F1145C4">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上海市长宁区北新泾第三幼儿园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02727A2">
            <w:pPr>
              <w:spacing w:line="360" w:lineRule="auto"/>
              <w:jc w:val="center"/>
              <w:textAlignment w:val="center"/>
              <w:rPr>
                <w:rFonts w:hint="eastAsia" w:ascii="宋体" w:hAnsi="宋体" w:eastAsia="宋体" w:cs="宋体"/>
              </w:rPr>
            </w:pPr>
            <w:r>
              <w:rPr>
                <w:rFonts w:hint="eastAsia" w:ascii="宋体" w:hAnsi="宋体" w:eastAsia="宋体" w:cs="宋体"/>
                <w:lang w:bidi="ar"/>
              </w:rPr>
              <w:t>新泾一村135号</w:t>
            </w:r>
          </w:p>
        </w:tc>
      </w:tr>
      <w:tr w14:paraId="1C963799">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B9A6D3F">
            <w:pPr>
              <w:jc w:val="center"/>
              <w:rPr>
                <w:rFonts w:hint="eastAsia" w:ascii="宋体" w:hAnsi="宋体" w:eastAsia="宋体" w:cs="宋体"/>
                <w:color w:val="auto"/>
              </w:rPr>
            </w:pPr>
            <w:r>
              <w:rPr>
                <w:rFonts w:hint="eastAsia" w:ascii="宋体" w:hAnsi="宋体" w:eastAsia="宋体" w:cs="宋体"/>
                <w:color w:val="auto"/>
              </w:rPr>
              <w:t>12</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D80EF0D">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上海市长宁区北新泾第四幼儿园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339104C">
            <w:pPr>
              <w:spacing w:line="360" w:lineRule="auto"/>
              <w:jc w:val="center"/>
              <w:textAlignment w:val="center"/>
              <w:rPr>
                <w:rFonts w:hint="eastAsia" w:ascii="宋体" w:hAnsi="宋体" w:eastAsia="宋体" w:cs="宋体"/>
              </w:rPr>
            </w:pPr>
            <w:r>
              <w:rPr>
                <w:rFonts w:hint="eastAsia" w:ascii="宋体" w:hAnsi="宋体" w:eastAsia="宋体" w:cs="宋体"/>
                <w:lang w:bidi="ar"/>
              </w:rPr>
              <w:t>新渔路280弄5号</w:t>
            </w:r>
          </w:p>
        </w:tc>
      </w:tr>
      <w:tr w14:paraId="223FAAD4">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553B3EA">
            <w:pPr>
              <w:jc w:val="center"/>
              <w:rPr>
                <w:rFonts w:hint="eastAsia" w:ascii="宋体" w:hAnsi="宋体" w:eastAsia="宋体" w:cs="宋体"/>
                <w:color w:val="auto"/>
              </w:rPr>
            </w:pPr>
            <w:r>
              <w:rPr>
                <w:rFonts w:hint="eastAsia" w:ascii="宋体" w:hAnsi="宋体" w:eastAsia="宋体" w:cs="宋体"/>
                <w:color w:val="auto"/>
              </w:rPr>
              <w:t>13</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ACFBE00">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上海市长宁区金钟路幼儿园（总园）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A7C2C52">
            <w:pPr>
              <w:spacing w:line="360" w:lineRule="auto"/>
              <w:jc w:val="center"/>
              <w:textAlignment w:val="center"/>
              <w:rPr>
                <w:rFonts w:hint="eastAsia" w:ascii="宋体" w:hAnsi="宋体" w:eastAsia="宋体" w:cs="宋体"/>
              </w:rPr>
            </w:pPr>
            <w:r>
              <w:rPr>
                <w:rFonts w:hint="eastAsia" w:ascii="宋体" w:hAnsi="宋体" w:eastAsia="宋体" w:cs="宋体"/>
                <w:lang w:bidi="ar"/>
              </w:rPr>
              <w:t>金钟路333弄87号</w:t>
            </w:r>
          </w:p>
        </w:tc>
      </w:tr>
      <w:tr w14:paraId="03677FE3">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463CE27A">
            <w:pPr>
              <w:jc w:val="center"/>
              <w:rPr>
                <w:rFonts w:hint="eastAsia" w:ascii="宋体" w:hAnsi="宋体" w:eastAsia="宋体" w:cs="宋体"/>
                <w:color w:val="auto"/>
              </w:rPr>
            </w:pPr>
            <w:r>
              <w:rPr>
                <w:rFonts w:hint="eastAsia" w:ascii="宋体" w:hAnsi="宋体" w:eastAsia="宋体" w:cs="宋体"/>
                <w:color w:val="auto"/>
              </w:rPr>
              <w:t>14</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7E0BEE2">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上海市长宁区金钟路幼儿园（分园）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813C2A9">
            <w:pPr>
              <w:spacing w:line="360" w:lineRule="auto"/>
              <w:jc w:val="center"/>
              <w:textAlignment w:val="center"/>
              <w:rPr>
                <w:rFonts w:hint="eastAsia" w:ascii="宋体" w:hAnsi="宋体" w:eastAsia="宋体" w:cs="宋体"/>
              </w:rPr>
            </w:pPr>
            <w:r>
              <w:rPr>
                <w:rFonts w:hint="eastAsia" w:ascii="宋体" w:hAnsi="宋体" w:eastAsia="宋体" w:cs="宋体"/>
                <w:lang w:bidi="ar"/>
              </w:rPr>
              <w:t>金钟路360弄49号</w:t>
            </w:r>
          </w:p>
        </w:tc>
      </w:tr>
      <w:tr w14:paraId="73A6CA92">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A7A58B8">
            <w:pPr>
              <w:jc w:val="center"/>
              <w:rPr>
                <w:rFonts w:hint="eastAsia" w:ascii="宋体" w:hAnsi="宋体" w:eastAsia="宋体" w:cs="宋体"/>
                <w:color w:val="auto"/>
              </w:rPr>
            </w:pPr>
            <w:r>
              <w:rPr>
                <w:rFonts w:hint="eastAsia" w:ascii="宋体" w:hAnsi="宋体" w:eastAsia="宋体" w:cs="宋体"/>
                <w:color w:val="auto"/>
              </w:rPr>
              <w:t>15</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2FE717B">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上海市长宁区哈密路幼儿园（总园）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BCFD0E6">
            <w:pPr>
              <w:spacing w:line="360" w:lineRule="auto"/>
              <w:jc w:val="center"/>
              <w:textAlignment w:val="center"/>
              <w:rPr>
                <w:rFonts w:hint="eastAsia" w:ascii="宋体" w:hAnsi="宋体" w:eastAsia="宋体" w:cs="宋体"/>
              </w:rPr>
            </w:pPr>
            <w:r>
              <w:rPr>
                <w:rFonts w:hint="eastAsia" w:ascii="宋体" w:hAnsi="宋体" w:eastAsia="宋体" w:cs="宋体"/>
                <w:lang w:bidi="ar"/>
              </w:rPr>
              <w:t>哈密路2024号</w:t>
            </w:r>
          </w:p>
        </w:tc>
      </w:tr>
      <w:tr w14:paraId="5B1C924F">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9E0F7AB">
            <w:pPr>
              <w:jc w:val="center"/>
              <w:rPr>
                <w:rFonts w:hint="eastAsia" w:ascii="宋体" w:hAnsi="宋体" w:eastAsia="宋体" w:cs="宋体"/>
                <w:color w:val="auto"/>
              </w:rPr>
            </w:pPr>
            <w:r>
              <w:rPr>
                <w:rFonts w:hint="eastAsia" w:ascii="宋体" w:hAnsi="宋体" w:eastAsia="宋体" w:cs="宋体"/>
                <w:color w:val="auto"/>
              </w:rPr>
              <w:t>16</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9E9181C">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上海市长宁区哈密路幼儿园（北园）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BC77C0B">
            <w:pPr>
              <w:spacing w:line="360" w:lineRule="auto"/>
              <w:jc w:val="center"/>
              <w:textAlignment w:val="center"/>
              <w:rPr>
                <w:rFonts w:hint="eastAsia" w:ascii="宋体" w:hAnsi="宋体" w:eastAsia="宋体" w:cs="宋体"/>
              </w:rPr>
            </w:pPr>
            <w:r>
              <w:rPr>
                <w:rFonts w:hint="eastAsia" w:ascii="宋体" w:hAnsi="宋体" w:eastAsia="宋体" w:cs="宋体"/>
                <w:lang w:bidi="ar"/>
              </w:rPr>
              <w:t>哈密路2016号</w:t>
            </w:r>
          </w:p>
        </w:tc>
      </w:tr>
      <w:tr w14:paraId="380D963C">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F83EAFE">
            <w:pPr>
              <w:jc w:val="center"/>
              <w:rPr>
                <w:rFonts w:hint="eastAsia" w:ascii="宋体" w:hAnsi="宋体" w:eastAsia="宋体" w:cs="宋体"/>
                <w:color w:val="auto"/>
              </w:rPr>
            </w:pPr>
            <w:r>
              <w:rPr>
                <w:rFonts w:hint="eastAsia" w:ascii="宋体" w:hAnsi="宋体" w:eastAsia="宋体" w:cs="宋体"/>
                <w:color w:val="auto"/>
              </w:rPr>
              <w:t>17</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0915BC4">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上海市长宁区新剑幼儿园（总园）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BBF54CA">
            <w:pPr>
              <w:spacing w:line="360" w:lineRule="auto"/>
              <w:jc w:val="center"/>
              <w:textAlignment w:val="center"/>
              <w:rPr>
                <w:rFonts w:hint="eastAsia" w:ascii="宋体" w:hAnsi="宋体" w:eastAsia="宋体" w:cs="宋体"/>
              </w:rPr>
            </w:pPr>
            <w:r>
              <w:rPr>
                <w:rFonts w:hint="eastAsia" w:ascii="宋体" w:hAnsi="宋体" w:eastAsia="宋体" w:cs="宋体"/>
                <w:lang w:bidi="ar"/>
              </w:rPr>
              <w:t>剑河路459号</w:t>
            </w:r>
          </w:p>
        </w:tc>
      </w:tr>
      <w:tr w14:paraId="1B3251B1">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53F1763">
            <w:pPr>
              <w:jc w:val="center"/>
              <w:rPr>
                <w:rFonts w:hint="eastAsia" w:ascii="宋体" w:hAnsi="宋体" w:eastAsia="宋体" w:cs="宋体"/>
                <w:color w:val="auto"/>
              </w:rPr>
            </w:pPr>
            <w:r>
              <w:rPr>
                <w:rFonts w:hint="eastAsia" w:ascii="宋体" w:hAnsi="宋体" w:eastAsia="宋体" w:cs="宋体"/>
                <w:color w:val="auto"/>
              </w:rPr>
              <w:t>18</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0AFF9C1">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上海市长宁区新剑幼儿园（分园）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AC33EDE">
            <w:pPr>
              <w:spacing w:line="360" w:lineRule="auto"/>
              <w:jc w:val="center"/>
              <w:textAlignment w:val="center"/>
              <w:rPr>
                <w:rFonts w:hint="eastAsia" w:ascii="宋体" w:hAnsi="宋体" w:eastAsia="宋体" w:cs="宋体"/>
              </w:rPr>
            </w:pPr>
            <w:r>
              <w:rPr>
                <w:rFonts w:hint="eastAsia" w:ascii="宋体" w:hAnsi="宋体" w:eastAsia="宋体" w:cs="宋体"/>
                <w:lang w:bidi="ar"/>
              </w:rPr>
              <w:t>仙霞西路268号</w:t>
            </w:r>
          </w:p>
        </w:tc>
      </w:tr>
      <w:tr w14:paraId="2E17A5C7">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32725BF">
            <w:pPr>
              <w:jc w:val="center"/>
              <w:rPr>
                <w:rFonts w:hint="eastAsia" w:ascii="宋体" w:hAnsi="宋体" w:eastAsia="宋体" w:cs="宋体"/>
                <w:color w:val="auto"/>
              </w:rPr>
            </w:pPr>
            <w:r>
              <w:rPr>
                <w:rFonts w:hint="eastAsia" w:ascii="宋体" w:hAnsi="宋体" w:eastAsia="宋体" w:cs="宋体"/>
                <w:color w:val="auto"/>
              </w:rPr>
              <w:t>19</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56A3BCE">
            <w:pPr>
              <w:spacing w:line="360" w:lineRule="auto"/>
              <w:jc w:val="center"/>
              <w:textAlignment w:val="center"/>
              <w:rPr>
                <w:rFonts w:hint="eastAsia" w:ascii="宋体" w:hAnsi="宋体" w:eastAsia="宋体" w:cs="宋体"/>
              </w:rPr>
            </w:pPr>
            <w:r>
              <w:rPr>
                <w:rFonts w:hint="eastAsia" w:ascii="宋体" w:hAnsi="宋体" w:eastAsia="宋体" w:cs="宋体"/>
                <w:lang w:bidi="ar"/>
              </w:rPr>
              <w:t>上海“儿童世界”基金会长宁幼儿园（总园）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175ACFD">
            <w:pPr>
              <w:spacing w:line="360" w:lineRule="auto"/>
              <w:jc w:val="center"/>
              <w:textAlignment w:val="center"/>
              <w:rPr>
                <w:rFonts w:hint="eastAsia" w:ascii="宋体" w:hAnsi="宋体" w:eastAsia="宋体" w:cs="宋体"/>
              </w:rPr>
            </w:pPr>
            <w:r>
              <w:rPr>
                <w:rFonts w:hint="eastAsia" w:ascii="宋体" w:hAnsi="宋体" w:eastAsia="宋体" w:cs="宋体"/>
                <w:lang w:bidi="ar"/>
              </w:rPr>
              <w:t>淞虹路685弄3号</w:t>
            </w:r>
          </w:p>
        </w:tc>
      </w:tr>
      <w:tr w14:paraId="740BDCE7">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3DE35D2">
            <w:pPr>
              <w:jc w:val="center"/>
              <w:rPr>
                <w:rFonts w:hint="eastAsia" w:ascii="宋体" w:hAnsi="宋体" w:eastAsia="宋体" w:cs="宋体"/>
                <w:color w:val="auto"/>
              </w:rPr>
            </w:pPr>
            <w:r>
              <w:rPr>
                <w:rFonts w:hint="eastAsia" w:ascii="宋体" w:hAnsi="宋体" w:eastAsia="宋体" w:cs="宋体"/>
                <w:color w:val="auto"/>
              </w:rPr>
              <w:t>20</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CC1AA2F">
            <w:pPr>
              <w:spacing w:line="360" w:lineRule="auto"/>
              <w:jc w:val="center"/>
              <w:textAlignment w:val="center"/>
              <w:rPr>
                <w:rFonts w:hint="eastAsia" w:ascii="宋体" w:hAnsi="宋体" w:eastAsia="宋体" w:cs="宋体"/>
              </w:rPr>
            </w:pPr>
            <w:r>
              <w:rPr>
                <w:rFonts w:hint="eastAsia" w:ascii="宋体" w:hAnsi="宋体" w:eastAsia="宋体" w:cs="宋体"/>
                <w:lang w:bidi="ar"/>
              </w:rPr>
              <w:t>上海“儿童世界”基金会长宁幼儿园（协和分园）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EFD8439">
            <w:pPr>
              <w:spacing w:line="360" w:lineRule="auto"/>
              <w:jc w:val="center"/>
              <w:textAlignment w:val="center"/>
              <w:rPr>
                <w:rFonts w:hint="eastAsia" w:ascii="宋体" w:hAnsi="宋体" w:eastAsia="宋体" w:cs="宋体"/>
              </w:rPr>
            </w:pPr>
            <w:r>
              <w:rPr>
                <w:rFonts w:hint="eastAsia" w:ascii="宋体" w:hAnsi="宋体" w:eastAsia="宋体" w:cs="宋体"/>
                <w:lang w:bidi="ar"/>
              </w:rPr>
              <w:t>协和路166号</w:t>
            </w:r>
          </w:p>
        </w:tc>
      </w:tr>
      <w:tr w14:paraId="51A1431D">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6E6DB99">
            <w:pPr>
              <w:jc w:val="center"/>
              <w:rPr>
                <w:rFonts w:hint="eastAsia" w:ascii="宋体" w:hAnsi="宋体" w:eastAsia="宋体" w:cs="宋体"/>
                <w:color w:val="auto"/>
              </w:rPr>
            </w:pPr>
            <w:r>
              <w:rPr>
                <w:rFonts w:hint="eastAsia" w:ascii="宋体" w:hAnsi="宋体" w:eastAsia="宋体" w:cs="宋体"/>
                <w:color w:val="auto"/>
              </w:rPr>
              <w:t>21</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63116DF">
            <w:pPr>
              <w:spacing w:line="360" w:lineRule="auto"/>
              <w:jc w:val="center"/>
              <w:textAlignment w:val="center"/>
              <w:rPr>
                <w:rFonts w:hint="eastAsia" w:ascii="宋体" w:hAnsi="宋体" w:eastAsia="宋体" w:cs="宋体"/>
              </w:rPr>
            </w:pPr>
            <w:r>
              <w:rPr>
                <w:rFonts w:hint="eastAsia" w:ascii="宋体" w:hAnsi="宋体" w:eastAsia="宋体" w:cs="宋体"/>
                <w:lang w:bidi="ar"/>
              </w:rPr>
              <w:t>上海“儿童世界”基金会长宁幼儿园（福泉分园）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EB27041">
            <w:pPr>
              <w:spacing w:line="360" w:lineRule="auto"/>
              <w:jc w:val="center"/>
              <w:textAlignment w:val="center"/>
              <w:rPr>
                <w:rFonts w:hint="eastAsia" w:ascii="宋体" w:hAnsi="宋体" w:eastAsia="宋体" w:cs="宋体"/>
              </w:rPr>
            </w:pPr>
            <w:r>
              <w:rPr>
                <w:rFonts w:hint="eastAsia" w:ascii="宋体" w:hAnsi="宋体" w:eastAsia="宋体" w:cs="宋体"/>
                <w:lang w:bidi="ar"/>
              </w:rPr>
              <w:t>福泉路495弄71号</w:t>
            </w:r>
          </w:p>
        </w:tc>
      </w:tr>
      <w:tr w14:paraId="4D04CA36">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C57AFB0">
            <w:pPr>
              <w:jc w:val="center"/>
              <w:rPr>
                <w:rFonts w:hint="eastAsia" w:ascii="宋体" w:hAnsi="宋体" w:eastAsia="宋体" w:cs="宋体"/>
                <w:color w:val="auto"/>
                <w:lang w:bidi="ar"/>
              </w:rPr>
            </w:pPr>
            <w:r>
              <w:rPr>
                <w:rFonts w:hint="eastAsia" w:ascii="宋体" w:hAnsi="宋体" w:eastAsia="宋体" w:cs="宋体"/>
                <w:color w:val="auto"/>
                <w:lang w:bidi="ar"/>
              </w:rPr>
              <w:t>22</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7981145">
            <w:pPr>
              <w:spacing w:line="360" w:lineRule="auto"/>
              <w:jc w:val="center"/>
              <w:textAlignment w:val="center"/>
              <w:rPr>
                <w:rFonts w:hint="eastAsia" w:ascii="宋体" w:hAnsi="宋体" w:eastAsia="宋体" w:cs="宋体"/>
              </w:rPr>
            </w:pPr>
            <w:r>
              <w:rPr>
                <w:rFonts w:hint="eastAsia" w:ascii="宋体" w:hAnsi="宋体" w:eastAsia="宋体" w:cs="宋体"/>
                <w:lang w:bidi="ar"/>
              </w:rPr>
              <w:t>上海市长宁区童欣幼儿园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B4BCF9D">
            <w:pPr>
              <w:spacing w:line="360" w:lineRule="auto"/>
              <w:jc w:val="center"/>
              <w:textAlignment w:val="center"/>
              <w:rPr>
                <w:rFonts w:hint="eastAsia" w:ascii="宋体" w:hAnsi="宋体" w:eastAsia="宋体" w:cs="宋体"/>
              </w:rPr>
            </w:pPr>
            <w:r>
              <w:rPr>
                <w:rFonts w:hint="eastAsia" w:ascii="宋体" w:hAnsi="宋体" w:eastAsia="宋体" w:cs="宋体"/>
                <w:lang w:bidi="ar"/>
              </w:rPr>
              <w:t>中泾路28号</w:t>
            </w:r>
          </w:p>
        </w:tc>
      </w:tr>
      <w:tr w14:paraId="45A4D4D3">
        <w:tblPrEx>
          <w:tblCellMar>
            <w:top w:w="0" w:type="dxa"/>
            <w:left w:w="0" w:type="dxa"/>
            <w:bottom w:w="0" w:type="dxa"/>
            <w:right w:w="0" w:type="dxa"/>
          </w:tblCellMar>
        </w:tblPrEx>
        <w:trPr>
          <w:trHeight w:val="375" w:hRule="atLeast"/>
          <w:jc w:val="center"/>
        </w:trPr>
        <w:tc>
          <w:tcPr>
            <w:tcW w:w="9045" w:type="dxa"/>
            <w:gridSpan w:val="3"/>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B7F857A">
            <w:pPr>
              <w:jc w:val="center"/>
              <w:rPr>
                <w:rFonts w:hint="eastAsia" w:ascii="宋体" w:hAnsi="宋体" w:eastAsia="宋体" w:cs="宋体"/>
                <w:color w:val="auto"/>
              </w:rPr>
            </w:pPr>
            <w:r>
              <w:rPr>
                <w:rFonts w:hint="eastAsia" w:ascii="宋体" w:hAnsi="宋体" w:eastAsia="宋体" w:cs="宋体"/>
                <w:b/>
                <w:bCs/>
                <w:color w:val="auto"/>
              </w:rPr>
              <w:t>共22个点位</w:t>
            </w:r>
          </w:p>
        </w:tc>
      </w:tr>
    </w:tbl>
    <w:p w14:paraId="7E5CC833">
      <w:pPr>
        <w:spacing w:line="360" w:lineRule="auto"/>
        <w:ind w:firstLine="480" w:firstLineChars="200"/>
        <w:jc w:val="left"/>
        <w:rPr>
          <w:rFonts w:hint="eastAsia" w:ascii="宋体" w:hAnsi="宋体" w:eastAsia="宋体" w:cs="宋体"/>
          <w:sz w:val="24"/>
          <w:szCs w:val="24"/>
        </w:rPr>
      </w:pPr>
    </w:p>
    <w:p w14:paraId="16DB72F1">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四、服务管理质量要求及相关承诺要求</w:t>
      </w:r>
    </w:p>
    <w:p w14:paraId="02EF6F9C">
      <w:pPr>
        <w:spacing w:line="360" w:lineRule="auto"/>
        <w:rPr>
          <w:rFonts w:hint="eastAsia" w:ascii="宋体" w:hAnsi="宋体" w:eastAsia="宋体" w:cs="宋体"/>
          <w:b/>
          <w:bCs/>
          <w:color w:val="auto"/>
        </w:rPr>
      </w:pPr>
      <w:r>
        <w:rPr>
          <w:rFonts w:hint="eastAsia" w:ascii="宋体" w:hAnsi="宋体" w:eastAsia="宋体" w:cs="宋体"/>
          <w:b/>
          <w:bCs/>
          <w:color w:val="auto"/>
        </w:rPr>
        <w:t>（一）总体管理目标：</w:t>
      </w:r>
    </w:p>
    <w:p w14:paraId="13CE09B2">
      <w:pPr>
        <w:spacing w:line="360" w:lineRule="auto"/>
        <w:rPr>
          <w:rFonts w:hint="eastAsia" w:ascii="宋体" w:hAnsi="宋体" w:eastAsia="宋体" w:cs="宋体"/>
          <w:color w:val="auto"/>
        </w:rPr>
      </w:pPr>
      <w:r>
        <w:rPr>
          <w:rFonts w:hint="eastAsia" w:ascii="宋体" w:hAnsi="宋体" w:eastAsia="宋体" w:cs="宋体"/>
          <w:color w:val="auto"/>
        </w:rPr>
        <w:t>1．按照新型物业管理模式，并根据教育系统的特点，为长宁区各托儿所、幼儿园（西）提供日间、叠加、夜间保安管理服务。</w:t>
      </w:r>
    </w:p>
    <w:p w14:paraId="102357BC">
      <w:pPr>
        <w:spacing w:line="360" w:lineRule="auto"/>
        <w:rPr>
          <w:rFonts w:hint="eastAsia" w:ascii="宋体" w:hAnsi="宋体" w:eastAsia="宋体" w:cs="宋体"/>
          <w:color w:val="auto"/>
        </w:rPr>
      </w:pPr>
      <w:r>
        <w:rPr>
          <w:rFonts w:hint="eastAsia" w:ascii="宋体" w:hAnsi="宋体" w:eastAsia="宋体" w:cs="宋体"/>
          <w:color w:val="auto"/>
        </w:rPr>
        <w:t xml:space="preserve">2．合同期内保证不发生人为安全事故、管理事故、质量事故、政治事故以及消防事故。 </w:t>
      </w:r>
    </w:p>
    <w:p w14:paraId="707012AE">
      <w:pPr>
        <w:spacing w:line="360" w:lineRule="auto"/>
        <w:rPr>
          <w:rFonts w:hint="eastAsia" w:ascii="宋体" w:hAnsi="宋体" w:eastAsia="宋体" w:cs="宋体"/>
          <w:color w:val="auto"/>
        </w:rPr>
      </w:pPr>
      <w:r>
        <w:rPr>
          <w:rFonts w:hint="eastAsia" w:ascii="宋体" w:hAnsi="宋体" w:eastAsia="宋体" w:cs="宋体"/>
          <w:color w:val="auto"/>
        </w:rPr>
        <w:t>3．合同期内协助签约单位共同争创上海市平安单位、上海市安全文明校园、文明单位等其他相关称号的评选。</w:t>
      </w:r>
    </w:p>
    <w:p w14:paraId="24D9E68C">
      <w:pPr>
        <w:spacing w:line="360" w:lineRule="auto"/>
        <w:rPr>
          <w:rFonts w:hint="eastAsia" w:ascii="宋体" w:hAnsi="宋体" w:eastAsia="宋体" w:cs="宋体"/>
          <w:color w:val="auto"/>
        </w:rPr>
      </w:pPr>
      <w:r>
        <w:rPr>
          <w:rFonts w:hint="eastAsia" w:ascii="宋体" w:hAnsi="宋体" w:eastAsia="宋体" w:cs="宋体"/>
          <w:color w:val="auto"/>
        </w:rPr>
        <w:t>（二）分项管理目标：</w:t>
      </w:r>
    </w:p>
    <w:tbl>
      <w:tblPr>
        <w:tblStyle w:val="3"/>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2"/>
        <w:gridCol w:w="2303"/>
        <w:gridCol w:w="1355"/>
        <w:gridCol w:w="4989"/>
      </w:tblGrid>
      <w:tr w14:paraId="478867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92" w:type="dxa"/>
            <w:tcBorders>
              <w:top w:val="single" w:color="auto" w:sz="12" w:space="0"/>
              <w:left w:val="single" w:color="auto" w:sz="12" w:space="0"/>
              <w:bottom w:val="single" w:color="auto" w:sz="4" w:space="0"/>
              <w:right w:val="single" w:color="auto" w:sz="4" w:space="0"/>
            </w:tcBorders>
            <w:noWrap w:val="0"/>
            <w:vAlign w:val="center"/>
          </w:tcPr>
          <w:p w14:paraId="537B2B0C">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序号</w:t>
            </w:r>
          </w:p>
        </w:tc>
        <w:tc>
          <w:tcPr>
            <w:tcW w:w="2303" w:type="dxa"/>
            <w:tcBorders>
              <w:top w:val="single" w:color="auto" w:sz="12" w:space="0"/>
              <w:left w:val="single" w:color="auto" w:sz="4" w:space="0"/>
              <w:bottom w:val="single" w:color="auto" w:sz="4" w:space="0"/>
              <w:right w:val="single" w:color="auto" w:sz="4" w:space="0"/>
            </w:tcBorders>
            <w:noWrap w:val="0"/>
            <w:vAlign w:val="center"/>
          </w:tcPr>
          <w:p w14:paraId="0799C87D">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指标名称</w:t>
            </w:r>
          </w:p>
        </w:tc>
        <w:tc>
          <w:tcPr>
            <w:tcW w:w="1355" w:type="dxa"/>
            <w:tcBorders>
              <w:top w:val="single" w:color="auto" w:sz="12" w:space="0"/>
              <w:left w:val="single" w:color="auto" w:sz="4" w:space="0"/>
              <w:bottom w:val="single" w:color="auto" w:sz="4" w:space="0"/>
              <w:right w:val="single" w:color="auto" w:sz="4" w:space="0"/>
            </w:tcBorders>
            <w:noWrap w:val="0"/>
            <w:vAlign w:val="center"/>
          </w:tcPr>
          <w:p w14:paraId="667F498F">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投标指标</w:t>
            </w:r>
          </w:p>
        </w:tc>
        <w:tc>
          <w:tcPr>
            <w:tcW w:w="4989" w:type="dxa"/>
            <w:tcBorders>
              <w:top w:val="single" w:color="auto" w:sz="12" w:space="0"/>
              <w:left w:val="single" w:color="auto" w:sz="4" w:space="0"/>
              <w:bottom w:val="single" w:color="auto" w:sz="4" w:space="0"/>
              <w:right w:val="single" w:color="auto" w:sz="12" w:space="0"/>
            </w:tcBorders>
            <w:noWrap w:val="0"/>
            <w:vAlign w:val="center"/>
          </w:tcPr>
          <w:p w14:paraId="0FD2500A">
            <w:pPr>
              <w:pStyle w:val="2"/>
              <w:spacing w:before="78" w:beforeLines="25" w:after="78" w:afterLines="25"/>
              <w:ind w:firstLine="0"/>
              <w:jc w:val="center"/>
              <w:rPr>
                <w:rFonts w:ascii="宋体" w:hAnsi="宋体" w:eastAsia="宋体"/>
                <w:b w:val="0"/>
                <w:bCs w:val="0"/>
                <w:color w:val="auto"/>
                <w:sz w:val="21"/>
              </w:rPr>
            </w:pPr>
            <w:r>
              <w:rPr>
                <w:rFonts w:hint="eastAsia" w:ascii="宋体" w:hAnsi="宋体" w:eastAsia="宋体"/>
                <w:b w:val="0"/>
                <w:bCs w:val="0"/>
                <w:color w:val="auto"/>
                <w:sz w:val="21"/>
              </w:rPr>
              <w:t>说   明</w:t>
            </w:r>
          </w:p>
        </w:tc>
      </w:tr>
      <w:tr w14:paraId="62EB9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5F011598">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1</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07E11CF9">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业主满意率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691C1830">
            <w:pPr>
              <w:pStyle w:val="2"/>
              <w:spacing w:before="78" w:beforeLines="25" w:after="78" w:afterLines="25"/>
              <w:ind w:left="0" w:leftChars="0" w:firstLine="0" w:firstLineChars="0"/>
              <w:jc w:val="both"/>
              <w:rPr>
                <w:rFonts w:ascii="宋体" w:hAnsi="宋体" w:eastAsia="宋体"/>
                <w:b w:val="0"/>
                <w:bCs w:val="0"/>
                <w:color w:val="auto"/>
                <w:sz w:val="21"/>
              </w:rPr>
            </w:pPr>
            <w:r>
              <w:rPr>
                <w:rFonts w:ascii="宋体" w:hAnsi="宋体" w:eastAsia="宋体"/>
                <w:b w:val="0"/>
                <w:bCs w:val="0"/>
                <w:color w:val="auto"/>
                <w:sz w:val="21"/>
              </w:rPr>
              <w:t>95%</w:t>
            </w:r>
            <w:r>
              <w:rPr>
                <w:rFonts w:hint="eastAsia" w:ascii="宋体" w:hAnsi="宋体" w:eastAsia="宋体"/>
                <w:b w:val="0"/>
                <w:bCs w:val="0"/>
                <w:color w:val="auto"/>
                <w:sz w:val="21"/>
              </w:rPr>
              <w:t>以上</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0106662E">
            <w:pPr>
              <w:pStyle w:val="2"/>
              <w:spacing w:before="78" w:beforeLines="25" w:after="78" w:afterLines="25"/>
              <w:ind w:left="0" w:leftChars="0" w:firstLine="0" w:firstLineChars="0"/>
              <w:rPr>
                <w:rFonts w:ascii="宋体" w:hAnsi="宋体" w:eastAsia="宋体"/>
                <w:b w:val="0"/>
                <w:bCs w:val="0"/>
                <w:color w:val="auto"/>
                <w:sz w:val="21"/>
              </w:rPr>
            </w:pPr>
            <w:r>
              <w:rPr>
                <w:rFonts w:hint="eastAsia" w:ascii="宋体" w:hAnsi="宋体" w:eastAsia="宋体"/>
                <w:b w:val="0"/>
                <w:bCs w:val="0"/>
                <w:color w:val="auto"/>
                <w:sz w:val="21"/>
              </w:rPr>
              <w:t>书面征询意见或邀请第三方进行满意率测评</w:t>
            </w:r>
          </w:p>
        </w:tc>
      </w:tr>
      <w:tr w14:paraId="001C10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4081B682">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2</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3CBBFFAE">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治安事故发生率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333F94AC">
            <w:pPr>
              <w:pStyle w:val="2"/>
              <w:spacing w:before="78" w:beforeLines="25" w:after="78" w:afterLines="25"/>
              <w:ind w:left="0" w:leftChars="0" w:firstLine="0" w:firstLineChars="0"/>
              <w:jc w:val="both"/>
              <w:rPr>
                <w:rFonts w:ascii="宋体" w:hAnsi="宋体" w:eastAsia="宋体"/>
                <w:b w:val="0"/>
                <w:bCs w:val="0"/>
                <w:color w:val="auto"/>
                <w:sz w:val="21"/>
              </w:rPr>
            </w:pPr>
            <w:r>
              <w:rPr>
                <w:rFonts w:ascii="宋体" w:hAnsi="宋体" w:eastAsia="宋体"/>
                <w:b w:val="0"/>
                <w:bCs w:val="0"/>
                <w:color w:val="auto"/>
                <w:sz w:val="21"/>
              </w:rPr>
              <w:t>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4ECDA3D1">
            <w:pPr>
              <w:pStyle w:val="2"/>
              <w:spacing w:before="78" w:beforeLines="25" w:after="78" w:afterLines="25"/>
              <w:ind w:left="0" w:leftChars="0" w:firstLine="0" w:firstLineChars="0"/>
              <w:rPr>
                <w:rFonts w:ascii="宋体" w:hAnsi="宋体" w:eastAsia="宋体"/>
                <w:b w:val="0"/>
                <w:bCs w:val="0"/>
                <w:color w:val="auto"/>
                <w:sz w:val="21"/>
              </w:rPr>
            </w:pPr>
            <w:r>
              <w:rPr>
                <w:rFonts w:hint="eastAsia" w:ascii="宋体" w:hAnsi="宋体" w:eastAsia="宋体"/>
                <w:b w:val="0"/>
                <w:bCs w:val="0"/>
                <w:color w:val="auto"/>
                <w:sz w:val="21"/>
              </w:rPr>
              <w:t>全年不能发生治安事故</w:t>
            </w:r>
          </w:p>
        </w:tc>
      </w:tr>
      <w:tr w14:paraId="2A3A61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53B8A440">
            <w:pPr>
              <w:pStyle w:val="2"/>
              <w:spacing w:before="78" w:beforeLines="25" w:after="78" w:afterLines="25"/>
              <w:ind w:left="0" w:leftChars="0" w:firstLine="0" w:firstLineChars="0"/>
              <w:jc w:val="both"/>
              <w:rPr>
                <w:rFonts w:hint="eastAsia" w:ascii="宋体" w:hAnsi="宋体" w:eastAsia="宋体"/>
                <w:b w:val="0"/>
                <w:bCs w:val="0"/>
                <w:color w:val="auto"/>
                <w:sz w:val="21"/>
              </w:rPr>
            </w:pPr>
            <w:r>
              <w:rPr>
                <w:rFonts w:hint="eastAsia" w:ascii="宋体" w:hAnsi="宋体" w:eastAsia="宋体"/>
                <w:b w:val="0"/>
                <w:bCs w:val="0"/>
                <w:color w:val="auto"/>
                <w:sz w:val="21"/>
              </w:rPr>
              <w:t>3</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26B5E041">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政治事故发生率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6205B617">
            <w:pPr>
              <w:pStyle w:val="2"/>
              <w:spacing w:before="78" w:beforeLines="25" w:after="78" w:afterLines="25"/>
              <w:ind w:left="0" w:leftChars="0" w:firstLine="0" w:firstLineChars="0"/>
              <w:jc w:val="both"/>
              <w:rPr>
                <w:rFonts w:ascii="宋体" w:hAnsi="宋体" w:eastAsia="宋体"/>
                <w:b w:val="0"/>
                <w:bCs w:val="0"/>
                <w:color w:val="auto"/>
                <w:sz w:val="21"/>
              </w:rPr>
            </w:pPr>
            <w:r>
              <w:rPr>
                <w:rFonts w:ascii="宋体" w:hAnsi="宋体" w:eastAsia="宋体"/>
                <w:b w:val="0"/>
                <w:bCs w:val="0"/>
                <w:color w:val="auto"/>
                <w:sz w:val="21"/>
              </w:rPr>
              <w:t>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4A9CDD7F">
            <w:pPr>
              <w:pStyle w:val="2"/>
              <w:spacing w:before="78" w:beforeLines="25" w:after="78" w:afterLines="25"/>
              <w:ind w:left="0" w:leftChars="0" w:firstLine="0" w:firstLineChars="0"/>
              <w:rPr>
                <w:rFonts w:ascii="宋体" w:hAnsi="宋体" w:eastAsia="宋体"/>
                <w:b w:val="0"/>
                <w:bCs w:val="0"/>
                <w:color w:val="auto"/>
                <w:sz w:val="21"/>
              </w:rPr>
            </w:pPr>
            <w:r>
              <w:rPr>
                <w:rFonts w:hint="eastAsia" w:ascii="宋体" w:hAnsi="宋体" w:eastAsia="宋体"/>
                <w:b w:val="0"/>
                <w:bCs w:val="0"/>
                <w:color w:val="auto"/>
                <w:sz w:val="21"/>
              </w:rPr>
              <w:t>不能发生泄密、反动事件</w:t>
            </w:r>
          </w:p>
        </w:tc>
      </w:tr>
      <w:tr w14:paraId="6A73A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70FD54A2">
            <w:pPr>
              <w:pStyle w:val="2"/>
              <w:spacing w:before="78" w:beforeLines="25" w:after="78" w:afterLines="25"/>
              <w:ind w:left="0" w:leftChars="0" w:firstLine="0" w:firstLineChars="0"/>
              <w:jc w:val="both"/>
              <w:rPr>
                <w:rFonts w:hint="eastAsia" w:ascii="宋体" w:hAnsi="宋体" w:eastAsia="宋体"/>
                <w:b w:val="0"/>
                <w:bCs w:val="0"/>
                <w:color w:val="auto"/>
                <w:sz w:val="21"/>
              </w:rPr>
            </w:pPr>
            <w:r>
              <w:rPr>
                <w:rFonts w:hint="eastAsia" w:ascii="宋体" w:hAnsi="宋体" w:eastAsia="宋体"/>
                <w:b w:val="0"/>
                <w:bCs w:val="0"/>
                <w:color w:val="auto"/>
                <w:sz w:val="21"/>
              </w:rPr>
              <w:t>4</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74AB75DC">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辖区内车辆事故</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76442057">
            <w:pPr>
              <w:pStyle w:val="2"/>
              <w:spacing w:before="78" w:beforeLines="25" w:after="78" w:afterLines="25"/>
              <w:ind w:left="0" w:leftChars="0" w:firstLine="0" w:firstLineChars="0"/>
              <w:jc w:val="both"/>
              <w:rPr>
                <w:rFonts w:ascii="宋体" w:hAnsi="宋体" w:eastAsia="宋体"/>
                <w:b w:val="0"/>
                <w:bCs w:val="0"/>
                <w:color w:val="auto"/>
                <w:sz w:val="21"/>
              </w:rPr>
            </w:pPr>
            <w:r>
              <w:rPr>
                <w:rFonts w:ascii="宋体" w:hAnsi="宋体" w:eastAsia="宋体"/>
                <w:b w:val="0"/>
                <w:bCs w:val="0"/>
                <w:color w:val="auto"/>
                <w:sz w:val="21"/>
              </w:rPr>
              <w:t>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01260934">
            <w:pPr>
              <w:pStyle w:val="2"/>
              <w:spacing w:before="78" w:beforeLines="25" w:after="78" w:afterLines="25"/>
              <w:ind w:left="0" w:leftChars="0" w:firstLine="0" w:firstLineChars="0"/>
              <w:rPr>
                <w:rFonts w:ascii="宋体" w:hAnsi="宋体" w:eastAsia="宋体"/>
                <w:b w:val="0"/>
                <w:bCs w:val="0"/>
                <w:color w:val="auto"/>
                <w:sz w:val="21"/>
              </w:rPr>
            </w:pPr>
            <w:r>
              <w:rPr>
                <w:rFonts w:hint="eastAsia" w:ascii="宋体" w:hAnsi="宋体" w:eastAsia="宋体"/>
                <w:b w:val="0"/>
                <w:bCs w:val="0"/>
                <w:color w:val="auto"/>
                <w:sz w:val="21"/>
              </w:rPr>
              <w:t>不能发生人为指挥失误造成事故</w:t>
            </w:r>
          </w:p>
        </w:tc>
      </w:tr>
      <w:tr w14:paraId="110F7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0321A203">
            <w:pPr>
              <w:pStyle w:val="2"/>
              <w:spacing w:before="78" w:beforeLines="25" w:after="78" w:afterLines="25"/>
              <w:ind w:left="0" w:leftChars="0" w:firstLine="0" w:firstLineChars="0"/>
              <w:jc w:val="both"/>
              <w:rPr>
                <w:rFonts w:hint="eastAsia" w:ascii="宋体" w:hAnsi="宋体" w:eastAsia="宋体"/>
                <w:b w:val="0"/>
                <w:bCs w:val="0"/>
                <w:color w:val="auto"/>
                <w:sz w:val="21"/>
              </w:rPr>
            </w:pPr>
            <w:r>
              <w:rPr>
                <w:rFonts w:hint="eastAsia" w:ascii="宋体" w:hAnsi="宋体" w:eastAsia="宋体"/>
                <w:b w:val="0"/>
                <w:bCs w:val="0"/>
                <w:color w:val="auto"/>
                <w:sz w:val="21"/>
              </w:rPr>
              <w:t>5</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5DD7407">
            <w:pPr>
              <w:spacing w:line="360" w:lineRule="auto"/>
              <w:jc w:val="both"/>
              <w:textAlignment w:val="center"/>
              <w:rPr>
                <w:rFonts w:hint="eastAsia" w:ascii="宋体" w:hAnsi="宋体" w:eastAsia="宋体"/>
                <w:b w:val="0"/>
                <w:bCs w:val="0"/>
                <w:color w:val="auto"/>
              </w:rPr>
            </w:pPr>
            <w:r>
              <w:rPr>
                <w:rFonts w:hint="eastAsia" w:ascii="宋体" w:hAnsi="宋体" w:eastAsia="宋体" w:cs="宋体"/>
                <w:b w:val="0"/>
                <w:bCs w:val="0"/>
                <w:lang w:bidi="ar"/>
              </w:rPr>
              <w:t>消防设备完好率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196BBBC8">
            <w:pPr>
              <w:spacing w:line="360" w:lineRule="auto"/>
              <w:jc w:val="both"/>
              <w:textAlignment w:val="center"/>
              <w:rPr>
                <w:rFonts w:ascii="宋体" w:hAnsi="宋体" w:eastAsia="宋体"/>
                <w:b w:val="0"/>
                <w:bCs w:val="0"/>
                <w:color w:val="auto"/>
              </w:rPr>
            </w:pPr>
            <w:r>
              <w:rPr>
                <w:rFonts w:hint="eastAsia" w:ascii="宋体" w:hAnsi="宋体" w:eastAsia="宋体" w:cs="宋体"/>
                <w:b w:val="0"/>
                <w:bCs w:val="0"/>
                <w:lang w:bidi="ar"/>
              </w:rPr>
              <w:t>100%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44F3FA1C">
            <w:pPr>
              <w:widowControl w:val="0"/>
              <w:kinsoku/>
              <w:autoSpaceDE/>
              <w:autoSpaceDN/>
              <w:adjustRightInd/>
              <w:snapToGrid/>
              <w:spacing w:line="400" w:lineRule="exact"/>
              <w:textAlignment w:val="center"/>
              <w:rPr>
                <w:rFonts w:hint="eastAsia" w:ascii="宋体" w:hAnsi="宋体" w:eastAsia="宋体"/>
                <w:b w:val="0"/>
                <w:bCs w:val="0"/>
                <w:color w:val="auto"/>
              </w:rPr>
            </w:pPr>
            <w:r>
              <w:rPr>
                <w:rFonts w:hint="eastAsia" w:ascii="宋体" w:hAnsi="宋体" w:eastAsia="宋体" w:cs="宋体"/>
                <w:b w:val="0"/>
                <w:bCs w:val="0"/>
                <w:lang w:bidi="ar"/>
              </w:rPr>
              <w:t>建立消防设施设备档案，定期巡视，并配合业主做好消防设施设备的维护和修理上报工作。</w:t>
            </w:r>
          </w:p>
        </w:tc>
      </w:tr>
      <w:tr w14:paraId="1BF6AB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117A6E93">
            <w:pPr>
              <w:pStyle w:val="2"/>
              <w:spacing w:before="78" w:beforeLines="25" w:after="78" w:afterLines="25"/>
              <w:ind w:left="0" w:leftChars="0" w:firstLine="0" w:firstLineChars="0"/>
              <w:jc w:val="both"/>
              <w:rPr>
                <w:rFonts w:hint="eastAsia" w:ascii="宋体" w:hAnsi="宋体" w:eastAsia="宋体"/>
                <w:b w:val="0"/>
                <w:bCs w:val="0"/>
                <w:color w:val="auto"/>
                <w:sz w:val="21"/>
              </w:rPr>
            </w:pPr>
            <w:r>
              <w:rPr>
                <w:rFonts w:hint="eastAsia" w:ascii="宋体" w:hAnsi="宋体" w:eastAsia="宋体"/>
                <w:b w:val="0"/>
                <w:bCs w:val="0"/>
                <w:color w:val="auto"/>
                <w:sz w:val="21"/>
              </w:rPr>
              <w:t>6</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6EE494BB">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应急事件处理及时率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6E8C4482">
            <w:pPr>
              <w:pStyle w:val="2"/>
              <w:spacing w:before="78" w:beforeLines="25" w:after="78" w:afterLines="25"/>
              <w:ind w:left="0" w:leftChars="0" w:firstLine="0" w:firstLineChars="0"/>
              <w:jc w:val="both"/>
              <w:rPr>
                <w:rFonts w:ascii="宋体" w:hAnsi="宋体" w:eastAsia="宋体"/>
                <w:b w:val="0"/>
                <w:bCs w:val="0"/>
                <w:color w:val="auto"/>
                <w:sz w:val="21"/>
              </w:rPr>
            </w:pPr>
            <w:r>
              <w:rPr>
                <w:rFonts w:ascii="宋体" w:hAnsi="宋体" w:eastAsia="宋体"/>
                <w:b w:val="0"/>
                <w:bCs w:val="0"/>
                <w:color w:val="auto"/>
                <w:sz w:val="21"/>
              </w:rPr>
              <w:t>100%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1FC2D9B1">
            <w:pPr>
              <w:pStyle w:val="2"/>
              <w:spacing w:before="78" w:beforeLines="25" w:after="78" w:afterLines="25"/>
              <w:ind w:left="0" w:leftChars="0" w:firstLine="0" w:firstLineChars="0"/>
              <w:rPr>
                <w:rFonts w:ascii="宋体" w:hAnsi="宋体" w:eastAsia="宋体"/>
                <w:b w:val="0"/>
                <w:bCs w:val="0"/>
                <w:color w:val="auto"/>
                <w:sz w:val="21"/>
              </w:rPr>
            </w:pPr>
            <w:r>
              <w:rPr>
                <w:rFonts w:hint="eastAsia" w:ascii="宋体" w:hAnsi="宋体" w:eastAsia="宋体"/>
                <w:b w:val="0"/>
                <w:bCs w:val="0"/>
                <w:color w:val="auto"/>
                <w:sz w:val="21"/>
              </w:rPr>
              <w:t>发生应急事件时，处置得当及时，有应急预案，防止事件扩大。</w:t>
            </w:r>
          </w:p>
        </w:tc>
      </w:tr>
      <w:tr w14:paraId="75CDDB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7809F4C2">
            <w:pPr>
              <w:pStyle w:val="2"/>
              <w:spacing w:before="78" w:beforeLines="25" w:after="78" w:afterLines="25"/>
              <w:ind w:left="0" w:leftChars="0" w:firstLine="0" w:firstLineChars="0"/>
              <w:jc w:val="both"/>
              <w:rPr>
                <w:rFonts w:hint="eastAsia" w:ascii="宋体" w:hAnsi="宋体" w:eastAsia="宋体"/>
                <w:b w:val="0"/>
                <w:bCs w:val="0"/>
                <w:color w:val="auto"/>
                <w:sz w:val="21"/>
              </w:rPr>
            </w:pPr>
            <w:r>
              <w:rPr>
                <w:rFonts w:hint="eastAsia" w:ascii="宋体" w:hAnsi="宋体" w:eastAsia="宋体"/>
                <w:b w:val="0"/>
                <w:bCs w:val="0"/>
                <w:color w:val="auto"/>
                <w:sz w:val="21"/>
              </w:rPr>
              <w:t>7</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0F2B3772">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安全检查合格率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3B3421D8">
            <w:pPr>
              <w:pStyle w:val="2"/>
              <w:spacing w:before="78" w:beforeLines="25" w:after="78" w:afterLines="25"/>
              <w:ind w:left="0" w:leftChars="0" w:firstLine="0" w:firstLineChars="0"/>
              <w:jc w:val="both"/>
              <w:rPr>
                <w:rFonts w:ascii="宋体" w:hAnsi="宋体" w:eastAsia="宋体"/>
                <w:b w:val="0"/>
                <w:bCs w:val="0"/>
                <w:color w:val="auto"/>
                <w:sz w:val="21"/>
              </w:rPr>
            </w:pPr>
            <w:r>
              <w:rPr>
                <w:rFonts w:ascii="宋体" w:hAnsi="宋体" w:eastAsia="宋体"/>
                <w:b w:val="0"/>
                <w:bCs w:val="0"/>
                <w:color w:val="auto"/>
                <w:sz w:val="21"/>
              </w:rPr>
              <w:t>100%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1901958D">
            <w:pPr>
              <w:pStyle w:val="2"/>
              <w:spacing w:before="78" w:beforeLines="25" w:after="78" w:afterLines="25"/>
              <w:ind w:left="0" w:leftChars="0" w:firstLine="0" w:firstLineChars="0"/>
              <w:rPr>
                <w:rFonts w:ascii="宋体" w:hAnsi="宋体" w:eastAsia="宋体"/>
                <w:b w:val="0"/>
                <w:bCs w:val="0"/>
                <w:color w:val="auto"/>
                <w:sz w:val="21"/>
              </w:rPr>
            </w:pPr>
            <w:r>
              <w:rPr>
                <w:rFonts w:hint="eastAsia" w:ascii="宋体" w:hAnsi="宋体" w:eastAsia="宋体"/>
                <w:b w:val="0"/>
                <w:bCs w:val="0"/>
                <w:color w:val="auto"/>
                <w:sz w:val="21"/>
              </w:rPr>
              <w:t>上级安全检查、节日安全检查必须达标，基础资料齐全、规范。</w:t>
            </w:r>
          </w:p>
        </w:tc>
      </w:tr>
      <w:tr w14:paraId="600907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7C59FDD4">
            <w:pPr>
              <w:pStyle w:val="2"/>
              <w:spacing w:before="78" w:beforeLines="25" w:after="78" w:afterLines="25"/>
              <w:ind w:left="0" w:leftChars="0" w:firstLine="0" w:firstLineChars="0"/>
              <w:jc w:val="both"/>
              <w:rPr>
                <w:rFonts w:hint="eastAsia" w:ascii="宋体" w:hAnsi="宋体" w:eastAsia="宋体"/>
                <w:b w:val="0"/>
                <w:bCs w:val="0"/>
                <w:color w:val="auto"/>
                <w:sz w:val="21"/>
              </w:rPr>
            </w:pPr>
            <w:r>
              <w:rPr>
                <w:rFonts w:hint="eastAsia" w:ascii="宋体" w:hAnsi="宋体" w:eastAsia="宋体"/>
                <w:b w:val="0"/>
                <w:bCs w:val="0"/>
                <w:color w:val="auto"/>
                <w:sz w:val="21"/>
              </w:rPr>
              <w:t>8</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6FD6FD06">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业主和客户有效投诉率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3ED4614B">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小于</w:t>
            </w:r>
            <w:r>
              <w:rPr>
                <w:rFonts w:ascii="宋体" w:hAnsi="宋体" w:eastAsia="宋体"/>
                <w:b w:val="0"/>
                <w:bCs w:val="0"/>
                <w:color w:val="auto"/>
                <w:sz w:val="21"/>
              </w:rPr>
              <w:t>0.1%</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2618C2E5">
            <w:pPr>
              <w:pStyle w:val="2"/>
              <w:spacing w:before="78" w:beforeLines="25" w:after="78" w:afterLines="25"/>
              <w:ind w:left="0" w:leftChars="0" w:firstLine="0" w:firstLineChars="0"/>
              <w:rPr>
                <w:rFonts w:ascii="宋体" w:hAnsi="宋体" w:eastAsia="宋体"/>
                <w:b w:val="0"/>
                <w:bCs w:val="0"/>
                <w:color w:val="auto"/>
                <w:sz w:val="21"/>
              </w:rPr>
            </w:pPr>
            <w:r>
              <w:rPr>
                <w:rFonts w:hint="eastAsia" w:ascii="宋体" w:hAnsi="宋体" w:eastAsia="宋体"/>
                <w:b w:val="0"/>
                <w:bCs w:val="0"/>
                <w:color w:val="auto"/>
                <w:sz w:val="21"/>
              </w:rPr>
              <w:t>减少投诉，方便业主和社会办事人员</w:t>
            </w:r>
          </w:p>
        </w:tc>
      </w:tr>
      <w:tr w14:paraId="5B429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12" w:space="0"/>
              <w:right w:val="single" w:color="auto" w:sz="4" w:space="0"/>
            </w:tcBorders>
            <w:noWrap w:val="0"/>
            <w:vAlign w:val="center"/>
          </w:tcPr>
          <w:p w14:paraId="0C3DEF6C">
            <w:pPr>
              <w:pStyle w:val="2"/>
              <w:spacing w:before="78" w:beforeLines="25" w:after="78" w:afterLines="25"/>
              <w:ind w:left="0" w:leftChars="0" w:firstLine="0" w:firstLineChars="0"/>
              <w:jc w:val="both"/>
              <w:rPr>
                <w:rFonts w:hint="eastAsia" w:ascii="宋体" w:hAnsi="宋体" w:eastAsia="宋体"/>
                <w:b w:val="0"/>
                <w:bCs w:val="0"/>
                <w:color w:val="auto"/>
                <w:sz w:val="21"/>
              </w:rPr>
            </w:pPr>
            <w:r>
              <w:rPr>
                <w:rFonts w:hint="eastAsia" w:ascii="宋体" w:hAnsi="宋体" w:eastAsia="宋体"/>
                <w:b w:val="0"/>
                <w:bCs w:val="0"/>
                <w:color w:val="auto"/>
                <w:sz w:val="21"/>
              </w:rPr>
              <w:t>9</w:t>
            </w:r>
          </w:p>
        </w:tc>
        <w:tc>
          <w:tcPr>
            <w:tcW w:w="2303" w:type="dxa"/>
            <w:tcBorders>
              <w:top w:val="single" w:color="auto" w:sz="4" w:space="0"/>
              <w:left w:val="single" w:color="auto" w:sz="4" w:space="0"/>
              <w:bottom w:val="single" w:color="auto" w:sz="12" w:space="0"/>
              <w:right w:val="single" w:color="auto" w:sz="4" w:space="0"/>
            </w:tcBorders>
            <w:noWrap w:val="0"/>
            <w:vAlign w:val="center"/>
          </w:tcPr>
          <w:p w14:paraId="63672D94">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各种保安人员持证上岗率</w:t>
            </w:r>
          </w:p>
        </w:tc>
        <w:tc>
          <w:tcPr>
            <w:tcW w:w="1355" w:type="dxa"/>
            <w:tcBorders>
              <w:top w:val="single" w:color="auto" w:sz="4" w:space="0"/>
              <w:left w:val="single" w:color="auto" w:sz="4" w:space="0"/>
              <w:bottom w:val="single" w:color="auto" w:sz="12" w:space="0"/>
              <w:right w:val="single" w:color="auto" w:sz="4" w:space="0"/>
            </w:tcBorders>
            <w:noWrap w:val="0"/>
            <w:vAlign w:val="center"/>
          </w:tcPr>
          <w:p w14:paraId="12F33F4C">
            <w:pPr>
              <w:pStyle w:val="2"/>
              <w:spacing w:before="78" w:beforeLines="25" w:after="78" w:afterLines="25"/>
              <w:ind w:left="0" w:leftChars="0" w:firstLine="0" w:firstLineChars="0"/>
              <w:jc w:val="both"/>
              <w:rPr>
                <w:rFonts w:ascii="宋体" w:hAnsi="宋体" w:eastAsia="宋体"/>
                <w:b w:val="0"/>
                <w:bCs w:val="0"/>
                <w:color w:val="auto"/>
                <w:sz w:val="21"/>
              </w:rPr>
            </w:pPr>
            <w:r>
              <w:rPr>
                <w:rFonts w:hint="eastAsia" w:ascii="宋体" w:hAnsi="宋体" w:eastAsia="宋体"/>
                <w:b w:val="0"/>
                <w:bCs w:val="0"/>
                <w:color w:val="auto"/>
                <w:sz w:val="21"/>
              </w:rPr>
              <w:t>100%</w:t>
            </w:r>
          </w:p>
        </w:tc>
        <w:tc>
          <w:tcPr>
            <w:tcW w:w="4989" w:type="dxa"/>
            <w:tcBorders>
              <w:top w:val="single" w:color="auto" w:sz="4" w:space="0"/>
              <w:left w:val="single" w:color="auto" w:sz="4" w:space="0"/>
              <w:bottom w:val="single" w:color="auto" w:sz="12" w:space="0"/>
              <w:right w:val="single" w:color="auto" w:sz="12" w:space="0"/>
            </w:tcBorders>
            <w:noWrap w:val="0"/>
            <w:vAlign w:val="center"/>
          </w:tcPr>
          <w:p w14:paraId="18120FDE">
            <w:pPr>
              <w:pStyle w:val="2"/>
              <w:spacing w:before="78" w:beforeLines="25" w:after="78" w:afterLines="25"/>
              <w:ind w:left="0" w:leftChars="0" w:firstLine="0" w:firstLineChars="0"/>
              <w:rPr>
                <w:rFonts w:ascii="宋体" w:hAnsi="宋体" w:eastAsia="宋体"/>
                <w:b w:val="0"/>
                <w:bCs w:val="0"/>
                <w:color w:val="auto"/>
                <w:sz w:val="21"/>
              </w:rPr>
            </w:pPr>
            <w:r>
              <w:rPr>
                <w:rFonts w:hint="eastAsia" w:ascii="宋体" w:hAnsi="宋体" w:eastAsia="宋体"/>
                <w:b w:val="0"/>
                <w:bCs w:val="0"/>
                <w:color w:val="auto"/>
                <w:sz w:val="21"/>
              </w:rPr>
              <w:t>各种保安人员上岗前须经专业培训，做到持证上岗。</w:t>
            </w:r>
          </w:p>
        </w:tc>
      </w:tr>
    </w:tbl>
    <w:p w14:paraId="226B5163">
      <w:pPr>
        <w:spacing w:before="312" w:beforeLines="100" w:line="48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（三）服务管理质量及相关承诺要求：</w:t>
      </w:r>
    </w:p>
    <w:p w14:paraId="64375591">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1．投标方应当按照保安管理目标进行全方位的安全管理和服务。</w:t>
      </w:r>
    </w:p>
    <w:p w14:paraId="2A29D729">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2．投标方应当建立较为完善的管理制度体系，包括：安全质量管理、档案管理、人员管理、保密管理、物资管理、岗位管理等制度。</w:t>
      </w:r>
    </w:p>
    <w:p w14:paraId="0D503B37">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3．投标方应当写明具体岗位职责内容及对应的服务标准，包括保安主管（经理）、保安员岗位职责。</w:t>
      </w:r>
    </w:p>
    <w:p w14:paraId="784A15A8">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4．投标方应当在投标文件中写明具体岗位管理制度内容，包括：门卫，巡逻管理，监控中心管理，车辆管理，消防管理等岗位的管理办法、值班管理制度、人员奖惩制度、档案管理制度等。要求责任落实到人，现场必须有人牵头负责。</w:t>
      </w:r>
    </w:p>
    <w:p w14:paraId="73B9C287">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5．投标方应当建立应急预案，包括：火警应急处理措施、殴斗应急处理措施、交通意外应急处理措施、非法侵入应急处理措施、盗窃应急处理措施、可疑物品应急处理措施、拾</w:t>
      </w:r>
      <w:r>
        <w:rPr>
          <w:rFonts w:hint="eastAsia" w:ascii="宋体" w:hAnsi="宋体" w:cs="宋体"/>
          <w:b w:val="0"/>
          <w:bCs w:val="0"/>
          <w:color w:val="FF0000"/>
          <w:lang w:val="en-US" w:eastAsia="zh-CN"/>
        </w:rPr>
        <w:drawing>
          <wp:anchor distT="0" distB="0" distL="114300" distR="114300" simplePos="0" relativeHeight="251661312" behindDoc="1" locked="0" layoutInCell="1" allowOverlap="1">
            <wp:simplePos x="0" y="0"/>
            <wp:positionH relativeFrom="column">
              <wp:posOffset>244475</wp:posOffset>
            </wp:positionH>
            <wp:positionV relativeFrom="paragraph">
              <wp:posOffset>279400</wp:posOffset>
            </wp:positionV>
            <wp:extent cx="247650" cy="290195"/>
            <wp:effectExtent l="0" t="0" r="0" b="14605"/>
            <wp:wrapNone/>
            <wp:docPr id="3" name="图片 3" descr="游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游行"/>
                    <pic:cNvPicPr>
                      <a:picLocks noChangeAspect="1"/>
                    </pic:cNvPicPr>
                  </pic:nvPicPr>
                  <pic:blipFill>
                    <a:blip r:embed="rId4"/>
                    <a:stretch>
                      <a:fillRect/>
                    </a:stretch>
                  </pic:blipFill>
                  <pic:spPr>
                    <a:xfrm>
                      <a:off x="0" y="0"/>
                      <a:ext cx="247650" cy="290195"/>
                    </a:xfrm>
                    <a:prstGeom prst="rect">
                      <a:avLst/>
                    </a:prstGeom>
                  </pic:spPr>
                </pic:pic>
              </a:graphicData>
            </a:graphic>
          </wp:anchor>
        </w:drawing>
      </w:r>
      <w:r>
        <w:rPr>
          <w:rFonts w:hint="eastAsia" w:ascii="宋体" w:hAnsi="宋体" w:cs="宋体"/>
          <w:b w:val="0"/>
          <w:bCs w:val="0"/>
          <w:color w:val="FF0000"/>
          <w:lang w:val="en-US" w:eastAsia="zh-CN"/>
        </w:rPr>
        <w:drawing>
          <wp:anchor distT="0" distB="0" distL="114300" distR="114300" simplePos="0" relativeHeight="251660288" behindDoc="1" locked="0" layoutInCell="1" allowOverlap="1">
            <wp:simplePos x="0" y="0"/>
            <wp:positionH relativeFrom="column">
              <wp:posOffset>3691255</wp:posOffset>
            </wp:positionH>
            <wp:positionV relativeFrom="paragraph">
              <wp:posOffset>-5715</wp:posOffset>
            </wp:positionV>
            <wp:extent cx="274320" cy="318770"/>
            <wp:effectExtent l="0" t="0" r="11430" b="5080"/>
            <wp:wrapNone/>
            <wp:docPr id="2" name="图片 2" descr="上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上访"/>
                    <pic:cNvPicPr>
                      <a:picLocks noChangeAspect="1"/>
                    </pic:cNvPicPr>
                  </pic:nvPicPr>
                  <pic:blipFill>
                    <a:blip r:embed="rId5"/>
                    <a:stretch>
                      <a:fillRect/>
                    </a:stretch>
                  </pic:blipFill>
                  <pic:spPr>
                    <a:xfrm>
                      <a:off x="0" y="0"/>
                      <a:ext cx="274320" cy="318770"/>
                    </a:xfrm>
                    <a:prstGeom prst="rect">
                      <a:avLst/>
                    </a:prstGeom>
                  </pic:spPr>
                </pic:pic>
              </a:graphicData>
            </a:graphic>
          </wp:anchor>
        </w:drawing>
      </w:r>
      <w:r>
        <w:rPr>
          <w:rFonts w:hint="eastAsia" w:ascii="宋体" w:hAnsi="宋体" w:cs="宋体"/>
          <w:b w:val="0"/>
          <w:bCs w:val="0"/>
          <w:color w:val="FF0000"/>
          <w:lang w:val="en-US" w:eastAsia="zh-CN"/>
        </w:rPr>
        <w:drawing>
          <wp:anchor distT="0" distB="0" distL="114300" distR="114300" simplePos="0" relativeHeight="251659264" behindDoc="1" locked="0" layoutInCell="1" allowOverlap="1">
            <wp:simplePos x="0" y="0"/>
            <wp:positionH relativeFrom="column">
              <wp:posOffset>4878705</wp:posOffset>
            </wp:positionH>
            <wp:positionV relativeFrom="paragraph">
              <wp:posOffset>-2540</wp:posOffset>
            </wp:positionV>
            <wp:extent cx="273050" cy="299720"/>
            <wp:effectExtent l="0" t="0" r="12700" b="5080"/>
            <wp:wrapNone/>
            <wp:docPr id="1" name="图片 1" descr="集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集会"/>
                    <pic:cNvPicPr>
                      <a:picLocks noChangeAspect="1"/>
                    </pic:cNvPicPr>
                  </pic:nvPicPr>
                  <pic:blipFill>
                    <a:blip r:embed="rId6"/>
                    <a:stretch>
                      <a:fillRect/>
                    </a:stretch>
                  </pic:blipFill>
                  <pic:spPr>
                    <a:xfrm>
                      <a:off x="0" y="0"/>
                      <a:ext cx="273050" cy="299720"/>
                    </a:xfrm>
                    <a:prstGeom prst="rect">
                      <a:avLst/>
                    </a:prstGeom>
                  </pic:spPr>
                </pic:pic>
              </a:graphicData>
            </a:graphic>
          </wp:anchor>
        </w:drawing>
      </w:r>
      <w:r>
        <w:rPr>
          <w:rFonts w:hint="eastAsia" w:ascii="宋体" w:hAnsi="宋体" w:eastAsia="宋体" w:cs="宋体"/>
          <w:b w:val="0"/>
          <w:bCs w:val="0"/>
          <w:color w:val="FF0000"/>
        </w:rPr>
        <w:t>获财物处理措施、客户意外及伤害应急处理措施、闹访、集访、</w:t>
      </w:r>
      <w:r>
        <w:rPr>
          <w:rFonts w:hint="eastAsia" w:ascii="宋体" w:hAnsi="宋体" w:cs="宋体"/>
          <w:b w:val="0"/>
          <w:bCs w:val="0"/>
          <w:color w:val="FF0000"/>
          <w:lang w:val="en-US" w:eastAsia="zh-CN"/>
        </w:rPr>
        <w:t xml:space="preserve">    </w:t>
      </w:r>
      <w:r>
        <w:rPr>
          <w:rFonts w:hint="eastAsia" w:ascii="宋体" w:hAnsi="宋体" w:eastAsia="宋体" w:cs="宋体"/>
          <w:b w:val="0"/>
          <w:bCs w:val="0"/>
          <w:color w:val="FF0000"/>
        </w:rPr>
        <w:t>应急处理措施、</w:t>
      </w:r>
      <w:r>
        <w:rPr>
          <w:rFonts w:hint="eastAsia" w:ascii="宋体" w:hAnsi="宋体" w:cs="宋体"/>
          <w:b w:val="0"/>
          <w:bCs w:val="0"/>
          <w:color w:val="FF0000"/>
          <w:lang w:val="en-US" w:eastAsia="zh-CN"/>
        </w:rPr>
        <w:t xml:space="preserve">   </w:t>
      </w:r>
      <w:r>
        <w:rPr>
          <w:rFonts w:hint="eastAsia" w:ascii="宋体" w:hAnsi="宋体" w:eastAsia="宋体" w:cs="宋体"/>
          <w:b w:val="0"/>
          <w:bCs w:val="0"/>
          <w:color w:val="FF0000"/>
        </w:rPr>
        <w:t>、非法</w:t>
      </w:r>
      <w:r>
        <w:rPr>
          <w:rFonts w:hint="eastAsia" w:ascii="宋体" w:hAnsi="宋体" w:cs="宋体"/>
          <w:b w:val="0"/>
          <w:bCs w:val="0"/>
          <w:color w:val="FF0000"/>
          <w:lang w:val="en-US" w:eastAsia="zh-CN"/>
        </w:rPr>
        <w:t xml:space="preserve">    </w:t>
      </w:r>
      <w:r>
        <w:rPr>
          <w:rFonts w:hint="eastAsia" w:ascii="宋体" w:hAnsi="宋体" w:eastAsia="宋体" w:cs="宋体"/>
          <w:b w:val="0"/>
          <w:bCs w:val="0"/>
          <w:color w:val="FF0000"/>
        </w:rPr>
        <w:t>应急处理措施、爆炸应急处理措施、其他安全应急处理措施。</w:t>
      </w:r>
    </w:p>
    <w:p w14:paraId="6B0671E1">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6．投标方应当承诺在中标服务期中定期开展人员培训，提高业务技能，安排应急演练等项目培训，以增强安全工作意识和技能。</w:t>
      </w:r>
    </w:p>
    <w:p w14:paraId="5A99AE6E">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7．投标方应当建立消防值班制度，定期巡视，并配合业主做好消防设施设备的维护和修理上报工作，设备完好率应达到100%以上</w:t>
      </w:r>
      <w:r>
        <w:rPr>
          <w:rFonts w:hint="eastAsia" w:ascii="宋体" w:hAnsi="宋体" w:eastAsia="宋体"/>
          <w:b w:val="0"/>
          <w:bCs w:val="0"/>
          <w:color w:val="FF0000"/>
        </w:rPr>
        <w:t>。</w:t>
      </w:r>
      <w:bookmarkStart w:id="0" w:name="_GoBack"/>
      <w:bookmarkEnd w:id="0"/>
    </w:p>
    <w:p w14:paraId="4F1913AF">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8．投标方应当在投标文件中写明人员管理考核方案，方案中应包括详细的日常人员管理考核办法、确保人员稳定的措施等内容；岗位的月流动率≤3%。</w:t>
      </w:r>
    </w:p>
    <w:p w14:paraId="569755AF">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9．人员要求：</w:t>
      </w:r>
    </w:p>
    <w:p w14:paraId="61263C6A">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（1）投标方应当按专业化要求配置保安人员，并按照国家有关规定取得相应的上岗证书，持证率100%；涉及消防设施操作的，应提供满足要求的专业人员。</w:t>
      </w:r>
    </w:p>
    <w:p w14:paraId="6797763A">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（2）投标方应当在投标文件中提供人员招录管理方案，方案中应当列出人员招录途径，新老人员配比组成情况等内容；</w:t>
      </w:r>
    </w:p>
    <w:p w14:paraId="1E050C1A">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（3）投标方应当按照实际情况编制人员岗位配置及排班计划表。</w:t>
      </w:r>
    </w:p>
    <w:p w14:paraId="217046C9">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（4）投标方应当在投标文件中提供员工培训方案（包括年度、季度、月度）；一旦中标，投标方应当将详细的培训方案递交至业主方以供备案。</w:t>
      </w:r>
    </w:p>
    <w:p w14:paraId="33FC0B27">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（5）投标方应当在投标文件中写明人员管理考核方案，方案中应包括详细的日常人员管理考核办法、确保人员稳定的措施等内容。</w:t>
      </w:r>
    </w:p>
    <w:p w14:paraId="0F7C2714">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（6）着装要求：投标方应当按照有关规定为保安人员配备保安制服（按季节配备），保安制服应包括背心、帽子、皮带、皮鞋、肩章、袖标等；上岗时须统一着装，并统一佩戴胸牌，服饰保持整洁，仪表端庄。</w:t>
      </w:r>
    </w:p>
    <w:p w14:paraId="5EA51084">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（7）上岗要求：保安人员上岗时应做到服务周到热情，态度主动积极，用语文明规范须统一。</w:t>
      </w:r>
    </w:p>
    <w:p w14:paraId="5C70E6F2">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 xml:space="preserve">（8）投标人应承诺中标后，按照《上海市中小学、幼儿园保安员护校执勤工作规范（试行）》文件要求，所有的服务人员均须参加公安部门组织的校园保安岗位专业轮训考评，通过“心理健康测评”项目，体能达标、考评合格，且在保安员电子证照（IC卡）中获得认证后方能上岗。 </w:t>
      </w:r>
    </w:p>
    <w:p w14:paraId="6A42CC8D">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10．装备要求：投标方应按上级相关部门要求，为服务单位配备必要的装备及器械。</w:t>
      </w:r>
    </w:p>
    <w:p w14:paraId="1E777B74">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11．投标方应当建立客户投诉处理机制，明确事故发生的责任界定等内容；并承诺24小时内予以处理或回复，确保件件有处理结果并有详细记录，投诉人签字满意率大于95％。</w:t>
      </w:r>
    </w:p>
    <w:p w14:paraId="565BDF29">
      <w:pPr>
        <w:spacing w:line="360" w:lineRule="auto"/>
        <w:ind w:firstLine="420" w:firstLineChars="200"/>
        <w:rPr>
          <w:rFonts w:ascii="宋体" w:hAnsi="宋体" w:eastAsia="宋体"/>
          <w:b w:val="0"/>
          <w:bCs w:val="0"/>
          <w:color w:val="FF0000"/>
        </w:rPr>
      </w:pPr>
      <w:r>
        <w:rPr>
          <w:rFonts w:hint="eastAsia" w:ascii="宋体" w:hAnsi="宋体" w:eastAsia="宋体"/>
          <w:b w:val="0"/>
          <w:bCs w:val="0"/>
          <w:color w:val="FF0000"/>
        </w:rPr>
        <w:t>12．投标方应当提供满意度测评方案、并承诺保证每年至少一次征询客户关于安全管理的意见，并针对业主集中反映的问题采取整改措施，使满意率达到95％以上。（满意度测评表格式详见附件）</w:t>
      </w:r>
    </w:p>
    <w:p w14:paraId="126A2E25">
      <w:pPr>
        <w:spacing w:line="360" w:lineRule="auto"/>
        <w:ind w:firstLine="420" w:firstLineChars="200"/>
        <w:rPr>
          <w:rFonts w:hint="eastAsia" w:ascii="宋体" w:hAnsi="宋体" w:eastAsia="宋体"/>
          <w:b w:val="0"/>
          <w:bCs w:val="0"/>
          <w:color w:val="FF0000"/>
        </w:rPr>
      </w:pPr>
      <w:r>
        <w:rPr>
          <w:rFonts w:ascii="宋体" w:hAnsi="宋体" w:eastAsia="宋体"/>
          <w:b w:val="0"/>
          <w:bCs w:val="0"/>
          <w:color w:val="FF0000"/>
        </w:rPr>
        <w:t>13</w:t>
      </w:r>
      <w:r>
        <w:rPr>
          <w:rFonts w:hint="eastAsia" w:ascii="宋体" w:hAnsi="宋体" w:eastAsia="宋体"/>
          <w:b w:val="0"/>
          <w:bCs w:val="0"/>
          <w:color w:val="FF0000"/>
        </w:rPr>
        <w:t>.投标人须承诺：如中标，在本项目合同签订前提供“雇主责任险”、“意外险”险种购买证明。</w:t>
      </w:r>
    </w:p>
    <w:p w14:paraId="62B04398">
      <w:pPr>
        <w:spacing w:line="360" w:lineRule="auto"/>
        <w:ind w:firstLine="420" w:firstLineChars="200"/>
        <w:rPr>
          <w:rFonts w:hint="eastAsia" w:ascii="宋体" w:hAnsi="宋体" w:eastAsia="宋体" w:cs="宋体"/>
          <w:b w:val="0"/>
          <w:bCs w:val="0"/>
          <w:color w:val="FF0000"/>
        </w:rPr>
      </w:pPr>
      <w:r>
        <w:rPr>
          <w:rFonts w:hint="eastAsia" w:ascii="宋体" w:hAnsi="宋体" w:eastAsia="宋体" w:cs="宋体"/>
          <w:b w:val="0"/>
          <w:bCs w:val="0"/>
          <w:color w:val="FF0000"/>
        </w:rPr>
        <w:t>14.投标人须承诺本项目中所投服务人员的员工薪资、社保、公积金、加班费、各类津贴等，均符合《中华人民共和国劳动法》、上海市人力资源和社会保障局相关规定等最新国家及地方相关法律法规，以及所属行业基本标准。因薪酬待遇、用工不规范等相关问题产生的争议纠纷或法律问题，均由投标人承担相应法律责任。</w:t>
      </w:r>
    </w:p>
    <w:p w14:paraId="2E8C6B41">
      <w:pPr>
        <w:spacing w:line="360" w:lineRule="auto"/>
        <w:ind w:firstLine="422" w:firstLineChars="200"/>
        <w:rPr>
          <w:rFonts w:hint="eastAsia" w:ascii="宋体" w:hAnsi="宋体" w:eastAsia="宋体" w:cs="宋体"/>
          <w:b/>
          <w:color w:val="FF0000"/>
        </w:rPr>
      </w:pPr>
      <w:r>
        <w:rPr>
          <w:rFonts w:hint="eastAsia" w:ascii="宋体" w:hAnsi="宋体" w:eastAsia="宋体"/>
          <w:b/>
          <w:bCs/>
          <w:color w:val="FF0000"/>
        </w:rPr>
        <w:t>★</w:t>
      </w:r>
      <w:r>
        <w:rPr>
          <w:rFonts w:hint="eastAsia" w:ascii="宋体" w:hAnsi="宋体" w:eastAsia="宋体" w:cs="宋体"/>
          <w:b/>
          <w:color w:val="FF0000"/>
        </w:rPr>
        <w:t>注：以上第1条～第14条款要求投标方须在投标文件中加以体现或予以承诺，若服务方案、管理制度、相关承诺出现严重不符的，将作为废标处理。</w:t>
      </w:r>
    </w:p>
    <w:p w14:paraId="734B8102">
      <w:pPr>
        <w:spacing w:line="360" w:lineRule="auto"/>
        <w:ind w:firstLine="420" w:firstLineChars="200"/>
        <w:jc w:val="left"/>
        <w:rPr>
          <w:rFonts w:hint="eastAsia" w:ascii="宋体" w:hAnsi="宋体" w:eastAsia="宋体" w:cs="宋体"/>
          <w:sz w:val="21"/>
          <w:szCs w:val="21"/>
        </w:rPr>
      </w:pPr>
    </w:p>
    <w:p w14:paraId="419920C0">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五、其他相关事项说明</w:t>
      </w:r>
    </w:p>
    <w:p w14:paraId="2962D122">
      <w:pP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（一）鉴于上海市长宁区教育系统校园保安服务管理的特殊性，各投标方应注意以下内容：</w:t>
      </w:r>
    </w:p>
    <w:p w14:paraId="02B03888">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★1．本项目投标人应当遵守以下安全、保密义务：</w:t>
      </w:r>
    </w:p>
    <w:p w14:paraId="18871DCF">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（1）所有招标资料全部为保密资料，需遵守保密要求，不得外传复印。各投标单位需签署保密承诺函。</w:t>
      </w:r>
    </w:p>
    <w:p w14:paraId="09F5356F">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（2）为了本项目服务对象（即业主方）的安全、保密义务必须按业主方有关的保密要求执行特殊的管理措施。</w:t>
      </w:r>
    </w:p>
    <w:p w14:paraId="6543CBF0">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注：投标单位应根据以上提示内容编写方案，并作出相应承诺。</w:t>
      </w:r>
    </w:p>
    <w:p w14:paraId="642596AD">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保安服务管理档案作为保安服务管理服务期（合同期）内的重要记载，应根据实际情况真实记录，书面归档，并能全面、客观反应管理期内的情况。保安服务管理档案应在管理服务期结束后完整的提交给业主方，保安服务管理方有义务协助业主方或在业主方的指导下对其他档案或资料进行收集整理。</w:t>
      </w:r>
    </w:p>
    <w:p w14:paraId="2570460A">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3．保安服务管理方应根据管理的实际情况，每月提交工作报告。</w:t>
      </w:r>
    </w:p>
    <w:p w14:paraId="0EBF6622">
      <w:pPr>
        <w:spacing w:line="360" w:lineRule="auto"/>
        <w:ind w:firstLine="420" w:firstLineChars="200"/>
        <w:rPr>
          <w:rFonts w:hint="eastAsia" w:ascii="宋体" w:hAnsi="宋体" w:eastAsia="宋体"/>
          <w:color w:val="auto"/>
        </w:rPr>
      </w:pPr>
      <w:r>
        <w:rPr>
          <w:rFonts w:hint="eastAsia" w:ascii="宋体" w:hAnsi="宋体" w:eastAsia="宋体"/>
          <w:color w:val="auto"/>
        </w:rPr>
        <w:t>4．保安服务管理方选用的有关保安专用工具、设备及其他消耗材料的采购及仓库保管、领用制度应得到业主方认可，业主方对此项享有监督管理权并保留对此项的指定采购权利。</w:t>
      </w:r>
    </w:p>
    <w:p w14:paraId="6D39156E">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5．针对服务对象的特殊性，投标单位可以提出其它特色服务的设想及建议。</w:t>
      </w:r>
    </w:p>
    <w:p w14:paraId="0499355F">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投标单位应认真踏勘现场，熟悉服务现场及周围地形，交通道路等情况，以获得一切可能影响投标报价的直接资料。投标单位将一律视为已确认所有现场条件和预计到了可能发生的异常情况。投标单位中标后，不得以不了解或不完全了解现场为理由而提出额外费用，对有关这一类的要求，招标单位将不予考虑。</w:t>
      </w:r>
    </w:p>
    <w:p w14:paraId="133A556A">
      <w:pPr>
        <w:spacing w:line="360" w:lineRule="auto"/>
        <w:ind w:firstLine="420" w:firstLineChars="200"/>
        <w:rPr>
          <w:rFonts w:hint="eastAsia" w:ascii="宋体" w:hAnsi="宋体" w:eastAsia="宋体" w:cs="宋体"/>
          <w:b/>
          <w:bCs/>
          <w:color w:val="auto"/>
        </w:rPr>
      </w:pPr>
      <w:r>
        <w:rPr>
          <w:rFonts w:hint="eastAsia" w:ascii="宋体" w:hAnsi="宋体" w:eastAsia="宋体" w:cs="宋体"/>
          <w:color w:val="auto"/>
        </w:rPr>
        <w:t>7．投标单位为本项目配备的保安服务管理总负责人与各专业管理、技术负责人须承担过同类职位。特殊岗位的工作人员应具备相应的上岗证书，并将本项详细资料编入资格证明文件中。</w:t>
      </w:r>
    </w:p>
    <w:p w14:paraId="43CC3328">
      <w:pP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（二）服务管理方式</w:t>
      </w:r>
    </w:p>
    <w:p w14:paraId="3B612E25">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中标单位应根据《中华人民共和国民法典》、新颁布实施的《中华人民共和国保安服务条例》以及国家、省、市的有关法律、法规签订合同，进行统一管理、专业服务、自负盈亏。在保安服务管理期间内非经业主方同意，不得转包、分包保安服务管理内容和职责义务。</w:t>
      </w:r>
    </w:p>
    <w:p w14:paraId="719EC843">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 中标单位还应严格遵守以下文件要求提供本次服务：</w:t>
      </w:r>
    </w:p>
    <w:p w14:paraId="4D722A18">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（1）校园安全工作任务参考文件目录；</w:t>
      </w:r>
    </w:p>
    <w:p w14:paraId="3F4509A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（2）《企业事业单位内部治安保卫条例》(中华人民共和国国务院令第421号)；</w:t>
      </w:r>
    </w:p>
    <w:p w14:paraId="4485A84D">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（3）《保安服务管理条例》(中华人民共和国国务院令第564号)；</w:t>
      </w:r>
    </w:p>
    <w:p w14:paraId="6E5DA270">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（4）中央社会治安综合治理委员会办公室、教育部、公安部关于进一步加强学校幼儿园安全防范工作建立健全长效工作机制的意见；</w:t>
      </w:r>
    </w:p>
    <w:p w14:paraId="695488CB">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（5）《公安部办公厅教育部办公厅关于印发〈中小学幼儿园安全防范工作规范（试行）〉的通知》（公治〔2015〕168号）；</w:t>
      </w:r>
    </w:p>
    <w:p w14:paraId="1C3002C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（6）《关于本市加强中小学幼儿园安全风险防控体系建设的实施意见》（沪府办规〔2019〕2号）；</w:t>
      </w:r>
    </w:p>
    <w:p w14:paraId="109338EA">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（7）公安部、教育部《加快推动全国中小学幼儿园安全防范建设三年行动计划》（公通字[2019]27号）；</w:t>
      </w:r>
    </w:p>
    <w:p w14:paraId="6118849B">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（8）上海市地方标准《重点单位重要部位安全技术防范系统要求第6部分:中小学、幼儿图、托幼机构》；</w:t>
      </w:r>
    </w:p>
    <w:p w14:paraId="603B0394">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（9）《关于印发&lt;上海市中小学、幼儿园保安员护校执勤规范（试行）的通知》（沪公治通字[2021]25号）；</w:t>
      </w:r>
    </w:p>
    <w:p w14:paraId="68150723">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（10）其他与校园安保、安防等有关文件。</w:t>
      </w:r>
    </w:p>
    <w:p w14:paraId="318E242A">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★3．中标单位与业主单位签订的服务委托协议期限应以年度为单位（协议限期一年），不再另行增加各类费用。如业主单位有增减服务点及人员的变化，服务费按照中标人员单价另做调整。</w:t>
      </w:r>
    </w:p>
    <w:p w14:paraId="11480DCE">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注：投标单位应根据以上提示内容编写方案，并做出相应承诺。</w:t>
      </w:r>
    </w:p>
    <w:p w14:paraId="5DDACBC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中标单位应严格按照投标书和委托管理合同的约定进行保安服务管理（如：达不到规定要求，管理维护水平下降，业主单位投诉多或出现重大管理失误等），否则业主方有权终止委托管理合同，并进行财务审计，责任由中标单位负责。</w:t>
      </w:r>
    </w:p>
    <w:p w14:paraId="221DE4B1">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5．保安服务单位在聘用、任命、调整、调换、替换有关主要保安管理服务人员之前须征得业主方同意，业主方同时享有对有关保安管理服务人员指定调整、调换、替换的权利。</w:t>
      </w:r>
    </w:p>
    <w:p w14:paraId="325F96CE">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6.拟委派本项目的主要管理人员不得同时在其他保安服务项目中兼职。</w:t>
      </w:r>
    </w:p>
    <w:p w14:paraId="60731579">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7.保安服务单位投报的所有参与本项目保安管理服务的人数、职责、资质、人事费用等内容经业主方核准确认后在保安管理服务期内不作变动。保安服务单位自行承担任何少报，漏报而带来的经营风险。</w:t>
      </w:r>
    </w:p>
    <w:p w14:paraId="5D68E8E6">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8．中标方的投标书是合同的当然组成部分，合同约定中未详尽的保安服务单位的义务依中标方的投标书为据。</w:t>
      </w:r>
    </w:p>
    <w:p w14:paraId="6CD93CC6">
      <w:pPr>
        <w:spacing w:line="360" w:lineRule="auto"/>
        <w:ind w:firstLine="422" w:firstLineChars="200"/>
        <w:jc w:val="left"/>
        <w:rPr>
          <w:rFonts w:hint="eastAsia" w:ascii="宋体" w:hAnsi="宋体" w:eastAsia="宋体"/>
          <w:b/>
          <w:color w:val="FF0000"/>
        </w:rPr>
      </w:pPr>
      <w:r>
        <w:rPr>
          <w:rFonts w:hint="eastAsia" w:ascii="宋体" w:hAnsi="宋体" w:eastAsia="宋体"/>
          <w:b/>
          <w:color w:val="FF0000"/>
        </w:rPr>
        <w:t>注：上述★条款必须满足响应，否则将作为废标处理。</w:t>
      </w:r>
    </w:p>
    <w:p w14:paraId="34BF61CF">
      <w:pPr>
        <w:spacing w:line="360" w:lineRule="auto"/>
        <w:ind w:firstLine="422" w:firstLineChars="200"/>
        <w:jc w:val="left"/>
        <w:rPr>
          <w:rFonts w:hint="eastAsia" w:ascii="宋体" w:hAnsi="宋体" w:eastAsia="宋体"/>
          <w:b/>
          <w:color w:val="FF0000"/>
        </w:rPr>
      </w:pPr>
    </w:p>
    <w:p w14:paraId="793F4FE5">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lang w:val="en-US" w:eastAsia="zh-CN"/>
        </w:rPr>
        <w:t>六、</w:t>
      </w:r>
      <w:r>
        <w:rPr>
          <w:rFonts w:hint="eastAsia" w:ascii="宋体" w:hAnsi="宋体" w:eastAsia="宋体" w:cs="宋体"/>
          <w:b/>
          <w:sz w:val="21"/>
          <w:szCs w:val="21"/>
        </w:rPr>
        <w:t xml:space="preserve">其他要求： </w:t>
      </w:r>
    </w:p>
    <w:p w14:paraId="3A4287CA">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1、付款条件：按月支付。 </w:t>
      </w:r>
    </w:p>
    <w:p w14:paraId="4A6F9FF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2、验收标准：本项目由区教育局相关部门对中标单位服务进行验收。</w:t>
      </w:r>
    </w:p>
    <w:p w14:paraId="5CAB3BF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BF735E"/>
    <w:rsid w:val="38541D8B"/>
    <w:rsid w:val="588046B7"/>
    <w:rsid w:val="74BF7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napToGrid w:val="0"/>
      <w:ind w:firstLine="542" w:firstLineChars="225"/>
    </w:pPr>
    <w:rPr>
      <w:rFonts w:ascii="仿宋_GB2312" w:hAnsi="宋体"/>
      <w:b/>
      <w:bCs/>
      <w:color w:val="00000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2026-08-04T06:48:00Z</dcterms:created>
  <dc:creator>我只是路过的</dc:creator>
  <cp:lastModifiedBy>我只是路过的</cp:lastModifiedBy>
  <dcterms:modified xsi:type="dcterms:W3CDTF">2026-08-04T06:54:15Z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39298550C1FF467799C53CCDF7C5F4E5_11</vt:lpwstr>
  </property>
  <property fmtid="{D5CDD505-2E9C-101B-9397-08002B2CF9AE}" pid="4" name="KSOTemplateDocerSaveRecord">
    <vt:lpwstr>eyJoZGlkIjoiYWZmZTQwYjdiNGU2YzQzNDkxODIzOGFmMzRiNDU1YzUiLCJ1c2VySWQiOiIzNzk2NzUzMzQifQ==</vt:lpwstr>
  </property>
</Properties>
</file>