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631B3">
      <w:pPr>
        <w:tabs>
          <w:tab w:val="left" w:pos="420"/>
        </w:tabs>
        <w:spacing w:line="360" w:lineRule="auto"/>
        <w:ind w:firstLine="422" w:firstLineChars="200"/>
        <w:rPr>
          <w:rFonts w:hint="eastAsia" w:ascii="宋体" w:hAnsi="宋体" w:cs="宋体"/>
          <w:b/>
          <w:bCs/>
          <w:color w:val="FF0000"/>
          <w:szCs w:val="21"/>
        </w:rPr>
      </w:pPr>
      <w:r>
        <w:rPr>
          <w:rFonts w:hint="eastAsia" w:ascii="宋体" w:hAnsi="宋体" w:cs="宋体"/>
          <w:b/>
          <w:bCs/>
          <w:color w:val="FF0000"/>
          <w:szCs w:val="21"/>
        </w:rPr>
        <w:t>注：</w:t>
      </w:r>
    </w:p>
    <w:p w14:paraId="3D8D9C09">
      <w:pPr>
        <w:tabs>
          <w:tab w:val="left" w:pos="420"/>
        </w:tabs>
        <w:spacing w:line="360" w:lineRule="auto"/>
        <w:ind w:firstLine="422" w:firstLineChars="200"/>
        <w:rPr>
          <w:rFonts w:hint="eastAsia" w:ascii="宋体" w:hAnsi="宋体" w:cs="宋体"/>
          <w:b/>
          <w:bCs/>
          <w:color w:val="FF0000"/>
          <w:szCs w:val="21"/>
          <w:lang w:val="zh-CN"/>
        </w:rPr>
      </w:pPr>
      <w:r>
        <w:rPr>
          <w:rFonts w:hint="eastAsia" w:ascii="宋体" w:hAnsi="宋体" w:cs="宋体"/>
          <w:b/>
          <w:bCs/>
          <w:color w:val="FF0000"/>
          <w:szCs w:val="21"/>
        </w:rPr>
        <w:t>1、采购需求文件中，“＃”指标为重要指标，需按要求提供相关证明资料予以佐证；未按要求中提供上述证明材料的或未体现技术指标、参数的</w:t>
      </w:r>
      <w:r>
        <w:rPr>
          <w:rFonts w:hint="eastAsia" w:ascii="宋体" w:hAnsi="宋体" w:cs="宋体"/>
          <w:b/>
          <w:bCs/>
          <w:color w:val="FF0000"/>
          <w:szCs w:val="21"/>
          <w:lang w:val="zh-CN"/>
        </w:rPr>
        <w:t>做扣分处理，具体扣分办法详见“第六章 评标办法与程序”。</w:t>
      </w:r>
    </w:p>
    <w:p w14:paraId="7CA7D06B">
      <w:pPr>
        <w:tabs>
          <w:tab w:val="left" w:pos="420"/>
        </w:tabs>
        <w:spacing w:line="360" w:lineRule="auto"/>
        <w:ind w:firstLine="422" w:firstLineChars="200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2、</w:t>
      </w:r>
      <w:r>
        <w:rPr>
          <w:rFonts w:hint="eastAsia" w:ascii="宋体" w:hAnsi="宋体" w:cs="宋体"/>
          <w:b/>
          <w:bCs/>
          <w:color w:val="FF0000"/>
          <w:szCs w:val="21"/>
        </w:rPr>
        <w:t>采购需求文件中，</w:t>
      </w:r>
      <w:r>
        <w:rPr>
          <w:rFonts w:hint="eastAsia"/>
          <w:b/>
          <w:bCs/>
          <w:color w:val="FF0000"/>
          <w:szCs w:val="21"/>
        </w:rPr>
        <w:t>“</w:t>
      </w:r>
      <w:r>
        <w:rPr>
          <w:b/>
          <w:bCs/>
          <w:color w:val="FF0000"/>
          <w:szCs w:val="21"/>
        </w:rPr>
        <w:t>★</w:t>
      </w:r>
      <w:r>
        <w:rPr>
          <w:rFonts w:hint="eastAsia"/>
          <w:b/>
          <w:bCs/>
          <w:color w:val="FF0000"/>
          <w:szCs w:val="21"/>
        </w:rPr>
        <w:t>”指标为必须实质响应的内容，投标人必须对</w:t>
      </w:r>
      <w:r>
        <w:rPr>
          <w:b/>
          <w:bCs/>
          <w:color w:val="FF0000"/>
          <w:szCs w:val="21"/>
        </w:rPr>
        <w:t>“★”</w:t>
      </w:r>
      <w:r>
        <w:rPr>
          <w:rFonts w:hint="eastAsia"/>
          <w:b/>
          <w:bCs/>
          <w:color w:val="FF0000"/>
          <w:szCs w:val="21"/>
        </w:rPr>
        <w:t>技术规格要求逐条响应，若无法满足，作无效标处理。</w:t>
      </w:r>
    </w:p>
    <w:p w14:paraId="4CF3A031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bookmarkStart w:id="0" w:name="_Toc5277"/>
    </w:p>
    <w:p w14:paraId="39555370">
      <w:pPr>
        <w:pStyle w:val="2"/>
        <w:spacing w:before="156" w:beforeLines="50" w:beforeAutospacing="0" w:after="156" w:afterLines="50" w:afterAutospacing="0" w:line="360" w:lineRule="auto"/>
        <w:rPr>
          <w:rFonts w:hint="eastAsia" w:cs="Calibri"/>
          <w:b/>
          <w:bCs/>
          <w:kern w:val="2"/>
          <w:sz w:val="21"/>
          <w:szCs w:val="22"/>
        </w:rPr>
      </w:pPr>
      <w:r>
        <w:rPr>
          <w:rFonts w:hint="eastAsia" w:cs="Calibri"/>
          <w:b/>
          <w:bCs/>
          <w:kern w:val="2"/>
          <w:sz w:val="21"/>
          <w:szCs w:val="22"/>
        </w:rPr>
        <w:t>一、项目概况</w:t>
      </w:r>
      <w:bookmarkEnd w:id="0"/>
    </w:p>
    <w:p w14:paraId="196ECF26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1、项目名称：上海市黄浦区疾病预防控制中心（上海市黄浦区卫生健康监督所）数字PCR仪公开招标项目</w:t>
      </w:r>
    </w:p>
    <w:p w14:paraId="4B0DA804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2、预算金额：1,900,500.00元</w:t>
      </w:r>
    </w:p>
    <w:p w14:paraId="65F378AB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3、采购内容：</w:t>
      </w:r>
    </w:p>
    <w:tbl>
      <w:tblPr>
        <w:tblStyle w:val="4"/>
        <w:tblW w:w="10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430"/>
        <w:gridCol w:w="735"/>
        <w:gridCol w:w="705"/>
        <w:gridCol w:w="2523"/>
        <w:gridCol w:w="2895"/>
      </w:tblGrid>
      <w:tr w14:paraId="3F50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</w:tcPr>
          <w:p w14:paraId="48692272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2430" w:type="dxa"/>
          </w:tcPr>
          <w:p w14:paraId="045B3F97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设备名称</w:t>
            </w:r>
          </w:p>
        </w:tc>
        <w:tc>
          <w:tcPr>
            <w:tcW w:w="735" w:type="dxa"/>
          </w:tcPr>
          <w:p w14:paraId="3BA344F8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数量</w:t>
            </w:r>
          </w:p>
        </w:tc>
        <w:tc>
          <w:tcPr>
            <w:tcW w:w="705" w:type="dxa"/>
          </w:tcPr>
          <w:p w14:paraId="0199B204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单位</w:t>
            </w:r>
          </w:p>
        </w:tc>
        <w:tc>
          <w:tcPr>
            <w:tcW w:w="2523" w:type="dxa"/>
          </w:tcPr>
          <w:p w14:paraId="004F07B8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交付期</w:t>
            </w:r>
          </w:p>
        </w:tc>
        <w:tc>
          <w:tcPr>
            <w:tcW w:w="2895" w:type="dxa"/>
          </w:tcPr>
          <w:p w14:paraId="72E7BD2A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免费质保期</w:t>
            </w:r>
          </w:p>
        </w:tc>
      </w:tr>
      <w:tr w14:paraId="0EF9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Align w:val="center"/>
          </w:tcPr>
          <w:p w14:paraId="1B4B53B3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2430" w:type="dxa"/>
            <w:vAlign w:val="center"/>
          </w:tcPr>
          <w:p w14:paraId="33D6CC99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自动化高通量数字PCR</w:t>
            </w:r>
          </w:p>
        </w:tc>
        <w:tc>
          <w:tcPr>
            <w:tcW w:w="735" w:type="dxa"/>
            <w:vAlign w:val="center"/>
          </w:tcPr>
          <w:p w14:paraId="5273E9DD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705" w:type="dxa"/>
            <w:vAlign w:val="center"/>
          </w:tcPr>
          <w:p w14:paraId="43DFACC9">
            <w:pPr>
              <w:tabs>
                <w:tab w:val="left" w:pos="420"/>
              </w:tabs>
              <w:spacing w:line="360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台</w:t>
            </w:r>
          </w:p>
        </w:tc>
        <w:tc>
          <w:tcPr>
            <w:tcW w:w="2523" w:type="dxa"/>
            <w:vAlign w:val="center"/>
          </w:tcPr>
          <w:p w14:paraId="76F46B44">
            <w:pPr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合同签订后60天内交货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</w:tc>
        <w:tc>
          <w:tcPr>
            <w:tcW w:w="2895" w:type="dxa"/>
            <w:vAlign w:val="center"/>
          </w:tcPr>
          <w:p w14:paraId="19C3FE26">
            <w:pPr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自技术人员对该设备安装调试合格起，12个月内实行免费保修（消耗品除外）。</w:t>
            </w:r>
          </w:p>
        </w:tc>
      </w:tr>
    </w:tbl>
    <w:p w14:paraId="1F7109B0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</w:p>
    <w:p w14:paraId="4E8D5EDB">
      <w:pPr>
        <w:pStyle w:val="2"/>
        <w:spacing w:before="156" w:beforeLines="50" w:beforeAutospacing="0" w:after="156" w:afterLines="50" w:afterAutospacing="0" w:line="360" w:lineRule="auto"/>
        <w:rPr>
          <w:rFonts w:hint="eastAsia" w:cs="Calibri"/>
          <w:b/>
          <w:bCs/>
          <w:kern w:val="2"/>
          <w:sz w:val="21"/>
          <w:szCs w:val="22"/>
          <w:highlight w:val="none"/>
        </w:rPr>
      </w:pPr>
      <w:r>
        <w:rPr>
          <w:rFonts w:hint="eastAsia" w:cs="Calibri"/>
          <w:b/>
          <w:bCs/>
          <w:kern w:val="2"/>
          <w:sz w:val="21"/>
          <w:szCs w:val="22"/>
          <w:highlight w:val="none"/>
        </w:rPr>
        <w:t>二、技术参数要求</w:t>
      </w:r>
    </w:p>
    <w:p w14:paraId="207CE10F">
      <w:pPr>
        <w:tabs>
          <w:tab w:val="left" w:pos="420"/>
        </w:tabs>
        <w:spacing w:line="360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1、设备用途</w:t>
      </w:r>
    </w:p>
    <w:p w14:paraId="71D2CCB2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数字PCR具有绝对定量、抑制剂耐受程度高、高精度、高灵敏度、高重复性等技术优势；适用于病原微生物检测分型，突变基因检测，和耐药分析等；可以解决传统荧光定量依靠标准品和Ct值、样本抑制的定量难题。</w:t>
      </w:r>
    </w:p>
    <w:p w14:paraId="3F03B71C">
      <w:pPr>
        <w:tabs>
          <w:tab w:val="left" w:pos="420"/>
        </w:tabs>
        <w:spacing w:line="360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2、主要技术指标</w:t>
      </w:r>
    </w:p>
    <w:p w14:paraId="44B6DAAF">
      <w:pPr>
        <w:tabs>
          <w:tab w:val="left" w:pos="420"/>
        </w:tabs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FF0000"/>
          <w:szCs w:val="21"/>
          <w:lang w:eastAsia="zh-CN"/>
        </w:rPr>
      </w:pPr>
      <w:bookmarkStart w:id="1" w:name="OLE_LINK5"/>
      <w:bookmarkStart w:id="2" w:name="OLE_LINK6"/>
      <w:r>
        <w:rPr>
          <w:rFonts w:hint="eastAsia" w:ascii="宋体" w:hAnsi="宋体" w:cs="宋体"/>
          <w:b/>
          <w:bCs/>
          <w:color w:val="FF0000"/>
          <w:szCs w:val="21"/>
        </w:rPr>
        <w:t>★2.1 原理：基于微流体纳米芯片技术，芯片采用纯物理分割，纯物理封闭技术。整个实验过程中无需任何其他试剂进行封闭，或者任何油性物质作为微滴稳定性介质</w:t>
      </w:r>
      <w:r>
        <w:rPr>
          <w:rFonts w:hint="eastAsia" w:ascii="宋体" w:hAnsi="宋体" w:cs="宋体"/>
          <w:b/>
          <w:bCs/>
          <w:color w:val="FF0000"/>
          <w:szCs w:val="21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须提供证明材料，证明材料包括：</w:t>
      </w:r>
      <w:r>
        <w:rPr>
          <w:rFonts w:hint="eastAsia" w:ascii="宋体" w:hAnsi="宋体" w:cs="宋体"/>
          <w:b/>
          <w:bCs/>
          <w:color w:val="FF0000"/>
          <w:szCs w:val="21"/>
        </w:rPr>
        <w:t>制造商公开发布的印刷资料或制造商网站最新发布的资料打印件、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省市级或以上</w:t>
      </w:r>
      <w:r>
        <w:rPr>
          <w:rFonts w:hint="eastAsia" w:ascii="宋体" w:hAnsi="宋体" w:cs="宋体"/>
          <w:b/>
          <w:bCs/>
          <w:color w:val="FF0000"/>
          <w:szCs w:val="21"/>
        </w:rPr>
        <w:t>检测机构出具的检测报告、原厂DataSheet、说明书、手册、图纸</w:t>
      </w:r>
      <w:r>
        <w:rPr>
          <w:rFonts w:hint="eastAsia" w:ascii="宋体" w:hAnsi="宋体" w:cs="宋体"/>
          <w:b/>
          <w:bCs/>
          <w:color w:val="FF0000"/>
          <w:szCs w:val="21"/>
          <w:lang w:eastAsia="zh-CN"/>
        </w:rPr>
        <w:t>。）。</w:t>
      </w:r>
    </w:p>
    <w:p w14:paraId="56ADDBE4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2.2 样品检测方式：高像素相机，显微成像检测，非流式法逐个微滴检测。</w:t>
      </w:r>
    </w:p>
    <w:p w14:paraId="66D9B070">
      <w:pPr>
        <w:tabs>
          <w:tab w:val="left" w:pos="420"/>
        </w:tabs>
        <w:spacing w:line="360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＃2.3 通量：同一张芯片可容纳的最大样本量≥96个</w:t>
      </w:r>
      <w:r>
        <w:rPr>
          <w:rFonts w:hint="eastAsia" w:ascii="宋体" w:hAnsi="宋体" w:cs="宋体"/>
          <w:b/>
          <w:bCs/>
          <w:szCs w:val="21"/>
          <w:lang w:eastAsia="zh-CN"/>
        </w:rPr>
        <w:t>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须提供证明材料，证明材料包括：</w:t>
      </w:r>
      <w:r>
        <w:rPr>
          <w:rFonts w:hint="eastAsia" w:ascii="宋体" w:hAnsi="宋体" w:cs="宋体"/>
          <w:b/>
          <w:bCs/>
          <w:szCs w:val="21"/>
        </w:rPr>
        <w:t>制造商公开发布的印刷资料或制造商网站最新发布的资料打印件、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省市级或以上</w:t>
      </w:r>
      <w:r>
        <w:rPr>
          <w:rFonts w:hint="eastAsia" w:ascii="宋体" w:hAnsi="宋体" w:cs="宋体"/>
          <w:b/>
          <w:bCs/>
          <w:szCs w:val="21"/>
        </w:rPr>
        <w:t>检测机构出具的检测报告、原厂DataSheet、说明书、手册、图纸</w:t>
      </w:r>
      <w:r>
        <w:rPr>
          <w:rFonts w:hint="eastAsia" w:ascii="宋体" w:hAnsi="宋体" w:cs="宋体"/>
          <w:b/>
          <w:bCs/>
          <w:szCs w:val="21"/>
          <w:lang w:eastAsia="zh-CN"/>
        </w:rPr>
        <w:t>。）</w:t>
      </w:r>
      <w:r>
        <w:rPr>
          <w:rFonts w:hint="eastAsia" w:ascii="宋体" w:hAnsi="宋体" w:cs="宋体"/>
          <w:b/>
          <w:bCs/>
          <w:szCs w:val="21"/>
        </w:rPr>
        <w:t>。</w:t>
      </w:r>
    </w:p>
    <w:p w14:paraId="4852A722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2.4 单个样品最大微反应数目：≥23k个微反应。</w:t>
      </w:r>
    </w:p>
    <w:p w14:paraId="25E29327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2.5 有效微滴比例：≥95%，提供检测结果证明材料。</w:t>
      </w:r>
    </w:p>
    <w:bookmarkEnd w:id="1"/>
    <w:bookmarkEnd w:id="2"/>
    <w:p w14:paraId="003403CE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2.6 具有数据质控功能，可在软件上查看并保存每个样品的质控图：至少包含每个样品所有微滴质控图，所有阴阳性微滴在芯片中真实的分布图。</w:t>
      </w:r>
    </w:p>
    <w:p w14:paraId="6682B7FF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2.7 整体运行时间：96个样品完成微滴生成，PCR反应以及信号检测分析三个步骤总计最快时间≤2小时。</w:t>
      </w:r>
    </w:p>
    <w:p w14:paraId="3FD99A63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2.8 24个样品最快荧光信号采集时间≤5分钟。</w:t>
      </w:r>
    </w:p>
    <w:p w14:paraId="1A04ADA5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2.9 适用于荧光染料和探针检测，可兼容并不局限于SYBR，EvaGreen，FAM，HEX，TAMARA，ROX，CY5。</w:t>
      </w:r>
    </w:p>
    <w:p w14:paraId="40865913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2.10 原厂提供多种预混液，其中DNA探针法和染料法预混液可在常温储存80小时以上，而不会影响后续反应的性能。</w:t>
      </w:r>
    </w:p>
    <w:p w14:paraId="7D140856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2.11 通道：≥6个荧光通道。</w:t>
      </w:r>
    </w:p>
    <w:p w14:paraId="0490D4AA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2.12 一次实验运行最大样品量≥96个样品。</w:t>
      </w:r>
    </w:p>
    <w:p w14:paraId="433B3654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2.13 最大总反应体系≥40ul。</w:t>
      </w:r>
    </w:p>
    <w:p w14:paraId="51A013AC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2.14 样品最大模板上样体积≥25ul。</w:t>
      </w:r>
    </w:p>
    <w:p w14:paraId="016EE3D1">
      <w:pPr>
        <w:tabs>
          <w:tab w:val="left" w:pos="420"/>
        </w:tabs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</w:rPr>
        <w:t>＃2.15需提供体积校正系数软件，使得数据更符合泊松分布要求，更精准，需提供官网相</w:t>
      </w:r>
      <w:r>
        <w:rPr>
          <w:rFonts w:hint="eastAsia" w:ascii="宋体" w:hAnsi="宋体" w:cs="宋体"/>
          <w:b/>
          <w:bCs/>
          <w:szCs w:val="21"/>
          <w:highlight w:val="none"/>
        </w:rPr>
        <w:t>应的信息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须提供证明材料，证明材料包括：</w:t>
      </w:r>
      <w:r>
        <w:rPr>
          <w:rFonts w:hint="eastAsia" w:ascii="宋体" w:hAnsi="宋体" w:cs="宋体"/>
          <w:b/>
          <w:bCs/>
          <w:szCs w:val="21"/>
          <w:highlight w:val="none"/>
        </w:rPr>
        <w:t>制造商公开发布的印刷资料或制造商网站最新发布的资料打印件、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省市级或以上</w:t>
      </w:r>
      <w:r>
        <w:rPr>
          <w:rFonts w:hint="eastAsia" w:ascii="宋体" w:hAnsi="宋体" w:cs="宋体"/>
          <w:b/>
          <w:bCs/>
          <w:szCs w:val="21"/>
          <w:highlight w:val="none"/>
        </w:rPr>
        <w:t>检测机构出具的检测报告、原厂DataSheet、说明书、手册、图纸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。）</w:t>
      </w:r>
      <w:r>
        <w:rPr>
          <w:rFonts w:hint="eastAsia" w:ascii="宋体" w:hAnsi="宋体" w:cs="宋体"/>
          <w:b/>
          <w:bCs/>
          <w:szCs w:val="21"/>
          <w:highlight w:val="none"/>
        </w:rPr>
        <w:t>。</w:t>
      </w:r>
    </w:p>
    <w:p w14:paraId="408918E8">
      <w:pPr>
        <w:tabs>
          <w:tab w:val="left" w:pos="420"/>
        </w:tabs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＃2.16 一体机设计，上机后全自动封闭式检测，一台仪器完成核酸分区、扩增、成像分析、数据读取所有步骤，无需在实验过程中手工更换仪器才可进行下一步骤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须提供证明材料，证明材料包括：</w:t>
      </w:r>
      <w:r>
        <w:rPr>
          <w:rFonts w:hint="eastAsia" w:ascii="宋体" w:hAnsi="宋体" w:cs="宋体"/>
          <w:b/>
          <w:bCs/>
          <w:szCs w:val="21"/>
          <w:highlight w:val="none"/>
        </w:rPr>
        <w:t>制造商公开发布的印刷资料或制造商网站最新发布的资料打印件、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省市级或以上</w:t>
      </w:r>
      <w:r>
        <w:rPr>
          <w:rFonts w:hint="eastAsia" w:ascii="宋体" w:hAnsi="宋体" w:cs="宋体"/>
          <w:b/>
          <w:bCs/>
          <w:szCs w:val="21"/>
          <w:highlight w:val="none"/>
        </w:rPr>
        <w:t>检测机构出具的检测报告、原厂DataSheet、说明书、手册、图纸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。）。</w:t>
      </w:r>
    </w:p>
    <w:p w14:paraId="7CAFD9C5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2.17 全自动软件分析，可输出像素分布图、热图、直方图、散点图等多种分析结果。</w:t>
      </w:r>
    </w:p>
    <w:p w14:paraId="4C8239C7">
      <w:pPr>
        <w:tabs>
          <w:tab w:val="left" w:pos="420"/>
        </w:tabs>
        <w:spacing w:line="360" w:lineRule="auto"/>
        <w:ind w:firstLine="422" w:firstLineChars="200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＃2.18 检测灵活性：需提供≥4种可选的不同通量和微滴数的芯片，可根据相应的实验需求自由选择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须提供证明材料，证明材料包括：</w:t>
      </w:r>
      <w:r>
        <w:rPr>
          <w:rFonts w:hint="eastAsia" w:ascii="宋体" w:hAnsi="宋体" w:cs="宋体"/>
          <w:b/>
          <w:bCs/>
          <w:szCs w:val="21"/>
          <w:highlight w:val="none"/>
        </w:rPr>
        <w:t>制造商公开发布的印刷资料或制造商网站最新发布的资料打印件、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省市级或以上</w:t>
      </w:r>
      <w:r>
        <w:rPr>
          <w:rFonts w:hint="eastAsia" w:ascii="宋体" w:hAnsi="宋体" w:cs="宋体"/>
          <w:b/>
          <w:bCs/>
          <w:szCs w:val="21"/>
          <w:highlight w:val="none"/>
        </w:rPr>
        <w:t>检测机构出具的检测报告、原厂DataSheet、说明书、手册、图纸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。）</w:t>
      </w:r>
      <w:r>
        <w:rPr>
          <w:rFonts w:hint="eastAsia" w:ascii="宋体" w:hAnsi="宋体" w:cs="宋体"/>
          <w:b/>
          <w:bCs/>
          <w:szCs w:val="21"/>
          <w:highlight w:val="none"/>
        </w:rPr>
        <w:t>。</w:t>
      </w:r>
    </w:p>
    <w:p w14:paraId="6A4AA1C1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2.19 实验完成后，低温条件保存下，一周之内可支持≥3次数据反复读取。</w:t>
      </w:r>
    </w:p>
    <w:p w14:paraId="4C2C69D7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2.20 支持CFR 21 part11数据追踪要求。</w:t>
      </w:r>
    </w:p>
    <w:p w14:paraId="5EE544A8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2.21 提供同原厂家配套的新冠病毒检测、流感病毒、手足口病、诺如病毒、猴痘等病原体的检测试剂盒；需提供试剂盒证明材料。</w:t>
      </w:r>
    </w:p>
    <w:p w14:paraId="13ED5B26">
      <w:pPr>
        <w:tabs>
          <w:tab w:val="left" w:pos="420"/>
        </w:tabs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＃2.22 具有微生物靶标基因数据库，可识别500种以上的微生物靶标基因，涵盖细菌、真菌、寄生虫、病毒、抗生素耐药性或毒力因子基因等。需提供靶标基因数据库清单列表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须提供证明材料，证明材料包括：</w:t>
      </w:r>
      <w:r>
        <w:rPr>
          <w:rFonts w:hint="eastAsia" w:ascii="宋体" w:hAnsi="宋体" w:cs="宋体"/>
          <w:b/>
          <w:bCs/>
          <w:szCs w:val="21"/>
          <w:highlight w:val="none"/>
        </w:rPr>
        <w:t>制造商公开发布的印刷资料或制造商网站最新发布的资料打印件、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省市级或以上</w:t>
      </w:r>
      <w:r>
        <w:rPr>
          <w:rFonts w:hint="eastAsia" w:ascii="宋体" w:hAnsi="宋体" w:cs="宋体"/>
          <w:b/>
          <w:bCs/>
          <w:szCs w:val="21"/>
          <w:highlight w:val="none"/>
        </w:rPr>
        <w:t>检测机构出具的检测报告、原厂DataSheet、说明书、手册、图纸</w:t>
      </w:r>
      <w:r>
        <w:rPr>
          <w:rFonts w:hint="eastAsia" w:ascii="宋体" w:hAnsi="宋体" w:cs="宋体"/>
          <w:b/>
          <w:bCs/>
          <w:szCs w:val="21"/>
          <w:highlight w:val="none"/>
          <w:lang w:eastAsia="zh-CN"/>
        </w:rPr>
        <w:t>。）。</w:t>
      </w:r>
    </w:p>
    <w:p w14:paraId="510781C3">
      <w:pPr>
        <w:tabs>
          <w:tab w:val="left" w:pos="420"/>
        </w:tabs>
        <w:spacing w:line="360" w:lineRule="auto"/>
        <w:ind w:firstLine="422" w:firstLineChars="200"/>
        <w:rPr>
          <w:rFonts w:hint="eastAsia"/>
          <w:b/>
          <w:bCs/>
          <w:color w:val="FF0000"/>
          <w:szCs w:val="21"/>
          <w:highlight w:val="none"/>
        </w:rPr>
      </w:pPr>
      <w:r>
        <w:rPr>
          <w:b/>
          <w:bCs/>
          <w:color w:val="FF0000"/>
          <w:szCs w:val="21"/>
          <w:highlight w:val="none"/>
        </w:rPr>
        <w:t>★</w:t>
      </w:r>
      <w:r>
        <w:rPr>
          <w:rFonts w:hint="eastAsia" w:ascii="宋体" w:hAnsi="宋体" w:cs="宋体"/>
          <w:b/>
          <w:bCs/>
          <w:color w:val="FF0000"/>
          <w:szCs w:val="21"/>
          <w:highlight w:val="none"/>
        </w:rPr>
        <w:t>2.23 PCR模块具有温度梯度</w:t>
      </w:r>
      <w:r>
        <w:rPr>
          <w:rFonts w:hint="eastAsia"/>
          <w:b/>
          <w:bCs/>
          <w:color w:val="FF0000"/>
          <w:szCs w:val="21"/>
          <w:highlight w:val="none"/>
        </w:rPr>
        <w:t>的功能，同时筛选12个不同的退火温度，加快检测体系的优化和建立，可在2小时内完成12个温度梯度样品检测</w:t>
      </w:r>
      <w:r>
        <w:rPr>
          <w:rFonts w:hint="eastAsia"/>
          <w:b/>
          <w:bCs/>
          <w:color w:val="FF0000"/>
          <w:szCs w:val="21"/>
          <w:highlight w:val="none"/>
          <w:lang w:eastAsia="zh-CN"/>
        </w:rPr>
        <w:t>（</w:t>
      </w:r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须提供证明材料，证明材料包括：</w:t>
      </w:r>
      <w:r>
        <w:rPr>
          <w:rFonts w:hint="eastAsia"/>
          <w:b/>
          <w:bCs/>
          <w:color w:val="FF0000"/>
          <w:szCs w:val="21"/>
          <w:highlight w:val="none"/>
        </w:rPr>
        <w:t>制造商公开发布的印刷资料或制造商网站最新发布的资料打印件、</w:t>
      </w:r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省市级或以上</w:t>
      </w:r>
      <w:r>
        <w:rPr>
          <w:rFonts w:hint="eastAsia"/>
          <w:b/>
          <w:bCs/>
          <w:color w:val="FF0000"/>
          <w:szCs w:val="21"/>
          <w:highlight w:val="none"/>
        </w:rPr>
        <w:t>检测机构出具的检测报告、原厂DataSheet、说明书、手册、图纸</w:t>
      </w:r>
      <w:r>
        <w:rPr>
          <w:rFonts w:hint="eastAsia"/>
          <w:b/>
          <w:bCs/>
          <w:color w:val="FF0000"/>
          <w:szCs w:val="21"/>
          <w:highlight w:val="none"/>
          <w:lang w:eastAsia="zh-CN"/>
        </w:rPr>
        <w:t>。）</w:t>
      </w:r>
      <w:r>
        <w:rPr>
          <w:rFonts w:hint="eastAsia"/>
          <w:b/>
          <w:bCs/>
          <w:color w:val="FF0000"/>
          <w:szCs w:val="21"/>
          <w:highlight w:val="none"/>
        </w:rPr>
        <w:t>。</w:t>
      </w:r>
    </w:p>
    <w:p w14:paraId="177F5EED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2.24 仪器获得数字PCR 方法学国际认可，且被收录于最新国际标准PCR 方法学MIQE&amp;dMIQE指南中，需提供证明文件。</w:t>
      </w:r>
    </w:p>
    <w:p w14:paraId="0C696226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2.25软件可进行定制化荧光串扰矩阵，根据每个assay定制荧光补偿，防止荧光串扰。</w:t>
      </w:r>
    </w:p>
    <w:p w14:paraId="3A9D0B97">
      <w:pPr>
        <w:tabs>
          <w:tab w:val="left" w:pos="420"/>
        </w:tabs>
        <w:spacing w:line="360" w:lineRule="auto"/>
        <w:ind w:firstLine="422" w:firstLineChars="200"/>
        <w:rPr>
          <w:b/>
          <w:bCs/>
          <w:color w:val="FF0000"/>
          <w:szCs w:val="21"/>
          <w:highlight w:val="none"/>
        </w:rPr>
      </w:pPr>
      <w:r>
        <w:rPr>
          <w:b/>
          <w:bCs/>
          <w:color w:val="FF0000"/>
          <w:szCs w:val="21"/>
          <w:highlight w:val="none"/>
        </w:rPr>
        <w:t>★</w:t>
      </w:r>
      <w:r>
        <w:rPr>
          <w:rFonts w:hint="eastAsia"/>
          <w:b/>
          <w:bCs/>
          <w:color w:val="FF0000"/>
          <w:szCs w:val="21"/>
          <w:highlight w:val="none"/>
        </w:rPr>
        <w:t>2.26配置自动化模块，配合自动化平台在数字PCR上机耗材中配制数字PCR体系，直接用于微滴制备</w:t>
      </w:r>
      <w:r>
        <w:rPr>
          <w:rFonts w:hint="eastAsia"/>
          <w:b/>
          <w:bCs/>
          <w:color w:val="FF0000"/>
          <w:szCs w:val="21"/>
          <w:highlight w:val="none"/>
          <w:lang w:eastAsia="zh-CN"/>
        </w:rPr>
        <w:t>（</w:t>
      </w:r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须提供证明材料，证明材料包括：</w:t>
      </w:r>
      <w:r>
        <w:rPr>
          <w:rFonts w:hint="eastAsia"/>
          <w:b/>
          <w:bCs/>
          <w:color w:val="FF0000"/>
          <w:szCs w:val="21"/>
          <w:highlight w:val="none"/>
        </w:rPr>
        <w:t>制造商公开发布的印刷资料或制造商网站最新发布的资料打印件、</w:t>
      </w:r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省市级或以上</w:t>
      </w:r>
      <w:r>
        <w:rPr>
          <w:rFonts w:hint="eastAsia"/>
          <w:b/>
          <w:bCs/>
          <w:color w:val="FF0000"/>
          <w:szCs w:val="21"/>
          <w:highlight w:val="none"/>
        </w:rPr>
        <w:t>检测机构出具的检测报告、原厂DataSheet、说明书、手册、图纸</w:t>
      </w:r>
      <w:r>
        <w:rPr>
          <w:rFonts w:hint="eastAsia"/>
          <w:b/>
          <w:bCs/>
          <w:color w:val="FF0000"/>
          <w:szCs w:val="21"/>
          <w:highlight w:val="none"/>
          <w:lang w:eastAsia="zh-CN"/>
        </w:rPr>
        <w:t>。）</w:t>
      </w:r>
      <w:r>
        <w:rPr>
          <w:rFonts w:hint="eastAsia"/>
          <w:b/>
          <w:bCs/>
          <w:color w:val="FF0000"/>
          <w:szCs w:val="21"/>
          <w:highlight w:val="none"/>
        </w:rPr>
        <w:t>。</w:t>
      </w:r>
    </w:p>
    <w:p w14:paraId="7F332A37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2.27 体系配置安全性：内置紫外灯，可在使用前后对工作台面进行消毒；预装HEPA滤膜系统，能有效避免气溶胶的污染，避免交叉污染；用过的吸头被弃置于工作平台外部，保证工作环境中没有废弃物的堆积，避免交叉污染。</w:t>
      </w:r>
    </w:p>
    <w:p w14:paraId="68E77B63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2.28 使用石墨导电技术，具备液面探测能力，使用液面感应式滤芯吸头，通过液面高度感应，可确保移液精度；能够自动识别液体的粘稠度，根据液体的粘稠程度自动调整移液速度来达到精确的移液目的。</w:t>
      </w:r>
    </w:p>
    <w:p w14:paraId="1375651A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2.29 可以同时构建多个不同的PCR反应体系。</w:t>
      </w:r>
    </w:p>
    <w:p w14:paraId="19B44BA6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2.30 具备23000孔以上的纳米芯片加样功能。</w:t>
      </w:r>
    </w:p>
    <w:p w14:paraId="34C6D16F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2.31 加样精确度：CV &lt; 1%（5μL）。</w:t>
      </w:r>
    </w:p>
    <w:p w14:paraId="4A5D56A8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2.32 体系配置操作软件界面友好，用户可自行改编、优化运行程序。</w:t>
      </w:r>
    </w:p>
    <w:p w14:paraId="79D241DF">
      <w:pPr>
        <w:tabs>
          <w:tab w:val="left" w:pos="420"/>
        </w:tabs>
        <w:spacing w:line="360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3、基本配置</w:t>
      </w:r>
    </w:p>
    <w:p w14:paraId="1235F5DC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3.1主机一套；</w:t>
      </w:r>
    </w:p>
    <w:p w14:paraId="3B25B77D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3.2控制工作站一套；</w:t>
      </w:r>
    </w:p>
    <w:p w14:paraId="30FD0396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3.3分析控制软件一套；</w:t>
      </w:r>
    </w:p>
    <w:p w14:paraId="757F6EC6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3.4体系校正系数软件一套；</w:t>
      </w:r>
    </w:p>
    <w:p w14:paraId="34C9A79A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3.5 体系配置模块 一套。</w:t>
      </w:r>
    </w:p>
    <w:p w14:paraId="3AAC48E4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384A2597">
      <w:pPr>
        <w:pStyle w:val="2"/>
        <w:spacing w:before="156" w:beforeLines="50" w:beforeAutospacing="0" w:after="156" w:afterLines="50" w:afterAutospacing="0" w:line="360" w:lineRule="auto"/>
        <w:rPr>
          <w:rFonts w:hint="eastAsia" w:cs="Calibri"/>
          <w:b/>
          <w:bCs/>
          <w:kern w:val="2"/>
          <w:sz w:val="21"/>
          <w:szCs w:val="22"/>
        </w:rPr>
      </w:pPr>
      <w:r>
        <w:rPr>
          <w:rFonts w:hint="eastAsia" w:cs="Calibri"/>
          <w:b/>
          <w:bCs/>
          <w:kern w:val="2"/>
          <w:sz w:val="21"/>
          <w:szCs w:val="22"/>
        </w:rPr>
        <w:t>四、售后服务</w:t>
      </w:r>
    </w:p>
    <w:p w14:paraId="0F90D512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1、设备的现场安装调试：接到用户通知并确认实验场地</w:t>
      </w:r>
      <w:r>
        <w:rPr>
          <w:rFonts w:hint="eastAsia" w:ascii="宋体" w:hAnsi="宋体" w:cs="宋体"/>
          <w:szCs w:val="21"/>
          <w:lang w:val="en-US" w:eastAsia="zh-CN"/>
        </w:rPr>
        <w:t>后</w:t>
      </w:r>
      <w:r>
        <w:rPr>
          <w:rFonts w:hint="eastAsia" w:ascii="宋体" w:hAnsi="宋体" w:cs="宋体"/>
          <w:szCs w:val="21"/>
        </w:rPr>
        <w:t>派有关技术人员前往用户指定地点免费安装调试。</w:t>
      </w:r>
    </w:p>
    <w:p w14:paraId="424AC464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保修期：自技术人员对该设备安装调试合格起，12个月内实行免费保修（消耗品除外）。在保修期内，技术人员前往用户所在地进行维修时一切费用（包括部件费用）由供货商负担。保修期外的维修可按两种方式进行；其一，按实际更换的零部件收取部件费用，并收取维修服务费；其二，由用户先行购买维修合同，然后享受保修期内同样的维修服务。</w:t>
      </w:r>
    </w:p>
    <w:p w14:paraId="495D1AA7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3、人员培训：免费提供给用户指定的有关人员进行技术培训（包括：基本原理，仪器</w:t>
      </w:r>
      <w:bookmarkStart w:id="3" w:name="_GoBack"/>
      <w:r>
        <w:rPr>
          <w:rFonts w:hint="eastAsia" w:ascii="宋体" w:hAnsi="宋体" w:cs="宋体"/>
          <w:szCs w:val="21"/>
        </w:rPr>
        <w:t>操作，日常维修等内容）。</w:t>
      </w:r>
    </w:p>
    <w:p w14:paraId="13D448D8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4、仪器说明及相关材料：免费为用户提供说明书、简易操作指南以及“场地准备通知书”。用户将定期获得公司应用通讯及技术资料。</w:t>
      </w:r>
    </w:p>
    <w:p w14:paraId="51FB4795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5、技术响应：提供免费技术支持，解决用户售后问题，并确保及时响应。</w:t>
      </w:r>
    </w:p>
    <w:p w14:paraId="2FF5F30D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6、售后服务网点：需设立维修服务网点，确保能及时对设备故障进行处理。</w:t>
      </w:r>
    </w:p>
    <w:p w14:paraId="0979FDFC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</w:p>
    <w:p w14:paraId="2811723B">
      <w:pPr>
        <w:pStyle w:val="2"/>
        <w:spacing w:before="156" w:beforeLines="50" w:beforeAutospacing="0" w:after="156" w:afterLines="50" w:afterAutospacing="0" w:line="360" w:lineRule="auto"/>
        <w:rPr>
          <w:rFonts w:hint="eastAsia" w:cs="Calibri"/>
          <w:b/>
          <w:bCs/>
          <w:kern w:val="2"/>
          <w:sz w:val="21"/>
          <w:szCs w:val="22"/>
          <w:highlight w:val="none"/>
        </w:rPr>
      </w:pPr>
      <w:r>
        <w:rPr>
          <w:rFonts w:hint="eastAsia" w:cs="Calibri"/>
          <w:b/>
          <w:bCs/>
          <w:kern w:val="2"/>
          <w:sz w:val="21"/>
          <w:szCs w:val="22"/>
          <w:highlight w:val="none"/>
        </w:rPr>
        <w:t>五、付款及验收方式</w:t>
      </w:r>
    </w:p>
    <w:p w14:paraId="4058186D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1、付款方式</w:t>
      </w:r>
    </w:p>
    <w:p w14:paraId="0EADE305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项目通过验收后，支付100%合同款项。    </w:t>
      </w:r>
    </w:p>
    <w:p w14:paraId="3FEAECFD">
      <w:pPr>
        <w:tabs>
          <w:tab w:val="left" w:pos="420"/>
        </w:tabs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2、验收方式</w:t>
      </w:r>
    </w:p>
    <w:p w14:paraId="69983DEA">
      <w:pPr>
        <w:tabs>
          <w:tab w:val="left" w:pos="420"/>
        </w:tabs>
        <w:spacing w:line="360" w:lineRule="auto"/>
        <w:ind w:firstLine="420" w:firstLineChars="200"/>
      </w:pPr>
      <w:r>
        <w:rPr>
          <w:rFonts w:hint="eastAsia" w:ascii="宋体" w:hAnsi="宋体" w:cs="宋体"/>
          <w:szCs w:val="21"/>
          <w:highlight w:val="none"/>
        </w:rPr>
        <w:t>本项目由采购单位自行验收，根据前述功能项清单及技术要求，按使用单位使用意见和</w:t>
      </w:r>
      <w:bookmarkEnd w:id="3"/>
      <w:r>
        <w:rPr>
          <w:rFonts w:hint="eastAsia" w:ascii="宋体" w:hAnsi="宋体" w:cs="宋体"/>
          <w:szCs w:val="21"/>
          <w:highlight w:val="none"/>
        </w:rPr>
        <w:t>招标技术要求功能进行逐条核验验收。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5083C"/>
    <w:rsid w:val="6ED5083C"/>
    <w:rsid w:val="7144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2026-07-02T09:11:00Z</dcterms:created>
  <dc:creator>135.</dc:creator>
  <cp:lastModifiedBy>135.</cp:lastModifiedBy>
  <dcterms:modified xsi:type="dcterms:W3CDTF">2026-07-02T09:14:28Z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4F4D9F92DFE74E44A2850A691B037A8E_11</vt:lpwstr>
  </property>
  <property fmtid="{D5CDD505-2E9C-101B-9397-08002B2CF9AE}" pid="4" name="KSOTemplateDocerSaveRecord">
    <vt:lpwstr>eyJoZGlkIjoiMGE0NWE2MGY4NzMzZmNhOTRhODlhZDMzZDI1Mzk4NWYiLCJ1c2VySWQiOiIxMDMyMjc4NzM3In0=</vt:lpwstr>
  </property>
</Properties>
</file>