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F193F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  <w:r>
        <w:rPr>
          <w:rFonts w:hint="eastAsia" w:ascii="宋体" w:hAnsi="宋体" w:cs="宋体"/>
          <w:b/>
          <w:bCs/>
          <w:color w:val="FF0000"/>
          <w:szCs w:val="21"/>
        </w:rPr>
        <w:t>注：</w:t>
      </w:r>
    </w:p>
    <w:p w14:paraId="5E986DBC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  <w:lang w:val="zh-CN"/>
        </w:rPr>
      </w:pPr>
      <w:r>
        <w:rPr>
          <w:rFonts w:hint="eastAsia" w:ascii="宋体" w:hAnsi="宋体" w:cs="宋体"/>
          <w:b/>
          <w:bCs/>
          <w:color w:val="FF0000"/>
          <w:szCs w:val="21"/>
        </w:rPr>
        <w:t>1、采购需求文件中，“＃”指标为重要指标，需按要求提供相关证明资料予以佐证；未按要求中提供上述证明材料的或未体现技术指标、参数的</w:t>
      </w:r>
      <w:r>
        <w:rPr>
          <w:rFonts w:hint="eastAsia" w:ascii="宋体" w:hAnsi="宋体" w:cs="宋体"/>
          <w:b/>
          <w:bCs/>
          <w:color w:val="FF0000"/>
          <w:szCs w:val="21"/>
          <w:lang w:val="zh-CN"/>
        </w:rPr>
        <w:t>做扣分处理，具体扣分办法详见“第六章 评标办法与程序”。</w:t>
      </w:r>
    </w:p>
    <w:p w14:paraId="18B6BC10">
      <w:pPr>
        <w:tabs>
          <w:tab w:val="left" w:pos="420"/>
        </w:tabs>
        <w:spacing w:line="360" w:lineRule="auto"/>
        <w:ind w:firstLine="422" w:firstLineChars="200"/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2、</w:t>
      </w:r>
      <w:r>
        <w:rPr>
          <w:rFonts w:hint="eastAsia" w:ascii="宋体" w:hAnsi="宋体" w:cs="宋体"/>
          <w:b/>
          <w:bCs/>
          <w:color w:val="FF0000"/>
          <w:szCs w:val="21"/>
        </w:rPr>
        <w:t>采购需求文件中，</w:t>
      </w:r>
      <w:r>
        <w:rPr>
          <w:rFonts w:hint="eastAsia"/>
          <w:b/>
          <w:bCs/>
          <w:color w:val="FF0000"/>
          <w:szCs w:val="21"/>
        </w:rPr>
        <w:t>“</w:t>
      </w:r>
      <w:r>
        <w:rPr>
          <w:b/>
          <w:bCs/>
          <w:color w:val="FF0000"/>
          <w:szCs w:val="21"/>
        </w:rPr>
        <w:t>★</w:t>
      </w:r>
      <w:r>
        <w:rPr>
          <w:rFonts w:hint="eastAsia"/>
          <w:b/>
          <w:bCs/>
          <w:color w:val="FF0000"/>
          <w:szCs w:val="21"/>
        </w:rPr>
        <w:t>”指标为必须实质响应的内容，投标人必须对</w:t>
      </w:r>
      <w:r>
        <w:rPr>
          <w:b/>
          <w:bCs/>
          <w:color w:val="FF0000"/>
          <w:szCs w:val="21"/>
        </w:rPr>
        <w:t>“★”</w:t>
      </w:r>
      <w:r>
        <w:rPr>
          <w:rFonts w:hint="eastAsia"/>
          <w:b/>
          <w:bCs/>
          <w:color w:val="FF0000"/>
          <w:szCs w:val="21"/>
        </w:rPr>
        <w:t>技术规格要求逐条响应，若无法满足，作无效标处理。</w:t>
      </w:r>
    </w:p>
    <w:p w14:paraId="35596178">
      <w:pPr>
        <w:pStyle w:val="3"/>
        <w:spacing w:before="156" w:beforeLines="50" w:beforeAutospacing="0" w:after="156" w:afterLines="50" w:afterAutospacing="0" w:line="360" w:lineRule="auto"/>
        <w:rPr>
          <w:rFonts w:hint="eastAsia" w:cs="Calibri"/>
          <w:b/>
          <w:bCs/>
          <w:kern w:val="2"/>
          <w:sz w:val="21"/>
          <w:szCs w:val="22"/>
        </w:rPr>
      </w:pPr>
      <w:bookmarkStart w:id="0" w:name="_Toc5277"/>
      <w:r>
        <w:rPr>
          <w:rFonts w:hint="eastAsia" w:cs="Calibri"/>
          <w:b/>
          <w:bCs/>
          <w:kern w:val="2"/>
          <w:sz w:val="21"/>
          <w:szCs w:val="22"/>
        </w:rPr>
        <w:t>一、项目概况</w:t>
      </w:r>
      <w:bookmarkEnd w:id="0"/>
    </w:p>
    <w:p w14:paraId="40FD0027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1、项目名称：上海市黄浦区疾病预防控制中心（上海市黄浦区卫生健康监督所）免疫印迹仪公开招标项目</w:t>
      </w:r>
    </w:p>
    <w:p w14:paraId="44FB9D8D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2、预算金额：1,300,000.00元</w:t>
      </w:r>
    </w:p>
    <w:p w14:paraId="03D80BB5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3、采购内容：</w:t>
      </w:r>
    </w:p>
    <w:tbl>
      <w:tblPr>
        <w:tblStyle w:val="5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53"/>
        <w:gridCol w:w="830"/>
        <w:gridCol w:w="830"/>
        <w:gridCol w:w="2506"/>
        <w:gridCol w:w="2507"/>
      </w:tblGrid>
      <w:tr w14:paraId="5428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</w:tcPr>
          <w:p w14:paraId="1245DE4C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653" w:type="dxa"/>
          </w:tcPr>
          <w:p w14:paraId="1D6DBE49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设备名称</w:t>
            </w:r>
          </w:p>
        </w:tc>
        <w:tc>
          <w:tcPr>
            <w:tcW w:w="830" w:type="dxa"/>
          </w:tcPr>
          <w:p w14:paraId="1629C499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830" w:type="dxa"/>
          </w:tcPr>
          <w:p w14:paraId="5B67DF66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2506" w:type="dxa"/>
          </w:tcPr>
          <w:p w14:paraId="3AF22046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交付期</w:t>
            </w:r>
          </w:p>
        </w:tc>
        <w:tc>
          <w:tcPr>
            <w:tcW w:w="2507" w:type="dxa"/>
          </w:tcPr>
          <w:p w14:paraId="75CCFD8F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免费质保期</w:t>
            </w:r>
          </w:p>
        </w:tc>
      </w:tr>
      <w:tr w14:paraId="3B36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2AE66204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653" w:type="dxa"/>
            <w:vAlign w:val="center"/>
          </w:tcPr>
          <w:p w14:paraId="634B08B8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免疫印迹仪</w:t>
            </w:r>
          </w:p>
        </w:tc>
        <w:tc>
          <w:tcPr>
            <w:tcW w:w="830" w:type="dxa"/>
            <w:vAlign w:val="center"/>
          </w:tcPr>
          <w:p w14:paraId="509A6FCE">
            <w:pPr>
              <w:tabs>
                <w:tab w:val="left" w:pos="420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1</w:t>
            </w:r>
          </w:p>
        </w:tc>
        <w:tc>
          <w:tcPr>
            <w:tcW w:w="830" w:type="dxa"/>
            <w:vAlign w:val="center"/>
          </w:tcPr>
          <w:p w14:paraId="4FC0206E">
            <w:pPr>
              <w:tabs>
                <w:tab w:val="left" w:pos="420"/>
              </w:tabs>
              <w:spacing w:line="36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台</w:t>
            </w:r>
          </w:p>
        </w:tc>
        <w:tc>
          <w:tcPr>
            <w:tcW w:w="2506" w:type="dxa"/>
            <w:vAlign w:val="center"/>
          </w:tcPr>
          <w:p w14:paraId="18A8F9B3">
            <w:pPr>
              <w:tabs>
                <w:tab w:val="left" w:pos="420"/>
              </w:tabs>
              <w:spacing w:line="360" w:lineRule="exact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合同签订后30天内交货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。</w:t>
            </w:r>
          </w:p>
        </w:tc>
        <w:tc>
          <w:tcPr>
            <w:tcW w:w="2507" w:type="dxa"/>
            <w:vAlign w:val="center"/>
          </w:tcPr>
          <w:p w14:paraId="2580046C">
            <w:pPr>
              <w:tabs>
                <w:tab w:val="left" w:pos="420"/>
              </w:tabs>
              <w:spacing w:line="360" w:lineRule="exact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机验收合格日起整机（包括配件）至少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三年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保修，终身维护。</w:t>
            </w:r>
          </w:p>
        </w:tc>
      </w:tr>
    </w:tbl>
    <w:p w14:paraId="30F97B26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6DF6353F">
      <w:pPr>
        <w:pStyle w:val="3"/>
        <w:spacing w:before="156" w:beforeLines="50" w:beforeAutospacing="0" w:after="156" w:afterLines="50" w:afterAutospacing="0" w:line="360" w:lineRule="auto"/>
        <w:rPr>
          <w:rFonts w:hint="eastAsia" w:cs="Calibri"/>
          <w:b/>
          <w:bCs/>
          <w:kern w:val="2"/>
          <w:sz w:val="21"/>
          <w:szCs w:val="22"/>
        </w:rPr>
      </w:pPr>
      <w:bookmarkStart w:id="1" w:name="_Hlk168069471"/>
      <w:r>
        <w:rPr>
          <w:rFonts w:hint="eastAsia" w:cs="Calibri"/>
          <w:b/>
          <w:bCs/>
          <w:kern w:val="2"/>
          <w:sz w:val="21"/>
          <w:szCs w:val="22"/>
        </w:rPr>
        <w:t>二、设备要求</w:t>
      </w:r>
    </w:p>
    <w:p w14:paraId="1965A6ED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1．全自动识别样本、加样、实验反应、结果输出、结果判读。</w:t>
      </w:r>
    </w:p>
    <w:p w14:paraId="4E7455A9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  <w:lang w:eastAsia="zh-CN"/>
        </w:rPr>
      </w:pPr>
      <w:bookmarkStart w:id="2" w:name="OLE_LINK18"/>
      <w:r>
        <w:rPr>
          <w:rFonts w:hint="eastAsia" w:ascii="宋体" w:hAnsi="宋体" w:cs="宋体"/>
          <w:b/>
          <w:bCs/>
          <w:color w:val="FF0000"/>
          <w:szCs w:val="21"/>
        </w:rPr>
        <w:t>★</w:t>
      </w:r>
      <w:bookmarkEnd w:id="2"/>
      <w:r>
        <w:rPr>
          <w:rFonts w:hint="eastAsia" w:ascii="宋体" w:hAnsi="宋体" w:cs="宋体"/>
          <w:b/>
          <w:bCs/>
          <w:color w:val="FF0000"/>
          <w:szCs w:val="21"/>
        </w:rPr>
        <w:t xml:space="preserve">2．投标产品在NMPA注册证上的适用范围/预期用途须为：病原体/传染性疾病项目的检测 </w:t>
      </w:r>
      <w:r>
        <w:rPr>
          <w:rFonts w:hint="eastAsia" w:ascii="宋体" w:hAnsi="宋体" w:cs="宋体"/>
          <w:b/>
          <w:bCs/>
          <w:color w:val="FF0000"/>
          <w:szCs w:val="21"/>
          <w:lang w:eastAsia="zh-CN"/>
        </w:rPr>
        <w:t>（</w:t>
      </w:r>
      <w:r>
        <w:rPr>
          <w:rFonts w:hint="eastAsia" w:ascii="宋体" w:hAnsi="宋体" w:cs="宋体"/>
          <w:b/>
          <w:bCs/>
          <w:color w:val="FF0000"/>
          <w:szCs w:val="21"/>
          <w:lang w:val="en-US" w:eastAsia="zh-CN"/>
        </w:rPr>
        <w:t>须</w:t>
      </w:r>
      <w:r>
        <w:rPr>
          <w:rFonts w:hint="eastAsia" w:ascii="宋体" w:hAnsi="宋体" w:cs="宋体"/>
          <w:b/>
          <w:bCs/>
          <w:color w:val="FF0000"/>
          <w:szCs w:val="21"/>
        </w:rPr>
        <w:t>提供投标产品的注册证和配套使用的HIV确证诊断试剂盒使用说明书，作为响应依据材料</w:t>
      </w:r>
      <w:r>
        <w:rPr>
          <w:rFonts w:hint="eastAsia" w:ascii="宋体" w:hAnsi="宋体" w:cs="宋体"/>
          <w:b/>
          <w:bCs/>
          <w:color w:val="FF0000"/>
          <w:szCs w:val="21"/>
          <w:lang w:eastAsia="zh-CN"/>
        </w:rPr>
        <w:t>）</w:t>
      </w:r>
    </w:p>
    <w:p w14:paraId="590FD04E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  <w:r>
        <w:rPr>
          <w:rFonts w:hint="eastAsia" w:ascii="宋体" w:hAnsi="宋体" w:cs="宋体"/>
          <w:b/>
          <w:bCs/>
          <w:color w:val="FF0000"/>
          <w:szCs w:val="21"/>
        </w:rPr>
        <w:t>★</w:t>
      </w:r>
      <w:r>
        <w:rPr>
          <w:rFonts w:hint="eastAsia" w:ascii="宋体" w:hAnsi="宋体" w:cs="宋体"/>
          <w:b/>
          <w:bCs/>
          <w:color w:val="FF0000"/>
          <w:szCs w:val="21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FF0000"/>
          <w:szCs w:val="21"/>
        </w:rPr>
        <w:t>．核心产品须满三家投标人（品牌）：本项目所采购免疫印迹仪，提供相同品牌产品且通过资格审查、符合性审查的不同投标人参加同一合同项下投标的，按一家投标人计算。若评委会认定投标人不足3家，则本项目作流标处理。</w:t>
      </w:r>
    </w:p>
    <w:p w14:paraId="7C13446A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  <w:lang w:eastAsia="zh-CN"/>
        </w:rPr>
      </w:pPr>
    </w:p>
    <w:p w14:paraId="1662D3C5">
      <w:pPr>
        <w:pStyle w:val="3"/>
        <w:spacing w:before="156" w:beforeLines="50" w:beforeAutospacing="0" w:after="156" w:afterLines="50" w:afterAutospacing="0" w:line="360" w:lineRule="auto"/>
        <w:rPr>
          <w:rFonts w:hint="eastAsia" w:cs="Calibri"/>
          <w:b/>
          <w:bCs/>
          <w:kern w:val="2"/>
          <w:sz w:val="21"/>
          <w:szCs w:val="22"/>
        </w:rPr>
      </w:pPr>
      <w:r>
        <w:rPr>
          <w:rFonts w:hint="eastAsia" w:cs="Calibri"/>
          <w:b/>
          <w:bCs/>
          <w:kern w:val="2"/>
          <w:sz w:val="21"/>
          <w:szCs w:val="22"/>
        </w:rPr>
        <w:t>三、技术参数</w:t>
      </w:r>
    </w:p>
    <w:p w14:paraId="6862FAB7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1．在封闭的仪器环境内全自动化操作。</w:t>
      </w:r>
    </w:p>
    <w:p w14:paraId="383929A1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2．最大测试容量：≥48个，检测位置可从任意位置开始。</w:t>
      </w:r>
    </w:p>
    <w:p w14:paraId="03FED597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＃3．内置样本ID条码采集器，自动识别样本条码，生成样本列表，48孔样本转盘内可随意放入样本，可跳空插放（请提供设备彩页或说明书，作为响应</w:t>
      </w:r>
      <w:bookmarkStart w:id="3" w:name="OLE_LINK24"/>
      <w:r>
        <w:rPr>
          <w:rFonts w:hint="eastAsia" w:ascii="宋体" w:hAnsi="宋体" w:cs="宋体"/>
          <w:b/>
          <w:bCs/>
          <w:szCs w:val="21"/>
        </w:rPr>
        <w:t>依据材料</w:t>
      </w:r>
      <w:bookmarkEnd w:id="3"/>
      <w:r>
        <w:rPr>
          <w:rFonts w:hint="eastAsia" w:ascii="宋体" w:hAnsi="宋体" w:cs="宋体"/>
          <w:b/>
          <w:bCs/>
          <w:szCs w:val="21"/>
        </w:rPr>
        <w:t>）。</w:t>
      </w:r>
    </w:p>
    <w:p w14:paraId="6254BC00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4．操作界面：触摸液晶显示屏，PC操作系统，背光显示，实时控制显示实验进程，防止实验误操作。</w:t>
      </w:r>
    </w:p>
    <w:p w14:paraId="67BD240A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5．可实时全程跟踪实验进展，提供样本和试剂溯源性记录，并同步在触摸液晶显示屏上，显示仪器的运行进程，具有倒计时功能。</w:t>
      </w:r>
    </w:p>
    <w:p w14:paraId="5E1C7DE1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6．三维机械臂：xyz三维运动机械臂，自动完成样本和试剂加样，避免交叉污染，配合48孔样本转盘，根据实验需要，可自动选择最佳配置的一次性TIPS（如：200μl、1mL或5mL）。</w:t>
      </w:r>
    </w:p>
    <w:p w14:paraId="0616104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7．具有TIPS实时监测功能（装针、脱针实时监测），防止交叉污染。</w:t>
      </w:r>
    </w:p>
    <w:p w14:paraId="177C6BF0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8．可直接使用样本冻存管。</w:t>
      </w:r>
    </w:p>
    <w:p w14:paraId="1B45835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9．全自动高精度注射泵系统：样本注射泵，分配体积10～1000μl，最小分配体积：1μl，CV≤2%；试剂注射泵，分配体积250～5000μl，最小分配体积：10μl，CV≤5%，多余液体自动收集。</w:t>
      </w:r>
      <w:bookmarkStart w:id="4" w:name="OLE_LINK15"/>
    </w:p>
    <w:bookmarkEnd w:id="4"/>
    <w:p w14:paraId="75568C8B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10．具有液面自动监测系统，避免漏加样本。</w:t>
      </w:r>
    </w:p>
    <w:p w14:paraId="4CFFF6C0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＃11. 试剂瓶、泵、管道和操作编程软件内相应系统设置同一色码标识，可防止误操作；可编程程序数量≥20个，无编程步骤限制</w:t>
      </w:r>
      <w:bookmarkStart w:id="5" w:name="OLE_LINK19"/>
      <w:r>
        <w:rPr>
          <w:rFonts w:hint="eastAsia" w:ascii="宋体" w:hAnsi="宋体" w:cs="宋体"/>
          <w:b/>
          <w:bCs/>
          <w:szCs w:val="21"/>
        </w:rPr>
        <w:t>（请提供设备彩页或说明书，作为响应依据材料）</w:t>
      </w:r>
      <w:bookmarkEnd w:id="5"/>
      <w:r>
        <w:rPr>
          <w:rFonts w:hint="eastAsia" w:ascii="宋体" w:hAnsi="宋体" w:cs="宋体"/>
          <w:b/>
          <w:bCs/>
          <w:szCs w:val="21"/>
        </w:rPr>
        <w:t>。</w:t>
      </w:r>
    </w:p>
    <w:p w14:paraId="6ECB6688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＃12．具备升、降温功能，孵育温控范围：5～65℃，控温精度±1℃，实时显示实验反应的温度</w:t>
      </w:r>
      <w:bookmarkStart w:id="6" w:name="OLE_LINK5"/>
      <w:r>
        <w:rPr>
          <w:rFonts w:hint="eastAsia" w:ascii="宋体" w:hAnsi="宋体" w:cs="宋体"/>
          <w:b/>
          <w:bCs/>
          <w:szCs w:val="21"/>
        </w:rPr>
        <w:t>（请提供质量检验中心出具的检验报告，</w:t>
      </w:r>
      <w:bookmarkStart w:id="7" w:name="OLE_LINK16"/>
      <w:r>
        <w:rPr>
          <w:rFonts w:hint="eastAsia" w:ascii="宋体" w:hAnsi="宋体" w:cs="宋体"/>
          <w:b/>
          <w:bCs/>
          <w:szCs w:val="21"/>
        </w:rPr>
        <w:t>作为响应依据材料</w:t>
      </w:r>
      <w:bookmarkEnd w:id="7"/>
      <w:r>
        <w:rPr>
          <w:rFonts w:hint="eastAsia" w:ascii="宋体" w:hAnsi="宋体" w:cs="宋体"/>
          <w:b/>
          <w:bCs/>
          <w:szCs w:val="21"/>
        </w:rPr>
        <w:t>）。</w:t>
      </w:r>
      <w:bookmarkEnd w:id="6"/>
    </w:p>
    <w:p w14:paraId="0C296AE4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</w:rPr>
      </w:pPr>
      <w:bookmarkStart w:id="8" w:name="OLE_LINK22"/>
      <w:r>
        <w:rPr>
          <w:rFonts w:hint="eastAsia" w:ascii="宋体" w:hAnsi="宋体" w:cs="宋体"/>
          <w:b/>
          <w:bCs/>
          <w:szCs w:val="21"/>
        </w:rPr>
        <w:t>＃</w:t>
      </w:r>
      <w:bookmarkEnd w:id="8"/>
      <w:r>
        <w:rPr>
          <w:rFonts w:hint="eastAsia" w:ascii="宋体" w:hAnsi="宋体" w:cs="宋体"/>
          <w:b/>
          <w:bCs/>
          <w:szCs w:val="21"/>
        </w:rPr>
        <w:t>13．可对两种试剂在设定时间内进行预热，预热温度：室温～85℃，每个预热位可独立控温，试剂从冷藏冰箱取出后可直接上机，无需平衡至室温（请提供质量检验中心出具的检验报告，作为响应依据材料）。</w:t>
      </w:r>
    </w:p>
    <w:p w14:paraId="2BF66D7E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14．孵育时间：时间长度任意设置，增量单位为1分钟。</w:t>
      </w:r>
    </w:p>
    <w:p w14:paraId="27D34B40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15．实验结束后，自动干燥膜条，烘干温控范围：室温～85℃；可选择低温干燥防止两端翘起造成判读误差，并可选择风冷防止RIBA试剂受热褪色。</w:t>
      </w:r>
    </w:p>
    <w:p w14:paraId="6FFA8CD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16．专业CCD影像系统，420TVL高分辨率，自动捕捉实验结果。</w:t>
      </w:r>
    </w:p>
    <w:p w14:paraId="79FB30C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17．自动传输实验数据至临床数据库或PC终端，直接输出检测报告；在同一局域网内，一个PC终端操作系统下，可多机联网操作。</w:t>
      </w:r>
    </w:p>
    <w:p w14:paraId="348C6152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18．专业的配套中英文分析软件，内置数据库，自动判读印迹实验结果，生成标准化报告，同时可将所有实验数据自动存储和建档。</w:t>
      </w:r>
    </w:p>
    <w:p w14:paraId="087E64D4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19．生成的HIV抗体确证实验检测报告，符合《全国艾滋病检测技术规范》（2025年修订版）的相关要求。</w:t>
      </w:r>
    </w:p>
    <w:p w14:paraId="73EECAEA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20．可分级设置用户使用权限。</w:t>
      </w:r>
    </w:p>
    <w:p w14:paraId="2AEB722A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21.板槽类型：可配备高温高压消毒、重复使用的环保型金属板槽和一次性板槽。</w:t>
      </w:r>
    </w:p>
    <w:p w14:paraId="5833F5AC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</w:p>
    <w:p w14:paraId="17AE74AE">
      <w:pPr>
        <w:pStyle w:val="3"/>
        <w:tabs>
          <w:tab w:val="left" w:pos="7701"/>
        </w:tabs>
        <w:spacing w:before="156" w:beforeLines="50" w:beforeAutospacing="0" w:after="156" w:afterLines="50" w:afterAutospacing="0" w:line="360" w:lineRule="auto"/>
        <w:rPr>
          <w:rFonts w:hint="eastAsia" w:cs="Calibri"/>
          <w:b/>
          <w:bCs/>
          <w:kern w:val="2"/>
          <w:sz w:val="21"/>
          <w:szCs w:val="22"/>
        </w:rPr>
      </w:pPr>
      <w:r>
        <w:rPr>
          <w:rFonts w:hint="eastAsia" w:cs="Calibri"/>
          <w:b/>
          <w:bCs/>
          <w:kern w:val="2"/>
          <w:sz w:val="21"/>
          <w:szCs w:val="22"/>
        </w:rPr>
        <w:t>四、交货和售后服务</w:t>
      </w:r>
      <w:r>
        <w:rPr>
          <w:rFonts w:hint="eastAsia" w:cs="Calibri"/>
          <w:b/>
          <w:bCs/>
          <w:kern w:val="2"/>
          <w:sz w:val="21"/>
          <w:szCs w:val="22"/>
        </w:rPr>
        <w:tab/>
      </w:r>
    </w:p>
    <w:p w14:paraId="1ABEE944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</w:t>
      </w:r>
      <w:r>
        <w:rPr>
          <w:rFonts w:hint="eastAsia" w:ascii="宋体" w:hAnsi="宋体" w:cs="宋体"/>
          <w:szCs w:val="21"/>
          <w:lang w:val="en-US" w:eastAsia="zh-CN"/>
        </w:rPr>
        <w:t>交付期</w:t>
      </w:r>
      <w:r>
        <w:rPr>
          <w:rFonts w:hint="eastAsia" w:ascii="宋体" w:hAnsi="宋体" w:cs="宋体"/>
          <w:szCs w:val="21"/>
        </w:rPr>
        <w:t>：</w:t>
      </w:r>
      <w:r>
        <w:rPr>
          <w:rFonts w:hint="eastAsia" w:ascii="宋体" w:hAnsi="宋体" w:cs="宋体"/>
          <w:szCs w:val="21"/>
          <w:lang w:val="en-US" w:eastAsia="zh-CN"/>
        </w:rPr>
        <w:t>合同签订后30天内交货</w:t>
      </w:r>
      <w:r>
        <w:rPr>
          <w:rFonts w:hint="eastAsia" w:ascii="宋体" w:hAnsi="宋体" w:cs="宋体"/>
          <w:szCs w:val="21"/>
        </w:rPr>
        <w:t>。</w:t>
      </w:r>
    </w:p>
    <w:p w14:paraId="7F3088EC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</w:rPr>
        <w:t>2、交货时提供仪器设备使用操作的中文手册</w:t>
      </w:r>
      <w:bookmarkStart w:id="9" w:name="OLE_LINK13"/>
      <w:r>
        <w:rPr>
          <w:rFonts w:hint="eastAsia" w:ascii="宋体" w:hAnsi="宋体" w:cs="宋体"/>
          <w:szCs w:val="21"/>
          <w:lang w:eastAsia="zh-CN"/>
        </w:rPr>
        <w:t>。</w:t>
      </w:r>
    </w:p>
    <w:p w14:paraId="2314E524">
      <w:pPr>
        <w:tabs>
          <w:tab w:val="left" w:pos="420"/>
        </w:tabs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color w:val="FF0000"/>
          <w:szCs w:val="21"/>
          <w:lang w:eastAsia="zh-CN"/>
        </w:rPr>
      </w:pPr>
      <w:r>
        <w:rPr>
          <w:rFonts w:hint="eastAsia" w:ascii="宋体" w:hAnsi="宋体" w:cs="宋体"/>
          <w:b/>
          <w:bCs/>
          <w:color w:val="FF0000"/>
          <w:szCs w:val="21"/>
        </w:rPr>
        <w:t>★3、</w:t>
      </w:r>
      <w:bookmarkStart w:id="10" w:name="OLE_LINK14"/>
      <w:r>
        <w:rPr>
          <w:rFonts w:hint="eastAsia" w:ascii="宋体" w:hAnsi="宋体" w:cs="宋体"/>
          <w:b/>
          <w:bCs/>
          <w:color w:val="FF0000"/>
          <w:szCs w:val="21"/>
        </w:rPr>
        <w:t>卖方须到买方提供的现场免费安装调试至运行正常，调试时提供配套HIV确证检测试剂提供1盒（规格：≥24人份/盒）和匹配性性能验证报告</w:t>
      </w:r>
      <w:bookmarkEnd w:id="10"/>
      <w:r>
        <w:rPr>
          <w:rFonts w:hint="eastAsia" w:ascii="宋体" w:hAnsi="宋体" w:cs="宋体"/>
          <w:b/>
          <w:bCs/>
          <w:color w:val="FF0000"/>
          <w:szCs w:val="21"/>
        </w:rPr>
        <w:t>（投标单位须提供承诺函）</w:t>
      </w:r>
      <w:r>
        <w:rPr>
          <w:rFonts w:hint="eastAsia" w:ascii="宋体" w:hAnsi="宋体" w:cs="宋体"/>
          <w:b/>
          <w:bCs/>
          <w:color w:val="FF0000"/>
          <w:szCs w:val="21"/>
          <w:lang w:eastAsia="zh-CN"/>
        </w:rPr>
        <w:t>。</w:t>
      </w:r>
    </w:p>
    <w:bookmarkEnd w:id="9"/>
    <w:p w14:paraId="73A75D2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</w:rPr>
        <w:t>4、装机时为至少2名仪器操作人员提供免费的操作及维护培训</w:t>
      </w:r>
      <w:r>
        <w:rPr>
          <w:rFonts w:hint="eastAsia" w:ascii="宋体" w:hAnsi="宋体" w:cs="宋体"/>
          <w:szCs w:val="21"/>
          <w:lang w:eastAsia="zh-CN"/>
        </w:rPr>
        <w:t>。</w:t>
      </w:r>
    </w:p>
    <w:p w14:paraId="76AEBC5F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5、装机验收合格日起整机（包括配件）至少</w:t>
      </w:r>
      <w:r>
        <w:rPr>
          <w:rFonts w:hint="eastAsia" w:ascii="宋体" w:hAnsi="宋体" w:cs="宋体"/>
          <w:szCs w:val="21"/>
          <w:lang w:val="en-US" w:eastAsia="zh-CN"/>
        </w:rPr>
        <w:t>三年</w:t>
      </w:r>
      <w:r>
        <w:rPr>
          <w:rFonts w:hint="eastAsia" w:ascii="宋体" w:hAnsi="宋体" w:cs="宋体"/>
          <w:szCs w:val="21"/>
        </w:rPr>
        <w:t>保修，终身维护。</w:t>
      </w:r>
    </w:p>
    <w:bookmarkEnd w:id="1"/>
    <w:p w14:paraId="287D82B9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720CB092">
      <w:pPr>
        <w:pStyle w:val="3"/>
        <w:tabs>
          <w:tab w:val="left" w:pos="7701"/>
        </w:tabs>
        <w:spacing w:before="156" w:beforeLines="50" w:beforeAutospacing="0" w:after="156" w:afterLines="50" w:afterAutospacing="0" w:line="360" w:lineRule="auto"/>
        <w:rPr>
          <w:rFonts w:hint="eastAsia" w:cs="Calibri"/>
          <w:b/>
          <w:bCs/>
          <w:kern w:val="2"/>
          <w:sz w:val="21"/>
          <w:szCs w:val="22"/>
        </w:rPr>
      </w:pPr>
      <w:r>
        <w:rPr>
          <w:rFonts w:hint="eastAsia" w:cs="Calibri"/>
          <w:b/>
          <w:bCs/>
          <w:kern w:val="2"/>
          <w:sz w:val="21"/>
          <w:szCs w:val="22"/>
        </w:rPr>
        <w:t>五、付款及验收方式</w:t>
      </w:r>
    </w:p>
    <w:p w14:paraId="6BDEC82C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1、付款方式</w:t>
      </w:r>
    </w:p>
    <w:p w14:paraId="5CB238FE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项目通过验收后，支付100%合同款项。    </w:t>
      </w:r>
    </w:p>
    <w:p w14:paraId="3C414F9A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2、验收方式</w:t>
      </w:r>
    </w:p>
    <w:p w14:paraId="30978CEE">
      <w:pPr>
        <w:tabs>
          <w:tab w:val="left" w:pos="420"/>
        </w:tabs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本项目由采购单位自行验收，根据前述功能项清单及技术要求，按使用单位使用意见和招标技术要求功能进行逐条核验验收。</w:t>
      </w:r>
    </w:p>
    <w:p w14:paraId="2933D7D7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018F2"/>
    <w:rsid w:val="21D0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7">
    <w:name w:val="样式1"/>
    <w:basedOn w:val="2"/>
    <w:qFormat/>
    <w:uiPriority w:val="0"/>
    <w:pPr>
      <w:jc w:val="center"/>
    </w:pPr>
    <w:rPr>
      <w:bCs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2026-07-10T08:44:00Z</dcterms:created>
  <dc:creator>135.</dc:creator>
  <cp:lastModifiedBy>135.</cp:lastModifiedBy>
  <dcterms:modified xsi:type="dcterms:W3CDTF">2026-07-10T08:44:34Z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D855691C56B44819B5C0CEF612FED451_11</vt:lpwstr>
  </property>
  <property fmtid="{D5CDD505-2E9C-101B-9397-08002B2CF9AE}" pid="4" name="KSOTemplateDocerSaveRecord">
    <vt:lpwstr>eyJoZGlkIjoiMGE0NWE2MGY4NzMzZmNhOTRhODlhZDMzZDI1Mzk4NWYiLCJ1c2VySWQiOiIxMDMyMjc4NzM3In0=</vt:lpwstr>
  </property>
</Properties>
</file>