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55D01">
      <w:pPr>
        <w:spacing w:line="360" w:lineRule="auto"/>
        <w:jc w:val="left"/>
        <w:rPr>
          <w:rFonts w:hint="eastAsia" w:ascii="宋体" w:hAnsi="宋体"/>
          <w:b/>
        </w:rPr>
      </w:pPr>
      <w:bookmarkStart w:id="0" w:name="_Toc178192080"/>
      <w:r>
        <w:rPr>
          <w:rFonts w:hint="eastAsia" w:ascii="宋体" w:hAnsi="宋体"/>
          <w:b/>
        </w:rPr>
        <w:t>一、项目概况</w:t>
      </w:r>
      <w:bookmarkEnd w:id="0"/>
    </w:p>
    <w:p w14:paraId="170478B7">
      <w:pPr>
        <w:spacing w:line="360" w:lineRule="auto"/>
        <w:jc w:val="left"/>
        <w:rPr>
          <w:rFonts w:hint="eastAsia" w:ascii="宋体" w:hAnsi="宋体" w:cs="宋体"/>
          <w:b/>
          <w:bCs/>
          <w:szCs w:val="21"/>
        </w:rPr>
      </w:pPr>
      <w:bookmarkStart w:id="1" w:name="_Toc178192081"/>
      <w:r>
        <w:rPr>
          <w:rFonts w:hint="eastAsia" w:ascii="宋体" w:hAnsi="宋体" w:cs="宋体"/>
          <w:b/>
          <w:bCs/>
          <w:szCs w:val="21"/>
        </w:rPr>
        <w:t>（一）</w:t>
      </w:r>
      <w:bookmarkEnd w:id="1"/>
      <w:r>
        <w:rPr>
          <w:rFonts w:hint="eastAsia" w:ascii="宋体" w:hAnsi="宋体" w:cs="宋体"/>
          <w:b/>
          <w:bCs/>
          <w:szCs w:val="21"/>
        </w:rPr>
        <w:t>项目背景</w:t>
      </w:r>
    </w:p>
    <w:p w14:paraId="2BBD35DD">
      <w:pPr>
        <w:spacing w:line="360" w:lineRule="auto"/>
        <w:ind w:firstLine="420"/>
        <w:jc w:val="left"/>
        <w:rPr>
          <w:rFonts w:hint="eastAsia" w:ascii="宋体" w:hAnsi="宋体" w:cs="宋体"/>
          <w:szCs w:val="21"/>
        </w:rPr>
      </w:pPr>
      <w:r>
        <w:rPr>
          <w:rFonts w:hint="eastAsia" w:ascii="宋体" w:hAnsi="宋体" w:cs="宋体"/>
          <w:szCs w:val="21"/>
        </w:rPr>
        <w:t>根据《上海市深化“一网通办”改革 打造“高效办成一件事”最佳体验地行动方案》等文件要求，持续高标准落实“一网通办”建设相关工作部署，保持政务服务标准化、智能化、便利化水平，切实保障企业和群众办事高效顺畅。</w:t>
      </w:r>
    </w:p>
    <w:p w14:paraId="3F88E7D9">
      <w:pPr>
        <w:spacing w:line="360" w:lineRule="auto"/>
        <w:ind w:firstLine="420"/>
        <w:jc w:val="left"/>
        <w:rPr>
          <w:rFonts w:hint="eastAsia" w:ascii="宋体" w:hAnsi="宋体" w:cs="宋体"/>
          <w:szCs w:val="21"/>
        </w:rPr>
      </w:pPr>
      <w:r>
        <w:rPr>
          <w:rFonts w:hint="eastAsia" w:ascii="宋体" w:hAnsi="宋体" w:cs="宋体"/>
          <w:szCs w:val="21"/>
        </w:rPr>
        <w:t>徐汇区政务服务中心将原先分散于多个部门的83个专窗整合为18个综合窗口的“一站式”政务服务全国示范中心，围绕“指尖上、家门口、一体化”工作体系正式对外提供全科式零差别服务。本中心已建成并投入运行：徐汇区企业专属空间、“免申即享”、“随申办”市民云、企业云旗舰店、虚拟帮办咨询服务平台、区统一综窗基础支撑系统、区电子材料库、统一综窗数控中心、自助工作台、证照柜等主要系统。上述系统构成政务服务中心日常业务办理、数据共享、对外服务的核心技术支撑体系。随着政务服务中心各类软件系统常年高频次连续运行，系统版本迭代、漏洞补丁更新、网络安全防护、故障应急处置、日常巡检保障等常态化运维需求持续增加。若缺乏专业化、体系化的年度运维保障，极易出现系统卡顿、终端故障、数据安全风险、自助设备停机等问题，直接影响窗口审批和服务效率，造成办事群众排队拥堵、业务流程中断，损害政务服务公信力与群众满意度。</w:t>
      </w:r>
    </w:p>
    <w:p w14:paraId="3ADA85A1">
      <w:pPr>
        <w:spacing w:line="360" w:lineRule="auto"/>
        <w:ind w:firstLine="420"/>
        <w:jc w:val="left"/>
        <w:rPr>
          <w:rFonts w:hint="eastAsia" w:ascii="宋体" w:hAnsi="宋体" w:cs="宋体"/>
          <w:szCs w:val="21"/>
        </w:rPr>
      </w:pPr>
      <w:r>
        <w:rPr>
          <w:rFonts w:hint="eastAsia" w:ascii="宋体" w:hAnsi="宋体" w:cs="宋体"/>
          <w:szCs w:val="21"/>
        </w:rPr>
        <w:t>当前政务信息化工作已从重建设转向建运并重的新阶段，建立故障快速响应、定期巡检保养、系统优化升级、安全隐患排查、技术驻场支撑的长效保障机制，确保政务服务全流程不间断、系统运行安全可控、中心各类设施功能完好，有序承接各类审批事项办理工作，特实施本次政务服务中心年度运维服务项目。</w:t>
      </w:r>
    </w:p>
    <w:p w14:paraId="4A8A1A6D">
      <w:pPr>
        <w:spacing w:line="360" w:lineRule="auto"/>
        <w:jc w:val="left"/>
        <w:rPr>
          <w:rFonts w:hint="eastAsia" w:ascii="宋体" w:hAnsi="宋体" w:cs="宋体"/>
          <w:b/>
          <w:bCs/>
          <w:szCs w:val="21"/>
        </w:rPr>
      </w:pPr>
      <w:bookmarkStart w:id="2" w:name="_Toc178192082"/>
      <w:r>
        <w:rPr>
          <w:rFonts w:hint="eastAsia" w:ascii="宋体" w:hAnsi="宋体" w:cs="宋体"/>
          <w:b/>
          <w:bCs/>
          <w:szCs w:val="21"/>
        </w:rPr>
        <w:t>（二）</w:t>
      </w:r>
      <w:bookmarkEnd w:id="2"/>
      <w:r>
        <w:rPr>
          <w:rFonts w:hint="eastAsia" w:ascii="宋体" w:hAnsi="宋体" w:cs="宋体"/>
          <w:b/>
          <w:bCs/>
          <w:szCs w:val="21"/>
        </w:rPr>
        <w:t>服务目标</w:t>
      </w:r>
    </w:p>
    <w:p w14:paraId="06F503B8">
      <w:pPr>
        <w:spacing w:line="360" w:lineRule="auto"/>
        <w:ind w:firstLine="420"/>
        <w:jc w:val="left"/>
        <w:rPr>
          <w:rFonts w:hint="eastAsia" w:ascii="宋体" w:hAnsi="宋体" w:cs="宋体"/>
          <w:szCs w:val="21"/>
        </w:rPr>
      </w:pPr>
      <w:r>
        <w:rPr>
          <w:rFonts w:hint="eastAsia" w:ascii="宋体" w:hAnsi="宋体" w:cs="宋体"/>
          <w:szCs w:val="21"/>
        </w:rPr>
        <w:t>政务信息化的建设完成后，系统运维和持续的技术服务同样关键，系统持续长久的使用，能带来活跃度和转化，持续推动“一网通办”平台各项服务内容和功能快速优化迭代，推动服务范围不断拓展、服务内容不断丰富、服务体验不断优化、服务模式不断创新、服务生态不断完善。优质的技术支持的核心目标是保证系统的可靠、稳定运行，及时发现系统故障和排除故障、响应客户请求。为了实现上述目标，为本项目系统提供完善业务梳理、维护、培训和咨询服务，并实现以下目标：</w:t>
      </w:r>
    </w:p>
    <w:p w14:paraId="6939764B">
      <w:pPr>
        <w:spacing w:line="360" w:lineRule="auto"/>
        <w:ind w:firstLine="420"/>
        <w:jc w:val="left"/>
        <w:rPr>
          <w:rFonts w:hint="eastAsia" w:ascii="宋体" w:hAnsi="宋体" w:cs="宋体"/>
          <w:szCs w:val="21"/>
        </w:rPr>
      </w:pPr>
      <w:r>
        <w:rPr>
          <w:rFonts w:hint="eastAsia" w:ascii="宋体" w:hAnsi="宋体" w:cs="宋体"/>
          <w:szCs w:val="21"/>
        </w:rPr>
        <w:t>（1）提升信息系统服务效率</w:t>
      </w:r>
    </w:p>
    <w:p w14:paraId="4BE9B2DB">
      <w:pPr>
        <w:spacing w:line="360" w:lineRule="auto"/>
        <w:ind w:firstLine="420"/>
        <w:jc w:val="left"/>
        <w:rPr>
          <w:rFonts w:hint="eastAsia" w:ascii="宋体" w:hAnsi="宋体" w:cs="宋体"/>
          <w:szCs w:val="21"/>
        </w:rPr>
      </w:pPr>
      <w:r>
        <w:rPr>
          <w:rFonts w:hint="eastAsia" w:ascii="宋体" w:hAnsi="宋体" w:cs="宋体"/>
          <w:szCs w:val="21"/>
        </w:rPr>
        <w:t>通过运行维护服务的有效管理来提升用户信息系统的服务效率，协调各业务应用系统的内部运作，改善网络信息系统部门与业务后台部门的沟通，提高服务质量。结合用户现有的环境、组织结构、IT资源和管理流程的特点，从流程、人员和技术三方面来规划用户的网络信息系统的结构。将用户的运行目标、业务需求与IT服务协调一致。</w:t>
      </w:r>
    </w:p>
    <w:p w14:paraId="553D7DAC">
      <w:pPr>
        <w:spacing w:line="360" w:lineRule="auto"/>
        <w:ind w:firstLine="420"/>
        <w:jc w:val="left"/>
        <w:rPr>
          <w:rFonts w:hint="eastAsia" w:ascii="宋体" w:hAnsi="宋体" w:cs="宋体"/>
          <w:szCs w:val="21"/>
        </w:rPr>
      </w:pPr>
      <w:r>
        <w:rPr>
          <w:rFonts w:hint="eastAsia" w:ascii="宋体" w:hAnsi="宋体" w:cs="宋体"/>
          <w:szCs w:val="21"/>
        </w:rPr>
        <w:t>（2）加强信息资源监控管理</w:t>
      </w:r>
    </w:p>
    <w:p w14:paraId="3A012E40">
      <w:pPr>
        <w:spacing w:line="360" w:lineRule="auto"/>
        <w:ind w:firstLine="420"/>
        <w:jc w:val="left"/>
        <w:rPr>
          <w:rFonts w:hint="eastAsia" w:ascii="宋体" w:hAnsi="宋体" w:cs="宋体"/>
          <w:szCs w:val="21"/>
        </w:rPr>
      </w:pPr>
      <w:r>
        <w:rPr>
          <w:rFonts w:hint="eastAsia" w:ascii="宋体" w:hAnsi="宋体" w:cs="宋体"/>
          <w:szCs w:val="21"/>
        </w:rPr>
        <w:t>对平台现有的信息系统基础资源进行监控和管理，及时掌握网络信息系统资源现状和配置信息，反映信息系统资源的可用性情况和健康状况，创建一个可知可控的IT环境，从而保证用户信息系统的各类业务应用系统的可靠、高效、持续、安全运行。</w:t>
      </w:r>
    </w:p>
    <w:p w14:paraId="70C84F99">
      <w:pPr>
        <w:spacing w:line="360" w:lineRule="auto"/>
        <w:ind w:firstLine="420"/>
        <w:jc w:val="left"/>
        <w:rPr>
          <w:rFonts w:hint="eastAsia" w:ascii="宋体" w:hAnsi="宋体" w:cs="宋体"/>
          <w:szCs w:val="21"/>
        </w:rPr>
      </w:pPr>
      <w:r>
        <w:rPr>
          <w:rFonts w:hint="eastAsia" w:ascii="宋体" w:hAnsi="宋体" w:cs="宋体"/>
          <w:szCs w:val="21"/>
        </w:rPr>
        <w:t>（3）确保信息系统稳定运行。</w:t>
      </w:r>
    </w:p>
    <w:p w14:paraId="64B69009">
      <w:pPr>
        <w:spacing w:line="360" w:lineRule="auto"/>
        <w:jc w:val="left"/>
        <w:rPr>
          <w:rFonts w:hint="eastAsia" w:ascii="宋体" w:hAnsi="宋体" w:cs="宋体"/>
          <w:b/>
          <w:bCs/>
          <w:szCs w:val="21"/>
        </w:rPr>
      </w:pPr>
      <w:bookmarkStart w:id="3" w:name="_Toc178192087"/>
      <w:r>
        <w:rPr>
          <w:rFonts w:hint="eastAsia" w:ascii="宋体" w:hAnsi="宋体" w:cs="宋体"/>
          <w:b/>
          <w:bCs/>
          <w:szCs w:val="21"/>
        </w:rPr>
        <w:t>（三）技术服务框架</w:t>
      </w:r>
      <w:bookmarkEnd w:id="3"/>
    </w:p>
    <w:p w14:paraId="44A16ADD">
      <w:pPr>
        <w:spacing w:line="360" w:lineRule="auto"/>
        <w:ind w:firstLine="420"/>
        <w:jc w:val="left"/>
        <w:rPr>
          <w:rFonts w:hint="eastAsia" w:ascii="宋体" w:hAnsi="宋体" w:cs="宋体"/>
          <w:szCs w:val="21"/>
        </w:rPr>
      </w:pPr>
      <w:r>
        <w:rPr>
          <w:rFonts w:hint="eastAsia" w:ascii="宋体" w:hAnsi="宋体" w:cs="宋体"/>
          <w:szCs w:val="21"/>
        </w:rPr>
        <w:t>技术服务框架示意图如下：</w:t>
      </w:r>
    </w:p>
    <w:p w14:paraId="0AC22796">
      <w:pPr>
        <w:spacing w:line="500" w:lineRule="exact"/>
        <w:ind w:firstLine="420" w:firstLineChars="200"/>
        <w:rPr>
          <w:rFonts w:hint="eastAsia" w:ascii="仿宋_GB2312" w:eastAsia="仿宋_GB2312"/>
          <w:sz w:val="24"/>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316220" cy="2529205"/>
            <wp:effectExtent l="0" t="0" r="17780" b="444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rcRect r="9526" b="23477"/>
                    <a:stretch>
                      <a:fillRect/>
                    </a:stretch>
                  </pic:blipFill>
                  <pic:spPr>
                    <a:xfrm>
                      <a:off x="0" y="0"/>
                      <a:ext cx="5316220" cy="2529205"/>
                    </a:xfrm>
                    <a:prstGeom prst="rect">
                      <a:avLst/>
                    </a:prstGeom>
                    <a:noFill/>
                    <a:ln>
                      <a:noFill/>
                    </a:ln>
                  </pic:spPr>
                </pic:pic>
              </a:graphicData>
            </a:graphic>
          </wp:anchor>
        </w:drawing>
      </w:r>
    </w:p>
    <w:p w14:paraId="29DC2CD3">
      <w:pPr>
        <w:spacing w:line="360" w:lineRule="auto"/>
        <w:jc w:val="left"/>
        <w:rPr>
          <w:rFonts w:hint="eastAsia" w:ascii="宋体" w:hAnsi="宋体" w:cs="宋体"/>
          <w:b/>
          <w:bCs/>
          <w:szCs w:val="21"/>
        </w:rPr>
      </w:pPr>
      <w:bookmarkStart w:id="4" w:name="_Toc178192088"/>
      <w:r>
        <w:rPr>
          <w:rFonts w:hint="eastAsia" w:ascii="宋体" w:hAnsi="宋体" w:cs="宋体"/>
          <w:b/>
          <w:bCs/>
          <w:szCs w:val="21"/>
        </w:rPr>
        <w:t>（四）运维范围及服务内容</w:t>
      </w:r>
      <w:bookmarkEnd w:id="4"/>
    </w:p>
    <w:p w14:paraId="56BD54A5">
      <w:pPr>
        <w:spacing w:line="360" w:lineRule="auto"/>
        <w:ind w:firstLine="420"/>
        <w:jc w:val="left"/>
        <w:rPr>
          <w:rFonts w:hint="eastAsia" w:ascii="宋体" w:hAnsi="宋体" w:cs="宋体"/>
          <w:szCs w:val="21"/>
        </w:rPr>
      </w:pPr>
      <w:r>
        <w:rPr>
          <w:rFonts w:hint="eastAsia" w:ascii="宋体" w:hAnsi="宋体" w:cs="宋体"/>
          <w:szCs w:val="21"/>
        </w:rPr>
        <w:t>项目运维范围及服务内容包含：</w:t>
      </w:r>
    </w:p>
    <w:tbl>
      <w:tblPr>
        <w:tblStyle w:val="3"/>
        <w:tblW w:w="10542" w:type="dxa"/>
        <w:tblInd w:w="-646" w:type="dxa"/>
        <w:tblLayout w:type="fixed"/>
        <w:tblCellMar>
          <w:top w:w="0" w:type="dxa"/>
          <w:left w:w="108" w:type="dxa"/>
          <w:bottom w:w="0" w:type="dxa"/>
          <w:right w:w="108" w:type="dxa"/>
        </w:tblCellMar>
      </w:tblPr>
      <w:tblGrid>
        <w:gridCol w:w="835"/>
        <w:gridCol w:w="1477"/>
        <w:gridCol w:w="2402"/>
        <w:gridCol w:w="4350"/>
        <w:gridCol w:w="1478"/>
      </w:tblGrid>
      <w:tr w14:paraId="070ECC57">
        <w:tblPrEx>
          <w:tblCellMar>
            <w:top w:w="0" w:type="dxa"/>
            <w:left w:w="108" w:type="dxa"/>
            <w:bottom w:w="0" w:type="dxa"/>
            <w:right w:w="108" w:type="dxa"/>
          </w:tblCellMar>
        </w:tblPrEx>
        <w:trPr>
          <w:trHeight w:val="363" w:hRule="atLeast"/>
        </w:trPr>
        <w:tc>
          <w:tcPr>
            <w:tcW w:w="835" w:type="dxa"/>
            <w:tcBorders>
              <w:top w:val="single" w:color="auto" w:sz="8" w:space="0"/>
              <w:left w:val="single" w:color="auto" w:sz="8" w:space="0"/>
              <w:bottom w:val="single" w:color="auto" w:sz="4" w:space="0"/>
              <w:right w:val="single" w:color="auto" w:sz="4" w:space="0"/>
            </w:tcBorders>
            <w:shd w:val="clear" w:color="000000" w:fill="C0C0C0"/>
            <w:noWrap w:val="0"/>
            <w:vAlign w:val="center"/>
          </w:tcPr>
          <w:p w14:paraId="2520E6C3">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1477" w:type="dxa"/>
            <w:tcBorders>
              <w:top w:val="single" w:color="auto" w:sz="8" w:space="0"/>
              <w:left w:val="nil"/>
              <w:bottom w:val="single" w:color="auto" w:sz="4" w:space="0"/>
              <w:right w:val="single" w:color="auto" w:sz="4" w:space="0"/>
            </w:tcBorders>
            <w:shd w:val="clear" w:color="000000" w:fill="C0C0C0"/>
            <w:noWrap w:val="0"/>
            <w:vAlign w:val="center"/>
          </w:tcPr>
          <w:p w14:paraId="2B6F7D14">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系统名称</w:t>
            </w:r>
          </w:p>
        </w:tc>
        <w:tc>
          <w:tcPr>
            <w:tcW w:w="2402" w:type="dxa"/>
            <w:tcBorders>
              <w:top w:val="single" w:color="auto" w:sz="8" w:space="0"/>
              <w:left w:val="nil"/>
              <w:bottom w:val="single" w:color="auto" w:sz="4" w:space="0"/>
              <w:right w:val="single" w:color="auto" w:sz="4" w:space="0"/>
            </w:tcBorders>
            <w:shd w:val="clear" w:color="000000" w:fill="C0C0C0"/>
            <w:noWrap w:val="0"/>
            <w:vAlign w:val="center"/>
          </w:tcPr>
          <w:p w14:paraId="2530F1F0">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服务内容</w:t>
            </w:r>
          </w:p>
        </w:tc>
        <w:tc>
          <w:tcPr>
            <w:tcW w:w="4350" w:type="dxa"/>
            <w:tcBorders>
              <w:top w:val="single" w:color="auto" w:sz="8" w:space="0"/>
              <w:left w:val="nil"/>
              <w:bottom w:val="single" w:color="auto" w:sz="4" w:space="0"/>
              <w:right w:val="single" w:color="auto" w:sz="4" w:space="0"/>
            </w:tcBorders>
            <w:shd w:val="clear" w:color="000000" w:fill="C0C0C0"/>
            <w:noWrap w:val="0"/>
            <w:vAlign w:val="center"/>
          </w:tcPr>
          <w:p w14:paraId="2740EC84">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内容描述</w:t>
            </w:r>
          </w:p>
        </w:tc>
        <w:tc>
          <w:tcPr>
            <w:tcW w:w="1478" w:type="dxa"/>
            <w:tcBorders>
              <w:top w:val="single" w:color="auto" w:sz="8" w:space="0"/>
              <w:left w:val="nil"/>
              <w:bottom w:val="single" w:color="auto" w:sz="4" w:space="0"/>
              <w:right w:val="single" w:color="auto" w:sz="8" w:space="0"/>
            </w:tcBorders>
            <w:shd w:val="clear" w:color="000000" w:fill="C0C0C0"/>
            <w:noWrap w:val="0"/>
            <w:vAlign w:val="center"/>
          </w:tcPr>
          <w:p w14:paraId="3EE8AAD5">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服务等级</w:t>
            </w:r>
          </w:p>
        </w:tc>
      </w:tr>
      <w:tr w14:paraId="2E69C12E">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000000" w:sz="4" w:space="0"/>
              <w:right w:val="single" w:color="auto" w:sz="4" w:space="0"/>
            </w:tcBorders>
            <w:noWrap w:val="0"/>
            <w:vAlign w:val="center"/>
          </w:tcPr>
          <w:p w14:paraId="42B982FA">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1477" w:type="dxa"/>
            <w:vMerge w:val="restart"/>
            <w:tcBorders>
              <w:top w:val="nil"/>
              <w:left w:val="single" w:color="auto" w:sz="4" w:space="0"/>
              <w:bottom w:val="single" w:color="000000" w:sz="4" w:space="0"/>
              <w:right w:val="single" w:color="auto" w:sz="4" w:space="0"/>
            </w:tcBorders>
            <w:noWrap w:val="0"/>
            <w:vAlign w:val="center"/>
          </w:tcPr>
          <w:p w14:paraId="70E2AE2D">
            <w:pPr>
              <w:widowControl/>
              <w:jc w:val="center"/>
              <w:rPr>
                <w:rFonts w:hint="eastAsia" w:ascii="宋体" w:hAnsi="宋体" w:cs="宋体"/>
                <w:color w:val="000000"/>
                <w:kern w:val="0"/>
                <w:szCs w:val="21"/>
              </w:rPr>
            </w:pPr>
            <w:r>
              <w:rPr>
                <w:rFonts w:hint="eastAsia" w:ascii="宋体" w:hAnsi="宋体" w:cs="宋体"/>
                <w:color w:val="000000"/>
                <w:kern w:val="0"/>
                <w:szCs w:val="21"/>
              </w:rPr>
              <w:t>徐汇区企业专属空间</w:t>
            </w:r>
          </w:p>
        </w:tc>
        <w:tc>
          <w:tcPr>
            <w:tcW w:w="2402" w:type="dxa"/>
            <w:tcBorders>
              <w:top w:val="nil"/>
              <w:left w:val="nil"/>
              <w:bottom w:val="single" w:color="auto" w:sz="4" w:space="0"/>
              <w:right w:val="single" w:color="auto" w:sz="4" w:space="0"/>
            </w:tcBorders>
            <w:noWrap w:val="0"/>
            <w:vAlign w:val="center"/>
          </w:tcPr>
          <w:p w14:paraId="7AB4385C">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26AC4E5B">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w:t>
            </w:r>
          </w:p>
        </w:tc>
        <w:tc>
          <w:tcPr>
            <w:tcW w:w="1478" w:type="dxa"/>
            <w:vMerge w:val="restart"/>
            <w:tcBorders>
              <w:top w:val="nil"/>
              <w:left w:val="single" w:color="auto" w:sz="4" w:space="0"/>
              <w:bottom w:val="single" w:color="000000" w:sz="4" w:space="0"/>
              <w:right w:val="single" w:color="auto" w:sz="8" w:space="0"/>
            </w:tcBorders>
            <w:noWrap w:val="0"/>
            <w:vAlign w:val="center"/>
          </w:tcPr>
          <w:p w14:paraId="706F014E">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1290E359">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68B97A87">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5DD9A23A">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5BCE721C">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2403408F">
            <w:pPr>
              <w:widowControl/>
              <w:jc w:val="left"/>
              <w:rPr>
                <w:rFonts w:hint="eastAsia" w:ascii="宋体" w:hAnsi="宋体" w:cs="宋体"/>
                <w:color w:val="000000"/>
                <w:kern w:val="0"/>
                <w:szCs w:val="21"/>
              </w:rPr>
            </w:pPr>
            <w:r>
              <w:rPr>
                <w:rFonts w:hint="eastAsia" w:ascii="宋体" w:hAnsi="宋体" w:cs="宋体"/>
                <w:color w:val="000000"/>
                <w:kern w:val="0"/>
                <w:szCs w:val="21"/>
              </w:rPr>
              <w:t>②主动提醒服务</w:t>
            </w:r>
          </w:p>
        </w:tc>
        <w:tc>
          <w:tcPr>
            <w:tcW w:w="4350" w:type="dxa"/>
            <w:tcBorders>
              <w:top w:val="nil"/>
              <w:left w:val="nil"/>
              <w:bottom w:val="single" w:color="auto" w:sz="4" w:space="0"/>
              <w:right w:val="single" w:color="auto" w:sz="4" w:space="0"/>
            </w:tcBorders>
            <w:noWrap w:val="0"/>
            <w:vAlign w:val="center"/>
          </w:tcPr>
          <w:p w14:paraId="5E53ADA9">
            <w:pPr>
              <w:widowControl/>
              <w:jc w:val="left"/>
              <w:rPr>
                <w:rFonts w:hint="eastAsia" w:ascii="宋体" w:hAnsi="宋体" w:cs="宋体"/>
                <w:color w:val="000000"/>
                <w:kern w:val="0"/>
                <w:szCs w:val="21"/>
              </w:rPr>
            </w:pPr>
            <w:r>
              <w:rPr>
                <w:rFonts w:hint="eastAsia" w:ascii="宋体" w:hAnsi="宋体" w:cs="宋体"/>
                <w:color w:val="000000"/>
                <w:kern w:val="0"/>
                <w:szCs w:val="21"/>
              </w:rPr>
              <w:t>完善企业专属网页消息提醒种类及覆盖范围,新增200个主动提醒服务。</w:t>
            </w:r>
          </w:p>
        </w:tc>
        <w:tc>
          <w:tcPr>
            <w:tcW w:w="1478" w:type="dxa"/>
            <w:vMerge w:val="continue"/>
            <w:tcBorders>
              <w:top w:val="nil"/>
              <w:left w:val="single" w:color="auto" w:sz="4" w:space="0"/>
              <w:bottom w:val="single" w:color="000000" w:sz="4" w:space="0"/>
              <w:right w:val="single" w:color="auto" w:sz="8" w:space="0"/>
            </w:tcBorders>
            <w:noWrap w:val="0"/>
            <w:vAlign w:val="center"/>
          </w:tcPr>
          <w:p w14:paraId="0810D217">
            <w:pPr>
              <w:widowControl/>
              <w:jc w:val="left"/>
              <w:rPr>
                <w:rFonts w:hint="eastAsia" w:ascii="宋体" w:hAnsi="宋体" w:cs="宋体"/>
                <w:color w:val="000000"/>
                <w:kern w:val="0"/>
                <w:szCs w:val="21"/>
              </w:rPr>
            </w:pPr>
          </w:p>
        </w:tc>
      </w:tr>
      <w:tr w14:paraId="188B2109">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0114B94C">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1367B998">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79ED47BA">
            <w:pPr>
              <w:widowControl/>
              <w:jc w:val="left"/>
              <w:rPr>
                <w:rFonts w:hint="eastAsia" w:ascii="宋体" w:hAnsi="宋体" w:cs="宋体"/>
                <w:color w:val="000000"/>
                <w:kern w:val="0"/>
                <w:szCs w:val="21"/>
              </w:rPr>
            </w:pPr>
            <w:r>
              <w:rPr>
                <w:rFonts w:hint="eastAsia" w:ascii="宋体" w:hAnsi="宋体" w:cs="宋体"/>
                <w:color w:val="000000"/>
                <w:kern w:val="0"/>
                <w:szCs w:val="21"/>
              </w:rPr>
              <w:t>③精准推送服务</w:t>
            </w:r>
          </w:p>
        </w:tc>
        <w:tc>
          <w:tcPr>
            <w:tcW w:w="4350" w:type="dxa"/>
            <w:tcBorders>
              <w:top w:val="nil"/>
              <w:left w:val="nil"/>
              <w:bottom w:val="single" w:color="auto" w:sz="4" w:space="0"/>
              <w:right w:val="single" w:color="auto" w:sz="4" w:space="0"/>
            </w:tcBorders>
            <w:noWrap w:val="0"/>
            <w:vAlign w:val="center"/>
          </w:tcPr>
          <w:p w14:paraId="12EDFF79">
            <w:pPr>
              <w:widowControl/>
              <w:jc w:val="left"/>
              <w:rPr>
                <w:rFonts w:hint="eastAsia" w:ascii="宋体" w:hAnsi="宋体" w:cs="宋体"/>
                <w:color w:val="000000"/>
                <w:kern w:val="0"/>
                <w:szCs w:val="21"/>
              </w:rPr>
            </w:pPr>
            <w:r>
              <w:rPr>
                <w:rFonts w:hint="eastAsia" w:ascii="宋体" w:hAnsi="宋体" w:cs="宋体"/>
                <w:color w:val="000000"/>
                <w:kern w:val="0"/>
                <w:szCs w:val="21"/>
              </w:rPr>
              <w:t>政策、资讯、热点服务等内容的主动推送，新增100个精准推送服务。</w:t>
            </w:r>
          </w:p>
        </w:tc>
        <w:tc>
          <w:tcPr>
            <w:tcW w:w="1478" w:type="dxa"/>
            <w:vMerge w:val="continue"/>
            <w:tcBorders>
              <w:top w:val="nil"/>
              <w:left w:val="single" w:color="auto" w:sz="4" w:space="0"/>
              <w:bottom w:val="single" w:color="000000" w:sz="4" w:space="0"/>
              <w:right w:val="single" w:color="auto" w:sz="8" w:space="0"/>
            </w:tcBorders>
            <w:noWrap w:val="0"/>
            <w:vAlign w:val="center"/>
          </w:tcPr>
          <w:p w14:paraId="6BBF1029">
            <w:pPr>
              <w:widowControl/>
              <w:jc w:val="left"/>
              <w:rPr>
                <w:rFonts w:hint="eastAsia" w:ascii="宋体" w:hAnsi="宋体" w:cs="宋体"/>
                <w:color w:val="000000"/>
                <w:kern w:val="0"/>
                <w:szCs w:val="21"/>
              </w:rPr>
            </w:pPr>
          </w:p>
        </w:tc>
      </w:tr>
      <w:tr w14:paraId="65D4CDB0">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69A2B8BA">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75701B95">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616D22A6">
            <w:pPr>
              <w:widowControl/>
              <w:jc w:val="left"/>
              <w:rPr>
                <w:rFonts w:hint="eastAsia" w:ascii="宋体" w:hAnsi="宋体" w:cs="宋体"/>
                <w:color w:val="000000"/>
                <w:kern w:val="0"/>
                <w:szCs w:val="21"/>
              </w:rPr>
            </w:pPr>
            <w:r>
              <w:rPr>
                <w:rFonts w:hint="eastAsia" w:ascii="宋体" w:hAnsi="宋体" w:cs="宋体"/>
                <w:color w:val="000000"/>
                <w:kern w:val="0"/>
                <w:szCs w:val="21"/>
              </w:rPr>
              <w:t>④政策体检服务</w:t>
            </w:r>
          </w:p>
        </w:tc>
        <w:tc>
          <w:tcPr>
            <w:tcW w:w="4350" w:type="dxa"/>
            <w:tcBorders>
              <w:top w:val="nil"/>
              <w:left w:val="nil"/>
              <w:bottom w:val="single" w:color="auto" w:sz="4" w:space="0"/>
              <w:right w:val="single" w:color="auto" w:sz="4" w:space="0"/>
            </w:tcBorders>
            <w:noWrap w:val="0"/>
            <w:vAlign w:val="center"/>
          </w:tcPr>
          <w:p w14:paraId="624EA4EF">
            <w:pPr>
              <w:widowControl/>
              <w:jc w:val="left"/>
              <w:rPr>
                <w:rFonts w:hint="eastAsia" w:ascii="宋体" w:hAnsi="宋体" w:cs="宋体"/>
                <w:color w:val="000000"/>
                <w:kern w:val="0"/>
                <w:szCs w:val="21"/>
              </w:rPr>
            </w:pPr>
            <w:r>
              <w:rPr>
                <w:rFonts w:hint="eastAsia" w:ascii="宋体" w:hAnsi="宋体" w:cs="宋体"/>
                <w:color w:val="000000"/>
                <w:kern w:val="0"/>
                <w:szCs w:val="21"/>
              </w:rPr>
              <w:t>推动更多政策实现智能体检，新增30个政策体检服务。</w:t>
            </w:r>
          </w:p>
        </w:tc>
        <w:tc>
          <w:tcPr>
            <w:tcW w:w="1478" w:type="dxa"/>
            <w:vMerge w:val="continue"/>
            <w:tcBorders>
              <w:top w:val="nil"/>
              <w:left w:val="single" w:color="auto" w:sz="4" w:space="0"/>
              <w:bottom w:val="single" w:color="000000" w:sz="4" w:space="0"/>
              <w:right w:val="single" w:color="auto" w:sz="8" w:space="0"/>
            </w:tcBorders>
            <w:noWrap w:val="0"/>
            <w:vAlign w:val="center"/>
          </w:tcPr>
          <w:p w14:paraId="725F3CF3">
            <w:pPr>
              <w:widowControl/>
              <w:jc w:val="left"/>
              <w:rPr>
                <w:rFonts w:hint="eastAsia" w:ascii="宋体" w:hAnsi="宋体" w:cs="宋体"/>
                <w:color w:val="000000"/>
                <w:kern w:val="0"/>
                <w:szCs w:val="21"/>
              </w:rPr>
            </w:pPr>
          </w:p>
        </w:tc>
      </w:tr>
      <w:tr w14:paraId="169FE61B">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55DF299E">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45030294">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65410882">
            <w:pPr>
              <w:widowControl/>
              <w:jc w:val="left"/>
              <w:rPr>
                <w:rFonts w:hint="eastAsia" w:ascii="宋体" w:hAnsi="宋体" w:cs="宋体"/>
                <w:color w:val="000000"/>
                <w:kern w:val="0"/>
                <w:szCs w:val="21"/>
              </w:rPr>
            </w:pPr>
            <w:r>
              <w:rPr>
                <w:rFonts w:hint="eastAsia" w:ascii="宋体" w:hAnsi="宋体" w:cs="宋体"/>
                <w:color w:val="000000"/>
                <w:kern w:val="0"/>
                <w:szCs w:val="21"/>
              </w:rPr>
              <w:t>⑤画像标签服务</w:t>
            </w:r>
          </w:p>
        </w:tc>
        <w:tc>
          <w:tcPr>
            <w:tcW w:w="4350" w:type="dxa"/>
            <w:tcBorders>
              <w:top w:val="nil"/>
              <w:left w:val="nil"/>
              <w:bottom w:val="single" w:color="auto" w:sz="4" w:space="0"/>
              <w:right w:val="single" w:color="auto" w:sz="4" w:space="0"/>
            </w:tcBorders>
            <w:noWrap w:val="0"/>
            <w:vAlign w:val="center"/>
          </w:tcPr>
          <w:p w14:paraId="1A257E85">
            <w:pPr>
              <w:widowControl/>
              <w:jc w:val="left"/>
              <w:rPr>
                <w:rFonts w:hint="eastAsia" w:ascii="宋体" w:hAnsi="宋体" w:cs="宋体"/>
                <w:color w:val="000000"/>
                <w:kern w:val="0"/>
                <w:szCs w:val="21"/>
              </w:rPr>
            </w:pPr>
            <w:r>
              <w:rPr>
                <w:rFonts w:hint="eastAsia" w:ascii="宋体" w:hAnsi="宋体" w:cs="宋体"/>
                <w:color w:val="000000"/>
                <w:kern w:val="0"/>
                <w:szCs w:val="21"/>
              </w:rPr>
              <w:t>新增80个画像标签，包括标签体系服务、用户标签服务、标签应用服务。</w:t>
            </w:r>
          </w:p>
        </w:tc>
        <w:tc>
          <w:tcPr>
            <w:tcW w:w="1478" w:type="dxa"/>
            <w:vMerge w:val="continue"/>
            <w:tcBorders>
              <w:top w:val="nil"/>
              <w:left w:val="single" w:color="auto" w:sz="4" w:space="0"/>
              <w:bottom w:val="single" w:color="000000" w:sz="4" w:space="0"/>
              <w:right w:val="single" w:color="auto" w:sz="8" w:space="0"/>
            </w:tcBorders>
            <w:noWrap w:val="0"/>
            <w:vAlign w:val="center"/>
          </w:tcPr>
          <w:p w14:paraId="39E7EC9D">
            <w:pPr>
              <w:widowControl/>
              <w:jc w:val="left"/>
              <w:rPr>
                <w:rFonts w:hint="eastAsia" w:ascii="宋体" w:hAnsi="宋体" w:cs="宋体"/>
                <w:color w:val="000000"/>
                <w:kern w:val="0"/>
                <w:szCs w:val="21"/>
              </w:rPr>
            </w:pPr>
          </w:p>
        </w:tc>
      </w:tr>
      <w:tr w14:paraId="70ABBAC4">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587F149C">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6AF5AEB8">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6E56BF6A">
            <w:pPr>
              <w:widowControl/>
              <w:jc w:val="left"/>
              <w:rPr>
                <w:rFonts w:hint="eastAsia" w:ascii="宋体" w:hAnsi="宋体" w:cs="宋体"/>
                <w:color w:val="000000"/>
                <w:kern w:val="0"/>
                <w:szCs w:val="21"/>
              </w:rPr>
            </w:pPr>
            <w:r>
              <w:rPr>
                <w:rFonts w:hint="eastAsia" w:ascii="宋体" w:hAnsi="宋体" w:cs="宋体"/>
                <w:color w:val="000000"/>
                <w:kern w:val="0"/>
                <w:szCs w:val="21"/>
              </w:rPr>
              <w:t>⑥知识库技术服务</w:t>
            </w:r>
          </w:p>
        </w:tc>
        <w:tc>
          <w:tcPr>
            <w:tcW w:w="4350" w:type="dxa"/>
            <w:tcBorders>
              <w:top w:val="nil"/>
              <w:left w:val="nil"/>
              <w:bottom w:val="single" w:color="auto" w:sz="4" w:space="0"/>
              <w:right w:val="single" w:color="auto" w:sz="4" w:space="0"/>
            </w:tcBorders>
            <w:noWrap w:val="0"/>
            <w:vAlign w:val="center"/>
          </w:tcPr>
          <w:p w14:paraId="73139248">
            <w:pPr>
              <w:widowControl/>
              <w:jc w:val="left"/>
              <w:rPr>
                <w:rFonts w:hint="eastAsia" w:ascii="宋体" w:hAnsi="宋体" w:cs="宋体"/>
                <w:color w:val="000000"/>
                <w:kern w:val="0"/>
                <w:szCs w:val="21"/>
              </w:rPr>
            </w:pPr>
            <w:r>
              <w:rPr>
                <w:rFonts w:hint="eastAsia" w:ascii="宋体" w:hAnsi="宋体" w:cs="宋体"/>
                <w:color w:val="000000"/>
                <w:kern w:val="0"/>
                <w:szCs w:val="21"/>
              </w:rPr>
              <w:t>巡检、纠错、更新等内容，保障知识的准确性、时效性与可用性。</w:t>
            </w:r>
          </w:p>
        </w:tc>
        <w:tc>
          <w:tcPr>
            <w:tcW w:w="1478" w:type="dxa"/>
            <w:vMerge w:val="continue"/>
            <w:tcBorders>
              <w:top w:val="nil"/>
              <w:left w:val="single" w:color="auto" w:sz="4" w:space="0"/>
              <w:bottom w:val="single" w:color="000000" w:sz="4" w:space="0"/>
              <w:right w:val="single" w:color="auto" w:sz="8" w:space="0"/>
            </w:tcBorders>
            <w:noWrap w:val="0"/>
            <w:vAlign w:val="center"/>
          </w:tcPr>
          <w:p w14:paraId="2EFB08B3">
            <w:pPr>
              <w:widowControl/>
              <w:jc w:val="left"/>
              <w:rPr>
                <w:rFonts w:hint="eastAsia" w:ascii="宋体" w:hAnsi="宋体" w:cs="宋体"/>
                <w:color w:val="000000"/>
                <w:kern w:val="0"/>
                <w:szCs w:val="21"/>
              </w:rPr>
            </w:pPr>
          </w:p>
        </w:tc>
      </w:tr>
      <w:tr w14:paraId="1DF84F94">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1C7FACEE">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4337A64A">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4205BFA7">
            <w:pPr>
              <w:widowControl/>
              <w:jc w:val="left"/>
              <w:rPr>
                <w:rFonts w:hint="eastAsia" w:ascii="宋体" w:hAnsi="宋体" w:cs="宋体"/>
                <w:color w:val="000000"/>
                <w:kern w:val="0"/>
                <w:szCs w:val="21"/>
              </w:rPr>
            </w:pPr>
            <w:r>
              <w:rPr>
                <w:rFonts w:hint="eastAsia" w:ascii="宋体" w:hAnsi="宋体" w:cs="宋体"/>
                <w:color w:val="000000"/>
                <w:kern w:val="0"/>
                <w:szCs w:val="21"/>
              </w:rPr>
              <w:t>⑦特色应用服务接入</w:t>
            </w:r>
          </w:p>
        </w:tc>
        <w:tc>
          <w:tcPr>
            <w:tcW w:w="4350" w:type="dxa"/>
            <w:tcBorders>
              <w:top w:val="nil"/>
              <w:left w:val="nil"/>
              <w:bottom w:val="single" w:color="auto" w:sz="4" w:space="0"/>
              <w:right w:val="single" w:color="auto" w:sz="4" w:space="0"/>
            </w:tcBorders>
            <w:noWrap w:val="0"/>
            <w:vAlign w:val="center"/>
          </w:tcPr>
          <w:p w14:paraId="6E97C335">
            <w:pPr>
              <w:widowControl/>
              <w:jc w:val="left"/>
              <w:rPr>
                <w:rFonts w:hint="eastAsia" w:ascii="宋体" w:hAnsi="宋体" w:cs="宋体"/>
                <w:color w:val="000000"/>
                <w:kern w:val="0"/>
                <w:szCs w:val="21"/>
              </w:rPr>
            </w:pPr>
            <w:r>
              <w:rPr>
                <w:rFonts w:hint="eastAsia" w:ascii="宋体" w:hAnsi="宋体" w:cs="宋体"/>
                <w:color w:val="000000"/>
                <w:kern w:val="0"/>
                <w:szCs w:val="21"/>
              </w:rPr>
              <w:t>新增接入增值服务预约、企业出海服务和掌上公服3个特色应用。</w:t>
            </w:r>
          </w:p>
        </w:tc>
        <w:tc>
          <w:tcPr>
            <w:tcW w:w="1478" w:type="dxa"/>
            <w:vMerge w:val="continue"/>
            <w:tcBorders>
              <w:top w:val="nil"/>
              <w:left w:val="single" w:color="auto" w:sz="4" w:space="0"/>
              <w:bottom w:val="single" w:color="000000" w:sz="4" w:space="0"/>
              <w:right w:val="single" w:color="auto" w:sz="8" w:space="0"/>
            </w:tcBorders>
            <w:noWrap w:val="0"/>
            <w:vAlign w:val="center"/>
          </w:tcPr>
          <w:p w14:paraId="3B5F0DD7">
            <w:pPr>
              <w:widowControl/>
              <w:jc w:val="left"/>
              <w:rPr>
                <w:rFonts w:hint="eastAsia" w:ascii="宋体" w:hAnsi="宋体" w:cs="宋体"/>
                <w:color w:val="000000"/>
                <w:kern w:val="0"/>
                <w:szCs w:val="21"/>
              </w:rPr>
            </w:pPr>
          </w:p>
        </w:tc>
      </w:tr>
      <w:tr w14:paraId="2CD2B7B4">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6C650FF9">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15951745">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4F11D629">
            <w:pPr>
              <w:widowControl/>
              <w:jc w:val="left"/>
              <w:rPr>
                <w:rFonts w:hint="eastAsia" w:ascii="宋体" w:hAnsi="宋体" w:cs="宋体"/>
                <w:color w:val="000000"/>
                <w:kern w:val="0"/>
                <w:szCs w:val="21"/>
              </w:rPr>
            </w:pPr>
            <w:r>
              <w:rPr>
                <w:rFonts w:hint="eastAsia" w:ascii="宋体" w:hAnsi="宋体" w:cs="宋体"/>
                <w:color w:val="000000"/>
                <w:kern w:val="0"/>
                <w:szCs w:val="21"/>
              </w:rPr>
              <w:t>⑧授权代办应用场景</w:t>
            </w:r>
          </w:p>
        </w:tc>
        <w:tc>
          <w:tcPr>
            <w:tcW w:w="4350" w:type="dxa"/>
            <w:tcBorders>
              <w:top w:val="nil"/>
              <w:left w:val="nil"/>
              <w:bottom w:val="single" w:color="auto" w:sz="4" w:space="0"/>
              <w:right w:val="single" w:color="auto" w:sz="4" w:space="0"/>
            </w:tcBorders>
            <w:noWrap w:val="0"/>
            <w:vAlign w:val="center"/>
          </w:tcPr>
          <w:p w14:paraId="2A9083F3">
            <w:pPr>
              <w:widowControl/>
              <w:jc w:val="left"/>
              <w:rPr>
                <w:rFonts w:hint="eastAsia" w:ascii="宋体" w:hAnsi="宋体" w:cs="宋体"/>
                <w:color w:val="000000"/>
                <w:kern w:val="0"/>
                <w:szCs w:val="21"/>
              </w:rPr>
            </w:pPr>
            <w:r>
              <w:rPr>
                <w:rFonts w:hint="eastAsia" w:ascii="宋体" w:hAnsi="宋体" w:cs="宋体"/>
                <w:color w:val="000000"/>
                <w:kern w:val="0"/>
                <w:szCs w:val="21"/>
              </w:rPr>
              <w:t>授权代办应用事项拓展，配置事项及相关的在线授权委托书，线下扫码签注，新增8个授权代办场景。</w:t>
            </w:r>
          </w:p>
        </w:tc>
        <w:tc>
          <w:tcPr>
            <w:tcW w:w="1478" w:type="dxa"/>
            <w:vMerge w:val="continue"/>
            <w:tcBorders>
              <w:top w:val="nil"/>
              <w:left w:val="single" w:color="auto" w:sz="4" w:space="0"/>
              <w:bottom w:val="single" w:color="000000" w:sz="4" w:space="0"/>
              <w:right w:val="single" w:color="auto" w:sz="8" w:space="0"/>
            </w:tcBorders>
            <w:noWrap w:val="0"/>
            <w:vAlign w:val="center"/>
          </w:tcPr>
          <w:p w14:paraId="2DB4325A">
            <w:pPr>
              <w:widowControl/>
              <w:jc w:val="left"/>
              <w:rPr>
                <w:rFonts w:hint="eastAsia" w:ascii="宋体" w:hAnsi="宋体" w:cs="宋体"/>
                <w:color w:val="000000"/>
                <w:kern w:val="0"/>
                <w:szCs w:val="21"/>
              </w:rPr>
            </w:pPr>
          </w:p>
        </w:tc>
      </w:tr>
      <w:tr w14:paraId="1D4CBC6B">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14A38996">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18801833">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7007FFC5">
            <w:pPr>
              <w:widowControl/>
              <w:jc w:val="left"/>
              <w:rPr>
                <w:rFonts w:hint="eastAsia" w:ascii="宋体" w:hAnsi="宋体" w:cs="宋体"/>
                <w:color w:val="000000"/>
                <w:kern w:val="0"/>
                <w:szCs w:val="21"/>
              </w:rPr>
            </w:pPr>
            <w:r>
              <w:rPr>
                <w:rFonts w:hint="eastAsia" w:ascii="宋体" w:hAnsi="宋体" w:cs="宋体"/>
                <w:color w:val="000000"/>
                <w:kern w:val="0"/>
                <w:szCs w:val="21"/>
              </w:rPr>
              <w:t>⑨专题专栏定制</w:t>
            </w:r>
          </w:p>
        </w:tc>
        <w:tc>
          <w:tcPr>
            <w:tcW w:w="4350" w:type="dxa"/>
            <w:tcBorders>
              <w:top w:val="nil"/>
              <w:left w:val="nil"/>
              <w:bottom w:val="nil"/>
              <w:right w:val="single" w:color="auto" w:sz="4" w:space="0"/>
            </w:tcBorders>
            <w:noWrap w:val="0"/>
            <w:vAlign w:val="center"/>
          </w:tcPr>
          <w:p w14:paraId="5C1FA305">
            <w:pPr>
              <w:widowControl/>
              <w:jc w:val="left"/>
              <w:rPr>
                <w:rFonts w:hint="eastAsia" w:ascii="宋体" w:hAnsi="宋体" w:cs="宋体"/>
                <w:color w:val="000000"/>
                <w:kern w:val="0"/>
                <w:szCs w:val="21"/>
              </w:rPr>
            </w:pPr>
            <w:r>
              <w:rPr>
                <w:rFonts w:hint="eastAsia" w:ascii="宋体" w:hAnsi="宋体" w:cs="宋体"/>
                <w:color w:val="000000"/>
                <w:kern w:val="0"/>
                <w:szCs w:val="21"/>
              </w:rPr>
              <w:t>新增1个营商伙伴专区，覆盖政策、新闻资讯等多维度。</w:t>
            </w:r>
          </w:p>
        </w:tc>
        <w:tc>
          <w:tcPr>
            <w:tcW w:w="1478" w:type="dxa"/>
            <w:vMerge w:val="continue"/>
            <w:tcBorders>
              <w:top w:val="nil"/>
              <w:left w:val="single" w:color="auto" w:sz="4" w:space="0"/>
              <w:bottom w:val="single" w:color="000000" w:sz="4" w:space="0"/>
              <w:right w:val="single" w:color="auto" w:sz="8" w:space="0"/>
            </w:tcBorders>
            <w:noWrap w:val="0"/>
            <w:vAlign w:val="center"/>
          </w:tcPr>
          <w:p w14:paraId="271BBB4F">
            <w:pPr>
              <w:widowControl/>
              <w:jc w:val="left"/>
              <w:rPr>
                <w:rFonts w:hint="eastAsia" w:ascii="宋体" w:hAnsi="宋体" w:cs="宋体"/>
                <w:color w:val="000000"/>
                <w:kern w:val="0"/>
                <w:szCs w:val="21"/>
              </w:rPr>
            </w:pPr>
          </w:p>
        </w:tc>
      </w:tr>
      <w:tr w14:paraId="75E7D544">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4B1B9E39">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2A2C1D68">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129711D5">
            <w:pPr>
              <w:widowControl/>
              <w:jc w:val="left"/>
              <w:rPr>
                <w:rFonts w:hint="eastAsia" w:ascii="宋体" w:hAnsi="宋体" w:cs="宋体"/>
                <w:color w:val="000000"/>
                <w:kern w:val="0"/>
                <w:szCs w:val="21"/>
              </w:rPr>
            </w:pPr>
            <w:r>
              <w:rPr>
                <w:rFonts w:hint="eastAsia" w:ascii="宋体" w:hAnsi="宋体" w:cs="宋体"/>
                <w:color w:val="000000"/>
                <w:kern w:val="0"/>
                <w:szCs w:val="21"/>
              </w:rPr>
              <w:t>⑩千企千面服务定制</w:t>
            </w:r>
          </w:p>
        </w:tc>
        <w:tc>
          <w:tcPr>
            <w:tcW w:w="4350" w:type="dxa"/>
            <w:tcBorders>
              <w:top w:val="single" w:color="auto" w:sz="4" w:space="0"/>
              <w:left w:val="nil"/>
              <w:bottom w:val="single" w:color="auto" w:sz="4" w:space="0"/>
              <w:right w:val="single" w:color="auto" w:sz="4" w:space="0"/>
            </w:tcBorders>
            <w:noWrap w:val="0"/>
            <w:vAlign w:val="center"/>
          </w:tcPr>
          <w:p w14:paraId="16340635">
            <w:pPr>
              <w:widowControl/>
              <w:jc w:val="left"/>
              <w:rPr>
                <w:rFonts w:hint="eastAsia" w:ascii="宋体" w:hAnsi="宋体" w:cs="宋体"/>
                <w:color w:val="000000"/>
                <w:kern w:val="0"/>
                <w:szCs w:val="21"/>
              </w:rPr>
            </w:pPr>
            <w:r>
              <w:rPr>
                <w:rFonts w:hint="eastAsia" w:ascii="宋体" w:hAnsi="宋体" w:cs="宋体"/>
                <w:color w:val="000000"/>
                <w:kern w:val="0"/>
                <w:szCs w:val="21"/>
              </w:rPr>
              <w:t>新增1个千企千面，量身打造行业专属网页，集成行业档案、政策、动态等多维度信息。</w:t>
            </w:r>
          </w:p>
        </w:tc>
        <w:tc>
          <w:tcPr>
            <w:tcW w:w="1478" w:type="dxa"/>
            <w:vMerge w:val="continue"/>
            <w:tcBorders>
              <w:top w:val="nil"/>
              <w:left w:val="single" w:color="auto" w:sz="4" w:space="0"/>
              <w:bottom w:val="single" w:color="000000" w:sz="4" w:space="0"/>
              <w:right w:val="single" w:color="auto" w:sz="8" w:space="0"/>
            </w:tcBorders>
            <w:noWrap w:val="0"/>
            <w:vAlign w:val="center"/>
          </w:tcPr>
          <w:p w14:paraId="1C1671A6">
            <w:pPr>
              <w:widowControl/>
              <w:jc w:val="left"/>
              <w:rPr>
                <w:rFonts w:hint="eastAsia" w:ascii="宋体" w:hAnsi="宋体" w:cs="宋体"/>
                <w:color w:val="000000"/>
                <w:kern w:val="0"/>
                <w:szCs w:val="21"/>
              </w:rPr>
            </w:pPr>
          </w:p>
        </w:tc>
      </w:tr>
      <w:tr w14:paraId="2E5EDDED">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237A39B3">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1477" w:type="dxa"/>
            <w:vMerge w:val="restart"/>
            <w:tcBorders>
              <w:top w:val="nil"/>
              <w:left w:val="single" w:color="auto" w:sz="4" w:space="0"/>
              <w:bottom w:val="single" w:color="auto" w:sz="4" w:space="0"/>
              <w:right w:val="single" w:color="auto" w:sz="4" w:space="0"/>
            </w:tcBorders>
            <w:noWrap w:val="0"/>
            <w:vAlign w:val="center"/>
          </w:tcPr>
          <w:p w14:paraId="564ABC0D">
            <w:pPr>
              <w:widowControl/>
              <w:jc w:val="center"/>
              <w:rPr>
                <w:rFonts w:hint="eastAsia" w:ascii="宋体" w:hAnsi="宋体" w:cs="宋体"/>
                <w:color w:val="000000"/>
                <w:kern w:val="0"/>
                <w:szCs w:val="21"/>
              </w:rPr>
            </w:pPr>
            <w:r>
              <w:rPr>
                <w:rFonts w:hint="eastAsia" w:ascii="宋体" w:hAnsi="宋体" w:cs="宋体"/>
                <w:color w:val="000000"/>
                <w:kern w:val="0"/>
                <w:szCs w:val="21"/>
              </w:rPr>
              <w:t>“免申即享”功能模块</w:t>
            </w:r>
          </w:p>
        </w:tc>
        <w:tc>
          <w:tcPr>
            <w:tcW w:w="2402" w:type="dxa"/>
            <w:tcBorders>
              <w:top w:val="nil"/>
              <w:left w:val="nil"/>
              <w:bottom w:val="single" w:color="auto" w:sz="4" w:space="0"/>
              <w:right w:val="single" w:color="auto" w:sz="4" w:space="0"/>
            </w:tcBorders>
            <w:noWrap w:val="0"/>
            <w:vAlign w:val="center"/>
          </w:tcPr>
          <w:p w14:paraId="3871F432">
            <w:pPr>
              <w:widowControl/>
              <w:jc w:val="left"/>
              <w:rPr>
                <w:rFonts w:hint="eastAsia" w:ascii="宋体" w:hAnsi="宋体" w:cs="宋体"/>
                <w:color w:val="000000"/>
                <w:kern w:val="0"/>
                <w:szCs w:val="21"/>
              </w:rPr>
            </w:pPr>
            <w:r>
              <w:rPr>
                <w:rFonts w:hint="eastAsia" w:ascii="宋体" w:hAnsi="宋体" w:cs="宋体"/>
                <w:color w:val="000000"/>
                <w:kern w:val="0"/>
                <w:szCs w:val="21"/>
              </w:rPr>
              <w:t>①日常运维保障</w:t>
            </w:r>
          </w:p>
        </w:tc>
        <w:tc>
          <w:tcPr>
            <w:tcW w:w="4350" w:type="dxa"/>
            <w:tcBorders>
              <w:top w:val="nil"/>
              <w:left w:val="nil"/>
              <w:bottom w:val="single" w:color="auto" w:sz="4" w:space="0"/>
              <w:right w:val="single" w:color="auto" w:sz="4" w:space="0"/>
            </w:tcBorders>
            <w:noWrap w:val="0"/>
            <w:vAlign w:val="center"/>
          </w:tcPr>
          <w:p w14:paraId="1A7BCC53">
            <w:pPr>
              <w:widowControl/>
              <w:jc w:val="left"/>
              <w:rPr>
                <w:rFonts w:hint="eastAsia" w:ascii="宋体" w:hAnsi="宋体" w:cs="宋体"/>
                <w:color w:val="000000"/>
                <w:kern w:val="0"/>
                <w:szCs w:val="21"/>
              </w:rPr>
            </w:pPr>
            <w:r>
              <w:rPr>
                <w:rFonts w:hint="eastAsia" w:ascii="宋体" w:hAnsi="宋体" w:cs="宋体"/>
                <w:color w:val="000000"/>
                <w:kern w:val="0"/>
                <w:szCs w:val="21"/>
              </w:rPr>
              <w:t>确保正常运行和数据的安全，保证免申即享功能的可用性和稳定性。</w:t>
            </w:r>
          </w:p>
        </w:tc>
        <w:tc>
          <w:tcPr>
            <w:tcW w:w="1478" w:type="dxa"/>
            <w:vMerge w:val="restart"/>
            <w:tcBorders>
              <w:top w:val="nil"/>
              <w:left w:val="single" w:color="auto" w:sz="4" w:space="0"/>
              <w:bottom w:val="single" w:color="auto" w:sz="4" w:space="0"/>
              <w:right w:val="single" w:color="auto" w:sz="8" w:space="0"/>
            </w:tcBorders>
            <w:noWrap w:val="0"/>
            <w:vAlign w:val="center"/>
          </w:tcPr>
          <w:p w14:paraId="3215F951">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58A69873">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21D3D230">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234A0456">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0E6F6DC6">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44CB99A0">
            <w:pPr>
              <w:widowControl/>
              <w:jc w:val="left"/>
              <w:rPr>
                <w:rFonts w:hint="eastAsia" w:ascii="宋体" w:hAnsi="宋体" w:cs="宋体"/>
                <w:color w:val="000000"/>
                <w:kern w:val="0"/>
                <w:szCs w:val="21"/>
              </w:rPr>
            </w:pPr>
            <w:r>
              <w:rPr>
                <w:rFonts w:hint="eastAsia" w:ascii="宋体" w:hAnsi="宋体" w:cs="宋体"/>
                <w:color w:val="000000"/>
                <w:kern w:val="0"/>
                <w:szCs w:val="21"/>
              </w:rPr>
              <w:t>②数据治理</w:t>
            </w:r>
          </w:p>
        </w:tc>
        <w:tc>
          <w:tcPr>
            <w:tcW w:w="4350" w:type="dxa"/>
            <w:tcBorders>
              <w:top w:val="nil"/>
              <w:left w:val="nil"/>
              <w:bottom w:val="single" w:color="auto" w:sz="4" w:space="0"/>
              <w:right w:val="single" w:color="auto" w:sz="4" w:space="0"/>
            </w:tcBorders>
            <w:noWrap w:val="0"/>
            <w:vAlign w:val="center"/>
          </w:tcPr>
          <w:p w14:paraId="6AA8BCB6">
            <w:pPr>
              <w:widowControl/>
              <w:jc w:val="left"/>
              <w:rPr>
                <w:rFonts w:hint="eastAsia" w:ascii="宋体" w:hAnsi="宋体" w:cs="宋体"/>
                <w:color w:val="000000"/>
                <w:kern w:val="0"/>
                <w:szCs w:val="21"/>
              </w:rPr>
            </w:pPr>
            <w:r>
              <w:rPr>
                <w:rFonts w:hint="eastAsia" w:ascii="宋体" w:hAnsi="宋体" w:cs="宋体"/>
                <w:color w:val="000000"/>
                <w:kern w:val="0"/>
                <w:szCs w:val="21"/>
              </w:rPr>
              <w:t>基本属性优化，基本属性优化。</w:t>
            </w:r>
          </w:p>
        </w:tc>
        <w:tc>
          <w:tcPr>
            <w:tcW w:w="1478" w:type="dxa"/>
            <w:vMerge w:val="continue"/>
            <w:tcBorders>
              <w:top w:val="nil"/>
              <w:left w:val="single" w:color="auto" w:sz="4" w:space="0"/>
              <w:bottom w:val="single" w:color="auto" w:sz="4" w:space="0"/>
              <w:right w:val="single" w:color="auto" w:sz="8" w:space="0"/>
            </w:tcBorders>
            <w:noWrap w:val="0"/>
            <w:vAlign w:val="center"/>
          </w:tcPr>
          <w:p w14:paraId="49C2C187">
            <w:pPr>
              <w:widowControl/>
              <w:jc w:val="left"/>
              <w:rPr>
                <w:rFonts w:hint="eastAsia" w:ascii="宋体" w:hAnsi="宋体" w:cs="宋体"/>
                <w:color w:val="000000"/>
                <w:kern w:val="0"/>
                <w:szCs w:val="21"/>
              </w:rPr>
            </w:pPr>
          </w:p>
        </w:tc>
      </w:tr>
      <w:tr w14:paraId="4C1EA43C">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5D326A36">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1477" w:type="dxa"/>
            <w:vMerge w:val="restart"/>
            <w:tcBorders>
              <w:top w:val="nil"/>
              <w:left w:val="single" w:color="auto" w:sz="4" w:space="0"/>
              <w:bottom w:val="single" w:color="auto" w:sz="4" w:space="0"/>
              <w:right w:val="single" w:color="auto" w:sz="4" w:space="0"/>
            </w:tcBorders>
            <w:noWrap w:val="0"/>
            <w:vAlign w:val="center"/>
          </w:tcPr>
          <w:p w14:paraId="28B2003A">
            <w:pPr>
              <w:widowControl/>
              <w:jc w:val="center"/>
              <w:rPr>
                <w:rFonts w:hint="eastAsia" w:ascii="宋体" w:hAnsi="宋体" w:cs="宋体"/>
                <w:color w:val="000000"/>
                <w:kern w:val="0"/>
                <w:szCs w:val="21"/>
              </w:rPr>
            </w:pPr>
            <w:r>
              <w:rPr>
                <w:rFonts w:hint="eastAsia" w:ascii="宋体" w:hAnsi="宋体" w:cs="宋体"/>
                <w:color w:val="000000"/>
                <w:kern w:val="0"/>
                <w:szCs w:val="21"/>
              </w:rPr>
              <w:t>“随申办”市民云旗舰店</w:t>
            </w:r>
          </w:p>
        </w:tc>
        <w:tc>
          <w:tcPr>
            <w:tcW w:w="2402" w:type="dxa"/>
            <w:tcBorders>
              <w:top w:val="nil"/>
              <w:left w:val="nil"/>
              <w:bottom w:val="single" w:color="auto" w:sz="4" w:space="0"/>
              <w:right w:val="single" w:color="auto" w:sz="4" w:space="0"/>
            </w:tcBorders>
            <w:noWrap w:val="0"/>
            <w:vAlign w:val="center"/>
          </w:tcPr>
          <w:p w14:paraId="60E4E7D0">
            <w:pPr>
              <w:widowControl/>
              <w:jc w:val="left"/>
              <w:rPr>
                <w:rFonts w:hint="eastAsia" w:ascii="宋体" w:hAnsi="宋体" w:cs="宋体"/>
                <w:color w:val="000000"/>
                <w:kern w:val="0"/>
                <w:szCs w:val="21"/>
              </w:rPr>
            </w:pPr>
            <w:r>
              <w:rPr>
                <w:rFonts w:hint="eastAsia" w:ascii="宋体" w:hAnsi="宋体" w:cs="宋体"/>
                <w:color w:val="000000"/>
                <w:szCs w:val="21"/>
              </w:rPr>
              <w:t>①信息化系统运维</w:t>
            </w:r>
          </w:p>
        </w:tc>
        <w:tc>
          <w:tcPr>
            <w:tcW w:w="4350" w:type="dxa"/>
            <w:tcBorders>
              <w:top w:val="nil"/>
              <w:left w:val="nil"/>
              <w:bottom w:val="single" w:color="auto" w:sz="4" w:space="0"/>
              <w:right w:val="single" w:color="auto" w:sz="4" w:space="0"/>
            </w:tcBorders>
            <w:noWrap w:val="0"/>
            <w:vAlign w:val="center"/>
          </w:tcPr>
          <w:p w14:paraId="7C004E90">
            <w:pPr>
              <w:widowControl/>
              <w:jc w:val="left"/>
              <w:rPr>
                <w:rFonts w:hint="eastAsia" w:ascii="宋体" w:hAnsi="宋体" w:cs="宋体"/>
                <w:color w:val="000000"/>
                <w:kern w:val="0"/>
                <w:szCs w:val="21"/>
              </w:rPr>
            </w:pPr>
            <w:r>
              <w:rPr>
                <w:rFonts w:hint="eastAsia" w:ascii="宋体" w:hAnsi="宋体" w:cs="宋体"/>
                <w:color w:val="000000"/>
                <w:szCs w:val="21"/>
              </w:rPr>
              <w:t>日常巡检，机构管理，发现频道资讯管理，服务地图运维,区橱窗运维。</w:t>
            </w:r>
          </w:p>
        </w:tc>
        <w:tc>
          <w:tcPr>
            <w:tcW w:w="1478" w:type="dxa"/>
            <w:vMerge w:val="restart"/>
            <w:tcBorders>
              <w:top w:val="nil"/>
              <w:left w:val="single" w:color="auto" w:sz="4" w:space="0"/>
              <w:bottom w:val="single" w:color="auto" w:sz="4" w:space="0"/>
              <w:right w:val="single" w:color="auto" w:sz="8" w:space="0"/>
            </w:tcBorders>
            <w:noWrap w:val="0"/>
            <w:vAlign w:val="center"/>
          </w:tcPr>
          <w:p w14:paraId="2C4F3DFC">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064F17C3">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7DA547FF">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285455DE">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085E2E9F">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3A13A5D9">
            <w:pPr>
              <w:widowControl/>
              <w:jc w:val="left"/>
              <w:rPr>
                <w:rFonts w:hint="eastAsia" w:ascii="宋体" w:hAnsi="宋体" w:cs="宋体"/>
                <w:color w:val="FF0000"/>
                <w:kern w:val="0"/>
                <w:szCs w:val="21"/>
              </w:rPr>
            </w:pPr>
            <w:r>
              <w:rPr>
                <w:rFonts w:hint="eastAsia" w:ascii="宋体" w:hAnsi="宋体" w:cs="宋体"/>
                <w:color w:val="000000"/>
                <w:szCs w:val="21"/>
              </w:rPr>
              <w:t>②基础设施运维</w:t>
            </w:r>
          </w:p>
        </w:tc>
        <w:tc>
          <w:tcPr>
            <w:tcW w:w="4350" w:type="dxa"/>
            <w:tcBorders>
              <w:top w:val="nil"/>
              <w:left w:val="nil"/>
              <w:bottom w:val="single" w:color="auto" w:sz="4" w:space="0"/>
              <w:right w:val="single" w:color="auto" w:sz="4" w:space="0"/>
            </w:tcBorders>
            <w:noWrap w:val="0"/>
            <w:vAlign w:val="center"/>
          </w:tcPr>
          <w:p w14:paraId="62EB834B">
            <w:pPr>
              <w:widowControl/>
              <w:jc w:val="left"/>
              <w:rPr>
                <w:rFonts w:hint="eastAsia" w:ascii="宋体" w:hAnsi="宋体" w:cs="宋体"/>
                <w:color w:val="FF0000"/>
                <w:kern w:val="0"/>
                <w:szCs w:val="21"/>
              </w:rPr>
            </w:pPr>
            <w:r>
              <w:rPr>
                <w:rFonts w:hint="eastAsia" w:ascii="宋体" w:hAnsi="宋体" w:cs="宋体"/>
                <w:color w:val="000000"/>
                <w:szCs w:val="21"/>
              </w:rPr>
              <w:t>提供数据库服务、后台服务器、前端服务器系统运行环境的运维保障、巡检服务</w:t>
            </w:r>
          </w:p>
        </w:tc>
        <w:tc>
          <w:tcPr>
            <w:tcW w:w="1478" w:type="dxa"/>
            <w:vMerge w:val="continue"/>
            <w:tcBorders>
              <w:top w:val="nil"/>
              <w:left w:val="single" w:color="auto" w:sz="4" w:space="0"/>
              <w:bottom w:val="single" w:color="auto" w:sz="4" w:space="0"/>
              <w:right w:val="single" w:color="auto" w:sz="8" w:space="0"/>
            </w:tcBorders>
            <w:noWrap w:val="0"/>
            <w:vAlign w:val="center"/>
          </w:tcPr>
          <w:p w14:paraId="63CB4F08">
            <w:pPr>
              <w:widowControl/>
              <w:jc w:val="left"/>
              <w:rPr>
                <w:rFonts w:hint="eastAsia" w:ascii="宋体" w:hAnsi="宋体" w:cs="宋体"/>
                <w:color w:val="000000"/>
                <w:kern w:val="0"/>
                <w:szCs w:val="21"/>
              </w:rPr>
            </w:pPr>
          </w:p>
        </w:tc>
      </w:tr>
      <w:tr w14:paraId="3E706116">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0F8D2CBA">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04431360">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291118B7">
            <w:pPr>
              <w:widowControl/>
              <w:jc w:val="left"/>
              <w:rPr>
                <w:rFonts w:hint="eastAsia" w:ascii="宋体" w:hAnsi="宋体" w:cs="宋体"/>
                <w:color w:val="000000"/>
                <w:kern w:val="0"/>
                <w:szCs w:val="21"/>
              </w:rPr>
            </w:pPr>
            <w:r>
              <w:rPr>
                <w:rFonts w:hint="eastAsia" w:ascii="宋体" w:hAnsi="宋体" w:cs="宋体"/>
                <w:color w:val="000000"/>
                <w:szCs w:val="21"/>
              </w:rPr>
              <w:t>③应用池运维</w:t>
            </w:r>
          </w:p>
        </w:tc>
        <w:tc>
          <w:tcPr>
            <w:tcW w:w="4350" w:type="dxa"/>
            <w:tcBorders>
              <w:top w:val="nil"/>
              <w:left w:val="nil"/>
              <w:bottom w:val="single" w:color="auto" w:sz="4" w:space="0"/>
              <w:right w:val="single" w:color="auto" w:sz="4" w:space="0"/>
            </w:tcBorders>
            <w:noWrap w:val="0"/>
            <w:vAlign w:val="center"/>
          </w:tcPr>
          <w:p w14:paraId="5DF38B09">
            <w:pPr>
              <w:widowControl/>
              <w:jc w:val="left"/>
              <w:rPr>
                <w:rFonts w:hint="eastAsia" w:ascii="宋体" w:hAnsi="宋体" w:cs="宋体"/>
                <w:color w:val="000000"/>
                <w:kern w:val="0"/>
                <w:szCs w:val="21"/>
              </w:rPr>
            </w:pPr>
            <w:r>
              <w:rPr>
                <w:rFonts w:hint="eastAsia" w:ascii="宋体" w:hAnsi="宋体" w:cs="宋体"/>
                <w:color w:val="000000"/>
                <w:szCs w:val="21"/>
              </w:rPr>
              <w:t>满足市级入驻技术和流程要求，纳入市级应用服务池。</w:t>
            </w:r>
          </w:p>
        </w:tc>
        <w:tc>
          <w:tcPr>
            <w:tcW w:w="1478" w:type="dxa"/>
            <w:vMerge w:val="continue"/>
            <w:tcBorders>
              <w:top w:val="nil"/>
              <w:left w:val="single" w:color="auto" w:sz="4" w:space="0"/>
              <w:bottom w:val="single" w:color="auto" w:sz="4" w:space="0"/>
              <w:right w:val="single" w:color="auto" w:sz="8" w:space="0"/>
            </w:tcBorders>
            <w:noWrap w:val="0"/>
            <w:vAlign w:val="center"/>
          </w:tcPr>
          <w:p w14:paraId="214B3F95">
            <w:pPr>
              <w:widowControl/>
              <w:jc w:val="left"/>
              <w:rPr>
                <w:rFonts w:hint="eastAsia" w:ascii="宋体" w:hAnsi="宋体" w:cs="宋体"/>
                <w:color w:val="000000"/>
                <w:kern w:val="0"/>
                <w:szCs w:val="21"/>
              </w:rPr>
            </w:pPr>
          </w:p>
        </w:tc>
      </w:tr>
      <w:tr w14:paraId="2F5ED08D">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777A6E3D">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5D3E6189">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12E3B47C">
            <w:pPr>
              <w:widowControl/>
              <w:jc w:val="left"/>
              <w:rPr>
                <w:rFonts w:hint="eastAsia" w:ascii="宋体" w:hAnsi="宋体" w:cs="宋体"/>
                <w:color w:val="000000"/>
                <w:kern w:val="0"/>
                <w:szCs w:val="21"/>
              </w:rPr>
            </w:pPr>
            <w:r>
              <w:rPr>
                <w:rFonts w:hint="eastAsia" w:ascii="宋体" w:hAnsi="宋体" w:cs="宋体"/>
                <w:color w:val="000000"/>
                <w:szCs w:val="21"/>
              </w:rPr>
              <w:t>④积分管理运维</w:t>
            </w:r>
          </w:p>
        </w:tc>
        <w:tc>
          <w:tcPr>
            <w:tcW w:w="4350" w:type="dxa"/>
            <w:tcBorders>
              <w:top w:val="nil"/>
              <w:left w:val="nil"/>
              <w:bottom w:val="single" w:color="auto" w:sz="4" w:space="0"/>
              <w:right w:val="single" w:color="auto" w:sz="4" w:space="0"/>
            </w:tcBorders>
            <w:noWrap w:val="0"/>
            <w:vAlign w:val="center"/>
          </w:tcPr>
          <w:p w14:paraId="729EA5CE">
            <w:pPr>
              <w:widowControl/>
              <w:jc w:val="left"/>
              <w:rPr>
                <w:rFonts w:hint="eastAsia" w:ascii="宋体" w:hAnsi="宋体" w:cs="宋体"/>
                <w:color w:val="000000"/>
                <w:kern w:val="0"/>
                <w:szCs w:val="21"/>
              </w:rPr>
            </w:pPr>
            <w:r>
              <w:rPr>
                <w:rFonts w:hint="eastAsia" w:ascii="宋体" w:hAnsi="宋体" w:cs="宋体"/>
                <w:color w:val="000000"/>
                <w:szCs w:val="21"/>
              </w:rPr>
              <w:t>提供积分商品运维以及积分兑换运维。</w:t>
            </w:r>
          </w:p>
        </w:tc>
        <w:tc>
          <w:tcPr>
            <w:tcW w:w="1478" w:type="dxa"/>
            <w:vMerge w:val="continue"/>
            <w:tcBorders>
              <w:top w:val="nil"/>
              <w:left w:val="single" w:color="auto" w:sz="4" w:space="0"/>
              <w:bottom w:val="single" w:color="auto" w:sz="4" w:space="0"/>
              <w:right w:val="single" w:color="auto" w:sz="8" w:space="0"/>
            </w:tcBorders>
            <w:noWrap w:val="0"/>
            <w:vAlign w:val="center"/>
          </w:tcPr>
          <w:p w14:paraId="3F078616">
            <w:pPr>
              <w:widowControl/>
              <w:jc w:val="left"/>
              <w:rPr>
                <w:rFonts w:hint="eastAsia" w:ascii="宋体" w:hAnsi="宋体" w:cs="宋体"/>
                <w:color w:val="000000"/>
                <w:kern w:val="0"/>
                <w:szCs w:val="21"/>
              </w:rPr>
            </w:pPr>
          </w:p>
        </w:tc>
      </w:tr>
      <w:tr w14:paraId="6C7E0F46">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0D482574">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79532F75">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0559A951">
            <w:pPr>
              <w:widowControl/>
              <w:jc w:val="left"/>
              <w:rPr>
                <w:rFonts w:hint="eastAsia" w:ascii="宋体" w:hAnsi="宋体" w:cs="宋体"/>
                <w:color w:val="000000"/>
                <w:kern w:val="0"/>
                <w:szCs w:val="21"/>
              </w:rPr>
            </w:pPr>
            <w:r>
              <w:rPr>
                <w:rFonts w:hint="eastAsia" w:ascii="宋体" w:hAnsi="宋体" w:cs="宋体"/>
                <w:color w:val="000000"/>
                <w:szCs w:val="21"/>
              </w:rPr>
              <w:t>⑤市区联动运维</w:t>
            </w:r>
          </w:p>
        </w:tc>
        <w:tc>
          <w:tcPr>
            <w:tcW w:w="4350" w:type="dxa"/>
            <w:tcBorders>
              <w:top w:val="nil"/>
              <w:left w:val="nil"/>
              <w:bottom w:val="single" w:color="auto" w:sz="4" w:space="0"/>
              <w:right w:val="single" w:color="auto" w:sz="4" w:space="0"/>
            </w:tcBorders>
            <w:noWrap w:val="0"/>
            <w:vAlign w:val="center"/>
          </w:tcPr>
          <w:p w14:paraId="2449F02A">
            <w:pPr>
              <w:widowControl/>
              <w:jc w:val="left"/>
              <w:rPr>
                <w:rFonts w:hint="eastAsia" w:ascii="宋体" w:hAnsi="宋体" w:cs="宋体"/>
                <w:color w:val="000000"/>
                <w:kern w:val="0"/>
                <w:szCs w:val="21"/>
              </w:rPr>
            </w:pPr>
            <w:r>
              <w:rPr>
                <w:rFonts w:hint="eastAsia" w:ascii="宋体" w:hAnsi="宋体" w:cs="宋体"/>
                <w:color w:val="000000"/>
                <w:szCs w:val="21"/>
              </w:rPr>
              <w:t>主动对接市级服务和主题活动，精准匹配区级用户需求。</w:t>
            </w:r>
          </w:p>
        </w:tc>
        <w:tc>
          <w:tcPr>
            <w:tcW w:w="1478" w:type="dxa"/>
            <w:vMerge w:val="continue"/>
            <w:tcBorders>
              <w:top w:val="nil"/>
              <w:left w:val="single" w:color="auto" w:sz="4" w:space="0"/>
              <w:bottom w:val="single" w:color="auto" w:sz="4" w:space="0"/>
              <w:right w:val="single" w:color="auto" w:sz="8" w:space="0"/>
            </w:tcBorders>
            <w:noWrap w:val="0"/>
            <w:vAlign w:val="center"/>
          </w:tcPr>
          <w:p w14:paraId="6E6BF368">
            <w:pPr>
              <w:widowControl/>
              <w:jc w:val="left"/>
              <w:rPr>
                <w:rFonts w:hint="eastAsia" w:ascii="宋体" w:hAnsi="宋体" w:cs="宋体"/>
                <w:color w:val="000000"/>
                <w:kern w:val="0"/>
                <w:szCs w:val="21"/>
              </w:rPr>
            </w:pPr>
          </w:p>
        </w:tc>
      </w:tr>
      <w:tr w14:paraId="2247A7CA">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7D846148">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7724666B">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2397E32E">
            <w:pPr>
              <w:widowControl/>
              <w:jc w:val="left"/>
              <w:rPr>
                <w:rFonts w:hint="eastAsia" w:ascii="宋体" w:hAnsi="宋体" w:cs="宋体"/>
                <w:color w:val="000000"/>
                <w:kern w:val="0"/>
                <w:szCs w:val="21"/>
              </w:rPr>
            </w:pPr>
            <w:r>
              <w:rPr>
                <w:rFonts w:hint="eastAsia" w:ascii="宋体" w:hAnsi="宋体" w:cs="宋体"/>
                <w:color w:val="000000"/>
                <w:szCs w:val="21"/>
              </w:rPr>
              <w:t>⑥服务接入</w:t>
            </w:r>
          </w:p>
        </w:tc>
        <w:tc>
          <w:tcPr>
            <w:tcW w:w="4350" w:type="dxa"/>
            <w:tcBorders>
              <w:top w:val="nil"/>
              <w:left w:val="nil"/>
              <w:bottom w:val="single" w:color="auto" w:sz="4" w:space="0"/>
              <w:right w:val="single" w:color="auto" w:sz="4" w:space="0"/>
            </w:tcBorders>
            <w:noWrap w:val="0"/>
            <w:vAlign w:val="center"/>
          </w:tcPr>
          <w:p w14:paraId="42702293">
            <w:pPr>
              <w:widowControl/>
              <w:jc w:val="left"/>
              <w:rPr>
                <w:rFonts w:hint="eastAsia" w:ascii="宋体" w:hAnsi="宋体" w:cs="宋体"/>
                <w:color w:val="000000"/>
                <w:kern w:val="0"/>
                <w:szCs w:val="21"/>
              </w:rPr>
            </w:pPr>
            <w:r>
              <w:rPr>
                <w:rFonts w:hint="eastAsia" w:ascii="宋体" w:hAnsi="宋体" w:cs="宋体"/>
                <w:color w:val="000000"/>
                <w:szCs w:val="21"/>
              </w:rPr>
              <w:t>提供“随申办”徐汇旗舰店服务接入，不少于10个</w:t>
            </w:r>
          </w:p>
        </w:tc>
        <w:tc>
          <w:tcPr>
            <w:tcW w:w="1478" w:type="dxa"/>
            <w:vMerge w:val="continue"/>
            <w:tcBorders>
              <w:top w:val="nil"/>
              <w:left w:val="single" w:color="auto" w:sz="4" w:space="0"/>
              <w:bottom w:val="single" w:color="auto" w:sz="4" w:space="0"/>
              <w:right w:val="single" w:color="auto" w:sz="8" w:space="0"/>
            </w:tcBorders>
            <w:noWrap w:val="0"/>
            <w:vAlign w:val="center"/>
          </w:tcPr>
          <w:p w14:paraId="42041E06">
            <w:pPr>
              <w:widowControl/>
              <w:jc w:val="left"/>
              <w:rPr>
                <w:rFonts w:hint="eastAsia" w:ascii="宋体" w:hAnsi="宋体" w:cs="宋体"/>
                <w:color w:val="000000"/>
                <w:kern w:val="0"/>
                <w:szCs w:val="21"/>
              </w:rPr>
            </w:pPr>
          </w:p>
        </w:tc>
      </w:tr>
      <w:tr w14:paraId="42DA0D93">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1C8A2069">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420BFE2B">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0C44DB9C">
            <w:pPr>
              <w:widowControl/>
              <w:jc w:val="left"/>
              <w:rPr>
                <w:rFonts w:hint="eastAsia" w:ascii="宋体" w:hAnsi="宋体" w:cs="宋体"/>
                <w:color w:val="000000"/>
                <w:kern w:val="0"/>
                <w:szCs w:val="21"/>
              </w:rPr>
            </w:pPr>
            <w:r>
              <w:rPr>
                <w:rFonts w:hint="eastAsia" w:ascii="宋体" w:hAnsi="宋体" w:cs="宋体"/>
                <w:color w:val="000000"/>
                <w:szCs w:val="21"/>
              </w:rPr>
              <w:t>⑦爱心寒（暑）托班线上审核和缴费</w:t>
            </w:r>
          </w:p>
        </w:tc>
        <w:tc>
          <w:tcPr>
            <w:tcW w:w="4350" w:type="dxa"/>
            <w:tcBorders>
              <w:top w:val="nil"/>
              <w:left w:val="nil"/>
              <w:bottom w:val="single" w:color="auto" w:sz="4" w:space="0"/>
              <w:right w:val="single" w:color="auto" w:sz="4" w:space="0"/>
            </w:tcBorders>
            <w:noWrap w:val="0"/>
            <w:vAlign w:val="center"/>
          </w:tcPr>
          <w:p w14:paraId="0657914E">
            <w:pPr>
              <w:widowControl/>
              <w:jc w:val="left"/>
              <w:rPr>
                <w:rFonts w:hint="eastAsia" w:ascii="宋体" w:hAnsi="宋体" w:cs="宋体"/>
                <w:color w:val="000000"/>
                <w:kern w:val="0"/>
                <w:szCs w:val="21"/>
              </w:rPr>
            </w:pPr>
            <w:r>
              <w:rPr>
                <w:rFonts w:hint="eastAsia" w:ascii="宋体" w:hAnsi="宋体" w:cs="宋体"/>
                <w:color w:val="000000"/>
                <w:szCs w:val="21"/>
              </w:rPr>
              <w:t>依托“随申办”徐汇旗舰店，更新爱心寒（暑）托班线上审核和缴费功能</w:t>
            </w:r>
          </w:p>
        </w:tc>
        <w:tc>
          <w:tcPr>
            <w:tcW w:w="1478" w:type="dxa"/>
            <w:vMerge w:val="continue"/>
            <w:tcBorders>
              <w:top w:val="nil"/>
              <w:left w:val="single" w:color="auto" w:sz="4" w:space="0"/>
              <w:bottom w:val="single" w:color="auto" w:sz="4" w:space="0"/>
              <w:right w:val="single" w:color="auto" w:sz="8" w:space="0"/>
            </w:tcBorders>
            <w:noWrap w:val="0"/>
            <w:vAlign w:val="center"/>
          </w:tcPr>
          <w:p w14:paraId="22ACE550">
            <w:pPr>
              <w:widowControl/>
              <w:jc w:val="left"/>
              <w:rPr>
                <w:rFonts w:hint="eastAsia" w:ascii="宋体" w:hAnsi="宋体" w:cs="宋体"/>
                <w:color w:val="000000"/>
                <w:kern w:val="0"/>
                <w:szCs w:val="21"/>
              </w:rPr>
            </w:pPr>
          </w:p>
        </w:tc>
      </w:tr>
      <w:tr w14:paraId="777F741D">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74AED816">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4CE87201">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622C67CA">
            <w:pPr>
              <w:widowControl/>
              <w:jc w:val="left"/>
              <w:rPr>
                <w:rFonts w:hint="eastAsia" w:ascii="宋体" w:hAnsi="宋体" w:cs="宋体"/>
                <w:color w:val="000000"/>
                <w:kern w:val="0"/>
                <w:szCs w:val="21"/>
              </w:rPr>
            </w:pPr>
            <w:r>
              <w:rPr>
                <w:rFonts w:hint="eastAsia" w:ascii="宋体" w:hAnsi="宋体" w:cs="宋体"/>
                <w:color w:val="000000"/>
                <w:szCs w:val="21"/>
              </w:rPr>
              <w:t>⑧爱心寒（暑）托班环境迁移和测试</w:t>
            </w:r>
          </w:p>
        </w:tc>
        <w:tc>
          <w:tcPr>
            <w:tcW w:w="4350" w:type="dxa"/>
            <w:tcBorders>
              <w:top w:val="nil"/>
              <w:left w:val="nil"/>
              <w:bottom w:val="single" w:color="auto" w:sz="4" w:space="0"/>
              <w:right w:val="single" w:color="auto" w:sz="4" w:space="0"/>
            </w:tcBorders>
            <w:noWrap w:val="0"/>
            <w:vAlign w:val="center"/>
          </w:tcPr>
          <w:p w14:paraId="4BC8183A">
            <w:pPr>
              <w:widowControl/>
              <w:jc w:val="left"/>
              <w:rPr>
                <w:rFonts w:hint="eastAsia" w:ascii="宋体" w:hAnsi="宋体" w:cs="宋体"/>
                <w:color w:val="000000"/>
                <w:kern w:val="0"/>
                <w:szCs w:val="21"/>
              </w:rPr>
            </w:pPr>
            <w:r>
              <w:rPr>
                <w:rFonts w:hint="eastAsia" w:ascii="宋体" w:hAnsi="宋体" w:cs="宋体"/>
                <w:color w:val="000000"/>
                <w:szCs w:val="21"/>
              </w:rPr>
              <w:t>完成爱心寒（暑）托班进行国产化环境适配和迁移</w:t>
            </w:r>
          </w:p>
        </w:tc>
        <w:tc>
          <w:tcPr>
            <w:tcW w:w="1478" w:type="dxa"/>
            <w:vMerge w:val="continue"/>
            <w:tcBorders>
              <w:top w:val="nil"/>
              <w:left w:val="single" w:color="auto" w:sz="4" w:space="0"/>
              <w:bottom w:val="single" w:color="auto" w:sz="4" w:space="0"/>
              <w:right w:val="single" w:color="auto" w:sz="8" w:space="0"/>
            </w:tcBorders>
            <w:noWrap w:val="0"/>
            <w:vAlign w:val="center"/>
          </w:tcPr>
          <w:p w14:paraId="483A77D5">
            <w:pPr>
              <w:widowControl/>
              <w:jc w:val="left"/>
              <w:rPr>
                <w:rFonts w:hint="eastAsia" w:ascii="宋体" w:hAnsi="宋体" w:cs="宋体"/>
                <w:color w:val="000000"/>
                <w:kern w:val="0"/>
                <w:szCs w:val="21"/>
              </w:rPr>
            </w:pPr>
          </w:p>
        </w:tc>
      </w:tr>
      <w:tr w14:paraId="5917464D">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4B40FE0A">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2A398ABF">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5CB1963B">
            <w:pPr>
              <w:widowControl/>
              <w:jc w:val="left"/>
              <w:rPr>
                <w:rFonts w:hint="eastAsia" w:ascii="宋体" w:hAnsi="宋体" w:cs="宋体"/>
                <w:color w:val="000000"/>
                <w:kern w:val="0"/>
                <w:szCs w:val="21"/>
              </w:rPr>
            </w:pPr>
            <w:r>
              <w:rPr>
                <w:rFonts w:hint="eastAsia" w:ascii="宋体" w:hAnsi="宋体" w:cs="宋体"/>
                <w:color w:val="000000"/>
                <w:szCs w:val="21"/>
              </w:rPr>
              <w:t>⑨城建档案利用服务</w:t>
            </w:r>
          </w:p>
        </w:tc>
        <w:tc>
          <w:tcPr>
            <w:tcW w:w="4350" w:type="dxa"/>
            <w:tcBorders>
              <w:top w:val="nil"/>
              <w:left w:val="nil"/>
              <w:bottom w:val="single" w:color="auto" w:sz="4" w:space="0"/>
              <w:right w:val="single" w:color="auto" w:sz="4" w:space="0"/>
            </w:tcBorders>
            <w:noWrap w:val="0"/>
            <w:vAlign w:val="center"/>
          </w:tcPr>
          <w:p w14:paraId="1B6113CD">
            <w:pPr>
              <w:widowControl/>
              <w:jc w:val="left"/>
              <w:rPr>
                <w:rFonts w:hint="eastAsia" w:ascii="宋体" w:hAnsi="宋体" w:cs="宋体"/>
                <w:color w:val="000000"/>
                <w:kern w:val="0"/>
                <w:szCs w:val="21"/>
              </w:rPr>
            </w:pPr>
            <w:r>
              <w:rPr>
                <w:rFonts w:hint="eastAsia" w:ascii="宋体" w:hAnsi="宋体" w:cs="宋体"/>
                <w:color w:val="000000"/>
                <w:szCs w:val="21"/>
              </w:rPr>
              <w:t>依托“随申办”徐汇旗舰店，更新徐汇区城建档案利用服务</w:t>
            </w:r>
          </w:p>
        </w:tc>
        <w:tc>
          <w:tcPr>
            <w:tcW w:w="1478" w:type="dxa"/>
            <w:vMerge w:val="continue"/>
            <w:tcBorders>
              <w:top w:val="nil"/>
              <w:left w:val="single" w:color="auto" w:sz="4" w:space="0"/>
              <w:bottom w:val="single" w:color="auto" w:sz="4" w:space="0"/>
              <w:right w:val="single" w:color="auto" w:sz="8" w:space="0"/>
            </w:tcBorders>
            <w:noWrap w:val="0"/>
            <w:vAlign w:val="center"/>
          </w:tcPr>
          <w:p w14:paraId="293FCEE6">
            <w:pPr>
              <w:widowControl/>
              <w:jc w:val="left"/>
              <w:rPr>
                <w:rFonts w:hint="eastAsia" w:ascii="宋体" w:hAnsi="宋体" w:cs="宋体"/>
                <w:color w:val="000000"/>
                <w:kern w:val="0"/>
                <w:szCs w:val="21"/>
              </w:rPr>
            </w:pPr>
          </w:p>
        </w:tc>
      </w:tr>
      <w:tr w14:paraId="3AD39392">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29483F89">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2B132093">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0FD541AC">
            <w:pPr>
              <w:widowControl/>
              <w:jc w:val="left"/>
              <w:rPr>
                <w:rFonts w:hint="eastAsia" w:ascii="宋体" w:hAnsi="宋体" w:cs="宋体"/>
                <w:color w:val="000000"/>
                <w:kern w:val="0"/>
                <w:szCs w:val="21"/>
              </w:rPr>
            </w:pPr>
            <w:r>
              <w:rPr>
                <w:rFonts w:hint="eastAsia" w:ascii="宋体" w:hAnsi="宋体" w:cs="宋体"/>
                <w:color w:val="000000"/>
                <w:szCs w:val="21"/>
              </w:rPr>
              <w:t>⑩居住证积分申请外调核实函在线开具服务</w:t>
            </w:r>
          </w:p>
        </w:tc>
        <w:tc>
          <w:tcPr>
            <w:tcW w:w="4350" w:type="dxa"/>
            <w:tcBorders>
              <w:top w:val="nil"/>
              <w:left w:val="nil"/>
              <w:bottom w:val="single" w:color="auto" w:sz="4" w:space="0"/>
              <w:right w:val="single" w:color="auto" w:sz="4" w:space="0"/>
            </w:tcBorders>
            <w:noWrap w:val="0"/>
            <w:vAlign w:val="center"/>
          </w:tcPr>
          <w:p w14:paraId="6F9013AD">
            <w:pPr>
              <w:widowControl/>
              <w:jc w:val="left"/>
              <w:rPr>
                <w:rFonts w:hint="eastAsia" w:ascii="宋体" w:hAnsi="宋体" w:cs="宋体"/>
                <w:color w:val="000000"/>
                <w:kern w:val="0"/>
                <w:szCs w:val="21"/>
              </w:rPr>
            </w:pPr>
            <w:r>
              <w:rPr>
                <w:rFonts w:hint="eastAsia" w:ascii="宋体" w:hAnsi="宋体" w:cs="宋体"/>
                <w:color w:val="000000"/>
                <w:szCs w:val="21"/>
              </w:rPr>
              <w:t>依托“随申办”徐汇区旗舰店，更新徐汇区居住证积分申请外调核实函在线开具服务</w:t>
            </w:r>
          </w:p>
        </w:tc>
        <w:tc>
          <w:tcPr>
            <w:tcW w:w="1478" w:type="dxa"/>
            <w:vMerge w:val="continue"/>
            <w:tcBorders>
              <w:top w:val="nil"/>
              <w:left w:val="single" w:color="auto" w:sz="4" w:space="0"/>
              <w:bottom w:val="single" w:color="auto" w:sz="4" w:space="0"/>
              <w:right w:val="single" w:color="auto" w:sz="8" w:space="0"/>
            </w:tcBorders>
            <w:noWrap w:val="0"/>
            <w:vAlign w:val="center"/>
          </w:tcPr>
          <w:p w14:paraId="7952EA93">
            <w:pPr>
              <w:widowControl/>
              <w:jc w:val="left"/>
              <w:rPr>
                <w:rFonts w:hint="eastAsia" w:ascii="宋体" w:hAnsi="宋体" w:cs="宋体"/>
                <w:color w:val="000000"/>
                <w:kern w:val="0"/>
                <w:szCs w:val="21"/>
              </w:rPr>
            </w:pPr>
          </w:p>
        </w:tc>
      </w:tr>
      <w:tr w14:paraId="730946CA">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27FE5C3B">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2A058872">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53E2E642">
            <w:pPr>
              <w:widowControl/>
              <w:jc w:val="left"/>
              <w:rPr>
                <w:rFonts w:hint="eastAsia" w:ascii="宋体" w:hAnsi="宋体" w:cs="宋体"/>
                <w:color w:val="000000"/>
                <w:kern w:val="0"/>
                <w:szCs w:val="21"/>
              </w:rPr>
            </w:pPr>
            <w:r>
              <w:rPr>
                <w:rFonts w:hint="eastAsia" w:ascii="宋体" w:hAnsi="宋体" w:cs="宋体"/>
                <w:color w:val="000000"/>
                <w:szCs w:val="21"/>
              </w:rPr>
              <w:t>11、区域专用额度落户调档函在线开具服务</w:t>
            </w:r>
          </w:p>
        </w:tc>
        <w:tc>
          <w:tcPr>
            <w:tcW w:w="4350" w:type="dxa"/>
            <w:tcBorders>
              <w:top w:val="nil"/>
              <w:left w:val="nil"/>
              <w:bottom w:val="single" w:color="auto" w:sz="4" w:space="0"/>
              <w:right w:val="single" w:color="auto" w:sz="4" w:space="0"/>
            </w:tcBorders>
            <w:noWrap w:val="0"/>
            <w:vAlign w:val="center"/>
          </w:tcPr>
          <w:p w14:paraId="68BDC53E">
            <w:pPr>
              <w:widowControl/>
              <w:jc w:val="left"/>
              <w:rPr>
                <w:rFonts w:hint="eastAsia" w:ascii="宋体" w:hAnsi="宋体" w:cs="宋体"/>
                <w:color w:val="000000"/>
                <w:kern w:val="0"/>
                <w:szCs w:val="21"/>
              </w:rPr>
            </w:pPr>
            <w:r>
              <w:rPr>
                <w:rFonts w:hint="eastAsia" w:ascii="宋体" w:hAnsi="宋体" w:cs="宋体"/>
                <w:color w:val="000000"/>
                <w:szCs w:val="21"/>
              </w:rPr>
              <w:t>依托“随申办”徐汇区旗舰店，更新徐汇区区域专用额度落户调档函在线开具服务</w:t>
            </w:r>
          </w:p>
        </w:tc>
        <w:tc>
          <w:tcPr>
            <w:tcW w:w="1478" w:type="dxa"/>
            <w:vMerge w:val="continue"/>
            <w:tcBorders>
              <w:top w:val="nil"/>
              <w:left w:val="single" w:color="auto" w:sz="4" w:space="0"/>
              <w:bottom w:val="single" w:color="auto" w:sz="4" w:space="0"/>
              <w:right w:val="single" w:color="auto" w:sz="8" w:space="0"/>
            </w:tcBorders>
            <w:noWrap w:val="0"/>
            <w:vAlign w:val="center"/>
          </w:tcPr>
          <w:p w14:paraId="174A600F">
            <w:pPr>
              <w:widowControl/>
              <w:jc w:val="left"/>
              <w:rPr>
                <w:rFonts w:hint="eastAsia" w:ascii="宋体" w:hAnsi="宋体" w:cs="宋体"/>
                <w:color w:val="000000"/>
                <w:kern w:val="0"/>
                <w:szCs w:val="21"/>
              </w:rPr>
            </w:pPr>
          </w:p>
        </w:tc>
      </w:tr>
      <w:tr w14:paraId="7C518954">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3A5FBCCA">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7E58AAD9">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09A51444">
            <w:pPr>
              <w:widowControl/>
              <w:jc w:val="left"/>
              <w:rPr>
                <w:rFonts w:hint="eastAsia" w:ascii="宋体" w:hAnsi="宋体" w:cs="宋体"/>
                <w:color w:val="000000"/>
                <w:kern w:val="0"/>
                <w:szCs w:val="21"/>
              </w:rPr>
            </w:pPr>
            <w:r>
              <w:rPr>
                <w:rFonts w:hint="eastAsia" w:ascii="宋体" w:hAnsi="宋体" w:cs="宋体"/>
                <w:color w:val="000000"/>
                <w:szCs w:val="21"/>
              </w:rPr>
              <w:t>12、运维数据分析</w:t>
            </w:r>
          </w:p>
        </w:tc>
        <w:tc>
          <w:tcPr>
            <w:tcW w:w="4350" w:type="dxa"/>
            <w:tcBorders>
              <w:top w:val="nil"/>
              <w:left w:val="nil"/>
              <w:bottom w:val="single" w:color="auto" w:sz="4" w:space="0"/>
              <w:right w:val="single" w:color="auto" w:sz="4" w:space="0"/>
            </w:tcBorders>
            <w:noWrap w:val="0"/>
            <w:vAlign w:val="center"/>
          </w:tcPr>
          <w:p w14:paraId="3CDF5308">
            <w:pPr>
              <w:widowControl/>
              <w:jc w:val="left"/>
              <w:rPr>
                <w:rFonts w:hint="eastAsia" w:ascii="宋体" w:hAnsi="宋体" w:cs="宋体"/>
                <w:color w:val="000000"/>
                <w:kern w:val="0"/>
                <w:szCs w:val="21"/>
              </w:rPr>
            </w:pPr>
            <w:r>
              <w:rPr>
                <w:rFonts w:hint="eastAsia" w:ascii="宋体" w:hAnsi="宋体" w:cs="宋体"/>
                <w:color w:val="000000"/>
                <w:szCs w:val="21"/>
              </w:rPr>
              <w:t>获取相关运营和分析数据，并生成月度运营分析报告。</w:t>
            </w:r>
          </w:p>
        </w:tc>
        <w:tc>
          <w:tcPr>
            <w:tcW w:w="1478" w:type="dxa"/>
            <w:vMerge w:val="continue"/>
            <w:tcBorders>
              <w:top w:val="nil"/>
              <w:left w:val="single" w:color="auto" w:sz="4" w:space="0"/>
              <w:bottom w:val="single" w:color="auto" w:sz="4" w:space="0"/>
              <w:right w:val="single" w:color="auto" w:sz="8" w:space="0"/>
            </w:tcBorders>
            <w:noWrap w:val="0"/>
            <w:vAlign w:val="center"/>
          </w:tcPr>
          <w:p w14:paraId="11A61E92">
            <w:pPr>
              <w:widowControl/>
              <w:jc w:val="left"/>
              <w:rPr>
                <w:rFonts w:hint="eastAsia" w:ascii="宋体" w:hAnsi="宋体" w:cs="宋体"/>
                <w:color w:val="000000"/>
                <w:kern w:val="0"/>
                <w:szCs w:val="21"/>
              </w:rPr>
            </w:pPr>
          </w:p>
        </w:tc>
      </w:tr>
      <w:tr w14:paraId="48AA6026">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7452613B">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1477" w:type="dxa"/>
            <w:vMerge w:val="restart"/>
            <w:tcBorders>
              <w:top w:val="nil"/>
              <w:left w:val="single" w:color="auto" w:sz="4" w:space="0"/>
              <w:bottom w:val="single" w:color="auto" w:sz="4" w:space="0"/>
              <w:right w:val="single" w:color="auto" w:sz="4" w:space="0"/>
            </w:tcBorders>
            <w:noWrap w:val="0"/>
            <w:vAlign w:val="center"/>
          </w:tcPr>
          <w:p w14:paraId="7392CBCE">
            <w:pPr>
              <w:widowControl/>
              <w:jc w:val="center"/>
              <w:rPr>
                <w:rFonts w:hint="eastAsia" w:ascii="宋体" w:hAnsi="宋体" w:cs="宋体"/>
                <w:color w:val="000000"/>
                <w:kern w:val="0"/>
                <w:szCs w:val="21"/>
              </w:rPr>
            </w:pPr>
            <w:r>
              <w:rPr>
                <w:rFonts w:hint="eastAsia" w:ascii="宋体" w:hAnsi="宋体" w:cs="宋体"/>
                <w:color w:val="000000"/>
                <w:kern w:val="0"/>
                <w:szCs w:val="21"/>
              </w:rPr>
              <w:t>“随申办”企业云旗舰店</w:t>
            </w:r>
          </w:p>
        </w:tc>
        <w:tc>
          <w:tcPr>
            <w:tcW w:w="2402" w:type="dxa"/>
            <w:tcBorders>
              <w:top w:val="nil"/>
              <w:left w:val="nil"/>
              <w:bottom w:val="single" w:color="auto" w:sz="4" w:space="0"/>
              <w:right w:val="single" w:color="auto" w:sz="4" w:space="0"/>
            </w:tcBorders>
            <w:noWrap w:val="0"/>
            <w:vAlign w:val="center"/>
          </w:tcPr>
          <w:p w14:paraId="405AD97D">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74B0AE07">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w:t>
            </w:r>
          </w:p>
        </w:tc>
        <w:tc>
          <w:tcPr>
            <w:tcW w:w="1478" w:type="dxa"/>
            <w:vMerge w:val="restart"/>
            <w:tcBorders>
              <w:top w:val="nil"/>
              <w:left w:val="single" w:color="auto" w:sz="4" w:space="0"/>
              <w:bottom w:val="single" w:color="auto" w:sz="4" w:space="0"/>
              <w:right w:val="single" w:color="auto" w:sz="8" w:space="0"/>
            </w:tcBorders>
            <w:noWrap w:val="0"/>
            <w:vAlign w:val="center"/>
          </w:tcPr>
          <w:p w14:paraId="0DAF2925">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5D9A7451">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489350DF">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7097FBD3">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4421DDE3">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5EA22F1D">
            <w:pPr>
              <w:widowControl/>
              <w:jc w:val="left"/>
              <w:rPr>
                <w:rFonts w:hint="eastAsia" w:ascii="宋体" w:hAnsi="宋体" w:cs="宋体"/>
                <w:color w:val="000000"/>
                <w:kern w:val="0"/>
                <w:szCs w:val="21"/>
              </w:rPr>
            </w:pPr>
            <w:r>
              <w:rPr>
                <w:rFonts w:hint="eastAsia" w:ascii="宋体" w:hAnsi="宋体" w:cs="宋体"/>
                <w:color w:val="000000"/>
                <w:kern w:val="0"/>
                <w:szCs w:val="21"/>
              </w:rPr>
              <w:t>②运行监控</w:t>
            </w:r>
          </w:p>
        </w:tc>
        <w:tc>
          <w:tcPr>
            <w:tcW w:w="4350" w:type="dxa"/>
            <w:tcBorders>
              <w:top w:val="nil"/>
              <w:left w:val="nil"/>
              <w:bottom w:val="single" w:color="auto" w:sz="4" w:space="0"/>
              <w:right w:val="single" w:color="auto" w:sz="4" w:space="0"/>
            </w:tcBorders>
            <w:noWrap w:val="0"/>
            <w:vAlign w:val="center"/>
          </w:tcPr>
          <w:p w14:paraId="2A045C5D">
            <w:pPr>
              <w:widowControl/>
              <w:jc w:val="left"/>
              <w:rPr>
                <w:rFonts w:hint="eastAsia" w:ascii="宋体" w:hAnsi="宋体" w:cs="宋体"/>
                <w:color w:val="000000"/>
                <w:kern w:val="0"/>
                <w:szCs w:val="21"/>
              </w:rPr>
            </w:pPr>
            <w:r>
              <w:rPr>
                <w:rFonts w:hint="eastAsia" w:ascii="宋体" w:hAnsi="宋体" w:cs="宋体"/>
                <w:color w:val="000000"/>
                <w:kern w:val="0"/>
                <w:szCs w:val="21"/>
              </w:rPr>
              <w:t>服务接入情况、用户登录数据、专题专栏访问量、办件量等进行埋点统计，实现相关功能应用的运行数据采集监控。</w:t>
            </w:r>
          </w:p>
        </w:tc>
        <w:tc>
          <w:tcPr>
            <w:tcW w:w="1478" w:type="dxa"/>
            <w:vMerge w:val="continue"/>
            <w:tcBorders>
              <w:top w:val="nil"/>
              <w:left w:val="single" w:color="auto" w:sz="4" w:space="0"/>
              <w:bottom w:val="single" w:color="auto" w:sz="4" w:space="0"/>
              <w:right w:val="single" w:color="auto" w:sz="8" w:space="0"/>
            </w:tcBorders>
            <w:noWrap w:val="0"/>
            <w:vAlign w:val="center"/>
          </w:tcPr>
          <w:p w14:paraId="3E71B9D4">
            <w:pPr>
              <w:widowControl/>
              <w:jc w:val="left"/>
              <w:rPr>
                <w:rFonts w:hint="eastAsia" w:ascii="宋体" w:hAnsi="宋体" w:cs="宋体"/>
                <w:color w:val="000000"/>
                <w:kern w:val="0"/>
                <w:szCs w:val="21"/>
              </w:rPr>
            </w:pPr>
          </w:p>
        </w:tc>
      </w:tr>
      <w:tr w14:paraId="47D1E776">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13959B4F">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08D5933D">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75BBCFA4">
            <w:pPr>
              <w:widowControl/>
              <w:jc w:val="left"/>
              <w:rPr>
                <w:rFonts w:hint="eastAsia" w:ascii="宋体" w:hAnsi="宋体" w:cs="宋体"/>
                <w:color w:val="000000"/>
                <w:kern w:val="0"/>
                <w:szCs w:val="21"/>
              </w:rPr>
            </w:pPr>
            <w:r>
              <w:rPr>
                <w:rFonts w:hint="eastAsia" w:ascii="宋体" w:hAnsi="宋体" w:cs="宋体"/>
                <w:color w:val="000000"/>
                <w:kern w:val="0"/>
                <w:szCs w:val="21"/>
              </w:rPr>
              <w:t>③服务接入</w:t>
            </w:r>
          </w:p>
        </w:tc>
        <w:tc>
          <w:tcPr>
            <w:tcW w:w="4350" w:type="dxa"/>
            <w:tcBorders>
              <w:top w:val="nil"/>
              <w:left w:val="nil"/>
              <w:bottom w:val="single" w:color="auto" w:sz="4" w:space="0"/>
              <w:right w:val="single" w:color="auto" w:sz="4" w:space="0"/>
            </w:tcBorders>
            <w:noWrap w:val="0"/>
            <w:vAlign w:val="center"/>
          </w:tcPr>
          <w:p w14:paraId="669A16E1">
            <w:pPr>
              <w:widowControl/>
              <w:jc w:val="left"/>
              <w:rPr>
                <w:rFonts w:hint="eastAsia" w:ascii="宋体" w:hAnsi="宋体" w:cs="宋体"/>
                <w:color w:val="000000"/>
                <w:kern w:val="0"/>
                <w:szCs w:val="21"/>
              </w:rPr>
            </w:pPr>
            <w:r>
              <w:rPr>
                <w:rFonts w:hint="eastAsia" w:ascii="宋体" w:hAnsi="宋体" w:cs="宋体"/>
                <w:color w:val="000000"/>
                <w:kern w:val="0"/>
                <w:szCs w:val="21"/>
              </w:rPr>
              <w:t>接入为企服务，具体内容包括：授权代办服务接入、政策体检的服务接入、“一企一档”服务接入、特色应用服务接入。</w:t>
            </w:r>
          </w:p>
        </w:tc>
        <w:tc>
          <w:tcPr>
            <w:tcW w:w="1478" w:type="dxa"/>
            <w:vMerge w:val="continue"/>
            <w:tcBorders>
              <w:top w:val="nil"/>
              <w:left w:val="single" w:color="auto" w:sz="4" w:space="0"/>
              <w:bottom w:val="single" w:color="auto" w:sz="4" w:space="0"/>
              <w:right w:val="single" w:color="auto" w:sz="8" w:space="0"/>
            </w:tcBorders>
            <w:noWrap w:val="0"/>
            <w:vAlign w:val="center"/>
          </w:tcPr>
          <w:p w14:paraId="510B9042">
            <w:pPr>
              <w:widowControl/>
              <w:jc w:val="left"/>
              <w:rPr>
                <w:rFonts w:hint="eastAsia" w:ascii="宋体" w:hAnsi="宋体" w:cs="宋体"/>
                <w:color w:val="000000"/>
                <w:kern w:val="0"/>
                <w:szCs w:val="21"/>
              </w:rPr>
            </w:pPr>
          </w:p>
        </w:tc>
      </w:tr>
      <w:tr w14:paraId="49DE1407">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17684B8A">
            <w:pPr>
              <w:widowControl/>
              <w:jc w:val="center"/>
              <w:rPr>
                <w:rFonts w:hint="eastAsia" w:ascii="宋体" w:hAnsi="宋体" w:cs="宋体"/>
                <w:color w:val="000000"/>
                <w:kern w:val="0"/>
                <w:szCs w:val="21"/>
              </w:rPr>
            </w:pPr>
            <w:r>
              <w:rPr>
                <w:rFonts w:hint="eastAsia" w:ascii="宋体" w:hAnsi="宋体" w:cs="宋体"/>
                <w:color w:val="000000"/>
                <w:kern w:val="0"/>
                <w:szCs w:val="21"/>
              </w:rPr>
              <w:t>5</w:t>
            </w:r>
          </w:p>
        </w:tc>
        <w:tc>
          <w:tcPr>
            <w:tcW w:w="1477" w:type="dxa"/>
            <w:vMerge w:val="restart"/>
            <w:tcBorders>
              <w:top w:val="nil"/>
              <w:left w:val="single" w:color="auto" w:sz="4" w:space="0"/>
              <w:bottom w:val="single" w:color="auto" w:sz="4" w:space="0"/>
              <w:right w:val="single" w:color="auto" w:sz="4" w:space="0"/>
            </w:tcBorders>
            <w:noWrap w:val="0"/>
            <w:vAlign w:val="center"/>
          </w:tcPr>
          <w:p w14:paraId="0977139E">
            <w:pPr>
              <w:widowControl/>
              <w:jc w:val="center"/>
              <w:rPr>
                <w:rFonts w:hint="eastAsia" w:ascii="宋体" w:hAnsi="宋体" w:cs="宋体"/>
                <w:color w:val="000000"/>
                <w:kern w:val="0"/>
                <w:szCs w:val="21"/>
              </w:rPr>
            </w:pPr>
            <w:r>
              <w:rPr>
                <w:rFonts w:hint="eastAsia" w:ascii="宋体" w:hAnsi="宋体" w:cs="宋体"/>
                <w:color w:val="000000"/>
                <w:kern w:val="0"/>
                <w:szCs w:val="21"/>
              </w:rPr>
              <w:t>智能问答知识库</w:t>
            </w:r>
          </w:p>
        </w:tc>
        <w:tc>
          <w:tcPr>
            <w:tcW w:w="2402" w:type="dxa"/>
            <w:tcBorders>
              <w:top w:val="nil"/>
              <w:left w:val="nil"/>
              <w:bottom w:val="single" w:color="auto" w:sz="4" w:space="0"/>
              <w:right w:val="single" w:color="auto" w:sz="4" w:space="0"/>
            </w:tcBorders>
            <w:noWrap w:val="0"/>
            <w:vAlign w:val="center"/>
          </w:tcPr>
          <w:p w14:paraId="5439D46B">
            <w:pPr>
              <w:widowControl/>
              <w:jc w:val="left"/>
              <w:rPr>
                <w:rFonts w:hint="eastAsia" w:ascii="宋体" w:hAnsi="宋体" w:cs="宋体"/>
                <w:color w:val="000000"/>
                <w:kern w:val="0"/>
                <w:szCs w:val="21"/>
              </w:rPr>
            </w:pPr>
            <w:r>
              <w:rPr>
                <w:rFonts w:hint="eastAsia" w:ascii="宋体" w:hAnsi="宋体" w:cs="宋体"/>
                <w:color w:val="000000"/>
                <w:kern w:val="0"/>
                <w:szCs w:val="21"/>
              </w:rPr>
              <w:t>①知识库巡检</w:t>
            </w:r>
          </w:p>
        </w:tc>
        <w:tc>
          <w:tcPr>
            <w:tcW w:w="4350" w:type="dxa"/>
            <w:tcBorders>
              <w:top w:val="nil"/>
              <w:left w:val="nil"/>
              <w:bottom w:val="single" w:color="auto" w:sz="4" w:space="0"/>
              <w:right w:val="single" w:color="auto" w:sz="4" w:space="0"/>
            </w:tcBorders>
            <w:noWrap w:val="0"/>
            <w:vAlign w:val="center"/>
          </w:tcPr>
          <w:p w14:paraId="2CEDE362">
            <w:pPr>
              <w:widowControl/>
              <w:jc w:val="left"/>
              <w:rPr>
                <w:rFonts w:hint="eastAsia" w:ascii="宋体" w:hAnsi="宋体" w:cs="宋体"/>
                <w:color w:val="000000"/>
                <w:kern w:val="0"/>
                <w:szCs w:val="21"/>
              </w:rPr>
            </w:pPr>
            <w:r>
              <w:rPr>
                <w:rFonts w:hint="eastAsia" w:ascii="宋体" w:hAnsi="宋体" w:cs="宋体"/>
                <w:color w:val="000000"/>
                <w:kern w:val="0"/>
                <w:szCs w:val="21"/>
              </w:rPr>
              <w:t>保障系统高可用与稳定运行，具体包括页面功能及时响应、后端数据实时更新、语音机器人稳定运行等。</w:t>
            </w:r>
          </w:p>
        </w:tc>
        <w:tc>
          <w:tcPr>
            <w:tcW w:w="1478" w:type="dxa"/>
            <w:vMerge w:val="restart"/>
            <w:tcBorders>
              <w:top w:val="nil"/>
              <w:left w:val="single" w:color="auto" w:sz="4" w:space="0"/>
              <w:bottom w:val="single" w:color="auto" w:sz="4" w:space="0"/>
              <w:right w:val="single" w:color="auto" w:sz="8" w:space="0"/>
            </w:tcBorders>
            <w:noWrap w:val="0"/>
            <w:vAlign w:val="center"/>
          </w:tcPr>
          <w:p w14:paraId="095930A7">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67082A35">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5E13789B">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7D72460E">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6E7F0C5A">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4CFB2EA2">
            <w:pPr>
              <w:widowControl/>
              <w:jc w:val="left"/>
              <w:rPr>
                <w:rFonts w:hint="eastAsia" w:ascii="宋体" w:hAnsi="宋体" w:cs="宋体"/>
                <w:color w:val="000000"/>
                <w:kern w:val="0"/>
                <w:szCs w:val="21"/>
              </w:rPr>
            </w:pPr>
            <w:r>
              <w:rPr>
                <w:rFonts w:hint="eastAsia" w:ascii="宋体" w:hAnsi="宋体" w:cs="宋体"/>
                <w:color w:val="000000"/>
                <w:kern w:val="0"/>
                <w:szCs w:val="21"/>
              </w:rPr>
              <w:t>②数据治理</w:t>
            </w:r>
          </w:p>
        </w:tc>
        <w:tc>
          <w:tcPr>
            <w:tcW w:w="4350" w:type="dxa"/>
            <w:tcBorders>
              <w:top w:val="nil"/>
              <w:left w:val="nil"/>
              <w:bottom w:val="single" w:color="auto" w:sz="4" w:space="0"/>
              <w:right w:val="single" w:color="auto" w:sz="4" w:space="0"/>
            </w:tcBorders>
            <w:noWrap w:val="0"/>
            <w:vAlign w:val="center"/>
          </w:tcPr>
          <w:p w14:paraId="6D9C20AC">
            <w:pPr>
              <w:widowControl/>
              <w:jc w:val="left"/>
              <w:rPr>
                <w:rFonts w:hint="eastAsia" w:ascii="宋体" w:hAnsi="宋体" w:cs="宋体"/>
                <w:color w:val="000000"/>
                <w:kern w:val="0"/>
                <w:szCs w:val="21"/>
              </w:rPr>
            </w:pPr>
            <w:r>
              <w:rPr>
                <w:rFonts w:hint="eastAsia" w:ascii="宋体" w:hAnsi="宋体" w:cs="宋体"/>
                <w:color w:val="000000"/>
                <w:kern w:val="0"/>
                <w:szCs w:val="21"/>
              </w:rPr>
              <w:t>通过数据治理、优化和训练让语音机器人解决率保持较高水准。包括：知识优化、模型训练、Bot大脑会话逻辑、数据记录与分析。</w:t>
            </w:r>
          </w:p>
        </w:tc>
        <w:tc>
          <w:tcPr>
            <w:tcW w:w="1478" w:type="dxa"/>
            <w:vMerge w:val="continue"/>
            <w:tcBorders>
              <w:top w:val="nil"/>
              <w:left w:val="single" w:color="auto" w:sz="4" w:space="0"/>
              <w:bottom w:val="single" w:color="auto" w:sz="4" w:space="0"/>
              <w:right w:val="single" w:color="auto" w:sz="8" w:space="0"/>
            </w:tcBorders>
            <w:noWrap w:val="0"/>
            <w:vAlign w:val="center"/>
          </w:tcPr>
          <w:p w14:paraId="3DBD6266">
            <w:pPr>
              <w:widowControl/>
              <w:jc w:val="left"/>
              <w:rPr>
                <w:rFonts w:hint="eastAsia" w:ascii="宋体" w:hAnsi="宋体" w:cs="宋体"/>
                <w:color w:val="000000"/>
                <w:kern w:val="0"/>
                <w:szCs w:val="21"/>
              </w:rPr>
            </w:pPr>
          </w:p>
        </w:tc>
      </w:tr>
      <w:tr w14:paraId="65FAAC35">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1ABB8C9F">
            <w:pPr>
              <w:widowControl/>
              <w:jc w:val="center"/>
              <w:rPr>
                <w:rFonts w:hint="eastAsia" w:ascii="宋体" w:hAnsi="宋体" w:cs="宋体"/>
                <w:color w:val="000000"/>
                <w:kern w:val="0"/>
                <w:szCs w:val="21"/>
              </w:rPr>
            </w:pPr>
            <w:r>
              <w:rPr>
                <w:rFonts w:hint="eastAsia" w:ascii="宋体" w:hAnsi="宋体" w:cs="宋体"/>
                <w:color w:val="000000"/>
                <w:kern w:val="0"/>
                <w:szCs w:val="21"/>
              </w:rPr>
              <w:t>6</w:t>
            </w:r>
          </w:p>
        </w:tc>
        <w:tc>
          <w:tcPr>
            <w:tcW w:w="1477" w:type="dxa"/>
            <w:vMerge w:val="restart"/>
            <w:tcBorders>
              <w:top w:val="nil"/>
              <w:left w:val="single" w:color="auto" w:sz="4" w:space="0"/>
              <w:bottom w:val="single" w:color="auto" w:sz="4" w:space="0"/>
              <w:right w:val="single" w:color="auto" w:sz="4" w:space="0"/>
            </w:tcBorders>
            <w:noWrap w:val="0"/>
            <w:vAlign w:val="center"/>
          </w:tcPr>
          <w:p w14:paraId="63E4AA58">
            <w:pPr>
              <w:widowControl/>
              <w:jc w:val="center"/>
              <w:rPr>
                <w:rFonts w:hint="eastAsia" w:ascii="宋体" w:hAnsi="宋体" w:cs="宋体"/>
                <w:color w:val="000000"/>
                <w:kern w:val="0"/>
                <w:szCs w:val="21"/>
              </w:rPr>
            </w:pPr>
            <w:r>
              <w:rPr>
                <w:rFonts w:hint="eastAsia" w:ascii="宋体" w:hAnsi="宋体" w:cs="宋体"/>
                <w:color w:val="000000"/>
                <w:kern w:val="0"/>
                <w:szCs w:val="21"/>
              </w:rPr>
              <w:t>虚拟帮办咨询服务平台</w:t>
            </w:r>
          </w:p>
        </w:tc>
        <w:tc>
          <w:tcPr>
            <w:tcW w:w="2402" w:type="dxa"/>
            <w:tcBorders>
              <w:top w:val="nil"/>
              <w:left w:val="nil"/>
              <w:bottom w:val="single" w:color="auto" w:sz="4" w:space="0"/>
              <w:right w:val="single" w:color="auto" w:sz="4" w:space="0"/>
            </w:tcBorders>
            <w:noWrap w:val="0"/>
            <w:vAlign w:val="center"/>
          </w:tcPr>
          <w:p w14:paraId="1ED9DC7E">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6F958976">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w:t>
            </w:r>
          </w:p>
        </w:tc>
        <w:tc>
          <w:tcPr>
            <w:tcW w:w="1478" w:type="dxa"/>
            <w:vMerge w:val="restart"/>
            <w:tcBorders>
              <w:top w:val="nil"/>
              <w:left w:val="single" w:color="auto" w:sz="4" w:space="0"/>
              <w:bottom w:val="single" w:color="auto" w:sz="4" w:space="0"/>
              <w:right w:val="single" w:color="auto" w:sz="8" w:space="0"/>
            </w:tcBorders>
            <w:noWrap w:val="0"/>
            <w:vAlign w:val="center"/>
          </w:tcPr>
          <w:p w14:paraId="3E9AD29E">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02D26379">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6D4A5F62">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366FD3E2">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23F0DBC8">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39FAD1CC">
            <w:pPr>
              <w:widowControl/>
              <w:jc w:val="left"/>
              <w:rPr>
                <w:rFonts w:hint="eastAsia" w:ascii="宋体" w:hAnsi="宋体" w:cs="宋体"/>
                <w:color w:val="000000"/>
                <w:kern w:val="0"/>
                <w:szCs w:val="21"/>
              </w:rPr>
            </w:pPr>
            <w:r>
              <w:rPr>
                <w:rFonts w:hint="eastAsia" w:ascii="宋体" w:hAnsi="宋体" w:cs="宋体"/>
                <w:color w:val="000000"/>
                <w:kern w:val="0"/>
                <w:szCs w:val="21"/>
              </w:rPr>
              <w:t>②虚拟大厅3D建模更新</w:t>
            </w:r>
          </w:p>
        </w:tc>
        <w:tc>
          <w:tcPr>
            <w:tcW w:w="4350" w:type="dxa"/>
            <w:tcBorders>
              <w:top w:val="nil"/>
              <w:left w:val="nil"/>
              <w:bottom w:val="single" w:color="auto" w:sz="4" w:space="0"/>
              <w:right w:val="single" w:color="auto" w:sz="4" w:space="0"/>
            </w:tcBorders>
            <w:noWrap w:val="0"/>
            <w:vAlign w:val="center"/>
          </w:tcPr>
          <w:p w14:paraId="013390B1">
            <w:pPr>
              <w:widowControl/>
              <w:jc w:val="left"/>
              <w:rPr>
                <w:rFonts w:hint="eastAsia" w:ascii="宋体" w:hAnsi="宋体" w:cs="宋体"/>
                <w:color w:val="000000"/>
                <w:kern w:val="0"/>
                <w:szCs w:val="21"/>
              </w:rPr>
            </w:pPr>
            <w:r>
              <w:rPr>
                <w:rFonts w:hint="eastAsia" w:ascii="宋体" w:hAnsi="宋体" w:cs="宋体"/>
                <w:color w:val="000000"/>
                <w:kern w:val="0"/>
                <w:szCs w:val="21"/>
              </w:rPr>
              <w:t>对企业帮办专区、增值服务专区和出海专区进行大厅全景高精度建模，同时设置交互热点与信息标注，规划设计虚拟导览路径。</w:t>
            </w:r>
          </w:p>
        </w:tc>
        <w:tc>
          <w:tcPr>
            <w:tcW w:w="1478" w:type="dxa"/>
            <w:vMerge w:val="continue"/>
            <w:tcBorders>
              <w:top w:val="nil"/>
              <w:left w:val="single" w:color="auto" w:sz="4" w:space="0"/>
              <w:bottom w:val="single" w:color="auto" w:sz="4" w:space="0"/>
              <w:right w:val="single" w:color="auto" w:sz="8" w:space="0"/>
            </w:tcBorders>
            <w:noWrap w:val="0"/>
            <w:vAlign w:val="center"/>
          </w:tcPr>
          <w:p w14:paraId="4BD9C57F">
            <w:pPr>
              <w:widowControl/>
              <w:jc w:val="left"/>
              <w:rPr>
                <w:rFonts w:hint="eastAsia" w:ascii="宋体" w:hAnsi="宋体" w:cs="宋体"/>
                <w:color w:val="000000"/>
                <w:kern w:val="0"/>
                <w:szCs w:val="21"/>
              </w:rPr>
            </w:pPr>
          </w:p>
        </w:tc>
      </w:tr>
      <w:tr w14:paraId="10A269C0">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4182CC52">
            <w:pPr>
              <w:widowControl/>
              <w:jc w:val="center"/>
              <w:rPr>
                <w:rFonts w:hint="eastAsia" w:ascii="宋体" w:hAnsi="宋体" w:cs="宋体"/>
                <w:color w:val="000000"/>
                <w:kern w:val="0"/>
                <w:szCs w:val="21"/>
              </w:rPr>
            </w:pPr>
            <w:r>
              <w:rPr>
                <w:rFonts w:hint="eastAsia" w:ascii="宋体" w:hAnsi="宋体" w:cs="宋体"/>
                <w:color w:val="000000"/>
                <w:kern w:val="0"/>
                <w:szCs w:val="21"/>
              </w:rPr>
              <w:t>7</w:t>
            </w:r>
          </w:p>
        </w:tc>
        <w:tc>
          <w:tcPr>
            <w:tcW w:w="1477" w:type="dxa"/>
            <w:vMerge w:val="restart"/>
            <w:tcBorders>
              <w:top w:val="nil"/>
              <w:left w:val="single" w:color="auto" w:sz="4" w:space="0"/>
              <w:bottom w:val="single" w:color="auto" w:sz="4" w:space="0"/>
              <w:right w:val="single" w:color="auto" w:sz="4" w:space="0"/>
            </w:tcBorders>
            <w:noWrap w:val="0"/>
            <w:vAlign w:val="center"/>
          </w:tcPr>
          <w:p w14:paraId="43D1DB6E">
            <w:pPr>
              <w:widowControl/>
              <w:jc w:val="center"/>
              <w:rPr>
                <w:rFonts w:hint="eastAsia" w:ascii="宋体" w:hAnsi="宋体" w:cs="宋体"/>
                <w:color w:val="000000"/>
                <w:kern w:val="0"/>
                <w:szCs w:val="21"/>
              </w:rPr>
            </w:pPr>
            <w:r>
              <w:rPr>
                <w:rFonts w:hint="eastAsia" w:ascii="宋体" w:hAnsi="宋体" w:cs="宋体"/>
                <w:color w:val="000000"/>
                <w:kern w:val="0"/>
                <w:szCs w:val="21"/>
              </w:rPr>
              <w:t>区统一综窗基础支撑系统</w:t>
            </w:r>
          </w:p>
        </w:tc>
        <w:tc>
          <w:tcPr>
            <w:tcW w:w="2402" w:type="dxa"/>
            <w:tcBorders>
              <w:top w:val="nil"/>
              <w:left w:val="nil"/>
              <w:bottom w:val="single" w:color="auto" w:sz="4" w:space="0"/>
              <w:right w:val="single" w:color="auto" w:sz="4" w:space="0"/>
            </w:tcBorders>
            <w:noWrap w:val="0"/>
            <w:vAlign w:val="center"/>
          </w:tcPr>
          <w:p w14:paraId="1054AF59">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3475A081">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软件日常巡检，网络、安全巡检，数据库巡检、大厅巡检。</w:t>
            </w:r>
          </w:p>
        </w:tc>
        <w:tc>
          <w:tcPr>
            <w:tcW w:w="1478" w:type="dxa"/>
            <w:vMerge w:val="restart"/>
            <w:tcBorders>
              <w:top w:val="nil"/>
              <w:left w:val="single" w:color="auto" w:sz="4" w:space="0"/>
              <w:bottom w:val="single" w:color="auto" w:sz="4" w:space="0"/>
              <w:right w:val="single" w:color="auto" w:sz="8" w:space="0"/>
            </w:tcBorders>
            <w:noWrap w:val="0"/>
            <w:vAlign w:val="center"/>
          </w:tcPr>
          <w:p w14:paraId="461E31BE">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5884567C">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2D334EBF">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30CEBAA3">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7A23F753">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1C7516DA">
            <w:pPr>
              <w:widowControl/>
              <w:jc w:val="left"/>
              <w:rPr>
                <w:rFonts w:hint="eastAsia" w:ascii="宋体" w:hAnsi="宋体" w:cs="宋体"/>
                <w:color w:val="000000"/>
                <w:kern w:val="0"/>
                <w:szCs w:val="21"/>
              </w:rPr>
            </w:pPr>
            <w:r>
              <w:rPr>
                <w:rFonts w:hint="eastAsia" w:ascii="宋体" w:hAnsi="宋体" w:cs="宋体"/>
                <w:color w:val="000000"/>
                <w:kern w:val="0"/>
                <w:szCs w:val="21"/>
              </w:rPr>
              <w:t>②企业增值服务预约调整</w:t>
            </w:r>
          </w:p>
        </w:tc>
        <w:tc>
          <w:tcPr>
            <w:tcW w:w="4350" w:type="dxa"/>
            <w:tcBorders>
              <w:top w:val="nil"/>
              <w:left w:val="nil"/>
              <w:bottom w:val="single" w:color="auto" w:sz="4" w:space="0"/>
              <w:right w:val="single" w:color="auto" w:sz="4" w:space="0"/>
            </w:tcBorders>
            <w:noWrap w:val="0"/>
            <w:vAlign w:val="center"/>
          </w:tcPr>
          <w:p w14:paraId="04EA0EDD">
            <w:pPr>
              <w:widowControl/>
              <w:jc w:val="left"/>
              <w:rPr>
                <w:rFonts w:hint="eastAsia" w:ascii="宋体" w:hAnsi="宋体" w:cs="宋体"/>
                <w:color w:val="000000"/>
                <w:kern w:val="0"/>
                <w:szCs w:val="21"/>
              </w:rPr>
            </w:pPr>
            <w:r>
              <w:rPr>
                <w:rFonts w:hint="eastAsia" w:ascii="宋体" w:hAnsi="宋体" w:cs="宋体"/>
                <w:color w:val="000000"/>
                <w:kern w:val="0"/>
                <w:szCs w:val="21"/>
              </w:rPr>
              <w:t>因企业增值服务专区的设立，新增企业增值服务专区预约、企业出海服务预约，调整预约页面、我的预约，新增后端预约查询，并对接预约相关系统。</w:t>
            </w:r>
          </w:p>
        </w:tc>
        <w:tc>
          <w:tcPr>
            <w:tcW w:w="1478" w:type="dxa"/>
            <w:vMerge w:val="continue"/>
            <w:tcBorders>
              <w:top w:val="nil"/>
              <w:left w:val="single" w:color="auto" w:sz="4" w:space="0"/>
              <w:bottom w:val="single" w:color="auto" w:sz="4" w:space="0"/>
              <w:right w:val="single" w:color="auto" w:sz="8" w:space="0"/>
            </w:tcBorders>
            <w:noWrap w:val="0"/>
            <w:vAlign w:val="center"/>
          </w:tcPr>
          <w:p w14:paraId="5A5E2234">
            <w:pPr>
              <w:widowControl/>
              <w:jc w:val="left"/>
              <w:rPr>
                <w:rFonts w:hint="eastAsia" w:ascii="宋体" w:hAnsi="宋体" w:cs="宋体"/>
                <w:color w:val="000000"/>
                <w:kern w:val="0"/>
                <w:szCs w:val="21"/>
              </w:rPr>
            </w:pPr>
          </w:p>
        </w:tc>
      </w:tr>
      <w:tr w14:paraId="6631BBB7">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1F83FA4B">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5669C197">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436299F9">
            <w:pPr>
              <w:widowControl/>
              <w:jc w:val="left"/>
              <w:rPr>
                <w:rFonts w:hint="eastAsia" w:ascii="宋体" w:hAnsi="宋体" w:cs="宋体"/>
                <w:color w:val="000000"/>
                <w:kern w:val="0"/>
                <w:szCs w:val="21"/>
              </w:rPr>
            </w:pPr>
            <w:r>
              <w:rPr>
                <w:rFonts w:hint="eastAsia" w:ascii="宋体" w:hAnsi="宋体" w:cs="宋体"/>
                <w:color w:val="000000"/>
                <w:kern w:val="0"/>
                <w:szCs w:val="21"/>
              </w:rPr>
              <w:t>③取号叫号调整</w:t>
            </w:r>
          </w:p>
        </w:tc>
        <w:tc>
          <w:tcPr>
            <w:tcW w:w="4350" w:type="dxa"/>
            <w:tcBorders>
              <w:top w:val="nil"/>
              <w:left w:val="nil"/>
              <w:bottom w:val="single" w:color="auto" w:sz="4" w:space="0"/>
              <w:right w:val="single" w:color="auto" w:sz="4" w:space="0"/>
            </w:tcBorders>
            <w:noWrap w:val="0"/>
            <w:vAlign w:val="center"/>
          </w:tcPr>
          <w:p w14:paraId="2E69E929">
            <w:pPr>
              <w:widowControl/>
              <w:jc w:val="left"/>
              <w:rPr>
                <w:rFonts w:hint="eastAsia" w:ascii="宋体" w:hAnsi="宋体" w:cs="宋体"/>
                <w:color w:val="000000"/>
                <w:kern w:val="0"/>
                <w:szCs w:val="21"/>
              </w:rPr>
            </w:pPr>
            <w:r>
              <w:rPr>
                <w:rFonts w:hint="eastAsia" w:ascii="宋体" w:hAnsi="宋体" w:cs="宋体"/>
                <w:color w:val="000000"/>
                <w:kern w:val="0"/>
                <w:szCs w:val="21"/>
              </w:rPr>
              <w:t>为新增的企业帮办专区、增值服务专区和出海专区开发数据接口，包括：大厅对应取号信息接口、大厅对应取号数据统计接口、事项组别查询对应号票接口、组别实时等候人数接口。</w:t>
            </w:r>
          </w:p>
        </w:tc>
        <w:tc>
          <w:tcPr>
            <w:tcW w:w="1478" w:type="dxa"/>
            <w:vMerge w:val="continue"/>
            <w:tcBorders>
              <w:top w:val="nil"/>
              <w:left w:val="single" w:color="auto" w:sz="4" w:space="0"/>
              <w:bottom w:val="single" w:color="auto" w:sz="4" w:space="0"/>
              <w:right w:val="single" w:color="auto" w:sz="8" w:space="0"/>
            </w:tcBorders>
            <w:noWrap w:val="0"/>
            <w:vAlign w:val="center"/>
          </w:tcPr>
          <w:p w14:paraId="7A1CAD56">
            <w:pPr>
              <w:widowControl/>
              <w:jc w:val="left"/>
              <w:rPr>
                <w:rFonts w:hint="eastAsia" w:ascii="宋体" w:hAnsi="宋体" w:cs="宋体"/>
                <w:color w:val="000000"/>
                <w:kern w:val="0"/>
                <w:szCs w:val="21"/>
              </w:rPr>
            </w:pPr>
          </w:p>
        </w:tc>
      </w:tr>
      <w:tr w14:paraId="34A57216">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1625EC6C">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0CC86DC8">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46FC5DAB">
            <w:pPr>
              <w:widowControl/>
              <w:jc w:val="left"/>
              <w:rPr>
                <w:rFonts w:hint="eastAsia" w:ascii="宋体" w:hAnsi="宋体" w:cs="宋体"/>
                <w:color w:val="000000"/>
                <w:kern w:val="0"/>
                <w:szCs w:val="21"/>
              </w:rPr>
            </w:pPr>
            <w:r>
              <w:rPr>
                <w:rFonts w:hint="eastAsia" w:ascii="宋体" w:hAnsi="宋体" w:cs="宋体"/>
                <w:color w:val="000000"/>
                <w:kern w:val="0"/>
                <w:szCs w:val="21"/>
              </w:rPr>
              <w:t>④“餐饮提前审图”智能表单</w:t>
            </w:r>
          </w:p>
        </w:tc>
        <w:tc>
          <w:tcPr>
            <w:tcW w:w="4350" w:type="dxa"/>
            <w:tcBorders>
              <w:top w:val="nil"/>
              <w:left w:val="nil"/>
              <w:bottom w:val="single" w:color="auto" w:sz="4" w:space="0"/>
              <w:right w:val="single" w:color="auto" w:sz="4" w:space="0"/>
            </w:tcBorders>
            <w:noWrap w:val="0"/>
            <w:vAlign w:val="center"/>
          </w:tcPr>
          <w:p w14:paraId="0C25EC22">
            <w:pPr>
              <w:widowControl/>
              <w:jc w:val="left"/>
              <w:rPr>
                <w:rFonts w:hint="eastAsia" w:ascii="宋体" w:hAnsi="宋体" w:cs="宋体"/>
                <w:color w:val="000000"/>
                <w:kern w:val="0"/>
                <w:szCs w:val="21"/>
              </w:rPr>
            </w:pPr>
            <w:r>
              <w:rPr>
                <w:rFonts w:hint="eastAsia" w:ascii="宋体" w:hAnsi="宋体" w:cs="宋体"/>
                <w:color w:val="000000"/>
                <w:kern w:val="0"/>
                <w:szCs w:val="21"/>
              </w:rPr>
              <w:t>移动端申请表表单定制、随申办登录对接、申请表常规字段校验、申请表经营地址专项校验、后台及排队叫号改造。</w:t>
            </w:r>
          </w:p>
        </w:tc>
        <w:tc>
          <w:tcPr>
            <w:tcW w:w="1478" w:type="dxa"/>
            <w:vMerge w:val="continue"/>
            <w:tcBorders>
              <w:top w:val="nil"/>
              <w:left w:val="single" w:color="auto" w:sz="4" w:space="0"/>
              <w:bottom w:val="single" w:color="auto" w:sz="4" w:space="0"/>
              <w:right w:val="single" w:color="auto" w:sz="8" w:space="0"/>
            </w:tcBorders>
            <w:noWrap w:val="0"/>
            <w:vAlign w:val="center"/>
          </w:tcPr>
          <w:p w14:paraId="4874CDED">
            <w:pPr>
              <w:widowControl/>
              <w:jc w:val="left"/>
              <w:rPr>
                <w:rFonts w:hint="eastAsia" w:ascii="宋体" w:hAnsi="宋体" w:cs="宋体"/>
                <w:color w:val="000000"/>
                <w:kern w:val="0"/>
                <w:szCs w:val="21"/>
              </w:rPr>
            </w:pPr>
          </w:p>
        </w:tc>
      </w:tr>
      <w:tr w14:paraId="1D2C8960">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7AFBF078">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1A7E6085">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3A31C6A3">
            <w:pPr>
              <w:widowControl/>
              <w:jc w:val="left"/>
              <w:rPr>
                <w:rFonts w:hint="eastAsia" w:ascii="宋体" w:hAnsi="宋体" w:cs="宋体"/>
                <w:color w:val="000000"/>
                <w:kern w:val="0"/>
                <w:szCs w:val="21"/>
              </w:rPr>
            </w:pPr>
            <w:r>
              <w:rPr>
                <w:rFonts w:hint="eastAsia" w:ascii="宋体" w:hAnsi="宋体" w:cs="宋体"/>
                <w:color w:val="000000"/>
                <w:kern w:val="0"/>
                <w:szCs w:val="21"/>
              </w:rPr>
              <w:t>⑤“宠物犬猫检疫”智能表单</w:t>
            </w:r>
          </w:p>
        </w:tc>
        <w:tc>
          <w:tcPr>
            <w:tcW w:w="4350" w:type="dxa"/>
            <w:tcBorders>
              <w:top w:val="nil"/>
              <w:left w:val="nil"/>
              <w:bottom w:val="single" w:color="auto" w:sz="4" w:space="0"/>
              <w:right w:val="single" w:color="auto" w:sz="4" w:space="0"/>
            </w:tcBorders>
            <w:noWrap w:val="0"/>
            <w:vAlign w:val="center"/>
          </w:tcPr>
          <w:p w14:paraId="2E45D4FD">
            <w:pPr>
              <w:widowControl/>
              <w:jc w:val="left"/>
              <w:rPr>
                <w:rFonts w:hint="eastAsia" w:ascii="宋体" w:hAnsi="宋体" w:cs="宋体"/>
                <w:color w:val="000000"/>
                <w:kern w:val="0"/>
                <w:szCs w:val="21"/>
              </w:rPr>
            </w:pPr>
            <w:r>
              <w:rPr>
                <w:rFonts w:hint="eastAsia" w:ascii="宋体" w:hAnsi="宋体" w:cs="宋体"/>
                <w:color w:val="000000"/>
                <w:kern w:val="0"/>
                <w:szCs w:val="21"/>
              </w:rPr>
              <w:t>移动端申请表表单定制、申报信息预填、填报信息校验、历史办件查询、审批短信提醒。</w:t>
            </w:r>
          </w:p>
        </w:tc>
        <w:tc>
          <w:tcPr>
            <w:tcW w:w="1478" w:type="dxa"/>
            <w:vMerge w:val="continue"/>
            <w:tcBorders>
              <w:top w:val="nil"/>
              <w:left w:val="single" w:color="auto" w:sz="4" w:space="0"/>
              <w:bottom w:val="single" w:color="auto" w:sz="4" w:space="0"/>
              <w:right w:val="single" w:color="auto" w:sz="8" w:space="0"/>
            </w:tcBorders>
            <w:noWrap w:val="0"/>
            <w:vAlign w:val="center"/>
          </w:tcPr>
          <w:p w14:paraId="33C922F2">
            <w:pPr>
              <w:widowControl/>
              <w:jc w:val="left"/>
              <w:rPr>
                <w:rFonts w:hint="eastAsia" w:ascii="宋体" w:hAnsi="宋体" w:cs="宋体"/>
                <w:color w:val="000000"/>
                <w:kern w:val="0"/>
                <w:szCs w:val="21"/>
              </w:rPr>
            </w:pPr>
          </w:p>
        </w:tc>
      </w:tr>
      <w:tr w14:paraId="799FE883">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2FD0DC9B">
            <w:pPr>
              <w:widowControl/>
              <w:jc w:val="center"/>
              <w:rPr>
                <w:rFonts w:hint="eastAsia" w:ascii="宋体" w:hAnsi="宋体" w:cs="宋体"/>
                <w:color w:val="000000"/>
                <w:kern w:val="0"/>
                <w:szCs w:val="21"/>
              </w:rPr>
            </w:pPr>
            <w:r>
              <w:rPr>
                <w:rFonts w:hint="eastAsia" w:ascii="宋体" w:hAnsi="宋体" w:cs="宋体"/>
                <w:color w:val="000000"/>
                <w:kern w:val="0"/>
                <w:szCs w:val="21"/>
              </w:rPr>
              <w:t>8</w:t>
            </w:r>
          </w:p>
        </w:tc>
        <w:tc>
          <w:tcPr>
            <w:tcW w:w="1477" w:type="dxa"/>
            <w:vMerge w:val="restart"/>
            <w:tcBorders>
              <w:top w:val="nil"/>
              <w:left w:val="single" w:color="auto" w:sz="4" w:space="0"/>
              <w:bottom w:val="single" w:color="auto" w:sz="4" w:space="0"/>
              <w:right w:val="single" w:color="auto" w:sz="4" w:space="0"/>
            </w:tcBorders>
            <w:noWrap w:val="0"/>
            <w:vAlign w:val="center"/>
          </w:tcPr>
          <w:p w14:paraId="72CAD9D1">
            <w:pPr>
              <w:widowControl/>
              <w:jc w:val="center"/>
              <w:rPr>
                <w:rFonts w:hint="eastAsia" w:ascii="宋体" w:hAnsi="宋体" w:cs="宋体"/>
                <w:color w:val="000000"/>
                <w:kern w:val="0"/>
                <w:szCs w:val="21"/>
              </w:rPr>
            </w:pPr>
            <w:r>
              <w:rPr>
                <w:rFonts w:hint="eastAsia" w:ascii="宋体" w:hAnsi="宋体" w:cs="宋体"/>
                <w:color w:val="000000"/>
                <w:kern w:val="0"/>
                <w:szCs w:val="21"/>
              </w:rPr>
              <w:t>动态知识库</w:t>
            </w:r>
          </w:p>
        </w:tc>
        <w:tc>
          <w:tcPr>
            <w:tcW w:w="2402" w:type="dxa"/>
            <w:tcBorders>
              <w:top w:val="nil"/>
              <w:left w:val="nil"/>
              <w:bottom w:val="single" w:color="auto" w:sz="4" w:space="0"/>
              <w:right w:val="single" w:color="auto" w:sz="4" w:space="0"/>
            </w:tcBorders>
            <w:noWrap w:val="0"/>
            <w:vAlign w:val="center"/>
          </w:tcPr>
          <w:p w14:paraId="0F4ACAAF">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4938E883">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w:t>
            </w:r>
          </w:p>
        </w:tc>
        <w:tc>
          <w:tcPr>
            <w:tcW w:w="1478" w:type="dxa"/>
            <w:vMerge w:val="restart"/>
            <w:tcBorders>
              <w:top w:val="nil"/>
              <w:left w:val="single" w:color="auto" w:sz="4" w:space="0"/>
              <w:bottom w:val="single" w:color="auto" w:sz="4" w:space="0"/>
              <w:right w:val="single" w:color="auto" w:sz="8" w:space="0"/>
            </w:tcBorders>
            <w:noWrap w:val="0"/>
            <w:vAlign w:val="center"/>
          </w:tcPr>
          <w:p w14:paraId="70330DD7">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2E8DE78C">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79047DB1">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02D507A7">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2630CF41">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1F31E673">
            <w:pPr>
              <w:widowControl/>
              <w:jc w:val="left"/>
              <w:rPr>
                <w:rFonts w:hint="eastAsia" w:ascii="宋体" w:hAnsi="宋体" w:cs="宋体"/>
                <w:color w:val="000000"/>
                <w:kern w:val="0"/>
                <w:szCs w:val="21"/>
              </w:rPr>
            </w:pPr>
            <w:r>
              <w:rPr>
                <w:rFonts w:hint="eastAsia" w:ascii="宋体" w:hAnsi="宋体" w:cs="宋体"/>
                <w:color w:val="000000"/>
                <w:kern w:val="0"/>
                <w:szCs w:val="21"/>
              </w:rPr>
              <w:t>②数据治理</w:t>
            </w:r>
          </w:p>
        </w:tc>
        <w:tc>
          <w:tcPr>
            <w:tcW w:w="4350" w:type="dxa"/>
            <w:tcBorders>
              <w:top w:val="nil"/>
              <w:left w:val="nil"/>
              <w:bottom w:val="single" w:color="auto" w:sz="4" w:space="0"/>
              <w:right w:val="single" w:color="auto" w:sz="4" w:space="0"/>
            </w:tcBorders>
            <w:noWrap w:val="0"/>
            <w:vAlign w:val="center"/>
          </w:tcPr>
          <w:p w14:paraId="3D6460B5">
            <w:pPr>
              <w:widowControl/>
              <w:jc w:val="left"/>
              <w:rPr>
                <w:rFonts w:hint="eastAsia" w:ascii="宋体" w:hAnsi="宋体" w:cs="宋体"/>
                <w:color w:val="000000"/>
                <w:kern w:val="0"/>
                <w:szCs w:val="21"/>
              </w:rPr>
            </w:pPr>
            <w:r>
              <w:rPr>
                <w:rFonts w:hint="eastAsia" w:ascii="宋体" w:hAnsi="宋体" w:cs="宋体"/>
                <w:color w:val="000000"/>
                <w:kern w:val="0"/>
                <w:szCs w:val="21"/>
              </w:rPr>
              <w:t>事项办事指南及材料更新，字段匹配规则维护。</w:t>
            </w:r>
          </w:p>
        </w:tc>
        <w:tc>
          <w:tcPr>
            <w:tcW w:w="1478" w:type="dxa"/>
            <w:vMerge w:val="continue"/>
            <w:tcBorders>
              <w:top w:val="nil"/>
              <w:left w:val="single" w:color="auto" w:sz="4" w:space="0"/>
              <w:bottom w:val="single" w:color="auto" w:sz="4" w:space="0"/>
              <w:right w:val="single" w:color="auto" w:sz="8" w:space="0"/>
            </w:tcBorders>
            <w:noWrap w:val="0"/>
            <w:vAlign w:val="center"/>
          </w:tcPr>
          <w:p w14:paraId="5BE33E5E">
            <w:pPr>
              <w:widowControl/>
              <w:jc w:val="left"/>
              <w:rPr>
                <w:rFonts w:hint="eastAsia" w:ascii="宋体" w:hAnsi="宋体" w:cs="宋体"/>
                <w:color w:val="000000"/>
                <w:kern w:val="0"/>
                <w:szCs w:val="21"/>
              </w:rPr>
            </w:pPr>
          </w:p>
        </w:tc>
      </w:tr>
      <w:tr w14:paraId="41C6CF40">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6D476E4A">
            <w:pPr>
              <w:widowControl/>
              <w:jc w:val="center"/>
              <w:rPr>
                <w:rFonts w:hint="eastAsia" w:ascii="宋体" w:hAnsi="宋体" w:cs="宋体"/>
                <w:color w:val="000000"/>
                <w:kern w:val="0"/>
                <w:szCs w:val="21"/>
              </w:rPr>
            </w:pPr>
            <w:r>
              <w:rPr>
                <w:rFonts w:hint="eastAsia" w:ascii="宋体" w:hAnsi="宋体" w:cs="宋体"/>
                <w:color w:val="000000"/>
                <w:kern w:val="0"/>
                <w:szCs w:val="21"/>
              </w:rPr>
              <w:t>9</w:t>
            </w:r>
          </w:p>
        </w:tc>
        <w:tc>
          <w:tcPr>
            <w:tcW w:w="1477" w:type="dxa"/>
            <w:vMerge w:val="restart"/>
            <w:tcBorders>
              <w:top w:val="nil"/>
              <w:left w:val="single" w:color="auto" w:sz="4" w:space="0"/>
              <w:bottom w:val="single" w:color="auto" w:sz="4" w:space="0"/>
              <w:right w:val="single" w:color="auto" w:sz="4" w:space="0"/>
            </w:tcBorders>
            <w:noWrap w:val="0"/>
            <w:vAlign w:val="center"/>
          </w:tcPr>
          <w:p w14:paraId="351C8181">
            <w:pPr>
              <w:widowControl/>
              <w:jc w:val="center"/>
              <w:rPr>
                <w:rFonts w:hint="eastAsia" w:ascii="宋体" w:hAnsi="宋体" w:cs="宋体"/>
                <w:color w:val="000000"/>
                <w:kern w:val="0"/>
                <w:szCs w:val="21"/>
              </w:rPr>
            </w:pPr>
            <w:r>
              <w:rPr>
                <w:rFonts w:hint="eastAsia" w:ascii="宋体" w:hAnsi="宋体" w:cs="宋体"/>
                <w:color w:val="000000"/>
                <w:kern w:val="0"/>
                <w:szCs w:val="21"/>
              </w:rPr>
              <w:t>区电子材料库</w:t>
            </w:r>
          </w:p>
        </w:tc>
        <w:tc>
          <w:tcPr>
            <w:tcW w:w="2402" w:type="dxa"/>
            <w:tcBorders>
              <w:top w:val="nil"/>
              <w:left w:val="nil"/>
              <w:bottom w:val="single" w:color="auto" w:sz="4" w:space="0"/>
              <w:right w:val="single" w:color="auto" w:sz="4" w:space="0"/>
            </w:tcBorders>
            <w:noWrap w:val="0"/>
            <w:vAlign w:val="center"/>
          </w:tcPr>
          <w:p w14:paraId="751A52BC">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5EE7FECE">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w:t>
            </w:r>
          </w:p>
        </w:tc>
        <w:tc>
          <w:tcPr>
            <w:tcW w:w="1478" w:type="dxa"/>
            <w:vMerge w:val="restart"/>
            <w:tcBorders>
              <w:top w:val="nil"/>
              <w:left w:val="single" w:color="auto" w:sz="4" w:space="0"/>
              <w:bottom w:val="single" w:color="auto" w:sz="4" w:space="0"/>
              <w:right w:val="single" w:color="auto" w:sz="8" w:space="0"/>
            </w:tcBorders>
            <w:noWrap w:val="0"/>
            <w:vAlign w:val="center"/>
          </w:tcPr>
          <w:p w14:paraId="30350532">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3A2D5EF5">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3D91628E">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5B83DB91">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6DFE7BA6">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44242916">
            <w:pPr>
              <w:widowControl/>
              <w:jc w:val="left"/>
              <w:rPr>
                <w:rFonts w:hint="eastAsia" w:ascii="宋体" w:hAnsi="宋体" w:cs="宋体"/>
                <w:color w:val="000000"/>
                <w:kern w:val="0"/>
                <w:szCs w:val="21"/>
              </w:rPr>
            </w:pPr>
            <w:r>
              <w:rPr>
                <w:rFonts w:hint="eastAsia" w:ascii="宋体" w:hAnsi="宋体" w:cs="宋体"/>
                <w:color w:val="000000"/>
                <w:kern w:val="0"/>
                <w:szCs w:val="21"/>
              </w:rPr>
              <w:t>②数据治理</w:t>
            </w:r>
          </w:p>
        </w:tc>
        <w:tc>
          <w:tcPr>
            <w:tcW w:w="4350" w:type="dxa"/>
            <w:tcBorders>
              <w:top w:val="nil"/>
              <w:left w:val="nil"/>
              <w:bottom w:val="single" w:color="auto" w:sz="4" w:space="0"/>
              <w:right w:val="single" w:color="auto" w:sz="4" w:space="0"/>
            </w:tcBorders>
            <w:noWrap w:val="0"/>
            <w:vAlign w:val="center"/>
          </w:tcPr>
          <w:p w14:paraId="1F80EC35">
            <w:pPr>
              <w:widowControl/>
              <w:jc w:val="left"/>
              <w:rPr>
                <w:rFonts w:hint="eastAsia" w:ascii="宋体" w:hAnsi="宋体" w:cs="宋体"/>
                <w:color w:val="000000"/>
                <w:kern w:val="0"/>
                <w:szCs w:val="21"/>
              </w:rPr>
            </w:pPr>
            <w:r>
              <w:rPr>
                <w:rFonts w:hint="eastAsia" w:ascii="宋体" w:hAnsi="宋体" w:cs="宋体"/>
                <w:color w:val="000000"/>
                <w:kern w:val="0"/>
                <w:szCs w:val="21"/>
              </w:rPr>
              <w:t>电子材料补充归集、电子材料内容修正、电子材料补充上链。</w:t>
            </w:r>
          </w:p>
        </w:tc>
        <w:tc>
          <w:tcPr>
            <w:tcW w:w="1478" w:type="dxa"/>
            <w:vMerge w:val="continue"/>
            <w:tcBorders>
              <w:top w:val="nil"/>
              <w:left w:val="single" w:color="auto" w:sz="4" w:space="0"/>
              <w:bottom w:val="single" w:color="auto" w:sz="4" w:space="0"/>
              <w:right w:val="single" w:color="auto" w:sz="8" w:space="0"/>
            </w:tcBorders>
            <w:noWrap w:val="0"/>
            <w:vAlign w:val="center"/>
          </w:tcPr>
          <w:p w14:paraId="15B2B697">
            <w:pPr>
              <w:widowControl/>
              <w:jc w:val="left"/>
              <w:rPr>
                <w:rFonts w:hint="eastAsia" w:ascii="宋体" w:hAnsi="宋体" w:cs="宋体"/>
                <w:color w:val="000000"/>
                <w:kern w:val="0"/>
                <w:szCs w:val="21"/>
              </w:rPr>
            </w:pPr>
          </w:p>
        </w:tc>
      </w:tr>
      <w:tr w14:paraId="2478B928">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2B8F79A9">
            <w:pPr>
              <w:widowControl/>
              <w:jc w:val="center"/>
              <w:rPr>
                <w:rFonts w:hint="eastAsia" w:ascii="宋体" w:hAnsi="宋体" w:cs="宋体"/>
                <w:color w:val="000000"/>
                <w:kern w:val="0"/>
                <w:szCs w:val="21"/>
              </w:rPr>
            </w:pPr>
            <w:r>
              <w:rPr>
                <w:rFonts w:hint="eastAsia" w:ascii="宋体" w:hAnsi="宋体" w:cs="宋体"/>
                <w:color w:val="000000"/>
                <w:kern w:val="0"/>
                <w:szCs w:val="21"/>
              </w:rPr>
              <w:t>10</w:t>
            </w:r>
          </w:p>
        </w:tc>
        <w:tc>
          <w:tcPr>
            <w:tcW w:w="1477" w:type="dxa"/>
            <w:vMerge w:val="restart"/>
            <w:tcBorders>
              <w:top w:val="nil"/>
              <w:left w:val="single" w:color="auto" w:sz="4" w:space="0"/>
              <w:bottom w:val="single" w:color="auto" w:sz="4" w:space="0"/>
              <w:right w:val="single" w:color="auto" w:sz="4" w:space="0"/>
            </w:tcBorders>
            <w:noWrap w:val="0"/>
            <w:vAlign w:val="center"/>
          </w:tcPr>
          <w:p w14:paraId="355E6978">
            <w:pPr>
              <w:widowControl/>
              <w:jc w:val="center"/>
              <w:rPr>
                <w:rFonts w:hint="eastAsia" w:ascii="宋体" w:hAnsi="宋体" w:cs="宋体"/>
                <w:color w:val="000000"/>
                <w:kern w:val="0"/>
                <w:szCs w:val="21"/>
              </w:rPr>
            </w:pPr>
            <w:r>
              <w:rPr>
                <w:rFonts w:hint="eastAsia" w:ascii="宋体" w:hAnsi="宋体" w:cs="宋体"/>
                <w:color w:val="000000"/>
                <w:kern w:val="0"/>
                <w:szCs w:val="21"/>
              </w:rPr>
              <w:t>区电子证照制证归集平台</w:t>
            </w:r>
          </w:p>
        </w:tc>
        <w:tc>
          <w:tcPr>
            <w:tcW w:w="2402" w:type="dxa"/>
            <w:tcBorders>
              <w:top w:val="nil"/>
              <w:left w:val="nil"/>
              <w:bottom w:val="single" w:color="auto" w:sz="4" w:space="0"/>
              <w:right w:val="single" w:color="auto" w:sz="4" w:space="0"/>
            </w:tcBorders>
            <w:noWrap w:val="0"/>
            <w:vAlign w:val="center"/>
          </w:tcPr>
          <w:p w14:paraId="2CF6FB8A">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5534F1E0">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w:t>
            </w:r>
          </w:p>
        </w:tc>
        <w:tc>
          <w:tcPr>
            <w:tcW w:w="1478" w:type="dxa"/>
            <w:vMerge w:val="restart"/>
            <w:tcBorders>
              <w:top w:val="nil"/>
              <w:left w:val="single" w:color="auto" w:sz="4" w:space="0"/>
              <w:bottom w:val="single" w:color="auto" w:sz="4" w:space="0"/>
              <w:right w:val="single" w:color="auto" w:sz="8" w:space="0"/>
            </w:tcBorders>
            <w:noWrap w:val="0"/>
            <w:vAlign w:val="center"/>
          </w:tcPr>
          <w:p w14:paraId="6A4A7C88">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5F5B8C5E">
            <w:pPr>
              <w:widowControl/>
              <w:jc w:val="left"/>
              <w:rPr>
                <w:rFonts w:hint="eastAsia" w:ascii="宋体" w:hAnsi="宋体" w:cs="宋体"/>
                <w:color w:val="000000"/>
                <w:kern w:val="0"/>
                <w:szCs w:val="21"/>
              </w:rPr>
            </w:pPr>
            <w:r>
              <w:rPr>
                <w:rFonts w:hint="eastAsia" w:ascii="宋体" w:hAnsi="宋体" w:cs="宋体"/>
                <w:color w:val="000000"/>
                <w:kern w:val="0"/>
                <w:szCs w:val="21"/>
              </w:rPr>
              <w:t>5*8程及现场服务</w:t>
            </w:r>
          </w:p>
        </w:tc>
      </w:tr>
      <w:tr w14:paraId="3316450E">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611B8D2E">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7276805F">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5F105D0B">
            <w:pPr>
              <w:widowControl/>
              <w:jc w:val="left"/>
              <w:rPr>
                <w:rFonts w:hint="eastAsia" w:ascii="宋体" w:hAnsi="宋体" w:cs="宋体"/>
                <w:color w:val="000000"/>
                <w:kern w:val="0"/>
                <w:szCs w:val="21"/>
              </w:rPr>
            </w:pPr>
            <w:r>
              <w:rPr>
                <w:rFonts w:hint="eastAsia" w:ascii="宋体" w:hAnsi="宋体" w:cs="宋体"/>
                <w:color w:val="000000"/>
                <w:kern w:val="0"/>
                <w:szCs w:val="21"/>
              </w:rPr>
              <w:t>②数据治理</w:t>
            </w:r>
          </w:p>
        </w:tc>
        <w:tc>
          <w:tcPr>
            <w:tcW w:w="4350" w:type="dxa"/>
            <w:tcBorders>
              <w:top w:val="nil"/>
              <w:left w:val="nil"/>
              <w:bottom w:val="single" w:color="auto" w:sz="4" w:space="0"/>
              <w:right w:val="single" w:color="auto" w:sz="4" w:space="0"/>
            </w:tcBorders>
            <w:noWrap w:val="0"/>
            <w:vAlign w:val="center"/>
          </w:tcPr>
          <w:p w14:paraId="4A13254F">
            <w:pPr>
              <w:widowControl/>
              <w:jc w:val="left"/>
              <w:rPr>
                <w:rFonts w:hint="eastAsia" w:ascii="宋体" w:hAnsi="宋体" w:cs="宋体"/>
                <w:color w:val="000000"/>
                <w:kern w:val="0"/>
                <w:szCs w:val="21"/>
              </w:rPr>
            </w:pPr>
            <w:r>
              <w:rPr>
                <w:rFonts w:hint="eastAsia" w:ascii="宋体" w:hAnsi="宋体" w:cs="宋体"/>
                <w:color w:val="000000"/>
                <w:kern w:val="0"/>
                <w:szCs w:val="21"/>
              </w:rPr>
              <w:t>电子证照应用配置。</w:t>
            </w:r>
          </w:p>
        </w:tc>
        <w:tc>
          <w:tcPr>
            <w:tcW w:w="1478" w:type="dxa"/>
            <w:vMerge w:val="continue"/>
            <w:tcBorders>
              <w:top w:val="nil"/>
              <w:left w:val="single" w:color="auto" w:sz="4" w:space="0"/>
              <w:bottom w:val="single" w:color="auto" w:sz="4" w:space="0"/>
              <w:right w:val="single" w:color="auto" w:sz="8" w:space="0"/>
            </w:tcBorders>
            <w:noWrap w:val="0"/>
            <w:vAlign w:val="center"/>
          </w:tcPr>
          <w:p w14:paraId="6A896E32">
            <w:pPr>
              <w:widowControl/>
              <w:jc w:val="left"/>
              <w:rPr>
                <w:rFonts w:hint="eastAsia" w:ascii="宋体" w:hAnsi="宋体" w:cs="宋体"/>
                <w:color w:val="000000"/>
                <w:kern w:val="0"/>
                <w:szCs w:val="21"/>
              </w:rPr>
            </w:pPr>
          </w:p>
        </w:tc>
      </w:tr>
      <w:tr w14:paraId="08F64C5E">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5F530392">
            <w:pPr>
              <w:widowControl/>
              <w:jc w:val="center"/>
              <w:rPr>
                <w:rFonts w:hint="eastAsia" w:ascii="宋体" w:hAnsi="宋体" w:cs="宋体"/>
                <w:color w:val="000000"/>
                <w:kern w:val="0"/>
                <w:szCs w:val="21"/>
              </w:rPr>
            </w:pPr>
            <w:r>
              <w:rPr>
                <w:rFonts w:hint="eastAsia" w:ascii="宋体" w:hAnsi="宋体" w:cs="宋体"/>
                <w:color w:val="000000"/>
                <w:kern w:val="0"/>
                <w:szCs w:val="21"/>
              </w:rPr>
              <w:t>11</w:t>
            </w:r>
          </w:p>
        </w:tc>
        <w:tc>
          <w:tcPr>
            <w:tcW w:w="1477" w:type="dxa"/>
            <w:vMerge w:val="restart"/>
            <w:tcBorders>
              <w:top w:val="nil"/>
              <w:left w:val="single" w:color="auto" w:sz="4" w:space="0"/>
              <w:bottom w:val="single" w:color="auto" w:sz="4" w:space="0"/>
              <w:right w:val="single" w:color="auto" w:sz="4" w:space="0"/>
            </w:tcBorders>
            <w:noWrap w:val="0"/>
            <w:vAlign w:val="center"/>
          </w:tcPr>
          <w:p w14:paraId="5179AEF1">
            <w:pPr>
              <w:widowControl/>
              <w:jc w:val="center"/>
              <w:rPr>
                <w:rFonts w:hint="eastAsia" w:ascii="宋体" w:hAnsi="宋体" w:cs="宋体"/>
                <w:color w:val="000000"/>
                <w:kern w:val="0"/>
                <w:szCs w:val="21"/>
              </w:rPr>
            </w:pPr>
            <w:r>
              <w:rPr>
                <w:rFonts w:hint="eastAsia" w:ascii="宋体" w:hAnsi="宋体" w:cs="宋体"/>
                <w:color w:val="000000"/>
                <w:kern w:val="0"/>
                <w:szCs w:val="21"/>
              </w:rPr>
              <w:t>统一综窗数控中心</w:t>
            </w:r>
          </w:p>
        </w:tc>
        <w:tc>
          <w:tcPr>
            <w:tcW w:w="2402" w:type="dxa"/>
            <w:tcBorders>
              <w:top w:val="nil"/>
              <w:left w:val="nil"/>
              <w:bottom w:val="single" w:color="auto" w:sz="4" w:space="0"/>
              <w:right w:val="single" w:color="auto" w:sz="4" w:space="0"/>
            </w:tcBorders>
            <w:noWrap w:val="0"/>
            <w:vAlign w:val="center"/>
          </w:tcPr>
          <w:p w14:paraId="52E54AFC">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2F555640">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w:t>
            </w:r>
          </w:p>
        </w:tc>
        <w:tc>
          <w:tcPr>
            <w:tcW w:w="1478" w:type="dxa"/>
            <w:vMerge w:val="restart"/>
            <w:tcBorders>
              <w:top w:val="nil"/>
              <w:left w:val="single" w:color="auto" w:sz="4" w:space="0"/>
              <w:bottom w:val="single" w:color="auto" w:sz="4" w:space="0"/>
              <w:right w:val="single" w:color="auto" w:sz="8" w:space="0"/>
            </w:tcBorders>
            <w:noWrap w:val="0"/>
            <w:vAlign w:val="center"/>
          </w:tcPr>
          <w:p w14:paraId="47ABD925">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29B23DFB">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4C2DB72A">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38093D83">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42995120">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7E1FD011">
            <w:pPr>
              <w:widowControl/>
              <w:jc w:val="left"/>
              <w:rPr>
                <w:rFonts w:hint="eastAsia" w:ascii="宋体" w:hAnsi="宋体" w:cs="宋体"/>
                <w:color w:val="000000"/>
                <w:kern w:val="0"/>
                <w:szCs w:val="21"/>
              </w:rPr>
            </w:pPr>
            <w:r>
              <w:rPr>
                <w:rFonts w:hint="eastAsia" w:ascii="宋体" w:hAnsi="宋体" w:cs="宋体"/>
                <w:color w:val="000000"/>
                <w:kern w:val="0"/>
                <w:szCs w:val="21"/>
              </w:rPr>
              <w:t>②数据治理</w:t>
            </w:r>
          </w:p>
        </w:tc>
        <w:tc>
          <w:tcPr>
            <w:tcW w:w="4350" w:type="dxa"/>
            <w:tcBorders>
              <w:top w:val="nil"/>
              <w:left w:val="nil"/>
              <w:bottom w:val="single" w:color="auto" w:sz="4" w:space="0"/>
              <w:right w:val="single" w:color="auto" w:sz="4" w:space="0"/>
            </w:tcBorders>
            <w:noWrap w:val="0"/>
            <w:vAlign w:val="center"/>
          </w:tcPr>
          <w:p w14:paraId="36DA1FBC">
            <w:pPr>
              <w:widowControl/>
              <w:jc w:val="left"/>
              <w:rPr>
                <w:rFonts w:hint="eastAsia" w:ascii="宋体" w:hAnsi="宋体" w:cs="宋体"/>
                <w:color w:val="000000"/>
                <w:kern w:val="0"/>
                <w:szCs w:val="21"/>
              </w:rPr>
            </w:pPr>
            <w:r>
              <w:rPr>
                <w:rFonts w:hint="eastAsia" w:ascii="宋体" w:hAnsi="宋体" w:cs="宋体"/>
                <w:color w:val="000000"/>
                <w:kern w:val="0"/>
                <w:szCs w:val="21"/>
              </w:rPr>
              <w:t>办件数据优化分析。</w:t>
            </w:r>
          </w:p>
        </w:tc>
        <w:tc>
          <w:tcPr>
            <w:tcW w:w="1478" w:type="dxa"/>
            <w:vMerge w:val="continue"/>
            <w:tcBorders>
              <w:top w:val="nil"/>
              <w:left w:val="single" w:color="auto" w:sz="4" w:space="0"/>
              <w:bottom w:val="single" w:color="auto" w:sz="4" w:space="0"/>
              <w:right w:val="single" w:color="auto" w:sz="8" w:space="0"/>
            </w:tcBorders>
            <w:noWrap w:val="0"/>
            <w:vAlign w:val="center"/>
          </w:tcPr>
          <w:p w14:paraId="3D662A71">
            <w:pPr>
              <w:widowControl/>
              <w:jc w:val="left"/>
              <w:rPr>
                <w:rFonts w:hint="eastAsia" w:ascii="宋体" w:hAnsi="宋体" w:cs="宋体"/>
                <w:color w:val="000000"/>
                <w:kern w:val="0"/>
                <w:szCs w:val="21"/>
              </w:rPr>
            </w:pPr>
          </w:p>
        </w:tc>
      </w:tr>
      <w:tr w14:paraId="260A97FA">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auto" w:sz="4" w:space="0"/>
              <w:right w:val="single" w:color="auto" w:sz="4" w:space="0"/>
            </w:tcBorders>
            <w:noWrap w:val="0"/>
            <w:vAlign w:val="center"/>
          </w:tcPr>
          <w:p w14:paraId="6E35049A">
            <w:pPr>
              <w:widowControl/>
              <w:jc w:val="center"/>
              <w:rPr>
                <w:rFonts w:hint="eastAsia" w:ascii="宋体" w:hAnsi="宋体" w:cs="宋体"/>
                <w:color w:val="000000"/>
                <w:kern w:val="0"/>
                <w:szCs w:val="21"/>
              </w:rPr>
            </w:pPr>
            <w:r>
              <w:rPr>
                <w:rFonts w:hint="eastAsia" w:ascii="宋体" w:hAnsi="宋体" w:cs="宋体"/>
                <w:color w:val="000000"/>
                <w:kern w:val="0"/>
                <w:szCs w:val="21"/>
              </w:rPr>
              <w:t>12</w:t>
            </w:r>
          </w:p>
        </w:tc>
        <w:tc>
          <w:tcPr>
            <w:tcW w:w="1477" w:type="dxa"/>
            <w:vMerge w:val="restart"/>
            <w:tcBorders>
              <w:top w:val="nil"/>
              <w:left w:val="single" w:color="auto" w:sz="4" w:space="0"/>
              <w:bottom w:val="single" w:color="auto" w:sz="4" w:space="0"/>
              <w:right w:val="single" w:color="auto" w:sz="4" w:space="0"/>
            </w:tcBorders>
            <w:noWrap w:val="0"/>
            <w:vAlign w:val="center"/>
          </w:tcPr>
          <w:p w14:paraId="4931930C">
            <w:pPr>
              <w:widowControl/>
              <w:jc w:val="center"/>
              <w:rPr>
                <w:rFonts w:hint="eastAsia" w:ascii="宋体" w:hAnsi="宋体" w:cs="宋体"/>
                <w:color w:val="000000"/>
                <w:kern w:val="0"/>
                <w:szCs w:val="21"/>
              </w:rPr>
            </w:pPr>
            <w:r>
              <w:rPr>
                <w:rFonts w:hint="eastAsia" w:ascii="宋体" w:hAnsi="宋体" w:cs="宋体"/>
                <w:color w:val="000000"/>
                <w:kern w:val="0"/>
                <w:szCs w:val="21"/>
              </w:rPr>
              <w:t>政务智能办平台</w:t>
            </w:r>
          </w:p>
        </w:tc>
        <w:tc>
          <w:tcPr>
            <w:tcW w:w="2402" w:type="dxa"/>
            <w:tcBorders>
              <w:top w:val="nil"/>
              <w:left w:val="nil"/>
              <w:bottom w:val="single" w:color="auto" w:sz="4" w:space="0"/>
              <w:right w:val="single" w:color="auto" w:sz="4" w:space="0"/>
            </w:tcBorders>
            <w:noWrap w:val="0"/>
            <w:vAlign w:val="center"/>
          </w:tcPr>
          <w:p w14:paraId="4BB59996">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1BE76134">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w:t>
            </w:r>
          </w:p>
        </w:tc>
        <w:tc>
          <w:tcPr>
            <w:tcW w:w="1478" w:type="dxa"/>
            <w:vMerge w:val="restart"/>
            <w:tcBorders>
              <w:top w:val="nil"/>
              <w:left w:val="single" w:color="auto" w:sz="4" w:space="0"/>
              <w:bottom w:val="single" w:color="auto" w:sz="4" w:space="0"/>
              <w:right w:val="single" w:color="auto" w:sz="8" w:space="0"/>
            </w:tcBorders>
            <w:noWrap w:val="0"/>
            <w:vAlign w:val="center"/>
          </w:tcPr>
          <w:p w14:paraId="20AEBABD">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498D11A1">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6847F402">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5DA740A9">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37BAD4EA">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6127C695">
            <w:pPr>
              <w:widowControl/>
              <w:jc w:val="left"/>
              <w:rPr>
                <w:rFonts w:hint="eastAsia" w:ascii="宋体" w:hAnsi="宋体" w:cs="宋体"/>
                <w:color w:val="000000"/>
                <w:kern w:val="0"/>
                <w:szCs w:val="21"/>
              </w:rPr>
            </w:pPr>
            <w:r>
              <w:rPr>
                <w:rFonts w:hint="eastAsia" w:ascii="宋体" w:hAnsi="宋体" w:cs="宋体"/>
                <w:color w:val="000000"/>
                <w:kern w:val="0"/>
                <w:szCs w:val="21"/>
              </w:rPr>
              <w:t>②综窗帮办区功能调整</w:t>
            </w:r>
          </w:p>
        </w:tc>
        <w:tc>
          <w:tcPr>
            <w:tcW w:w="4350" w:type="dxa"/>
            <w:tcBorders>
              <w:top w:val="nil"/>
              <w:left w:val="nil"/>
              <w:bottom w:val="single" w:color="auto" w:sz="4" w:space="0"/>
              <w:right w:val="single" w:color="auto" w:sz="4" w:space="0"/>
            </w:tcBorders>
            <w:noWrap w:val="0"/>
            <w:vAlign w:val="center"/>
          </w:tcPr>
          <w:p w14:paraId="16C386B2">
            <w:pPr>
              <w:widowControl/>
              <w:jc w:val="left"/>
              <w:rPr>
                <w:rFonts w:hint="eastAsia" w:ascii="宋体" w:hAnsi="宋体" w:cs="宋体"/>
                <w:color w:val="000000"/>
                <w:kern w:val="0"/>
                <w:szCs w:val="21"/>
              </w:rPr>
            </w:pPr>
            <w:r>
              <w:rPr>
                <w:rFonts w:hint="eastAsia" w:ascii="宋体" w:hAnsi="宋体" w:cs="宋体"/>
                <w:color w:val="000000"/>
                <w:kern w:val="0"/>
                <w:szCs w:val="21"/>
              </w:rPr>
              <w:t>新增帮办叫号屏展示，综窗新增环节，取件凭证调整，新增帮办凭证。</w:t>
            </w:r>
          </w:p>
        </w:tc>
        <w:tc>
          <w:tcPr>
            <w:tcW w:w="1478" w:type="dxa"/>
            <w:vMerge w:val="continue"/>
            <w:tcBorders>
              <w:top w:val="nil"/>
              <w:left w:val="single" w:color="auto" w:sz="4" w:space="0"/>
              <w:bottom w:val="single" w:color="auto" w:sz="4" w:space="0"/>
              <w:right w:val="single" w:color="auto" w:sz="8" w:space="0"/>
            </w:tcBorders>
            <w:noWrap w:val="0"/>
            <w:vAlign w:val="center"/>
          </w:tcPr>
          <w:p w14:paraId="2A54CBE1">
            <w:pPr>
              <w:widowControl/>
              <w:jc w:val="left"/>
              <w:rPr>
                <w:rFonts w:hint="eastAsia" w:ascii="宋体" w:hAnsi="宋体" w:cs="宋体"/>
                <w:color w:val="000000"/>
                <w:kern w:val="0"/>
                <w:szCs w:val="21"/>
              </w:rPr>
            </w:pPr>
          </w:p>
        </w:tc>
      </w:tr>
      <w:tr w14:paraId="6C694A47">
        <w:tblPrEx>
          <w:tblCellMar>
            <w:top w:w="0" w:type="dxa"/>
            <w:left w:w="108" w:type="dxa"/>
            <w:bottom w:w="0" w:type="dxa"/>
            <w:right w:w="108" w:type="dxa"/>
          </w:tblCellMar>
        </w:tblPrEx>
        <w:trPr>
          <w:trHeight w:val="363" w:hRule="atLeast"/>
        </w:trPr>
        <w:tc>
          <w:tcPr>
            <w:tcW w:w="835" w:type="dxa"/>
            <w:vMerge w:val="restart"/>
            <w:tcBorders>
              <w:top w:val="nil"/>
              <w:left w:val="single" w:color="auto" w:sz="8" w:space="0"/>
              <w:bottom w:val="single" w:color="000000" w:sz="4" w:space="0"/>
              <w:right w:val="single" w:color="auto" w:sz="4" w:space="0"/>
            </w:tcBorders>
            <w:noWrap w:val="0"/>
            <w:vAlign w:val="center"/>
          </w:tcPr>
          <w:p w14:paraId="7FD88748">
            <w:pPr>
              <w:widowControl/>
              <w:jc w:val="center"/>
              <w:rPr>
                <w:rFonts w:hint="eastAsia" w:ascii="宋体" w:hAnsi="宋体" w:cs="宋体"/>
                <w:color w:val="000000"/>
                <w:kern w:val="0"/>
                <w:szCs w:val="21"/>
              </w:rPr>
            </w:pPr>
            <w:r>
              <w:rPr>
                <w:rFonts w:hint="eastAsia" w:ascii="宋体" w:hAnsi="宋体" w:cs="宋体"/>
                <w:color w:val="000000"/>
                <w:kern w:val="0"/>
                <w:szCs w:val="21"/>
              </w:rPr>
              <w:t>13</w:t>
            </w:r>
          </w:p>
        </w:tc>
        <w:tc>
          <w:tcPr>
            <w:tcW w:w="1477" w:type="dxa"/>
            <w:vMerge w:val="restart"/>
            <w:tcBorders>
              <w:top w:val="nil"/>
              <w:left w:val="single" w:color="auto" w:sz="4" w:space="0"/>
              <w:bottom w:val="single" w:color="000000" w:sz="4" w:space="0"/>
              <w:right w:val="single" w:color="auto" w:sz="4" w:space="0"/>
            </w:tcBorders>
            <w:noWrap w:val="0"/>
            <w:vAlign w:val="center"/>
          </w:tcPr>
          <w:p w14:paraId="31646984">
            <w:pPr>
              <w:widowControl/>
              <w:jc w:val="center"/>
              <w:rPr>
                <w:rFonts w:hint="eastAsia" w:ascii="宋体" w:hAnsi="宋体" w:cs="宋体"/>
                <w:color w:val="000000"/>
                <w:kern w:val="0"/>
                <w:szCs w:val="21"/>
              </w:rPr>
            </w:pPr>
            <w:r>
              <w:rPr>
                <w:rFonts w:hint="eastAsia" w:ascii="宋体" w:hAnsi="宋体" w:cs="宋体"/>
                <w:color w:val="000000"/>
                <w:kern w:val="0"/>
                <w:szCs w:val="21"/>
              </w:rPr>
              <w:t>政务服务可视化大屏</w:t>
            </w:r>
          </w:p>
        </w:tc>
        <w:tc>
          <w:tcPr>
            <w:tcW w:w="2402" w:type="dxa"/>
            <w:tcBorders>
              <w:top w:val="nil"/>
              <w:left w:val="nil"/>
              <w:bottom w:val="single" w:color="auto" w:sz="4" w:space="0"/>
              <w:right w:val="single" w:color="auto" w:sz="4" w:space="0"/>
            </w:tcBorders>
            <w:noWrap w:val="0"/>
            <w:vAlign w:val="center"/>
          </w:tcPr>
          <w:p w14:paraId="0F3ADD21">
            <w:pPr>
              <w:widowControl/>
              <w:jc w:val="left"/>
              <w:rPr>
                <w:rFonts w:hint="eastAsia" w:ascii="宋体" w:hAnsi="宋体" w:cs="宋体"/>
                <w:color w:val="000000"/>
                <w:kern w:val="0"/>
                <w:szCs w:val="21"/>
              </w:rPr>
            </w:pPr>
            <w:r>
              <w:rPr>
                <w:rFonts w:hint="eastAsia" w:ascii="宋体" w:hAnsi="宋体" w:cs="宋体"/>
                <w:color w:val="000000"/>
                <w:kern w:val="0"/>
                <w:szCs w:val="21"/>
              </w:rPr>
              <w:t>①信息化系统运维</w:t>
            </w:r>
          </w:p>
        </w:tc>
        <w:tc>
          <w:tcPr>
            <w:tcW w:w="4350" w:type="dxa"/>
            <w:tcBorders>
              <w:top w:val="nil"/>
              <w:left w:val="nil"/>
              <w:bottom w:val="single" w:color="auto" w:sz="4" w:space="0"/>
              <w:right w:val="single" w:color="auto" w:sz="4" w:space="0"/>
            </w:tcBorders>
            <w:noWrap w:val="0"/>
            <w:vAlign w:val="center"/>
          </w:tcPr>
          <w:p w14:paraId="17ABFDD3">
            <w:pPr>
              <w:widowControl/>
              <w:jc w:val="left"/>
              <w:rPr>
                <w:rFonts w:hint="eastAsia" w:ascii="宋体" w:hAnsi="宋体" w:cs="宋体"/>
                <w:color w:val="000000"/>
                <w:kern w:val="0"/>
                <w:szCs w:val="21"/>
              </w:rPr>
            </w:pPr>
            <w:r>
              <w:rPr>
                <w:rFonts w:hint="eastAsia" w:ascii="宋体" w:hAnsi="宋体" w:cs="宋体"/>
                <w:color w:val="000000"/>
                <w:kern w:val="0"/>
                <w:szCs w:val="21"/>
              </w:rPr>
              <w:t>软件日常巡检，网络、安全巡检，数据库巡检。</w:t>
            </w:r>
          </w:p>
        </w:tc>
        <w:tc>
          <w:tcPr>
            <w:tcW w:w="1478" w:type="dxa"/>
            <w:vMerge w:val="restart"/>
            <w:tcBorders>
              <w:top w:val="nil"/>
              <w:left w:val="single" w:color="auto" w:sz="4" w:space="0"/>
              <w:bottom w:val="single" w:color="000000" w:sz="4" w:space="0"/>
              <w:right w:val="single" w:color="auto" w:sz="8" w:space="0"/>
            </w:tcBorders>
            <w:noWrap w:val="0"/>
            <w:vAlign w:val="center"/>
          </w:tcPr>
          <w:p w14:paraId="009A8A6C">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7159F178">
            <w:pPr>
              <w:widowControl/>
              <w:jc w:val="left"/>
              <w:rPr>
                <w:rFonts w:hint="eastAsia" w:ascii="宋体" w:hAnsi="宋体" w:cs="宋体"/>
                <w:color w:val="000000"/>
                <w:kern w:val="0"/>
                <w:szCs w:val="21"/>
              </w:rPr>
            </w:pPr>
            <w:r>
              <w:rPr>
                <w:rFonts w:hint="eastAsia" w:ascii="宋体" w:hAnsi="宋体" w:cs="宋体"/>
                <w:color w:val="000000"/>
                <w:kern w:val="0"/>
                <w:szCs w:val="21"/>
              </w:rPr>
              <w:t>5*8远程及现场服务</w:t>
            </w:r>
          </w:p>
        </w:tc>
      </w:tr>
      <w:tr w14:paraId="5A8FC231">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000000" w:sz="4" w:space="0"/>
              <w:right w:val="single" w:color="auto" w:sz="4" w:space="0"/>
            </w:tcBorders>
            <w:noWrap w:val="0"/>
            <w:vAlign w:val="center"/>
          </w:tcPr>
          <w:p w14:paraId="0CADB404">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000000" w:sz="4" w:space="0"/>
              <w:right w:val="single" w:color="auto" w:sz="4" w:space="0"/>
            </w:tcBorders>
            <w:noWrap w:val="0"/>
            <w:vAlign w:val="center"/>
          </w:tcPr>
          <w:p w14:paraId="21DF75CA">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7ACD47C4">
            <w:pPr>
              <w:widowControl/>
              <w:jc w:val="left"/>
              <w:rPr>
                <w:rFonts w:hint="eastAsia" w:ascii="宋体" w:hAnsi="宋体" w:cs="宋体"/>
                <w:color w:val="000000"/>
                <w:kern w:val="0"/>
                <w:szCs w:val="21"/>
              </w:rPr>
            </w:pPr>
            <w:r>
              <w:rPr>
                <w:rFonts w:hint="eastAsia" w:ascii="宋体" w:hAnsi="宋体" w:cs="宋体"/>
                <w:color w:val="000000"/>
                <w:kern w:val="0"/>
                <w:szCs w:val="21"/>
              </w:rPr>
              <w:t>②服务台栏目调整</w:t>
            </w:r>
          </w:p>
        </w:tc>
        <w:tc>
          <w:tcPr>
            <w:tcW w:w="4350" w:type="dxa"/>
            <w:tcBorders>
              <w:top w:val="nil"/>
              <w:left w:val="nil"/>
              <w:bottom w:val="single" w:color="auto" w:sz="4" w:space="0"/>
              <w:right w:val="single" w:color="auto" w:sz="4" w:space="0"/>
            </w:tcBorders>
            <w:noWrap w:val="0"/>
            <w:vAlign w:val="center"/>
          </w:tcPr>
          <w:p w14:paraId="476746B5">
            <w:pPr>
              <w:widowControl/>
              <w:jc w:val="left"/>
              <w:rPr>
                <w:rFonts w:hint="eastAsia" w:ascii="宋体" w:hAnsi="宋体" w:cs="宋体"/>
                <w:color w:val="000000"/>
                <w:kern w:val="0"/>
                <w:szCs w:val="21"/>
              </w:rPr>
            </w:pPr>
            <w:r>
              <w:rPr>
                <w:rFonts w:hint="eastAsia" w:ascii="宋体" w:hAnsi="宋体" w:cs="宋体"/>
                <w:color w:val="000000"/>
                <w:kern w:val="0"/>
                <w:szCs w:val="21"/>
              </w:rPr>
              <w:t>“一网通办”栏目、政务窗口栏目、线上帮办栏目、随申办移动端栏目、政策"随申兑"栏目、部门重点指标分析栏目、咨询热线分析栏目、服务规范分析栏目、业务改革情况栏目。</w:t>
            </w:r>
          </w:p>
        </w:tc>
        <w:tc>
          <w:tcPr>
            <w:tcW w:w="1478" w:type="dxa"/>
            <w:vMerge w:val="continue"/>
            <w:tcBorders>
              <w:top w:val="nil"/>
              <w:left w:val="single" w:color="auto" w:sz="4" w:space="0"/>
              <w:bottom w:val="single" w:color="000000" w:sz="4" w:space="0"/>
              <w:right w:val="single" w:color="auto" w:sz="8" w:space="0"/>
            </w:tcBorders>
            <w:noWrap w:val="0"/>
            <w:vAlign w:val="center"/>
          </w:tcPr>
          <w:p w14:paraId="65EC9778">
            <w:pPr>
              <w:widowControl/>
              <w:jc w:val="left"/>
              <w:rPr>
                <w:rFonts w:hint="eastAsia" w:ascii="宋体" w:hAnsi="宋体" w:cs="宋体"/>
                <w:color w:val="000000"/>
                <w:kern w:val="0"/>
                <w:szCs w:val="21"/>
              </w:rPr>
            </w:pPr>
          </w:p>
        </w:tc>
      </w:tr>
      <w:tr w14:paraId="17180B04">
        <w:tblPrEx>
          <w:tblCellMar>
            <w:top w:w="0" w:type="dxa"/>
            <w:left w:w="108" w:type="dxa"/>
            <w:bottom w:w="0" w:type="dxa"/>
            <w:right w:w="108" w:type="dxa"/>
          </w:tblCellMar>
        </w:tblPrEx>
        <w:trPr>
          <w:trHeight w:val="363" w:hRule="atLeast"/>
        </w:trPr>
        <w:tc>
          <w:tcPr>
            <w:tcW w:w="835" w:type="dxa"/>
            <w:vMerge w:val="continue"/>
            <w:tcBorders>
              <w:top w:val="nil"/>
              <w:left w:val="single" w:color="auto" w:sz="8" w:space="0"/>
              <w:bottom w:val="single" w:color="auto" w:sz="4" w:space="0"/>
              <w:right w:val="single" w:color="auto" w:sz="4" w:space="0"/>
            </w:tcBorders>
            <w:noWrap w:val="0"/>
            <w:vAlign w:val="center"/>
          </w:tcPr>
          <w:p w14:paraId="60002596">
            <w:pPr>
              <w:widowControl/>
              <w:jc w:val="left"/>
              <w:rPr>
                <w:rFonts w:hint="eastAsia" w:ascii="宋体" w:hAnsi="宋体" w:cs="宋体"/>
                <w:color w:val="000000"/>
                <w:kern w:val="0"/>
                <w:szCs w:val="21"/>
              </w:rPr>
            </w:pPr>
          </w:p>
        </w:tc>
        <w:tc>
          <w:tcPr>
            <w:tcW w:w="1477" w:type="dxa"/>
            <w:vMerge w:val="continue"/>
            <w:tcBorders>
              <w:top w:val="nil"/>
              <w:left w:val="single" w:color="auto" w:sz="4" w:space="0"/>
              <w:bottom w:val="single" w:color="auto" w:sz="4" w:space="0"/>
              <w:right w:val="single" w:color="auto" w:sz="4" w:space="0"/>
            </w:tcBorders>
            <w:noWrap w:val="0"/>
            <w:vAlign w:val="center"/>
          </w:tcPr>
          <w:p w14:paraId="419FB7FD">
            <w:pPr>
              <w:widowControl/>
              <w:jc w:val="left"/>
              <w:rPr>
                <w:rFonts w:hint="eastAsia" w:ascii="宋体" w:hAnsi="宋体" w:cs="宋体"/>
                <w:color w:val="000000"/>
                <w:kern w:val="0"/>
                <w:szCs w:val="21"/>
              </w:rPr>
            </w:pPr>
          </w:p>
        </w:tc>
        <w:tc>
          <w:tcPr>
            <w:tcW w:w="2402" w:type="dxa"/>
            <w:tcBorders>
              <w:top w:val="nil"/>
              <w:left w:val="nil"/>
              <w:bottom w:val="single" w:color="auto" w:sz="4" w:space="0"/>
              <w:right w:val="single" w:color="auto" w:sz="4" w:space="0"/>
            </w:tcBorders>
            <w:noWrap w:val="0"/>
            <w:vAlign w:val="center"/>
          </w:tcPr>
          <w:p w14:paraId="38646484">
            <w:pPr>
              <w:widowControl/>
              <w:jc w:val="left"/>
              <w:rPr>
                <w:rFonts w:hint="eastAsia" w:ascii="宋体" w:hAnsi="宋体" w:cs="宋体"/>
                <w:color w:val="000000"/>
                <w:kern w:val="0"/>
                <w:szCs w:val="21"/>
              </w:rPr>
            </w:pPr>
            <w:r>
              <w:rPr>
                <w:rFonts w:hint="eastAsia" w:ascii="宋体" w:hAnsi="宋体" w:cs="宋体"/>
                <w:color w:val="000000"/>
                <w:kern w:val="0"/>
                <w:szCs w:val="21"/>
              </w:rPr>
              <w:t>③AI语音助手</w:t>
            </w:r>
          </w:p>
        </w:tc>
        <w:tc>
          <w:tcPr>
            <w:tcW w:w="4350" w:type="dxa"/>
            <w:tcBorders>
              <w:top w:val="nil"/>
              <w:left w:val="nil"/>
              <w:bottom w:val="single" w:color="auto" w:sz="4" w:space="0"/>
              <w:right w:val="single" w:color="auto" w:sz="4" w:space="0"/>
            </w:tcBorders>
            <w:noWrap w:val="0"/>
            <w:vAlign w:val="center"/>
          </w:tcPr>
          <w:p w14:paraId="04E68FB8">
            <w:pPr>
              <w:widowControl/>
              <w:jc w:val="left"/>
              <w:rPr>
                <w:rFonts w:hint="eastAsia" w:ascii="宋体" w:hAnsi="宋体" w:cs="宋体"/>
                <w:color w:val="000000"/>
                <w:kern w:val="0"/>
                <w:szCs w:val="21"/>
              </w:rPr>
            </w:pPr>
            <w:r>
              <w:rPr>
                <w:rFonts w:hint="eastAsia" w:ascii="宋体" w:hAnsi="宋体" w:cs="宋体"/>
                <w:color w:val="000000"/>
                <w:kern w:val="0"/>
                <w:szCs w:val="21"/>
              </w:rPr>
              <w:t>提供语音对话入口,对接语音识别（ASR）与AI问答接口，回复完成后自动渲染ECharts图表。</w:t>
            </w:r>
          </w:p>
        </w:tc>
        <w:tc>
          <w:tcPr>
            <w:tcW w:w="1478" w:type="dxa"/>
            <w:vMerge w:val="continue"/>
            <w:tcBorders>
              <w:top w:val="nil"/>
              <w:left w:val="single" w:color="auto" w:sz="4" w:space="0"/>
              <w:bottom w:val="single" w:color="auto" w:sz="4" w:space="0"/>
              <w:right w:val="single" w:color="auto" w:sz="8" w:space="0"/>
            </w:tcBorders>
            <w:noWrap w:val="0"/>
            <w:vAlign w:val="center"/>
          </w:tcPr>
          <w:p w14:paraId="608A08E0">
            <w:pPr>
              <w:widowControl/>
              <w:jc w:val="left"/>
              <w:rPr>
                <w:rFonts w:hint="eastAsia" w:ascii="宋体" w:hAnsi="宋体" w:cs="宋体"/>
                <w:color w:val="000000"/>
                <w:kern w:val="0"/>
                <w:szCs w:val="21"/>
              </w:rPr>
            </w:pPr>
          </w:p>
        </w:tc>
      </w:tr>
      <w:tr w14:paraId="4770F6DB">
        <w:tblPrEx>
          <w:tblCellMar>
            <w:top w:w="0" w:type="dxa"/>
            <w:left w:w="108" w:type="dxa"/>
            <w:bottom w:w="0" w:type="dxa"/>
            <w:right w:w="108" w:type="dxa"/>
          </w:tblCellMar>
        </w:tblPrEx>
        <w:trPr>
          <w:trHeight w:val="363" w:hRule="atLeast"/>
        </w:trPr>
        <w:tc>
          <w:tcPr>
            <w:tcW w:w="835" w:type="dxa"/>
            <w:vMerge w:val="restart"/>
            <w:tcBorders>
              <w:top w:val="single" w:color="auto" w:sz="4" w:space="0"/>
              <w:left w:val="single" w:color="auto" w:sz="8" w:space="0"/>
              <w:right w:val="single" w:color="auto" w:sz="4" w:space="0"/>
            </w:tcBorders>
            <w:noWrap w:val="0"/>
            <w:vAlign w:val="center"/>
          </w:tcPr>
          <w:p w14:paraId="663E391D">
            <w:pPr>
              <w:widowControl/>
              <w:jc w:val="center"/>
              <w:rPr>
                <w:rFonts w:hint="eastAsia" w:ascii="宋体" w:hAnsi="宋体" w:cs="宋体"/>
                <w:color w:val="000000"/>
                <w:kern w:val="0"/>
                <w:szCs w:val="21"/>
              </w:rPr>
            </w:pPr>
            <w:r>
              <w:rPr>
                <w:rFonts w:hint="eastAsia" w:ascii="宋体" w:hAnsi="宋体" w:cs="宋体"/>
                <w:color w:val="000000"/>
                <w:kern w:val="0"/>
                <w:szCs w:val="21"/>
              </w:rPr>
              <w:t>14</w:t>
            </w:r>
          </w:p>
        </w:tc>
        <w:tc>
          <w:tcPr>
            <w:tcW w:w="1477" w:type="dxa"/>
            <w:vMerge w:val="restart"/>
            <w:tcBorders>
              <w:top w:val="single" w:color="auto" w:sz="4" w:space="0"/>
              <w:left w:val="nil"/>
              <w:right w:val="single" w:color="auto" w:sz="4" w:space="0"/>
            </w:tcBorders>
            <w:noWrap w:val="0"/>
            <w:vAlign w:val="center"/>
          </w:tcPr>
          <w:p w14:paraId="32782447">
            <w:pPr>
              <w:widowControl/>
              <w:jc w:val="center"/>
              <w:rPr>
                <w:rFonts w:hint="eastAsia" w:ascii="宋体" w:hAnsi="宋体" w:cs="宋体"/>
                <w:color w:val="000000"/>
                <w:kern w:val="0"/>
                <w:szCs w:val="21"/>
              </w:rPr>
            </w:pPr>
            <w:r>
              <w:rPr>
                <w:rFonts w:hint="eastAsia" w:ascii="宋体" w:hAnsi="宋体" w:cs="宋体"/>
                <w:color w:val="000000"/>
                <w:kern w:val="0"/>
                <w:szCs w:val="21"/>
              </w:rPr>
              <w:t>自助工作台系统、证照柜系统</w:t>
            </w:r>
          </w:p>
        </w:tc>
        <w:tc>
          <w:tcPr>
            <w:tcW w:w="2402" w:type="dxa"/>
            <w:tcBorders>
              <w:top w:val="single" w:color="auto" w:sz="4" w:space="0"/>
              <w:left w:val="nil"/>
              <w:bottom w:val="single" w:color="auto" w:sz="4" w:space="0"/>
              <w:right w:val="single" w:color="auto" w:sz="4" w:space="0"/>
            </w:tcBorders>
            <w:noWrap w:val="0"/>
            <w:vAlign w:val="center"/>
          </w:tcPr>
          <w:p w14:paraId="0C429FFC">
            <w:pPr>
              <w:widowControl/>
              <w:jc w:val="left"/>
              <w:rPr>
                <w:rFonts w:hint="eastAsia" w:ascii="宋体" w:hAnsi="宋体" w:cs="宋体"/>
                <w:color w:val="000000"/>
                <w:kern w:val="0"/>
                <w:szCs w:val="21"/>
              </w:rPr>
            </w:pPr>
            <w:r>
              <w:rPr>
                <w:rFonts w:hint="eastAsia" w:ascii="宋体" w:hAnsi="宋体" w:cs="宋体"/>
                <w:color w:val="000000"/>
                <w:szCs w:val="21"/>
              </w:rPr>
              <w:t>①配套系统运维服务</w:t>
            </w:r>
          </w:p>
        </w:tc>
        <w:tc>
          <w:tcPr>
            <w:tcW w:w="4350" w:type="dxa"/>
            <w:tcBorders>
              <w:top w:val="single" w:color="auto" w:sz="4" w:space="0"/>
              <w:left w:val="nil"/>
              <w:bottom w:val="single" w:color="auto" w:sz="4" w:space="0"/>
              <w:right w:val="single" w:color="auto" w:sz="4" w:space="0"/>
            </w:tcBorders>
            <w:noWrap w:val="0"/>
            <w:vAlign w:val="center"/>
          </w:tcPr>
          <w:p w14:paraId="17BD5156">
            <w:pPr>
              <w:widowControl/>
              <w:jc w:val="left"/>
              <w:rPr>
                <w:rFonts w:hint="eastAsia" w:ascii="宋体" w:hAnsi="宋体" w:cs="宋体"/>
                <w:color w:val="000000"/>
                <w:kern w:val="0"/>
                <w:szCs w:val="21"/>
              </w:rPr>
            </w:pPr>
            <w:r>
              <w:rPr>
                <w:rFonts w:hint="eastAsia" w:ascii="宋体" w:hAnsi="宋体" w:cs="宋体"/>
                <w:color w:val="000000"/>
                <w:szCs w:val="21"/>
              </w:rPr>
              <w:t>软件系统故障处理、系统运行设置维护、软件系统定期巡检服务、软件系统优化及需求变更、技术咨询服务、安全维护服务。</w:t>
            </w:r>
          </w:p>
        </w:tc>
        <w:tc>
          <w:tcPr>
            <w:tcW w:w="1478" w:type="dxa"/>
            <w:vMerge w:val="restart"/>
            <w:tcBorders>
              <w:top w:val="single" w:color="auto" w:sz="4" w:space="0"/>
              <w:left w:val="nil"/>
              <w:right w:val="single" w:color="auto" w:sz="8" w:space="0"/>
            </w:tcBorders>
            <w:noWrap w:val="0"/>
            <w:vAlign w:val="center"/>
          </w:tcPr>
          <w:p w14:paraId="247AB9B3">
            <w:pPr>
              <w:widowControl/>
              <w:jc w:val="left"/>
              <w:rPr>
                <w:rFonts w:hint="eastAsia" w:ascii="宋体" w:hAnsi="宋体" w:cs="宋体"/>
                <w:color w:val="000000"/>
                <w:kern w:val="0"/>
                <w:szCs w:val="21"/>
              </w:rPr>
            </w:pPr>
            <w:r>
              <w:rPr>
                <w:rFonts w:hint="eastAsia" w:ascii="宋体" w:hAnsi="宋体" w:cs="宋体"/>
                <w:color w:val="000000"/>
                <w:kern w:val="0"/>
                <w:szCs w:val="21"/>
              </w:rPr>
              <w:t>1年</w:t>
            </w:r>
          </w:p>
          <w:p w14:paraId="7A100B45">
            <w:pPr>
              <w:widowControl/>
              <w:jc w:val="left"/>
              <w:rPr>
                <w:rFonts w:hint="eastAsia" w:ascii="宋体" w:hAnsi="宋体" w:cs="宋体"/>
                <w:color w:val="000000"/>
                <w:kern w:val="0"/>
                <w:szCs w:val="21"/>
              </w:rPr>
            </w:pPr>
            <w:r>
              <w:rPr>
                <w:rFonts w:hint="eastAsia" w:ascii="宋体" w:hAnsi="宋体" w:cs="宋体"/>
                <w:color w:val="000000"/>
                <w:kern w:val="0"/>
                <w:szCs w:val="21"/>
              </w:rPr>
              <w:t>7*24远程及驻场服务</w:t>
            </w:r>
          </w:p>
        </w:tc>
      </w:tr>
      <w:tr w14:paraId="2ED9AD11">
        <w:tblPrEx>
          <w:tblCellMar>
            <w:top w:w="0" w:type="dxa"/>
            <w:left w:w="108" w:type="dxa"/>
            <w:bottom w:w="0" w:type="dxa"/>
            <w:right w:w="108" w:type="dxa"/>
          </w:tblCellMar>
        </w:tblPrEx>
        <w:trPr>
          <w:trHeight w:val="363" w:hRule="atLeast"/>
        </w:trPr>
        <w:tc>
          <w:tcPr>
            <w:tcW w:w="835" w:type="dxa"/>
            <w:vMerge w:val="continue"/>
            <w:tcBorders>
              <w:left w:val="single" w:color="auto" w:sz="8" w:space="0"/>
              <w:right w:val="single" w:color="auto" w:sz="4" w:space="0"/>
            </w:tcBorders>
            <w:noWrap w:val="0"/>
            <w:vAlign w:val="center"/>
          </w:tcPr>
          <w:p w14:paraId="311C3BFE">
            <w:pPr>
              <w:widowControl/>
              <w:jc w:val="center"/>
              <w:rPr>
                <w:rFonts w:hint="eastAsia" w:ascii="宋体" w:hAnsi="宋体" w:cs="宋体"/>
                <w:color w:val="000000"/>
                <w:kern w:val="0"/>
                <w:szCs w:val="21"/>
              </w:rPr>
            </w:pPr>
          </w:p>
        </w:tc>
        <w:tc>
          <w:tcPr>
            <w:tcW w:w="1477" w:type="dxa"/>
            <w:vMerge w:val="continue"/>
            <w:tcBorders>
              <w:left w:val="nil"/>
              <w:right w:val="single" w:color="auto" w:sz="4" w:space="0"/>
            </w:tcBorders>
            <w:noWrap w:val="0"/>
            <w:vAlign w:val="center"/>
          </w:tcPr>
          <w:p w14:paraId="34B8D61E">
            <w:pPr>
              <w:widowControl/>
              <w:jc w:val="center"/>
              <w:rPr>
                <w:rFonts w:hint="eastAsia" w:ascii="宋体" w:hAnsi="宋体" w:cs="宋体"/>
                <w:color w:val="000000"/>
                <w:kern w:val="0"/>
                <w:szCs w:val="21"/>
              </w:rPr>
            </w:pPr>
          </w:p>
        </w:tc>
        <w:tc>
          <w:tcPr>
            <w:tcW w:w="2402" w:type="dxa"/>
            <w:tcBorders>
              <w:top w:val="single" w:color="auto" w:sz="4" w:space="0"/>
              <w:left w:val="nil"/>
              <w:bottom w:val="single" w:color="auto" w:sz="4" w:space="0"/>
              <w:right w:val="single" w:color="auto" w:sz="4" w:space="0"/>
            </w:tcBorders>
            <w:noWrap w:val="0"/>
            <w:vAlign w:val="center"/>
          </w:tcPr>
          <w:p w14:paraId="32BC5930">
            <w:pPr>
              <w:widowControl/>
              <w:jc w:val="left"/>
              <w:rPr>
                <w:rFonts w:hint="eastAsia" w:ascii="宋体" w:hAnsi="宋体" w:cs="宋体"/>
                <w:color w:val="000000"/>
                <w:kern w:val="0"/>
                <w:szCs w:val="21"/>
              </w:rPr>
            </w:pPr>
            <w:r>
              <w:rPr>
                <w:rFonts w:hint="eastAsia" w:ascii="宋体" w:hAnsi="宋体" w:cs="宋体"/>
                <w:color w:val="000000"/>
                <w:szCs w:val="21"/>
              </w:rPr>
              <w:t>②</w:t>
            </w:r>
            <w:r>
              <w:rPr>
                <w:rFonts w:hint="eastAsia" w:ascii="宋体" w:hAnsi="宋体" w:cs="宋体"/>
                <w:color w:val="000000"/>
                <w:szCs w:val="21"/>
                <w:lang w:val="en-US" w:eastAsia="zh-CN"/>
              </w:rPr>
              <w:t>国产化</w:t>
            </w:r>
            <w:r>
              <w:rPr>
                <w:rFonts w:hint="eastAsia" w:ascii="宋体" w:hAnsi="宋体" w:cs="宋体"/>
                <w:color w:val="000000"/>
                <w:szCs w:val="21"/>
              </w:rPr>
              <w:t>改造</w:t>
            </w:r>
          </w:p>
        </w:tc>
        <w:tc>
          <w:tcPr>
            <w:tcW w:w="4350" w:type="dxa"/>
            <w:tcBorders>
              <w:top w:val="single" w:color="auto" w:sz="4" w:space="0"/>
              <w:left w:val="nil"/>
              <w:bottom w:val="single" w:color="auto" w:sz="4" w:space="0"/>
              <w:right w:val="single" w:color="auto" w:sz="4" w:space="0"/>
            </w:tcBorders>
            <w:noWrap w:val="0"/>
            <w:vAlign w:val="center"/>
          </w:tcPr>
          <w:p w14:paraId="7665C7A8">
            <w:pPr>
              <w:widowControl/>
              <w:jc w:val="left"/>
              <w:rPr>
                <w:rFonts w:hint="eastAsia" w:ascii="宋体" w:hAnsi="宋体" w:cs="宋体"/>
                <w:color w:val="000000"/>
                <w:kern w:val="0"/>
                <w:szCs w:val="21"/>
              </w:rPr>
            </w:pPr>
            <w:r>
              <w:rPr>
                <w:rFonts w:hint="eastAsia" w:ascii="宋体" w:hAnsi="宋体" w:cs="宋体"/>
                <w:color w:val="000000"/>
                <w:szCs w:val="21"/>
              </w:rPr>
              <w:t>基础软件</w:t>
            </w:r>
            <w:r>
              <w:rPr>
                <w:rFonts w:hint="eastAsia" w:ascii="宋体" w:hAnsi="宋体" w:cs="宋体"/>
                <w:color w:val="000000"/>
                <w:szCs w:val="21"/>
                <w:lang w:eastAsia="zh-CN"/>
              </w:rPr>
              <w:t>国产化</w:t>
            </w:r>
            <w:r>
              <w:rPr>
                <w:rFonts w:hint="eastAsia" w:ascii="宋体" w:hAnsi="宋体" w:cs="宋体"/>
                <w:color w:val="000000"/>
                <w:szCs w:val="21"/>
              </w:rPr>
              <w:t>适配改造、应用软件</w:t>
            </w:r>
            <w:r>
              <w:rPr>
                <w:rFonts w:hint="eastAsia" w:ascii="宋体" w:hAnsi="宋体" w:cs="宋体"/>
                <w:color w:val="000000"/>
                <w:szCs w:val="21"/>
                <w:lang w:eastAsia="zh-CN"/>
              </w:rPr>
              <w:t>国产化</w:t>
            </w:r>
            <w:r>
              <w:rPr>
                <w:rFonts w:hint="eastAsia" w:ascii="宋体" w:hAnsi="宋体" w:cs="宋体"/>
                <w:color w:val="000000"/>
                <w:szCs w:val="21"/>
              </w:rPr>
              <w:t>改造、硬件适配改造、部署测试。</w:t>
            </w:r>
          </w:p>
        </w:tc>
        <w:tc>
          <w:tcPr>
            <w:tcW w:w="1478" w:type="dxa"/>
            <w:vMerge w:val="continue"/>
            <w:tcBorders>
              <w:left w:val="nil"/>
              <w:right w:val="single" w:color="auto" w:sz="8" w:space="0"/>
            </w:tcBorders>
            <w:noWrap w:val="0"/>
            <w:vAlign w:val="center"/>
          </w:tcPr>
          <w:p w14:paraId="2AECF279">
            <w:pPr>
              <w:widowControl/>
              <w:jc w:val="center"/>
              <w:rPr>
                <w:rFonts w:hint="eastAsia" w:ascii="宋体" w:hAnsi="宋体" w:cs="宋体"/>
                <w:color w:val="000000"/>
                <w:kern w:val="0"/>
                <w:szCs w:val="21"/>
              </w:rPr>
            </w:pPr>
          </w:p>
        </w:tc>
      </w:tr>
      <w:tr w14:paraId="7295228C">
        <w:tblPrEx>
          <w:tblCellMar>
            <w:top w:w="0" w:type="dxa"/>
            <w:left w:w="108" w:type="dxa"/>
            <w:bottom w:w="0" w:type="dxa"/>
            <w:right w:w="108" w:type="dxa"/>
          </w:tblCellMar>
        </w:tblPrEx>
        <w:trPr>
          <w:trHeight w:val="363" w:hRule="atLeast"/>
        </w:trPr>
        <w:tc>
          <w:tcPr>
            <w:tcW w:w="835" w:type="dxa"/>
            <w:vMerge w:val="continue"/>
            <w:tcBorders>
              <w:left w:val="single" w:color="auto" w:sz="8" w:space="0"/>
              <w:right w:val="single" w:color="auto" w:sz="4" w:space="0"/>
            </w:tcBorders>
            <w:noWrap w:val="0"/>
            <w:vAlign w:val="center"/>
          </w:tcPr>
          <w:p w14:paraId="2322BDDE">
            <w:pPr>
              <w:widowControl/>
              <w:jc w:val="center"/>
              <w:rPr>
                <w:rFonts w:hint="eastAsia" w:ascii="宋体" w:hAnsi="宋体" w:cs="宋体"/>
                <w:color w:val="000000"/>
                <w:kern w:val="0"/>
                <w:szCs w:val="21"/>
              </w:rPr>
            </w:pPr>
          </w:p>
        </w:tc>
        <w:tc>
          <w:tcPr>
            <w:tcW w:w="1477" w:type="dxa"/>
            <w:vMerge w:val="continue"/>
            <w:tcBorders>
              <w:left w:val="nil"/>
              <w:right w:val="single" w:color="auto" w:sz="4" w:space="0"/>
            </w:tcBorders>
            <w:noWrap w:val="0"/>
            <w:vAlign w:val="center"/>
          </w:tcPr>
          <w:p w14:paraId="570AB800">
            <w:pPr>
              <w:widowControl/>
              <w:jc w:val="center"/>
              <w:rPr>
                <w:rFonts w:hint="eastAsia" w:ascii="宋体" w:hAnsi="宋体" w:cs="宋体"/>
                <w:color w:val="000000"/>
                <w:kern w:val="0"/>
                <w:szCs w:val="21"/>
              </w:rPr>
            </w:pPr>
          </w:p>
        </w:tc>
        <w:tc>
          <w:tcPr>
            <w:tcW w:w="2402" w:type="dxa"/>
            <w:tcBorders>
              <w:top w:val="single" w:color="auto" w:sz="4" w:space="0"/>
              <w:left w:val="nil"/>
              <w:bottom w:val="single" w:color="auto" w:sz="4" w:space="0"/>
              <w:right w:val="single" w:color="auto" w:sz="4" w:space="0"/>
            </w:tcBorders>
            <w:noWrap w:val="0"/>
            <w:vAlign w:val="center"/>
          </w:tcPr>
          <w:p w14:paraId="1D73C4F9">
            <w:pPr>
              <w:widowControl/>
              <w:jc w:val="left"/>
              <w:rPr>
                <w:rFonts w:hint="eastAsia" w:ascii="宋体" w:hAnsi="宋体" w:cs="宋体"/>
                <w:color w:val="000000"/>
                <w:szCs w:val="21"/>
              </w:rPr>
            </w:pPr>
            <w:r>
              <w:rPr>
                <w:rFonts w:hint="eastAsia" w:ascii="宋体" w:hAnsi="宋体" w:cs="宋体"/>
                <w:color w:val="000000"/>
                <w:szCs w:val="21"/>
              </w:rPr>
              <w:t>③证照自助打印系统更新</w:t>
            </w:r>
          </w:p>
        </w:tc>
        <w:tc>
          <w:tcPr>
            <w:tcW w:w="4350" w:type="dxa"/>
            <w:tcBorders>
              <w:top w:val="single" w:color="auto" w:sz="4" w:space="0"/>
              <w:left w:val="nil"/>
              <w:bottom w:val="single" w:color="auto" w:sz="4" w:space="0"/>
              <w:right w:val="single" w:color="auto" w:sz="4" w:space="0"/>
            </w:tcBorders>
            <w:noWrap w:val="0"/>
            <w:vAlign w:val="center"/>
          </w:tcPr>
          <w:p w14:paraId="1EB6BB1D">
            <w:pPr>
              <w:widowControl/>
              <w:jc w:val="left"/>
              <w:rPr>
                <w:rFonts w:hint="eastAsia" w:ascii="宋体" w:hAnsi="宋体" w:cs="宋体"/>
                <w:color w:val="000000"/>
                <w:szCs w:val="21"/>
              </w:rPr>
            </w:pPr>
            <w:r>
              <w:rPr>
                <w:rFonts w:hint="eastAsia" w:ascii="宋体" w:hAnsi="宋体" w:cs="宋体"/>
                <w:color w:val="000000"/>
                <w:szCs w:val="21"/>
              </w:rPr>
              <w:t>全程网办设立登记、全程网办变更登记、线下办理。</w:t>
            </w:r>
          </w:p>
        </w:tc>
        <w:tc>
          <w:tcPr>
            <w:tcW w:w="1478" w:type="dxa"/>
            <w:vMerge w:val="continue"/>
            <w:tcBorders>
              <w:left w:val="nil"/>
              <w:right w:val="single" w:color="auto" w:sz="8" w:space="0"/>
            </w:tcBorders>
            <w:noWrap w:val="0"/>
            <w:vAlign w:val="center"/>
          </w:tcPr>
          <w:p w14:paraId="18EAECC1">
            <w:pPr>
              <w:widowControl/>
              <w:jc w:val="center"/>
              <w:rPr>
                <w:rFonts w:hint="eastAsia" w:ascii="宋体" w:hAnsi="宋体" w:cs="宋体"/>
                <w:color w:val="000000"/>
                <w:kern w:val="0"/>
                <w:szCs w:val="21"/>
              </w:rPr>
            </w:pPr>
          </w:p>
        </w:tc>
      </w:tr>
      <w:tr w14:paraId="1CF33345">
        <w:tblPrEx>
          <w:tblCellMar>
            <w:top w:w="0" w:type="dxa"/>
            <w:left w:w="108" w:type="dxa"/>
            <w:bottom w:w="0" w:type="dxa"/>
            <w:right w:w="108" w:type="dxa"/>
          </w:tblCellMar>
        </w:tblPrEx>
        <w:trPr>
          <w:trHeight w:val="363" w:hRule="atLeast"/>
        </w:trPr>
        <w:tc>
          <w:tcPr>
            <w:tcW w:w="835" w:type="dxa"/>
            <w:vMerge w:val="continue"/>
            <w:tcBorders>
              <w:left w:val="single" w:color="auto" w:sz="8" w:space="0"/>
              <w:bottom w:val="single" w:color="auto" w:sz="8" w:space="0"/>
              <w:right w:val="single" w:color="auto" w:sz="4" w:space="0"/>
            </w:tcBorders>
            <w:noWrap w:val="0"/>
            <w:vAlign w:val="center"/>
          </w:tcPr>
          <w:p w14:paraId="564E241B">
            <w:pPr>
              <w:widowControl/>
              <w:jc w:val="center"/>
              <w:rPr>
                <w:rFonts w:hint="eastAsia" w:ascii="宋体" w:hAnsi="宋体" w:cs="宋体"/>
                <w:color w:val="000000"/>
                <w:kern w:val="0"/>
                <w:szCs w:val="21"/>
              </w:rPr>
            </w:pPr>
          </w:p>
        </w:tc>
        <w:tc>
          <w:tcPr>
            <w:tcW w:w="1477" w:type="dxa"/>
            <w:vMerge w:val="continue"/>
            <w:tcBorders>
              <w:left w:val="nil"/>
              <w:bottom w:val="single" w:color="auto" w:sz="8" w:space="0"/>
              <w:right w:val="single" w:color="auto" w:sz="4" w:space="0"/>
            </w:tcBorders>
            <w:noWrap w:val="0"/>
            <w:vAlign w:val="center"/>
          </w:tcPr>
          <w:p w14:paraId="0D484F4C">
            <w:pPr>
              <w:widowControl/>
              <w:jc w:val="center"/>
              <w:rPr>
                <w:rFonts w:hint="eastAsia" w:ascii="宋体" w:hAnsi="宋体" w:cs="宋体"/>
                <w:color w:val="000000"/>
                <w:kern w:val="0"/>
                <w:szCs w:val="21"/>
              </w:rPr>
            </w:pPr>
          </w:p>
        </w:tc>
        <w:tc>
          <w:tcPr>
            <w:tcW w:w="2402" w:type="dxa"/>
            <w:tcBorders>
              <w:top w:val="single" w:color="auto" w:sz="4" w:space="0"/>
              <w:left w:val="nil"/>
              <w:bottom w:val="single" w:color="auto" w:sz="8" w:space="0"/>
              <w:right w:val="single" w:color="auto" w:sz="4" w:space="0"/>
            </w:tcBorders>
            <w:noWrap w:val="0"/>
            <w:vAlign w:val="center"/>
          </w:tcPr>
          <w:p w14:paraId="51D5A700">
            <w:pPr>
              <w:widowControl/>
              <w:jc w:val="left"/>
              <w:rPr>
                <w:rFonts w:hint="eastAsia" w:ascii="宋体" w:hAnsi="宋体" w:cs="宋体"/>
                <w:color w:val="000000"/>
                <w:kern w:val="0"/>
                <w:szCs w:val="21"/>
              </w:rPr>
            </w:pPr>
            <w:r>
              <w:rPr>
                <w:rFonts w:hint="eastAsia" w:ascii="宋体" w:hAnsi="宋体" w:cs="宋体"/>
                <w:color w:val="000000"/>
                <w:szCs w:val="21"/>
              </w:rPr>
              <w:t>④证照柜功能调整</w:t>
            </w:r>
          </w:p>
        </w:tc>
        <w:tc>
          <w:tcPr>
            <w:tcW w:w="4350" w:type="dxa"/>
            <w:tcBorders>
              <w:top w:val="single" w:color="auto" w:sz="4" w:space="0"/>
              <w:left w:val="nil"/>
              <w:bottom w:val="single" w:color="auto" w:sz="8" w:space="0"/>
              <w:right w:val="single" w:color="auto" w:sz="4" w:space="0"/>
            </w:tcBorders>
            <w:noWrap w:val="0"/>
            <w:vAlign w:val="center"/>
          </w:tcPr>
          <w:p w14:paraId="4F1F0A59">
            <w:pPr>
              <w:widowControl/>
              <w:jc w:val="left"/>
              <w:rPr>
                <w:rFonts w:hint="eastAsia" w:ascii="宋体" w:hAnsi="宋体" w:cs="宋体"/>
                <w:color w:val="000000"/>
                <w:kern w:val="0"/>
                <w:szCs w:val="21"/>
              </w:rPr>
            </w:pPr>
            <w:r>
              <w:rPr>
                <w:rFonts w:hint="eastAsia" w:ascii="宋体" w:hAnsi="宋体" w:cs="宋体"/>
                <w:color w:val="000000"/>
                <w:szCs w:val="21"/>
              </w:rPr>
              <w:t>更新取证验证方式、取证通知短信更新、证照柜操作页面升级、办件编码扫码核验。</w:t>
            </w:r>
          </w:p>
        </w:tc>
        <w:tc>
          <w:tcPr>
            <w:tcW w:w="1478" w:type="dxa"/>
            <w:vMerge w:val="continue"/>
            <w:tcBorders>
              <w:left w:val="nil"/>
              <w:bottom w:val="single" w:color="auto" w:sz="8" w:space="0"/>
              <w:right w:val="single" w:color="auto" w:sz="8" w:space="0"/>
            </w:tcBorders>
            <w:noWrap w:val="0"/>
            <w:vAlign w:val="center"/>
          </w:tcPr>
          <w:p w14:paraId="3198CF25">
            <w:pPr>
              <w:widowControl/>
              <w:jc w:val="center"/>
              <w:rPr>
                <w:rFonts w:hint="eastAsia" w:ascii="宋体" w:hAnsi="宋体" w:cs="宋体"/>
                <w:color w:val="000000"/>
                <w:kern w:val="0"/>
                <w:szCs w:val="21"/>
              </w:rPr>
            </w:pPr>
          </w:p>
        </w:tc>
      </w:tr>
    </w:tbl>
    <w:p w14:paraId="77116B7C">
      <w:pPr>
        <w:spacing w:line="360" w:lineRule="auto"/>
        <w:ind w:firstLine="420"/>
        <w:jc w:val="left"/>
        <w:rPr>
          <w:rFonts w:hint="eastAsia" w:ascii="宋体" w:hAnsi="宋体" w:cs="宋体"/>
          <w:szCs w:val="21"/>
        </w:rPr>
      </w:pPr>
    </w:p>
    <w:p w14:paraId="66BFFD4A">
      <w:pPr>
        <w:spacing w:line="360" w:lineRule="auto"/>
        <w:jc w:val="left"/>
        <w:rPr>
          <w:rFonts w:hint="eastAsia" w:ascii="宋体" w:hAnsi="宋体"/>
          <w:b/>
        </w:rPr>
      </w:pPr>
      <w:r>
        <w:rPr>
          <w:rFonts w:hint="eastAsia" w:ascii="宋体" w:hAnsi="宋体"/>
          <w:b/>
        </w:rPr>
        <w:t>二、软件系统运维需求</w:t>
      </w:r>
    </w:p>
    <w:p w14:paraId="324E1D5C">
      <w:pPr>
        <w:spacing w:line="360" w:lineRule="auto"/>
        <w:jc w:val="left"/>
        <w:rPr>
          <w:rFonts w:hint="eastAsia" w:ascii="宋体" w:hAnsi="宋体" w:cs="宋体"/>
          <w:b/>
          <w:bCs/>
          <w:szCs w:val="21"/>
        </w:rPr>
      </w:pPr>
      <w:r>
        <w:rPr>
          <w:rFonts w:hint="eastAsia" w:ascii="宋体" w:hAnsi="宋体" w:cs="宋体"/>
          <w:b/>
          <w:bCs/>
          <w:szCs w:val="21"/>
        </w:rPr>
        <w:t>（一）信息化系统运维</w:t>
      </w:r>
    </w:p>
    <w:p w14:paraId="755E1DA3">
      <w:pPr>
        <w:spacing w:line="360" w:lineRule="auto"/>
        <w:ind w:firstLine="420"/>
        <w:jc w:val="left"/>
        <w:rPr>
          <w:rFonts w:hint="eastAsia" w:ascii="宋体" w:hAnsi="宋体" w:cs="宋体"/>
          <w:szCs w:val="21"/>
        </w:rPr>
      </w:pPr>
      <w:r>
        <w:rPr>
          <w:rFonts w:hint="eastAsia" w:ascii="宋体" w:hAnsi="宋体" w:cs="宋体"/>
          <w:szCs w:val="21"/>
        </w:rPr>
        <w:t>对应用系统运行状况、安全状况和业务数据完整性一致性的例行检查、监控、分析和统计，根据系统运行的实际情况优化设置并提出整改建议，提交安全评估报告和整改措施，以确保系统正常高效安全地运行，并对用户的实际需求提供咨询和实施过程建议。对于巡检发现的应用系统异常和故障，配合用户单位进行故障排查、定位和处理。包括：大厅设备、网络部分、软件部分、系统备份、数据库等。</w:t>
      </w:r>
    </w:p>
    <w:p w14:paraId="110525E2">
      <w:pPr>
        <w:spacing w:line="360" w:lineRule="auto"/>
        <w:ind w:firstLine="420"/>
        <w:jc w:val="left"/>
        <w:rPr>
          <w:rFonts w:hint="eastAsia" w:ascii="宋体" w:hAnsi="宋体" w:cs="宋体"/>
          <w:b/>
          <w:bCs/>
          <w:szCs w:val="21"/>
        </w:rPr>
      </w:pPr>
      <w:r>
        <w:rPr>
          <w:rFonts w:hint="eastAsia" w:ascii="宋体" w:hAnsi="宋体" w:cs="宋体"/>
          <w:b/>
          <w:bCs/>
          <w:szCs w:val="21"/>
        </w:rPr>
        <w:t>1、软件日常巡检</w:t>
      </w:r>
    </w:p>
    <w:p w14:paraId="02550706">
      <w:pPr>
        <w:spacing w:line="360" w:lineRule="auto"/>
        <w:ind w:firstLine="420"/>
        <w:jc w:val="left"/>
        <w:rPr>
          <w:rFonts w:hint="eastAsia" w:ascii="宋体" w:hAnsi="宋体" w:cs="宋体"/>
          <w:szCs w:val="21"/>
        </w:rPr>
      </w:pPr>
      <w:r>
        <w:rPr>
          <w:rFonts w:hint="eastAsia" w:ascii="宋体" w:hAnsi="宋体" w:cs="宋体"/>
          <w:szCs w:val="21"/>
        </w:rPr>
        <w:t>每天早、中、晚对政务中心信息化系统进行人工检查，同时做好每次的检查记录。一旦发现问题，立即作出反映。对于一般告警，可以记录下来，进一步观察；对于紧急告警，应通知服务方处理，如涉及设备停止运行或出现严重故障，影响政务中心信息化系统的正常运行，应立即通知人员抢修，并上报政务服务中心。</w:t>
      </w:r>
    </w:p>
    <w:p w14:paraId="1CC6BFF4">
      <w:pPr>
        <w:spacing w:line="360" w:lineRule="auto"/>
        <w:ind w:firstLine="420"/>
        <w:jc w:val="left"/>
        <w:rPr>
          <w:rFonts w:hint="eastAsia" w:ascii="宋体" w:hAnsi="宋体" w:cs="宋体"/>
          <w:b/>
          <w:bCs/>
          <w:szCs w:val="21"/>
        </w:rPr>
      </w:pPr>
      <w:r>
        <w:rPr>
          <w:rFonts w:hint="eastAsia" w:ascii="宋体" w:hAnsi="宋体" w:cs="宋体"/>
          <w:b/>
          <w:bCs/>
          <w:szCs w:val="21"/>
        </w:rPr>
        <w:t>2、网络、安全巡检</w:t>
      </w:r>
    </w:p>
    <w:p w14:paraId="3848FC96">
      <w:pPr>
        <w:spacing w:line="360" w:lineRule="auto"/>
        <w:ind w:firstLine="420"/>
        <w:jc w:val="left"/>
        <w:rPr>
          <w:rFonts w:hint="eastAsia" w:ascii="宋体" w:hAnsi="宋体" w:cs="宋体"/>
          <w:szCs w:val="21"/>
        </w:rPr>
      </w:pPr>
      <w:r>
        <w:rPr>
          <w:rFonts w:hint="eastAsia" w:ascii="宋体" w:hAnsi="宋体" w:cs="宋体"/>
          <w:szCs w:val="21"/>
        </w:rPr>
        <w:t>每天检查巡检网络设备运行状态，并向网络服务方和政务服务中心报告。</w:t>
      </w:r>
    </w:p>
    <w:p w14:paraId="69C955ED">
      <w:pPr>
        <w:spacing w:line="360" w:lineRule="auto"/>
        <w:ind w:firstLine="420"/>
        <w:jc w:val="left"/>
        <w:rPr>
          <w:rFonts w:hint="eastAsia" w:ascii="宋体" w:hAnsi="宋体" w:cs="宋体"/>
          <w:b/>
          <w:bCs/>
          <w:szCs w:val="21"/>
        </w:rPr>
      </w:pPr>
      <w:r>
        <w:rPr>
          <w:rFonts w:hint="eastAsia" w:ascii="宋体" w:hAnsi="宋体" w:cs="宋体"/>
          <w:b/>
          <w:bCs/>
          <w:szCs w:val="21"/>
        </w:rPr>
        <w:t>3、数据库巡检</w:t>
      </w:r>
    </w:p>
    <w:p w14:paraId="4C5E8632">
      <w:pPr>
        <w:spacing w:line="360" w:lineRule="auto"/>
        <w:ind w:firstLine="420"/>
        <w:jc w:val="left"/>
        <w:rPr>
          <w:rFonts w:hint="eastAsia" w:ascii="宋体" w:hAnsi="宋体" w:cs="宋体"/>
          <w:szCs w:val="21"/>
        </w:rPr>
      </w:pPr>
      <w:r>
        <w:rPr>
          <w:rFonts w:hint="eastAsia" w:ascii="宋体" w:hAnsi="宋体" w:cs="宋体"/>
          <w:szCs w:val="21"/>
        </w:rPr>
        <w:t>每天检查巡检脚本的输出，并向数据库管理员和政务服务中心报告。每天安排专人检查数据备份情况。一旦发现数据备份失败，应及时通知技术服务方处理。</w:t>
      </w:r>
    </w:p>
    <w:p w14:paraId="4F4A07C4">
      <w:pPr>
        <w:spacing w:line="360" w:lineRule="auto"/>
        <w:ind w:firstLine="420"/>
        <w:jc w:val="left"/>
        <w:rPr>
          <w:rFonts w:hint="eastAsia" w:ascii="宋体" w:hAnsi="宋体" w:cs="宋体"/>
          <w:b/>
          <w:bCs/>
          <w:szCs w:val="21"/>
        </w:rPr>
      </w:pPr>
      <w:r>
        <w:rPr>
          <w:rFonts w:hint="eastAsia" w:ascii="宋体" w:hAnsi="宋体" w:cs="宋体"/>
          <w:b/>
          <w:bCs/>
          <w:szCs w:val="21"/>
        </w:rPr>
        <w:t>4、大厅巡检</w:t>
      </w:r>
    </w:p>
    <w:p w14:paraId="62AC53EB">
      <w:pPr>
        <w:spacing w:line="360" w:lineRule="auto"/>
        <w:ind w:firstLine="420"/>
        <w:jc w:val="left"/>
        <w:rPr>
          <w:rFonts w:hint="eastAsia" w:ascii="宋体" w:hAnsi="宋体" w:cs="宋体"/>
          <w:szCs w:val="21"/>
        </w:rPr>
      </w:pPr>
      <w:r>
        <w:rPr>
          <w:rFonts w:hint="eastAsia" w:ascii="宋体" w:hAnsi="宋体" w:cs="宋体"/>
          <w:szCs w:val="21"/>
        </w:rPr>
        <w:t>每天早上8:30对各大厅取号机、自助服务终端、自助查询机、LED条屏和PAD进行巡检工作，同时做好每次检查的记录。如果现场发现问题5分钟内不能解决的，报障到服务台，进入故障处理流程。</w:t>
      </w:r>
    </w:p>
    <w:p w14:paraId="509D570C">
      <w:pPr>
        <w:spacing w:line="360" w:lineRule="auto"/>
        <w:ind w:firstLine="420"/>
        <w:jc w:val="left"/>
        <w:rPr>
          <w:rFonts w:hint="eastAsia" w:ascii="宋体" w:hAnsi="宋体" w:cs="宋体"/>
          <w:b/>
          <w:bCs/>
          <w:szCs w:val="21"/>
        </w:rPr>
      </w:pPr>
      <w:r>
        <w:rPr>
          <w:rFonts w:hint="eastAsia" w:ascii="宋体" w:hAnsi="宋体" w:cs="宋体"/>
          <w:b/>
          <w:bCs/>
          <w:szCs w:val="21"/>
        </w:rPr>
        <w:t>5、免申即享日常维护保障</w:t>
      </w:r>
    </w:p>
    <w:p w14:paraId="5937609D">
      <w:pPr>
        <w:spacing w:line="360" w:lineRule="auto"/>
        <w:ind w:firstLine="420"/>
        <w:jc w:val="left"/>
        <w:rPr>
          <w:rFonts w:hint="eastAsia" w:ascii="宋体" w:hAnsi="宋体" w:cs="宋体"/>
          <w:szCs w:val="21"/>
        </w:rPr>
      </w:pPr>
      <w:r>
        <w:rPr>
          <w:rFonts w:hint="eastAsia" w:ascii="宋体" w:hAnsi="宋体" w:cs="宋体"/>
          <w:szCs w:val="21"/>
        </w:rPr>
        <w:t>定期对平台进行维护和技术支持，确保系统的正常运行和数据的安全，保证免申即享功能的可用性和稳定性。</w:t>
      </w:r>
    </w:p>
    <w:p w14:paraId="4098972E">
      <w:pPr>
        <w:spacing w:line="360" w:lineRule="auto"/>
        <w:ind w:firstLine="420"/>
        <w:jc w:val="left"/>
        <w:rPr>
          <w:rFonts w:hint="eastAsia" w:ascii="宋体" w:hAnsi="宋体" w:cs="宋体"/>
          <w:b/>
          <w:bCs/>
          <w:szCs w:val="21"/>
        </w:rPr>
      </w:pPr>
      <w:r>
        <w:rPr>
          <w:rFonts w:hint="eastAsia" w:ascii="宋体" w:hAnsi="宋体" w:cs="宋体"/>
          <w:b/>
          <w:bCs/>
          <w:szCs w:val="21"/>
        </w:rPr>
        <w:t>6、“随申办”市民云旗舰店运维</w:t>
      </w:r>
    </w:p>
    <w:p w14:paraId="7CEE9CCA">
      <w:pPr>
        <w:spacing w:line="360" w:lineRule="auto"/>
        <w:ind w:firstLine="420"/>
        <w:jc w:val="left"/>
        <w:rPr>
          <w:rFonts w:hint="eastAsia" w:ascii="宋体" w:hAnsi="宋体" w:cs="宋体"/>
          <w:szCs w:val="21"/>
        </w:rPr>
      </w:pPr>
      <w:r>
        <w:rPr>
          <w:rFonts w:hint="eastAsia" w:ascii="宋体" w:hAnsi="宋体" w:cs="宋体"/>
          <w:szCs w:val="21"/>
        </w:rPr>
        <w:t>（1）信息化系统运维</w:t>
      </w:r>
    </w:p>
    <w:p w14:paraId="5820DE2D">
      <w:pPr>
        <w:spacing w:line="360" w:lineRule="auto"/>
        <w:ind w:firstLine="420"/>
        <w:jc w:val="left"/>
        <w:rPr>
          <w:rFonts w:hint="eastAsia" w:ascii="宋体" w:hAnsi="宋体" w:cs="宋体"/>
          <w:szCs w:val="21"/>
        </w:rPr>
      </w:pPr>
      <w:r>
        <w:rPr>
          <w:rFonts w:hint="eastAsia" w:ascii="宋体" w:hAnsi="宋体" w:cs="宋体"/>
          <w:szCs w:val="21"/>
        </w:rPr>
        <w:t>“随申办”市民云徐汇区旗舰店日常运营提供包括日常巡检服务、机构管理服务以及发现频道资讯管理服务、服务地图运营、巡检服务以及区橱窗运营服务。</w:t>
      </w:r>
    </w:p>
    <w:p w14:paraId="1E1EC27F">
      <w:pPr>
        <w:spacing w:line="360" w:lineRule="auto"/>
        <w:ind w:firstLine="420"/>
        <w:jc w:val="left"/>
        <w:rPr>
          <w:rFonts w:hint="eastAsia" w:ascii="宋体" w:hAnsi="宋体" w:cs="宋体"/>
          <w:szCs w:val="21"/>
        </w:rPr>
      </w:pPr>
      <w:r>
        <w:rPr>
          <w:rFonts w:hint="eastAsia" w:ascii="宋体" w:hAnsi="宋体" w:cs="宋体"/>
          <w:szCs w:val="21"/>
        </w:rPr>
        <w:t>① 日常巡检服务</w:t>
      </w:r>
    </w:p>
    <w:p w14:paraId="55CED9C2">
      <w:pPr>
        <w:spacing w:line="360" w:lineRule="auto"/>
        <w:ind w:firstLine="420"/>
        <w:jc w:val="left"/>
        <w:rPr>
          <w:rFonts w:hint="eastAsia" w:ascii="宋体" w:hAnsi="宋体" w:cs="宋体"/>
          <w:szCs w:val="21"/>
        </w:rPr>
      </w:pPr>
      <w:r>
        <w:rPr>
          <w:rFonts w:hint="eastAsia" w:ascii="宋体" w:hAnsi="宋体" w:cs="宋体"/>
          <w:szCs w:val="21"/>
        </w:rPr>
        <w:t>对旗舰店主页以及各大栏目、模块巡检，旗舰店基础功能进行巡检，保障区主页以及服务的可用性并及时将发现的问题反馈给用户，并提供应急处置办法。</w:t>
      </w:r>
    </w:p>
    <w:p w14:paraId="7A6DA992">
      <w:pPr>
        <w:spacing w:line="360" w:lineRule="auto"/>
        <w:ind w:firstLine="420"/>
        <w:jc w:val="left"/>
        <w:rPr>
          <w:rFonts w:hint="eastAsia" w:ascii="宋体" w:hAnsi="宋体" w:cs="宋体"/>
          <w:szCs w:val="21"/>
        </w:rPr>
      </w:pPr>
      <w:r>
        <w:rPr>
          <w:rFonts w:hint="eastAsia" w:ascii="宋体" w:hAnsi="宋体" w:cs="宋体"/>
          <w:szCs w:val="21"/>
        </w:rPr>
        <w:t>② 机构管理服务</w:t>
      </w:r>
    </w:p>
    <w:p w14:paraId="1786D684">
      <w:pPr>
        <w:spacing w:line="360" w:lineRule="auto"/>
        <w:ind w:firstLine="420"/>
        <w:jc w:val="left"/>
        <w:rPr>
          <w:rFonts w:hint="eastAsia" w:ascii="宋体" w:hAnsi="宋体" w:cs="宋体"/>
          <w:szCs w:val="21"/>
        </w:rPr>
      </w:pPr>
      <w:r>
        <w:rPr>
          <w:rFonts w:hint="eastAsia" w:ascii="宋体" w:hAnsi="宋体" w:cs="宋体"/>
          <w:szCs w:val="21"/>
        </w:rPr>
        <w:t>通过对服务机构系统化的发布管理与日常维护等，确保机构信息精准、服务可及、数据鲜活。</w:t>
      </w:r>
    </w:p>
    <w:p w14:paraId="69F38F6C">
      <w:pPr>
        <w:spacing w:line="360" w:lineRule="auto"/>
        <w:ind w:firstLine="420"/>
        <w:jc w:val="left"/>
        <w:rPr>
          <w:rFonts w:hint="eastAsia" w:ascii="宋体" w:hAnsi="宋体" w:cs="宋体"/>
          <w:szCs w:val="21"/>
        </w:rPr>
      </w:pPr>
      <w:r>
        <w:rPr>
          <w:rFonts w:hint="eastAsia" w:ascii="宋体" w:hAnsi="宋体" w:cs="宋体"/>
          <w:szCs w:val="21"/>
        </w:rPr>
        <w:t>③ 发现频道资讯管理</w:t>
      </w:r>
    </w:p>
    <w:p w14:paraId="19808BEC">
      <w:pPr>
        <w:spacing w:line="360" w:lineRule="auto"/>
        <w:ind w:firstLine="420"/>
        <w:jc w:val="left"/>
        <w:rPr>
          <w:rFonts w:hint="eastAsia" w:ascii="宋体" w:hAnsi="宋体" w:cs="宋体"/>
          <w:szCs w:val="21"/>
        </w:rPr>
      </w:pPr>
      <w:r>
        <w:rPr>
          <w:rFonts w:hint="eastAsia" w:ascii="宋体" w:hAnsi="宋体" w:cs="宋体"/>
          <w:szCs w:val="21"/>
        </w:rPr>
        <w:t>为“随申办”APP市级服务平台的“发现”频道橱窗位提供资讯技术对接和发布管理服务。</w:t>
      </w:r>
    </w:p>
    <w:p w14:paraId="5974D9EC">
      <w:pPr>
        <w:spacing w:line="360" w:lineRule="auto"/>
        <w:ind w:firstLine="420"/>
        <w:jc w:val="left"/>
        <w:rPr>
          <w:rFonts w:hint="eastAsia" w:ascii="宋体" w:hAnsi="宋体" w:cs="宋体"/>
          <w:szCs w:val="21"/>
        </w:rPr>
      </w:pPr>
      <w:r>
        <w:rPr>
          <w:rFonts w:hint="eastAsia" w:ascii="宋体" w:hAnsi="宋体" w:cs="宋体"/>
          <w:szCs w:val="21"/>
        </w:rPr>
        <w:t>④ 服务地图运维</w:t>
      </w:r>
    </w:p>
    <w:p w14:paraId="288CE55A">
      <w:pPr>
        <w:spacing w:line="360" w:lineRule="auto"/>
        <w:ind w:firstLine="420"/>
        <w:jc w:val="left"/>
        <w:rPr>
          <w:rFonts w:hint="eastAsia" w:ascii="宋体" w:hAnsi="宋体" w:cs="宋体"/>
          <w:szCs w:val="21"/>
        </w:rPr>
      </w:pPr>
      <w:r>
        <w:rPr>
          <w:rFonts w:hint="eastAsia" w:ascii="宋体" w:hAnsi="宋体" w:cs="宋体"/>
          <w:szCs w:val="21"/>
        </w:rPr>
        <w:t>通过对服务机构系统化的发布管理与日常维护等，确保地图上机构信息以及点位精准、服务可及、数据鲜活。</w:t>
      </w:r>
    </w:p>
    <w:p w14:paraId="7995590F">
      <w:pPr>
        <w:spacing w:line="360" w:lineRule="auto"/>
        <w:ind w:firstLine="420"/>
        <w:jc w:val="left"/>
        <w:rPr>
          <w:rFonts w:hint="eastAsia" w:ascii="宋体" w:hAnsi="宋体" w:cs="宋体"/>
          <w:szCs w:val="21"/>
        </w:rPr>
      </w:pPr>
      <w:r>
        <w:rPr>
          <w:rFonts w:hint="eastAsia" w:ascii="宋体" w:hAnsi="宋体" w:cs="宋体"/>
          <w:szCs w:val="21"/>
        </w:rPr>
        <w:t>⑤ 区橱窗运维</w:t>
      </w:r>
    </w:p>
    <w:p w14:paraId="3A215A1F">
      <w:pPr>
        <w:spacing w:line="360" w:lineRule="auto"/>
        <w:ind w:firstLine="420"/>
        <w:jc w:val="left"/>
        <w:rPr>
          <w:rFonts w:hint="eastAsia" w:ascii="宋体" w:hAnsi="宋体" w:cs="宋体"/>
          <w:szCs w:val="21"/>
        </w:rPr>
      </w:pPr>
      <w:r>
        <w:rPr>
          <w:rFonts w:hint="eastAsia" w:ascii="宋体" w:hAnsi="宋体" w:cs="宋体"/>
          <w:szCs w:val="21"/>
        </w:rPr>
        <w:t>为“随申办”APP市级服务平台的“发现”频道橱窗位提供徐汇区资讯技术对接和发布管理服务，提供每周7篇发现频道的资讯管理和发布。</w:t>
      </w:r>
    </w:p>
    <w:p w14:paraId="4E86A025">
      <w:pPr>
        <w:spacing w:line="360" w:lineRule="auto"/>
        <w:ind w:firstLine="420"/>
        <w:jc w:val="left"/>
        <w:rPr>
          <w:rFonts w:hint="eastAsia" w:ascii="宋体" w:hAnsi="宋体" w:cs="宋体"/>
          <w:szCs w:val="21"/>
        </w:rPr>
      </w:pPr>
      <w:r>
        <w:rPr>
          <w:rFonts w:hint="eastAsia" w:ascii="宋体" w:hAnsi="宋体" w:cs="宋体"/>
          <w:szCs w:val="21"/>
        </w:rPr>
        <w:t>（2）基础设施系统运维</w:t>
      </w:r>
    </w:p>
    <w:p w14:paraId="3FF13207">
      <w:pPr>
        <w:spacing w:line="360" w:lineRule="auto"/>
        <w:ind w:firstLine="420"/>
        <w:jc w:val="left"/>
        <w:rPr>
          <w:rFonts w:hint="eastAsia" w:ascii="宋体" w:hAnsi="宋体" w:cs="宋体"/>
          <w:szCs w:val="21"/>
        </w:rPr>
      </w:pPr>
      <w:r>
        <w:rPr>
          <w:rFonts w:hint="eastAsia" w:ascii="宋体" w:hAnsi="宋体" w:cs="宋体"/>
          <w:szCs w:val="21"/>
        </w:rPr>
        <w:t>提供数据库服务、后台服务器、前端服务器系统运行环境的运维保障、巡检服务，每月巡检一次。</w:t>
      </w:r>
    </w:p>
    <w:p w14:paraId="76D917D2">
      <w:pPr>
        <w:spacing w:line="360" w:lineRule="auto"/>
        <w:ind w:firstLine="420"/>
        <w:jc w:val="left"/>
        <w:rPr>
          <w:rFonts w:hint="eastAsia" w:ascii="宋体" w:hAnsi="宋体" w:cs="宋体"/>
          <w:b/>
          <w:bCs/>
          <w:szCs w:val="21"/>
        </w:rPr>
      </w:pPr>
      <w:r>
        <w:rPr>
          <w:rFonts w:hint="eastAsia" w:ascii="宋体" w:hAnsi="宋体" w:cs="宋体"/>
          <w:b/>
          <w:bCs/>
          <w:szCs w:val="21"/>
        </w:rPr>
        <w:t>7、智能问答知识库巡检</w:t>
      </w:r>
    </w:p>
    <w:p w14:paraId="484735F0">
      <w:pPr>
        <w:spacing w:line="360" w:lineRule="auto"/>
        <w:ind w:firstLine="420"/>
        <w:jc w:val="left"/>
        <w:rPr>
          <w:rFonts w:hint="eastAsia" w:ascii="宋体" w:hAnsi="宋体" w:cs="宋体"/>
          <w:szCs w:val="21"/>
        </w:rPr>
      </w:pPr>
      <w:r>
        <w:rPr>
          <w:rFonts w:hint="eastAsia" w:ascii="宋体" w:hAnsi="宋体" w:cs="宋体"/>
          <w:szCs w:val="21"/>
        </w:rPr>
        <w:t>要求确保现有各业务功能模块稳定运行，涵盖仪表盘数据看板、对话记录管理、关键词配置、意图库维护、未知语料标注等核心业务功能，以及用户权限管理、角色分配等基础管理模块，保障前端页面交互流畅、后端数据处理高效稳定。同时要求服务方具备模型运营支撑能力，支持通过系统页面完成语料标注与模型训练任务，并提供在线单条测试与批量回归测试功能，便于运维团队在模型迭代后及时验证意图识别准确率及对话流程逻辑的符合性。</w:t>
      </w:r>
    </w:p>
    <w:p w14:paraId="6EDD07F3">
      <w:pPr>
        <w:spacing w:line="360" w:lineRule="auto"/>
        <w:ind w:firstLine="420"/>
        <w:jc w:val="left"/>
        <w:rPr>
          <w:rFonts w:hint="eastAsia" w:ascii="宋体" w:hAnsi="宋体" w:cs="宋体"/>
          <w:szCs w:val="21"/>
        </w:rPr>
      </w:pPr>
      <w:r>
        <w:rPr>
          <w:rFonts w:hint="eastAsia" w:ascii="宋体" w:hAnsi="宋体" w:cs="宋体"/>
          <w:szCs w:val="21"/>
        </w:rPr>
        <w:t>每周两次服务器巡检，内容包括如下：</w:t>
      </w:r>
    </w:p>
    <w:p w14:paraId="499255BE">
      <w:pPr>
        <w:spacing w:line="360" w:lineRule="auto"/>
        <w:ind w:firstLine="420"/>
        <w:jc w:val="left"/>
        <w:rPr>
          <w:rFonts w:hint="eastAsia" w:ascii="宋体" w:hAnsi="宋体" w:cs="宋体"/>
          <w:szCs w:val="21"/>
        </w:rPr>
      </w:pPr>
      <w:r>
        <w:rPr>
          <w:rFonts w:hint="eastAsia" w:ascii="宋体" w:hAnsi="宋体" w:cs="宋体"/>
          <w:szCs w:val="21"/>
        </w:rPr>
        <w:t>① 云服务器巡检，资源使用率是否处于安全水位线；</w:t>
      </w:r>
    </w:p>
    <w:p w14:paraId="433B4B05">
      <w:pPr>
        <w:spacing w:line="360" w:lineRule="auto"/>
        <w:ind w:firstLine="420"/>
        <w:jc w:val="left"/>
        <w:rPr>
          <w:rFonts w:hint="eastAsia" w:ascii="宋体" w:hAnsi="宋体" w:cs="宋体"/>
          <w:szCs w:val="21"/>
        </w:rPr>
      </w:pPr>
      <w:r>
        <w:rPr>
          <w:rFonts w:hint="eastAsia" w:ascii="宋体" w:hAnsi="宋体" w:cs="宋体"/>
          <w:szCs w:val="21"/>
        </w:rPr>
        <w:t>② 数据库巡检，备份数据oss存储是否正常；</w:t>
      </w:r>
    </w:p>
    <w:p w14:paraId="3195AD76">
      <w:pPr>
        <w:spacing w:line="360" w:lineRule="auto"/>
        <w:ind w:firstLine="420"/>
        <w:jc w:val="left"/>
        <w:rPr>
          <w:rFonts w:hint="eastAsia" w:ascii="宋体" w:hAnsi="宋体" w:cs="宋体"/>
          <w:szCs w:val="21"/>
        </w:rPr>
      </w:pPr>
      <w:r>
        <w:rPr>
          <w:rFonts w:hint="eastAsia" w:ascii="宋体" w:hAnsi="宋体" w:cs="宋体"/>
          <w:szCs w:val="21"/>
        </w:rPr>
        <w:t>③ 应用容器和网络巡检，容器状态是否正常，平台功能是否正常；</w:t>
      </w:r>
    </w:p>
    <w:p w14:paraId="7E998E0B">
      <w:pPr>
        <w:spacing w:line="360" w:lineRule="auto"/>
        <w:ind w:firstLine="420"/>
        <w:jc w:val="left"/>
        <w:rPr>
          <w:rFonts w:hint="eastAsia" w:ascii="宋体" w:hAnsi="宋体" w:cs="宋体"/>
          <w:szCs w:val="21"/>
        </w:rPr>
      </w:pPr>
      <w:r>
        <w:rPr>
          <w:rFonts w:hint="eastAsia" w:ascii="宋体" w:hAnsi="宋体" w:cs="宋体"/>
          <w:szCs w:val="21"/>
        </w:rPr>
        <w:t>④ ES索引备份巡检，查看索引备份记录是否正常，短期云服务器备份日志，长期oss备份日志；</w:t>
      </w:r>
    </w:p>
    <w:p w14:paraId="2FD1FFF9">
      <w:pPr>
        <w:spacing w:line="360" w:lineRule="auto"/>
        <w:ind w:firstLine="420"/>
        <w:jc w:val="left"/>
        <w:rPr>
          <w:rFonts w:hint="eastAsia" w:ascii="宋体" w:hAnsi="宋体" w:cs="宋体"/>
          <w:szCs w:val="21"/>
        </w:rPr>
      </w:pPr>
      <w:r>
        <w:rPr>
          <w:rFonts w:hint="eastAsia" w:ascii="宋体" w:hAnsi="宋体" w:cs="宋体"/>
          <w:szCs w:val="21"/>
        </w:rPr>
        <w:t>⑤ ASR服务巡检，查看ASR服务是否正常。</w:t>
      </w:r>
    </w:p>
    <w:p w14:paraId="3C513934">
      <w:pPr>
        <w:spacing w:line="360" w:lineRule="auto"/>
        <w:jc w:val="left"/>
        <w:rPr>
          <w:rFonts w:hint="eastAsia" w:ascii="宋体" w:hAnsi="宋体" w:cs="宋体"/>
          <w:b/>
          <w:bCs/>
          <w:szCs w:val="21"/>
        </w:rPr>
      </w:pPr>
      <w:r>
        <w:rPr>
          <w:rFonts w:hint="eastAsia" w:ascii="宋体" w:hAnsi="宋体" w:cs="宋体"/>
          <w:b/>
          <w:bCs/>
          <w:szCs w:val="21"/>
        </w:rPr>
        <w:t>（二）数据治理服务</w:t>
      </w:r>
    </w:p>
    <w:p w14:paraId="04E16F44">
      <w:pPr>
        <w:spacing w:line="360" w:lineRule="auto"/>
        <w:ind w:firstLine="420"/>
        <w:jc w:val="left"/>
        <w:rPr>
          <w:rFonts w:hint="eastAsia" w:ascii="宋体" w:hAnsi="宋体" w:cs="宋体"/>
          <w:szCs w:val="21"/>
        </w:rPr>
      </w:pPr>
      <w:r>
        <w:rPr>
          <w:rFonts w:hint="eastAsia" w:ascii="宋体" w:hAnsi="宋体" w:cs="宋体"/>
          <w:szCs w:val="21"/>
        </w:rPr>
        <w:t>对免申即享、智能问答知识库、动态知识库、区电子材料库、区电子证照制证归集平台、统一综窗数控中心提供数据治理服务。对所运维设备和应用进行数据采集并进行分析。对运维过程中发现业务流程结合数据分析给用户提供适时的优化方案。</w:t>
      </w:r>
    </w:p>
    <w:p w14:paraId="582046FD">
      <w:pPr>
        <w:spacing w:line="360" w:lineRule="auto"/>
        <w:ind w:firstLine="420"/>
        <w:jc w:val="left"/>
        <w:rPr>
          <w:rFonts w:hint="eastAsia" w:ascii="宋体" w:hAnsi="宋体" w:cs="宋体"/>
          <w:b/>
          <w:bCs/>
          <w:szCs w:val="21"/>
        </w:rPr>
      </w:pPr>
      <w:r>
        <w:rPr>
          <w:rFonts w:hint="eastAsia" w:ascii="宋体" w:hAnsi="宋体" w:cs="宋体"/>
          <w:b/>
          <w:bCs/>
          <w:szCs w:val="21"/>
        </w:rPr>
        <w:t>1、免申即享数据治理</w:t>
      </w:r>
    </w:p>
    <w:p w14:paraId="008E2FE8">
      <w:pPr>
        <w:spacing w:line="360" w:lineRule="auto"/>
        <w:ind w:firstLine="420"/>
        <w:jc w:val="left"/>
        <w:rPr>
          <w:rFonts w:hint="eastAsia" w:ascii="宋体" w:hAnsi="宋体" w:cs="宋体"/>
          <w:szCs w:val="21"/>
        </w:rPr>
      </w:pPr>
      <w:r>
        <w:rPr>
          <w:rFonts w:hint="eastAsia" w:ascii="宋体" w:hAnsi="宋体" w:cs="宋体"/>
          <w:szCs w:val="21"/>
        </w:rPr>
        <w:t>对徐汇区已有29项免申即享服务进行常态化技术服务，保障免申即享服务正常、稳定使用。服务内容包括：免申即享基本属性优化、免申即享办件信息优化。</w:t>
      </w:r>
    </w:p>
    <w:p w14:paraId="17557AE7">
      <w:pPr>
        <w:spacing w:line="360" w:lineRule="auto"/>
        <w:ind w:firstLine="420"/>
        <w:jc w:val="left"/>
        <w:rPr>
          <w:rFonts w:hint="eastAsia" w:ascii="宋体" w:hAnsi="宋体" w:cs="宋体"/>
          <w:szCs w:val="21"/>
        </w:rPr>
      </w:pPr>
      <w:r>
        <w:rPr>
          <w:rFonts w:hint="eastAsia" w:ascii="宋体" w:hAnsi="宋体" w:cs="宋体"/>
          <w:szCs w:val="21"/>
        </w:rPr>
        <w:t>（1）免申即享基本属性优化</w:t>
      </w:r>
    </w:p>
    <w:p w14:paraId="3C6A6CEF">
      <w:pPr>
        <w:spacing w:line="360" w:lineRule="auto"/>
        <w:ind w:firstLine="420"/>
        <w:jc w:val="left"/>
        <w:rPr>
          <w:rFonts w:hint="eastAsia" w:ascii="宋体" w:hAnsi="宋体" w:cs="宋体"/>
          <w:szCs w:val="21"/>
        </w:rPr>
      </w:pPr>
      <w:r>
        <w:rPr>
          <w:rFonts w:hint="eastAsia" w:ascii="宋体" w:hAnsi="宋体" w:cs="宋体"/>
          <w:szCs w:val="21"/>
        </w:rPr>
        <w:t>针对徐汇区已有29项免申即享服务内容，对其享受条件规则进行定期更新与配置。</w:t>
      </w:r>
    </w:p>
    <w:p w14:paraId="3A6D766C">
      <w:pPr>
        <w:spacing w:line="360" w:lineRule="auto"/>
        <w:ind w:firstLine="420"/>
        <w:jc w:val="left"/>
        <w:rPr>
          <w:rFonts w:hint="eastAsia" w:ascii="宋体" w:hAnsi="宋体" w:cs="宋体"/>
          <w:szCs w:val="21"/>
        </w:rPr>
      </w:pPr>
      <w:r>
        <w:rPr>
          <w:rFonts w:hint="eastAsia" w:ascii="宋体" w:hAnsi="宋体" w:cs="宋体"/>
          <w:szCs w:val="21"/>
        </w:rPr>
        <w:t>（2）免申即享办件信息优化</w:t>
      </w:r>
    </w:p>
    <w:p w14:paraId="4B90F126">
      <w:pPr>
        <w:spacing w:line="360" w:lineRule="auto"/>
        <w:ind w:firstLine="420"/>
        <w:jc w:val="left"/>
        <w:rPr>
          <w:rFonts w:hint="eastAsia" w:ascii="宋体" w:hAnsi="宋体" w:cs="宋体"/>
          <w:szCs w:val="21"/>
        </w:rPr>
      </w:pPr>
      <w:r>
        <w:rPr>
          <w:rFonts w:hint="eastAsia" w:ascii="宋体" w:hAnsi="宋体" w:cs="宋体"/>
          <w:szCs w:val="21"/>
        </w:rPr>
        <w:t>针对徐汇区已有29项免申即享服务内容，对其推送结果进行定期更新与配置，检查推送结果的内容是否正确。</w:t>
      </w:r>
    </w:p>
    <w:p w14:paraId="5336C497">
      <w:pPr>
        <w:spacing w:line="360" w:lineRule="auto"/>
        <w:ind w:firstLine="420"/>
        <w:jc w:val="left"/>
        <w:rPr>
          <w:rFonts w:hint="eastAsia" w:ascii="宋体" w:hAnsi="宋体" w:cs="宋体"/>
          <w:b/>
          <w:bCs/>
          <w:szCs w:val="21"/>
        </w:rPr>
      </w:pPr>
      <w:r>
        <w:rPr>
          <w:rFonts w:hint="eastAsia" w:ascii="宋体" w:hAnsi="宋体" w:cs="宋体"/>
          <w:b/>
          <w:bCs/>
          <w:szCs w:val="21"/>
        </w:rPr>
        <w:t>2、智能问答知识库数据治理</w:t>
      </w:r>
    </w:p>
    <w:p w14:paraId="5C38C1E0">
      <w:pPr>
        <w:spacing w:line="360" w:lineRule="auto"/>
        <w:ind w:firstLine="420"/>
        <w:jc w:val="left"/>
        <w:rPr>
          <w:rFonts w:hint="eastAsia" w:ascii="宋体" w:hAnsi="宋体" w:cs="宋体"/>
          <w:szCs w:val="21"/>
        </w:rPr>
      </w:pPr>
      <w:r>
        <w:rPr>
          <w:rFonts w:hint="eastAsia" w:ascii="宋体" w:hAnsi="宋体" w:cs="宋体"/>
          <w:szCs w:val="21"/>
        </w:rPr>
        <w:t>以周或双周为运营周期（依据法人业务咨询量动态调节），持续开展数据复核清洗、无效样本剔除、意图标注优化、模型定期重训及线上效果评估等治理工作。每轮治理先对对话记录进行质量审查，剔除噪音语料；再针对识别错误案例归因补全，优化标注体系；继而基于治理数据重训模型，更新参数适配语义变化；最后通过线上指标追踪验证优化成效。上述动作按周期滚动执行，形成"治理—训练—评估"闭环，确保机器人识别能力随业务语义演变持续进化，解决率长期维持较高水准。</w:t>
      </w:r>
    </w:p>
    <w:p w14:paraId="0D9A1C8A">
      <w:pPr>
        <w:spacing w:line="360" w:lineRule="auto"/>
        <w:ind w:firstLine="420"/>
        <w:jc w:val="left"/>
        <w:rPr>
          <w:rFonts w:hint="eastAsia" w:ascii="宋体" w:hAnsi="宋体" w:cs="宋体"/>
          <w:szCs w:val="21"/>
        </w:rPr>
      </w:pPr>
      <w:r>
        <w:rPr>
          <w:rFonts w:hint="eastAsia" w:ascii="宋体" w:hAnsi="宋体" w:cs="宋体"/>
          <w:szCs w:val="21"/>
        </w:rPr>
        <w:t>（1）知识优化</w:t>
      </w:r>
    </w:p>
    <w:p w14:paraId="33A95C50">
      <w:pPr>
        <w:spacing w:line="360" w:lineRule="auto"/>
        <w:ind w:firstLine="420"/>
        <w:jc w:val="left"/>
        <w:rPr>
          <w:rFonts w:hint="eastAsia" w:ascii="宋体" w:hAnsi="宋体" w:cs="宋体"/>
          <w:szCs w:val="21"/>
        </w:rPr>
      </w:pPr>
      <w:r>
        <w:rPr>
          <w:rFonts w:hint="eastAsia" w:ascii="宋体" w:hAnsi="宋体" w:cs="宋体"/>
          <w:szCs w:val="21"/>
        </w:rPr>
        <w:t>基于生产环境中的实际对话数据，结合意图技能定义与预设的对话逻辑，开展知识体系的梳理与优化，作为机器人构建的起点。</w:t>
      </w:r>
    </w:p>
    <w:p w14:paraId="39EBB995">
      <w:pPr>
        <w:spacing w:line="360" w:lineRule="auto"/>
        <w:ind w:firstLine="420"/>
        <w:jc w:val="left"/>
        <w:rPr>
          <w:rFonts w:hint="eastAsia" w:ascii="宋体" w:hAnsi="宋体" w:cs="宋体"/>
          <w:szCs w:val="21"/>
        </w:rPr>
      </w:pPr>
      <w:r>
        <w:rPr>
          <w:rFonts w:hint="eastAsia" w:ascii="宋体" w:hAnsi="宋体" w:cs="宋体"/>
          <w:szCs w:val="21"/>
        </w:rPr>
        <w:t>（2）模型训练</w:t>
      </w:r>
    </w:p>
    <w:p w14:paraId="77EEC89C">
      <w:pPr>
        <w:spacing w:line="360" w:lineRule="auto"/>
        <w:ind w:firstLine="420"/>
        <w:jc w:val="left"/>
        <w:rPr>
          <w:rFonts w:hint="eastAsia" w:ascii="宋体" w:hAnsi="宋体" w:cs="宋体"/>
          <w:szCs w:val="21"/>
        </w:rPr>
      </w:pPr>
      <w:r>
        <w:rPr>
          <w:rFonts w:hint="eastAsia" w:ascii="宋体" w:hAnsi="宋体" w:cs="宋体"/>
          <w:szCs w:val="21"/>
        </w:rPr>
        <w:t>利用知识建设过程中沉淀的意图标注数据，进行语义理解模型的训练与优化，提升机器人对用户意图的识别准确率。</w:t>
      </w:r>
    </w:p>
    <w:p w14:paraId="17D1ED9D">
      <w:pPr>
        <w:spacing w:line="360" w:lineRule="auto"/>
        <w:ind w:firstLine="420"/>
        <w:jc w:val="left"/>
        <w:rPr>
          <w:rFonts w:hint="eastAsia" w:ascii="宋体" w:hAnsi="宋体" w:cs="宋体"/>
          <w:szCs w:val="21"/>
        </w:rPr>
      </w:pPr>
      <w:r>
        <w:rPr>
          <w:rFonts w:hint="eastAsia" w:ascii="宋体" w:hAnsi="宋体" w:cs="宋体"/>
          <w:szCs w:val="21"/>
        </w:rPr>
        <w:t>（3）Bot大脑会话逻辑</w:t>
      </w:r>
    </w:p>
    <w:p w14:paraId="3B4F756A">
      <w:pPr>
        <w:spacing w:line="360" w:lineRule="auto"/>
        <w:ind w:firstLine="420"/>
        <w:jc w:val="left"/>
        <w:rPr>
          <w:rFonts w:hint="eastAsia" w:ascii="宋体" w:hAnsi="宋体" w:cs="宋体"/>
          <w:szCs w:val="21"/>
        </w:rPr>
      </w:pPr>
      <w:r>
        <w:rPr>
          <w:rFonts w:hint="eastAsia" w:ascii="宋体" w:hAnsi="宋体" w:cs="宋体"/>
          <w:szCs w:val="21"/>
        </w:rPr>
        <w:t>整合知识建设阶段设计的对话流程与业务知识点，导入机器人系统，实现对会话逻辑的理解与学习，构建具备业务处理能力的智能对话核心。</w:t>
      </w:r>
    </w:p>
    <w:p w14:paraId="4F081D14">
      <w:pPr>
        <w:spacing w:line="360" w:lineRule="auto"/>
        <w:ind w:firstLine="420"/>
        <w:jc w:val="left"/>
        <w:rPr>
          <w:rFonts w:hint="eastAsia" w:ascii="宋体" w:hAnsi="宋体" w:cs="宋体"/>
          <w:szCs w:val="21"/>
        </w:rPr>
      </w:pPr>
      <w:r>
        <w:rPr>
          <w:rFonts w:hint="eastAsia" w:ascii="宋体" w:hAnsi="宋体" w:cs="宋体"/>
          <w:szCs w:val="21"/>
        </w:rPr>
        <w:t>（4）数据记录与分析</w:t>
      </w:r>
    </w:p>
    <w:p w14:paraId="07263F3C">
      <w:pPr>
        <w:spacing w:line="360" w:lineRule="auto"/>
        <w:ind w:firstLine="420"/>
        <w:jc w:val="left"/>
        <w:rPr>
          <w:rFonts w:hint="eastAsia" w:ascii="宋体" w:hAnsi="宋体" w:cs="宋体"/>
          <w:szCs w:val="21"/>
        </w:rPr>
      </w:pPr>
      <w:r>
        <w:rPr>
          <w:rFonts w:hint="eastAsia" w:ascii="宋体" w:hAnsi="宋体" w:cs="宋体"/>
          <w:szCs w:val="21"/>
        </w:rPr>
        <w:t>机器人在人机交互过程中自动记录完整的对话日志，并通过数据分析识别短板与用户需求，持续反哺知识优化与模型迭代，不断提升意图识别率、会话完成率及问题解决率。</w:t>
      </w:r>
    </w:p>
    <w:p w14:paraId="7892D0D8">
      <w:pPr>
        <w:spacing w:line="360" w:lineRule="auto"/>
        <w:ind w:firstLine="420"/>
        <w:jc w:val="left"/>
        <w:rPr>
          <w:rFonts w:hint="eastAsia" w:ascii="宋体" w:hAnsi="宋体" w:cs="宋体"/>
          <w:b/>
          <w:bCs/>
          <w:szCs w:val="21"/>
        </w:rPr>
      </w:pPr>
      <w:r>
        <w:rPr>
          <w:rFonts w:hint="eastAsia" w:ascii="宋体" w:hAnsi="宋体" w:cs="宋体"/>
          <w:b/>
          <w:bCs/>
          <w:szCs w:val="21"/>
        </w:rPr>
        <w:t>3、动态知识库</w:t>
      </w:r>
    </w:p>
    <w:p w14:paraId="2228A37D">
      <w:pPr>
        <w:spacing w:line="360" w:lineRule="auto"/>
        <w:ind w:firstLine="420"/>
        <w:jc w:val="left"/>
        <w:rPr>
          <w:rFonts w:hint="eastAsia" w:ascii="宋体" w:hAnsi="宋体" w:cs="宋体"/>
          <w:szCs w:val="21"/>
        </w:rPr>
      </w:pPr>
      <w:r>
        <w:rPr>
          <w:rFonts w:hint="eastAsia" w:ascii="宋体" w:hAnsi="宋体" w:cs="宋体"/>
          <w:szCs w:val="21"/>
        </w:rPr>
        <w:t>事项办事指南及材料更新，字段匹配规则维护。</w:t>
      </w:r>
    </w:p>
    <w:p w14:paraId="383F9C6D">
      <w:pPr>
        <w:spacing w:line="360" w:lineRule="auto"/>
        <w:ind w:firstLine="420"/>
        <w:jc w:val="left"/>
        <w:rPr>
          <w:rFonts w:hint="eastAsia" w:ascii="宋体" w:hAnsi="宋体" w:cs="宋体"/>
          <w:szCs w:val="21"/>
        </w:rPr>
      </w:pPr>
      <w:r>
        <w:rPr>
          <w:rFonts w:hint="eastAsia" w:ascii="宋体" w:hAnsi="宋体" w:cs="宋体"/>
          <w:szCs w:val="21"/>
        </w:rPr>
        <w:t>（1）事项办事指南及材料更新</w:t>
      </w:r>
    </w:p>
    <w:p w14:paraId="323F4441">
      <w:pPr>
        <w:spacing w:line="360" w:lineRule="auto"/>
        <w:ind w:firstLine="420"/>
        <w:jc w:val="left"/>
        <w:rPr>
          <w:rFonts w:hint="eastAsia" w:ascii="宋体" w:hAnsi="宋体" w:cs="宋体"/>
          <w:szCs w:val="21"/>
        </w:rPr>
      </w:pPr>
      <w:r>
        <w:rPr>
          <w:rFonts w:hint="eastAsia" w:ascii="宋体" w:hAnsi="宋体" w:cs="宋体"/>
          <w:szCs w:val="21"/>
        </w:rPr>
        <w:t>统一事项编码配置、在线申报配置、受理表单配置、申请材料配置、业务流程配置、用户权限配置。</w:t>
      </w:r>
    </w:p>
    <w:p w14:paraId="08629C76">
      <w:pPr>
        <w:spacing w:line="360" w:lineRule="auto"/>
        <w:ind w:firstLine="420"/>
        <w:jc w:val="left"/>
        <w:rPr>
          <w:rFonts w:hint="eastAsia" w:ascii="宋体" w:hAnsi="宋体" w:cs="宋体"/>
          <w:szCs w:val="21"/>
        </w:rPr>
      </w:pPr>
      <w:r>
        <w:rPr>
          <w:rFonts w:hint="eastAsia" w:ascii="宋体" w:hAnsi="宋体" w:cs="宋体"/>
          <w:szCs w:val="21"/>
        </w:rPr>
        <w:t>（2）字段匹配规则维护</w:t>
      </w:r>
    </w:p>
    <w:p w14:paraId="602D7539">
      <w:pPr>
        <w:spacing w:line="360" w:lineRule="auto"/>
        <w:ind w:firstLine="420"/>
        <w:jc w:val="left"/>
        <w:rPr>
          <w:rFonts w:hint="eastAsia" w:ascii="宋体" w:hAnsi="宋体" w:cs="宋体"/>
          <w:szCs w:val="21"/>
        </w:rPr>
      </w:pPr>
      <w:r>
        <w:rPr>
          <w:rFonts w:hint="eastAsia" w:ascii="宋体" w:hAnsi="宋体" w:cs="宋体"/>
          <w:szCs w:val="21"/>
        </w:rPr>
        <w:t>基本信息规则管理、过程信息规则管理、结果信息规则管理、材料信息规则管理。</w:t>
      </w:r>
    </w:p>
    <w:p w14:paraId="634EDE30">
      <w:pPr>
        <w:spacing w:line="360" w:lineRule="auto"/>
        <w:ind w:firstLine="420"/>
        <w:jc w:val="left"/>
        <w:rPr>
          <w:rFonts w:hint="eastAsia" w:ascii="宋体" w:hAnsi="宋体" w:cs="宋体"/>
          <w:b/>
          <w:bCs/>
          <w:szCs w:val="21"/>
        </w:rPr>
      </w:pPr>
      <w:r>
        <w:rPr>
          <w:rFonts w:hint="eastAsia" w:ascii="宋体" w:hAnsi="宋体" w:cs="宋体"/>
          <w:b/>
          <w:bCs/>
          <w:szCs w:val="21"/>
        </w:rPr>
        <w:t>4、区电子材料库</w:t>
      </w:r>
    </w:p>
    <w:p w14:paraId="11873F46">
      <w:pPr>
        <w:spacing w:line="360" w:lineRule="auto"/>
        <w:ind w:firstLine="420"/>
        <w:jc w:val="left"/>
        <w:rPr>
          <w:rFonts w:hint="eastAsia" w:ascii="宋体" w:hAnsi="宋体" w:cs="宋体"/>
          <w:szCs w:val="21"/>
        </w:rPr>
      </w:pPr>
      <w:r>
        <w:rPr>
          <w:rFonts w:hint="eastAsia" w:ascii="宋体" w:hAnsi="宋体" w:cs="宋体"/>
          <w:szCs w:val="21"/>
        </w:rPr>
        <w:t>（1）电子材料补充归集</w:t>
      </w:r>
    </w:p>
    <w:p w14:paraId="2736959D">
      <w:pPr>
        <w:spacing w:line="360" w:lineRule="auto"/>
        <w:ind w:firstLine="420"/>
        <w:jc w:val="left"/>
        <w:rPr>
          <w:rFonts w:hint="eastAsia" w:ascii="宋体" w:hAnsi="宋体" w:cs="宋体"/>
          <w:szCs w:val="21"/>
        </w:rPr>
      </w:pPr>
      <w:r>
        <w:rPr>
          <w:rFonts w:hint="eastAsia" w:ascii="宋体" w:hAnsi="宋体" w:cs="宋体"/>
          <w:szCs w:val="21"/>
        </w:rPr>
        <w:t>对应目录未归集电子材料，或电子材料如归集不规范或不清晰，则提供补充或重新归集服务。</w:t>
      </w:r>
    </w:p>
    <w:p w14:paraId="01C24F34">
      <w:pPr>
        <w:spacing w:line="360" w:lineRule="auto"/>
        <w:ind w:firstLine="420"/>
        <w:jc w:val="left"/>
        <w:rPr>
          <w:rFonts w:hint="eastAsia" w:ascii="宋体" w:hAnsi="宋体" w:cs="宋体"/>
          <w:szCs w:val="21"/>
        </w:rPr>
      </w:pPr>
      <w:r>
        <w:rPr>
          <w:rFonts w:hint="eastAsia" w:ascii="宋体" w:hAnsi="宋体" w:cs="宋体"/>
          <w:szCs w:val="21"/>
        </w:rPr>
        <w:t>（2）电子材料内容修正</w:t>
      </w:r>
    </w:p>
    <w:p w14:paraId="148C0324">
      <w:pPr>
        <w:spacing w:line="360" w:lineRule="auto"/>
        <w:ind w:firstLine="420"/>
        <w:jc w:val="left"/>
        <w:rPr>
          <w:rFonts w:hint="eastAsia" w:ascii="宋体" w:hAnsi="宋体" w:cs="宋体"/>
          <w:szCs w:val="21"/>
        </w:rPr>
      </w:pPr>
      <w:r>
        <w:rPr>
          <w:rFonts w:hint="eastAsia" w:ascii="宋体" w:hAnsi="宋体" w:cs="宋体"/>
          <w:szCs w:val="21"/>
        </w:rPr>
        <w:t>如电子材料结构化信息不规范或有误，则校对电子材料原件内容，并进行修正。</w:t>
      </w:r>
    </w:p>
    <w:p w14:paraId="46273389">
      <w:pPr>
        <w:spacing w:line="360" w:lineRule="auto"/>
        <w:ind w:firstLine="420"/>
        <w:jc w:val="left"/>
        <w:rPr>
          <w:rFonts w:hint="eastAsia" w:ascii="宋体" w:hAnsi="宋体" w:cs="宋体"/>
          <w:szCs w:val="21"/>
        </w:rPr>
      </w:pPr>
      <w:r>
        <w:rPr>
          <w:rFonts w:hint="eastAsia" w:ascii="宋体" w:hAnsi="宋体" w:cs="宋体"/>
          <w:szCs w:val="21"/>
        </w:rPr>
        <w:t>（3）电子材料补充上链</w:t>
      </w:r>
    </w:p>
    <w:p w14:paraId="7755F598">
      <w:pPr>
        <w:spacing w:line="360" w:lineRule="auto"/>
        <w:ind w:firstLine="420"/>
        <w:jc w:val="left"/>
        <w:rPr>
          <w:rFonts w:hint="eastAsia" w:ascii="宋体" w:hAnsi="宋体" w:cs="宋体"/>
          <w:szCs w:val="21"/>
        </w:rPr>
      </w:pPr>
      <w:r>
        <w:rPr>
          <w:rFonts w:hint="eastAsia" w:ascii="宋体" w:hAnsi="宋体" w:cs="宋体"/>
          <w:szCs w:val="21"/>
        </w:rPr>
        <w:t>发现已归集但未上链的电子材料，则检查未上链原因，并提供重新上链服务。</w:t>
      </w:r>
    </w:p>
    <w:p w14:paraId="6CA3D37B">
      <w:pPr>
        <w:spacing w:line="360" w:lineRule="auto"/>
        <w:ind w:firstLine="420"/>
        <w:jc w:val="left"/>
        <w:rPr>
          <w:rFonts w:hint="eastAsia" w:ascii="宋体" w:hAnsi="宋体" w:cs="宋体"/>
          <w:b/>
          <w:bCs/>
          <w:szCs w:val="21"/>
        </w:rPr>
      </w:pPr>
      <w:r>
        <w:rPr>
          <w:rFonts w:hint="eastAsia" w:ascii="宋体" w:hAnsi="宋体" w:cs="宋体"/>
          <w:b/>
          <w:bCs/>
          <w:szCs w:val="21"/>
        </w:rPr>
        <w:t>5、区电子证照制证归集平台</w:t>
      </w:r>
    </w:p>
    <w:p w14:paraId="4CF50A4B">
      <w:pPr>
        <w:spacing w:line="360" w:lineRule="auto"/>
        <w:ind w:firstLine="420"/>
        <w:jc w:val="left"/>
        <w:rPr>
          <w:rFonts w:hint="eastAsia" w:ascii="宋体" w:hAnsi="宋体" w:cs="宋体"/>
          <w:szCs w:val="21"/>
        </w:rPr>
      </w:pPr>
      <w:r>
        <w:rPr>
          <w:rFonts w:hint="eastAsia" w:ascii="宋体" w:hAnsi="宋体" w:cs="宋体"/>
          <w:szCs w:val="21"/>
        </w:rPr>
        <w:t>（1）电子证照应用配置</w:t>
      </w:r>
    </w:p>
    <w:p w14:paraId="16D5444D">
      <w:pPr>
        <w:spacing w:line="360" w:lineRule="auto"/>
        <w:ind w:firstLine="420"/>
        <w:jc w:val="left"/>
        <w:rPr>
          <w:rFonts w:hint="eastAsia" w:ascii="宋体" w:hAnsi="宋体" w:cs="宋体"/>
          <w:szCs w:val="21"/>
        </w:rPr>
      </w:pPr>
      <w:r>
        <w:rPr>
          <w:rFonts w:hint="eastAsia" w:ascii="宋体" w:hAnsi="宋体" w:cs="宋体"/>
          <w:szCs w:val="21"/>
        </w:rPr>
        <w:t>根据区电子证照“用证清单”，对接入的政务服务事项进行配置，实现“已纳入用证清单”材料的免于提交。</w:t>
      </w:r>
    </w:p>
    <w:p w14:paraId="45C6A0A1">
      <w:pPr>
        <w:spacing w:line="360" w:lineRule="auto"/>
        <w:ind w:firstLine="420"/>
        <w:jc w:val="left"/>
        <w:rPr>
          <w:rFonts w:hint="eastAsia" w:ascii="宋体" w:hAnsi="宋体" w:cs="宋体"/>
          <w:b/>
          <w:bCs/>
          <w:szCs w:val="21"/>
        </w:rPr>
      </w:pPr>
      <w:r>
        <w:rPr>
          <w:rFonts w:hint="eastAsia" w:ascii="宋体" w:hAnsi="宋体" w:cs="宋体"/>
          <w:b/>
          <w:bCs/>
          <w:szCs w:val="21"/>
        </w:rPr>
        <w:t>6、统一综窗数控中心</w:t>
      </w:r>
    </w:p>
    <w:p w14:paraId="56B910E3">
      <w:pPr>
        <w:spacing w:line="360" w:lineRule="auto"/>
        <w:ind w:firstLine="420"/>
        <w:jc w:val="left"/>
        <w:rPr>
          <w:rFonts w:hint="eastAsia" w:ascii="宋体" w:hAnsi="宋体" w:cs="宋体"/>
          <w:szCs w:val="21"/>
        </w:rPr>
      </w:pPr>
      <w:r>
        <w:rPr>
          <w:rFonts w:hint="eastAsia" w:ascii="宋体" w:hAnsi="宋体" w:cs="宋体"/>
          <w:szCs w:val="21"/>
        </w:rPr>
        <w:t>（1）办件数据优化分析</w:t>
      </w:r>
    </w:p>
    <w:p w14:paraId="44052101">
      <w:pPr>
        <w:spacing w:line="360" w:lineRule="auto"/>
        <w:ind w:firstLine="420"/>
        <w:jc w:val="left"/>
        <w:rPr>
          <w:rFonts w:hint="eastAsia" w:ascii="宋体" w:hAnsi="宋体" w:cs="宋体"/>
          <w:szCs w:val="21"/>
        </w:rPr>
      </w:pPr>
      <w:r>
        <w:rPr>
          <w:rFonts w:hint="eastAsia" w:ascii="宋体" w:hAnsi="宋体" w:cs="宋体"/>
          <w:szCs w:val="21"/>
        </w:rPr>
        <w:t>调取超时办件数据归集与详情，分析超时办件问题归因，制定超时办件整改方案。</w:t>
      </w:r>
    </w:p>
    <w:p w14:paraId="2A9F7B3C">
      <w:pPr>
        <w:spacing w:line="360" w:lineRule="auto"/>
        <w:ind w:firstLine="420"/>
        <w:jc w:val="left"/>
        <w:rPr>
          <w:rFonts w:hint="eastAsia" w:ascii="宋体" w:hAnsi="宋体" w:cs="宋体"/>
          <w:szCs w:val="21"/>
        </w:rPr>
      </w:pPr>
      <w:r>
        <w:rPr>
          <w:rFonts w:hint="eastAsia" w:ascii="宋体" w:hAnsi="宋体" w:cs="宋体"/>
          <w:szCs w:val="21"/>
        </w:rPr>
        <w:t>筛选并整理补正办件工单，分类补正原因并识别高频问题，形成补正指引优化建议方案。</w:t>
      </w:r>
    </w:p>
    <w:p w14:paraId="6F45F0CF">
      <w:pPr>
        <w:spacing w:line="360" w:lineRule="auto"/>
        <w:ind w:firstLine="420"/>
        <w:jc w:val="left"/>
        <w:rPr>
          <w:rFonts w:hint="eastAsia" w:ascii="宋体" w:hAnsi="宋体" w:cs="宋体"/>
          <w:szCs w:val="21"/>
        </w:rPr>
      </w:pPr>
      <w:r>
        <w:rPr>
          <w:rFonts w:hint="eastAsia" w:ascii="宋体" w:hAnsi="宋体" w:cs="宋体"/>
          <w:szCs w:val="21"/>
        </w:rPr>
        <w:t>统计办件跑动次数并清洗数据，挖掘多跑动原因，制定减跑动措施与跨部门协同方案。</w:t>
      </w:r>
    </w:p>
    <w:p w14:paraId="4AA5CC75">
      <w:pPr>
        <w:spacing w:line="360" w:lineRule="auto"/>
        <w:ind w:firstLine="420"/>
        <w:jc w:val="left"/>
        <w:rPr>
          <w:rFonts w:hint="eastAsia" w:ascii="宋体" w:hAnsi="宋体" w:cs="宋体"/>
          <w:szCs w:val="21"/>
        </w:rPr>
      </w:pPr>
      <w:r>
        <w:rPr>
          <w:rFonts w:hint="eastAsia" w:ascii="宋体" w:hAnsi="宋体" w:cs="宋体"/>
          <w:szCs w:val="21"/>
        </w:rPr>
        <w:t>搭建办件质量评价指标体系，结合办件详情周期性抽样核查办件质量，编制办件质量追踪季报。</w:t>
      </w:r>
    </w:p>
    <w:p w14:paraId="4D95EEB2">
      <w:pPr>
        <w:spacing w:line="360" w:lineRule="auto"/>
        <w:jc w:val="left"/>
        <w:rPr>
          <w:rFonts w:hint="eastAsia" w:ascii="宋体" w:hAnsi="宋体" w:cs="宋体"/>
          <w:b/>
          <w:bCs/>
          <w:szCs w:val="21"/>
        </w:rPr>
      </w:pPr>
      <w:r>
        <w:rPr>
          <w:rFonts w:hint="eastAsia" w:ascii="宋体" w:hAnsi="宋体" w:cs="宋体"/>
          <w:b/>
          <w:bCs/>
          <w:szCs w:val="21"/>
        </w:rPr>
        <w:t>（三）专项运维服务</w:t>
      </w:r>
    </w:p>
    <w:p w14:paraId="25DCA8A9">
      <w:pPr>
        <w:spacing w:line="360" w:lineRule="auto"/>
        <w:ind w:firstLine="420"/>
        <w:jc w:val="left"/>
        <w:rPr>
          <w:rFonts w:hint="eastAsia" w:ascii="宋体" w:hAnsi="宋体" w:cs="宋体"/>
          <w:b/>
          <w:bCs/>
          <w:szCs w:val="21"/>
        </w:rPr>
      </w:pPr>
      <w:r>
        <w:rPr>
          <w:rFonts w:hint="eastAsia" w:ascii="宋体" w:hAnsi="宋体" w:cs="宋体"/>
          <w:b/>
          <w:bCs/>
          <w:szCs w:val="21"/>
        </w:rPr>
        <w:t>1、徐汇区企业专属空间</w:t>
      </w:r>
    </w:p>
    <w:p w14:paraId="5618501E">
      <w:pPr>
        <w:spacing w:line="360" w:lineRule="auto"/>
        <w:ind w:firstLine="420"/>
        <w:jc w:val="left"/>
        <w:rPr>
          <w:rFonts w:hint="eastAsia" w:ascii="宋体" w:hAnsi="宋体" w:cs="宋体"/>
          <w:szCs w:val="21"/>
        </w:rPr>
      </w:pPr>
      <w:r>
        <w:rPr>
          <w:rFonts w:hint="eastAsia" w:ascii="宋体" w:hAnsi="宋体" w:cs="宋体"/>
          <w:szCs w:val="21"/>
        </w:rPr>
        <w:t>通过精准推送、主动提醒、政策体检、画像标签及知识库等服务，提升企业服务体验。精准推送涵盖事项更新、用户画像构建与内容推荐；主动提醒涉及核验规则设计、测试发布及事项政策匹配配置；政策体检包括政策入库、清洗、问卷设置与测试等；画像标签从体系构建、判断规则设计到应用优化；知识库技术服务则涉及知识采集、分析、验证、清洗、整合加工、标签标注、审核发布及检查更新等全流程管理；特色应用服务接入上，新增增值服务预约、企业出海服务和掌上公服，进行图标设计和企业用户身份信息接入。拓展更多服务事项实现授权代办场景，通过授权代办应用事项拓展，配置事项及相关的在线授权委托书，线下扫码签注，便利用户办事服务。新增主动提醒服务200个、新增主动精准推送服务100个、新增政策体检30个、新增徐汇区画像标签80个、针对徐汇区现有政务知识进行运营、新增特色应用服务3个、新增8个授权代办场景、新增1个专题专栏、新增1个千企千面。</w:t>
      </w:r>
    </w:p>
    <w:p w14:paraId="0CB402CA">
      <w:pPr>
        <w:spacing w:line="360" w:lineRule="auto"/>
        <w:ind w:firstLine="420"/>
        <w:jc w:val="left"/>
        <w:rPr>
          <w:rFonts w:hint="eastAsia" w:ascii="宋体" w:hAnsi="宋体" w:cs="宋体"/>
          <w:szCs w:val="21"/>
        </w:rPr>
      </w:pPr>
      <w:r>
        <w:rPr>
          <w:rFonts w:hint="eastAsia" w:ascii="宋体" w:hAnsi="宋体" w:cs="宋体"/>
          <w:szCs w:val="21"/>
        </w:rPr>
        <w:t>（1）主动提醒服务</w:t>
      </w:r>
    </w:p>
    <w:p w14:paraId="12DDCA06">
      <w:pPr>
        <w:spacing w:line="360" w:lineRule="auto"/>
        <w:ind w:firstLine="420"/>
        <w:jc w:val="left"/>
        <w:rPr>
          <w:rFonts w:hint="eastAsia" w:ascii="宋体" w:hAnsi="宋体" w:cs="宋体"/>
          <w:szCs w:val="21"/>
        </w:rPr>
      </w:pPr>
      <w:r>
        <w:rPr>
          <w:rFonts w:hint="eastAsia" w:ascii="宋体" w:hAnsi="宋体" w:cs="宋体"/>
          <w:szCs w:val="21"/>
        </w:rPr>
        <w:t>完善企业专属网页消息提醒种类及覆盖范围，最大化发挥主动提醒服务效能，主要包括办事进度、证照提醒、主动关怀等的主动提醒。新增200个主动提醒服务，包括：主动提醒核验规则、提醒规则测试发布。</w:t>
      </w:r>
    </w:p>
    <w:p w14:paraId="2CB737AB">
      <w:pPr>
        <w:spacing w:line="360" w:lineRule="auto"/>
        <w:ind w:firstLine="420"/>
        <w:jc w:val="left"/>
        <w:rPr>
          <w:rFonts w:hint="eastAsia" w:ascii="宋体" w:hAnsi="宋体" w:cs="宋体"/>
          <w:szCs w:val="21"/>
        </w:rPr>
      </w:pPr>
      <w:r>
        <w:rPr>
          <w:rFonts w:hint="eastAsia" w:ascii="宋体" w:hAnsi="宋体" w:cs="宋体"/>
          <w:szCs w:val="21"/>
        </w:rPr>
        <w:t>（2）精准推送服务</w:t>
      </w:r>
    </w:p>
    <w:p w14:paraId="5F316FDC">
      <w:pPr>
        <w:spacing w:line="360" w:lineRule="auto"/>
        <w:ind w:firstLine="420"/>
        <w:jc w:val="left"/>
        <w:rPr>
          <w:rFonts w:hint="eastAsia" w:ascii="宋体" w:hAnsi="宋体" w:cs="宋体"/>
          <w:szCs w:val="21"/>
        </w:rPr>
      </w:pPr>
      <w:r>
        <w:rPr>
          <w:rFonts w:hint="eastAsia" w:ascii="宋体" w:hAnsi="宋体" w:cs="宋体"/>
          <w:szCs w:val="21"/>
        </w:rPr>
        <w:t>提升企业专属网页精准化服务水平，实现包括政策、资讯、热点服务等内容的主动推送，满足企业个性化需求。新增100个精准推送服务，包括：个人用户画像标签构建、企业用户画像标签构建、服务内容精准推荐。</w:t>
      </w:r>
    </w:p>
    <w:p w14:paraId="5CBE2768">
      <w:pPr>
        <w:spacing w:line="360" w:lineRule="auto"/>
        <w:ind w:firstLine="420"/>
        <w:jc w:val="left"/>
        <w:rPr>
          <w:rFonts w:hint="eastAsia" w:ascii="宋体" w:hAnsi="宋体" w:cs="宋体"/>
          <w:szCs w:val="21"/>
        </w:rPr>
      </w:pPr>
      <w:r>
        <w:rPr>
          <w:rFonts w:hint="eastAsia" w:ascii="宋体" w:hAnsi="宋体" w:cs="宋体"/>
          <w:szCs w:val="21"/>
        </w:rPr>
        <w:t>（3）政策体检服务</w:t>
      </w:r>
    </w:p>
    <w:p w14:paraId="0473DE32">
      <w:pPr>
        <w:spacing w:line="360" w:lineRule="auto"/>
        <w:ind w:firstLine="420"/>
        <w:jc w:val="left"/>
        <w:rPr>
          <w:rFonts w:hint="eastAsia" w:ascii="宋体" w:hAnsi="宋体" w:cs="宋体"/>
          <w:szCs w:val="21"/>
        </w:rPr>
      </w:pPr>
      <w:r>
        <w:rPr>
          <w:rFonts w:hint="eastAsia" w:ascii="宋体" w:hAnsi="宋体" w:cs="宋体"/>
          <w:szCs w:val="21"/>
        </w:rPr>
        <w:t>进一步增强徐汇区企业专属网页的政策赋能能力，推动更多政策实现智能体检。新增30个政策体检服务，包括：智能政策体检政策原文入库、智能政策体检政策原文清洗、智能政策体检建立体检文档、智能政策体检问卷设置、智能政策体检问卷配置、申报题目配置、申报项目匹配度推荐、用户体检服务配置、提醒用户完善申报条件、智能政策体检功能内容中台配置测试、智能政策体检功能内容测试、智能政策体检功能内容接口校验测试、政策列表和政策详情配置、政策体检功能配置、功能性能安全测试、正式发布上线运行等服务内容。</w:t>
      </w:r>
    </w:p>
    <w:p w14:paraId="5F6ECCB2">
      <w:pPr>
        <w:spacing w:line="360" w:lineRule="auto"/>
        <w:ind w:firstLine="420"/>
        <w:jc w:val="left"/>
        <w:rPr>
          <w:rFonts w:hint="eastAsia" w:ascii="宋体" w:hAnsi="宋体" w:cs="宋体"/>
          <w:szCs w:val="21"/>
        </w:rPr>
      </w:pPr>
      <w:r>
        <w:rPr>
          <w:rFonts w:hint="eastAsia" w:ascii="宋体" w:hAnsi="宋体" w:cs="宋体"/>
          <w:szCs w:val="21"/>
        </w:rPr>
        <w:t>（4）画像标签服务</w:t>
      </w:r>
    </w:p>
    <w:p w14:paraId="1096C936">
      <w:pPr>
        <w:spacing w:line="360" w:lineRule="auto"/>
        <w:ind w:firstLine="420"/>
        <w:jc w:val="left"/>
        <w:rPr>
          <w:rFonts w:hint="eastAsia" w:ascii="宋体" w:hAnsi="宋体" w:cs="宋体"/>
          <w:szCs w:val="21"/>
        </w:rPr>
      </w:pPr>
      <w:r>
        <w:rPr>
          <w:rFonts w:hint="eastAsia" w:ascii="宋体" w:hAnsi="宋体" w:cs="宋体"/>
          <w:szCs w:val="21"/>
        </w:rPr>
        <w:t>完善企业专属网页画像标签管理及应用能力。新增80个画像标签，包括标签体系服务、用户标签服务、标签应用服务。</w:t>
      </w:r>
    </w:p>
    <w:p w14:paraId="703C6F38">
      <w:pPr>
        <w:spacing w:line="360" w:lineRule="auto"/>
        <w:ind w:firstLine="420"/>
        <w:jc w:val="left"/>
        <w:rPr>
          <w:rFonts w:hint="eastAsia" w:ascii="宋体" w:hAnsi="宋体" w:cs="宋体"/>
          <w:szCs w:val="21"/>
        </w:rPr>
      </w:pPr>
      <w:r>
        <w:rPr>
          <w:rFonts w:hint="eastAsia" w:ascii="宋体" w:hAnsi="宋体" w:cs="宋体"/>
          <w:szCs w:val="21"/>
        </w:rPr>
        <w:t>① 标签体系服务</w:t>
      </w:r>
    </w:p>
    <w:p w14:paraId="31830AAD">
      <w:pPr>
        <w:spacing w:line="360" w:lineRule="auto"/>
        <w:ind w:firstLine="420"/>
        <w:jc w:val="left"/>
        <w:rPr>
          <w:rFonts w:hint="eastAsia" w:ascii="宋体" w:hAnsi="宋体" w:cs="宋体"/>
          <w:szCs w:val="21"/>
        </w:rPr>
      </w:pPr>
      <w:r>
        <w:rPr>
          <w:rFonts w:hint="eastAsia" w:ascii="宋体" w:hAnsi="宋体" w:cs="宋体"/>
          <w:szCs w:val="21"/>
        </w:rPr>
        <w:t>从政务服务用户需求的办事指南、政策文件、通知通告、专题专栏、公共服务等进行收集整理和分析，形成标签来源的基础数据，识别提取可用于判断需求规则是否成立等不同维度的用户画像标签。</w:t>
      </w:r>
    </w:p>
    <w:p w14:paraId="4E4D8436">
      <w:pPr>
        <w:spacing w:line="360" w:lineRule="auto"/>
        <w:ind w:firstLine="420"/>
        <w:jc w:val="left"/>
        <w:rPr>
          <w:rFonts w:hint="eastAsia" w:ascii="宋体" w:hAnsi="宋体" w:cs="宋体"/>
          <w:szCs w:val="21"/>
        </w:rPr>
      </w:pPr>
      <w:r>
        <w:rPr>
          <w:rFonts w:hint="eastAsia" w:ascii="宋体" w:hAnsi="宋体" w:cs="宋体"/>
          <w:szCs w:val="21"/>
        </w:rPr>
        <w:t>② 用户标签服务</w:t>
      </w:r>
    </w:p>
    <w:p w14:paraId="098932D3">
      <w:pPr>
        <w:spacing w:line="360" w:lineRule="auto"/>
        <w:ind w:firstLine="420"/>
        <w:jc w:val="left"/>
        <w:rPr>
          <w:rFonts w:hint="eastAsia" w:ascii="宋体" w:hAnsi="宋体" w:cs="宋体"/>
          <w:szCs w:val="21"/>
        </w:rPr>
      </w:pPr>
      <w:r>
        <w:rPr>
          <w:rFonts w:hint="eastAsia" w:ascii="宋体" w:hAnsi="宋体" w:cs="宋体"/>
          <w:szCs w:val="21"/>
        </w:rPr>
        <w:t>根据用户画像标签的分类，设计可提取该标签的字段来源及对应的逻辑判断规则，随后进一步根据已设计的标签分类、数据来源、逻辑判断规则等，在中台建立规则函数并进行验收确认。</w:t>
      </w:r>
    </w:p>
    <w:p w14:paraId="42C7196F">
      <w:pPr>
        <w:spacing w:line="360" w:lineRule="auto"/>
        <w:ind w:firstLine="420"/>
        <w:jc w:val="left"/>
        <w:rPr>
          <w:rFonts w:hint="eastAsia" w:ascii="宋体" w:hAnsi="宋体" w:cs="宋体"/>
          <w:szCs w:val="21"/>
        </w:rPr>
      </w:pPr>
      <w:r>
        <w:rPr>
          <w:rFonts w:hint="eastAsia" w:ascii="宋体" w:hAnsi="宋体" w:cs="宋体"/>
          <w:szCs w:val="21"/>
        </w:rPr>
        <w:t>③ 标签应用服务</w:t>
      </w:r>
    </w:p>
    <w:p w14:paraId="1C034879">
      <w:pPr>
        <w:spacing w:line="360" w:lineRule="auto"/>
        <w:ind w:firstLine="420"/>
        <w:jc w:val="left"/>
        <w:rPr>
          <w:rFonts w:hint="eastAsia" w:ascii="宋体" w:hAnsi="宋体" w:cs="宋体"/>
          <w:szCs w:val="21"/>
        </w:rPr>
      </w:pPr>
      <w:r>
        <w:rPr>
          <w:rFonts w:hint="eastAsia" w:ascii="宋体" w:hAnsi="宋体" w:cs="宋体"/>
          <w:szCs w:val="21"/>
        </w:rPr>
        <w:t>根据推荐内容的条件，结合现有的用户画像进行规则判断，内容可提取该标签的字段对应的用户的逻辑判断规则，随后在中台配置时标注可接收该推送内容的用户画像标签。</w:t>
      </w:r>
    </w:p>
    <w:p w14:paraId="63C0F4F6">
      <w:pPr>
        <w:spacing w:line="360" w:lineRule="auto"/>
        <w:ind w:firstLine="420"/>
        <w:jc w:val="left"/>
        <w:rPr>
          <w:rFonts w:hint="eastAsia" w:ascii="宋体" w:hAnsi="宋体" w:cs="宋体"/>
          <w:szCs w:val="21"/>
        </w:rPr>
      </w:pPr>
      <w:r>
        <w:rPr>
          <w:rFonts w:hint="eastAsia" w:ascii="宋体" w:hAnsi="宋体" w:cs="宋体"/>
          <w:szCs w:val="21"/>
        </w:rPr>
        <w:t>（5）知识库技术服务</w:t>
      </w:r>
    </w:p>
    <w:p w14:paraId="0A9E93BB">
      <w:pPr>
        <w:spacing w:line="360" w:lineRule="auto"/>
        <w:ind w:firstLine="420"/>
        <w:jc w:val="left"/>
        <w:rPr>
          <w:rFonts w:hint="eastAsia" w:ascii="宋体" w:hAnsi="宋体" w:cs="宋体"/>
          <w:szCs w:val="21"/>
        </w:rPr>
      </w:pPr>
      <w:r>
        <w:rPr>
          <w:rFonts w:hint="eastAsia" w:ascii="宋体" w:hAnsi="宋体" w:cs="宋体"/>
          <w:szCs w:val="21"/>
        </w:rPr>
        <w:t>针对徐汇区知识库现有知识，提供知识库的技术服务工作，包括巡检、纠错、更新等内容，保障知识的准确性、时效性与可用性，为企业提供可靠的信息资源，让用户可以快速准确地检索、咨询到所需信息。</w:t>
      </w:r>
    </w:p>
    <w:p w14:paraId="5411D1BB">
      <w:pPr>
        <w:spacing w:line="360" w:lineRule="auto"/>
        <w:ind w:firstLine="420"/>
        <w:jc w:val="left"/>
        <w:rPr>
          <w:rFonts w:hint="eastAsia" w:ascii="宋体" w:hAnsi="宋体" w:cs="宋体"/>
          <w:szCs w:val="21"/>
        </w:rPr>
      </w:pPr>
      <w:r>
        <w:rPr>
          <w:rFonts w:hint="eastAsia" w:ascii="宋体" w:hAnsi="宋体" w:cs="宋体"/>
          <w:szCs w:val="21"/>
        </w:rPr>
        <w:t>（6）特色应用服务接入</w:t>
      </w:r>
    </w:p>
    <w:p w14:paraId="46491476">
      <w:pPr>
        <w:spacing w:line="360" w:lineRule="auto"/>
        <w:ind w:firstLine="420"/>
        <w:jc w:val="left"/>
        <w:rPr>
          <w:rFonts w:hint="eastAsia" w:ascii="宋体" w:hAnsi="宋体" w:cs="宋体"/>
          <w:szCs w:val="21"/>
        </w:rPr>
      </w:pPr>
      <w:r>
        <w:rPr>
          <w:rFonts w:hint="eastAsia" w:ascii="宋体" w:hAnsi="宋体" w:cs="宋体"/>
          <w:szCs w:val="21"/>
        </w:rPr>
        <w:t>新增接入增值服务预约、企业出海服务和掌上公服3个特色应用，进行图标设计和企业用户身份信息接入。</w:t>
      </w:r>
    </w:p>
    <w:p w14:paraId="3C4217B7">
      <w:pPr>
        <w:spacing w:line="360" w:lineRule="auto"/>
        <w:ind w:firstLine="420"/>
        <w:jc w:val="left"/>
        <w:rPr>
          <w:rFonts w:hint="eastAsia" w:ascii="宋体" w:hAnsi="宋体" w:cs="宋体"/>
          <w:szCs w:val="21"/>
        </w:rPr>
      </w:pPr>
      <w:r>
        <w:rPr>
          <w:rFonts w:hint="eastAsia" w:ascii="宋体" w:hAnsi="宋体" w:cs="宋体"/>
          <w:szCs w:val="21"/>
        </w:rPr>
        <w:t>（7）授权代办应用场景</w:t>
      </w:r>
    </w:p>
    <w:p w14:paraId="1F386181">
      <w:pPr>
        <w:spacing w:line="360" w:lineRule="auto"/>
        <w:ind w:firstLine="420"/>
        <w:jc w:val="left"/>
        <w:rPr>
          <w:rFonts w:hint="eastAsia" w:ascii="宋体" w:hAnsi="宋体" w:cs="宋体"/>
          <w:szCs w:val="21"/>
        </w:rPr>
      </w:pPr>
      <w:r>
        <w:rPr>
          <w:rFonts w:hint="eastAsia" w:ascii="宋体" w:hAnsi="宋体" w:cs="宋体"/>
          <w:szCs w:val="21"/>
        </w:rPr>
        <w:t>授权代办应用事项拓展，配置事项及相关的在线授权委托书，线下扫码签注，新增8个授权代办场景。</w:t>
      </w:r>
    </w:p>
    <w:p w14:paraId="394AD4CF">
      <w:pPr>
        <w:spacing w:line="360" w:lineRule="auto"/>
        <w:ind w:firstLine="420"/>
        <w:jc w:val="left"/>
        <w:rPr>
          <w:rFonts w:hint="eastAsia" w:ascii="宋体" w:hAnsi="宋体" w:cs="宋体"/>
          <w:szCs w:val="21"/>
        </w:rPr>
      </w:pPr>
      <w:r>
        <w:rPr>
          <w:rFonts w:hint="eastAsia" w:ascii="宋体" w:hAnsi="宋体" w:cs="宋体"/>
          <w:szCs w:val="21"/>
        </w:rPr>
        <w:t>（8）专题专栏定制</w:t>
      </w:r>
    </w:p>
    <w:p w14:paraId="3B40A137">
      <w:pPr>
        <w:spacing w:line="360" w:lineRule="auto"/>
        <w:ind w:firstLine="420"/>
        <w:jc w:val="left"/>
        <w:rPr>
          <w:rFonts w:hint="eastAsia" w:ascii="宋体" w:hAnsi="宋体" w:cs="宋体"/>
          <w:szCs w:val="21"/>
        </w:rPr>
      </w:pPr>
      <w:r>
        <w:rPr>
          <w:rFonts w:hint="eastAsia" w:ascii="宋体" w:hAnsi="宋体" w:cs="宋体"/>
          <w:szCs w:val="21"/>
        </w:rPr>
        <w:t>新增1个营商伙伴专区，从政策、新闻资讯等多维度开发，提升企业专属网页服务的精准性与便捷性，内容包括：专题专栏板块内容构建、专题专栏页面开发。</w:t>
      </w:r>
    </w:p>
    <w:p w14:paraId="665E72AC">
      <w:pPr>
        <w:spacing w:line="360" w:lineRule="auto"/>
        <w:ind w:firstLine="420"/>
        <w:jc w:val="left"/>
        <w:rPr>
          <w:rFonts w:hint="eastAsia" w:ascii="宋体" w:hAnsi="宋体" w:cs="宋体"/>
          <w:szCs w:val="21"/>
        </w:rPr>
      </w:pPr>
      <w:r>
        <w:rPr>
          <w:rFonts w:hint="eastAsia" w:ascii="宋体" w:hAnsi="宋体" w:cs="宋体"/>
          <w:szCs w:val="21"/>
        </w:rPr>
        <w:t>（9）千企千面服务定制</w:t>
      </w:r>
    </w:p>
    <w:p w14:paraId="5216744D">
      <w:pPr>
        <w:spacing w:line="360" w:lineRule="auto"/>
        <w:ind w:firstLine="420"/>
        <w:jc w:val="left"/>
        <w:rPr>
          <w:rFonts w:hint="eastAsia" w:ascii="宋体" w:hAnsi="宋体" w:cs="宋体"/>
          <w:szCs w:val="21"/>
        </w:rPr>
      </w:pPr>
      <w:r>
        <w:rPr>
          <w:rFonts w:hint="eastAsia" w:ascii="宋体" w:hAnsi="宋体" w:cs="宋体"/>
          <w:szCs w:val="21"/>
        </w:rPr>
        <w:t>新增1个千企千面，量身打造行业专属网页，集成行业档案、政策、动态等多维度信息。服务内容包括：行业整体页面定制、行业资讯、行业专题服务、行业特色精选、行业动态、行业政策。</w:t>
      </w:r>
    </w:p>
    <w:p w14:paraId="3194A418">
      <w:pPr>
        <w:spacing w:line="360" w:lineRule="auto"/>
        <w:ind w:firstLine="420"/>
        <w:jc w:val="left"/>
        <w:rPr>
          <w:rFonts w:hint="eastAsia" w:ascii="宋体" w:hAnsi="宋体" w:cs="宋体"/>
          <w:b/>
          <w:bCs/>
          <w:szCs w:val="21"/>
        </w:rPr>
      </w:pPr>
      <w:r>
        <w:rPr>
          <w:rFonts w:hint="eastAsia" w:ascii="宋体" w:hAnsi="宋体" w:cs="宋体"/>
          <w:b/>
          <w:bCs/>
          <w:szCs w:val="21"/>
        </w:rPr>
        <w:t>2、“随申办”市民云旗舰店</w:t>
      </w:r>
    </w:p>
    <w:p w14:paraId="3175ABB0">
      <w:pPr>
        <w:spacing w:line="360" w:lineRule="auto"/>
        <w:ind w:firstLine="420"/>
        <w:jc w:val="left"/>
        <w:rPr>
          <w:rFonts w:hint="eastAsia" w:ascii="宋体" w:hAnsi="宋体" w:cs="宋体"/>
          <w:szCs w:val="21"/>
        </w:rPr>
      </w:pPr>
      <w:r>
        <w:rPr>
          <w:rFonts w:hint="eastAsia" w:ascii="宋体" w:hAnsi="宋体" w:cs="宋体"/>
          <w:szCs w:val="21"/>
        </w:rPr>
        <w:t>基于本区的注册用户数和日活用户数，充分发挥区级旗舰店的运营推广资源优势，加强与本区运营资源的共享和互补，为本区开展长效自主运营提供支持。通过持续推动日常运营管理、积分管理运营等，不断加强市、区两级联动，优化完善本区运营工作机制，从而提升“随申办”市民云徐汇区旗舰店的用户访问量、关注度，助力本区移动政务服务健康有序发展。</w:t>
      </w:r>
    </w:p>
    <w:p w14:paraId="60B7F327">
      <w:pPr>
        <w:spacing w:line="360" w:lineRule="auto"/>
        <w:ind w:firstLine="420"/>
        <w:jc w:val="left"/>
        <w:rPr>
          <w:rFonts w:hint="eastAsia" w:ascii="宋体" w:hAnsi="宋体" w:cs="宋体"/>
          <w:szCs w:val="21"/>
        </w:rPr>
      </w:pPr>
      <w:r>
        <w:rPr>
          <w:rFonts w:hint="eastAsia" w:ascii="宋体" w:hAnsi="宋体" w:cs="宋体"/>
          <w:szCs w:val="21"/>
        </w:rPr>
        <w:t>（1）应用池运维</w:t>
      </w:r>
    </w:p>
    <w:p w14:paraId="11310586">
      <w:pPr>
        <w:spacing w:line="360" w:lineRule="auto"/>
        <w:ind w:firstLine="420"/>
        <w:jc w:val="left"/>
        <w:rPr>
          <w:rFonts w:hint="eastAsia" w:ascii="宋体" w:hAnsi="宋体" w:cs="宋体"/>
          <w:szCs w:val="21"/>
        </w:rPr>
      </w:pPr>
      <w:r>
        <w:rPr>
          <w:rFonts w:hint="eastAsia" w:ascii="宋体" w:hAnsi="宋体" w:cs="宋体"/>
          <w:szCs w:val="21"/>
        </w:rPr>
        <w:t>满足市级入驻技术和流程要求，纳入市级应用服务池。</w:t>
      </w:r>
    </w:p>
    <w:p w14:paraId="47E5705A">
      <w:pPr>
        <w:spacing w:line="360" w:lineRule="auto"/>
        <w:ind w:firstLine="420"/>
        <w:jc w:val="left"/>
        <w:rPr>
          <w:rFonts w:hint="eastAsia" w:ascii="宋体" w:hAnsi="宋体" w:cs="宋体"/>
          <w:szCs w:val="21"/>
        </w:rPr>
      </w:pPr>
      <w:r>
        <w:rPr>
          <w:rFonts w:hint="eastAsia" w:ascii="宋体" w:hAnsi="宋体" w:cs="宋体"/>
          <w:szCs w:val="21"/>
        </w:rPr>
        <w:t>（2）积分管理运维</w:t>
      </w:r>
    </w:p>
    <w:p w14:paraId="103FE76B">
      <w:pPr>
        <w:spacing w:line="360" w:lineRule="auto"/>
        <w:ind w:firstLine="420"/>
        <w:jc w:val="left"/>
        <w:rPr>
          <w:rFonts w:hint="eastAsia" w:ascii="宋体" w:hAnsi="宋体" w:cs="宋体"/>
          <w:szCs w:val="21"/>
        </w:rPr>
      </w:pPr>
      <w:r>
        <w:rPr>
          <w:rFonts w:hint="eastAsia" w:ascii="宋体" w:hAnsi="宋体" w:cs="宋体"/>
          <w:szCs w:val="21"/>
        </w:rPr>
        <w:t>提供积分商品运维以及积分兑换运维。</w:t>
      </w:r>
    </w:p>
    <w:p w14:paraId="47AEA4DA">
      <w:pPr>
        <w:spacing w:line="360" w:lineRule="auto"/>
        <w:ind w:firstLine="420"/>
        <w:jc w:val="left"/>
        <w:rPr>
          <w:rFonts w:hint="eastAsia" w:ascii="宋体" w:hAnsi="宋体" w:cs="宋体"/>
          <w:szCs w:val="21"/>
        </w:rPr>
      </w:pPr>
      <w:r>
        <w:rPr>
          <w:rFonts w:hint="eastAsia" w:ascii="宋体" w:hAnsi="宋体" w:cs="宋体"/>
          <w:szCs w:val="21"/>
        </w:rPr>
        <w:t>（3）市区联动运维</w:t>
      </w:r>
    </w:p>
    <w:p w14:paraId="6BA80816">
      <w:pPr>
        <w:spacing w:line="360" w:lineRule="auto"/>
        <w:ind w:firstLine="420"/>
        <w:jc w:val="left"/>
        <w:rPr>
          <w:rFonts w:hint="eastAsia" w:ascii="宋体" w:hAnsi="宋体" w:cs="宋体"/>
          <w:szCs w:val="21"/>
        </w:rPr>
      </w:pPr>
      <w:r>
        <w:rPr>
          <w:rFonts w:hint="eastAsia" w:ascii="宋体" w:hAnsi="宋体" w:cs="宋体"/>
          <w:szCs w:val="21"/>
        </w:rPr>
        <w:t>主动对接市级服务和主题活动，精准匹配区级用户需求。</w:t>
      </w:r>
    </w:p>
    <w:p w14:paraId="42B13930">
      <w:pPr>
        <w:spacing w:line="360" w:lineRule="auto"/>
        <w:ind w:firstLine="420"/>
        <w:jc w:val="left"/>
        <w:rPr>
          <w:rFonts w:hint="eastAsia" w:ascii="宋体" w:hAnsi="宋体" w:cs="宋体"/>
          <w:szCs w:val="21"/>
        </w:rPr>
      </w:pPr>
      <w:r>
        <w:rPr>
          <w:rFonts w:hint="eastAsia" w:ascii="宋体" w:hAnsi="宋体" w:cs="宋体"/>
          <w:szCs w:val="21"/>
        </w:rPr>
        <w:t>（4）运维数据分析</w:t>
      </w:r>
    </w:p>
    <w:p w14:paraId="64A9B108">
      <w:pPr>
        <w:spacing w:line="360" w:lineRule="auto"/>
        <w:ind w:firstLine="420"/>
        <w:jc w:val="left"/>
        <w:rPr>
          <w:rFonts w:hint="eastAsia" w:ascii="宋体" w:hAnsi="宋体" w:cs="宋体"/>
          <w:szCs w:val="21"/>
        </w:rPr>
      </w:pPr>
      <w:r>
        <w:rPr>
          <w:rFonts w:hint="eastAsia" w:ascii="宋体" w:hAnsi="宋体" w:cs="宋体"/>
          <w:szCs w:val="21"/>
        </w:rPr>
        <w:t>获取相关运营和分析数据，并生成月度运营分析报告。</w:t>
      </w:r>
    </w:p>
    <w:p w14:paraId="7EE4578B">
      <w:pPr>
        <w:spacing w:line="360" w:lineRule="auto"/>
        <w:ind w:firstLine="420"/>
        <w:jc w:val="left"/>
        <w:rPr>
          <w:rFonts w:hint="eastAsia" w:ascii="宋体" w:hAnsi="宋体" w:cs="宋体"/>
          <w:szCs w:val="21"/>
        </w:rPr>
      </w:pPr>
      <w:r>
        <w:rPr>
          <w:rFonts w:hint="eastAsia" w:ascii="宋体" w:hAnsi="宋体" w:cs="宋体"/>
          <w:szCs w:val="21"/>
        </w:rPr>
        <w:t>（5）服务接入</w:t>
      </w:r>
    </w:p>
    <w:p w14:paraId="54CA39CB">
      <w:pPr>
        <w:spacing w:line="360" w:lineRule="auto"/>
        <w:ind w:firstLine="420"/>
        <w:jc w:val="left"/>
        <w:rPr>
          <w:rFonts w:hint="eastAsia" w:ascii="宋体" w:hAnsi="宋体" w:cs="宋体"/>
          <w:szCs w:val="21"/>
        </w:rPr>
      </w:pPr>
      <w:r>
        <w:rPr>
          <w:rFonts w:hint="eastAsia" w:ascii="宋体" w:hAnsi="宋体" w:cs="宋体"/>
          <w:szCs w:val="21"/>
        </w:rPr>
        <w:t>提供“随申办”徐汇旗舰店服务接入，包含有用户体系、无用户体系服务的接入支持服务，接入服务数量不少于10个。</w:t>
      </w:r>
    </w:p>
    <w:p w14:paraId="25CEDDD6">
      <w:pPr>
        <w:spacing w:line="360" w:lineRule="auto"/>
        <w:ind w:firstLine="420"/>
        <w:jc w:val="left"/>
        <w:rPr>
          <w:rFonts w:hint="eastAsia" w:ascii="宋体" w:hAnsi="宋体" w:cs="宋体"/>
          <w:szCs w:val="21"/>
        </w:rPr>
      </w:pPr>
      <w:r>
        <w:rPr>
          <w:rFonts w:hint="eastAsia" w:ascii="宋体" w:hAnsi="宋体" w:cs="宋体"/>
          <w:szCs w:val="21"/>
        </w:rPr>
        <w:t>（6）爱心寒（暑）托班线上审核和缴费</w:t>
      </w:r>
    </w:p>
    <w:p w14:paraId="70CB5441">
      <w:pPr>
        <w:spacing w:line="360" w:lineRule="auto"/>
        <w:ind w:firstLine="420"/>
        <w:jc w:val="left"/>
        <w:rPr>
          <w:rFonts w:hint="eastAsia" w:ascii="宋体" w:hAnsi="宋体" w:cs="宋体"/>
          <w:szCs w:val="21"/>
        </w:rPr>
      </w:pPr>
      <w:r>
        <w:rPr>
          <w:rFonts w:hint="eastAsia" w:ascii="宋体" w:hAnsi="宋体" w:cs="宋体"/>
          <w:szCs w:val="21"/>
        </w:rPr>
        <w:t>“爱心寒（暑）托班”更新如下功能：</w:t>
      </w:r>
    </w:p>
    <w:p w14:paraId="6C49E1F6">
      <w:pPr>
        <w:spacing w:line="360" w:lineRule="auto"/>
        <w:ind w:firstLine="420"/>
        <w:jc w:val="left"/>
        <w:rPr>
          <w:rFonts w:hint="eastAsia" w:ascii="宋体" w:hAnsi="宋体" w:cs="宋体"/>
          <w:szCs w:val="21"/>
        </w:rPr>
      </w:pPr>
      <w:r>
        <w:rPr>
          <w:rFonts w:hint="eastAsia" w:ascii="宋体" w:hAnsi="宋体" w:cs="宋体"/>
          <w:szCs w:val="21"/>
        </w:rPr>
        <w:t>① 线上缴费功能</w:t>
      </w:r>
    </w:p>
    <w:p w14:paraId="7776F28D">
      <w:pPr>
        <w:spacing w:line="360" w:lineRule="auto"/>
        <w:ind w:firstLine="420"/>
        <w:jc w:val="left"/>
        <w:rPr>
          <w:rFonts w:hint="eastAsia" w:ascii="宋体" w:hAnsi="宋体" w:cs="宋体"/>
          <w:szCs w:val="21"/>
        </w:rPr>
      </w:pPr>
      <w:r>
        <w:rPr>
          <w:rFonts w:hint="eastAsia" w:ascii="宋体" w:hAnsi="宋体" w:cs="宋体"/>
          <w:szCs w:val="21"/>
        </w:rPr>
        <w:t>在随申办小程序开发提供微信小程序原生缴费功能，家长可以微信缴费；在随申办app端、支付宝端，为家长提供微信二维码扫码缴费功能；为家长提供线上退款和取消报名功能。</w:t>
      </w:r>
    </w:p>
    <w:p w14:paraId="4E6D870F">
      <w:pPr>
        <w:spacing w:line="360" w:lineRule="auto"/>
        <w:ind w:firstLine="420"/>
        <w:jc w:val="left"/>
        <w:rPr>
          <w:rFonts w:hint="eastAsia" w:ascii="宋体" w:hAnsi="宋体" w:cs="宋体"/>
          <w:szCs w:val="21"/>
        </w:rPr>
      </w:pPr>
      <w:r>
        <w:rPr>
          <w:rFonts w:hint="eastAsia" w:ascii="宋体" w:hAnsi="宋体" w:cs="宋体"/>
          <w:szCs w:val="21"/>
        </w:rPr>
        <w:t>② 线上审核功能</w:t>
      </w:r>
    </w:p>
    <w:p w14:paraId="24B19CC4">
      <w:pPr>
        <w:spacing w:line="360" w:lineRule="auto"/>
        <w:ind w:firstLine="420"/>
        <w:jc w:val="left"/>
        <w:rPr>
          <w:rFonts w:hint="eastAsia" w:ascii="宋体" w:hAnsi="宋体" w:cs="宋体"/>
          <w:szCs w:val="21"/>
        </w:rPr>
      </w:pPr>
      <w:r>
        <w:rPr>
          <w:rFonts w:hint="eastAsia" w:ascii="宋体" w:hAnsi="宋体" w:cs="宋体"/>
          <w:szCs w:val="21"/>
        </w:rPr>
        <w:t>在预报名阶段提供学生证材料上传，各街镇账户可对报名进行线上审核。</w:t>
      </w:r>
    </w:p>
    <w:p w14:paraId="483BC36B">
      <w:pPr>
        <w:spacing w:line="360" w:lineRule="auto"/>
        <w:ind w:firstLine="420"/>
        <w:jc w:val="left"/>
        <w:rPr>
          <w:rFonts w:hint="eastAsia" w:ascii="宋体" w:hAnsi="宋体" w:cs="宋体"/>
          <w:szCs w:val="21"/>
        </w:rPr>
      </w:pPr>
      <w:r>
        <w:rPr>
          <w:rFonts w:hint="eastAsia" w:ascii="宋体" w:hAnsi="宋体" w:cs="宋体"/>
          <w:szCs w:val="21"/>
        </w:rPr>
        <w:t>③ 补录功能</w:t>
      </w:r>
    </w:p>
    <w:p w14:paraId="14054B04">
      <w:pPr>
        <w:spacing w:line="360" w:lineRule="auto"/>
        <w:ind w:firstLine="420"/>
        <w:jc w:val="left"/>
        <w:rPr>
          <w:rFonts w:hint="eastAsia" w:ascii="宋体" w:hAnsi="宋体" w:cs="宋体"/>
          <w:szCs w:val="21"/>
        </w:rPr>
      </w:pPr>
      <w:r>
        <w:rPr>
          <w:rFonts w:hint="eastAsia" w:ascii="宋体" w:hAnsi="宋体" w:cs="宋体"/>
          <w:szCs w:val="21"/>
        </w:rPr>
        <w:t>当有家长报名成功取消报名后，名额空出，街镇可以按照报名排队顺序进行补录，补录操作后，家长可以进行线上付款完成正式报名。</w:t>
      </w:r>
    </w:p>
    <w:p w14:paraId="17B69451">
      <w:pPr>
        <w:spacing w:line="360" w:lineRule="auto"/>
        <w:ind w:firstLine="420"/>
        <w:jc w:val="left"/>
        <w:rPr>
          <w:rFonts w:hint="eastAsia" w:ascii="宋体" w:hAnsi="宋体" w:cs="宋体"/>
          <w:szCs w:val="21"/>
        </w:rPr>
      </w:pPr>
      <w:r>
        <w:rPr>
          <w:rFonts w:hint="eastAsia" w:ascii="宋体" w:hAnsi="宋体" w:cs="宋体"/>
          <w:szCs w:val="21"/>
        </w:rPr>
        <w:t>（7）爱心寒（暑）托班环境迁移和测试</w:t>
      </w:r>
    </w:p>
    <w:p w14:paraId="0A761DCD">
      <w:pPr>
        <w:spacing w:line="360" w:lineRule="auto"/>
        <w:ind w:firstLine="420"/>
        <w:jc w:val="left"/>
        <w:rPr>
          <w:rFonts w:hint="eastAsia" w:ascii="宋体" w:hAnsi="宋体" w:cs="宋体"/>
          <w:szCs w:val="21"/>
        </w:rPr>
      </w:pPr>
      <w:r>
        <w:rPr>
          <w:rFonts w:hint="eastAsia" w:ascii="宋体" w:hAnsi="宋体" w:cs="宋体"/>
          <w:szCs w:val="21"/>
        </w:rPr>
        <w:t>完成爱心寒（暑）托班进行国产化环境适配和迁移，包含数据库适配改造、数据迁移、系统部署和测试。</w:t>
      </w:r>
    </w:p>
    <w:p w14:paraId="480E40D5">
      <w:pPr>
        <w:spacing w:line="360" w:lineRule="auto"/>
        <w:ind w:firstLine="420"/>
        <w:jc w:val="left"/>
        <w:rPr>
          <w:rFonts w:hint="eastAsia" w:ascii="宋体" w:hAnsi="宋体" w:cs="宋体"/>
          <w:szCs w:val="21"/>
        </w:rPr>
      </w:pPr>
      <w:r>
        <w:rPr>
          <w:rFonts w:hint="eastAsia" w:ascii="宋体" w:hAnsi="宋体" w:cs="宋体"/>
          <w:szCs w:val="21"/>
        </w:rPr>
        <w:t>（8）城建档案利用服务</w:t>
      </w:r>
    </w:p>
    <w:p w14:paraId="1A2F2267">
      <w:pPr>
        <w:spacing w:line="360" w:lineRule="auto"/>
        <w:ind w:firstLine="420"/>
        <w:jc w:val="left"/>
        <w:rPr>
          <w:rFonts w:hint="eastAsia" w:ascii="宋体" w:hAnsi="宋体" w:cs="宋体"/>
          <w:szCs w:val="21"/>
        </w:rPr>
      </w:pPr>
      <w:r>
        <w:rPr>
          <w:rFonts w:hint="eastAsia" w:ascii="宋体" w:hAnsi="宋体" w:cs="宋体"/>
          <w:szCs w:val="21"/>
        </w:rPr>
        <w:t>依托“随申办”徐汇旗舰店，更新徐汇区城建档案利用服务。通过该服务，市民和单位可以线上申请城建档案利用，部门根据申请内容查询相关房屋档案，并在PC后台进行结果反馈，申请人可以在手机上查看反馈结果，按照提示信息到徐汇区政务服务中心领取档案。</w:t>
      </w:r>
    </w:p>
    <w:p w14:paraId="6E8AAC57">
      <w:pPr>
        <w:spacing w:line="360" w:lineRule="auto"/>
        <w:ind w:firstLine="420"/>
        <w:jc w:val="left"/>
        <w:rPr>
          <w:rFonts w:hint="eastAsia" w:ascii="宋体" w:hAnsi="宋体" w:cs="宋体"/>
          <w:szCs w:val="21"/>
        </w:rPr>
      </w:pPr>
      <w:r>
        <w:rPr>
          <w:rFonts w:hint="eastAsia" w:ascii="宋体" w:hAnsi="宋体" w:cs="宋体"/>
          <w:szCs w:val="21"/>
        </w:rPr>
        <w:t>（9）居住证积分申请外调核实函在线开具服务</w:t>
      </w:r>
    </w:p>
    <w:p w14:paraId="23768F2D">
      <w:pPr>
        <w:spacing w:line="360" w:lineRule="auto"/>
        <w:ind w:firstLine="420"/>
        <w:jc w:val="left"/>
        <w:rPr>
          <w:rFonts w:hint="eastAsia" w:ascii="宋体" w:hAnsi="宋体" w:cs="宋体"/>
          <w:szCs w:val="21"/>
        </w:rPr>
      </w:pPr>
      <w:r>
        <w:rPr>
          <w:rFonts w:hint="eastAsia" w:ascii="宋体" w:hAnsi="宋体" w:cs="宋体"/>
          <w:szCs w:val="21"/>
        </w:rPr>
        <w:t>依托“随申办”徐汇区旗舰店，更新徐汇区居住证积分申请外调核实函在线开具服务。通过该服务，市民和单位可以线上申请开具居住证积分申请外调核实函，申请人可以在手机或电脑上查看反馈结果，按照提示信息下载打印居住证积分申请外调核实函及空白《上海市居住证》积分申请人人事档案核实情况表。</w:t>
      </w:r>
    </w:p>
    <w:p w14:paraId="5BEC4E63">
      <w:pPr>
        <w:spacing w:line="360" w:lineRule="auto"/>
        <w:ind w:firstLine="420"/>
        <w:jc w:val="left"/>
        <w:rPr>
          <w:rFonts w:hint="eastAsia" w:ascii="宋体" w:hAnsi="宋体" w:cs="宋体"/>
          <w:szCs w:val="21"/>
        </w:rPr>
      </w:pPr>
      <w:r>
        <w:rPr>
          <w:rFonts w:hint="eastAsia" w:ascii="宋体" w:hAnsi="宋体" w:cs="宋体"/>
          <w:szCs w:val="21"/>
        </w:rPr>
        <w:t>（10）区域专用额度落户调档函在线开具服务</w:t>
      </w:r>
    </w:p>
    <w:p w14:paraId="0A92C2DB">
      <w:pPr>
        <w:spacing w:line="360" w:lineRule="auto"/>
        <w:ind w:firstLine="420"/>
        <w:jc w:val="left"/>
        <w:rPr>
          <w:rFonts w:hint="eastAsia" w:ascii="宋体" w:hAnsi="宋体" w:cs="宋体"/>
          <w:szCs w:val="21"/>
        </w:rPr>
      </w:pPr>
      <w:r>
        <w:rPr>
          <w:rFonts w:hint="eastAsia" w:ascii="宋体" w:hAnsi="宋体" w:cs="宋体"/>
          <w:szCs w:val="21"/>
        </w:rPr>
        <w:t>依托“随申办”徐汇区旗舰店，更新徐汇区区域专用额度落户调档函在线开具服务。通过该服务，市民和单位可以线上申请开具区域专用额度落户调档函，申请人可以在手机上查看反馈结果，按照提示信息下载打印区域专用额度落户调档函。</w:t>
      </w:r>
    </w:p>
    <w:p w14:paraId="72109E8A">
      <w:pPr>
        <w:spacing w:line="360" w:lineRule="auto"/>
        <w:ind w:firstLine="420"/>
        <w:jc w:val="left"/>
        <w:rPr>
          <w:rFonts w:hint="eastAsia" w:ascii="宋体" w:hAnsi="宋体" w:cs="宋体"/>
          <w:b/>
          <w:bCs/>
          <w:szCs w:val="21"/>
        </w:rPr>
      </w:pPr>
      <w:r>
        <w:rPr>
          <w:rFonts w:hint="eastAsia" w:ascii="宋体" w:hAnsi="宋体" w:cs="宋体"/>
          <w:b/>
          <w:bCs/>
          <w:szCs w:val="21"/>
        </w:rPr>
        <w:t>3、“随申办”企业云旗舰店</w:t>
      </w:r>
    </w:p>
    <w:p w14:paraId="4B22DB5E">
      <w:pPr>
        <w:spacing w:line="360" w:lineRule="auto"/>
        <w:ind w:firstLine="420"/>
        <w:jc w:val="left"/>
        <w:rPr>
          <w:rFonts w:hint="eastAsia" w:ascii="宋体" w:hAnsi="宋体" w:cs="宋体"/>
          <w:szCs w:val="21"/>
        </w:rPr>
      </w:pPr>
      <w:r>
        <w:rPr>
          <w:rFonts w:hint="eastAsia" w:ascii="宋体" w:hAnsi="宋体" w:cs="宋体"/>
          <w:szCs w:val="21"/>
        </w:rPr>
        <w:t>通过日常技术服务，能及时掌握旗舰店运营状况，为优化服务提供数据支撑。统一运能监控助力优化资源配置。而接入各类服务及新建专题专栏，能让企业在移动端享受一站式服务，精准获取知识产权、营商环境、特色金融、园区等相关政策、事项及资讯，满足企业多样化需求，提升政务服务效能，营造良好营商环境。</w:t>
      </w:r>
    </w:p>
    <w:p w14:paraId="1920E1A0">
      <w:pPr>
        <w:spacing w:line="360" w:lineRule="auto"/>
        <w:ind w:firstLine="420"/>
        <w:jc w:val="left"/>
        <w:rPr>
          <w:rFonts w:hint="eastAsia" w:ascii="宋体" w:hAnsi="宋体" w:cs="宋体"/>
          <w:szCs w:val="21"/>
        </w:rPr>
      </w:pPr>
      <w:r>
        <w:rPr>
          <w:rFonts w:hint="eastAsia" w:ascii="宋体" w:hAnsi="宋体" w:cs="宋体"/>
          <w:szCs w:val="21"/>
        </w:rPr>
        <w:t>（1）统一运能监控服务</w:t>
      </w:r>
    </w:p>
    <w:p w14:paraId="62282000">
      <w:pPr>
        <w:spacing w:line="360" w:lineRule="auto"/>
        <w:ind w:firstLine="420"/>
        <w:jc w:val="left"/>
        <w:rPr>
          <w:rFonts w:hint="eastAsia" w:ascii="宋体" w:hAnsi="宋体" w:cs="宋体"/>
          <w:szCs w:val="21"/>
        </w:rPr>
      </w:pPr>
      <w:r>
        <w:rPr>
          <w:rFonts w:hint="eastAsia" w:ascii="宋体" w:hAnsi="宋体" w:cs="宋体"/>
          <w:szCs w:val="21"/>
        </w:rPr>
        <w:t>服务期间通过相关工具对“随申办”企业云徐汇旗舰店的服务接入情况、用户登录数据、专题专栏访问量、办件量等进行埋点统计。</w:t>
      </w:r>
    </w:p>
    <w:p w14:paraId="4C0BAACA">
      <w:pPr>
        <w:spacing w:line="360" w:lineRule="auto"/>
        <w:ind w:firstLine="420"/>
        <w:jc w:val="left"/>
        <w:rPr>
          <w:rFonts w:hint="eastAsia" w:ascii="宋体" w:hAnsi="宋体" w:cs="宋体"/>
          <w:szCs w:val="21"/>
        </w:rPr>
      </w:pPr>
      <w:r>
        <w:rPr>
          <w:rFonts w:hint="eastAsia" w:ascii="宋体" w:hAnsi="宋体" w:cs="宋体"/>
          <w:szCs w:val="21"/>
        </w:rPr>
        <w:t>（2）为企服务接入</w:t>
      </w:r>
    </w:p>
    <w:p w14:paraId="2961D327">
      <w:pPr>
        <w:spacing w:line="360" w:lineRule="auto"/>
        <w:ind w:firstLine="420"/>
        <w:jc w:val="left"/>
        <w:rPr>
          <w:rFonts w:hint="eastAsia" w:ascii="宋体" w:hAnsi="宋体" w:cs="宋体"/>
          <w:szCs w:val="21"/>
        </w:rPr>
      </w:pPr>
      <w:r>
        <w:rPr>
          <w:rFonts w:hint="eastAsia" w:ascii="宋体" w:hAnsi="宋体" w:cs="宋体"/>
          <w:szCs w:val="21"/>
        </w:rPr>
        <w:t>接入为企服务，具体内容包括：授权代办服务接入、政策体检的服务接入、“一企一档”服务接入、特色应用服务接入。</w:t>
      </w:r>
    </w:p>
    <w:p w14:paraId="4FF30E7E">
      <w:pPr>
        <w:spacing w:line="360" w:lineRule="auto"/>
        <w:ind w:firstLine="420"/>
        <w:jc w:val="left"/>
        <w:rPr>
          <w:rFonts w:hint="eastAsia" w:ascii="宋体" w:hAnsi="宋体" w:cs="宋体"/>
          <w:b/>
          <w:bCs/>
          <w:szCs w:val="21"/>
        </w:rPr>
      </w:pPr>
      <w:r>
        <w:rPr>
          <w:rFonts w:hint="eastAsia" w:ascii="宋体" w:hAnsi="宋体" w:cs="宋体"/>
          <w:b/>
          <w:bCs/>
          <w:szCs w:val="21"/>
        </w:rPr>
        <w:t>4、虚拟帮办咨询服务平台</w:t>
      </w:r>
    </w:p>
    <w:p w14:paraId="6BD8BBB1">
      <w:pPr>
        <w:spacing w:line="360" w:lineRule="auto"/>
        <w:ind w:firstLine="420"/>
        <w:jc w:val="left"/>
        <w:rPr>
          <w:rFonts w:hint="eastAsia" w:ascii="宋体" w:hAnsi="宋体" w:cs="宋体"/>
          <w:szCs w:val="21"/>
        </w:rPr>
      </w:pPr>
      <w:bookmarkStart w:id="5" w:name="_Toc235113802"/>
      <w:r>
        <w:rPr>
          <w:rFonts w:hint="eastAsia" w:ascii="宋体" w:hAnsi="宋体" w:cs="宋体"/>
          <w:szCs w:val="21"/>
        </w:rPr>
        <w:t>（1）虚拟大厅3D建模更新</w:t>
      </w:r>
      <w:bookmarkEnd w:id="5"/>
    </w:p>
    <w:p w14:paraId="1A9530AC">
      <w:pPr>
        <w:spacing w:line="360" w:lineRule="auto"/>
        <w:ind w:firstLine="420"/>
        <w:jc w:val="left"/>
        <w:rPr>
          <w:rFonts w:hint="eastAsia" w:ascii="宋体" w:hAnsi="宋体" w:cs="宋体"/>
          <w:szCs w:val="21"/>
        </w:rPr>
      </w:pPr>
      <w:bookmarkStart w:id="6" w:name="OLE_LINK42"/>
      <w:r>
        <w:rPr>
          <w:rFonts w:hint="eastAsia" w:ascii="宋体" w:hAnsi="宋体" w:cs="宋体"/>
          <w:szCs w:val="21"/>
        </w:rPr>
        <w:t>对企业帮办专区、增值服务专区和出海专区进行大厅全景高精度建模，同时设置交互热点与信息标注，规划设计虚拟导览路径。同时覆盖PC端、适配移动端接入旗舰店应用，完成大厅排队叫号系统和统一身份认证对接。</w:t>
      </w:r>
    </w:p>
    <w:bookmarkEnd w:id="6"/>
    <w:p w14:paraId="4AD21BB0">
      <w:pPr>
        <w:spacing w:line="360" w:lineRule="auto"/>
        <w:ind w:firstLine="420"/>
        <w:jc w:val="left"/>
        <w:rPr>
          <w:rFonts w:hint="eastAsia" w:ascii="宋体" w:hAnsi="宋体" w:cs="宋体"/>
          <w:b/>
          <w:bCs/>
          <w:szCs w:val="21"/>
        </w:rPr>
      </w:pPr>
      <w:r>
        <w:rPr>
          <w:rFonts w:hint="eastAsia" w:ascii="宋体" w:hAnsi="宋体" w:cs="宋体"/>
          <w:b/>
          <w:bCs/>
          <w:szCs w:val="21"/>
        </w:rPr>
        <w:t>5、区统一综窗基础支撑系统</w:t>
      </w:r>
    </w:p>
    <w:p w14:paraId="5176EF21">
      <w:pPr>
        <w:spacing w:line="360" w:lineRule="auto"/>
        <w:ind w:firstLine="420"/>
        <w:jc w:val="left"/>
        <w:rPr>
          <w:rFonts w:hint="eastAsia" w:ascii="宋体" w:hAnsi="宋体" w:cs="宋体"/>
          <w:szCs w:val="21"/>
        </w:rPr>
      </w:pPr>
      <w:r>
        <w:rPr>
          <w:rFonts w:hint="eastAsia" w:ascii="宋体" w:hAnsi="宋体" w:cs="宋体"/>
          <w:szCs w:val="21"/>
        </w:rPr>
        <w:t>（1）企业增值服务预约调整</w:t>
      </w:r>
    </w:p>
    <w:p w14:paraId="6C9D5568">
      <w:pPr>
        <w:spacing w:line="360" w:lineRule="auto"/>
        <w:ind w:firstLine="420"/>
        <w:jc w:val="left"/>
        <w:rPr>
          <w:rFonts w:hint="eastAsia" w:ascii="宋体" w:hAnsi="宋体" w:cs="宋体"/>
          <w:szCs w:val="21"/>
        </w:rPr>
      </w:pPr>
      <w:r>
        <w:rPr>
          <w:rFonts w:hint="eastAsia" w:ascii="宋体" w:hAnsi="宋体" w:cs="宋体"/>
          <w:szCs w:val="21"/>
        </w:rPr>
        <w:t>因企业增值服务专区的设立，新增企业增值服务专区预约、企业出海服务预约，调整预约页面、我的预约，新增后端预约查询，并对接预约相关系统。</w:t>
      </w:r>
    </w:p>
    <w:p w14:paraId="587C0A2C">
      <w:pPr>
        <w:spacing w:line="360" w:lineRule="auto"/>
        <w:ind w:firstLine="420"/>
        <w:jc w:val="left"/>
        <w:rPr>
          <w:rFonts w:hint="eastAsia" w:ascii="宋体" w:hAnsi="宋体" w:cs="宋体"/>
          <w:szCs w:val="21"/>
        </w:rPr>
      </w:pPr>
      <w:r>
        <w:rPr>
          <w:rFonts w:hint="eastAsia" w:ascii="宋体" w:hAnsi="宋体" w:cs="宋体"/>
          <w:szCs w:val="21"/>
        </w:rPr>
        <w:t>（2）取号叫号调整</w:t>
      </w:r>
    </w:p>
    <w:p w14:paraId="01D384CB">
      <w:pPr>
        <w:spacing w:line="360" w:lineRule="auto"/>
        <w:ind w:firstLine="420"/>
        <w:jc w:val="left"/>
        <w:rPr>
          <w:rFonts w:hint="eastAsia" w:ascii="宋体" w:hAnsi="宋体" w:cs="宋体"/>
          <w:szCs w:val="21"/>
        </w:rPr>
      </w:pPr>
      <w:r>
        <w:rPr>
          <w:rFonts w:hint="eastAsia" w:ascii="宋体" w:hAnsi="宋体" w:cs="宋体"/>
          <w:szCs w:val="21"/>
        </w:rPr>
        <w:t>为新增的企业帮办专区、增值服务专区和出海专区开发数据接口，包括：大厅对应取号信息接口、大厅对应取号数据统计接口、事项组别查询对应号票接口、组别实时等候人数接口。</w:t>
      </w:r>
    </w:p>
    <w:p w14:paraId="7F195FBD">
      <w:pPr>
        <w:spacing w:line="360" w:lineRule="auto"/>
        <w:ind w:firstLine="420"/>
        <w:jc w:val="left"/>
        <w:rPr>
          <w:rFonts w:hint="eastAsia" w:ascii="宋体" w:hAnsi="宋体" w:cs="宋体"/>
          <w:szCs w:val="21"/>
        </w:rPr>
      </w:pPr>
      <w:r>
        <w:rPr>
          <w:rFonts w:hint="eastAsia" w:ascii="宋体" w:hAnsi="宋体" w:cs="宋体"/>
          <w:szCs w:val="21"/>
        </w:rPr>
        <w:t>（3）“餐饮提前审图”智能表单</w:t>
      </w:r>
    </w:p>
    <w:p w14:paraId="6AABB604">
      <w:pPr>
        <w:spacing w:line="360" w:lineRule="auto"/>
        <w:ind w:firstLine="420"/>
        <w:jc w:val="left"/>
        <w:rPr>
          <w:rFonts w:hint="eastAsia" w:ascii="宋体" w:hAnsi="宋体" w:cs="宋体"/>
          <w:szCs w:val="21"/>
        </w:rPr>
      </w:pPr>
      <w:r>
        <w:rPr>
          <w:rFonts w:hint="eastAsia" w:ascii="宋体" w:hAnsi="宋体" w:cs="宋体"/>
          <w:szCs w:val="21"/>
        </w:rPr>
        <w:t>移动端申请表表单定制、随申办登录对接、申请表常规字段校验、申请表经营地址专项校验、后台及排队叫号改造。</w:t>
      </w:r>
    </w:p>
    <w:p w14:paraId="056CFB11">
      <w:pPr>
        <w:spacing w:line="360" w:lineRule="auto"/>
        <w:ind w:firstLine="420"/>
        <w:jc w:val="left"/>
        <w:rPr>
          <w:rFonts w:hint="eastAsia" w:ascii="宋体" w:hAnsi="宋体" w:cs="宋体"/>
          <w:szCs w:val="21"/>
        </w:rPr>
      </w:pPr>
      <w:r>
        <w:rPr>
          <w:rFonts w:hint="eastAsia" w:ascii="宋体" w:hAnsi="宋体" w:cs="宋体"/>
          <w:szCs w:val="21"/>
        </w:rPr>
        <w:t>（4）“宠物犬猫检疫”智能表单</w:t>
      </w:r>
    </w:p>
    <w:p w14:paraId="287D151D">
      <w:pPr>
        <w:spacing w:line="360" w:lineRule="auto"/>
        <w:ind w:firstLine="420"/>
        <w:jc w:val="left"/>
        <w:rPr>
          <w:rFonts w:hint="eastAsia" w:ascii="宋体" w:hAnsi="宋体" w:cs="宋体"/>
          <w:szCs w:val="21"/>
        </w:rPr>
      </w:pPr>
      <w:r>
        <w:rPr>
          <w:rFonts w:hint="eastAsia" w:ascii="宋体" w:hAnsi="宋体" w:cs="宋体"/>
          <w:szCs w:val="21"/>
        </w:rPr>
        <w:t>移动端申请表表单定制、申报信息预填、填报信息校验、历史办件查询、审批短信提醒。</w:t>
      </w:r>
    </w:p>
    <w:p w14:paraId="6671C77E">
      <w:pPr>
        <w:spacing w:line="360" w:lineRule="auto"/>
        <w:ind w:firstLine="420"/>
        <w:jc w:val="left"/>
        <w:rPr>
          <w:rFonts w:hint="eastAsia" w:ascii="宋体" w:hAnsi="宋体" w:cs="宋体"/>
          <w:b/>
          <w:bCs/>
          <w:szCs w:val="21"/>
        </w:rPr>
      </w:pPr>
      <w:r>
        <w:rPr>
          <w:rFonts w:hint="eastAsia" w:ascii="宋体" w:hAnsi="宋体" w:cs="宋体"/>
          <w:b/>
          <w:bCs/>
          <w:szCs w:val="21"/>
        </w:rPr>
        <w:t>6、政务智能办平台</w:t>
      </w:r>
    </w:p>
    <w:p w14:paraId="0193FFA1">
      <w:pPr>
        <w:spacing w:line="360" w:lineRule="auto"/>
        <w:ind w:firstLine="420"/>
        <w:jc w:val="left"/>
        <w:rPr>
          <w:rFonts w:hint="eastAsia" w:ascii="宋体" w:hAnsi="宋体" w:cs="宋体"/>
          <w:szCs w:val="21"/>
        </w:rPr>
      </w:pPr>
      <w:r>
        <w:rPr>
          <w:rFonts w:hint="eastAsia" w:ascii="宋体" w:hAnsi="宋体" w:cs="宋体"/>
          <w:szCs w:val="21"/>
        </w:rPr>
        <w:t>（1）综窗帮办区功能调整</w:t>
      </w:r>
    </w:p>
    <w:p w14:paraId="325AAA19">
      <w:pPr>
        <w:spacing w:line="360" w:lineRule="auto"/>
        <w:ind w:firstLine="420"/>
        <w:jc w:val="left"/>
        <w:rPr>
          <w:rFonts w:hint="eastAsia" w:ascii="宋体" w:hAnsi="宋体" w:cs="宋体"/>
          <w:szCs w:val="21"/>
        </w:rPr>
      </w:pPr>
      <w:r>
        <w:rPr>
          <w:rFonts w:hint="eastAsia" w:ascii="宋体" w:hAnsi="宋体" w:cs="宋体"/>
          <w:szCs w:val="21"/>
        </w:rPr>
        <w:t>新增帮办叫号屏展示，综窗新增环节，取件凭证调整，新增帮办凭证。</w:t>
      </w:r>
    </w:p>
    <w:p w14:paraId="24E0B080">
      <w:pPr>
        <w:spacing w:line="360" w:lineRule="auto"/>
        <w:ind w:firstLine="420"/>
        <w:jc w:val="left"/>
        <w:rPr>
          <w:rFonts w:hint="eastAsia" w:ascii="宋体" w:hAnsi="宋体" w:cs="宋体"/>
          <w:b/>
          <w:bCs/>
          <w:szCs w:val="21"/>
        </w:rPr>
      </w:pPr>
      <w:r>
        <w:rPr>
          <w:rFonts w:hint="eastAsia" w:ascii="宋体" w:hAnsi="宋体" w:cs="宋体"/>
          <w:b/>
          <w:bCs/>
          <w:szCs w:val="21"/>
        </w:rPr>
        <w:t>7、政务服务可视化大屏</w:t>
      </w:r>
    </w:p>
    <w:p w14:paraId="6EC2D5BD">
      <w:pPr>
        <w:spacing w:line="360" w:lineRule="auto"/>
        <w:ind w:firstLine="420"/>
        <w:jc w:val="left"/>
        <w:rPr>
          <w:rFonts w:hint="eastAsia" w:ascii="宋体" w:hAnsi="宋体" w:cs="宋体"/>
          <w:szCs w:val="21"/>
        </w:rPr>
      </w:pPr>
      <w:r>
        <w:rPr>
          <w:rFonts w:hint="eastAsia" w:ascii="宋体" w:hAnsi="宋体" w:cs="宋体"/>
          <w:szCs w:val="21"/>
        </w:rPr>
        <w:t>（1）服务台栏目调整</w:t>
      </w:r>
    </w:p>
    <w:p w14:paraId="5DA6FCD8">
      <w:pPr>
        <w:spacing w:line="360" w:lineRule="auto"/>
        <w:ind w:firstLine="420"/>
        <w:jc w:val="left"/>
        <w:rPr>
          <w:rFonts w:hint="eastAsia" w:ascii="宋体" w:hAnsi="宋体" w:cs="宋体"/>
          <w:szCs w:val="21"/>
        </w:rPr>
      </w:pPr>
      <w:r>
        <w:rPr>
          <w:rFonts w:hint="eastAsia" w:ascii="宋体" w:hAnsi="宋体" w:cs="宋体"/>
          <w:szCs w:val="21"/>
        </w:rPr>
        <w:t>“一网通办”栏目、政务窗口栏目、线上帮办栏目、随申办移动端栏目、政策"随申兑"栏目、部门重点指标分析栏目、咨询热线分析栏目、服务规范分析栏目、业务改革情况栏目。</w:t>
      </w:r>
    </w:p>
    <w:p w14:paraId="7FB3972C">
      <w:pPr>
        <w:spacing w:line="360" w:lineRule="auto"/>
        <w:ind w:firstLine="420"/>
        <w:jc w:val="left"/>
        <w:rPr>
          <w:rFonts w:hint="eastAsia" w:ascii="宋体" w:hAnsi="宋体" w:cs="宋体"/>
          <w:szCs w:val="21"/>
        </w:rPr>
      </w:pPr>
      <w:r>
        <w:rPr>
          <w:rFonts w:hint="eastAsia" w:ascii="宋体" w:hAnsi="宋体" w:cs="宋体"/>
          <w:szCs w:val="21"/>
        </w:rPr>
        <w:t>（2）AI语音助手</w:t>
      </w:r>
    </w:p>
    <w:p w14:paraId="1B8777F6">
      <w:pPr>
        <w:spacing w:line="360" w:lineRule="auto"/>
        <w:ind w:firstLine="420"/>
        <w:jc w:val="left"/>
        <w:rPr>
          <w:rFonts w:hint="eastAsia" w:ascii="宋体" w:hAnsi="宋体" w:cs="宋体"/>
          <w:szCs w:val="21"/>
        </w:rPr>
      </w:pPr>
      <w:r>
        <w:rPr>
          <w:rFonts w:hint="eastAsia" w:ascii="宋体" w:hAnsi="宋体" w:cs="宋体"/>
          <w:szCs w:val="21"/>
        </w:rPr>
        <w:t>提供语音对话入口,对接语音识别（TTS）与AI问答接口，回复完成后自动渲染ECharts图表。</w:t>
      </w:r>
    </w:p>
    <w:p w14:paraId="02A1CEF5">
      <w:pPr>
        <w:spacing w:line="360" w:lineRule="auto"/>
        <w:ind w:firstLine="420"/>
        <w:jc w:val="left"/>
        <w:rPr>
          <w:rFonts w:hint="eastAsia" w:ascii="宋体" w:hAnsi="宋体" w:cs="宋体"/>
          <w:b/>
          <w:bCs/>
          <w:szCs w:val="21"/>
        </w:rPr>
      </w:pPr>
      <w:r>
        <w:rPr>
          <w:rFonts w:hint="eastAsia" w:ascii="宋体" w:hAnsi="宋体" w:cs="宋体"/>
          <w:b/>
          <w:bCs/>
          <w:szCs w:val="21"/>
        </w:rPr>
        <w:t>8、自助工作台系统、证照柜系统</w:t>
      </w:r>
    </w:p>
    <w:p w14:paraId="59A06B2D">
      <w:pPr>
        <w:spacing w:line="360" w:lineRule="auto"/>
        <w:ind w:firstLine="420"/>
        <w:jc w:val="left"/>
        <w:rPr>
          <w:rFonts w:hint="eastAsia" w:ascii="宋体" w:hAnsi="宋体" w:cs="宋体"/>
          <w:szCs w:val="21"/>
        </w:rPr>
      </w:pPr>
      <w:r>
        <w:rPr>
          <w:rFonts w:hint="eastAsia" w:ascii="宋体" w:hAnsi="宋体" w:cs="宋体"/>
          <w:szCs w:val="21"/>
        </w:rPr>
        <w:t>徐汇区政务服务中心C厅24小时自助服务区自助工作台的运行管理系统在运行中的故障处理、技术咨询、升级调优、巡检、培训、系统优化、系统安全的维护服务。</w:t>
      </w:r>
    </w:p>
    <w:p w14:paraId="5EE7AF32">
      <w:pPr>
        <w:spacing w:line="360" w:lineRule="auto"/>
        <w:ind w:firstLine="420"/>
        <w:jc w:val="left"/>
        <w:rPr>
          <w:rFonts w:hint="eastAsia" w:ascii="宋体" w:hAnsi="宋体" w:cs="宋体"/>
          <w:szCs w:val="21"/>
        </w:rPr>
      </w:pPr>
      <w:r>
        <w:rPr>
          <w:rFonts w:hint="eastAsia" w:ascii="宋体" w:hAnsi="宋体" w:cs="宋体"/>
          <w:szCs w:val="21"/>
        </w:rPr>
        <w:t>（1）配套系统运维服务</w:t>
      </w:r>
    </w:p>
    <w:p w14:paraId="1934A8B1">
      <w:pPr>
        <w:spacing w:line="360" w:lineRule="auto"/>
        <w:ind w:firstLine="420"/>
        <w:jc w:val="left"/>
        <w:rPr>
          <w:rFonts w:hint="eastAsia" w:ascii="宋体" w:hAnsi="宋体" w:cs="宋体"/>
          <w:szCs w:val="21"/>
        </w:rPr>
      </w:pPr>
      <w:r>
        <w:rPr>
          <w:rFonts w:hint="eastAsia" w:ascii="宋体" w:hAnsi="宋体" w:cs="宋体"/>
          <w:szCs w:val="21"/>
        </w:rPr>
        <w:t>软件系统故障处理、系统运行设置维护、软件系统定期巡检服务、软件系统优化及需求变更、技术咨询服务、安全维护服务。</w:t>
      </w:r>
    </w:p>
    <w:p w14:paraId="27C81F6E">
      <w:pPr>
        <w:spacing w:line="360" w:lineRule="auto"/>
        <w:ind w:firstLine="420"/>
        <w:jc w:val="left"/>
        <w:rPr>
          <w:rFonts w:hint="eastAsia" w:ascii="宋体" w:hAnsi="宋体" w:cs="宋体"/>
          <w:szCs w:val="21"/>
        </w:rPr>
      </w:pPr>
      <w:r>
        <w:rPr>
          <w:rFonts w:hint="eastAsia" w:ascii="宋体" w:hAnsi="宋体" w:cs="宋体"/>
          <w:szCs w:val="21"/>
        </w:rPr>
        <w:t>（2）</w:t>
      </w:r>
      <w:r>
        <w:rPr>
          <w:rFonts w:hint="eastAsia" w:ascii="宋体" w:hAnsi="宋体" w:cs="宋体"/>
          <w:szCs w:val="21"/>
          <w:lang w:eastAsia="zh-CN"/>
        </w:rPr>
        <w:t>国产化</w:t>
      </w:r>
      <w:r>
        <w:rPr>
          <w:rFonts w:hint="eastAsia" w:ascii="宋体" w:hAnsi="宋体" w:cs="宋体"/>
          <w:szCs w:val="21"/>
        </w:rPr>
        <w:t>改造</w:t>
      </w:r>
    </w:p>
    <w:p w14:paraId="146D6B03">
      <w:pPr>
        <w:spacing w:line="360" w:lineRule="auto"/>
        <w:ind w:firstLine="420"/>
        <w:jc w:val="left"/>
        <w:rPr>
          <w:rFonts w:hint="eastAsia" w:ascii="宋体" w:hAnsi="宋体" w:cs="宋体"/>
          <w:szCs w:val="21"/>
        </w:rPr>
      </w:pPr>
      <w:r>
        <w:rPr>
          <w:rFonts w:hint="eastAsia" w:ascii="宋体" w:hAnsi="宋体" w:cs="宋体"/>
          <w:szCs w:val="21"/>
        </w:rPr>
        <w:t>基础软件</w:t>
      </w:r>
      <w:r>
        <w:rPr>
          <w:rFonts w:hint="eastAsia" w:ascii="宋体" w:hAnsi="宋体" w:cs="宋体"/>
          <w:szCs w:val="21"/>
          <w:lang w:eastAsia="zh-CN"/>
        </w:rPr>
        <w:t>国产化</w:t>
      </w:r>
      <w:r>
        <w:rPr>
          <w:rFonts w:hint="eastAsia" w:ascii="宋体" w:hAnsi="宋体" w:cs="宋体"/>
          <w:szCs w:val="21"/>
        </w:rPr>
        <w:t>适配改造、应用软件</w:t>
      </w:r>
      <w:r>
        <w:rPr>
          <w:rFonts w:hint="eastAsia" w:ascii="宋体" w:hAnsi="宋体" w:cs="宋体"/>
          <w:szCs w:val="21"/>
          <w:lang w:eastAsia="zh-CN"/>
        </w:rPr>
        <w:t>国产化</w:t>
      </w:r>
      <w:r>
        <w:rPr>
          <w:rFonts w:hint="eastAsia" w:ascii="宋体" w:hAnsi="宋体" w:cs="宋体"/>
          <w:szCs w:val="21"/>
        </w:rPr>
        <w:t>改造、硬件适配改造、部署测试。</w:t>
      </w:r>
    </w:p>
    <w:p w14:paraId="564877AB">
      <w:pPr>
        <w:spacing w:line="360" w:lineRule="auto"/>
        <w:ind w:firstLine="420"/>
        <w:jc w:val="left"/>
        <w:rPr>
          <w:rFonts w:hint="eastAsia" w:ascii="宋体" w:hAnsi="宋体" w:cs="宋体"/>
          <w:szCs w:val="21"/>
        </w:rPr>
      </w:pPr>
      <w:r>
        <w:rPr>
          <w:rFonts w:hint="eastAsia" w:ascii="宋体" w:hAnsi="宋体" w:cs="宋体"/>
          <w:szCs w:val="21"/>
        </w:rPr>
        <w:t>（3）证照自助打印系统更新</w:t>
      </w:r>
    </w:p>
    <w:p w14:paraId="13496722">
      <w:pPr>
        <w:spacing w:line="360" w:lineRule="auto"/>
        <w:ind w:firstLine="420"/>
        <w:jc w:val="left"/>
        <w:rPr>
          <w:rFonts w:hint="eastAsia" w:ascii="宋体" w:hAnsi="宋体" w:cs="宋体"/>
          <w:szCs w:val="21"/>
        </w:rPr>
      </w:pPr>
      <w:r>
        <w:rPr>
          <w:rFonts w:hint="eastAsia" w:ascii="宋体" w:hAnsi="宋体" w:cs="宋体"/>
          <w:szCs w:val="21"/>
        </w:rPr>
        <w:t>全程网办设立登记、全程网办变更登记、线下办理。</w:t>
      </w:r>
    </w:p>
    <w:p w14:paraId="14F1EB2E">
      <w:pPr>
        <w:spacing w:line="360" w:lineRule="auto"/>
        <w:ind w:firstLine="420"/>
        <w:jc w:val="left"/>
        <w:rPr>
          <w:rFonts w:hint="eastAsia" w:ascii="宋体" w:hAnsi="宋体" w:cs="宋体"/>
          <w:szCs w:val="21"/>
        </w:rPr>
      </w:pPr>
      <w:r>
        <w:rPr>
          <w:rFonts w:hint="eastAsia" w:ascii="宋体" w:hAnsi="宋体" w:cs="宋体"/>
          <w:szCs w:val="21"/>
        </w:rPr>
        <w:t>（4）证照柜功能调整</w:t>
      </w:r>
    </w:p>
    <w:p w14:paraId="34D42E0A">
      <w:pPr>
        <w:spacing w:line="360" w:lineRule="auto"/>
        <w:ind w:firstLine="420"/>
        <w:jc w:val="left"/>
        <w:rPr>
          <w:rFonts w:hint="eastAsia" w:ascii="宋体" w:hAnsi="宋体" w:cs="宋体"/>
          <w:szCs w:val="21"/>
        </w:rPr>
      </w:pPr>
      <w:r>
        <w:rPr>
          <w:rFonts w:hint="eastAsia" w:ascii="宋体" w:hAnsi="宋体" w:cs="宋体"/>
          <w:szCs w:val="21"/>
        </w:rPr>
        <w:t>更新取证验证方式、取证通知短信更新、证照柜操作页面升级、办件编码扫码核验。</w:t>
      </w:r>
    </w:p>
    <w:p w14:paraId="39B7B8BA">
      <w:pPr>
        <w:spacing w:line="360" w:lineRule="auto"/>
        <w:ind w:firstLine="420"/>
        <w:jc w:val="left"/>
        <w:rPr>
          <w:rFonts w:hint="eastAsia" w:ascii="宋体" w:hAnsi="宋体" w:cs="宋体"/>
          <w:szCs w:val="21"/>
        </w:rPr>
      </w:pPr>
    </w:p>
    <w:p w14:paraId="44A387EE">
      <w:pPr>
        <w:spacing w:line="360" w:lineRule="auto"/>
        <w:jc w:val="left"/>
        <w:rPr>
          <w:rFonts w:hint="eastAsia" w:ascii="宋体" w:hAnsi="宋体"/>
          <w:b/>
        </w:rPr>
      </w:pPr>
      <w:bookmarkStart w:id="7" w:name="_Toc178192283"/>
      <w:r>
        <w:rPr>
          <w:rFonts w:hint="eastAsia" w:ascii="宋体" w:hAnsi="宋体"/>
          <w:b/>
        </w:rPr>
        <w:t>三、其它需求</w:t>
      </w:r>
      <w:bookmarkEnd w:id="7"/>
    </w:p>
    <w:p w14:paraId="7685C0B8">
      <w:pPr>
        <w:spacing w:line="360" w:lineRule="auto"/>
        <w:jc w:val="left"/>
        <w:rPr>
          <w:rFonts w:hint="eastAsia" w:ascii="宋体" w:hAnsi="宋体"/>
          <w:b/>
        </w:rPr>
      </w:pPr>
      <w:r>
        <w:rPr>
          <w:rFonts w:hint="eastAsia" w:ascii="宋体" w:hAnsi="宋体"/>
          <w:b/>
        </w:rPr>
        <w:t>（一）技术服务要求</w:t>
      </w:r>
    </w:p>
    <w:p w14:paraId="7D988E9D">
      <w:pPr>
        <w:spacing w:line="360" w:lineRule="auto"/>
        <w:ind w:firstLine="420"/>
        <w:jc w:val="left"/>
        <w:rPr>
          <w:rFonts w:hint="eastAsia" w:ascii="宋体" w:hAnsi="宋体" w:cs="宋体"/>
          <w:b/>
          <w:bCs/>
          <w:szCs w:val="21"/>
        </w:rPr>
      </w:pPr>
      <w:r>
        <w:rPr>
          <w:rFonts w:hint="eastAsia" w:ascii="宋体" w:hAnsi="宋体" w:cs="宋体"/>
          <w:b/>
          <w:bCs/>
          <w:szCs w:val="21"/>
        </w:rPr>
        <w:t>1、服务功能可用</w:t>
      </w:r>
    </w:p>
    <w:p w14:paraId="3FBB75BB">
      <w:pPr>
        <w:spacing w:line="360" w:lineRule="auto"/>
        <w:ind w:firstLine="420"/>
        <w:jc w:val="left"/>
        <w:rPr>
          <w:rFonts w:hint="eastAsia" w:ascii="宋体" w:hAnsi="宋体" w:cs="宋体"/>
          <w:szCs w:val="21"/>
        </w:rPr>
      </w:pPr>
      <w:r>
        <w:rPr>
          <w:rFonts w:hint="eastAsia" w:ascii="宋体" w:hAnsi="宋体" w:cs="宋体"/>
          <w:szCs w:val="21"/>
        </w:rPr>
        <w:t>为保障徐汇区“一网通办”平台提供政务服务的质量和口碑，所有相关办事服务功能应做到稳定、可用、可靠、安全，应确保做到所有相关平台系统7*24小时运行稳定，做好定期巡检及运行监控，为用户提供高效、便捷的在线政务服务（因服务升级维护或其他特殊原因而导致的服务停用情况除外）。</w:t>
      </w:r>
    </w:p>
    <w:p w14:paraId="169A2F6C">
      <w:pPr>
        <w:spacing w:line="360" w:lineRule="auto"/>
        <w:ind w:firstLine="420"/>
        <w:jc w:val="left"/>
        <w:rPr>
          <w:rFonts w:hint="eastAsia" w:ascii="宋体" w:hAnsi="宋体" w:cs="宋体"/>
          <w:b/>
          <w:bCs/>
          <w:szCs w:val="21"/>
        </w:rPr>
      </w:pPr>
      <w:r>
        <w:rPr>
          <w:rFonts w:hint="eastAsia" w:ascii="宋体" w:hAnsi="宋体" w:cs="宋体"/>
          <w:b/>
          <w:bCs/>
          <w:szCs w:val="21"/>
        </w:rPr>
        <w:t>2、系统性能稳定</w:t>
      </w:r>
    </w:p>
    <w:p w14:paraId="2DBAAFD0">
      <w:pPr>
        <w:spacing w:line="360" w:lineRule="auto"/>
        <w:ind w:firstLine="420"/>
        <w:jc w:val="left"/>
        <w:rPr>
          <w:rFonts w:hint="eastAsia" w:ascii="宋体" w:hAnsi="宋体" w:cs="宋体"/>
          <w:szCs w:val="21"/>
        </w:rPr>
      </w:pPr>
      <w:r>
        <w:rPr>
          <w:rFonts w:hint="eastAsia" w:ascii="宋体" w:hAnsi="宋体" w:cs="宋体"/>
          <w:szCs w:val="21"/>
        </w:rPr>
        <w:t>为保障徐汇区“一网通办”平台的长效平稳运行，应确保平台所有相关子系统或提供的相关接口服务稳定可靠、性能良好。同时，应持续优化平台架构，充分考虑容灾备份及异常容错机制，确保平台的稳定性、健壮性及可靠性，保障提供服务不断不乱。</w:t>
      </w:r>
    </w:p>
    <w:p w14:paraId="777B69F1">
      <w:pPr>
        <w:spacing w:line="360" w:lineRule="auto"/>
        <w:ind w:firstLine="420"/>
        <w:jc w:val="left"/>
        <w:rPr>
          <w:rFonts w:hint="eastAsia" w:ascii="宋体" w:hAnsi="宋体" w:cs="宋体"/>
          <w:b/>
          <w:bCs/>
          <w:szCs w:val="21"/>
        </w:rPr>
      </w:pPr>
      <w:r>
        <w:rPr>
          <w:rFonts w:hint="eastAsia" w:ascii="宋体" w:hAnsi="宋体" w:cs="宋体"/>
          <w:b/>
          <w:bCs/>
          <w:szCs w:val="21"/>
        </w:rPr>
        <w:t>3、需求理解到位</w:t>
      </w:r>
    </w:p>
    <w:p w14:paraId="43D2C2D0">
      <w:pPr>
        <w:spacing w:line="360" w:lineRule="auto"/>
        <w:ind w:firstLine="420"/>
        <w:jc w:val="left"/>
        <w:rPr>
          <w:rFonts w:hint="eastAsia" w:ascii="宋体" w:hAnsi="宋体" w:cs="宋体"/>
          <w:szCs w:val="21"/>
        </w:rPr>
      </w:pPr>
      <w:r>
        <w:rPr>
          <w:rFonts w:hint="eastAsia" w:ascii="宋体" w:hAnsi="宋体" w:cs="宋体"/>
          <w:szCs w:val="21"/>
        </w:rPr>
        <w:t>为保障徐汇区“一网通办”政务服务所提供的服务内容在业务层面符合相关法律法规及业务流程要求，在开展相关服务内容接入工作前，应进行详细、深入、全面的业务需求调研，做到需求理解准确到位，后期的技术对接实施工作应根据前期确定的需求进行实现，确保所有徐汇区“一网通办”的政务服务内容满足业务需求。</w:t>
      </w:r>
    </w:p>
    <w:p w14:paraId="02005293">
      <w:pPr>
        <w:spacing w:line="360" w:lineRule="auto"/>
        <w:ind w:firstLine="420"/>
        <w:jc w:val="left"/>
        <w:rPr>
          <w:rFonts w:hint="eastAsia" w:ascii="宋体" w:hAnsi="宋体" w:cs="宋体"/>
          <w:b/>
          <w:bCs/>
          <w:szCs w:val="21"/>
        </w:rPr>
      </w:pPr>
      <w:r>
        <w:rPr>
          <w:rFonts w:hint="eastAsia" w:ascii="宋体" w:hAnsi="宋体" w:cs="宋体"/>
          <w:b/>
          <w:bCs/>
          <w:szCs w:val="21"/>
        </w:rPr>
        <w:t>4、界面风格统一</w:t>
      </w:r>
    </w:p>
    <w:p w14:paraId="7FC37D61">
      <w:pPr>
        <w:spacing w:line="360" w:lineRule="auto"/>
        <w:ind w:firstLine="420"/>
        <w:jc w:val="left"/>
        <w:rPr>
          <w:rFonts w:hint="eastAsia" w:ascii="宋体" w:hAnsi="宋体" w:cs="宋体"/>
          <w:szCs w:val="21"/>
        </w:rPr>
      </w:pPr>
      <w:r>
        <w:rPr>
          <w:rFonts w:hint="eastAsia" w:ascii="宋体" w:hAnsi="宋体" w:cs="宋体"/>
          <w:szCs w:val="21"/>
        </w:rPr>
        <w:t>为保障徐汇区“一网通办”政务服务在各渠道前端服务界面的用户视觉效果统一，为用户呈现流畅、规范、美观的视觉效果，应根据徐汇区“一网通办”总体工作要求以及统一的界面UI规范标准设计各端服务渠道的前端用户人机交互界面，保持统一的风格、色调和样式，界面布局排版也应遵循相关界面UI规范标准进行设计。</w:t>
      </w:r>
    </w:p>
    <w:p w14:paraId="21F9CD02">
      <w:pPr>
        <w:spacing w:line="360" w:lineRule="auto"/>
        <w:ind w:firstLine="420"/>
        <w:jc w:val="left"/>
        <w:rPr>
          <w:rFonts w:hint="eastAsia" w:ascii="宋体" w:hAnsi="宋体" w:cs="宋体"/>
          <w:b/>
          <w:bCs/>
          <w:szCs w:val="21"/>
        </w:rPr>
      </w:pPr>
      <w:r>
        <w:rPr>
          <w:rFonts w:hint="eastAsia" w:ascii="宋体" w:hAnsi="宋体" w:cs="宋体"/>
          <w:b/>
          <w:bCs/>
          <w:szCs w:val="21"/>
        </w:rPr>
        <w:t>5、信息内容准确</w:t>
      </w:r>
    </w:p>
    <w:p w14:paraId="5B70FD5E">
      <w:pPr>
        <w:spacing w:line="360" w:lineRule="auto"/>
        <w:ind w:firstLine="420"/>
        <w:jc w:val="left"/>
        <w:rPr>
          <w:rFonts w:hint="eastAsia" w:ascii="宋体" w:hAnsi="宋体" w:cs="宋体"/>
          <w:szCs w:val="21"/>
        </w:rPr>
      </w:pPr>
      <w:r>
        <w:rPr>
          <w:rFonts w:hint="eastAsia" w:ascii="宋体" w:hAnsi="宋体" w:cs="宋体"/>
          <w:szCs w:val="21"/>
        </w:rPr>
        <w:t>为保障徐汇区“一网通办”政务服务内容的权威性和专业性，应根据业务要求做到业务流程完整、信息内容准确、文字表述规范，不引起歧义，不误导用户。</w:t>
      </w:r>
    </w:p>
    <w:p w14:paraId="7CD9185C">
      <w:pPr>
        <w:spacing w:line="360" w:lineRule="auto"/>
        <w:ind w:firstLine="420"/>
        <w:jc w:val="left"/>
        <w:rPr>
          <w:rFonts w:hint="eastAsia" w:ascii="宋体" w:hAnsi="宋体" w:cs="宋体"/>
          <w:b/>
          <w:bCs/>
          <w:szCs w:val="21"/>
        </w:rPr>
      </w:pPr>
      <w:r>
        <w:rPr>
          <w:rFonts w:hint="eastAsia" w:ascii="宋体" w:hAnsi="宋体" w:cs="宋体"/>
          <w:b/>
          <w:bCs/>
          <w:szCs w:val="21"/>
        </w:rPr>
        <w:t>6、用户体验良好</w:t>
      </w:r>
    </w:p>
    <w:p w14:paraId="5D4F86C7">
      <w:pPr>
        <w:spacing w:line="360" w:lineRule="auto"/>
        <w:ind w:firstLine="420"/>
        <w:jc w:val="left"/>
        <w:rPr>
          <w:rFonts w:hint="eastAsia" w:ascii="宋体" w:hAnsi="宋体" w:cs="宋体"/>
          <w:szCs w:val="21"/>
        </w:rPr>
      </w:pPr>
      <w:r>
        <w:rPr>
          <w:rFonts w:hint="eastAsia" w:ascii="宋体" w:hAnsi="宋体" w:cs="宋体"/>
          <w:szCs w:val="21"/>
        </w:rPr>
        <w:t>为保障徐汇区“一网通办”政务服务一流的用户体验，应从用户使用视角出发，在提供服务内容时做到服务稳定可用、功能操作便捷、界面布局合理、风格亲民和谐、文字通俗易懂、图片清晰可见。此外，在移动端提供相关服务内容时，应确保服务的前端人机交互界面具备良好的兼容性和适配性，为用户提供优质、流畅的政务服务使用体验。</w:t>
      </w:r>
    </w:p>
    <w:p w14:paraId="0A01E29A">
      <w:pPr>
        <w:spacing w:line="360" w:lineRule="auto"/>
        <w:ind w:firstLine="420"/>
        <w:jc w:val="left"/>
        <w:rPr>
          <w:rFonts w:hint="eastAsia" w:ascii="宋体" w:hAnsi="宋体" w:cs="宋体"/>
          <w:b/>
          <w:bCs/>
          <w:szCs w:val="21"/>
        </w:rPr>
      </w:pPr>
      <w:r>
        <w:rPr>
          <w:rFonts w:hint="eastAsia" w:ascii="宋体" w:hAnsi="宋体" w:cs="宋体"/>
          <w:b/>
          <w:bCs/>
          <w:szCs w:val="21"/>
        </w:rPr>
        <w:t>7、数据质量达标</w:t>
      </w:r>
    </w:p>
    <w:p w14:paraId="6A0DCE66">
      <w:pPr>
        <w:spacing w:line="360" w:lineRule="auto"/>
        <w:ind w:firstLine="420"/>
        <w:jc w:val="left"/>
        <w:rPr>
          <w:rFonts w:hint="eastAsia" w:ascii="宋体" w:hAnsi="宋体" w:cs="宋体"/>
          <w:szCs w:val="21"/>
        </w:rPr>
      </w:pPr>
      <w:r>
        <w:rPr>
          <w:rFonts w:hint="eastAsia" w:ascii="宋体" w:hAnsi="宋体" w:cs="宋体"/>
          <w:szCs w:val="21"/>
        </w:rPr>
        <w:t>为保障徐汇区“一网通办”政务服务提供服务内容的精准性和准确性，同时满足国家及本市相关的考核要求，在开展技术服务工作时，应确保相关服务内容的数据信息（如办件信息、证照信息等）质量达标，确保数据信息的完整性和准确性，符合徐汇区“一网通办”的统一标准要求。</w:t>
      </w:r>
    </w:p>
    <w:p w14:paraId="681D52B3">
      <w:pPr>
        <w:spacing w:line="360" w:lineRule="auto"/>
        <w:ind w:firstLine="420"/>
        <w:jc w:val="left"/>
        <w:rPr>
          <w:rFonts w:hint="eastAsia" w:ascii="宋体" w:hAnsi="宋体" w:cs="宋体"/>
          <w:b/>
          <w:bCs/>
          <w:szCs w:val="21"/>
        </w:rPr>
      </w:pPr>
      <w:r>
        <w:rPr>
          <w:rFonts w:hint="eastAsia" w:ascii="宋体" w:hAnsi="宋体" w:cs="宋体"/>
          <w:b/>
          <w:bCs/>
          <w:szCs w:val="21"/>
        </w:rPr>
        <w:t>8、服务方式合规</w:t>
      </w:r>
    </w:p>
    <w:p w14:paraId="7D3F2BE2">
      <w:pPr>
        <w:spacing w:line="360" w:lineRule="auto"/>
        <w:ind w:firstLine="420"/>
        <w:jc w:val="left"/>
        <w:rPr>
          <w:rFonts w:hint="eastAsia" w:ascii="宋体" w:hAnsi="宋体" w:cs="宋体"/>
          <w:szCs w:val="21"/>
        </w:rPr>
      </w:pPr>
      <w:r>
        <w:rPr>
          <w:rFonts w:hint="eastAsia" w:ascii="宋体" w:hAnsi="宋体" w:cs="宋体"/>
          <w:szCs w:val="21"/>
        </w:rPr>
        <w:t>为保障徐汇区“一网通办”政务服务所提供的服务内容规范合规，符合有关法律法规要求，在开展技术服务工作时，针对所有涉及展现或使用相关用户隐私信息的应用服务，应设置相关用户授权环节，并根据国家及本市的有关法律法规（如个人信息保护法）和工作要求，在获得用户的授权同意后进行展现或调用，以确保提供服务的合规性及合法性，切实做到用户知情同意。</w:t>
      </w:r>
    </w:p>
    <w:p w14:paraId="6312C11C">
      <w:pPr>
        <w:spacing w:line="360" w:lineRule="auto"/>
        <w:jc w:val="left"/>
        <w:rPr>
          <w:rFonts w:hint="eastAsia" w:ascii="宋体" w:hAnsi="宋体"/>
          <w:b/>
        </w:rPr>
      </w:pPr>
      <w:r>
        <w:rPr>
          <w:rFonts w:hint="eastAsia" w:ascii="宋体" w:hAnsi="宋体"/>
          <w:b/>
        </w:rPr>
        <w:t>（二）服务保障要求</w:t>
      </w:r>
    </w:p>
    <w:p w14:paraId="57E10157">
      <w:pPr>
        <w:spacing w:line="360" w:lineRule="auto"/>
        <w:ind w:firstLine="420"/>
        <w:jc w:val="left"/>
        <w:rPr>
          <w:rFonts w:hint="eastAsia" w:ascii="宋体" w:hAnsi="宋体" w:cs="宋体"/>
          <w:szCs w:val="21"/>
        </w:rPr>
      </w:pPr>
      <w:r>
        <w:rPr>
          <w:rFonts w:hint="eastAsia" w:ascii="宋体" w:hAnsi="宋体" w:cs="宋体"/>
          <w:szCs w:val="21"/>
        </w:rPr>
        <w:t>应提供优质、专业、高效的保障服务，做到及时响应、及时转化、及时兑现，并履行相关服务保障责任和义务。</w:t>
      </w:r>
    </w:p>
    <w:p w14:paraId="0F28B03C">
      <w:pPr>
        <w:spacing w:line="360" w:lineRule="auto"/>
        <w:ind w:firstLine="420"/>
        <w:jc w:val="left"/>
        <w:rPr>
          <w:rFonts w:hint="eastAsia" w:ascii="宋体" w:hAnsi="宋体" w:cs="宋体"/>
          <w:b/>
          <w:bCs/>
          <w:szCs w:val="21"/>
        </w:rPr>
      </w:pPr>
      <w:r>
        <w:rPr>
          <w:rFonts w:hint="eastAsia" w:ascii="宋体" w:hAnsi="宋体" w:cs="宋体"/>
          <w:b/>
          <w:bCs/>
          <w:szCs w:val="21"/>
        </w:rPr>
        <w:t>1、服务质量要求</w:t>
      </w:r>
    </w:p>
    <w:p w14:paraId="7691D0EE">
      <w:pPr>
        <w:spacing w:line="360" w:lineRule="auto"/>
        <w:ind w:firstLine="420"/>
        <w:jc w:val="left"/>
        <w:rPr>
          <w:rFonts w:hint="eastAsia" w:ascii="宋体" w:hAnsi="宋体" w:cs="宋体"/>
          <w:szCs w:val="21"/>
        </w:rPr>
      </w:pPr>
      <w:r>
        <w:rPr>
          <w:rFonts w:hint="eastAsia" w:ascii="宋体" w:hAnsi="宋体" w:cs="宋体"/>
          <w:szCs w:val="21"/>
        </w:rPr>
        <w:t>需根据项目要求，按时、保质、保量地完成各项与本项目相关的技术服务内容，确保“三个满足”，即做到满足业务标准要求、满足应用安全要求以及满足用户使用需求。同时，应在开展技术服务的过程中做好相关过程材料的整理、分类和留档，为后续顺利开展项目绩效考评及日常管理等工作打好基础。</w:t>
      </w:r>
    </w:p>
    <w:p w14:paraId="58872BCC">
      <w:pPr>
        <w:spacing w:line="360" w:lineRule="auto"/>
        <w:ind w:firstLine="420"/>
        <w:jc w:val="left"/>
        <w:rPr>
          <w:rFonts w:hint="eastAsia" w:ascii="宋体" w:hAnsi="宋体" w:cs="宋体"/>
          <w:b/>
          <w:bCs/>
          <w:szCs w:val="21"/>
        </w:rPr>
      </w:pPr>
      <w:r>
        <w:rPr>
          <w:rFonts w:hint="eastAsia" w:ascii="宋体" w:hAnsi="宋体" w:cs="宋体"/>
          <w:b/>
          <w:bCs/>
          <w:szCs w:val="21"/>
        </w:rPr>
        <w:t>2、服务时间要求</w:t>
      </w:r>
    </w:p>
    <w:p w14:paraId="390A4A38">
      <w:pPr>
        <w:spacing w:line="360" w:lineRule="auto"/>
        <w:ind w:firstLine="420"/>
        <w:jc w:val="left"/>
        <w:rPr>
          <w:rFonts w:hint="eastAsia" w:ascii="宋体" w:hAnsi="宋体" w:cs="宋体"/>
          <w:szCs w:val="21"/>
        </w:rPr>
      </w:pPr>
      <w:r>
        <w:rPr>
          <w:rFonts w:hint="eastAsia" w:ascii="宋体" w:hAnsi="宋体" w:cs="宋体"/>
          <w:szCs w:val="21"/>
        </w:rPr>
        <w:t>应需提供7×24小时的全方位技术保障服务。其中，在正常工作时间段，应按照要求提供至少5×8小时的现场驻场服务，在指定的项目现场开展相关技术服务工作。在相关国家及本市的重要节日或国家法定节假日期间，应根据项目要求提供相关重点保障服务，范围覆盖平台、应用、数据、安全等各方面，形式包括现场驻场保障或远程保障等。</w:t>
      </w:r>
    </w:p>
    <w:p w14:paraId="6CA23298">
      <w:pPr>
        <w:spacing w:line="360" w:lineRule="auto"/>
        <w:ind w:firstLine="420"/>
        <w:jc w:val="left"/>
        <w:rPr>
          <w:rFonts w:hint="eastAsia" w:ascii="宋体" w:hAnsi="宋体" w:cs="宋体"/>
          <w:b/>
          <w:bCs/>
          <w:szCs w:val="21"/>
        </w:rPr>
      </w:pPr>
      <w:r>
        <w:rPr>
          <w:rFonts w:hint="eastAsia" w:ascii="宋体" w:hAnsi="宋体" w:cs="宋体"/>
          <w:b/>
          <w:bCs/>
          <w:szCs w:val="21"/>
        </w:rPr>
        <w:t>3、服务团队要求</w:t>
      </w:r>
    </w:p>
    <w:p w14:paraId="1AA93072">
      <w:pPr>
        <w:spacing w:line="360" w:lineRule="auto"/>
        <w:ind w:firstLine="420"/>
        <w:jc w:val="left"/>
        <w:rPr>
          <w:rFonts w:hint="eastAsia" w:ascii="宋体" w:hAnsi="宋体" w:cs="宋体"/>
          <w:szCs w:val="21"/>
        </w:rPr>
      </w:pPr>
      <w:r>
        <w:rPr>
          <w:rFonts w:hint="eastAsia" w:ascii="宋体" w:hAnsi="宋体" w:cs="宋体"/>
          <w:szCs w:val="21"/>
        </w:rPr>
        <w:t>需提供满足项目要求的充足人员保障，成立相关专项工作的项目技术服务团队提供现场驻场服务，并在技术服务团队人员确定后，保持服务团队的稳定，尤其是其中的核心服务人员，不得私自调整。</w:t>
      </w:r>
    </w:p>
    <w:p w14:paraId="2B924BDD">
      <w:pPr>
        <w:spacing w:line="360" w:lineRule="auto"/>
        <w:ind w:firstLine="420"/>
        <w:jc w:val="left"/>
        <w:rPr>
          <w:rFonts w:hint="eastAsia" w:ascii="宋体" w:hAnsi="宋体" w:cs="宋体"/>
          <w:b/>
          <w:bCs/>
          <w:szCs w:val="21"/>
        </w:rPr>
      </w:pPr>
      <w:r>
        <w:rPr>
          <w:rFonts w:hint="eastAsia" w:ascii="宋体" w:hAnsi="宋体" w:cs="宋体"/>
          <w:b/>
          <w:bCs/>
          <w:szCs w:val="21"/>
        </w:rPr>
        <w:t>4、服务能力要求</w:t>
      </w:r>
    </w:p>
    <w:p w14:paraId="2B99FEB4">
      <w:pPr>
        <w:spacing w:line="360" w:lineRule="auto"/>
        <w:ind w:firstLine="420"/>
        <w:jc w:val="left"/>
        <w:rPr>
          <w:rFonts w:hint="eastAsia" w:ascii="宋体" w:hAnsi="宋体" w:cs="宋体"/>
          <w:szCs w:val="21"/>
        </w:rPr>
      </w:pPr>
      <w:r>
        <w:rPr>
          <w:rFonts w:hint="eastAsia" w:ascii="宋体" w:hAnsi="宋体" w:cs="宋体"/>
          <w:szCs w:val="21"/>
        </w:rPr>
        <w:t>现场驻场的技术服务形式，可及时、按需、有效、快速地响应所有与本项目技术服务工作相关的技术服务需求。相关技术服务工作需求应在5分钟内作出响应。针对在技术服务过程中出现的相关平台系统或服务功能问题，应在15分钟内作出响应并安排相关专业的技术服务团队或技术团队人员开展相关问题处置工作（一般问题要求2小时内解决，严重问题要求30分钟内解决，无法立即解决的，要求在1小时内形成解决方案并在4小时内解决）。</w:t>
      </w:r>
    </w:p>
    <w:p w14:paraId="7C097F92">
      <w:pPr>
        <w:spacing w:line="360" w:lineRule="auto"/>
        <w:jc w:val="left"/>
        <w:rPr>
          <w:rFonts w:hint="eastAsia" w:ascii="宋体" w:hAnsi="宋体"/>
          <w:b/>
        </w:rPr>
      </w:pPr>
      <w:r>
        <w:rPr>
          <w:rFonts w:hint="eastAsia" w:ascii="宋体" w:hAnsi="宋体"/>
          <w:b/>
        </w:rPr>
        <w:t>（三）安全防护要求</w:t>
      </w:r>
    </w:p>
    <w:p w14:paraId="3A578DD9">
      <w:pPr>
        <w:spacing w:line="360" w:lineRule="auto"/>
        <w:ind w:firstLine="420"/>
        <w:jc w:val="left"/>
        <w:rPr>
          <w:rFonts w:hint="eastAsia" w:ascii="宋体" w:hAnsi="宋体" w:cs="宋体"/>
          <w:b/>
          <w:bCs/>
          <w:szCs w:val="21"/>
        </w:rPr>
      </w:pPr>
      <w:r>
        <w:rPr>
          <w:rFonts w:hint="eastAsia" w:ascii="宋体" w:hAnsi="宋体" w:cs="宋体"/>
          <w:b/>
          <w:bCs/>
          <w:szCs w:val="21"/>
        </w:rPr>
        <w:t>1、确保数据安全</w:t>
      </w:r>
    </w:p>
    <w:p w14:paraId="2CFB49E7">
      <w:pPr>
        <w:spacing w:line="360" w:lineRule="auto"/>
        <w:ind w:firstLine="420"/>
        <w:jc w:val="left"/>
        <w:rPr>
          <w:rFonts w:hint="eastAsia" w:ascii="宋体" w:hAnsi="宋体" w:cs="宋体"/>
          <w:szCs w:val="21"/>
        </w:rPr>
      </w:pPr>
      <w:r>
        <w:rPr>
          <w:rFonts w:hint="eastAsia" w:ascii="宋体" w:hAnsi="宋体" w:cs="宋体"/>
          <w:szCs w:val="21"/>
        </w:rPr>
        <w:t>一是数据安全管理。为确保本项目相关数据和信息安全，在日常开展技术服务工作过程中，应根据国家及本市相关法律规定，严格按照项目有关要求，制定相关完善的数据安全管理的规范和细则，对服务内容所涉及的敏感信息数据进行安全存储，对敏感信息数据的操作和使用进行安全管理，必要时，应对相关敏感信息数据进行加密存储。相关数据信息存储的数据库访问密钥应统一进行管理，并定期对密钥信息进行更新。</w:t>
      </w:r>
    </w:p>
    <w:p w14:paraId="1B592AF0">
      <w:pPr>
        <w:spacing w:line="360" w:lineRule="auto"/>
        <w:ind w:firstLine="420"/>
        <w:jc w:val="left"/>
        <w:rPr>
          <w:rFonts w:hint="eastAsia" w:ascii="宋体" w:hAnsi="宋体" w:cs="宋体"/>
          <w:szCs w:val="21"/>
        </w:rPr>
      </w:pPr>
      <w:r>
        <w:rPr>
          <w:rFonts w:hint="eastAsia" w:ascii="宋体" w:hAnsi="宋体" w:cs="宋体"/>
          <w:szCs w:val="21"/>
        </w:rPr>
        <w:t>二是数据安全审计。为确保本项目相关数据和信息安全，在日常开展技术服务工作过程中，应根据本项目有关工作要求，严格管理相关数据接口的调用以及相关数据信息的访问和获取，并定期（如每半月、每月）配合对相关调用日志进行安全审计分析，定期检测其中的异常调用或非授权调用记录，及时发现并识别异常地数据调用和访问行为，并在发现安全问题后的第一时间，及时上报、及时排查、及时分析、及时溯源、及时处理、及时优化、及时整改，建立完善的闭环管理工作机制。</w:t>
      </w:r>
    </w:p>
    <w:p w14:paraId="20B7B20C">
      <w:pPr>
        <w:spacing w:line="360" w:lineRule="auto"/>
        <w:ind w:firstLine="420"/>
        <w:jc w:val="left"/>
        <w:rPr>
          <w:rFonts w:hint="eastAsia" w:ascii="宋体" w:hAnsi="宋体" w:cs="宋体"/>
          <w:szCs w:val="21"/>
        </w:rPr>
      </w:pPr>
      <w:r>
        <w:rPr>
          <w:rFonts w:hint="eastAsia" w:ascii="宋体" w:hAnsi="宋体" w:cs="宋体"/>
          <w:szCs w:val="21"/>
        </w:rPr>
        <w:t>三是数据安全脱敏。为确保本项目相关数据和信息安全，在日常开展技术服务工作过程中，针对涉及相关用户敏感数据的展示，尤其是针对其中涉及个人及企业的相关敏感隐私数据信息（如个人证照信息、法人企业证照信息及其他相关敏感隐私数据信息等），应根据本项目有关工作要求，须严格确保相关数据的安全性，并按照统一的标准进行数据安全脱敏处理，保证用户敏感隐私信息使用的合法合规，保护用户隐私不受侵犯，牢牢守住安全底线。</w:t>
      </w:r>
    </w:p>
    <w:p w14:paraId="1919BF06">
      <w:pPr>
        <w:spacing w:line="360" w:lineRule="auto"/>
        <w:ind w:firstLine="420"/>
        <w:jc w:val="left"/>
        <w:rPr>
          <w:rFonts w:hint="eastAsia" w:ascii="宋体" w:hAnsi="宋体" w:cs="宋体"/>
          <w:b/>
          <w:bCs/>
          <w:szCs w:val="21"/>
        </w:rPr>
      </w:pPr>
      <w:r>
        <w:rPr>
          <w:rFonts w:hint="eastAsia" w:ascii="宋体" w:hAnsi="宋体" w:cs="宋体"/>
          <w:b/>
          <w:bCs/>
          <w:szCs w:val="21"/>
        </w:rPr>
        <w:t>2、确保应用安全</w:t>
      </w:r>
    </w:p>
    <w:p w14:paraId="74BA98F7">
      <w:pPr>
        <w:spacing w:line="360" w:lineRule="auto"/>
        <w:ind w:firstLine="420"/>
        <w:jc w:val="left"/>
        <w:rPr>
          <w:rFonts w:hint="eastAsia" w:ascii="宋体" w:hAnsi="宋体" w:cs="宋体"/>
          <w:szCs w:val="21"/>
        </w:rPr>
      </w:pPr>
      <w:r>
        <w:rPr>
          <w:rFonts w:hint="eastAsia" w:ascii="宋体" w:hAnsi="宋体" w:cs="宋体"/>
          <w:szCs w:val="21"/>
        </w:rPr>
        <w:t>为确保徐汇区“一网通办”相关应用系统的安全可靠，应根据项目有关工作要求，定期开展应用系统的安全性检测工作，进行如渗透性扫描、远程SQL注入、跨站脚本等安全防护和扫描，确保相关平台、系统及应用的安全，符合国家及本市有关安全等级保护的要求。</w:t>
      </w:r>
    </w:p>
    <w:p w14:paraId="24309563">
      <w:pPr>
        <w:spacing w:line="360" w:lineRule="auto"/>
        <w:ind w:firstLine="420"/>
        <w:jc w:val="left"/>
        <w:rPr>
          <w:rFonts w:hint="eastAsia" w:ascii="宋体" w:hAnsi="宋体" w:cs="宋体"/>
          <w:b/>
          <w:bCs/>
          <w:szCs w:val="21"/>
        </w:rPr>
      </w:pPr>
      <w:r>
        <w:rPr>
          <w:rFonts w:hint="eastAsia" w:ascii="宋体" w:hAnsi="宋体" w:cs="宋体"/>
          <w:b/>
          <w:bCs/>
          <w:szCs w:val="21"/>
        </w:rPr>
        <w:t>3、确保网络安全</w:t>
      </w:r>
    </w:p>
    <w:p w14:paraId="678B2133">
      <w:pPr>
        <w:spacing w:line="360" w:lineRule="auto"/>
        <w:ind w:firstLine="420"/>
        <w:jc w:val="left"/>
        <w:rPr>
          <w:rFonts w:hint="eastAsia" w:ascii="宋体" w:hAnsi="宋体" w:cs="宋体"/>
          <w:szCs w:val="21"/>
        </w:rPr>
      </w:pPr>
      <w:r>
        <w:rPr>
          <w:rFonts w:hint="eastAsia" w:ascii="宋体" w:hAnsi="宋体" w:cs="宋体"/>
          <w:szCs w:val="21"/>
        </w:rPr>
        <w:t>为确保徐汇区“一网通办”相关应用系统的网络安全可靠，应根据项目要求全力配合相关云平台做好相关网络安全保障工作，并按照有关工作要求严格做好互联网及政务外网的安全隔离和防护措施等相关工作。</w:t>
      </w:r>
    </w:p>
    <w:p w14:paraId="7040A9A9">
      <w:pPr>
        <w:spacing w:line="360" w:lineRule="auto"/>
        <w:jc w:val="left"/>
        <w:rPr>
          <w:rFonts w:hint="eastAsia" w:ascii="宋体" w:hAnsi="宋体"/>
          <w:b/>
        </w:rPr>
      </w:pPr>
      <w:r>
        <w:rPr>
          <w:rFonts w:hint="eastAsia" w:ascii="宋体" w:hAnsi="宋体"/>
          <w:b/>
        </w:rPr>
        <w:t>（四）项目保密要求</w:t>
      </w:r>
    </w:p>
    <w:p w14:paraId="3447FB13">
      <w:pPr>
        <w:spacing w:line="360" w:lineRule="auto"/>
        <w:ind w:firstLine="420"/>
        <w:jc w:val="left"/>
        <w:rPr>
          <w:rFonts w:hint="eastAsia" w:ascii="宋体" w:hAnsi="宋体" w:cs="宋体"/>
          <w:szCs w:val="21"/>
        </w:rPr>
      </w:pPr>
      <w:r>
        <w:rPr>
          <w:rFonts w:hint="eastAsia" w:ascii="宋体" w:hAnsi="宋体" w:cs="宋体"/>
          <w:szCs w:val="21"/>
        </w:rPr>
        <w:t>保密义务与责任。本项目要求在技术服务工作方案中针对本项目所有有关的技术服务内容制定相关保密措施，并在项目实施过程中严格承担、履行和落实相关保密义务及责任，以保证项目的安全、顺利实施。</w:t>
      </w:r>
    </w:p>
    <w:p w14:paraId="0D195DBC">
      <w:pPr>
        <w:spacing w:line="360" w:lineRule="auto"/>
        <w:ind w:firstLine="420"/>
        <w:jc w:val="left"/>
        <w:rPr>
          <w:rFonts w:hint="eastAsia" w:ascii="宋体" w:hAnsi="宋体" w:cs="宋体"/>
          <w:szCs w:val="21"/>
        </w:rPr>
      </w:pPr>
      <w:r>
        <w:rPr>
          <w:rFonts w:hint="eastAsia" w:ascii="宋体" w:hAnsi="宋体" w:cs="宋体"/>
          <w:szCs w:val="21"/>
        </w:rPr>
        <w:t>保密内容和范围。在开展技术服务过程中，所获取或形成的数据、资料（包括但不限于账号信息、图表、文字、计算过程、任何形式的文件、访谈记录、现场实测数据、相关工作程序等）及其他任何工作成果（包括但不限于运行维护工作中以及应用系统运行过程中所取得的任何数据、资料、中间成果等），和提供的所有资料或数据（包括但不限于本项目相关资料和所有应用系统运行过程中及运行维护过程中产生的数据、资料等），均是保密的信息。不得对外披露或向第三方提供或超出本项目约定的范围使用，不得用于其他用途.不得以任何形式自行使用或以任何方式向第三方披露、转让、授权、出售与本项目有关的技术成果、计算机软件、源代码、策划文档、技术诀窍、秘密信息、技术资料和其他文件。不得以实施项目为名，侵害本项目的技术、商业秘密或者知识产权。</w:t>
      </w:r>
    </w:p>
    <w:p w14:paraId="2D8B32C2">
      <w:pPr>
        <w:spacing w:line="360" w:lineRule="auto"/>
        <w:jc w:val="left"/>
        <w:rPr>
          <w:rFonts w:hint="eastAsia" w:ascii="宋体" w:hAnsi="宋体"/>
          <w:b/>
        </w:rPr>
      </w:pPr>
      <w:r>
        <w:rPr>
          <w:rFonts w:hint="eastAsia" w:ascii="宋体" w:hAnsi="宋体"/>
          <w:b/>
        </w:rPr>
        <w:t>（五）知识产权要求</w:t>
      </w:r>
    </w:p>
    <w:p w14:paraId="46F05614">
      <w:pPr>
        <w:spacing w:line="360" w:lineRule="auto"/>
        <w:ind w:firstLine="420"/>
        <w:jc w:val="left"/>
        <w:rPr>
          <w:rFonts w:hint="eastAsia" w:ascii="宋体" w:hAnsi="宋体" w:cs="宋体"/>
          <w:szCs w:val="21"/>
        </w:rPr>
      </w:pPr>
      <w:r>
        <w:rPr>
          <w:rFonts w:hint="eastAsia" w:ascii="宋体" w:hAnsi="宋体" w:cs="宋体"/>
          <w:szCs w:val="21"/>
        </w:rPr>
        <w:t>知识产权所有权归属。在项目技术服务过程中形成的所有成果（包含需求分析、系统设计、软件程序、核心技术、数据标准、接口规范、知识库、专有方法、模板、工具包、培训材料、专有数据、技术文档、服务模式、运作模式等，但不限于上述形式）的知识产权（含相应的申请权）及后续转化应用的权利均归徐汇区所有，同时，在本项目技术服务过程中形成的知识产权的申请权、所有权与利益（包括：专利权、商标权、著作权、商业秘密专有权等，但不限于上述权益的申请权）亦归徐汇区所有。</w:t>
      </w:r>
    </w:p>
    <w:p w14:paraId="7B208CBC">
      <w:pPr>
        <w:spacing w:line="360" w:lineRule="auto"/>
        <w:ind w:firstLine="420"/>
        <w:jc w:val="left"/>
        <w:rPr>
          <w:rFonts w:hint="eastAsia" w:ascii="宋体" w:hAnsi="宋体" w:cs="宋体"/>
          <w:szCs w:val="21"/>
        </w:rPr>
      </w:pPr>
    </w:p>
    <w:p w14:paraId="413C383F">
      <w:pPr>
        <w:spacing w:line="360" w:lineRule="auto"/>
        <w:jc w:val="left"/>
        <w:rPr>
          <w:rFonts w:hint="eastAsia" w:ascii="宋体" w:hAnsi="宋体"/>
          <w:b/>
        </w:rPr>
      </w:pPr>
      <w:bookmarkStart w:id="8" w:name="_Toc178192292"/>
      <w:r>
        <w:rPr>
          <w:rFonts w:hint="eastAsia" w:ascii="宋体" w:hAnsi="宋体"/>
          <w:b/>
        </w:rPr>
        <w:t>四、项目实施要求</w:t>
      </w:r>
      <w:bookmarkEnd w:id="8"/>
    </w:p>
    <w:p w14:paraId="017EAFC2">
      <w:pPr>
        <w:spacing w:line="360" w:lineRule="auto"/>
        <w:ind w:firstLine="420"/>
        <w:jc w:val="left"/>
        <w:rPr>
          <w:rFonts w:hint="eastAsia" w:ascii="宋体" w:hAnsi="宋体" w:cs="宋体"/>
          <w:szCs w:val="21"/>
          <w:highlight w:val="none"/>
        </w:rPr>
      </w:pPr>
      <w:r>
        <w:rPr>
          <w:rFonts w:hint="eastAsia" w:ascii="宋体" w:hAnsi="宋体" w:cs="宋体"/>
          <w:szCs w:val="21"/>
        </w:rPr>
        <w:t>1、响应单位应根据采购要求进行服务内容的深化设计，提供系统整体解决方案。系统各</w:t>
      </w:r>
      <w:bookmarkStart w:id="9" w:name="OLE_LINK59"/>
      <w:r>
        <w:rPr>
          <w:rFonts w:hint="eastAsia" w:ascii="宋体" w:hAnsi="宋体" w:cs="宋体"/>
          <w:szCs w:val="21"/>
        </w:rPr>
        <w:t>服务</w:t>
      </w:r>
      <w:r>
        <w:rPr>
          <w:rFonts w:hint="eastAsia" w:ascii="宋体" w:hAnsi="宋体" w:cs="宋体"/>
          <w:szCs w:val="21"/>
          <w:highlight w:val="none"/>
        </w:rPr>
        <w:t>内容</w:t>
      </w:r>
      <w:bookmarkEnd w:id="9"/>
      <w:r>
        <w:rPr>
          <w:rFonts w:hint="eastAsia" w:ascii="宋体" w:hAnsi="宋体" w:cs="宋体"/>
          <w:szCs w:val="21"/>
          <w:highlight w:val="none"/>
        </w:rPr>
        <w:t>无法一一列出，项目实施过程中需根据实际需求调研后对各服务内容进行增加及修改，此类费用响应单位应计入此次报价，今后采购人不再予以支付。</w:t>
      </w:r>
    </w:p>
    <w:p w14:paraId="25E9E10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2、工期要求：项目建设需在合同签订后1</w:t>
      </w:r>
      <w:r>
        <w:rPr>
          <w:rFonts w:hint="eastAsia" w:ascii="宋体" w:hAnsi="宋体" w:cs="宋体"/>
          <w:szCs w:val="21"/>
          <w:highlight w:val="none"/>
          <w:lang w:val="en-US" w:eastAsia="zh-CN"/>
        </w:rPr>
        <w:t>2</w:t>
      </w:r>
      <w:r>
        <w:rPr>
          <w:rFonts w:hint="eastAsia" w:ascii="宋体" w:hAnsi="宋体" w:cs="宋体"/>
          <w:szCs w:val="21"/>
          <w:highlight w:val="none"/>
        </w:rPr>
        <w:t>个月内完成系统深化建设。中标单位在签署合同后必须确保在承诺工期内完成采购内容。响应单位在中标后，应认真组织好技术及管理队伍，做好工作计划并提出长期维护、服务以及今后技术支持的措施、计划和承诺。项目工期不满足招标文件要求的，作无效投标处理。</w:t>
      </w:r>
    </w:p>
    <w:p w14:paraId="08139F43">
      <w:pPr>
        <w:spacing w:line="360" w:lineRule="auto"/>
        <w:ind w:firstLine="420"/>
        <w:jc w:val="left"/>
        <w:rPr>
          <w:rFonts w:hint="eastAsia" w:ascii="宋体" w:hAnsi="宋体" w:cs="宋体"/>
          <w:szCs w:val="21"/>
        </w:rPr>
      </w:pPr>
      <w:r>
        <w:rPr>
          <w:rFonts w:hint="eastAsia" w:ascii="宋体" w:hAnsi="宋体" w:cs="宋体"/>
          <w:szCs w:val="21"/>
          <w:highlight w:val="none"/>
        </w:rPr>
        <w:t>3、项目人员要求：为完成本项目，响应单位应组建工作小组，在提交的响应文件中安排的人</w:t>
      </w:r>
      <w:r>
        <w:rPr>
          <w:rFonts w:hint="eastAsia" w:ascii="宋体" w:hAnsi="宋体" w:cs="宋体"/>
          <w:szCs w:val="21"/>
        </w:rPr>
        <w:t>员，须为公司的正式职员，成交后未经采购人同意项目组成员不得随意更换；每个参加本项目人员的履历表、相关资格证明材料，应随响应文件一并提交。</w:t>
      </w:r>
    </w:p>
    <w:p w14:paraId="5307AAE7">
      <w:pPr>
        <w:spacing w:line="360" w:lineRule="auto"/>
        <w:ind w:firstLine="420"/>
        <w:jc w:val="left"/>
        <w:rPr>
          <w:rFonts w:hint="eastAsia" w:ascii="宋体" w:hAnsi="宋体" w:cs="宋体"/>
          <w:szCs w:val="21"/>
        </w:rPr>
      </w:pPr>
      <w:r>
        <w:rPr>
          <w:rFonts w:hint="eastAsia" w:ascii="宋体" w:hAnsi="宋体" w:cs="宋体"/>
          <w:szCs w:val="21"/>
        </w:rPr>
        <w:t>（1）响应单位应针对本项目提供不少于25人的项目运维团队，响应单位的相关人员需具备相应的专业能力，其中项目经理需具备高级信息系统项目管理师证书和10年以上相关领域从业经验；团队人员中，具有高级相关资质或职称应不少于3人、具有中级相关资质或职称应不少于8人，需提供相关证明（最近一个季度任意一个月依法缴纳社保费的证明备查）。</w:t>
      </w:r>
    </w:p>
    <w:p w14:paraId="63FB00E3">
      <w:pPr>
        <w:spacing w:line="360" w:lineRule="auto"/>
        <w:ind w:firstLine="420"/>
        <w:jc w:val="left"/>
        <w:rPr>
          <w:rFonts w:hint="eastAsia" w:ascii="宋体" w:hAnsi="宋体" w:cs="宋体"/>
          <w:szCs w:val="21"/>
        </w:rPr>
      </w:pPr>
      <w:r>
        <w:rPr>
          <w:rFonts w:hint="eastAsia" w:ascii="宋体" w:hAnsi="宋体" w:cs="宋体"/>
          <w:szCs w:val="21"/>
        </w:rPr>
        <w:t>（2）响应单位应针对本项目在项目执行期内派遣至少5名具有3年以上相关工作经验的技术人员常驻现场保障。</w:t>
      </w:r>
    </w:p>
    <w:p w14:paraId="34C47DB9">
      <w:pPr>
        <w:spacing w:line="360" w:lineRule="auto"/>
        <w:ind w:firstLine="420"/>
        <w:jc w:val="left"/>
        <w:rPr>
          <w:rFonts w:hint="eastAsia" w:ascii="宋体" w:hAnsi="宋体" w:cs="宋体"/>
          <w:szCs w:val="21"/>
        </w:rPr>
      </w:pPr>
      <w:r>
        <w:rPr>
          <w:rFonts w:hint="eastAsia" w:ascii="宋体" w:hAnsi="宋体" w:cs="宋体"/>
          <w:szCs w:val="21"/>
        </w:rPr>
        <w:t>4、项目实施保障要求</w:t>
      </w:r>
    </w:p>
    <w:p w14:paraId="32E00315">
      <w:pPr>
        <w:spacing w:line="360" w:lineRule="auto"/>
        <w:ind w:firstLine="420"/>
        <w:jc w:val="left"/>
        <w:rPr>
          <w:rFonts w:hint="eastAsia" w:ascii="宋体" w:hAnsi="宋体" w:cs="宋体"/>
          <w:szCs w:val="21"/>
        </w:rPr>
      </w:pPr>
      <w:r>
        <w:rPr>
          <w:rFonts w:hint="eastAsia" w:ascii="宋体" w:hAnsi="宋体" w:cs="宋体"/>
          <w:szCs w:val="21"/>
        </w:rPr>
        <w:t>响应单位必须提供完整的项目保障实施方案,描述项目的实施过程,提出需采取的确保整个项目正常有序实施的措施和办法。</w:t>
      </w:r>
    </w:p>
    <w:p w14:paraId="5B250555">
      <w:pPr>
        <w:spacing w:line="360" w:lineRule="auto"/>
        <w:ind w:firstLine="420"/>
        <w:jc w:val="left"/>
        <w:rPr>
          <w:rFonts w:hint="eastAsia" w:ascii="宋体" w:hAnsi="宋体" w:cs="宋体"/>
          <w:szCs w:val="21"/>
        </w:rPr>
      </w:pPr>
      <w:r>
        <w:rPr>
          <w:rFonts w:hint="eastAsia" w:ascii="宋体" w:hAnsi="宋体" w:cs="宋体"/>
          <w:szCs w:val="21"/>
        </w:rPr>
        <w:t>5、项目管理要求</w:t>
      </w:r>
    </w:p>
    <w:p w14:paraId="16CDF81E">
      <w:pPr>
        <w:spacing w:line="360" w:lineRule="auto"/>
        <w:ind w:firstLine="420"/>
        <w:jc w:val="left"/>
        <w:rPr>
          <w:rFonts w:hint="eastAsia" w:ascii="宋体" w:hAnsi="宋体" w:cs="宋体"/>
          <w:szCs w:val="21"/>
        </w:rPr>
      </w:pPr>
      <w:r>
        <w:rPr>
          <w:rFonts w:hint="eastAsia" w:ascii="宋体" w:hAnsi="宋体" w:cs="宋体"/>
          <w:szCs w:val="21"/>
        </w:rPr>
        <w:t>（1）响应单位必须提供实施本项目的完整的项目管理方案，并在项目执行过程中严格执行。</w:t>
      </w:r>
    </w:p>
    <w:p w14:paraId="59BDB2B4">
      <w:pPr>
        <w:spacing w:line="360" w:lineRule="auto"/>
        <w:ind w:firstLine="420"/>
        <w:jc w:val="left"/>
        <w:rPr>
          <w:rFonts w:hint="eastAsia" w:ascii="宋体" w:hAnsi="宋体" w:cs="宋体"/>
          <w:szCs w:val="21"/>
        </w:rPr>
      </w:pPr>
      <w:r>
        <w:rPr>
          <w:rFonts w:hint="eastAsia" w:ascii="宋体" w:hAnsi="宋体" w:cs="宋体"/>
          <w:szCs w:val="21"/>
        </w:rPr>
        <w:t>（2）项目计划的制定和执行要体现本项目运维内容的特点。</w:t>
      </w:r>
    </w:p>
    <w:p w14:paraId="453CB189">
      <w:pPr>
        <w:spacing w:line="360" w:lineRule="auto"/>
        <w:ind w:firstLine="420"/>
        <w:jc w:val="left"/>
        <w:rPr>
          <w:rFonts w:hint="eastAsia" w:ascii="宋体" w:hAnsi="宋体" w:cs="宋体"/>
          <w:szCs w:val="21"/>
        </w:rPr>
      </w:pPr>
      <w:r>
        <w:rPr>
          <w:rFonts w:hint="eastAsia" w:ascii="宋体" w:hAnsi="宋体" w:cs="宋体"/>
          <w:szCs w:val="21"/>
        </w:rPr>
        <w:t>（3）必须高度重视对过程的管理控制，高度重视对各类文档的管理，必须建立中间环节和文档的内部测试审核制度。</w:t>
      </w:r>
    </w:p>
    <w:p w14:paraId="71508918">
      <w:pPr>
        <w:spacing w:line="360" w:lineRule="auto"/>
        <w:ind w:firstLine="420"/>
        <w:jc w:val="left"/>
        <w:rPr>
          <w:rFonts w:hint="eastAsia" w:ascii="宋体" w:hAnsi="宋体" w:cs="宋体"/>
          <w:szCs w:val="21"/>
        </w:rPr>
      </w:pPr>
      <w:r>
        <w:rPr>
          <w:rFonts w:hint="eastAsia" w:ascii="宋体" w:hAnsi="宋体" w:cs="宋体"/>
          <w:szCs w:val="21"/>
        </w:rPr>
        <w:t>（4）在项目管理方案中，应充分体现响应单位在项目管理方面的经验和能力以及对该项目管理的设想和具体方法，以下内容必须涉及：项目组；项目经理，项目组成员及项目组织结构；项目组成员除基本信息外，必须说明专业背景,相关资质和专长；组织管理（与技术服务内容相关）；项目计划（与项目整体管理相关）；</w:t>
      </w:r>
    </w:p>
    <w:p w14:paraId="171D3EBF">
      <w:pPr>
        <w:spacing w:line="360" w:lineRule="auto"/>
        <w:ind w:firstLine="420"/>
        <w:jc w:val="left"/>
        <w:rPr>
          <w:rFonts w:hint="eastAsia" w:ascii="宋体" w:hAnsi="宋体" w:cs="宋体"/>
          <w:szCs w:val="21"/>
        </w:rPr>
      </w:pPr>
      <w:r>
        <w:rPr>
          <w:rFonts w:hint="eastAsia" w:ascii="宋体" w:hAnsi="宋体" w:cs="宋体"/>
          <w:szCs w:val="21"/>
        </w:rPr>
        <w:t>6、项目测试要求：在技术服务内容完成后，中标单位应组织并完成测试、验收和上线工作并签署验收报告。</w:t>
      </w:r>
    </w:p>
    <w:p w14:paraId="538BBB62">
      <w:pPr>
        <w:spacing w:line="360" w:lineRule="auto"/>
        <w:ind w:firstLine="420"/>
        <w:jc w:val="left"/>
        <w:rPr>
          <w:rFonts w:hint="eastAsia" w:ascii="宋体" w:hAnsi="宋体" w:cs="宋体"/>
          <w:szCs w:val="21"/>
        </w:rPr>
      </w:pPr>
      <w:r>
        <w:rPr>
          <w:rFonts w:hint="eastAsia" w:ascii="宋体" w:hAnsi="宋体" w:cs="宋体"/>
          <w:szCs w:val="21"/>
        </w:rPr>
        <w:t>7、项目完成安装调试工作后，由甲方委托第三方机构进行测试及验收。项目验收条件包括但不限于：①项目全部服务内容，已按合同全部建成，能满足运行的需要；②完成第三方监理评估；③试运行无重大缺陷、无重大故障且试运行期间产生的所有问题都已得到解决；④提供安全测评报告；⑤项目文件资料齐全，并符合相关规定。</w:t>
      </w:r>
    </w:p>
    <w:p w14:paraId="271590BE">
      <w:pPr>
        <w:spacing w:line="360" w:lineRule="auto"/>
        <w:ind w:firstLine="420"/>
        <w:jc w:val="left"/>
        <w:rPr>
          <w:rFonts w:hint="eastAsia" w:ascii="宋体" w:hAnsi="宋体" w:cs="宋体"/>
          <w:szCs w:val="21"/>
        </w:rPr>
      </w:pPr>
      <w:r>
        <w:rPr>
          <w:rFonts w:hint="eastAsia" w:ascii="宋体" w:hAnsi="宋体" w:cs="宋体"/>
          <w:szCs w:val="21"/>
        </w:rPr>
        <w:t>8、项目验收标准及要求：双方签署最终验收文件时，响应单位应提交规范、全套、完整的验收文档，包括但不限于需求分析报告、使用手册、数据备份方案，技术手册、配置、管理及维护的全面技术资料，以及所有与用户、设备等相关联的说明、表格等资料文档，并有责任帮助整理、装订、归档。</w:t>
      </w:r>
    </w:p>
    <w:p w14:paraId="3EECDDF5">
      <w:pPr>
        <w:spacing w:line="360" w:lineRule="auto"/>
        <w:ind w:firstLine="420"/>
        <w:jc w:val="left"/>
        <w:rPr>
          <w:rFonts w:hint="eastAsia" w:ascii="宋体" w:hAnsi="宋体" w:cs="宋体"/>
          <w:szCs w:val="21"/>
        </w:rPr>
      </w:pPr>
      <w:r>
        <w:rPr>
          <w:rFonts w:hint="eastAsia" w:ascii="宋体" w:hAnsi="宋体" w:cs="宋体"/>
          <w:szCs w:val="21"/>
        </w:rPr>
        <w:t>9、在不影响用户正常工作的前提下，至少提供20人次、共计两天的培训一次。培训要求：</w:t>
      </w:r>
      <w:bookmarkStart w:id="10" w:name="_Toc270597167"/>
      <w:r>
        <w:rPr>
          <w:rFonts w:hint="eastAsia" w:ascii="宋体" w:hAnsi="宋体" w:cs="宋体"/>
          <w:szCs w:val="21"/>
        </w:rPr>
        <w:t>响应单位必须提供满足服务内容、管理、维护等要求的技术培训服务，并达到预定的培训目标。</w:t>
      </w:r>
      <w:bookmarkEnd w:id="10"/>
      <w:r>
        <w:rPr>
          <w:rFonts w:hint="eastAsia" w:ascii="宋体" w:hAnsi="宋体" w:cs="宋体"/>
          <w:szCs w:val="21"/>
        </w:rPr>
        <w:t>响应单位必须根据此次招标文件所制定的目标和范围，提供完备的培训服务（涵盖不同应用层次的人员），并提供全套培训教材、培训方式、培训场地安排、培训设备安排、培训时间与班次安排等，作为投标文件的一部分提交。具体培训人数由采购人确定。</w:t>
      </w:r>
    </w:p>
    <w:p w14:paraId="3C9DBE97">
      <w:pPr>
        <w:spacing w:line="360" w:lineRule="auto"/>
        <w:ind w:firstLine="420"/>
        <w:jc w:val="left"/>
        <w:rPr>
          <w:rFonts w:hint="eastAsia" w:ascii="宋体" w:hAnsi="宋体" w:cs="宋体"/>
          <w:szCs w:val="21"/>
        </w:rPr>
      </w:pPr>
      <w:r>
        <w:rPr>
          <w:rFonts w:hint="eastAsia" w:ascii="宋体" w:hAnsi="宋体" w:cs="宋体"/>
          <w:szCs w:val="21"/>
        </w:rPr>
        <w:t>10、售后服务要求：成交单位应设置运维专线电话和值班手机，随时响应用户问题；在非工作时间，应安排现场值班，遇到特殊情况（如重要场合、故障处理、系统检修、软件升级、设备维护等），随时接受采购人调派，以保障本项目5*8小时安全高效运行。响应单位在响应文件中必须明确承诺达到用户的服务响应要求：提供5×8小时支持服务；故障响应时间为不超过15分钟，30分钟内应做出故障诊断报告；所有故障均应在2小时内予以系统修复；重大事件提供现场支持，并协助用户对隐患和故障进行解决和排查；重大事件现场支持，并协助用户对隐患和故障进行解决和排查。</w:t>
      </w:r>
    </w:p>
    <w:p w14:paraId="2D59B334">
      <w:pPr>
        <w:spacing w:line="360" w:lineRule="auto"/>
        <w:ind w:firstLine="420"/>
        <w:jc w:val="left"/>
        <w:rPr>
          <w:rFonts w:hint="eastAsia" w:ascii="宋体" w:hAnsi="宋体" w:cs="宋体"/>
          <w:szCs w:val="21"/>
        </w:rPr>
      </w:pPr>
      <w:r>
        <w:rPr>
          <w:rFonts w:hint="eastAsia" w:ascii="宋体" w:hAnsi="宋体" w:cs="宋体"/>
          <w:szCs w:val="21"/>
        </w:rPr>
        <w:t>11、项目服务周期要求：本项目要求在合同签订之日起提供12个月运维服务。请各响应单位根据采购要求自行拟定科学合理项目实施周期以及实施计划，并采取相关措施确保按期优质完工。</w:t>
      </w:r>
    </w:p>
    <w:p w14:paraId="4C75C0D6">
      <w:pPr>
        <w:spacing w:line="360" w:lineRule="auto"/>
        <w:ind w:firstLine="420"/>
        <w:jc w:val="left"/>
        <w:rPr>
          <w:rFonts w:hint="eastAsia" w:ascii="宋体" w:hAnsi="宋体" w:cs="宋体"/>
          <w:szCs w:val="21"/>
        </w:rPr>
      </w:pPr>
      <w:r>
        <w:rPr>
          <w:rFonts w:hint="eastAsia" w:ascii="宋体" w:hAnsi="宋体" w:cs="宋体"/>
          <w:szCs w:val="21"/>
        </w:rPr>
        <w:t>12、项目报价要求：本项目为交钥匙工程。响应单位必须对以上全部采购内容及相关服务进行报价，请各响应单位考虑采购文件要求综合报价，报价中应包含就技术服务、售后服务、相关培训等伴随服务等完全满足招标要求全部明细内容，中标后不再调整。</w:t>
      </w:r>
    </w:p>
    <w:p w14:paraId="5F64250B">
      <w:pPr>
        <w:spacing w:line="360" w:lineRule="auto"/>
        <w:ind w:firstLine="420"/>
        <w:jc w:val="left"/>
        <w:rPr>
          <w:rFonts w:hint="eastAsia" w:ascii="宋体" w:hAnsi="宋体" w:cs="宋体"/>
          <w:szCs w:val="21"/>
        </w:rPr>
      </w:pPr>
      <w:r>
        <w:rPr>
          <w:rFonts w:hint="eastAsia" w:ascii="宋体" w:hAnsi="宋体" w:cs="宋体"/>
          <w:szCs w:val="21"/>
        </w:rPr>
        <w:t>13、响应单位不得将本技术规格中的任何内容透露给第三方。</w:t>
      </w:r>
    </w:p>
    <w:p w14:paraId="0657FA3A">
      <w:pPr>
        <w:spacing w:line="360" w:lineRule="auto"/>
        <w:ind w:firstLine="420"/>
        <w:jc w:val="left"/>
        <w:rPr>
          <w:rFonts w:hint="eastAsia" w:ascii="宋体" w:hAnsi="宋体" w:cs="宋体"/>
          <w:szCs w:val="21"/>
        </w:rPr>
      </w:pPr>
      <w:r>
        <w:rPr>
          <w:rFonts w:hint="eastAsia" w:ascii="宋体" w:hAnsi="宋体" w:cs="宋体"/>
          <w:szCs w:val="21"/>
        </w:rPr>
        <w:t>14、成交单位与采购人应当在中标通知书发出之日起三十日内，按照采购文件确定的事项签订政府采购合同，采购人应当按照《徐汇区政府采购货物、服务项目合同履约验收管理办法》相关规定进行验收管理和支付相应合同价款，中标单位有义务参加并协助采购人验收，提供相关技术资料、合格证明等文件或材料，并对自己生产或销售的货物质量或提供的服务负责。验收书要求见附件。</w:t>
      </w:r>
    </w:p>
    <w:p w14:paraId="50097D37">
      <w:pPr>
        <w:spacing w:line="360" w:lineRule="auto"/>
        <w:ind w:firstLine="420"/>
        <w:jc w:val="left"/>
        <w:rPr>
          <w:rFonts w:hint="eastAsia" w:ascii="宋体" w:hAnsi="宋体" w:eastAsia="宋体" w:cs="宋体"/>
          <w:szCs w:val="21"/>
        </w:rPr>
      </w:pPr>
      <w:r>
        <w:rPr>
          <w:rFonts w:hint="eastAsia" w:ascii="宋体" w:hAnsi="宋体" w:eastAsia="宋体" w:cs="宋体"/>
          <w:szCs w:val="21"/>
        </w:rPr>
        <w:t>15、本项目须根据甲方要求时间节点完成相关服务。</w:t>
      </w:r>
    </w:p>
    <w:p w14:paraId="6998145C">
      <w:pPr>
        <w:spacing w:line="360" w:lineRule="auto"/>
        <w:ind w:firstLine="420"/>
        <w:jc w:val="left"/>
        <w:rPr>
          <w:rFonts w:hint="eastAsia" w:ascii="宋体" w:hAnsi="宋体" w:cs="宋体"/>
          <w:szCs w:val="21"/>
        </w:rPr>
      </w:pPr>
    </w:p>
    <w:p w14:paraId="648BF983">
      <w:pPr>
        <w:pStyle w:val="2"/>
        <w:spacing w:before="0" w:beforeAutospacing="0" w:after="0" w:afterAutospacing="0" w:line="360" w:lineRule="auto"/>
        <w:rPr>
          <w:b/>
          <w:sz w:val="21"/>
          <w:szCs w:val="21"/>
        </w:rPr>
      </w:pPr>
    </w:p>
    <w:p w14:paraId="403F7DE9">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8D0F72"/>
    <w:rsid w:val="368D0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Lines="0" w:beforeAutospacing="1" w:after="100" w:afterLines="0" w:afterAutospacing="1"/>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2026-08-26T10:29:00Z</dcterms:created>
  <dc:creator>135.</dc:creator>
  <cp:lastModifiedBy>135.</cp:lastModifiedBy>
  <dcterms:modified xsi:type="dcterms:W3CDTF">2026-08-26T10:29:38Z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C532058055514B03B8970F9D408231D4_11</vt:lpwstr>
  </property>
  <property fmtid="{D5CDD505-2E9C-101B-9397-08002B2CF9AE}" pid="4" name="KSOTemplateDocerSaveRecord">
    <vt:lpwstr>eyJoZGlkIjoiZGVkMzNiOTkwMDExOTQ2NTlmZWQxNGFhMTk5NTU5ZWIiLCJ1c2VySWQiOiIxMDMyMjc4NzM3In0=</vt:lpwstr>
  </property>
</Properties>
</file>