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C3781">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一、基本概况</w:t>
      </w:r>
    </w:p>
    <w:p w14:paraId="730AD2F1">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长宁区教育系统校外机构共28个点位，每个点位均须保证全年24小时有人在岗，工作日日间岗每点位不少于两人，其余时间每点位不少于一人；已关闭学校日间及夜间岗每点位均不少于一人；个别有叠加岗位需求的点位须提供叠加保安服务，叠加保安每点位不少于两人。</w:t>
      </w:r>
    </w:p>
    <w:p w14:paraId="0A75E01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日间岗工作时间段：周一至周五7:00-17:00；</w:t>
      </w:r>
    </w:p>
    <w:p w14:paraId="1DDABE8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夜间岗工作时间段：周一至周五17:00-7:00，双休日全天。</w:t>
      </w:r>
    </w:p>
    <w:p w14:paraId="58AA03D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叠加岗工作时间段：根据少年宫、劳动技术教育中心教学安排进行岗位配置。</w:t>
      </w:r>
    </w:p>
    <w:p w14:paraId="5AA69F6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已关闭学校日间岗工作时间段：周一至周五7:00-17:00；</w:t>
      </w:r>
    </w:p>
    <w:p w14:paraId="3B7A4AA1">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已关闭学校夜间岗工作时间段：周一至周五17:00-7:00，双休日全天。</w:t>
      </w:r>
    </w:p>
    <w:p w14:paraId="1EB8130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以上工作时间段为一般工作时间段，具体以点位单位实际作息时间作适当调整。</w:t>
      </w:r>
    </w:p>
    <w:p w14:paraId="6B35A7E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本次招标共需岗位数150个。</w:t>
      </w:r>
    </w:p>
    <w:p w14:paraId="0F083011">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服务对象：长宁区教育局下属各校外机构合计28个点位。</w:t>
      </w:r>
    </w:p>
    <w:p w14:paraId="51A4986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服务期限：服务期为一年（自2026年9月1日至2027年8月31日，实际服务期为12个月，包含寒暑假及国定假）。</w:t>
      </w:r>
    </w:p>
    <w:p w14:paraId="63067AAD">
      <w:pPr>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rPr>
        <w:t>10,076,000.00元</w:t>
      </w:r>
      <w:r>
        <w:rPr>
          <w:rFonts w:hint="eastAsia" w:ascii="宋体" w:hAnsi="宋体" w:eastAsia="宋体" w:cs="宋体"/>
          <w:sz w:val="21"/>
          <w:szCs w:val="21"/>
          <w:lang w:eastAsia="zh-CN"/>
        </w:rPr>
        <w:t>。</w:t>
      </w:r>
    </w:p>
    <w:p w14:paraId="7D993C7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最高限价</w:t>
      </w:r>
      <w:r>
        <w:rPr>
          <w:rFonts w:hint="eastAsia" w:ascii="宋体" w:hAnsi="宋体" w:eastAsia="宋体" w:cs="宋体"/>
          <w:sz w:val="21"/>
          <w:szCs w:val="21"/>
        </w:rPr>
        <w:t>：9</w:t>
      </w:r>
      <w:r>
        <w:rPr>
          <w:rFonts w:hint="eastAsia" w:ascii="宋体" w:hAnsi="宋体" w:eastAsia="宋体" w:cs="宋体"/>
          <w:sz w:val="21"/>
          <w:szCs w:val="21"/>
          <w:lang w:val="en-US" w:eastAsia="zh-CN"/>
        </w:rPr>
        <w:t>,</w:t>
      </w:r>
      <w:r>
        <w:rPr>
          <w:rFonts w:hint="eastAsia" w:ascii="宋体" w:hAnsi="宋体" w:eastAsia="宋体" w:cs="宋体"/>
          <w:sz w:val="21"/>
          <w:szCs w:val="21"/>
        </w:rPr>
        <w:t>720</w:t>
      </w:r>
      <w:r>
        <w:rPr>
          <w:rFonts w:hint="eastAsia" w:ascii="宋体" w:hAnsi="宋体" w:eastAsia="宋体" w:cs="宋体"/>
          <w:sz w:val="21"/>
          <w:szCs w:val="21"/>
          <w:lang w:val="en-US" w:eastAsia="zh-CN"/>
        </w:rPr>
        <w:t>,</w:t>
      </w:r>
      <w:r>
        <w:rPr>
          <w:rFonts w:hint="eastAsia" w:ascii="宋体" w:hAnsi="宋体" w:eastAsia="宋体" w:cs="宋体"/>
          <w:sz w:val="21"/>
          <w:szCs w:val="21"/>
        </w:rPr>
        <w:t>000</w:t>
      </w:r>
      <w:r>
        <w:rPr>
          <w:rFonts w:hint="eastAsia" w:ascii="宋体" w:hAnsi="宋体" w:eastAsia="宋体" w:cs="宋体"/>
          <w:sz w:val="21"/>
          <w:szCs w:val="21"/>
          <w:lang w:val="en-US" w:eastAsia="zh-CN"/>
        </w:rPr>
        <w:t>.00</w:t>
      </w:r>
      <w:r>
        <w:rPr>
          <w:rFonts w:hint="eastAsia" w:ascii="宋体" w:hAnsi="宋体" w:eastAsia="宋体" w:cs="宋体"/>
          <w:sz w:val="21"/>
          <w:szCs w:val="21"/>
        </w:rPr>
        <w:t>元。</w:t>
      </w:r>
    </w:p>
    <w:p w14:paraId="06C3439E">
      <w:pPr>
        <w:spacing w:line="360" w:lineRule="auto"/>
        <w:ind w:firstLine="420" w:firstLineChars="200"/>
        <w:jc w:val="left"/>
        <w:rPr>
          <w:rFonts w:hint="eastAsia" w:ascii="宋体" w:hAnsi="宋体" w:eastAsia="宋体" w:cs="宋体"/>
          <w:sz w:val="21"/>
          <w:szCs w:val="21"/>
        </w:rPr>
      </w:pPr>
    </w:p>
    <w:p w14:paraId="70E605D3">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二、服务内容</w:t>
      </w:r>
    </w:p>
    <w:p w14:paraId="685DCEEB">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（一）工作内容、范围：</w:t>
      </w:r>
    </w:p>
    <w:p w14:paraId="185FEBBB">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本次招标服务内容涉及治安管理、消防管理、交通管理、突发事件处理、其他服务等方面。其中：</w:t>
      </w:r>
    </w:p>
    <w:p w14:paraId="5387DAC1">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1.治安管理：门卫管理、巡逻管理、监控管理、人员进出管理、货物出入管理、重要区域管理等工作内容。</w:t>
      </w:r>
    </w:p>
    <w:p w14:paraId="6A14AF33">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2.消防管理：配合机构做好消防管理相关工作，包括：消防档案的建立、义务消防队的建立、消防宣传、消防监控、消防应急预案演练、消防器材管理等工作内容，人员须掌握相关技防设备基本操作。</w:t>
      </w:r>
    </w:p>
    <w:p w14:paraId="0B7D3DC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3.交通管理：行车管理、道路管理、车辆管理、停车管理、标识管理等工作内容。</w:t>
      </w:r>
    </w:p>
    <w:p w14:paraId="2DFEB64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4.突发事件处理：突发事件处理机制的建立（包括突发事件处理的程序、流程等），并对保安人员进行定期的包括突发事件处理等方面培训及突发事件处理的演练等工作。</w:t>
      </w:r>
    </w:p>
    <w:p w14:paraId="684B8F56">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5.其他服务：配合、协助采购方（业主方）做好其他相关工作。</w:t>
      </w:r>
    </w:p>
    <w:p w14:paraId="03120C76">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6.投标方须承诺用工不违反劳动法，作业不违反安全规程。</w:t>
      </w:r>
    </w:p>
    <w:p w14:paraId="440C0FE8">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（二）岗位职责要求：</w:t>
      </w:r>
    </w:p>
    <w:p w14:paraId="421F642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按时交接班；</w:t>
      </w:r>
    </w:p>
    <w:p w14:paraId="7BDBF3E8">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检查门窗关闭，切断不使用的用电设施；</w:t>
      </w:r>
    </w:p>
    <w:p w14:paraId="49A37AB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定时巡查，发现异常及时报告并配合处置；</w:t>
      </w:r>
    </w:p>
    <w:p w14:paraId="20012A4B">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开启监控技防报警系统；</w:t>
      </w:r>
    </w:p>
    <w:p w14:paraId="3D2227E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做好安保台帐记录；</w:t>
      </w:r>
    </w:p>
    <w:p w14:paraId="0BCE05BF">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保证校内师生安全，有效应对突发事件；</w:t>
      </w:r>
    </w:p>
    <w:p w14:paraId="2C943F77">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eastAsia="zh-CN"/>
        </w:rPr>
        <w:t>.</w:t>
      </w:r>
      <w:r>
        <w:rPr>
          <w:rFonts w:hint="eastAsia" w:ascii="宋体" w:hAnsi="宋体" w:eastAsia="宋体" w:cs="宋体"/>
          <w:sz w:val="21"/>
          <w:szCs w:val="21"/>
        </w:rPr>
        <w:t>不得擅自添加家长、学生的联系方式。</w:t>
      </w:r>
    </w:p>
    <w:p w14:paraId="09CECBFE">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（三）值守时间：</w:t>
      </w:r>
    </w:p>
    <w:p w14:paraId="0B032E0B">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1.每个点位均须保证24小时有人在岗，工作日日间岗每点位不少于两人，其余时间每点位不少于一人，已关闭学校日间及夜间岗每点位均不少于一人。</w:t>
      </w:r>
    </w:p>
    <w:p w14:paraId="1F107020">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2.叠加保安：每点位不少于两人，工作时间段以少年宫、劳动技术教育中心教学安排为准，确保每个点位上放学不少于两名叠加队员。</w:t>
      </w:r>
    </w:p>
    <w:p w14:paraId="440D9C77">
      <w:pPr>
        <w:spacing w:line="360" w:lineRule="auto"/>
        <w:ind w:firstLine="420" w:firstLineChars="200"/>
        <w:jc w:val="left"/>
        <w:rPr>
          <w:rFonts w:hint="eastAsia" w:ascii="宋体" w:hAnsi="宋体" w:eastAsia="宋体" w:cs="宋体"/>
          <w:sz w:val="21"/>
          <w:szCs w:val="21"/>
        </w:rPr>
      </w:pPr>
    </w:p>
    <w:p w14:paraId="17BDE93E">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三、人员配备要求</w:t>
      </w:r>
    </w:p>
    <w:p w14:paraId="6ADB626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本项目涉及长宁区教育局下属校外机构共计28个门卫点，共需保安服务岗位数150个。</w:t>
      </w:r>
    </w:p>
    <w:p w14:paraId="30533B2E">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（一）基本要求：</w:t>
      </w:r>
    </w:p>
    <w:p w14:paraId="3748276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所有保安人员需具备无传染病及精神病史，遵纪守法、品行良好、无违法犯罪记录，敬业爱岗、工作认真、责任心强。</w:t>
      </w:r>
    </w:p>
    <w:p w14:paraId="4EE1D08F">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保安员：</w:t>
      </w:r>
    </w:p>
    <w:p w14:paraId="5C0CA107">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性别：不限；</w:t>
      </w:r>
    </w:p>
    <w:p w14:paraId="52D5E2E7">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年龄：合同期内60周岁以下；</w:t>
      </w:r>
    </w:p>
    <w:p w14:paraId="1C4AE218">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经历要求：有1年以上的工作经历；</w:t>
      </w:r>
    </w:p>
    <w:p w14:paraId="746F26C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其他：</w:t>
      </w:r>
    </w:p>
    <w:p w14:paraId="49728BB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须持有保安上岗证书等相关证书，无不良嗜好，无违法犯罪记录，工作责任心强，服从命令，能完成上级交办的各项工作。</w:t>
      </w:r>
    </w:p>
    <w:p w14:paraId="290FFB3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按每30岗须配置一名保安队长，持有“保安三级以上证书”保安人员不少于5人。</w:t>
      </w:r>
    </w:p>
    <w:p w14:paraId="06FE0B8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所有的服务人员均须参加公安部门组织的校园保安岗位专业轮训考评，通过“心理健康测评”项目，体能达标、考评合格，且在保安员电子证照（IC卡）中获得认证后方能上岗。</w:t>
      </w:r>
    </w:p>
    <w:p w14:paraId="15D8F431">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（二）点位要求：</w:t>
      </w:r>
    </w:p>
    <w:tbl>
      <w:tblPr>
        <w:tblStyle w:val="3"/>
        <w:tblW w:w="5617" w:type="pct"/>
        <w:jc w:val="center"/>
        <w:tblLayout w:type="autofit"/>
        <w:tblCellMar>
          <w:top w:w="0" w:type="dxa"/>
          <w:left w:w="0" w:type="dxa"/>
          <w:bottom w:w="0" w:type="dxa"/>
          <w:right w:w="0" w:type="dxa"/>
        </w:tblCellMar>
      </w:tblPr>
      <w:tblGrid>
        <w:gridCol w:w="865"/>
        <w:gridCol w:w="5076"/>
        <w:gridCol w:w="3424"/>
      </w:tblGrid>
      <w:tr w14:paraId="75523952">
        <w:tblPrEx>
          <w:tblCellMar>
            <w:top w:w="0" w:type="dxa"/>
            <w:left w:w="0" w:type="dxa"/>
            <w:bottom w:w="0" w:type="dxa"/>
            <w:right w:w="0" w:type="dxa"/>
          </w:tblCellMar>
        </w:tblPrEx>
        <w:trPr>
          <w:trHeight w:val="375" w:hRule="atLeast"/>
          <w:jc w:val="center"/>
        </w:trPr>
        <w:tc>
          <w:tcPr>
            <w:tcW w:w="462"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31F18A6">
            <w:pPr>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71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D2F5823">
            <w:pPr>
              <w:jc w:val="center"/>
              <w:rPr>
                <w:rFonts w:hint="eastAsia" w:ascii="宋体" w:hAnsi="宋体" w:eastAsia="宋体" w:cs="宋体"/>
                <w:b/>
                <w:bCs/>
                <w:sz w:val="21"/>
                <w:szCs w:val="21"/>
              </w:rPr>
            </w:pPr>
            <w:r>
              <w:rPr>
                <w:rFonts w:hint="eastAsia" w:ascii="宋体" w:hAnsi="宋体" w:eastAsia="宋体" w:cs="宋体"/>
                <w:b/>
                <w:bCs/>
                <w:sz w:val="21"/>
                <w:szCs w:val="21"/>
              </w:rPr>
              <w:t>点位单位全称</w:t>
            </w:r>
          </w:p>
        </w:tc>
        <w:tc>
          <w:tcPr>
            <w:tcW w:w="1828"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2132A4C0">
            <w:pPr>
              <w:jc w:val="center"/>
              <w:rPr>
                <w:rFonts w:hint="eastAsia" w:ascii="宋体" w:hAnsi="宋体" w:eastAsia="宋体" w:cs="宋体"/>
                <w:b/>
                <w:bCs/>
                <w:sz w:val="21"/>
                <w:szCs w:val="21"/>
              </w:rPr>
            </w:pPr>
            <w:r>
              <w:rPr>
                <w:rFonts w:hint="eastAsia" w:ascii="宋体" w:hAnsi="宋体" w:eastAsia="宋体" w:cs="宋体"/>
                <w:b/>
                <w:bCs/>
                <w:sz w:val="21"/>
                <w:szCs w:val="21"/>
              </w:rPr>
              <w:t>地址</w:t>
            </w:r>
          </w:p>
        </w:tc>
      </w:tr>
      <w:tr w14:paraId="3ECD6D74">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F6A97C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1</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3D97CD1F">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特教指导中心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DD0CA5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虹古路422号</w:t>
            </w:r>
          </w:p>
        </w:tc>
      </w:tr>
      <w:tr w14:paraId="5BBEC21C">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CB02418">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2</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7287C76A">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人才交流中心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C1C4FED">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安龙路433号</w:t>
            </w:r>
          </w:p>
        </w:tc>
      </w:tr>
      <w:tr w14:paraId="5399211B">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0A10B2F">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3</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A815C61">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长宁区托幼管理中心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2534EF10">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 xml:space="preserve">长宁路1277弄7号 </w:t>
            </w:r>
          </w:p>
        </w:tc>
      </w:tr>
      <w:tr w14:paraId="637810D2">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B4DB854">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4</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12993B4D">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教育事务管理中心（总部）</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569CBD29">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长宁路1135弄123号</w:t>
            </w:r>
          </w:p>
        </w:tc>
      </w:tr>
      <w:tr w14:paraId="495C527E">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6C942D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5</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5A86AA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退管会</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D80C29D">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愚园路1112弄31号</w:t>
            </w:r>
          </w:p>
        </w:tc>
      </w:tr>
      <w:tr w14:paraId="3CBB9515">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238F7D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6</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37BA822">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教育事务管理中心（安管部）</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0864DF3">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新渔东路242号</w:t>
            </w:r>
          </w:p>
        </w:tc>
      </w:tr>
      <w:tr w14:paraId="086042C9">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2960FBF">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7</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72932524">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招生考试中心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1A7E5FD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茅台路472号</w:t>
            </w:r>
          </w:p>
        </w:tc>
      </w:tr>
      <w:tr w14:paraId="2340D702">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3410F65">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8</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162A3D5D">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会计结算中心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6157A4A">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长宁路1600弄36号甲</w:t>
            </w:r>
          </w:p>
        </w:tc>
      </w:tr>
      <w:tr w14:paraId="52D9D876">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69D26C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9</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C85E538">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基建站</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28B2C21">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天山路461弄50号</w:t>
            </w:r>
          </w:p>
        </w:tc>
      </w:tr>
      <w:tr w14:paraId="5C05B83F">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9C46AF2">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10</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559F7C1C">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武夷路物业点</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5049DD92">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武夷路338弄1号1楼</w:t>
            </w:r>
          </w:p>
        </w:tc>
      </w:tr>
      <w:tr w14:paraId="17F0CD80">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331B67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11</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6493A78">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茅台路物业点</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15FB72A0">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天山二村200弄</w:t>
            </w:r>
          </w:p>
        </w:tc>
      </w:tr>
      <w:tr w14:paraId="2CBF2F94">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B9C699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12</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64D1AD2">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事务中心（安管部）视频监控中心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D8F74C6">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新渔东路242号</w:t>
            </w:r>
          </w:p>
        </w:tc>
      </w:tr>
      <w:tr w14:paraId="23D4647B">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F358D0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13</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C71C3CA">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长宁区教育学院</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5D61941C">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愚园路864号</w:t>
            </w:r>
          </w:p>
        </w:tc>
      </w:tr>
      <w:tr w14:paraId="005E3838">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ACEAEEE">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14</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2DB05165">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长宁区教育学院信息中心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55F02444">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安龙路845号6楼</w:t>
            </w:r>
          </w:p>
        </w:tc>
      </w:tr>
      <w:tr w14:paraId="138725DF">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5F619B2B">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15</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E0BE83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长宁区老年大学</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7A58A1B">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愚园路1136弄62号</w:t>
            </w:r>
          </w:p>
        </w:tc>
      </w:tr>
      <w:tr w14:paraId="23B8BD5E">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53BCE20">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16</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32328BB">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长宁区老年大学（定西路分部）</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39C132A9">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定西路1318号</w:t>
            </w:r>
          </w:p>
        </w:tc>
      </w:tr>
      <w:tr w14:paraId="724C92CF">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4DE6BB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17</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5B15D493">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长宁区老年大学（茅台路分部）</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8322A65">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茅台路455弄14号</w:t>
            </w:r>
          </w:p>
        </w:tc>
      </w:tr>
      <w:tr w14:paraId="57685343">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543B7D3">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18</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38A5C840">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托育服务指导中心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C262463">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茅台路600弄1号</w:t>
            </w:r>
          </w:p>
        </w:tc>
      </w:tr>
      <w:tr w14:paraId="19DA4610">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5C6D2D2">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19</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27D85F7">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原新元学校办公点</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91B2847">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天山路1761弄26号</w:t>
            </w:r>
          </w:p>
        </w:tc>
      </w:tr>
      <w:tr w14:paraId="0FD5ACE9">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AFD50FD">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20</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DF605D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长宁区少年宫</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74A2B78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愚园路1136弄31号</w:t>
            </w:r>
          </w:p>
        </w:tc>
      </w:tr>
      <w:tr w14:paraId="06E6B1AF">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0356CC62">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21</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BB4C77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社区学院（定西路校区）</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1AD29E48">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定西路1300号</w:t>
            </w:r>
          </w:p>
        </w:tc>
      </w:tr>
      <w:tr w14:paraId="1748F0FA">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4887E2A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22</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1B0A69D8">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社区学院（虹古路校区）</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2A4932C">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虹古路321号</w:t>
            </w:r>
          </w:p>
        </w:tc>
      </w:tr>
      <w:tr w14:paraId="2DF03354">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778660BB">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23</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93C1B66">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上海市长宁区劳动技术教育中心</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13FE2751">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虹古路377弄41号</w:t>
            </w:r>
          </w:p>
        </w:tc>
      </w:tr>
      <w:tr w14:paraId="7E6C3F24">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2CAE19AE">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24</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E2D8EEA">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事务中心物业办</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47E1A3AE">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安龙路429、455号</w:t>
            </w:r>
          </w:p>
        </w:tc>
      </w:tr>
      <w:tr w14:paraId="4BA2F135">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6A1657F1">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rPr>
              <w:t>25</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00D7CA3C">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长教招待所</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247DB567">
            <w:pPr>
              <w:widowControl/>
              <w:jc w:val="center"/>
              <w:textAlignment w:val="center"/>
              <w:rPr>
                <w:rFonts w:hint="eastAsia" w:ascii="宋体" w:hAnsi="宋体" w:eastAsia="宋体" w:cs="宋体"/>
                <w:sz w:val="21"/>
                <w:szCs w:val="21"/>
              </w:rPr>
            </w:pPr>
            <w:r>
              <w:rPr>
                <w:rFonts w:hint="eastAsia" w:ascii="宋体" w:hAnsi="宋体" w:eastAsia="宋体" w:cs="宋体"/>
                <w:color w:val="000000"/>
                <w:kern w:val="0"/>
                <w:sz w:val="21"/>
                <w:szCs w:val="21"/>
                <w:lang w:bidi="ar"/>
              </w:rPr>
              <w:t>延安西路1505号</w:t>
            </w:r>
          </w:p>
        </w:tc>
      </w:tr>
      <w:tr w14:paraId="2B7E2410">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14BCE6D3">
            <w:pPr>
              <w:widowControl/>
              <w:jc w:val="center"/>
              <w:textAlignment w:val="center"/>
              <w:rPr>
                <w:rFonts w:hint="eastAsia" w:ascii="宋体" w:hAnsi="宋体" w:eastAsia="宋体" w:cs="宋体"/>
                <w:sz w:val="21"/>
                <w:szCs w:val="21"/>
                <w:lang w:bidi="ar"/>
              </w:rPr>
            </w:pPr>
            <w:r>
              <w:rPr>
                <w:rFonts w:hint="eastAsia" w:ascii="宋体" w:hAnsi="宋体" w:eastAsia="宋体" w:cs="宋体"/>
                <w:sz w:val="21"/>
                <w:szCs w:val="21"/>
                <w:lang w:bidi="ar"/>
              </w:rPr>
              <w:t>26</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23261CB5">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丹青商务楼</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6E9A0D8D">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延安西路1289弄10号</w:t>
            </w:r>
          </w:p>
        </w:tc>
      </w:tr>
      <w:tr w14:paraId="4866A24E">
        <w:tblPrEx>
          <w:tblCellMar>
            <w:top w:w="0" w:type="dxa"/>
            <w:left w:w="0" w:type="dxa"/>
            <w:bottom w:w="0" w:type="dxa"/>
            <w:right w:w="0" w:type="dxa"/>
          </w:tblCellMar>
        </w:tblPrEx>
        <w:trPr>
          <w:trHeight w:val="375" w:hRule="atLeast"/>
          <w:jc w:val="center"/>
        </w:trPr>
        <w:tc>
          <w:tcPr>
            <w:tcW w:w="462"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14:paraId="38CFED5D">
            <w:pPr>
              <w:widowControl/>
              <w:jc w:val="center"/>
              <w:textAlignment w:val="center"/>
              <w:rPr>
                <w:rFonts w:hint="eastAsia" w:ascii="宋体" w:hAnsi="宋体" w:eastAsia="宋体" w:cs="宋体"/>
                <w:sz w:val="21"/>
                <w:szCs w:val="21"/>
                <w:lang w:bidi="ar"/>
              </w:rPr>
            </w:pPr>
            <w:r>
              <w:rPr>
                <w:rFonts w:hint="eastAsia" w:ascii="宋体" w:hAnsi="宋体" w:eastAsia="宋体" w:cs="宋体"/>
                <w:sz w:val="21"/>
                <w:szCs w:val="21"/>
                <w:lang w:bidi="ar"/>
              </w:rPr>
              <w:t>27</w:t>
            </w:r>
          </w:p>
        </w:tc>
        <w:tc>
          <w:tcPr>
            <w:tcW w:w="2710"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3D8371C7">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上海开放大学航空运输学院</w:t>
            </w:r>
          </w:p>
        </w:tc>
        <w:tc>
          <w:tcPr>
            <w:tcW w:w="1828" w:type="pct"/>
            <w:tcBorders>
              <w:top w:val="nil"/>
              <w:left w:val="nil"/>
              <w:bottom w:val="single" w:color="auto" w:sz="4" w:space="0"/>
              <w:right w:val="single" w:color="auto" w:sz="4" w:space="0"/>
            </w:tcBorders>
            <w:noWrap/>
            <w:tcMar>
              <w:top w:w="15" w:type="dxa"/>
              <w:left w:w="15" w:type="dxa"/>
              <w:bottom w:w="0" w:type="dxa"/>
              <w:right w:w="15" w:type="dxa"/>
            </w:tcMar>
            <w:vAlign w:val="center"/>
          </w:tcPr>
          <w:p w14:paraId="354FD901">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番禺路127-129号</w:t>
            </w:r>
          </w:p>
        </w:tc>
      </w:tr>
      <w:tr w14:paraId="0E52F73A">
        <w:tblPrEx>
          <w:tblCellMar>
            <w:top w:w="0" w:type="dxa"/>
            <w:left w:w="0" w:type="dxa"/>
            <w:bottom w:w="0" w:type="dxa"/>
            <w:right w:w="0" w:type="dxa"/>
          </w:tblCellMar>
        </w:tblPrEx>
        <w:trPr>
          <w:trHeight w:val="375" w:hRule="atLeast"/>
          <w:jc w:val="center"/>
        </w:trPr>
        <w:tc>
          <w:tcPr>
            <w:tcW w:w="462"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07C2135A">
            <w:pPr>
              <w:widowControl/>
              <w:jc w:val="center"/>
              <w:textAlignment w:val="center"/>
              <w:rPr>
                <w:rFonts w:hint="eastAsia" w:ascii="宋体" w:hAnsi="宋体" w:eastAsia="宋体" w:cs="宋体"/>
                <w:sz w:val="21"/>
                <w:szCs w:val="21"/>
                <w:lang w:bidi="ar"/>
              </w:rPr>
            </w:pPr>
            <w:r>
              <w:rPr>
                <w:rFonts w:hint="eastAsia" w:ascii="宋体" w:hAnsi="宋体" w:eastAsia="宋体" w:cs="宋体"/>
                <w:sz w:val="21"/>
                <w:szCs w:val="21"/>
                <w:lang w:bidi="ar"/>
              </w:rPr>
              <w:t>28</w:t>
            </w:r>
          </w:p>
        </w:tc>
        <w:tc>
          <w:tcPr>
            <w:tcW w:w="271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44BA4B64">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长宁区教育局幼教学区</w:t>
            </w:r>
          </w:p>
        </w:tc>
        <w:tc>
          <w:tcPr>
            <w:tcW w:w="1828"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7AA9C3BD">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昭化路508弄44号</w:t>
            </w:r>
          </w:p>
        </w:tc>
      </w:tr>
      <w:tr w14:paraId="44ADD081">
        <w:tblPrEx>
          <w:tblCellMar>
            <w:top w:w="0" w:type="dxa"/>
            <w:left w:w="0" w:type="dxa"/>
            <w:bottom w:w="0" w:type="dxa"/>
            <w:right w:w="0" w:type="dxa"/>
          </w:tblCellMar>
        </w:tblPrEx>
        <w:trPr>
          <w:trHeight w:val="375"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25E7E2F6">
            <w:pPr>
              <w:widowControl/>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b/>
                <w:bCs/>
                <w:color w:val="000000"/>
                <w:kern w:val="0"/>
                <w:sz w:val="21"/>
                <w:szCs w:val="21"/>
                <w:lang w:bidi="ar"/>
              </w:rPr>
              <w:t>共28个点位</w:t>
            </w:r>
          </w:p>
        </w:tc>
      </w:tr>
    </w:tbl>
    <w:p w14:paraId="385A25BF">
      <w:pPr>
        <w:spacing w:line="360" w:lineRule="auto"/>
        <w:ind w:firstLine="420" w:firstLineChars="200"/>
        <w:jc w:val="left"/>
        <w:rPr>
          <w:rFonts w:hint="eastAsia" w:ascii="宋体" w:hAnsi="宋体" w:eastAsia="宋体" w:cs="宋体"/>
          <w:sz w:val="21"/>
          <w:szCs w:val="21"/>
        </w:rPr>
      </w:pPr>
    </w:p>
    <w:p w14:paraId="20D56FF6">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四、服务管理质量要求及相关承诺要求</w:t>
      </w:r>
    </w:p>
    <w:p w14:paraId="52BB075C">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（一）总体管理目标：</w:t>
      </w:r>
    </w:p>
    <w:p w14:paraId="2E58C4B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1．按照新型物保安管理模式，并根据教育系统的特点，为长宁区各校外机构提供保安管理服务。</w:t>
      </w:r>
    </w:p>
    <w:p w14:paraId="792538A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 xml:space="preserve">2．合同期内保证不发生人为安全事故、管理事故、质量事故、政治事故以及消防事故。 </w:t>
      </w:r>
    </w:p>
    <w:p w14:paraId="32E6B046">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3．合同期内协助签约单位共同争创上海市平安单位、上海市安全文明校园、文明单位等其他相关称号的评选。</w:t>
      </w:r>
    </w:p>
    <w:p w14:paraId="13EBB8ED">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（二）分项管理目标：</w:t>
      </w:r>
    </w:p>
    <w:tbl>
      <w:tblPr>
        <w:tblStyle w:val="3"/>
        <w:tblW w:w="92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340"/>
        <w:gridCol w:w="1260"/>
        <w:gridCol w:w="4836"/>
      </w:tblGrid>
      <w:tr w14:paraId="1AF8F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0FEB3682">
            <w:pPr>
              <w:pStyle w:val="2"/>
              <w:spacing w:before="78" w:beforeLines="25" w:after="78" w:afterLines="25"/>
              <w:ind w:left="0" w:leftChars="0" w:firstLine="0" w:firstLineChars="0"/>
              <w:jc w:val="center"/>
              <w:rPr>
                <w:rFonts w:hint="eastAsia" w:ascii="宋体" w:hAnsi="宋体" w:cs="宋体"/>
                <w:b/>
                <w:bCs/>
                <w:sz w:val="22"/>
                <w:szCs w:val="22"/>
              </w:rPr>
            </w:pPr>
            <w:r>
              <w:rPr>
                <w:rFonts w:hint="eastAsia" w:ascii="宋体" w:hAnsi="宋体" w:cs="宋体"/>
                <w:b/>
                <w:bCs/>
                <w:sz w:val="22"/>
                <w:szCs w:val="22"/>
              </w:rPr>
              <w:t>序号</w:t>
            </w:r>
          </w:p>
        </w:tc>
        <w:tc>
          <w:tcPr>
            <w:tcW w:w="2340" w:type="dxa"/>
            <w:noWrap w:val="0"/>
            <w:vAlign w:val="center"/>
          </w:tcPr>
          <w:p w14:paraId="4269EF78">
            <w:pPr>
              <w:pStyle w:val="2"/>
              <w:spacing w:before="78" w:beforeLines="25" w:after="78" w:afterLines="25"/>
              <w:ind w:left="0" w:leftChars="0" w:firstLine="0" w:firstLineChars="0"/>
              <w:jc w:val="center"/>
              <w:rPr>
                <w:rFonts w:hint="eastAsia" w:ascii="宋体" w:hAnsi="宋体" w:cs="宋体"/>
                <w:b/>
                <w:bCs/>
                <w:sz w:val="22"/>
                <w:szCs w:val="22"/>
              </w:rPr>
            </w:pPr>
            <w:r>
              <w:rPr>
                <w:rFonts w:hint="eastAsia" w:ascii="宋体" w:hAnsi="宋体" w:cs="宋体"/>
                <w:b/>
                <w:bCs/>
                <w:sz w:val="22"/>
                <w:szCs w:val="22"/>
              </w:rPr>
              <w:t>指标名称</w:t>
            </w:r>
          </w:p>
        </w:tc>
        <w:tc>
          <w:tcPr>
            <w:tcW w:w="1260" w:type="dxa"/>
            <w:noWrap w:val="0"/>
            <w:vAlign w:val="center"/>
          </w:tcPr>
          <w:p w14:paraId="53A5DAE4">
            <w:pPr>
              <w:pStyle w:val="2"/>
              <w:spacing w:before="78" w:beforeLines="25" w:after="78" w:afterLines="25"/>
              <w:ind w:left="0" w:leftChars="0" w:firstLine="0" w:firstLineChars="0"/>
              <w:jc w:val="center"/>
              <w:rPr>
                <w:rFonts w:hint="eastAsia" w:ascii="宋体" w:hAnsi="宋体" w:cs="宋体"/>
                <w:b/>
                <w:bCs/>
                <w:sz w:val="22"/>
                <w:szCs w:val="22"/>
              </w:rPr>
            </w:pPr>
            <w:r>
              <w:rPr>
                <w:rFonts w:hint="eastAsia" w:ascii="宋体" w:hAnsi="宋体" w:cs="宋体"/>
                <w:b/>
                <w:bCs/>
                <w:sz w:val="22"/>
                <w:szCs w:val="22"/>
              </w:rPr>
              <w:t>投标指标</w:t>
            </w:r>
          </w:p>
        </w:tc>
        <w:tc>
          <w:tcPr>
            <w:tcW w:w="4836" w:type="dxa"/>
            <w:noWrap w:val="0"/>
            <w:vAlign w:val="center"/>
          </w:tcPr>
          <w:p w14:paraId="3B0A2B1A">
            <w:pPr>
              <w:pStyle w:val="2"/>
              <w:spacing w:before="78" w:beforeLines="25" w:after="78" w:afterLines="25"/>
              <w:ind w:left="0" w:leftChars="0" w:firstLine="0" w:firstLineChars="0"/>
              <w:jc w:val="center"/>
              <w:rPr>
                <w:rFonts w:hint="eastAsia" w:ascii="宋体" w:hAnsi="宋体" w:cs="宋体"/>
                <w:b/>
                <w:bCs/>
                <w:sz w:val="22"/>
                <w:szCs w:val="22"/>
              </w:rPr>
            </w:pPr>
            <w:r>
              <w:rPr>
                <w:rFonts w:hint="eastAsia" w:ascii="宋体" w:hAnsi="宋体" w:cs="宋体"/>
                <w:b/>
                <w:bCs/>
                <w:sz w:val="22"/>
                <w:szCs w:val="22"/>
              </w:rPr>
              <w:t>说   明</w:t>
            </w:r>
          </w:p>
        </w:tc>
      </w:tr>
      <w:tr w14:paraId="20E0AB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7542DCC1">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1</w:t>
            </w:r>
          </w:p>
        </w:tc>
        <w:tc>
          <w:tcPr>
            <w:tcW w:w="2340" w:type="dxa"/>
            <w:noWrap w:val="0"/>
            <w:vAlign w:val="center"/>
          </w:tcPr>
          <w:p w14:paraId="1C7CD6BA">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业主满意率</w:t>
            </w:r>
          </w:p>
        </w:tc>
        <w:tc>
          <w:tcPr>
            <w:tcW w:w="1260" w:type="dxa"/>
            <w:noWrap w:val="0"/>
            <w:vAlign w:val="center"/>
          </w:tcPr>
          <w:p w14:paraId="45F0F5ED">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95%以上</w:t>
            </w:r>
          </w:p>
        </w:tc>
        <w:tc>
          <w:tcPr>
            <w:tcW w:w="4836" w:type="dxa"/>
            <w:noWrap w:val="0"/>
            <w:vAlign w:val="center"/>
          </w:tcPr>
          <w:p w14:paraId="1F6C927E">
            <w:pPr>
              <w:pStyle w:val="2"/>
              <w:spacing w:before="78" w:beforeLines="25" w:after="78" w:afterLines="25"/>
              <w:ind w:left="0" w:leftChars="0" w:firstLine="0" w:firstLineChars="0"/>
              <w:jc w:val="center"/>
              <w:rPr>
                <w:rFonts w:hint="eastAsia" w:ascii="宋体" w:hAnsi="宋体" w:eastAsia="宋体" w:cs="宋体"/>
                <w:b/>
                <w:bCs/>
                <w:sz w:val="22"/>
                <w:szCs w:val="22"/>
                <w:lang w:eastAsia="zh-CN"/>
              </w:rPr>
            </w:pPr>
            <w:r>
              <w:rPr>
                <w:rFonts w:hint="eastAsia" w:ascii="宋体" w:hAnsi="宋体" w:eastAsia="宋体" w:cs="宋体"/>
                <w:b/>
                <w:bCs/>
                <w:sz w:val="22"/>
                <w:szCs w:val="22"/>
              </w:rPr>
              <w:t>书面征询意见或邀请第三方进行满意率测评</w:t>
            </w:r>
            <w:r>
              <w:rPr>
                <w:rFonts w:hint="eastAsia" w:ascii="宋体" w:hAnsi="宋体" w:eastAsia="宋体" w:cs="宋体"/>
                <w:b/>
                <w:bCs/>
                <w:sz w:val="22"/>
                <w:szCs w:val="22"/>
                <w:lang w:eastAsia="zh-CN"/>
              </w:rPr>
              <w:t>。</w:t>
            </w:r>
          </w:p>
        </w:tc>
      </w:tr>
      <w:tr w14:paraId="4399C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6EC7FD12">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2</w:t>
            </w:r>
          </w:p>
        </w:tc>
        <w:tc>
          <w:tcPr>
            <w:tcW w:w="2340" w:type="dxa"/>
            <w:noWrap w:val="0"/>
            <w:vAlign w:val="center"/>
          </w:tcPr>
          <w:p w14:paraId="55586680">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治安事故发生率</w:t>
            </w:r>
          </w:p>
        </w:tc>
        <w:tc>
          <w:tcPr>
            <w:tcW w:w="1260" w:type="dxa"/>
            <w:noWrap w:val="0"/>
            <w:vAlign w:val="center"/>
          </w:tcPr>
          <w:p w14:paraId="197F4889">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0</w:t>
            </w:r>
          </w:p>
        </w:tc>
        <w:tc>
          <w:tcPr>
            <w:tcW w:w="4836" w:type="dxa"/>
            <w:noWrap w:val="0"/>
            <w:vAlign w:val="center"/>
          </w:tcPr>
          <w:p w14:paraId="136DA124">
            <w:pPr>
              <w:pStyle w:val="2"/>
              <w:spacing w:before="78" w:beforeLines="25" w:after="78" w:afterLines="25"/>
              <w:ind w:left="0" w:leftChars="0" w:firstLine="0" w:firstLineChars="0"/>
              <w:jc w:val="center"/>
              <w:rPr>
                <w:rFonts w:hint="eastAsia" w:ascii="宋体" w:hAnsi="宋体" w:eastAsia="宋体" w:cs="宋体"/>
                <w:b/>
                <w:bCs/>
                <w:sz w:val="22"/>
                <w:szCs w:val="22"/>
                <w:lang w:eastAsia="zh-CN"/>
              </w:rPr>
            </w:pPr>
            <w:r>
              <w:rPr>
                <w:rFonts w:hint="eastAsia" w:ascii="宋体" w:hAnsi="宋体" w:eastAsia="宋体" w:cs="宋体"/>
                <w:b/>
                <w:bCs/>
                <w:sz w:val="22"/>
                <w:szCs w:val="22"/>
              </w:rPr>
              <w:t>全年不能发生治安事故</w:t>
            </w:r>
            <w:r>
              <w:rPr>
                <w:rFonts w:hint="eastAsia" w:ascii="宋体" w:hAnsi="宋体" w:eastAsia="宋体" w:cs="宋体"/>
                <w:b/>
                <w:bCs/>
                <w:sz w:val="22"/>
                <w:szCs w:val="22"/>
                <w:lang w:eastAsia="zh-CN"/>
              </w:rPr>
              <w:t>。</w:t>
            </w:r>
          </w:p>
        </w:tc>
      </w:tr>
      <w:tr w14:paraId="4F1BB4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2A5CE933">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3</w:t>
            </w:r>
          </w:p>
        </w:tc>
        <w:tc>
          <w:tcPr>
            <w:tcW w:w="2340" w:type="dxa"/>
            <w:noWrap w:val="0"/>
            <w:vAlign w:val="center"/>
          </w:tcPr>
          <w:p w14:paraId="3B69BF04">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政治事故发生率</w:t>
            </w:r>
          </w:p>
        </w:tc>
        <w:tc>
          <w:tcPr>
            <w:tcW w:w="1260" w:type="dxa"/>
            <w:noWrap w:val="0"/>
            <w:vAlign w:val="center"/>
          </w:tcPr>
          <w:p w14:paraId="46DEDC79">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0</w:t>
            </w:r>
          </w:p>
        </w:tc>
        <w:tc>
          <w:tcPr>
            <w:tcW w:w="4836" w:type="dxa"/>
            <w:noWrap w:val="0"/>
            <w:vAlign w:val="center"/>
          </w:tcPr>
          <w:p w14:paraId="7F4645D9">
            <w:pPr>
              <w:pStyle w:val="2"/>
              <w:spacing w:before="78" w:beforeLines="25" w:after="78" w:afterLines="25"/>
              <w:ind w:left="0" w:leftChars="0" w:firstLine="0" w:firstLineChars="0"/>
              <w:jc w:val="center"/>
              <w:rPr>
                <w:rFonts w:hint="eastAsia" w:ascii="宋体" w:hAnsi="宋体" w:eastAsia="宋体" w:cs="宋体"/>
                <w:b/>
                <w:bCs/>
                <w:sz w:val="22"/>
                <w:szCs w:val="22"/>
                <w:lang w:eastAsia="zh-CN"/>
              </w:rPr>
            </w:pPr>
            <w:r>
              <w:rPr>
                <w:rFonts w:hint="eastAsia" w:ascii="宋体" w:hAnsi="宋体" w:eastAsia="宋体" w:cs="宋体"/>
                <w:b/>
                <w:bCs/>
                <w:sz w:val="22"/>
                <w:szCs w:val="22"/>
              </w:rPr>
              <w:t>不能发生泄密、反动事件</w:t>
            </w:r>
            <w:r>
              <w:rPr>
                <w:rFonts w:hint="eastAsia" w:ascii="宋体" w:hAnsi="宋体" w:eastAsia="宋体" w:cs="宋体"/>
                <w:b/>
                <w:bCs/>
                <w:sz w:val="22"/>
                <w:szCs w:val="22"/>
                <w:lang w:eastAsia="zh-CN"/>
              </w:rPr>
              <w:t>。</w:t>
            </w:r>
          </w:p>
        </w:tc>
      </w:tr>
      <w:tr w14:paraId="5997C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7CEF1AD7">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4</w:t>
            </w:r>
          </w:p>
        </w:tc>
        <w:tc>
          <w:tcPr>
            <w:tcW w:w="2340" w:type="dxa"/>
            <w:noWrap w:val="0"/>
            <w:vAlign w:val="center"/>
          </w:tcPr>
          <w:p w14:paraId="37727875">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辖区内车辆事故</w:t>
            </w:r>
          </w:p>
        </w:tc>
        <w:tc>
          <w:tcPr>
            <w:tcW w:w="1260" w:type="dxa"/>
            <w:noWrap w:val="0"/>
            <w:vAlign w:val="center"/>
          </w:tcPr>
          <w:p w14:paraId="7426779A">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0</w:t>
            </w:r>
          </w:p>
        </w:tc>
        <w:tc>
          <w:tcPr>
            <w:tcW w:w="4836" w:type="dxa"/>
            <w:noWrap w:val="0"/>
            <w:vAlign w:val="center"/>
          </w:tcPr>
          <w:p w14:paraId="0B4295DD">
            <w:pPr>
              <w:pStyle w:val="2"/>
              <w:spacing w:before="78" w:beforeLines="25" w:after="78" w:afterLines="25"/>
              <w:ind w:left="0" w:leftChars="0" w:firstLine="0" w:firstLineChars="0"/>
              <w:jc w:val="center"/>
              <w:rPr>
                <w:rFonts w:hint="eastAsia" w:ascii="宋体" w:hAnsi="宋体" w:eastAsia="宋体" w:cs="宋体"/>
                <w:b/>
                <w:bCs/>
                <w:sz w:val="22"/>
                <w:szCs w:val="22"/>
                <w:lang w:eastAsia="zh-CN"/>
              </w:rPr>
            </w:pPr>
            <w:r>
              <w:rPr>
                <w:rFonts w:hint="eastAsia" w:ascii="宋体" w:hAnsi="宋体" w:eastAsia="宋体" w:cs="宋体"/>
                <w:b/>
                <w:bCs/>
                <w:sz w:val="22"/>
                <w:szCs w:val="22"/>
              </w:rPr>
              <w:t>不能发生人为指挥失误造成事故</w:t>
            </w:r>
            <w:r>
              <w:rPr>
                <w:rFonts w:hint="eastAsia" w:ascii="宋体" w:hAnsi="宋体" w:eastAsia="宋体" w:cs="宋体"/>
                <w:b/>
                <w:bCs/>
                <w:sz w:val="22"/>
                <w:szCs w:val="22"/>
                <w:lang w:eastAsia="zh-CN"/>
              </w:rPr>
              <w:t>。</w:t>
            </w:r>
          </w:p>
        </w:tc>
      </w:tr>
      <w:tr w14:paraId="18D092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7496F519">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5</w:t>
            </w:r>
          </w:p>
        </w:tc>
        <w:tc>
          <w:tcPr>
            <w:tcW w:w="2340" w:type="dxa"/>
            <w:noWrap w:val="0"/>
            <w:vAlign w:val="center"/>
          </w:tcPr>
          <w:p w14:paraId="34D1806A">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消防设备完好率</w:t>
            </w:r>
          </w:p>
        </w:tc>
        <w:tc>
          <w:tcPr>
            <w:tcW w:w="1260" w:type="dxa"/>
            <w:noWrap w:val="0"/>
            <w:vAlign w:val="center"/>
          </w:tcPr>
          <w:p w14:paraId="29979B57">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100%</w:t>
            </w:r>
          </w:p>
        </w:tc>
        <w:tc>
          <w:tcPr>
            <w:tcW w:w="4836" w:type="dxa"/>
            <w:noWrap w:val="0"/>
            <w:vAlign w:val="center"/>
          </w:tcPr>
          <w:p w14:paraId="6893D0BD">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建立消防设施设备档案，并配合业主做好消防设施设备的维护和修理上报工作。</w:t>
            </w:r>
          </w:p>
        </w:tc>
      </w:tr>
      <w:tr w14:paraId="3CF783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851" w:type="dxa"/>
            <w:noWrap w:val="0"/>
            <w:vAlign w:val="center"/>
          </w:tcPr>
          <w:p w14:paraId="1DE81255">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6</w:t>
            </w:r>
          </w:p>
        </w:tc>
        <w:tc>
          <w:tcPr>
            <w:tcW w:w="2340" w:type="dxa"/>
            <w:noWrap w:val="0"/>
            <w:vAlign w:val="center"/>
          </w:tcPr>
          <w:p w14:paraId="4119A829">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应急事件处理</w:t>
            </w:r>
          </w:p>
          <w:p w14:paraId="1C570AE0">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及时率</w:t>
            </w:r>
          </w:p>
        </w:tc>
        <w:tc>
          <w:tcPr>
            <w:tcW w:w="1260" w:type="dxa"/>
            <w:noWrap w:val="0"/>
            <w:vAlign w:val="center"/>
          </w:tcPr>
          <w:p w14:paraId="4EF222CA">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100%</w:t>
            </w:r>
          </w:p>
        </w:tc>
        <w:tc>
          <w:tcPr>
            <w:tcW w:w="4836" w:type="dxa"/>
            <w:noWrap w:val="0"/>
            <w:vAlign w:val="center"/>
          </w:tcPr>
          <w:p w14:paraId="7030D300">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发生应急事件时，处置得当及时，有应急预案，防止事件扩大。</w:t>
            </w:r>
          </w:p>
        </w:tc>
      </w:tr>
      <w:tr w14:paraId="5C750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682BCE8A">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7</w:t>
            </w:r>
          </w:p>
        </w:tc>
        <w:tc>
          <w:tcPr>
            <w:tcW w:w="2340" w:type="dxa"/>
            <w:noWrap w:val="0"/>
            <w:vAlign w:val="center"/>
          </w:tcPr>
          <w:p w14:paraId="4E97103A">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安全检查合格率</w:t>
            </w:r>
          </w:p>
        </w:tc>
        <w:tc>
          <w:tcPr>
            <w:tcW w:w="1260" w:type="dxa"/>
            <w:noWrap w:val="0"/>
            <w:vAlign w:val="center"/>
          </w:tcPr>
          <w:p w14:paraId="544021B4">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100%</w:t>
            </w:r>
          </w:p>
        </w:tc>
        <w:tc>
          <w:tcPr>
            <w:tcW w:w="4836" w:type="dxa"/>
            <w:noWrap w:val="0"/>
            <w:vAlign w:val="center"/>
          </w:tcPr>
          <w:p w14:paraId="1467CB84">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上级安全检查、节日安全检查必须达标，基础资料齐全、规范。</w:t>
            </w:r>
          </w:p>
        </w:tc>
      </w:tr>
      <w:tr w14:paraId="0B1BC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51" w:type="dxa"/>
            <w:noWrap w:val="0"/>
            <w:vAlign w:val="center"/>
          </w:tcPr>
          <w:p w14:paraId="6C29C787">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8</w:t>
            </w:r>
          </w:p>
        </w:tc>
        <w:tc>
          <w:tcPr>
            <w:tcW w:w="2340" w:type="dxa"/>
            <w:noWrap w:val="0"/>
            <w:vAlign w:val="center"/>
          </w:tcPr>
          <w:p w14:paraId="143C2384">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业主和客户</w:t>
            </w:r>
          </w:p>
          <w:p w14:paraId="1DE8CA33">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有效投诉率</w:t>
            </w:r>
          </w:p>
        </w:tc>
        <w:tc>
          <w:tcPr>
            <w:tcW w:w="1260" w:type="dxa"/>
            <w:noWrap w:val="0"/>
            <w:vAlign w:val="center"/>
          </w:tcPr>
          <w:p w14:paraId="7B2E120F">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小于0.1%</w:t>
            </w:r>
          </w:p>
        </w:tc>
        <w:tc>
          <w:tcPr>
            <w:tcW w:w="4836" w:type="dxa"/>
            <w:noWrap w:val="0"/>
            <w:vAlign w:val="center"/>
          </w:tcPr>
          <w:p w14:paraId="74DA6F8F">
            <w:pPr>
              <w:pStyle w:val="2"/>
              <w:spacing w:before="78" w:beforeLines="25" w:after="78" w:afterLines="25"/>
              <w:ind w:left="0" w:leftChars="0" w:firstLine="0" w:firstLineChars="0"/>
              <w:jc w:val="center"/>
              <w:rPr>
                <w:rFonts w:hint="eastAsia" w:ascii="宋体" w:hAnsi="宋体" w:eastAsia="宋体" w:cs="宋体"/>
                <w:b/>
                <w:bCs/>
                <w:sz w:val="22"/>
                <w:szCs w:val="22"/>
                <w:lang w:eastAsia="zh-CN"/>
              </w:rPr>
            </w:pPr>
            <w:r>
              <w:rPr>
                <w:rFonts w:hint="eastAsia" w:ascii="宋体" w:hAnsi="宋体" w:eastAsia="宋体" w:cs="宋体"/>
                <w:b/>
                <w:bCs/>
                <w:sz w:val="22"/>
                <w:szCs w:val="22"/>
              </w:rPr>
              <w:t>减少投诉，方便业主和社会办事人员</w:t>
            </w:r>
            <w:r>
              <w:rPr>
                <w:rFonts w:hint="eastAsia" w:ascii="宋体" w:hAnsi="宋体" w:eastAsia="宋体" w:cs="宋体"/>
                <w:b/>
                <w:bCs/>
                <w:sz w:val="22"/>
                <w:szCs w:val="22"/>
                <w:lang w:eastAsia="zh-CN"/>
              </w:rPr>
              <w:t>。</w:t>
            </w:r>
          </w:p>
        </w:tc>
      </w:tr>
      <w:tr w14:paraId="386A2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noWrap w:val="0"/>
            <w:vAlign w:val="center"/>
          </w:tcPr>
          <w:p w14:paraId="5D1972B3">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9</w:t>
            </w:r>
          </w:p>
        </w:tc>
        <w:tc>
          <w:tcPr>
            <w:tcW w:w="2340" w:type="dxa"/>
            <w:noWrap w:val="0"/>
            <w:vAlign w:val="center"/>
          </w:tcPr>
          <w:p w14:paraId="13662F13">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各种保安人员</w:t>
            </w:r>
          </w:p>
          <w:p w14:paraId="1092C4AA">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持证上岗率</w:t>
            </w:r>
          </w:p>
        </w:tc>
        <w:tc>
          <w:tcPr>
            <w:tcW w:w="1260" w:type="dxa"/>
            <w:noWrap w:val="0"/>
            <w:vAlign w:val="center"/>
          </w:tcPr>
          <w:p w14:paraId="169D50AC">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100%</w:t>
            </w:r>
          </w:p>
        </w:tc>
        <w:tc>
          <w:tcPr>
            <w:tcW w:w="4836" w:type="dxa"/>
            <w:noWrap w:val="0"/>
            <w:vAlign w:val="center"/>
          </w:tcPr>
          <w:p w14:paraId="3551E007">
            <w:pPr>
              <w:pStyle w:val="2"/>
              <w:spacing w:before="78" w:beforeLines="25" w:after="78" w:afterLines="25"/>
              <w:ind w:left="0" w:leftChars="0" w:firstLine="0" w:firstLineChars="0"/>
              <w:jc w:val="center"/>
              <w:rPr>
                <w:rFonts w:hint="eastAsia" w:ascii="宋体" w:hAnsi="宋体" w:eastAsia="宋体" w:cs="宋体"/>
                <w:b/>
                <w:bCs/>
                <w:sz w:val="22"/>
                <w:szCs w:val="22"/>
              </w:rPr>
            </w:pPr>
            <w:r>
              <w:rPr>
                <w:rFonts w:hint="eastAsia" w:ascii="宋体" w:hAnsi="宋体" w:eastAsia="宋体" w:cs="宋体"/>
                <w:b/>
                <w:bCs/>
                <w:sz w:val="22"/>
                <w:szCs w:val="22"/>
              </w:rPr>
              <w:t>各种保安人员上岗前须经专业培训，做到持证上岗。</w:t>
            </w:r>
          </w:p>
        </w:tc>
      </w:tr>
    </w:tbl>
    <w:p w14:paraId="71526AAA">
      <w:pPr>
        <w:spacing w:line="360" w:lineRule="auto"/>
        <w:ind w:firstLine="422" w:firstLineChars="200"/>
        <w:jc w:val="left"/>
        <w:rPr>
          <w:rFonts w:hint="eastAsia" w:ascii="宋体" w:hAnsi="宋体" w:eastAsia="宋体" w:cs="宋体"/>
          <w:b/>
          <w:bCs/>
          <w:sz w:val="21"/>
          <w:szCs w:val="21"/>
        </w:rPr>
      </w:pPr>
    </w:p>
    <w:p w14:paraId="7428E7BF">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（三）服务管理质量及相关承诺要求：</w:t>
      </w:r>
    </w:p>
    <w:p w14:paraId="405B3822">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投标方应当按照保安管理目标进行全方位的安全管理和服务。</w:t>
      </w:r>
    </w:p>
    <w:p w14:paraId="3FBE2E23">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2</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投标方应当建立较为完善的管理制度体系，包括：安全质量管理、档案管理、人员管理、保密管理、物资管理、岗位管理等制度。</w:t>
      </w:r>
    </w:p>
    <w:p w14:paraId="5FBEAF9C">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3</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投标方应当写明具体岗位职责内容及对应的服务标准，包括保安主管（经理）、保安员岗位职责。</w:t>
      </w:r>
    </w:p>
    <w:p w14:paraId="6CAA24AD">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4</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在投标文件中写明具体岗位管理制度内容，包括：门卫，巡逻管理，监控中心管理，车辆管理，消防管理等岗位的管理办法、值班管理制度、人员奖惩制度、档案管理制度等。要求责任落实到人，现场必须有人牵头负责。</w:t>
      </w:r>
    </w:p>
    <w:p w14:paraId="49E773FA">
      <w:pPr>
        <w:spacing w:line="360" w:lineRule="auto"/>
        <w:ind w:firstLine="420" w:firstLineChars="200"/>
        <w:jc w:val="left"/>
        <w:rPr>
          <w:rFonts w:hint="eastAsia" w:ascii="宋体" w:hAnsi="宋体" w:eastAsia="宋体" w:cs="宋体"/>
          <w:b/>
          <w:bCs/>
          <w:color w:val="FF0000"/>
          <w:sz w:val="21"/>
          <w:szCs w:val="21"/>
        </w:rPr>
      </w:pPr>
      <w:r>
        <w:drawing>
          <wp:anchor distT="0" distB="0" distL="114300" distR="114300" simplePos="0" relativeHeight="251661312" behindDoc="0" locked="0" layoutInCell="1" allowOverlap="1">
            <wp:simplePos x="0" y="0"/>
            <wp:positionH relativeFrom="column">
              <wp:posOffset>466725</wp:posOffset>
            </wp:positionH>
            <wp:positionV relativeFrom="paragraph">
              <wp:posOffset>889000</wp:posOffset>
            </wp:positionV>
            <wp:extent cx="571500" cy="314325"/>
            <wp:effectExtent l="0" t="0" r="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71500" cy="314325"/>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0</wp:posOffset>
            </wp:positionH>
            <wp:positionV relativeFrom="paragraph">
              <wp:posOffset>889635</wp:posOffset>
            </wp:positionV>
            <wp:extent cx="323850" cy="276225"/>
            <wp:effectExtent l="0" t="0" r="0" b="952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323850" cy="276225"/>
                    </a:xfrm>
                    <a:prstGeom prst="rect">
                      <a:avLst/>
                    </a:prstGeom>
                    <a:noFill/>
                    <a:ln>
                      <a:noFill/>
                    </a:ln>
                  </pic:spPr>
                </pic:pic>
              </a:graphicData>
            </a:graphic>
          </wp:anchor>
        </w:drawing>
      </w:r>
      <w:r>
        <w:drawing>
          <wp:anchor distT="0" distB="0" distL="114300" distR="114300" simplePos="0" relativeHeight="251659264" behindDoc="0" locked="0" layoutInCell="1" allowOverlap="1">
            <wp:simplePos x="0" y="0"/>
            <wp:positionH relativeFrom="column">
              <wp:posOffset>3900805</wp:posOffset>
            </wp:positionH>
            <wp:positionV relativeFrom="paragraph">
              <wp:posOffset>639445</wp:posOffset>
            </wp:positionV>
            <wp:extent cx="295275" cy="209550"/>
            <wp:effectExtent l="0" t="0" r="952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295275" cy="209550"/>
                    </a:xfrm>
                    <a:prstGeom prst="rect">
                      <a:avLst/>
                    </a:prstGeom>
                    <a:noFill/>
                    <a:ln>
                      <a:noFill/>
                    </a:ln>
                  </pic:spPr>
                </pic:pic>
              </a:graphicData>
            </a:graphic>
          </wp:anchor>
        </w:drawing>
      </w:r>
      <w:r>
        <w:rPr>
          <w:rFonts w:hint="eastAsia" w:ascii="宋体" w:hAnsi="宋体" w:eastAsia="宋体" w:cs="宋体"/>
          <w:b/>
          <w:bCs/>
          <w:color w:val="FF0000"/>
          <w:sz w:val="21"/>
          <w:szCs w:val="21"/>
        </w:rPr>
        <w:t>5</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建立应急预案，包括：火警应急处理措施、殴斗应急处理措施、交通意外应急处理措施、非法侵入应急处理措施、盗窃应急处理措施、可疑物品应急处理措施、拾获财物处理措施、客户意外及伤害应急处理措施、闹访、集访、</w:t>
      </w:r>
      <w:r>
        <w:rPr>
          <w:rFonts w:hint="eastAsia" w:ascii="宋体" w:hAnsi="宋体" w:cs="宋体"/>
          <w:b/>
          <w:bCs/>
          <w:color w:val="FF0000"/>
          <w:sz w:val="21"/>
          <w:szCs w:val="21"/>
          <w:lang w:val="en-US" w:eastAsia="zh-CN"/>
        </w:rPr>
        <w:t xml:space="preserve">     </w:t>
      </w:r>
      <w:r>
        <w:rPr>
          <w:rFonts w:hint="eastAsia" w:ascii="宋体" w:hAnsi="宋体" w:eastAsia="宋体" w:cs="宋体"/>
          <w:b/>
          <w:bCs/>
          <w:color w:val="FF0000"/>
          <w:sz w:val="21"/>
          <w:szCs w:val="21"/>
        </w:rPr>
        <w:t>应急处理措施、</w:t>
      </w:r>
    </w:p>
    <w:p w14:paraId="793AE256">
      <w:pPr>
        <w:spacing w:line="360" w:lineRule="auto"/>
        <w:jc w:val="left"/>
        <w:rPr>
          <w:rFonts w:hint="eastAsia" w:ascii="宋体" w:hAnsi="宋体" w:eastAsia="宋体" w:cs="宋体"/>
          <w:b/>
          <w:bCs/>
          <w:color w:val="FF0000"/>
          <w:sz w:val="21"/>
          <w:szCs w:val="21"/>
        </w:rPr>
      </w:pPr>
      <w:r>
        <w:drawing>
          <wp:anchor distT="0" distB="0" distL="114300" distR="114300" simplePos="0" relativeHeight="251662336" behindDoc="0" locked="0" layoutInCell="1" allowOverlap="1">
            <wp:simplePos x="0" y="0"/>
            <wp:positionH relativeFrom="column">
              <wp:posOffset>2141855</wp:posOffset>
            </wp:positionH>
            <wp:positionV relativeFrom="paragraph">
              <wp:posOffset>313690</wp:posOffset>
            </wp:positionV>
            <wp:extent cx="2200275" cy="257175"/>
            <wp:effectExtent l="0" t="0" r="9525" b="952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2200275" cy="257175"/>
                    </a:xfrm>
                    <a:prstGeom prst="rect">
                      <a:avLst/>
                    </a:prstGeom>
                    <a:noFill/>
                    <a:ln>
                      <a:noFill/>
                    </a:ln>
                  </pic:spPr>
                </pic:pic>
              </a:graphicData>
            </a:graphic>
          </wp:anchor>
        </w:drawing>
      </w:r>
      <w:r>
        <w:rPr>
          <w:rFonts w:hint="eastAsia"/>
          <w:lang w:val="en-US" w:eastAsia="zh-CN"/>
        </w:rPr>
        <w:t xml:space="preserve">     </w:t>
      </w:r>
      <w:r>
        <w:rPr>
          <w:rFonts w:hint="eastAsia" w:ascii="宋体" w:hAnsi="宋体" w:eastAsia="宋体" w:cs="宋体"/>
          <w:b/>
          <w:bCs/>
          <w:color w:val="FF0000"/>
          <w:sz w:val="21"/>
          <w:szCs w:val="21"/>
        </w:rPr>
        <w:t>、</w:t>
      </w:r>
      <w:r>
        <w:rPr>
          <w:rFonts w:hint="eastAsia"/>
          <w:lang w:val="en-US" w:eastAsia="zh-CN"/>
        </w:rPr>
        <w:t xml:space="preserve">         </w:t>
      </w:r>
      <w:r>
        <w:rPr>
          <w:rFonts w:hint="eastAsia" w:ascii="宋体" w:hAnsi="宋体" w:eastAsia="宋体" w:cs="宋体"/>
          <w:b/>
          <w:bCs/>
          <w:color w:val="FF0000"/>
          <w:sz w:val="21"/>
          <w:szCs w:val="21"/>
        </w:rPr>
        <w:t>应急处理措施、爆炸应急处理措施、其他安全应急处理措施。</w:t>
      </w:r>
    </w:p>
    <w:p w14:paraId="1864E737">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6</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投标方应当承诺在中标服务期中定期开展人员培训，提高业务技能，安排应急演练</w:t>
      </w:r>
      <w:bookmarkStart w:id="1" w:name="_GoBack"/>
      <w:bookmarkEnd w:id="1"/>
      <w:r>
        <w:rPr>
          <w:rFonts w:hint="eastAsia" w:ascii="宋体" w:hAnsi="宋体" w:eastAsia="宋体" w:cs="宋体"/>
          <w:b/>
          <w:bCs/>
          <w:color w:val="FF0000"/>
          <w:sz w:val="21"/>
          <w:szCs w:val="21"/>
        </w:rPr>
        <w:t>等项目培训，以增强安全工作意识和技能。</w:t>
      </w:r>
    </w:p>
    <w:p w14:paraId="1CB5EA84">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7</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投标方应当配合机构建立消防值班制度，定期巡视，并配合业主做好消防设施设备的维护和修理上报工作，设备完好率应达到100%以上。</w:t>
      </w:r>
    </w:p>
    <w:p w14:paraId="67B3560B">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8</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投标方应当在投标文件中写明人员管理考核方案，方案中应包括详细的日常人员管理考核办法、确保人员稳定的措施等内容；岗位的月流动率≤3%。</w:t>
      </w:r>
    </w:p>
    <w:p w14:paraId="40E04AB9">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9</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人员要求：</w:t>
      </w:r>
    </w:p>
    <w:p w14:paraId="2CF0AF05">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（1）投标方应当按专业化要求配置保安人员，并按照国家有关规定取得相应的上岗证书，持证率100%；涉及消防设施操作的，应提供满足要求的专业人员。</w:t>
      </w:r>
    </w:p>
    <w:p w14:paraId="53597EA8">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（2）投标方应当在投标文件中提供人员招录管理方案，方案中应当列出人员招录途径，新老人员配比组成情况等内容。</w:t>
      </w:r>
    </w:p>
    <w:p w14:paraId="41C4205E">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（3）投标方应当按照实际情况编制人员岗位配置及排班计划表。</w:t>
      </w:r>
    </w:p>
    <w:p w14:paraId="3124B583">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（4）投标方应当在投标文件中提供员工培训方案（包括年度、季度、月度）；一旦中标，投标方应当将详细的培训方案递交至业主方以供备案。</w:t>
      </w:r>
    </w:p>
    <w:p w14:paraId="74AB9DCA">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（5）投标方应当在投标文件中写明人员管理考核方案，方案中应包括详细的日常人员管理考核办法、确保人员稳定的措施等内容。</w:t>
      </w:r>
    </w:p>
    <w:p w14:paraId="7FBFC221">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（6）着装要求：投标方应当按照有关规定为保安人员配备保安制服（按季节配备），保安制服应包括背心、帽子、皮带、皮鞋、肩章、袖标等；上岗时须统一着装，并统一佩戴胸牌，服饰保持整洁，仪表端庄。</w:t>
      </w:r>
    </w:p>
    <w:p w14:paraId="0BE98DB9">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（7）上岗要求：保安人员上岗时应做到服务周到热情，态度主动积极，用语文明规范须统一。</w:t>
      </w:r>
    </w:p>
    <w:p w14:paraId="71487F6A">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 xml:space="preserve">（8）投标人应承诺中标后，按照《上海市中小学、幼儿园保安员护校执勤工作规范（试行）》文件要求，所有的服务人员均须参加公安部门组织的校园保安岗位专业轮训考评，通过“心理健康测评”项目，体能达标、考评合格，且在保安员电子证照（IC卡）中获得认证后方能上岗。 </w:t>
      </w:r>
    </w:p>
    <w:p w14:paraId="611D3450">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10</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装备要求：投标方应按上级相关部门要求，为服务单位配备必要的装备及器械。</w:t>
      </w:r>
    </w:p>
    <w:p w14:paraId="5C18A8EA">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11</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投标方应当建立客户投诉处理机制，明确事故发生的责任界定等内容；并承诺24小时内予以处理或回复，确保件件有处理结果并有详细记录，投诉人签字满意率大于95％。</w:t>
      </w:r>
    </w:p>
    <w:p w14:paraId="23174309">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12</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投标方应当提供满意度测评方案、并承诺保证每年至少一次征询客户关于安全管理的意见，并针对业主集中反映的问题采取整改措施，使满意率达到95％以上。（满意度测评表格式详见附件）</w:t>
      </w:r>
    </w:p>
    <w:p w14:paraId="7DE6263A">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13.投标人须承诺：如中标，在本项目合同签订前提供“雇主责任险”、“意外险”险种购买证明。</w:t>
      </w:r>
    </w:p>
    <w:p w14:paraId="587C9E9C">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14.投标人须承诺本项目中所投服务人员的员工薪资、社保、公积金、加班费、各类津贴等，均符合《中华人民共和国劳动法》、上海市人力资源和社会保障局相关规定等最新国家及地方相关法律法规，以及所属行业基本标准。因薪酬待遇、用工不规范等相关问题产生的争议纠纷或法律问题，均由投标人承担相应法律责任。</w:t>
      </w:r>
    </w:p>
    <w:p w14:paraId="785236E7">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b/>
          <w:bCs/>
          <w:color w:val="FF0000"/>
        </w:rPr>
        <w:t>★</w:t>
      </w:r>
      <w:r>
        <w:rPr>
          <w:rFonts w:hint="eastAsia" w:ascii="宋体" w:hAnsi="宋体" w:eastAsia="宋体" w:cs="宋体"/>
          <w:b/>
          <w:bCs/>
          <w:color w:val="FF0000"/>
          <w:sz w:val="21"/>
          <w:szCs w:val="21"/>
        </w:rPr>
        <w:t>注：以上第1条～第14条款要求投标方须在投标文件中加以体现或予以承诺，若服务方案、管理制度、相关承诺出现严重不符的，将作为废标处理。</w:t>
      </w:r>
    </w:p>
    <w:p w14:paraId="4BEF384F">
      <w:pPr>
        <w:snapToGri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五、其他相关事项说明</w:t>
      </w:r>
    </w:p>
    <w:p w14:paraId="20B87315">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（一）鉴于上海市长宁区教育系统校园保安服务管理的特殊性，各投标方应注意以下内容：</w:t>
      </w:r>
    </w:p>
    <w:p w14:paraId="2595B6FC">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本项目投标人应当遵守以下安全、保密义务：</w:t>
      </w:r>
    </w:p>
    <w:p w14:paraId="14D18254">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（1）所有招标资料全部为保密资料，需遵守保密要求，不得外传复印。各投标单位需签署保密承诺函。</w:t>
      </w:r>
    </w:p>
    <w:p w14:paraId="4C911BC2">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（2）为了本项目服务对象（即业主方）的安全、保密义务必须按业主方有关的保密要求，严格执行相关的管理措施。</w:t>
      </w:r>
    </w:p>
    <w:p w14:paraId="233DA48C">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注：投标单位应根据以上提示内容编写方案，并做出相应承诺。</w:t>
      </w:r>
    </w:p>
    <w:p w14:paraId="3B9B795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w:t>
      </w:r>
      <w:r>
        <w:rPr>
          <w:rFonts w:hint="eastAsia" w:ascii="宋体" w:hAnsi="宋体" w:eastAsia="宋体" w:cs="宋体"/>
          <w:sz w:val="21"/>
          <w:szCs w:val="21"/>
        </w:rPr>
        <w:t>保安服务管理档案作为保安服务管理服务期（合同期）内的重要记载，应根据实际情况真实记录，书面归档，并能全面、客观反应管理期内的所有机构管理情况。保安服务管理档案应在管理服务期结束后完整的提交给业主方保安服务管理方，有义务协助业主方或在业主方的指导下对其他档案或资料进行收集整理。</w:t>
      </w:r>
    </w:p>
    <w:p w14:paraId="65A782B5">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w:t>
      </w:r>
      <w:r>
        <w:rPr>
          <w:rFonts w:hint="eastAsia" w:ascii="宋体" w:hAnsi="宋体" w:eastAsia="宋体" w:cs="宋体"/>
          <w:sz w:val="21"/>
          <w:szCs w:val="21"/>
        </w:rPr>
        <w:t>保安服务管理方应根据管理的实际情况，提交给业主方每月工作报告。</w:t>
      </w:r>
    </w:p>
    <w:p w14:paraId="2EC8D7F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保安服务管理方选用的有关保安专用工具、设备及其他消耗材料的采购及仓库保管、领用制度应得到业主方认可，业主方对此项享有监督管理权并保留对此项的 指定采购权利。</w:t>
      </w:r>
    </w:p>
    <w:p w14:paraId="5204821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针对服务对象的特殊性，投标单位可以提出其它特色服务的设想及建议。</w:t>
      </w:r>
    </w:p>
    <w:p w14:paraId="74C4D35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投标单位应认真踏勘现场，熟悉服务现场及周围地形，交通道路等情况，以获得一切可能影响投标报价的直接资料。招标单位将一律视为已确认所有现场条件和预计到了可能发生的异常情况。投标单位中标后，不得以不了解或不完全了解现场为理由而提出额外费用，对有关这一类的要求，招标单位将不予考虑。</w:t>
      </w:r>
    </w:p>
    <w:p w14:paraId="08FFECC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投标单位为本项目配备的保安服务管理总负责人与各专业管理、技术负责人须承担过类似规模的保安的同类职位。消防监控等特殊岗位的工作人员应具备相应的上岗证书，并将本项详细资料编入资格证明文件中。</w:t>
      </w:r>
    </w:p>
    <w:p w14:paraId="3F3B3C6B">
      <w:pPr>
        <w:spacing w:line="360" w:lineRule="auto"/>
        <w:ind w:firstLine="422" w:firstLineChars="200"/>
        <w:jc w:val="left"/>
        <w:rPr>
          <w:rFonts w:hint="eastAsia" w:ascii="宋体" w:hAnsi="宋体" w:eastAsia="宋体" w:cs="宋体"/>
          <w:b/>
          <w:bCs/>
          <w:sz w:val="21"/>
          <w:szCs w:val="21"/>
          <w:lang w:val="en-US" w:eastAsia="zh-CN"/>
        </w:rPr>
      </w:pPr>
      <w:r>
        <w:rPr>
          <w:rFonts w:hint="eastAsia" w:ascii="宋体" w:hAnsi="宋体" w:eastAsia="宋体" w:cs="宋体"/>
          <w:b/>
          <w:bCs/>
          <w:sz w:val="21"/>
          <w:szCs w:val="21"/>
        </w:rPr>
        <w:t>（二）服务管理方式</w:t>
      </w:r>
      <w:r>
        <w:rPr>
          <w:rFonts w:hint="eastAsia" w:ascii="宋体" w:hAnsi="宋体" w:eastAsia="宋体" w:cs="宋体"/>
          <w:b/>
          <w:bCs/>
          <w:sz w:val="21"/>
          <w:szCs w:val="21"/>
          <w:lang w:eastAsia="zh-CN"/>
        </w:rPr>
        <w:t>：</w:t>
      </w:r>
    </w:p>
    <w:p w14:paraId="63517B3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中标单位根据《中华人民共和国民法典》、新颁布实施的</w:t>
      </w:r>
      <w:bookmarkStart w:id="0" w:name="_Hlk110160774"/>
      <w:r>
        <w:rPr>
          <w:rFonts w:hint="eastAsia" w:ascii="宋体" w:hAnsi="宋体" w:eastAsia="宋体" w:cs="宋体"/>
          <w:sz w:val="21"/>
          <w:szCs w:val="21"/>
        </w:rPr>
        <w:t>《中华人民共和国保安服务条例》</w:t>
      </w:r>
      <w:bookmarkEnd w:id="0"/>
      <w:r>
        <w:rPr>
          <w:rFonts w:hint="eastAsia" w:ascii="宋体" w:hAnsi="宋体" w:eastAsia="宋体" w:cs="宋体"/>
          <w:sz w:val="21"/>
          <w:szCs w:val="21"/>
        </w:rPr>
        <w:t>以及国家、省、市的有关法律、法规与签订合同，进行统一管理、专业服务、自负盈亏。在保安服务管理期间内非经业主方同意，不得转包、分包保安服务管理内容和职责义务。</w:t>
      </w:r>
    </w:p>
    <w:p w14:paraId="36472F7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中标单位还应严格遵守以下文件要求提供本次服务：</w:t>
      </w:r>
    </w:p>
    <w:p w14:paraId="1C7E5F82">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（1）校园安全工作任务参考文件目录；</w:t>
      </w:r>
    </w:p>
    <w:p w14:paraId="50474B53">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（2）《企业事业单位内部治安保卫条例》(中华人民共和国国务院令第421号)；</w:t>
      </w:r>
    </w:p>
    <w:p w14:paraId="269E773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（3）《保安服务管理条例》(中华人民共和国国务院令第564号)；</w:t>
      </w:r>
    </w:p>
    <w:p w14:paraId="38DDAEE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（4）中央社会治安综合治理委员会办公室、教育部、公安部关于进一步加强学校幼儿园安全防范工作建立健全长效工作机制的意见；</w:t>
      </w:r>
    </w:p>
    <w:p w14:paraId="7A41DB7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（5）《公安部办公厅教育部办公厅关于印发〈中小学幼儿园安全防范工作规范（试行）〉的通知》（公治〔2015〕168号）；</w:t>
      </w:r>
    </w:p>
    <w:p w14:paraId="0E726A26">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（6）《关于本市加强中小学幼儿园安全风险防控体系建设的实施意见》（沪府办规〔2019〕2号）；</w:t>
      </w:r>
    </w:p>
    <w:p w14:paraId="68D0873A">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（7）公安部、教育部《加快推动全国中小学幼儿园安全防范建设三年行动计划》（公通字[2019]27号）；</w:t>
      </w:r>
    </w:p>
    <w:p w14:paraId="6E2C0CE6">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（8）上海市地方标准《重点单位重要部位安全技术防范系统要求第6部分:中小学、幼儿图、托幼机构》；</w:t>
      </w:r>
    </w:p>
    <w:p w14:paraId="3B61A4B6">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（9）《关于印发&lt;上海市中小学、幼儿园保安员护校执勤规范（试行）的通知》（沪公治通字[2021]25号）；</w:t>
      </w:r>
    </w:p>
    <w:p w14:paraId="2F63549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（10）其他与校园安保、安防等有关文件。</w:t>
      </w:r>
    </w:p>
    <w:p w14:paraId="62F439A3">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★3</w:t>
      </w:r>
      <w:r>
        <w:rPr>
          <w:rFonts w:hint="eastAsia" w:ascii="宋体" w:hAnsi="宋体" w:eastAsia="宋体" w:cs="宋体"/>
          <w:b/>
          <w:bCs/>
          <w:color w:val="FF0000"/>
          <w:sz w:val="21"/>
          <w:szCs w:val="21"/>
          <w:lang w:val="en-US" w:eastAsia="zh-CN"/>
        </w:rPr>
        <w:t>.</w:t>
      </w:r>
      <w:r>
        <w:rPr>
          <w:rFonts w:hint="eastAsia" w:ascii="宋体" w:hAnsi="宋体" w:eastAsia="宋体" w:cs="宋体"/>
          <w:b/>
          <w:bCs/>
          <w:color w:val="FF0000"/>
          <w:sz w:val="21"/>
          <w:szCs w:val="21"/>
        </w:rPr>
        <w:t>中标单位与业主单位签订的服务委托协议期限应以年度为单位（协议限期一年），不再另行增加各类费用。如业主单位有增减服务点及人员的变化，服务费按照中标人员单价另做调整。</w:t>
      </w:r>
    </w:p>
    <w:p w14:paraId="505B614C">
      <w:pPr>
        <w:spacing w:line="360" w:lineRule="auto"/>
        <w:ind w:firstLine="422" w:firstLineChars="200"/>
        <w:jc w:val="left"/>
        <w:rPr>
          <w:rFonts w:hint="eastAsia" w:ascii="宋体" w:hAnsi="宋体" w:eastAsia="宋体" w:cs="宋体"/>
          <w:b/>
          <w:bCs/>
          <w:color w:val="FF0000"/>
          <w:sz w:val="21"/>
          <w:szCs w:val="21"/>
        </w:rPr>
      </w:pPr>
      <w:r>
        <w:rPr>
          <w:rFonts w:hint="eastAsia" w:ascii="宋体" w:hAnsi="宋体" w:eastAsia="宋体" w:cs="宋体"/>
          <w:b/>
          <w:bCs/>
          <w:color w:val="FF0000"/>
          <w:sz w:val="21"/>
          <w:szCs w:val="21"/>
        </w:rPr>
        <w:t>注：投标单位应根据以上提示内容编写方案，并做出相应承诺。</w:t>
      </w:r>
    </w:p>
    <w:p w14:paraId="4B8C1B39">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val="en-US" w:eastAsia="zh-CN"/>
        </w:rPr>
        <w:t>.</w:t>
      </w:r>
      <w:r>
        <w:rPr>
          <w:rFonts w:hint="eastAsia" w:ascii="宋体" w:hAnsi="宋体" w:eastAsia="宋体" w:cs="宋体"/>
          <w:sz w:val="21"/>
          <w:szCs w:val="21"/>
        </w:rPr>
        <w:t>中标单位应严格按照投标书和委托管理合同的约定进行保安服务管理（如：达不到规定要求，管理维护水平下降，业主单位投诉多或出现重大管理失误等），否则业主方有权从履约风险保证金中获得赔偿，直至终止委托管理合同，并进行财务审计，责任由中标单位负责。</w:t>
      </w:r>
    </w:p>
    <w:p w14:paraId="247C74E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5</w:t>
      </w:r>
      <w:r>
        <w:rPr>
          <w:rFonts w:hint="eastAsia" w:ascii="宋体" w:hAnsi="宋体" w:eastAsia="宋体" w:cs="宋体"/>
          <w:sz w:val="21"/>
          <w:szCs w:val="21"/>
          <w:lang w:val="en-US" w:eastAsia="zh-CN"/>
        </w:rPr>
        <w:t>.</w:t>
      </w:r>
      <w:r>
        <w:rPr>
          <w:rFonts w:hint="eastAsia" w:ascii="宋体" w:hAnsi="宋体" w:eastAsia="宋体" w:cs="宋体"/>
          <w:sz w:val="21"/>
          <w:szCs w:val="21"/>
        </w:rPr>
        <w:t>保安服务单位在聘用、任命、调整、调换、替换有关主要保安服务管理服务人员之前须征得业主方同意，业主方同时享有对有关保安管理服务人员指定调整、调换、替换的权利。</w:t>
      </w:r>
    </w:p>
    <w:p w14:paraId="03B1B02D">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w:t>
      </w:r>
      <w:r>
        <w:rPr>
          <w:rFonts w:hint="eastAsia" w:ascii="宋体" w:hAnsi="宋体" w:eastAsia="宋体" w:cs="宋体"/>
          <w:sz w:val="21"/>
          <w:szCs w:val="21"/>
          <w:lang w:val="en-US" w:eastAsia="zh-CN"/>
        </w:rPr>
        <w:t>.</w:t>
      </w:r>
      <w:r>
        <w:rPr>
          <w:rFonts w:hint="eastAsia" w:ascii="宋体" w:hAnsi="宋体" w:eastAsia="宋体" w:cs="宋体"/>
          <w:sz w:val="21"/>
          <w:szCs w:val="21"/>
        </w:rPr>
        <w:t>拟委派本项目的主要管理人员不得同时在其他保安服务项目中兼职。</w:t>
      </w:r>
    </w:p>
    <w:p w14:paraId="77300C2B">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w:t>
      </w:r>
      <w:r>
        <w:rPr>
          <w:rFonts w:hint="eastAsia" w:ascii="宋体" w:hAnsi="宋体" w:eastAsia="宋体" w:cs="宋体"/>
          <w:sz w:val="21"/>
          <w:szCs w:val="21"/>
        </w:rPr>
        <w:t>保安服务单位投报的所有参与本项目保安管理服务的人数、职责、资质、人事费用等内容经业主方核准确认后在保安管理服务期内不作变动。保安服务单位自行承担任何少报，漏报而带来的经营风险。</w:t>
      </w:r>
    </w:p>
    <w:p w14:paraId="4FF5CDEC">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w:t>
      </w:r>
      <w:r>
        <w:rPr>
          <w:rFonts w:hint="eastAsia" w:ascii="宋体" w:hAnsi="宋体" w:eastAsia="宋体" w:cs="宋体"/>
          <w:sz w:val="21"/>
          <w:szCs w:val="21"/>
        </w:rPr>
        <w:t>中标方的投标书是合同的当然组成部分，合同约定中未详尽的保安服务单位的义务依中标方的投标书为据。</w:t>
      </w:r>
    </w:p>
    <w:p w14:paraId="2DC1032E">
      <w:pPr>
        <w:spacing w:line="360" w:lineRule="auto"/>
        <w:ind w:firstLine="422" w:firstLineChars="200"/>
        <w:jc w:val="left"/>
        <w:rPr>
          <w:rFonts w:hint="eastAsia" w:ascii="宋体" w:hAnsi="宋体" w:eastAsia="宋体" w:cs="宋体"/>
          <w:b/>
          <w:bCs/>
          <w:sz w:val="21"/>
          <w:szCs w:val="21"/>
        </w:rPr>
      </w:pPr>
      <w:r>
        <w:rPr>
          <w:rFonts w:hint="eastAsia" w:ascii="宋体" w:hAnsi="宋体" w:eastAsia="宋体" w:cs="宋体"/>
          <w:b/>
          <w:bCs/>
          <w:sz w:val="21"/>
          <w:szCs w:val="21"/>
        </w:rPr>
        <w:t>注：上述★条款必须满足响应，否则将作为废标处理。</w:t>
      </w:r>
    </w:p>
    <w:p w14:paraId="5F78959F">
      <w:pPr>
        <w:spacing w:line="360" w:lineRule="auto"/>
        <w:ind w:firstLine="420" w:firstLineChars="200"/>
        <w:jc w:val="left"/>
        <w:rPr>
          <w:rFonts w:hint="eastAsia" w:ascii="宋体" w:hAnsi="宋体" w:eastAsia="宋体" w:cs="宋体"/>
          <w:sz w:val="21"/>
          <w:szCs w:val="21"/>
        </w:rPr>
      </w:pPr>
    </w:p>
    <w:p w14:paraId="31076395">
      <w:pPr>
        <w:spacing w:line="360" w:lineRule="auto"/>
        <w:rPr>
          <w:rFonts w:hint="eastAsia" w:ascii="宋体" w:hAnsi="宋体" w:cs="黑体"/>
          <w:b/>
          <w:szCs w:val="21"/>
        </w:rPr>
      </w:pPr>
      <w:r>
        <w:rPr>
          <w:rFonts w:hint="eastAsia" w:ascii="宋体" w:hAnsi="宋体" w:cs="黑体"/>
          <w:b/>
          <w:szCs w:val="21"/>
        </w:rPr>
        <w:t xml:space="preserve">六、其他要求： </w:t>
      </w:r>
    </w:p>
    <w:p w14:paraId="2B2B4789">
      <w:pPr>
        <w:spacing w:line="360" w:lineRule="auto"/>
        <w:ind w:firstLine="420" w:firstLineChars="200"/>
        <w:rPr>
          <w:rFonts w:hint="eastAsia" w:ascii="宋体" w:hAnsi="宋体" w:cs="Arial"/>
          <w:szCs w:val="21"/>
        </w:rPr>
      </w:pPr>
      <w:r>
        <w:rPr>
          <w:rFonts w:hint="eastAsia" w:ascii="宋体" w:hAnsi="宋体" w:cs="Arial"/>
          <w:szCs w:val="21"/>
        </w:rPr>
        <w:t xml:space="preserve">1、付款条件：按月支付。 </w:t>
      </w:r>
    </w:p>
    <w:p w14:paraId="1E85AA92">
      <w:pPr>
        <w:spacing w:line="360" w:lineRule="auto"/>
        <w:ind w:firstLine="420" w:firstLineChars="200"/>
        <w:rPr>
          <w:rFonts w:hint="eastAsia" w:ascii="宋体" w:hAnsi="宋体" w:cs="Arial"/>
          <w:szCs w:val="21"/>
        </w:rPr>
      </w:pPr>
      <w:r>
        <w:rPr>
          <w:rFonts w:hint="eastAsia" w:ascii="宋体" w:hAnsi="宋体" w:cs="Arial"/>
          <w:szCs w:val="21"/>
        </w:rPr>
        <w:t>2、验收标准：本项目由区教育局相关部门对中标单位服务进行验收。</w:t>
      </w:r>
    </w:p>
    <w:p w14:paraId="11384BDA"/>
    <w:p w14:paraId="1F89B19A"/>
    <w:p w14:paraId="7E22202F"/>
    <w:p w14:paraId="01784F02"/>
    <w:p w14:paraId="171C97F5">
      <w:pPr>
        <w:spacing w:line="360" w:lineRule="auto"/>
        <w:rPr>
          <w:rFonts w:hint="eastAsia" w:ascii="宋体" w:hAnsi="宋体" w:eastAsia="宋体" w:cs="宋体"/>
          <w:b/>
        </w:rPr>
      </w:pPr>
      <w:r>
        <w:rPr>
          <w:rFonts w:hint="eastAsia" w:ascii="宋体" w:hAnsi="宋体" w:eastAsia="宋体" w:cs="宋体"/>
          <w:b/>
        </w:rPr>
        <w:t>附件：满意度征询意见表</w:t>
      </w:r>
    </w:p>
    <w:tbl>
      <w:tblPr>
        <w:tblStyle w:val="3"/>
        <w:tblW w:w="10252" w:type="dxa"/>
        <w:jc w:val="center"/>
        <w:tblLayout w:type="fixed"/>
        <w:tblCellMar>
          <w:top w:w="0" w:type="dxa"/>
          <w:left w:w="108" w:type="dxa"/>
          <w:bottom w:w="0" w:type="dxa"/>
          <w:right w:w="108" w:type="dxa"/>
        </w:tblCellMar>
      </w:tblPr>
      <w:tblGrid>
        <w:gridCol w:w="1362"/>
        <w:gridCol w:w="1106"/>
        <w:gridCol w:w="3356"/>
        <w:gridCol w:w="1107"/>
        <w:gridCol w:w="1107"/>
        <w:gridCol w:w="1107"/>
        <w:gridCol w:w="1107"/>
      </w:tblGrid>
      <w:tr w14:paraId="4AF48CBC">
        <w:tblPrEx>
          <w:tblCellMar>
            <w:top w:w="0" w:type="dxa"/>
            <w:left w:w="108" w:type="dxa"/>
            <w:bottom w:w="0" w:type="dxa"/>
            <w:right w:w="108" w:type="dxa"/>
          </w:tblCellMar>
        </w:tblPrEx>
        <w:trPr>
          <w:trHeight w:val="627" w:hRule="atLeast"/>
          <w:jc w:val="center"/>
        </w:trPr>
        <w:tc>
          <w:tcPr>
            <w:tcW w:w="2468" w:type="dxa"/>
            <w:gridSpan w:val="2"/>
            <w:tcBorders>
              <w:top w:val="single" w:color="000000" w:sz="4" w:space="0"/>
              <w:left w:val="single" w:color="000000" w:sz="4" w:space="0"/>
              <w:bottom w:val="single" w:color="000000" w:sz="4" w:space="0"/>
              <w:right w:val="single" w:color="000000" w:sz="4" w:space="0"/>
            </w:tcBorders>
            <w:noWrap/>
            <w:vAlign w:val="center"/>
          </w:tcPr>
          <w:p w14:paraId="286F49E8">
            <w:pPr>
              <w:jc w:val="center"/>
              <w:textAlignment w:val="center"/>
              <w:rPr>
                <w:rFonts w:hint="eastAsia" w:ascii="宋体" w:hAnsi="宋体" w:eastAsia="宋体" w:cs="宋体"/>
              </w:rPr>
            </w:pPr>
            <w:r>
              <w:rPr>
                <w:rFonts w:hint="eastAsia" w:ascii="宋体" w:hAnsi="宋体" w:eastAsia="宋体" w:cs="宋体"/>
                <w:lang w:bidi="ar"/>
              </w:rPr>
              <w:t>单位名称（盖章）</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31CB9C3E">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8E56AC9">
            <w:pPr>
              <w:jc w:val="center"/>
              <w:textAlignment w:val="center"/>
              <w:rPr>
                <w:rFonts w:hint="eastAsia" w:ascii="宋体" w:hAnsi="宋体" w:eastAsia="宋体" w:cs="宋体"/>
              </w:rPr>
            </w:pPr>
            <w:r>
              <w:rPr>
                <w:rFonts w:hint="eastAsia" w:ascii="宋体" w:hAnsi="宋体" w:eastAsia="宋体" w:cs="宋体"/>
                <w:lang w:bidi="ar"/>
              </w:rPr>
              <w:t>满意</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F003C4B">
            <w:pPr>
              <w:jc w:val="center"/>
              <w:textAlignment w:val="center"/>
              <w:rPr>
                <w:rFonts w:hint="eastAsia" w:ascii="宋体" w:hAnsi="宋体" w:eastAsia="宋体" w:cs="宋体"/>
              </w:rPr>
            </w:pPr>
            <w:r>
              <w:rPr>
                <w:rFonts w:hint="eastAsia" w:ascii="宋体" w:hAnsi="宋体" w:eastAsia="宋体" w:cs="宋体"/>
                <w:lang w:bidi="ar"/>
              </w:rPr>
              <w:t>较满意</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89E628F">
            <w:pPr>
              <w:jc w:val="center"/>
              <w:textAlignment w:val="center"/>
              <w:rPr>
                <w:rFonts w:hint="eastAsia" w:ascii="宋体" w:hAnsi="宋体" w:eastAsia="宋体" w:cs="宋体"/>
              </w:rPr>
            </w:pPr>
            <w:r>
              <w:rPr>
                <w:rFonts w:hint="eastAsia" w:ascii="宋体" w:hAnsi="宋体" w:eastAsia="宋体" w:cs="宋体"/>
                <w:lang w:bidi="ar"/>
              </w:rPr>
              <w:t>一般</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E31EE5D">
            <w:pPr>
              <w:jc w:val="center"/>
              <w:textAlignment w:val="center"/>
              <w:rPr>
                <w:rFonts w:hint="eastAsia" w:ascii="宋体" w:hAnsi="宋体" w:eastAsia="宋体" w:cs="宋体"/>
              </w:rPr>
            </w:pPr>
            <w:r>
              <w:rPr>
                <w:rFonts w:hint="eastAsia" w:ascii="宋体" w:hAnsi="宋体" w:eastAsia="宋体" w:cs="宋体"/>
                <w:lang w:bidi="ar"/>
              </w:rPr>
              <w:t>不满意</w:t>
            </w:r>
          </w:p>
        </w:tc>
      </w:tr>
      <w:tr w14:paraId="7E8D9280">
        <w:tblPrEx>
          <w:tblCellMar>
            <w:top w:w="0" w:type="dxa"/>
            <w:left w:w="108" w:type="dxa"/>
            <w:bottom w:w="0" w:type="dxa"/>
            <w:right w:w="108" w:type="dxa"/>
          </w:tblCellMar>
        </w:tblPrEx>
        <w:trPr>
          <w:trHeight w:val="439" w:hRule="atLeast"/>
          <w:jc w:val="center"/>
        </w:trPr>
        <w:tc>
          <w:tcPr>
            <w:tcW w:w="1362" w:type="dxa"/>
            <w:vMerge w:val="restart"/>
            <w:tcBorders>
              <w:top w:val="single" w:color="000000" w:sz="4" w:space="0"/>
              <w:left w:val="single" w:color="000000" w:sz="4" w:space="0"/>
              <w:bottom w:val="single" w:color="000000" w:sz="4" w:space="0"/>
              <w:right w:val="single" w:color="000000" w:sz="4" w:space="0"/>
            </w:tcBorders>
            <w:noWrap w:val="0"/>
            <w:vAlign w:val="center"/>
          </w:tcPr>
          <w:p w14:paraId="595B78FF">
            <w:pPr>
              <w:jc w:val="center"/>
              <w:textAlignment w:val="center"/>
              <w:rPr>
                <w:rFonts w:hint="eastAsia" w:ascii="宋体" w:hAnsi="宋体" w:eastAsia="宋体" w:cs="宋体"/>
              </w:rPr>
            </w:pPr>
            <w:r>
              <w:rPr>
                <w:rFonts w:hint="eastAsia" w:ascii="宋体" w:hAnsi="宋体" w:eastAsia="宋体" w:cs="宋体"/>
                <w:lang w:bidi="ar"/>
              </w:rPr>
              <w:t>对日间保安工作的评价</w:t>
            </w:r>
          </w:p>
        </w:tc>
        <w:tc>
          <w:tcPr>
            <w:tcW w:w="1106" w:type="dxa"/>
            <w:vMerge w:val="restart"/>
            <w:tcBorders>
              <w:top w:val="single" w:color="000000" w:sz="4" w:space="0"/>
              <w:left w:val="single" w:color="000000" w:sz="4" w:space="0"/>
              <w:bottom w:val="single" w:color="000000" w:sz="4" w:space="0"/>
              <w:right w:val="single" w:color="000000" w:sz="4" w:space="0"/>
            </w:tcBorders>
            <w:noWrap/>
            <w:vAlign w:val="center"/>
          </w:tcPr>
          <w:p w14:paraId="42F8639B">
            <w:pPr>
              <w:jc w:val="center"/>
              <w:textAlignment w:val="center"/>
              <w:rPr>
                <w:rFonts w:hint="eastAsia" w:ascii="宋体" w:hAnsi="宋体" w:eastAsia="宋体" w:cs="宋体"/>
              </w:rPr>
            </w:pPr>
            <w:r>
              <w:rPr>
                <w:rFonts w:hint="eastAsia" w:ascii="宋体" w:hAnsi="宋体" w:eastAsia="宋体" w:cs="宋体"/>
                <w:lang w:bidi="ar"/>
              </w:rPr>
              <w:t>队员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41DAF2CB">
            <w:pPr>
              <w:textAlignment w:val="center"/>
              <w:rPr>
                <w:rFonts w:hint="eastAsia" w:ascii="宋体" w:hAnsi="宋体" w:eastAsia="宋体" w:cs="宋体"/>
              </w:rPr>
            </w:pPr>
            <w:r>
              <w:rPr>
                <w:rFonts w:hint="eastAsia" w:ascii="宋体" w:hAnsi="宋体" w:eastAsia="宋体" w:cs="宋体"/>
                <w:lang w:bidi="ar"/>
              </w:rPr>
              <w:t>对岗位工作的负责态度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094C12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E9B4012">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788E31B">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6EB3BDB">
            <w:pPr>
              <w:jc w:val="center"/>
              <w:rPr>
                <w:rFonts w:hint="eastAsia" w:ascii="宋体" w:hAnsi="宋体" w:eastAsia="宋体" w:cs="宋体"/>
              </w:rPr>
            </w:pPr>
          </w:p>
        </w:tc>
      </w:tr>
      <w:tr w14:paraId="016B98E4">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8F3529">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739373CF">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6F61B27D">
            <w:pPr>
              <w:textAlignment w:val="center"/>
              <w:rPr>
                <w:rFonts w:hint="eastAsia" w:ascii="宋体" w:hAnsi="宋体" w:eastAsia="宋体" w:cs="宋体"/>
              </w:rPr>
            </w:pPr>
            <w:r>
              <w:rPr>
                <w:rFonts w:hint="eastAsia" w:ascii="宋体" w:hAnsi="宋体" w:eastAsia="宋体" w:cs="宋体"/>
                <w:lang w:bidi="ar"/>
              </w:rPr>
              <w:t>对在校师生、学生家长的态度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00CAD9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5E7300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7F9C616">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B2AF3C1">
            <w:pPr>
              <w:jc w:val="center"/>
              <w:rPr>
                <w:rFonts w:hint="eastAsia" w:ascii="宋体" w:hAnsi="宋体" w:eastAsia="宋体" w:cs="宋体"/>
              </w:rPr>
            </w:pPr>
          </w:p>
        </w:tc>
      </w:tr>
      <w:tr w14:paraId="39CCBF96">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00ADE5">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7E6EBD51">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6B2CB634">
            <w:pPr>
              <w:textAlignment w:val="center"/>
              <w:rPr>
                <w:rFonts w:hint="eastAsia" w:ascii="宋体" w:hAnsi="宋体" w:eastAsia="宋体" w:cs="宋体"/>
              </w:rPr>
            </w:pPr>
            <w:r>
              <w:rPr>
                <w:rFonts w:hint="eastAsia" w:ascii="宋体" w:hAnsi="宋体" w:eastAsia="宋体" w:cs="宋体"/>
                <w:lang w:bidi="ar"/>
              </w:rPr>
              <w:t>制服穿着、防卫器械佩戴情况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960953E">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680752A">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2C8DAB6">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12AEC52">
            <w:pPr>
              <w:jc w:val="center"/>
              <w:rPr>
                <w:rFonts w:hint="eastAsia" w:ascii="宋体" w:hAnsi="宋体" w:eastAsia="宋体" w:cs="宋体"/>
              </w:rPr>
            </w:pPr>
          </w:p>
        </w:tc>
      </w:tr>
      <w:tr w14:paraId="5289404C">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F0D7DF">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3779066C">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53EA20A9">
            <w:pPr>
              <w:textAlignment w:val="center"/>
              <w:rPr>
                <w:rFonts w:hint="eastAsia" w:ascii="宋体" w:hAnsi="宋体" w:eastAsia="宋体" w:cs="宋体"/>
              </w:rPr>
            </w:pPr>
            <w:r>
              <w:rPr>
                <w:rFonts w:hint="eastAsia" w:ascii="宋体" w:hAnsi="宋体" w:eastAsia="宋体" w:cs="宋体"/>
                <w:lang w:bidi="ar"/>
              </w:rPr>
              <w:t>是否熟练操作学校监控、报警设备</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E002F0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1401838">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A56FBEC">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64FA051">
            <w:pPr>
              <w:jc w:val="center"/>
              <w:rPr>
                <w:rFonts w:hint="eastAsia" w:ascii="宋体" w:hAnsi="宋体" w:eastAsia="宋体" w:cs="宋体"/>
              </w:rPr>
            </w:pPr>
          </w:p>
        </w:tc>
      </w:tr>
      <w:tr w14:paraId="542AD7BF">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865FFD">
            <w:pPr>
              <w:jc w:val="center"/>
              <w:rPr>
                <w:rFonts w:hint="eastAsia" w:ascii="宋体" w:hAnsi="宋体" w:eastAsia="宋体" w:cs="宋体"/>
              </w:rPr>
            </w:pPr>
          </w:p>
        </w:tc>
        <w:tc>
          <w:tcPr>
            <w:tcW w:w="1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1088B941">
            <w:pPr>
              <w:jc w:val="center"/>
              <w:textAlignment w:val="center"/>
              <w:rPr>
                <w:rFonts w:hint="eastAsia" w:ascii="宋体" w:hAnsi="宋体" w:eastAsia="宋体" w:cs="宋体"/>
              </w:rPr>
            </w:pPr>
            <w:r>
              <w:rPr>
                <w:rFonts w:hint="eastAsia" w:ascii="宋体" w:hAnsi="宋体" w:eastAsia="宋体" w:cs="宋体"/>
                <w:lang w:bidi="ar"/>
              </w:rPr>
              <w:t>管理</w:t>
            </w:r>
            <w:r>
              <w:rPr>
                <w:rFonts w:hint="default"/>
                <w:sz w:val="21"/>
                <w:szCs w:val="21"/>
                <w:lang w:bidi="ar"/>
              </w:rPr>
              <w:t>人员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4A6D7C07">
            <w:pPr>
              <w:textAlignment w:val="center"/>
              <w:rPr>
                <w:rFonts w:ascii="Times New Roman" w:hAnsi="Times New Roman" w:eastAsia="宋体" w:cs="Times New Roman"/>
              </w:rPr>
            </w:pPr>
            <w:r>
              <w:rPr>
                <w:rFonts w:ascii="Times New Roman" w:hAnsi="Times New Roman" w:eastAsia="宋体" w:cs="Times New Roman"/>
                <w:lang w:bidi="ar"/>
              </w:rPr>
              <w:t xml:space="preserve"> </w:t>
            </w:r>
            <w:r>
              <w:rPr>
                <w:rFonts w:hint="default"/>
                <w:sz w:val="21"/>
                <w:szCs w:val="21"/>
                <w:lang w:bidi="ar"/>
              </w:rPr>
              <w:t>能和学校领导经常联系</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7649BA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EBA954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16F63B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4DA11E1">
            <w:pPr>
              <w:jc w:val="center"/>
              <w:rPr>
                <w:rFonts w:hint="eastAsia" w:ascii="宋体" w:hAnsi="宋体" w:eastAsia="宋体" w:cs="宋体"/>
              </w:rPr>
            </w:pPr>
          </w:p>
        </w:tc>
      </w:tr>
      <w:tr w14:paraId="213E3201">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372552">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626FE0">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2657B054">
            <w:pPr>
              <w:textAlignment w:val="center"/>
              <w:rPr>
                <w:rFonts w:ascii="Times New Roman" w:hAnsi="Times New Roman" w:eastAsia="宋体" w:cs="Times New Roman"/>
              </w:rPr>
            </w:pPr>
            <w:r>
              <w:rPr>
                <w:rFonts w:ascii="Times New Roman" w:hAnsi="Times New Roman" w:eastAsia="宋体" w:cs="Times New Roman"/>
                <w:lang w:bidi="ar"/>
              </w:rPr>
              <w:t xml:space="preserve"> </w:t>
            </w:r>
            <w:r>
              <w:rPr>
                <w:rFonts w:hint="default"/>
                <w:sz w:val="21"/>
                <w:szCs w:val="21"/>
                <w:lang w:bidi="ar"/>
              </w:rPr>
              <w:t>每周</w:t>
            </w:r>
            <w:r>
              <w:rPr>
                <w:rStyle w:val="5"/>
                <w:rFonts w:eastAsia="宋体"/>
                <w:sz w:val="21"/>
                <w:szCs w:val="21"/>
                <w:lang w:bidi="ar"/>
              </w:rPr>
              <w:t>2</w:t>
            </w:r>
            <w:r>
              <w:rPr>
                <w:rFonts w:hint="default"/>
                <w:sz w:val="21"/>
                <w:szCs w:val="21"/>
                <w:lang w:bidi="ar"/>
              </w:rPr>
              <w:t>次到校检查保安队员工作</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A77EFEC">
            <w:pPr>
              <w:textAlignment w:val="center"/>
              <w:rPr>
                <w:rFonts w:ascii="Times New Roman" w:hAnsi="Times New Roman" w:eastAsia="宋体" w:cs="Times New Roman"/>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4AF0AE9">
            <w:pPr>
              <w:textAlignment w:val="center"/>
              <w:rPr>
                <w:rFonts w:ascii="Times New Roman" w:hAnsi="Times New Roman" w:eastAsia="宋体" w:cs="Times New Roman"/>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405D50D">
            <w:pP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7569F5E">
            <w:pPr>
              <w:rPr>
                <w:rFonts w:hint="eastAsia" w:ascii="宋体" w:hAnsi="宋体" w:eastAsia="宋体" w:cs="宋体"/>
              </w:rPr>
            </w:pPr>
          </w:p>
        </w:tc>
      </w:tr>
      <w:tr w14:paraId="6DC83974">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463DAA">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527B2E">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43C17E4F">
            <w:pPr>
              <w:textAlignment w:val="center"/>
              <w:rPr>
                <w:rFonts w:hint="eastAsia" w:ascii="宋体" w:hAnsi="宋体" w:eastAsia="宋体" w:cs="宋体"/>
              </w:rPr>
            </w:pPr>
            <w:r>
              <w:rPr>
                <w:rFonts w:hint="eastAsia" w:ascii="宋体" w:hAnsi="宋体" w:eastAsia="宋体" w:cs="宋体"/>
                <w:lang w:bidi="ar"/>
              </w:rPr>
              <w:t>了解并掌握每位队员的实际情况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C8CA82B">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4F6E1D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A69317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768409C">
            <w:pPr>
              <w:jc w:val="center"/>
              <w:rPr>
                <w:rFonts w:hint="eastAsia" w:ascii="宋体" w:hAnsi="宋体" w:eastAsia="宋体" w:cs="宋体"/>
              </w:rPr>
            </w:pPr>
          </w:p>
        </w:tc>
      </w:tr>
      <w:tr w14:paraId="52088B8B">
        <w:tblPrEx>
          <w:tblCellMar>
            <w:top w:w="0" w:type="dxa"/>
            <w:left w:w="108" w:type="dxa"/>
            <w:bottom w:w="0" w:type="dxa"/>
            <w:right w:w="108" w:type="dxa"/>
          </w:tblCellMar>
        </w:tblPrEx>
        <w:trPr>
          <w:trHeight w:val="439" w:hRule="atLeast"/>
          <w:jc w:val="center"/>
        </w:trPr>
        <w:tc>
          <w:tcPr>
            <w:tcW w:w="1362" w:type="dxa"/>
            <w:vMerge w:val="restart"/>
            <w:tcBorders>
              <w:top w:val="single" w:color="000000" w:sz="4" w:space="0"/>
              <w:left w:val="single" w:color="000000" w:sz="4" w:space="0"/>
              <w:bottom w:val="single" w:color="000000" w:sz="4" w:space="0"/>
              <w:right w:val="single" w:color="000000" w:sz="4" w:space="0"/>
            </w:tcBorders>
            <w:noWrap w:val="0"/>
            <w:vAlign w:val="center"/>
          </w:tcPr>
          <w:p w14:paraId="1379400C">
            <w:pPr>
              <w:jc w:val="center"/>
              <w:textAlignment w:val="center"/>
              <w:rPr>
                <w:rFonts w:hint="eastAsia" w:ascii="宋体" w:hAnsi="宋体" w:eastAsia="宋体" w:cs="宋体"/>
              </w:rPr>
            </w:pPr>
            <w:r>
              <w:rPr>
                <w:rFonts w:hint="eastAsia" w:ascii="宋体" w:hAnsi="宋体" w:eastAsia="宋体" w:cs="宋体"/>
                <w:lang w:bidi="ar"/>
              </w:rPr>
              <w:t xml:space="preserve">对叠加护校保安工作的评价     </w:t>
            </w:r>
          </w:p>
        </w:tc>
        <w:tc>
          <w:tcPr>
            <w:tcW w:w="1106" w:type="dxa"/>
            <w:vMerge w:val="restart"/>
            <w:tcBorders>
              <w:top w:val="single" w:color="000000" w:sz="4" w:space="0"/>
              <w:left w:val="single" w:color="000000" w:sz="4" w:space="0"/>
              <w:bottom w:val="single" w:color="000000" w:sz="4" w:space="0"/>
              <w:right w:val="single" w:color="000000" w:sz="4" w:space="0"/>
            </w:tcBorders>
            <w:noWrap/>
            <w:vAlign w:val="center"/>
          </w:tcPr>
          <w:p w14:paraId="61A77B86">
            <w:pPr>
              <w:jc w:val="center"/>
              <w:textAlignment w:val="center"/>
              <w:rPr>
                <w:rFonts w:hint="eastAsia" w:ascii="宋体" w:hAnsi="宋体" w:eastAsia="宋体" w:cs="宋体"/>
              </w:rPr>
            </w:pPr>
            <w:r>
              <w:rPr>
                <w:rFonts w:hint="eastAsia" w:ascii="宋体" w:hAnsi="宋体" w:eastAsia="宋体" w:cs="宋体"/>
                <w:lang w:bidi="ar"/>
              </w:rPr>
              <w:t>队员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53A37AF9">
            <w:pPr>
              <w:textAlignment w:val="center"/>
              <w:rPr>
                <w:rFonts w:hint="eastAsia" w:ascii="宋体" w:hAnsi="宋体" w:eastAsia="宋体" w:cs="宋体"/>
              </w:rPr>
            </w:pPr>
            <w:r>
              <w:rPr>
                <w:rFonts w:hint="eastAsia" w:ascii="宋体" w:hAnsi="宋体" w:eastAsia="宋体" w:cs="宋体"/>
                <w:lang w:bidi="ar"/>
              </w:rPr>
              <w:t>对岗位工作的负责态度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35E637B">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C721A0F">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C3D2E5E">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30114D8">
            <w:pPr>
              <w:jc w:val="center"/>
              <w:rPr>
                <w:rFonts w:hint="eastAsia" w:ascii="宋体" w:hAnsi="宋体" w:eastAsia="宋体" w:cs="宋体"/>
              </w:rPr>
            </w:pPr>
          </w:p>
        </w:tc>
      </w:tr>
      <w:tr w14:paraId="0A634F4F">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E14F6F">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7C03673C">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7655934D">
            <w:pPr>
              <w:textAlignment w:val="center"/>
              <w:rPr>
                <w:rFonts w:hint="eastAsia" w:ascii="宋体" w:hAnsi="宋体" w:eastAsia="宋体" w:cs="宋体"/>
              </w:rPr>
            </w:pPr>
            <w:r>
              <w:rPr>
                <w:rFonts w:hint="eastAsia" w:ascii="宋体" w:hAnsi="宋体" w:eastAsia="宋体" w:cs="宋体"/>
                <w:lang w:bidi="ar"/>
              </w:rPr>
              <w:t>对在校师生、学生家长的态度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D55E749">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7DA05C7">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AEA095C">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59A9904">
            <w:pPr>
              <w:jc w:val="center"/>
              <w:rPr>
                <w:rFonts w:hint="eastAsia" w:ascii="宋体" w:hAnsi="宋体" w:eastAsia="宋体" w:cs="宋体"/>
              </w:rPr>
            </w:pPr>
          </w:p>
        </w:tc>
      </w:tr>
      <w:tr w14:paraId="01E78F0D">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3FD86E">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0420385D">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3B9842BF">
            <w:pPr>
              <w:textAlignment w:val="center"/>
              <w:rPr>
                <w:rFonts w:hint="eastAsia" w:ascii="宋体" w:hAnsi="宋体" w:eastAsia="宋体" w:cs="宋体"/>
              </w:rPr>
            </w:pPr>
            <w:r>
              <w:rPr>
                <w:rFonts w:hint="eastAsia" w:ascii="宋体" w:hAnsi="宋体" w:eastAsia="宋体" w:cs="宋体"/>
                <w:lang w:bidi="ar"/>
              </w:rPr>
              <w:t>制服穿着、防卫器械佩戴情况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149CA42">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039E03F">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3C2662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6ABA12D">
            <w:pPr>
              <w:jc w:val="center"/>
              <w:rPr>
                <w:rFonts w:hint="eastAsia" w:ascii="宋体" w:hAnsi="宋体" w:eastAsia="宋体" w:cs="宋体"/>
              </w:rPr>
            </w:pPr>
          </w:p>
        </w:tc>
      </w:tr>
      <w:tr w14:paraId="63514406">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260F88">
            <w:pPr>
              <w:jc w:val="center"/>
              <w:rPr>
                <w:rFonts w:hint="eastAsia" w:ascii="宋体" w:hAnsi="宋体" w:eastAsia="宋体" w:cs="宋体"/>
              </w:rPr>
            </w:pPr>
          </w:p>
        </w:tc>
        <w:tc>
          <w:tcPr>
            <w:tcW w:w="1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0059CA06">
            <w:pPr>
              <w:jc w:val="center"/>
              <w:textAlignment w:val="center"/>
              <w:rPr>
                <w:rFonts w:hint="eastAsia" w:ascii="宋体" w:hAnsi="宋体" w:eastAsia="宋体" w:cs="宋体"/>
              </w:rPr>
            </w:pPr>
            <w:r>
              <w:rPr>
                <w:rFonts w:hint="eastAsia" w:ascii="宋体" w:hAnsi="宋体" w:eastAsia="宋体" w:cs="宋体"/>
                <w:lang w:bidi="ar"/>
              </w:rPr>
              <w:t>管理</w:t>
            </w:r>
            <w:r>
              <w:rPr>
                <w:rFonts w:hint="default"/>
                <w:sz w:val="21"/>
                <w:szCs w:val="21"/>
                <w:lang w:bidi="ar"/>
              </w:rPr>
              <w:t>人员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286698B7">
            <w:pPr>
              <w:textAlignment w:val="center"/>
              <w:rPr>
                <w:rFonts w:hint="eastAsia" w:ascii="宋体" w:hAnsi="宋体" w:eastAsia="宋体" w:cs="宋体"/>
              </w:rPr>
            </w:pPr>
            <w:r>
              <w:rPr>
                <w:rFonts w:hint="eastAsia" w:ascii="宋体" w:hAnsi="宋体" w:eastAsia="宋体" w:cs="宋体"/>
                <w:lang w:bidi="ar"/>
              </w:rPr>
              <w:t>能和学校领导经常联系</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6EE1412">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80EC706">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1D637CB">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6FDDB74">
            <w:pPr>
              <w:jc w:val="center"/>
              <w:rPr>
                <w:rFonts w:hint="eastAsia" w:ascii="宋体" w:hAnsi="宋体" w:eastAsia="宋体" w:cs="宋体"/>
              </w:rPr>
            </w:pPr>
          </w:p>
        </w:tc>
      </w:tr>
      <w:tr w14:paraId="2DE96BF3">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C8D5A3">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16F8CF">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7A39C8E0">
            <w:pPr>
              <w:textAlignment w:val="center"/>
              <w:rPr>
                <w:rFonts w:ascii="Times New Roman" w:hAnsi="Times New Roman" w:eastAsia="宋体" w:cs="Times New Roman"/>
              </w:rPr>
            </w:pPr>
            <w:r>
              <w:rPr>
                <w:rFonts w:hint="default"/>
                <w:sz w:val="21"/>
                <w:szCs w:val="21"/>
                <w:lang w:bidi="ar"/>
              </w:rPr>
              <w:t>每周</w:t>
            </w:r>
            <w:r>
              <w:rPr>
                <w:rStyle w:val="5"/>
                <w:rFonts w:eastAsia="宋体"/>
                <w:sz w:val="21"/>
                <w:szCs w:val="21"/>
                <w:lang w:bidi="ar"/>
              </w:rPr>
              <w:t>2</w:t>
            </w:r>
            <w:r>
              <w:rPr>
                <w:rFonts w:hint="default"/>
                <w:sz w:val="21"/>
                <w:szCs w:val="21"/>
                <w:lang w:bidi="ar"/>
              </w:rPr>
              <w:t>次到校检查保安队员工作</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9838620">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EC6E0CA">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E15EE04">
            <w:pP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5957A48">
            <w:pPr>
              <w:rPr>
                <w:rFonts w:hint="eastAsia" w:ascii="宋体" w:hAnsi="宋体" w:eastAsia="宋体" w:cs="宋体"/>
              </w:rPr>
            </w:pPr>
          </w:p>
        </w:tc>
      </w:tr>
      <w:tr w14:paraId="59E36570">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711461">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D72F24">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69A03D43">
            <w:pPr>
              <w:textAlignment w:val="center"/>
              <w:rPr>
                <w:rFonts w:hint="eastAsia" w:ascii="宋体" w:hAnsi="宋体" w:eastAsia="宋体" w:cs="宋体"/>
              </w:rPr>
            </w:pPr>
            <w:r>
              <w:rPr>
                <w:rFonts w:hint="eastAsia" w:ascii="宋体" w:hAnsi="宋体" w:eastAsia="宋体" w:cs="宋体"/>
                <w:lang w:bidi="ar"/>
              </w:rPr>
              <w:t>了解并掌握每位队员的实际情况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4C86216">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577AB0C">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D29F9A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EAC8D50">
            <w:pPr>
              <w:jc w:val="center"/>
              <w:rPr>
                <w:rFonts w:hint="eastAsia" w:ascii="宋体" w:hAnsi="宋体" w:eastAsia="宋体" w:cs="宋体"/>
              </w:rPr>
            </w:pPr>
          </w:p>
        </w:tc>
      </w:tr>
      <w:tr w14:paraId="0ABEE915">
        <w:tblPrEx>
          <w:tblCellMar>
            <w:top w:w="0" w:type="dxa"/>
            <w:left w:w="108" w:type="dxa"/>
            <w:bottom w:w="0" w:type="dxa"/>
            <w:right w:w="108" w:type="dxa"/>
          </w:tblCellMar>
        </w:tblPrEx>
        <w:trPr>
          <w:trHeight w:val="439" w:hRule="atLeast"/>
          <w:jc w:val="center"/>
        </w:trPr>
        <w:tc>
          <w:tcPr>
            <w:tcW w:w="1362" w:type="dxa"/>
            <w:vMerge w:val="restart"/>
            <w:tcBorders>
              <w:top w:val="single" w:color="000000" w:sz="4" w:space="0"/>
              <w:left w:val="single" w:color="000000" w:sz="4" w:space="0"/>
              <w:bottom w:val="single" w:color="000000" w:sz="4" w:space="0"/>
              <w:right w:val="single" w:color="000000" w:sz="4" w:space="0"/>
            </w:tcBorders>
            <w:noWrap w:val="0"/>
            <w:vAlign w:val="center"/>
          </w:tcPr>
          <w:p w14:paraId="0DA1F9A4">
            <w:pPr>
              <w:jc w:val="center"/>
              <w:textAlignment w:val="center"/>
              <w:rPr>
                <w:rFonts w:hint="eastAsia" w:ascii="宋体" w:hAnsi="宋体" w:eastAsia="宋体" w:cs="宋体"/>
              </w:rPr>
            </w:pPr>
            <w:r>
              <w:rPr>
                <w:rFonts w:hint="eastAsia" w:ascii="宋体" w:hAnsi="宋体" w:eastAsia="宋体" w:cs="宋体"/>
                <w:lang w:bidi="ar"/>
              </w:rPr>
              <w:t>对夜间保安工作的评价</w:t>
            </w:r>
          </w:p>
        </w:tc>
        <w:tc>
          <w:tcPr>
            <w:tcW w:w="1106" w:type="dxa"/>
            <w:vMerge w:val="restart"/>
            <w:tcBorders>
              <w:top w:val="single" w:color="000000" w:sz="4" w:space="0"/>
              <w:left w:val="single" w:color="000000" w:sz="4" w:space="0"/>
              <w:bottom w:val="single" w:color="000000" w:sz="4" w:space="0"/>
              <w:right w:val="single" w:color="000000" w:sz="4" w:space="0"/>
            </w:tcBorders>
            <w:noWrap/>
            <w:vAlign w:val="center"/>
          </w:tcPr>
          <w:p w14:paraId="282A9419">
            <w:pPr>
              <w:jc w:val="center"/>
              <w:textAlignment w:val="center"/>
              <w:rPr>
                <w:rFonts w:hint="eastAsia" w:ascii="宋体" w:hAnsi="宋体" w:eastAsia="宋体" w:cs="宋体"/>
              </w:rPr>
            </w:pPr>
            <w:r>
              <w:rPr>
                <w:rFonts w:hint="eastAsia" w:ascii="宋体" w:hAnsi="宋体" w:eastAsia="宋体" w:cs="宋体"/>
                <w:lang w:bidi="ar"/>
              </w:rPr>
              <w:t>队员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33CBB824">
            <w:pPr>
              <w:textAlignment w:val="center"/>
              <w:rPr>
                <w:rFonts w:hint="eastAsia" w:ascii="宋体" w:hAnsi="宋体" w:eastAsia="宋体" w:cs="宋体"/>
              </w:rPr>
            </w:pPr>
            <w:r>
              <w:rPr>
                <w:rFonts w:hint="eastAsia" w:ascii="宋体" w:hAnsi="宋体" w:eastAsia="宋体" w:cs="宋体"/>
                <w:lang w:bidi="ar"/>
              </w:rPr>
              <w:t>对岗位工作的负责态度</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C03F348">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9BFD126">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9272D76">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426A91E6">
            <w:pPr>
              <w:jc w:val="center"/>
              <w:rPr>
                <w:rFonts w:hint="eastAsia" w:ascii="宋体" w:hAnsi="宋体" w:eastAsia="宋体" w:cs="宋体"/>
              </w:rPr>
            </w:pPr>
          </w:p>
        </w:tc>
      </w:tr>
      <w:tr w14:paraId="29030E0F">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B58732">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3BD98560">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3DE42428">
            <w:pPr>
              <w:textAlignment w:val="center"/>
              <w:rPr>
                <w:rFonts w:hint="eastAsia" w:ascii="宋体" w:hAnsi="宋体" w:eastAsia="宋体" w:cs="宋体"/>
              </w:rPr>
            </w:pPr>
            <w:r>
              <w:rPr>
                <w:rFonts w:hint="eastAsia" w:ascii="宋体" w:hAnsi="宋体" w:eastAsia="宋体" w:cs="宋体"/>
                <w:lang w:bidi="ar"/>
              </w:rPr>
              <w:t>制服穿着、防卫器械佩戴情况</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6973DFC">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FEA9400">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11AB2909">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8E7A363">
            <w:pPr>
              <w:jc w:val="center"/>
              <w:rPr>
                <w:rFonts w:hint="eastAsia" w:ascii="宋体" w:hAnsi="宋体" w:eastAsia="宋体" w:cs="宋体"/>
              </w:rPr>
            </w:pPr>
          </w:p>
        </w:tc>
      </w:tr>
      <w:tr w14:paraId="6D9FD961">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415E3B">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ign w:val="center"/>
          </w:tcPr>
          <w:p w14:paraId="26BDB91E">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01E6C1BA">
            <w:pPr>
              <w:textAlignment w:val="center"/>
              <w:rPr>
                <w:rFonts w:hint="eastAsia" w:ascii="宋体" w:hAnsi="宋体" w:eastAsia="宋体" w:cs="宋体"/>
              </w:rPr>
            </w:pPr>
            <w:r>
              <w:rPr>
                <w:rFonts w:hint="eastAsia" w:ascii="宋体" w:hAnsi="宋体" w:eastAsia="宋体" w:cs="宋体"/>
                <w:lang w:bidi="ar"/>
              </w:rPr>
              <w:t>是否熟练操作学校监控、报警设备</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1C31ADA">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2FCE3B0">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7CACE493">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AEE7FD9">
            <w:pPr>
              <w:jc w:val="center"/>
              <w:rPr>
                <w:rFonts w:hint="eastAsia" w:ascii="宋体" w:hAnsi="宋体" w:eastAsia="宋体" w:cs="宋体"/>
              </w:rPr>
            </w:pPr>
          </w:p>
        </w:tc>
      </w:tr>
      <w:tr w14:paraId="01C3AF99">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A73134">
            <w:pPr>
              <w:jc w:val="center"/>
              <w:rPr>
                <w:rFonts w:hint="eastAsia" w:ascii="宋体" w:hAnsi="宋体" w:eastAsia="宋体" w:cs="宋体"/>
              </w:rPr>
            </w:pPr>
          </w:p>
        </w:tc>
        <w:tc>
          <w:tcPr>
            <w:tcW w:w="1106" w:type="dxa"/>
            <w:vMerge w:val="restart"/>
            <w:tcBorders>
              <w:top w:val="single" w:color="000000" w:sz="4" w:space="0"/>
              <w:left w:val="single" w:color="000000" w:sz="4" w:space="0"/>
              <w:bottom w:val="single" w:color="000000" w:sz="4" w:space="0"/>
              <w:right w:val="single" w:color="000000" w:sz="4" w:space="0"/>
            </w:tcBorders>
            <w:noWrap w:val="0"/>
            <w:vAlign w:val="center"/>
          </w:tcPr>
          <w:p w14:paraId="366A5952">
            <w:pPr>
              <w:jc w:val="center"/>
              <w:textAlignment w:val="center"/>
              <w:rPr>
                <w:rFonts w:hint="eastAsia" w:ascii="宋体" w:hAnsi="宋体" w:eastAsia="宋体" w:cs="宋体"/>
              </w:rPr>
            </w:pPr>
            <w:r>
              <w:rPr>
                <w:rFonts w:hint="eastAsia" w:ascii="宋体" w:hAnsi="宋体" w:eastAsia="宋体" w:cs="宋体"/>
                <w:lang w:bidi="ar"/>
              </w:rPr>
              <w:t>管理</w:t>
            </w:r>
            <w:r>
              <w:rPr>
                <w:rFonts w:hint="default"/>
                <w:sz w:val="21"/>
                <w:szCs w:val="21"/>
                <w:lang w:bidi="ar"/>
              </w:rPr>
              <w:t>人员</w:t>
            </w: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1B9E6277">
            <w:pPr>
              <w:textAlignment w:val="center"/>
              <w:rPr>
                <w:rFonts w:hint="eastAsia" w:ascii="宋体" w:hAnsi="宋体" w:eastAsia="宋体" w:cs="宋体"/>
              </w:rPr>
            </w:pPr>
            <w:r>
              <w:rPr>
                <w:rFonts w:hint="eastAsia" w:ascii="宋体" w:hAnsi="宋体" w:eastAsia="宋体" w:cs="宋体"/>
                <w:lang w:bidi="ar"/>
              </w:rPr>
              <w:t>能和学校领导经常联系</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CDD727D">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AD34614">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06ECCDDB">
            <w:pPr>
              <w:jc w:val="cente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5F0C35B0">
            <w:pPr>
              <w:jc w:val="center"/>
              <w:rPr>
                <w:rFonts w:hint="eastAsia" w:ascii="宋体" w:hAnsi="宋体" w:eastAsia="宋体" w:cs="宋体"/>
              </w:rPr>
            </w:pPr>
          </w:p>
        </w:tc>
      </w:tr>
      <w:tr w14:paraId="16CCA122">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A047EA">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61433">
            <w:pPr>
              <w:jc w:val="center"/>
              <w:rPr>
                <w:rFonts w:hint="eastAsia" w:ascii="宋体" w:hAnsi="宋体" w:eastAsia="宋体" w:cs="宋体"/>
              </w:rPr>
            </w:pPr>
          </w:p>
        </w:tc>
        <w:tc>
          <w:tcPr>
            <w:tcW w:w="3356" w:type="dxa"/>
            <w:tcBorders>
              <w:top w:val="single" w:color="000000" w:sz="4" w:space="0"/>
              <w:left w:val="single" w:color="000000" w:sz="4" w:space="0"/>
              <w:bottom w:val="single" w:color="000000" w:sz="4" w:space="0"/>
              <w:right w:val="single" w:color="000000" w:sz="4" w:space="0"/>
            </w:tcBorders>
            <w:noWrap/>
            <w:vAlign w:val="center"/>
          </w:tcPr>
          <w:p w14:paraId="290912E7">
            <w:pPr>
              <w:textAlignment w:val="center"/>
              <w:rPr>
                <w:rFonts w:ascii="Times New Roman" w:hAnsi="Times New Roman" w:eastAsia="宋体" w:cs="Times New Roman"/>
              </w:rPr>
            </w:pPr>
            <w:r>
              <w:rPr>
                <w:rFonts w:hint="default"/>
                <w:sz w:val="21"/>
                <w:szCs w:val="21"/>
                <w:lang w:bidi="ar"/>
              </w:rPr>
              <w:t>每周</w:t>
            </w:r>
            <w:r>
              <w:rPr>
                <w:rStyle w:val="5"/>
                <w:rFonts w:eastAsia="宋体"/>
                <w:sz w:val="21"/>
                <w:szCs w:val="21"/>
                <w:lang w:bidi="ar"/>
              </w:rPr>
              <w:t>2</w:t>
            </w:r>
            <w:r>
              <w:rPr>
                <w:rFonts w:hint="default"/>
                <w:sz w:val="21"/>
                <w:szCs w:val="21"/>
                <w:lang w:bidi="ar"/>
              </w:rPr>
              <w:t>次到校检查保安队员工作</w:t>
            </w: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A34E3BF">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66A0F4B4">
            <w:pPr>
              <w:textAlignment w:val="center"/>
              <w:rPr>
                <w:rFonts w:hint="default"/>
                <w:sz w:val="21"/>
                <w:szCs w:val="21"/>
                <w:lang w:bidi="ar"/>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3092D42A">
            <w:pPr>
              <w:rPr>
                <w:rFonts w:hint="eastAsia" w:ascii="宋体" w:hAnsi="宋体" w:eastAsia="宋体" w:cs="宋体"/>
              </w:rPr>
            </w:pPr>
          </w:p>
        </w:tc>
        <w:tc>
          <w:tcPr>
            <w:tcW w:w="1107" w:type="dxa"/>
            <w:tcBorders>
              <w:top w:val="single" w:color="000000" w:sz="4" w:space="0"/>
              <w:left w:val="single" w:color="000000" w:sz="4" w:space="0"/>
              <w:bottom w:val="single" w:color="000000" w:sz="4" w:space="0"/>
              <w:right w:val="single" w:color="000000" w:sz="4" w:space="0"/>
            </w:tcBorders>
            <w:noWrap/>
            <w:vAlign w:val="center"/>
          </w:tcPr>
          <w:p w14:paraId="2272CFA1">
            <w:pPr>
              <w:rPr>
                <w:rFonts w:hint="eastAsia" w:ascii="宋体" w:hAnsi="宋体" w:eastAsia="宋体" w:cs="宋体"/>
              </w:rPr>
            </w:pPr>
          </w:p>
        </w:tc>
      </w:tr>
      <w:tr w14:paraId="7A21D565">
        <w:tblPrEx>
          <w:tblCellMar>
            <w:top w:w="0" w:type="dxa"/>
            <w:left w:w="108" w:type="dxa"/>
            <w:bottom w:w="0" w:type="dxa"/>
            <w:right w:w="108" w:type="dxa"/>
          </w:tblCellMar>
        </w:tblPrEx>
        <w:trPr>
          <w:trHeight w:val="439" w:hRule="atLeast"/>
          <w:jc w:val="center"/>
        </w:trPr>
        <w:tc>
          <w:tcPr>
            <w:tcW w:w="1362" w:type="dxa"/>
            <w:vMerge w:val="continue"/>
            <w:tcBorders>
              <w:top w:val="single" w:color="000000" w:sz="4" w:space="0"/>
              <w:left w:val="single" w:color="000000" w:sz="4" w:space="0"/>
              <w:bottom w:val="single" w:color="auto" w:sz="4" w:space="0"/>
              <w:right w:val="single" w:color="000000" w:sz="4" w:space="0"/>
            </w:tcBorders>
            <w:noWrap w:val="0"/>
            <w:vAlign w:val="center"/>
          </w:tcPr>
          <w:p w14:paraId="2FEE0EA1">
            <w:pPr>
              <w:jc w:val="center"/>
              <w:rPr>
                <w:rFonts w:hint="eastAsia" w:ascii="宋体" w:hAnsi="宋体" w:eastAsia="宋体" w:cs="宋体"/>
              </w:rPr>
            </w:pPr>
          </w:p>
        </w:tc>
        <w:tc>
          <w:tcPr>
            <w:tcW w:w="1106" w:type="dxa"/>
            <w:vMerge w:val="continue"/>
            <w:tcBorders>
              <w:top w:val="single" w:color="000000" w:sz="4" w:space="0"/>
              <w:left w:val="single" w:color="000000" w:sz="4" w:space="0"/>
              <w:bottom w:val="single" w:color="auto" w:sz="4" w:space="0"/>
              <w:right w:val="single" w:color="000000" w:sz="4" w:space="0"/>
            </w:tcBorders>
            <w:noWrap w:val="0"/>
            <w:vAlign w:val="center"/>
          </w:tcPr>
          <w:p w14:paraId="221E9BE8">
            <w:pPr>
              <w:jc w:val="center"/>
              <w:rPr>
                <w:rFonts w:hint="eastAsia" w:ascii="宋体" w:hAnsi="宋体" w:eastAsia="宋体" w:cs="宋体"/>
              </w:rPr>
            </w:pPr>
          </w:p>
        </w:tc>
        <w:tc>
          <w:tcPr>
            <w:tcW w:w="3356" w:type="dxa"/>
            <w:tcBorders>
              <w:top w:val="single" w:color="000000" w:sz="4" w:space="0"/>
              <w:left w:val="single" w:color="000000" w:sz="4" w:space="0"/>
              <w:bottom w:val="single" w:color="auto" w:sz="4" w:space="0"/>
              <w:right w:val="single" w:color="000000" w:sz="4" w:space="0"/>
            </w:tcBorders>
            <w:noWrap/>
            <w:vAlign w:val="center"/>
          </w:tcPr>
          <w:p w14:paraId="625C7AE4">
            <w:pPr>
              <w:textAlignment w:val="center"/>
              <w:rPr>
                <w:rFonts w:hint="eastAsia" w:ascii="宋体" w:hAnsi="宋体" w:eastAsia="宋体" w:cs="宋体"/>
              </w:rPr>
            </w:pPr>
            <w:r>
              <w:rPr>
                <w:rFonts w:hint="eastAsia" w:ascii="宋体" w:hAnsi="宋体" w:eastAsia="宋体" w:cs="宋体"/>
                <w:lang w:bidi="ar"/>
              </w:rPr>
              <w:t>了解并掌握每位队员的实际情况</w:t>
            </w:r>
          </w:p>
        </w:tc>
        <w:tc>
          <w:tcPr>
            <w:tcW w:w="1107" w:type="dxa"/>
            <w:tcBorders>
              <w:top w:val="single" w:color="000000" w:sz="4" w:space="0"/>
              <w:left w:val="single" w:color="000000" w:sz="4" w:space="0"/>
              <w:bottom w:val="single" w:color="auto" w:sz="4" w:space="0"/>
              <w:right w:val="single" w:color="000000" w:sz="4" w:space="0"/>
            </w:tcBorders>
            <w:noWrap/>
            <w:vAlign w:val="center"/>
          </w:tcPr>
          <w:p w14:paraId="4B532B03">
            <w:pPr>
              <w:jc w:val="center"/>
              <w:rPr>
                <w:rFonts w:hint="eastAsia" w:ascii="宋体" w:hAnsi="宋体" w:eastAsia="宋体" w:cs="宋体"/>
              </w:rPr>
            </w:pPr>
          </w:p>
        </w:tc>
        <w:tc>
          <w:tcPr>
            <w:tcW w:w="1107" w:type="dxa"/>
            <w:tcBorders>
              <w:top w:val="single" w:color="000000" w:sz="4" w:space="0"/>
              <w:left w:val="single" w:color="000000" w:sz="4" w:space="0"/>
              <w:bottom w:val="single" w:color="auto" w:sz="4" w:space="0"/>
              <w:right w:val="single" w:color="000000" w:sz="4" w:space="0"/>
            </w:tcBorders>
            <w:noWrap/>
            <w:vAlign w:val="center"/>
          </w:tcPr>
          <w:p w14:paraId="0091A8B3">
            <w:pPr>
              <w:jc w:val="center"/>
              <w:rPr>
                <w:rFonts w:hint="eastAsia" w:ascii="宋体" w:hAnsi="宋体" w:eastAsia="宋体" w:cs="宋体"/>
              </w:rPr>
            </w:pPr>
          </w:p>
        </w:tc>
        <w:tc>
          <w:tcPr>
            <w:tcW w:w="1107" w:type="dxa"/>
            <w:tcBorders>
              <w:top w:val="single" w:color="000000" w:sz="4" w:space="0"/>
              <w:left w:val="single" w:color="000000" w:sz="4" w:space="0"/>
              <w:bottom w:val="single" w:color="auto" w:sz="4" w:space="0"/>
              <w:right w:val="single" w:color="000000" w:sz="4" w:space="0"/>
            </w:tcBorders>
            <w:noWrap/>
            <w:vAlign w:val="center"/>
          </w:tcPr>
          <w:p w14:paraId="6991716A">
            <w:pPr>
              <w:jc w:val="center"/>
              <w:rPr>
                <w:rFonts w:hint="eastAsia" w:ascii="宋体" w:hAnsi="宋体" w:eastAsia="宋体" w:cs="宋体"/>
              </w:rPr>
            </w:pPr>
          </w:p>
        </w:tc>
        <w:tc>
          <w:tcPr>
            <w:tcW w:w="1107" w:type="dxa"/>
            <w:tcBorders>
              <w:top w:val="single" w:color="000000" w:sz="4" w:space="0"/>
              <w:left w:val="single" w:color="000000" w:sz="4" w:space="0"/>
              <w:bottom w:val="single" w:color="auto" w:sz="4" w:space="0"/>
              <w:right w:val="single" w:color="000000" w:sz="4" w:space="0"/>
            </w:tcBorders>
            <w:noWrap/>
            <w:vAlign w:val="center"/>
          </w:tcPr>
          <w:p w14:paraId="168B856B">
            <w:pPr>
              <w:jc w:val="center"/>
              <w:rPr>
                <w:rFonts w:hint="eastAsia" w:ascii="宋体" w:hAnsi="宋体" w:eastAsia="宋体" w:cs="宋体"/>
              </w:rPr>
            </w:pPr>
          </w:p>
        </w:tc>
      </w:tr>
      <w:tr w14:paraId="0B455AE0">
        <w:tblPrEx>
          <w:tblCellMar>
            <w:top w:w="0" w:type="dxa"/>
            <w:left w:w="108" w:type="dxa"/>
            <w:bottom w:w="0" w:type="dxa"/>
            <w:right w:w="108" w:type="dxa"/>
          </w:tblCellMar>
        </w:tblPrEx>
        <w:trPr>
          <w:trHeight w:val="439" w:hRule="atLeast"/>
          <w:jc w:val="center"/>
        </w:trPr>
        <w:tc>
          <w:tcPr>
            <w:tcW w:w="5824" w:type="dxa"/>
            <w:gridSpan w:val="3"/>
            <w:vMerge w:val="restart"/>
            <w:tcBorders>
              <w:top w:val="single" w:color="auto" w:sz="4" w:space="0"/>
              <w:left w:val="single" w:color="auto" w:sz="4" w:space="0"/>
              <w:bottom w:val="single" w:color="auto" w:sz="4" w:space="0"/>
              <w:right w:val="single" w:color="auto" w:sz="4" w:space="0"/>
            </w:tcBorders>
            <w:noWrap w:val="0"/>
            <w:vAlign w:val="center"/>
          </w:tcPr>
          <w:p w14:paraId="268B404E">
            <w:pPr>
              <w:jc w:val="both"/>
              <w:textAlignment w:val="center"/>
              <w:rPr>
                <w:rFonts w:hint="eastAsia" w:ascii="宋体" w:hAnsi="宋体" w:eastAsia="宋体" w:cs="宋体"/>
              </w:rPr>
            </w:pPr>
            <w:r>
              <w:rPr>
                <w:rFonts w:hint="eastAsia" w:ascii="宋体" w:hAnsi="宋体" w:eastAsia="宋体" w:cs="宋体"/>
                <w:lang w:bidi="ar"/>
              </w:rPr>
              <w:t>对学校保安工作的总体评价</w:t>
            </w:r>
          </w:p>
        </w:tc>
        <w:tc>
          <w:tcPr>
            <w:tcW w:w="1107" w:type="dxa"/>
            <w:tcBorders>
              <w:top w:val="single" w:color="auto" w:sz="4" w:space="0"/>
              <w:left w:val="single" w:color="auto" w:sz="4" w:space="0"/>
              <w:bottom w:val="single" w:color="auto" w:sz="4" w:space="0"/>
              <w:right w:val="single" w:color="auto" w:sz="4" w:space="0"/>
            </w:tcBorders>
            <w:noWrap/>
            <w:vAlign w:val="center"/>
          </w:tcPr>
          <w:p w14:paraId="1D528AA7">
            <w:pPr>
              <w:jc w:val="center"/>
              <w:textAlignment w:val="center"/>
              <w:rPr>
                <w:rFonts w:hint="eastAsia" w:ascii="宋体" w:hAnsi="宋体" w:eastAsia="宋体" w:cs="宋体"/>
              </w:rPr>
            </w:pPr>
            <w:r>
              <w:rPr>
                <w:rFonts w:hint="eastAsia" w:ascii="宋体" w:hAnsi="宋体" w:eastAsia="宋体" w:cs="宋体"/>
                <w:lang w:bidi="ar"/>
              </w:rPr>
              <w:t>满意</w:t>
            </w:r>
          </w:p>
        </w:tc>
        <w:tc>
          <w:tcPr>
            <w:tcW w:w="1107" w:type="dxa"/>
            <w:tcBorders>
              <w:top w:val="single" w:color="auto" w:sz="4" w:space="0"/>
              <w:left w:val="single" w:color="auto" w:sz="4" w:space="0"/>
              <w:bottom w:val="single" w:color="auto" w:sz="4" w:space="0"/>
              <w:right w:val="single" w:color="auto" w:sz="4" w:space="0"/>
            </w:tcBorders>
            <w:noWrap/>
            <w:vAlign w:val="center"/>
          </w:tcPr>
          <w:p w14:paraId="523623E1">
            <w:pPr>
              <w:jc w:val="center"/>
              <w:textAlignment w:val="center"/>
              <w:rPr>
                <w:rFonts w:hint="eastAsia" w:ascii="宋体" w:hAnsi="宋体" w:eastAsia="宋体" w:cs="宋体"/>
              </w:rPr>
            </w:pPr>
            <w:r>
              <w:rPr>
                <w:rFonts w:hint="eastAsia" w:ascii="宋体" w:hAnsi="宋体" w:eastAsia="宋体" w:cs="宋体"/>
                <w:lang w:bidi="ar"/>
              </w:rPr>
              <w:t>较满意</w:t>
            </w:r>
          </w:p>
        </w:tc>
        <w:tc>
          <w:tcPr>
            <w:tcW w:w="1107" w:type="dxa"/>
            <w:tcBorders>
              <w:top w:val="single" w:color="auto" w:sz="4" w:space="0"/>
              <w:left w:val="single" w:color="auto" w:sz="4" w:space="0"/>
              <w:bottom w:val="single" w:color="auto" w:sz="4" w:space="0"/>
              <w:right w:val="single" w:color="auto" w:sz="4" w:space="0"/>
            </w:tcBorders>
            <w:noWrap/>
            <w:vAlign w:val="center"/>
          </w:tcPr>
          <w:p w14:paraId="38D9A75B">
            <w:pPr>
              <w:jc w:val="center"/>
              <w:textAlignment w:val="center"/>
              <w:rPr>
                <w:rFonts w:hint="eastAsia" w:ascii="宋体" w:hAnsi="宋体" w:eastAsia="宋体" w:cs="宋体"/>
              </w:rPr>
            </w:pPr>
            <w:r>
              <w:rPr>
                <w:rFonts w:hint="eastAsia" w:ascii="宋体" w:hAnsi="宋体" w:eastAsia="宋体" w:cs="宋体"/>
                <w:lang w:bidi="ar"/>
              </w:rPr>
              <w:t>一般</w:t>
            </w:r>
          </w:p>
        </w:tc>
        <w:tc>
          <w:tcPr>
            <w:tcW w:w="1107" w:type="dxa"/>
            <w:tcBorders>
              <w:top w:val="single" w:color="auto" w:sz="4" w:space="0"/>
              <w:left w:val="single" w:color="auto" w:sz="4" w:space="0"/>
              <w:bottom w:val="single" w:color="auto" w:sz="4" w:space="0"/>
              <w:right w:val="single" w:color="auto" w:sz="4" w:space="0"/>
            </w:tcBorders>
            <w:noWrap/>
            <w:vAlign w:val="center"/>
          </w:tcPr>
          <w:p w14:paraId="10001F1C">
            <w:pPr>
              <w:jc w:val="center"/>
              <w:textAlignment w:val="center"/>
              <w:rPr>
                <w:rFonts w:hint="eastAsia" w:ascii="宋体" w:hAnsi="宋体" w:eastAsia="宋体" w:cs="宋体"/>
              </w:rPr>
            </w:pPr>
            <w:r>
              <w:rPr>
                <w:rFonts w:hint="eastAsia" w:ascii="宋体" w:hAnsi="宋体" w:eastAsia="宋体" w:cs="宋体"/>
                <w:lang w:bidi="ar"/>
              </w:rPr>
              <w:t>不满意</w:t>
            </w:r>
          </w:p>
        </w:tc>
      </w:tr>
      <w:tr w14:paraId="0CB85C04">
        <w:tblPrEx>
          <w:tblCellMar>
            <w:top w:w="0" w:type="dxa"/>
            <w:left w:w="108" w:type="dxa"/>
            <w:bottom w:w="0" w:type="dxa"/>
            <w:right w:w="108" w:type="dxa"/>
          </w:tblCellMar>
        </w:tblPrEx>
        <w:trPr>
          <w:trHeight w:val="439" w:hRule="atLeast"/>
          <w:jc w:val="center"/>
        </w:trPr>
        <w:tc>
          <w:tcPr>
            <w:tcW w:w="5824" w:type="dxa"/>
            <w:gridSpan w:val="3"/>
            <w:vMerge w:val="continue"/>
            <w:tcBorders>
              <w:top w:val="single" w:color="auto" w:sz="4" w:space="0"/>
              <w:left w:val="single" w:color="auto" w:sz="4" w:space="0"/>
              <w:bottom w:val="single" w:color="auto" w:sz="4" w:space="0"/>
              <w:right w:val="single" w:color="auto" w:sz="4" w:space="0"/>
            </w:tcBorders>
            <w:noWrap w:val="0"/>
            <w:vAlign w:val="center"/>
          </w:tcPr>
          <w:p w14:paraId="299BA9E6">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0B5B3731">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07438280">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35F25F24">
            <w:pPr>
              <w:jc w:val="center"/>
              <w:textAlignment w:val="center"/>
              <w:rPr>
                <w:rFonts w:hint="eastAsia" w:ascii="宋体" w:hAnsi="宋体" w:eastAsia="宋体" w:cs="宋体"/>
                <w:lang w:bidi="ar"/>
              </w:rPr>
            </w:pPr>
          </w:p>
        </w:tc>
        <w:tc>
          <w:tcPr>
            <w:tcW w:w="1107" w:type="dxa"/>
            <w:tcBorders>
              <w:top w:val="single" w:color="auto" w:sz="4" w:space="0"/>
              <w:left w:val="single" w:color="auto" w:sz="4" w:space="0"/>
              <w:bottom w:val="single" w:color="auto" w:sz="4" w:space="0"/>
              <w:right w:val="single" w:color="auto" w:sz="4" w:space="0"/>
            </w:tcBorders>
            <w:noWrap/>
            <w:vAlign w:val="center"/>
          </w:tcPr>
          <w:p w14:paraId="68D17851">
            <w:pPr>
              <w:jc w:val="center"/>
              <w:textAlignment w:val="center"/>
              <w:rPr>
                <w:rFonts w:hint="eastAsia" w:ascii="宋体" w:hAnsi="宋体" w:eastAsia="宋体" w:cs="宋体"/>
                <w:lang w:bidi="ar"/>
              </w:rPr>
            </w:pPr>
          </w:p>
        </w:tc>
      </w:tr>
      <w:tr w14:paraId="0FBF1AC0">
        <w:tblPrEx>
          <w:tblCellMar>
            <w:top w:w="0" w:type="dxa"/>
            <w:left w:w="108" w:type="dxa"/>
            <w:bottom w:w="0" w:type="dxa"/>
            <w:right w:w="108" w:type="dxa"/>
          </w:tblCellMar>
        </w:tblPrEx>
        <w:trPr>
          <w:trHeight w:val="439" w:hRule="atLeast"/>
          <w:jc w:val="center"/>
        </w:trPr>
        <w:tc>
          <w:tcPr>
            <w:tcW w:w="1362" w:type="dxa"/>
            <w:tcBorders>
              <w:top w:val="single" w:color="auto" w:sz="4" w:space="0"/>
              <w:left w:val="single" w:color="auto" w:sz="4" w:space="0"/>
              <w:bottom w:val="single" w:color="auto" w:sz="4" w:space="0"/>
              <w:right w:val="single" w:color="auto" w:sz="4" w:space="0"/>
            </w:tcBorders>
            <w:noWrap w:val="0"/>
            <w:vAlign w:val="center"/>
          </w:tcPr>
          <w:p w14:paraId="7C6714F0">
            <w:pPr>
              <w:jc w:val="center"/>
              <w:textAlignment w:val="center"/>
              <w:rPr>
                <w:rFonts w:hint="eastAsia" w:ascii="宋体" w:hAnsi="宋体" w:eastAsia="宋体" w:cs="宋体"/>
                <w:lang w:bidi="ar"/>
              </w:rPr>
            </w:pPr>
            <w:r>
              <w:rPr>
                <w:rFonts w:hint="eastAsia" w:ascii="宋体" w:hAnsi="宋体" w:eastAsia="宋体" w:cs="宋体"/>
                <w:lang w:bidi="ar"/>
              </w:rPr>
              <w:t>对保安工作的要求和建议</w:t>
            </w:r>
          </w:p>
        </w:tc>
        <w:tc>
          <w:tcPr>
            <w:tcW w:w="8890" w:type="dxa"/>
            <w:gridSpan w:val="6"/>
            <w:tcBorders>
              <w:top w:val="single" w:color="auto" w:sz="4" w:space="0"/>
              <w:left w:val="single" w:color="auto" w:sz="4" w:space="0"/>
              <w:bottom w:val="single" w:color="auto" w:sz="4" w:space="0"/>
              <w:right w:val="single" w:color="auto" w:sz="4" w:space="0"/>
            </w:tcBorders>
            <w:noWrap/>
            <w:vAlign w:val="center"/>
          </w:tcPr>
          <w:p w14:paraId="7F6CBC0B">
            <w:pPr>
              <w:jc w:val="center"/>
              <w:textAlignment w:val="center"/>
              <w:rPr>
                <w:rFonts w:hint="eastAsia" w:ascii="宋体" w:hAnsi="宋体" w:eastAsia="宋体" w:cs="宋体"/>
                <w:lang w:bidi="ar"/>
              </w:rPr>
            </w:pPr>
          </w:p>
        </w:tc>
      </w:tr>
      <w:tr w14:paraId="68B601FA">
        <w:tblPrEx>
          <w:tblCellMar>
            <w:top w:w="0" w:type="dxa"/>
            <w:left w:w="108" w:type="dxa"/>
            <w:bottom w:w="0" w:type="dxa"/>
            <w:right w:w="108" w:type="dxa"/>
          </w:tblCellMar>
        </w:tblPrEx>
        <w:trPr>
          <w:trHeight w:val="1917" w:hRule="atLeast"/>
          <w:jc w:val="center"/>
        </w:trPr>
        <w:tc>
          <w:tcPr>
            <w:tcW w:w="10252" w:type="dxa"/>
            <w:gridSpan w:val="7"/>
            <w:tcBorders>
              <w:top w:val="single" w:color="auto" w:sz="4" w:space="0"/>
              <w:left w:val="nil"/>
              <w:bottom w:val="nil"/>
              <w:right w:val="nil"/>
            </w:tcBorders>
            <w:noWrap w:val="0"/>
            <w:vAlign w:val="center"/>
          </w:tcPr>
          <w:p w14:paraId="71D01CFB">
            <w:pPr>
              <w:textAlignment w:val="center"/>
              <w:rPr>
                <w:rFonts w:hint="eastAsia" w:ascii="宋体" w:hAnsi="宋体" w:eastAsia="宋体" w:cs="宋体"/>
                <w:lang w:bidi="ar"/>
              </w:rPr>
            </w:pPr>
            <w:r>
              <w:rPr>
                <w:rFonts w:hint="eastAsia" w:ascii="宋体" w:hAnsi="宋体" w:eastAsia="宋体" w:cs="宋体"/>
                <w:lang w:bidi="ar"/>
              </w:rPr>
              <w:t>填表人：                                                                 年      月      日</w:t>
            </w:r>
          </w:p>
          <w:p w14:paraId="38156237">
            <w:pPr>
              <w:textAlignment w:val="center"/>
              <w:rPr>
                <w:rFonts w:hint="eastAsia" w:ascii="宋体" w:hAnsi="宋体" w:eastAsia="宋体" w:cs="宋体"/>
                <w:lang w:bidi="ar"/>
              </w:rPr>
            </w:pPr>
          </w:p>
          <w:p w14:paraId="2B453EE3">
            <w:pPr>
              <w:textAlignment w:val="center"/>
              <w:rPr>
                <w:rFonts w:hint="eastAsia" w:ascii="宋体" w:hAnsi="宋体" w:eastAsia="宋体" w:cs="宋体"/>
                <w:lang w:bidi="ar"/>
              </w:rPr>
            </w:pPr>
          </w:p>
          <w:p w14:paraId="35605755">
            <w:pPr>
              <w:textAlignment w:val="center"/>
              <w:rPr>
                <w:rFonts w:hint="eastAsia" w:ascii="宋体" w:hAnsi="宋体" w:eastAsia="宋体" w:cs="宋体"/>
                <w:lang w:bidi="ar"/>
              </w:rPr>
            </w:pPr>
            <w:r>
              <w:rPr>
                <w:rFonts w:hint="eastAsia" w:ascii="宋体" w:hAnsi="宋体" w:eastAsia="宋体" w:cs="宋体"/>
                <w:lang w:bidi="ar"/>
              </w:rPr>
              <w:t>请各单位填写并盖章，由各公司管理人员上门收取。</w:t>
            </w:r>
          </w:p>
        </w:tc>
      </w:tr>
    </w:tbl>
    <w:p w14:paraId="3426F0CD">
      <w:pPr>
        <w:spacing w:line="360" w:lineRule="auto"/>
        <w:ind w:firstLine="420" w:firstLineChars="200"/>
        <w:rPr>
          <w:rFonts w:hint="eastAsia" w:ascii="宋体" w:hAnsi="宋体" w:eastAsia="宋体"/>
          <w:color w:val="auto"/>
        </w:rPr>
      </w:pPr>
    </w:p>
    <w:p w14:paraId="1252A803"/>
    <w:p w14:paraId="0310E0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C2D94"/>
    <w:rsid w:val="0C5409B0"/>
    <w:rsid w:val="11867E5D"/>
    <w:rsid w:val="13224B48"/>
    <w:rsid w:val="301D7787"/>
    <w:rsid w:val="36653C36"/>
    <w:rsid w:val="36C97D20"/>
    <w:rsid w:val="604F156E"/>
    <w:rsid w:val="6FCC2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2"/>
    <w:basedOn w:val="1"/>
    <w:unhideWhenUsed/>
    <w:qFormat/>
    <w:uiPriority w:val="99"/>
    <w:pPr>
      <w:snapToGrid w:val="0"/>
      <w:ind w:firstLine="542" w:firstLineChars="225"/>
    </w:pPr>
    <w:rPr>
      <w:rFonts w:ascii="仿宋_GB2312" w:hAnsi="宋体"/>
      <w:b/>
      <w:bCs/>
      <w:color w:val="000000"/>
      <w:sz w:val="24"/>
      <w:szCs w:val="24"/>
    </w:rPr>
  </w:style>
  <w:style w:type="character" w:customStyle="1" w:styleId="5">
    <w:name w:val="font21"/>
    <w:basedOn w:val="4"/>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6065</Words>
  <Characters>6357</Characters>
  <Lines>0</Lines>
  <Paragraphs>0</Paragraphs>
  <TotalTime>3</TotalTime>
  <ScaleCrop>false</ScaleCrop>
  <LinksUpToDate>false</LinksUpToDate>
  <CharactersWithSpaces>6450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2026-08-04T06:46:00Z</dcterms:created>
  <dc:creator>135.</dc:creator>
  <cp:lastModifiedBy>135.</cp:lastModifiedBy>
  <dcterms:modified xsi:type="dcterms:W3CDTF">2026-08-04T06:54:02Z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D7820664651C4F12AE6BAD692ABE3ADF_11</vt:lpwstr>
  </property>
  <property fmtid="{D5CDD505-2E9C-101B-9397-08002B2CF9AE}" pid="4" name="KSOTemplateDocerSaveRecord">
    <vt:lpwstr>eyJoZGlkIjoiMGE0NWE2MGY4NzMzZmNhOTRhODlhZDMzZDI1Mzk4NWYiLCJ1c2VySWQiOiIxMDMyMjc4NzM3In0=</vt:lpwstr>
  </property>
</Properties>
</file>