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南京路步行街中队及交警支队部分中队新址装修工程-电配套</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上海市公安局黄浦分局</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6</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4</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1"/>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1"/>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1"/>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1"/>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1"/>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1"/>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1"/>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1"/>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1"/>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1"/>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1"/>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1"/>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3"/>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南京路步行街中队及交警支队部分中队新址装修工程-电配套</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14215E4">
      <w:pPr>
        <w:widowControl/>
        <w:spacing w:line="360" w:lineRule="auto"/>
        <w:jc w:val="left"/>
        <w:textAlignment w:val="baseline"/>
        <w:rPr>
          <w:rFonts w:hint="eastAsia"/>
          <w:lang w:val="en-US" w:eastAsia="zh-CN"/>
        </w:rPr>
      </w:pPr>
      <w:r>
        <w:rPr>
          <w:rFonts w:hint="eastAsia"/>
          <w:lang w:val="en-US" w:eastAsia="zh-CN"/>
        </w:rPr>
        <w:t>4）具备建筑机电安装工程专业承包三级及其以上资质；</w:t>
      </w:r>
    </w:p>
    <w:p w14:paraId="7347B5BF">
      <w:pPr>
        <w:widowControl/>
        <w:spacing w:line="360" w:lineRule="auto"/>
        <w:jc w:val="left"/>
        <w:textAlignment w:val="baseline"/>
        <w:rPr>
          <w:rFonts w:hint="default"/>
          <w:lang w:val="en-US" w:eastAsia="zh-CN"/>
        </w:rPr>
      </w:pPr>
      <w:r>
        <w:rPr>
          <w:rFonts w:hint="eastAsia"/>
          <w:lang w:val="en-US" w:eastAsia="zh-CN"/>
        </w:rPr>
        <w:t>5）具备输变电工程专业承包三级及其以上资质；</w:t>
      </w:r>
    </w:p>
    <w:p w14:paraId="726B1268">
      <w:pPr>
        <w:widowControl/>
        <w:spacing w:line="360" w:lineRule="auto"/>
        <w:jc w:val="left"/>
        <w:textAlignment w:val="baseline"/>
        <w:rPr>
          <w:rFonts w:hint="eastAsia"/>
          <w:lang w:val="en-US" w:eastAsia="zh-CN"/>
        </w:rPr>
      </w:pPr>
      <w:r>
        <w:rPr>
          <w:rFonts w:hint="eastAsia"/>
          <w:lang w:val="en-US" w:eastAsia="zh-CN"/>
        </w:rPr>
        <w:t>6）具备承装（修、试）电力设施许可证（承装类及承试类）；</w:t>
      </w:r>
    </w:p>
    <w:p w14:paraId="007368F6">
      <w:pPr>
        <w:widowControl/>
        <w:spacing w:line="360" w:lineRule="auto"/>
        <w:jc w:val="left"/>
        <w:textAlignment w:val="baseline"/>
        <w:rPr>
          <w:rFonts w:hint="eastAsia"/>
          <w:lang w:val="en-US" w:eastAsia="zh-CN"/>
        </w:rPr>
      </w:pPr>
      <w:r>
        <w:rPr>
          <w:rFonts w:hint="eastAsia"/>
          <w:lang w:val="en-US" w:eastAsia="zh-CN"/>
        </w:rPr>
        <w:t>7）具备有效期内的安全生产许可证；</w:t>
      </w:r>
    </w:p>
    <w:p w14:paraId="03581C51">
      <w:pPr>
        <w:widowControl/>
        <w:spacing w:line="360" w:lineRule="auto"/>
        <w:jc w:val="left"/>
        <w:textAlignment w:val="baseline"/>
        <w:rPr>
          <w:rFonts w:hint="eastAsia"/>
          <w:lang w:val="en-US" w:eastAsia="zh-CN"/>
        </w:rPr>
      </w:pPr>
      <w:r>
        <w:rPr>
          <w:rFonts w:hint="eastAsia"/>
          <w:lang w:val="en-US" w:eastAsia="zh-CN"/>
        </w:rPr>
        <w:t>9）项目拟派项目经理具有机电工程专业二级（及以上）注册建造师执业资格；</w:t>
      </w:r>
    </w:p>
    <w:p w14:paraId="6216C5ED">
      <w:pPr>
        <w:widowControl/>
        <w:spacing w:line="360" w:lineRule="auto"/>
        <w:jc w:val="left"/>
        <w:textAlignment w:val="baseline"/>
        <w:rPr>
          <w:rFonts w:hint="eastAsia"/>
          <w:lang w:val="en-US" w:eastAsia="zh-CN"/>
        </w:rPr>
      </w:pPr>
      <w:r>
        <w:rPr>
          <w:rFonts w:hint="eastAsia"/>
          <w:lang w:val="en-US" w:eastAsia="zh-CN"/>
        </w:rPr>
        <w:t>10)本项目不接受联合体。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南京路步行街中队及交警支队部分中队新址装修工程-电配套</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color w:val="auto"/>
          <w:kern w:val="0"/>
          <w:szCs w:val="21"/>
          <w:highlight w:val="none"/>
        </w:rPr>
        <w:t>项目装修总建筑面积为6596.86平方米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主要包括含变压器及相关变配电设备。</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40</w:t>
      </w:r>
      <w:r>
        <w:rPr>
          <w:rFonts w:hint="eastAsia" w:ascii="宋体" w:hAnsi="宋体" w:cs="宋体"/>
          <w:kern w:val="0"/>
          <w:szCs w:val="21"/>
          <w:highlight w:val="none"/>
        </w:rPr>
        <w:t>（日历天），计划开工日期：</w:t>
      </w:r>
      <w:r>
        <w:rPr>
          <w:rFonts w:hint="default" w:ascii="宋体" w:hAnsi="宋体" w:cs="宋体"/>
          <w:kern w:val="0"/>
          <w:szCs w:val="21"/>
          <w:highlight w:val="none"/>
        </w:rPr>
        <w:t>2026年6月5日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、交付地址：复兴东路1121号</w:t>
      </w:r>
      <w:r>
        <w:rPr>
          <w:rFonts w:hint="eastAsia" w:ascii="宋体" w:hAnsi="宋体" w:cs="宋体"/>
          <w:kern w:val="0"/>
          <w:szCs w:val="21"/>
          <w:highlight w:val="none"/>
          <w:lang w:eastAsia="zh-CN"/>
        </w:rPr>
        <w:t>。</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40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1900000</w:t>
      </w:r>
      <w:r>
        <w:rPr>
          <w:rFonts w:hint="eastAsia" w:ascii="宋体" w:hAnsi="宋体" w:cs="宋体"/>
          <w:b/>
          <w:bCs/>
          <w:kern w:val="0"/>
          <w:szCs w:val="21"/>
        </w:rPr>
        <w:t>元（国库资金：</w:t>
      </w:r>
      <w:r>
        <w:rPr>
          <w:rFonts w:hint="eastAsia" w:ascii="宋体" w:hAnsi="宋体" w:cs="宋体"/>
          <w:b/>
          <w:bCs/>
          <w:kern w:val="0"/>
          <w:szCs w:val="21"/>
          <w:lang w:val="en-US" w:eastAsia="zh-CN"/>
        </w:rPr>
        <w:t>1900000</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最高投标限价为1850122.81元，</w:t>
      </w:r>
      <w:r>
        <w:rPr>
          <w:rFonts w:hint="eastAsia" w:ascii="宋体" w:hAnsi="宋体" w:cs="宋体"/>
          <w:b w:val="0"/>
          <w:bCs w:val="0"/>
          <w:kern w:val="0"/>
          <w:szCs w:val="21"/>
          <w:lang w:val="en-US" w:eastAsia="zh-CN"/>
        </w:rPr>
        <w:t>磋</w:t>
      </w:r>
      <w:r>
        <w:rPr>
          <w:rFonts w:hint="eastAsia" w:ascii="宋体" w:hAnsi="宋体" w:cs="宋体"/>
          <w:b w:val="0"/>
          <w:bCs w:val="0"/>
          <w:kern w:val="0"/>
          <w:szCs w:val="21"/>
          <w:lang w:eastAsia="zh-CN"/>
        </w:rPr>
        <w:t>商</w:t>
      </w:r>
      <w:r>
        <w:rPr>
          <w:rFonts w:hint="eastAsia" w:ascii="宋体" w:hAnsi="宋体" w:cs="宋体"/>
          <w:b w:val="0"/>
          <w:bCs w:val="0"/>
          <w:kern w:val="0"/>
          <w:szCs w:val="21"/>
        </w:rPr>
        <w:t>报价超过</w:t>
      </w:r>
      <w:r>
        <w:rPr>
          <w:rFonts w:hint="eastAsia" w:ascii="宋体" w:hAnsi="宋体" w:cs="宋体"/>
          <w:kern w:val="0"/>
          <w:szCs w:val="21"/>
        </w:rPr>
        <w:t>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w:t>
      </w:r>
      <w:r>
        <w:rPr>
          <w:rFonts w:hint="eastAsia" w:ascii="宋体" w:hAnsi="宋体" w:cs="宋体"/>
          <w:kern w:val="0"/>
          <w:szCs w:val="21"/>
          <w:highlight w:val="none"/>
        </w:rPr>
        <w:t>本采购项目执行中小企业、福利企业等的政府采购政策。根据财库46号文</w:t>
      </w:r>
      <w:r>
        <w:rPr>
          <w:rFonts w:hint="eastAsia" w:ascii="宋体" w:hAnsi="宋体" w:cs="宋体"/>
          <w:kern w:val="0"/>
          <w:szCs w:val="21"/>
          <w:highlight w:val="none"/>
          <w:lang w:val="en-US" w:eastAsia="zh-CN"/>
        </w:rPr>
        <w:t>，</w:t>
      </w:r>
      <w:r>
        <w:rPr>
          <w:rFonts w:hint="eastAsia" w:ascii="宋体" w:hAnsi="宋体" w:cs="宋体"/>
          <w:kern w:val="0"/>
          <w:szCs w:val="21"/>
          <w:highlight w:val="none"/>
        </w:rPr>
        <w:t>本项目专门面向中小企业。</w:t>
      </w:r>
    </w:p>
    <w:p w14:paraId="533D3C4F">
      <w:pPr>
        <w:widowControl/>
        <w:spacing w:line="360" w:lineRule="auto"/>
        <w:jc w:val="left"/>
        <w:textAlignment w:val="baseline"/>
        <w:rPr>
          <w:rFonts w:ascii="宋体" w:cs="宋体"/>
          <w:kern w:val="0"/>
          <w:szCs w:val="21"/>
          <w:highlight w:val="none"/>
        </w:rPr>
      </w:pPr>
      <w:r>
        <w:rPr>
          <w:rFonts w:hint="eastAsia" w:ascii="宋体" w:hAnsi="宋体" w:cs="宋体"/>
          <w:kern w:val="0"/>
          <w:szCs w:val="21"/>
        </w:rPr>
        <w:t>三、竞争性磋商文件的获取</w:t>
      </w:r>
    </w:p>
    <w:p w14:paraId="192E400B">
      <w:pPr>
        <w:widowControl/>
        <w:spacing w:line="360" w:lineRule="auto"/>
        <w:jc w:val="left"/>
        <w:textAlignment w:val="baseline"/>
        <w:rPr>
          <w:rFonts w:ascii="宋体" w:cs="宋体"/>
          <w:kern w:val="0"/>
          <w:szCs w:val="21"/>
        </w:rPr>
      </w:pPr>
      <w:r>
        <w:rPr>
          <w:rFonts w:ascii="宋体" w:hAnsi="宋体" w:cs="宋体"/>
          <w:kern w:val="0"/>
          <w:szCs w:val="21"/>
          <w:highlight w:val="none"/>
        </w:rPr>
        <w:t>1</w:t>
      </w:r>
      <w:r>
        <w:rPr>
          <w:rFonts w:hint="eastAsia" w:ascii="宋体" w:hAnsi="宋体" w:cs="宋体"/>
          <w:kern w:val="0"/>
          <w:szCs w:val="21"/>
          <w:highlight w:val="none"/>
        </w:rPr>
        <w:t>、合格的</w:t>
      </w:r>
      <w:r>
        <w:rPr>
          <w:rFonts w:hint="eastAsia" w:ascii="宋体" w:hAnsi="宋体" w:cs="宋体"/>
          <w:kern w:val="0"/>
          <w:szCs w:val="21"/>
          <w:highlight w:val="none"/>
          <w:lang w:eastAsia="zh-CN"/>
        </w:rPr>
        <w:t>响应单位</w:t>
      </w:r>
      <w:r>
        <w:rPr>
          <w:rFonts w:hint="eastAsia" w:ascii="宋体" w:hAnsi="宋体" w:cs="宋体"/>
          <w:kern w:val="0"/>
          <w:szCs w:val="21"/>
          <w:highlight w:val="none"/>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28</w:t>
      </w:r>
      <w:r>
        <w:rPr>
          <w:rFonts w:hint="eastAsia" w:ascii="宋体" w:hAnsi="宋体" w:cs="宋体"/>
          <w:b/>
          <w:bCs/>
          <w:kern w:val="0"/>
          <w:szCs w:val="21"/>
          <w:highlight w:val="none"/>
        </w:rPr>
        <w:t>日下午16:00</w:t>
      </w:r>
      <w:r>
        <w:rPr>
          <w:rFonts w:hint="eastAsia" w:ascii="宋体" w:hAnsi="宋体" w:cs="宋体"/>
          <w:kern w:val="0"/>
          <w:szCs w:val="21"/>
        </w:rPr>
        <w:t>截止</w:t>
      </w:r>
      <w:r>
        <w:rPr>
          <w:rFonts w:hint="eastAsia" w:ascii="宋体" w:hAnsi="宋体" w:cs="宋体"/>
          <w:kern w:val="0"/>
          <w:szCs w:val="21"/>
          <w:u w:val="none"/>
          <w:lang w:eastAsia="zh-CN"/>
        </w:rPr>
        <w:t>。</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本项目采用电子化采购方式，采购人、采购代理机构免费提供电子采购文件。投标单位在网上报名成功后需携带授权委托书原件由被授权人本人到现场领取工程量清单及图纸(如有)。</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highlight w:val="none"/>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w:t>
      </w:r>
      <w:r>
        <w:rPr>
          <w:rFonts w:hint="eastAsia" w:ascii="宋体" w:hAnsi="宋体" w:cs="宋体"/>
          <w:kern w:val="0"/>
          <w:szCs w:val="21"/>
          <w:highlight w:val="none"/>
          <w:lang w:eastAsia="zh-CN"/>
        </w:rPr>
        <w:t>应单位</w:t>
      </w:r>
      <w:r>
        <w:rPr>
          <w:rFonts w:hint="eastAsia" w:ascii="宋体" w:hAnsi="宋体" w:cs="宋体"/>
          <w:kern w:val="0"/>
          <w:szCs w:val="21"/>
          <w:highlight w:val="none"/>
        </w:rPr>
        <w:t>递交虚假材料或填写信息错误导致的与本项目有关的任何损失由</w:t>
      </w:r>
      <w:r>
        <w:rPr>
          <w:rFonts w:hint="eastAsia" w:ascii="宋体" w:hAnsi="宋体" w:cs="宋体"/>
          <w:kern w:val="0"/>
          <w:szCs w:val="21"/>
          <w:highlight w:val="none"/>
          <w:lang w:eastAsia="zh-CN"/>
        </w:rPr>
        <w:t>响应单位</w:t>
      </w:r>
      <w:r>
        <w:rPr>
          <w:rFonts w:hint="eastAsia" w:ascii="宋体" w:hAnsi="宋体" w:cs="宋体"/>
          <w:kern w:val="0"/>
          <w:szCs w:val="21"/>
          <w:highlight w:val="none"/>
        </w:rPr>
        <w:t>承担。</w:t>
      </w:r>
    </w:p>
    <w:p w14:paraId="1FAD1CF4">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w:t>
      </w:r>
      <w:r>
        <w:rPr>
          <w:rFonts w:hint="eastAsia" w:ascii="宋体" w:hAnsi="宋体" w:cs="宋体"/>
          <w:kern w:val="0"/>
          <w:szCs w:val="21"/>
          <w:highlight w:val="none"/>
          <w:lang w:eastAsia="zh-CN"/>
        </w:rPr>
        <w:t>响应</w:t>
      </w:r>
      <w:r>
        <w:rPr>
          <w:rFonts w:hint="eastAsia" w:ascii="宋体" w:hAnsi="宋体" w:cs="宋体"/>
          <w:kern w:val="0"/>
          <w:szCs w:val="21"/>
          <w:highlight w:val="none"/>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9</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9</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p>
    <w:p w14:paraId="4E8A35B3">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0。</w:t>
      </w:r>
    </w:p>
    <w:p w14:paraId="6C53E4A8">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rPr>
        <w:t>五、</w:t>
      </w:r>
      <w:r>
        <w:rPr>
          <w:rFonts w:hint="eastAsia" w:ascii="宋体" w:hAnsi="宋体" w:cs="宋体"/>
          <w:kern w:val="0"/>
          <w:szCs w:val="21"/>
          <w:highlight w:val="none"/>
          <w:lang w:eastAsia="zh-CN"/>
        </w:rPr>
        <w:t>磋商</w:t>
      </w:r>
      <w:r>
        <w:rPr>
          <w:rFonts w:hint="eastAsia" w:ascii="宋体" w:hAnsi="宋体" w:cs="宋体"/>
          <w:kern w:val="0"/>
          <w:szCs w:val="21"/>
          <w:highlight w:val="none"/>
        </w:rPr>
        <w:t>地点和开标地点</w:t>
      </w:r>
    </w:p>
    <w:p w14:paraId="01DB7F44">
      <w:pPr>
        <w:widowControl/>
        <w:spacing w:line="360" w:lineRule="auto"/>
        <w:jc w:val="left"/>
        <w:textAlignment w:val="baseline"/>
        <w:rPr>
          <w:rFonts w:hint="eastAsia" w:ascii="宋体" w:hAnsi="宋体" w:eastAsia="宋体" w:cs="宋体"/>
          <w:kern w:val="0"/>
          <w:szCs w:val="21"/>
          <w:highlight w:val="none"/>
          <w:lang w:eastAsia="zh-CN"/>
        </w:rPr>
      </w:pPr>
      <w:r>
        <w:rPr>
          <w:rFonts w:ascii="宋体" w:hAnsi="宋体" w:cs="宋体"/>
          <w:kern w:val="0"/>
          <w:szCs w:val="21"/>
          <w:highlight w:val="none"/>
        </w:rPr>
        <w:t>1</w:t>
      </w:r>
      <w:r>
        <w:rPr>
          <w:rFonts w:hint="eastAsia" w:ascii="宋体" w:hAnsi="宋体" w:cs="宋体"/>
          <w:kern w:val="0"/>
          <w:szCs w:val="21"/>
          <w:highlight w:val="none"/>
        </w:rPr>
        <w:t>、</w:t>
      </w:r>
      <w:r>
        <w:rPr>
          <w:rFonts w:hint="eastAsia" w:ascii="宋体" w:hAnsi="宋体" w:cs="宋体"/>
          <w:kern w:val="0"/>
          <w:szCs w:val="21"/>
          <w:highlight w:val="none"/>
          <w:lang w:eastAsia="zh-CN"/>
        </w:rPr>
        <w:t>磋商</w:t>
      </w: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highlight w:val="none"/>
        </w:rPr>
        <w:t>2</w:t>
      </w:r>
      <w:r>
        <w:rPr>
          <w:rFonts w:hint="eastAsia" w:ascii="宋体" w:hAnsi="宋体" w:cs="宋体"/>
          <w:kern w:val="0"/>
          <w:szCs w:val="21"/>
          <w:highlight w:val="none"/>
        </w:rPr>
        <w:t>、开标地点：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2A3CA81A">
      <w:pPr>
        <w:widowControl/>
        <w:spacing w:line="360" w:lineRule="auto"/>
        <w:jc w:val="left"/>
        <w:textAlignment w:val="baseline"/>
        <w:rPr>
          <w:rFonts w:hint="eastAsia" w:ascii="宋体" w:hAnsi="宋体" w:cs="宋体"/>
          <w:kern w:val="0"/>
          <w:szCs w:val="21"/>
        </w:rPr>
      </w:pP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上海市公安局黄浦分局</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地址</w:t>
      </w:r>
      <w:r>
        <w:rPr>
          <w:rFonts w:ascii="宋体" w:hAnsi="宋体" w:cs="宋体"/>
          <w:kern w:val="0"/>
          <w:szCs w:val="21"/>
          <w:highlight w:val="none"/>
        </w:rPr>
        <w:t xml:space="preserve">: </w:t>
      </w:r>
      <w:r>
        <w:rPr>
          <w:rFonts w:hint="eastAsia" w:ascii="宋体" w:hAnsi="宋体" w:cs="宋体"/>
          <w:kern w:val="0"/>
          <w:szCs w:val="21"/>
          <w:highlight w:val="none"/>
          <w:lang w:eastAsia="zh-CN"/>
        </w:rPr>
        <w:t xml:space="preserve">上海市中山南一路599号 </w:t>
      </w:r>
    </w:p>
    <w:p w14:paraId="704D9EE0">
      <w:pPr>
        <w:widowControl/>
        <w:adjustRightInd w:val="0"/>
        <w:snapToGrid w:val="0"/>
        <w:spacing w:line="360" w:lineRule="auto"/>
        <w:ind w:firstLine="630" w:firstLineChars="300"/>
        <w:jc w:val="left"/>
        <w:textAlignment w:val="baseline"/>
        <w:rPr>
          <w:rFonts w:hint="eastAsia" w:ascii="宋体" w:eastAsia="宋体" w:cs="宋体"/>
          <w:color w:val="auto"/>
          <w:kern w:val="0"/>
          <w:szCs w:val="21"/>
          <w:highlight w:val="none"/>
          <w:lang w:eastAsia="zh-CN"/>
        </w:rPr>
      </w:pPr>
      <w:r>
        <w:rPr>
          <w:rFonts w:hint="eastAsia" w:ascii="宋体" w:hAnsi="宋体" w:cs="宋体"/>
          <w:color w:val="auto"/>
          <w:kern w:val="0"/>
          <w:szCs w:val="21"/>
          <w:highlight w:val="none"/>
        </w:rPr>
        <w:t>联系</w:t>
      </w:r>
      <w:r>
        <w:rPr>
          <w:rFonts w:hint="eastAsia" w:ascii="宋体" w:hAnsi="宋体"/>
          <w:color w:val="auto"/>
          <w:szCs w:val="21"/>
          <w:highlight w:val="none"/>
        </w:rPr>
        <w:t>人：</w:t>
      </w:r>
      <w:r>
        <w:rPr>
          <w:rFonts w:hint="eastAsia" w:ascii="宋体" w:hAnsi="宋体"/>
          <w:color w:val="auto"/>
          <w:szCs w:val="21"/>
          <w:highlight w:val="none"/>
          <w:lang w:eastAsia="zh-CN"/>
        </w:rPr>
        <w:t>钱伟</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eastAsia="zh-CN"/>
        </w:rPr>
        <w:t>23033518</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highlight w:val="none"/>
        </w:rPr>
        <w:t>2</w:t>
      </w:r>
      <w:r>
        <w:rPr>
          <w:rFonts w:hint="eastAsia" w:ascii="宋体" w:hAnsi="宋体" w:cs="宋体"/>
          <w:kern w:val="0"/>
          <w:szCs w:val="21"/>
          <w:highlight w:val="none"/>
        </w:rPr>
        <w:t>、采购代理机构：</w:t>
      </w:r>
      <w:r>
        <w:rPr>
          <w:rFonts w:hint="eastAsia" w:ascii="宋体" w:hAnsi="宋体" w:cs="宋体"/>
          <w:kern w:val="0"/>
          <w:szCs w:val="21"/>
          <w:highlight w:val="none"/>
          <w:lang w:eastAsia="zh-CN"/>
        </w:rPr>
        <w:t>上海煌浦建设</w:t>
      </w:r>
      <w:r>
        <w:rPr>
          <w:rFonts w:hint="eastAsia" w:ascii="宋体" w:hAnsi="宋体" w:cs="宋体"/>
          <w:kern w:val="0"/>
          <w:szCs w:val="21"/>
          <w:lang w:eastAsia="zh-CN"/>
        </w:rPr>
        <w:t>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color w:val="auto"/>
          <w:kern w:val="0"/>
          <w:szCs w:val="21"/>
          <w:lang w:eastAsia="zh-CN"/>
        </w:rPr>
      </w:pPr>
      <w:r>
        <w:rPr>
          <w:rFonts w:hint="eastAsia" w:ascii="宋体" w:hAnsi="宋体" w:cs="宋体"/>
          <w:kern w:val="0"/>
          <w:szCs w:val="21"/>
        </w:rPr>
        <w:t>联系人：</w:t>
      </w:r>
      <w:r>
        <w:rPr>
          <w:rFonts w:hint="eastAsia" w:ascii="宋体" w:hAnsi="宋体" w:cs="宋体"/>
          <w:color w:val="auto"/>
          <w:kern w:val="0"/>
          <w:szCs w:val="21"/>
          <w:lang w:eastAsia="zh-CN"/>
        </w:rPr>
        <w:t>姚星洁</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color w:val="auto"/>
          <w:kern w:val="0"/>
          <w:szCs w:val="21"/>
          <w:lang w:eastAsia="zh-CN"/>
        </w:rPr>
      </w:pPr>
      <w:r>
        <w:rPr>
          <w:rFonts w:hint="eastAsia" w:ascii="宋体" w:hAnsi="宋体" w:cs="宋体"/>
          <w:color w:val="auto"/>
          <w:kern w:val="0"/>
          <w:szCs w:val="21"/>
        </w:rPr>
        <w:t>电话：</w:t>
      </w:r>
      <w:r>
        <w:rPr>
          <w:rFonts w:hint="eastAsia" w:ascii="宋体" w:hAnsi="宋体" w:cs="宋体"/>
          <w:color w:val="auto"/>
          <w:kern w:val="0"/>
          <w:szCs w:val="21"/>
          <w:lang w:eastAsia="zh-CN"/>
        </w:rPr>
        <w:t>17701728379</w:t>
      </w:r>
    </w:p>
    <w:p w14:paraId="5815C905">
      <w:pPr>
        <w:widowControl/>
        <w:adjustRightInd w:val="0"/>
        <w:snapToGrid w:val="0"/>
        <w:spacing w:line="360" w:lineRule="auto"/>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3"/>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南京路步行街中队及交警支队部分中队新址装修工程-电配套</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上海市公安局黄浦分局</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上海市中山南一路599号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color w:val="auto"/>
                <w:kern w:val="0"/>
                <w:szCs w:val="21"/>
                <w:lang w:eastAsia="zh-CN"/>
              </w:rPr>
            </w:pPr>
            <w:r>
              <w:rPr>
                <w:rFonts w:hint="eastAsia" w:ascii="宋体" w:hAnsi="宋体" w:cs="宋体"/>
                <w:kern w:val="0"/>
                <w:szCs w:val="21"/>
              </w:rPr>
              <w:t>联</w:t>
            </w:r>
            <w:r>
              <w:rPr>
                <w:rFonts w:hint="eastAsia" w:ascii="宋体" w:hAnsi="宋体" w:cs="宋体"/>
                <w:color w:val="auto"/>
                <w:kern w:val="0"/>
                <w:szCs w:val="21"/>
              </w:rPr>
              <w:t>系人：</w:t>
            </w:r>
            <w:r>
              <w:rPr>
                <w:rFonts w:hint="eastAsia" w:ascii="宋体" w:hAnsi="宋体" w:cs="宋体"/>
                <w:color w:val="auto"/>
                <w:kern w:val="0"/>
                <w:szCs w:val="21"/>
                <w:lang w:eastAsia="zh-CN"/>
              </w:rPr>
              <w:t>姚星洁</w:t>
            </w:r>
          </w:p>
          <w:p w14:paraId="3CD3F1BE">
            <w:pPr>
              <w:widowControl/>
              <w:textAlignment w:val="baseline"/>
              <w:rPr>
                <w:rFonts w:ascii="宋体" w:cs="宋体"/>
                <w:kern w:val="0"/>
                <w:szCs w:val="21"/>
              </w:rPr>
            </w:pPr>
            <w:r>
              <w:rPr>
                <w:rFonts w:hint="eastAsia" w:ascii="宋体" w:hAnsi="宋体" w:cs="宋体"/>
                <w:color w:val="auto"/>
                <w:kern w:val="0"/>
                <w:szCs w:val="21"/>
              </w:rPr>
              <w:t>电话：</w:t>
            </w:r>
            <w:r>
              <w:rPr>
                <w:rFonts w:hint="eastAsia" w:ascii="宋体" w:hAnsi="宋体" w:cs="宋体"/>
                <w:color w:val="auto"/>
                <w:kern w:val="0"/>
                <w:szCs w:val="21"/>
                <w:lang w:eastAsia="zh-CN"/>
              </w:rPr>
              <w:t>17701728379</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w:t>
            </w:r>
            <w:r>
              <w:rPr>
                <w:rFonts w:hint="eastAsia" w:ascii="宋体" w:hAnsi="宋体" w:cs="宋体"/>
                <w:color w:val="auto"/>
                <w:kern w:val="0"/>
                <w:szCs w:val="21"/>
              </w:rPr>
              <w:t>：项目装修总建筑面积为6596.86平方米，主要包括含变压器及相关变配电设备。</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29</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9</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w:t>
            </w:r>
            <w:r>
              <w:rPr>
                <w:rFonts w:hint="eastAsia" w:ascii="宋体" w:hAnsi="宋体" w:cs="宋体"/>
                <w:color w:val="auto"/>
              </w:rPr>
              <w:t>限内送至</w:t>
            </w:r>
            <w:r>
              <w:rPr>
                <w:rFonts w:hint="eastAsia" w:ascii="宋体" w:hAnsi="宋体" w:cs="宋体"/>
                <w:color w:val="auto"/>
                <w:kern w:val="0"/>
                <w:szCs w:val="21"/>
                <w:lang w:eastAsia="zh-CN"/>
              </w:rPr>
              <w:t>上海市黄浦区西藏南路831弄2号19楼</w:t>
            </w:r>
            <w:r>
              <w:rPr>
                <w:rFonts w:hint="eastAsia" w:ascii="宋体" w:hAnsi="宋体" w:cs="宋体"/>
                <w:color w:val="auto"/>
              </w:rPr>
              <w:t>，联系人：</w:t>
            </w:r>
            <w:r>
              <w:rPr>
                <w:rFonts w:hint="eastAsia" w:ascii="宋体" w:hAnsi="宋体" w:cs="宋体"/>
                <w:color w:val="auto"/>
                <w:lang w:eastAsia="zh-CN"/>
              </w:rPr>
              <w:t>姚星洁</w:t>
            </w:r>
            <w:r>
              <w:rPr>
                <w:rFonts w:hint="eastAsia" w:ascii="宋体" w:hAnsi="宋体" w:cs="宋体"/>
                <w:color w:val="auto"/>
              </w:rPr>
              <w:t>，联系电话：</w:t>
            </w:r>
            <w:r>
              <w:rPr>
                <w:rFonts w:hint="eastAsia" w:ascii="宋体" w:hAnsi="宋体" w:cs="宋体"/>
                <w:color w:val="auto"/>
                <w:lang w:eastAsia="zh-CN"/>
              </w:rPr>
              <w:t>17701728379</w:t>
            </w:r>
            <w:r>
              <w:rPr>
                <w:rFonts w:hint="eastAsia" w:ascii="宋体" w:hAnsi="宋体" w:cs="宋体"/>
                <w:color w:val="auto"/>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highlight w:val="none"/>
              </w:rPr>
            </w:pPr>
            <w:r>
              <w:rPr>
                <w:rFonts w:hint="eastAsia" w:ascii="宋体" w:hAnsi="宋体" w:cs="宋体"/>
                <w:kern w:val="0"/>
                <w:szCs w:val="21"/>
                <w:highlight w:val="none"/>
              </w:rPr>
              <w:t>12</w:t>
            </w:r>
          </w:p>
        </w:tc>
        <w:tc>
          <w:tcPr>
            <w:tcW w:w="7783" w:type="dxa"/>
            <w:vAlign w:val="center"/>
          </w:tcPr>
          <w:p w14:paraId="64427377">
            <w:pPr>
              <w:rPr>
                <w:rFonts w:ascii="宋体" w:hAnsi="宋体" w:cs="宋体"/>
                <w:highlight w:val="none"/>
              </w:rPr>
            </w:pPr>
            <w:r>
              <w:rPr>
                <w:rFonts w:hint="eastAsia" w:ascii="宋体" w:hAnsi="宋体" w:cs="宋体"/>
                <w:highlight w:val="none"/>
              </w:rPr>
              <w:t>（一）社会保险费由用人单位缴纳，社会保险费</w:t>
            </w:r>
            <w:r>
              <w:rPr>
                <w:rFonts w:hint="eastAsia" w:ascii="宋体" w:hAnsi="宋体" w:cs="宋体"/>
                <w:b/>
                <w:bCs/>
                <w:highlight w:val="none"/>
                <w:lang w:val="en-US" w:eastAsia="zh-CN"/>
              </w:rPr>
              <w:t>按</w:t>
            </w:r>
            <w:r>
              <w:rPr>
                <w:rFonts w:hint="eastAsia" w:ascii="宋体" w:hAnsi="宋体" w:cs="宋体"/>
                <w:b/>
                <w:bCs/>
                <w:highlight w:val="none"/>
              </w:rPr>
              <w:t>沪建标定联[2023]120号相关规定</w:t>
            </w:r>
            <w:r>
              <w:rPr>
                <w:rFonts w:hint="eastAsia" w:ascii="宋体" w:hAnsi="宋体" w:cs="宋体"/>
                <w:b/>
                <w:bCs/>
                <w:highlight w:val="none"/>
                <w:lang w:val="en-US" w:eastAsia="zh-CN"/>
              </w:rPr>
              <w:t>执行</w:t>
            </w:r>
            <w:r>
              <w:rPr>
                <w:rFonts w:hint="eastAsia" w:ascii="宋体" w:hAnsi="宋体" w:cs="宋体"/>
                <w:highlight w:val="none"/>
              </w:rPr>
              <w:t>。 （二）本项目严格执行沪建管【2015】23号《关于推进建筑工地安装噪声扬 尘在线监测系统的通知》，</w:t>
            </w:r>
            <w:r>
              <w:rPr>
                <w:rFonts w:hint="eastAsia" w:ascii="宋体" w:hAnsi="宋体" w:cs="宋体"/>
                <w:color w:val="auto"/>
                <w:highlight w:val="none"/>
                <w:lang w:eastAsia="zh-CN"/>
              </w:rPr>
              <w:t>安装费用由建设单位负责，在文明施工措施费中列支，施工单位根据有关规章要求负责具体落实</w:t>
            </w:r>
            <w:r>
              <w:rPr>
                <w:rFonts w:hint="eastAsia" w:ascii="宋体" w:hAnsi="宋体" w:cs="宋体"/>
                <w:color w:val="auto"/>
                <w:highlight w:val="none"/>
              </w:rPr>
              <w:t>。</w:t>
            </w:r>
            <w:r>
              <w:rPr>
                <w:rFonts w:hint="eastAsia" w:ascii="宋体" w:hAnsi="宋体" w:cs="宋体"/>
                <w:highlight w:val="none"/>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color w:val="auto"/>
                <w:sz w:val="21"/>
                <w:szCs w:val="21"/>
                <w:u w:val="none"/>
                <w:lang w:val="en-US" w:eastAsia="zh-CN"/>
              </w:rPr>
              <w:t>若竞争性磋商文PDF版本与附件版本不符的话以附件（WORD）版本为准。本项目所属行业：建筑业。</w:t>
            </w:r>
          </w:p>
        </w:tc>
      </w:tr>
    </w:tbl>
    <w:p w14:paraId="055B9B5B">
      <w:pPr>
        <w:pStyle w:val="3"/>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3"/>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3"/>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3"/>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3"/>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2CB55488">
      <w:pPr>
        <w:spacing w:line="360" w:lineRule="auto"/>
        <w:ind w:left="420" w:leftChars="200"/>
        <w:rPr>
          <w:rFonts w:hint="eastAsia"/>
        </w:rPr>
      </w:pPr>
      <w:r>
        <w:rPr>
          <w:rFonts w:hint="eastAsia" w:ascii="宋体" w:hAnsi="宋体"/>
        </w:rPr>
        <w:t>3.1报价依据：</w:t>
      </w:r>
      <w:r>
        <w:rPr>
          <w:rFonts w:hint="eastAsia"/>
          <w:lang w:val="en-US" w:eastAsia="zh-CN"/>
        </w:rPr>
        <w:t>《建设工程工程量清单计价规范》GB/T50500-2024、上海市建设工程工程量清单计价应用规则(2025版)、《上海市安装工程预算定额（2016）》等、上海市建筑建材业市场管理总站发布的建设工程价格信息和国家及上海市相关法律、法规</w:t>
      </w:r>
      <w:r>
        <w:rPr>
          <w:rFonts w:hint="eastAsia"/>
        </w:rPr>
        <w:t>。</w:t>
      </w:r>
    </w:p>
    <w:p w14:paraId="0B05C5FF">
      <w:pPr>
        <w:spacing w:line="360" w:lineRule="auto"/>
        <w:ind w:left="420" w:leftChars="200"/>
        <w:rPr>
          <w:rFonts w:cs="宋体"/>
        </w:rPr>
      </w:pPr>
      <w:r>
        <w:rPr>
          <w:rFonts w:hint="eastAsia" w:ascii="宋体" w:hAnsi="宋体"/>
          <w:szCs w:val="22"/>
        </w:rPr>
        <w:t xml:space="preserve">3.2 </w:t>
      </w:r>
      <w:r>
        <w:rPr>
          <w:rFonts w:hint="eastAsia" w:cs="宋体"/>
        </w:rPr>
        <w:t>企业管理费和利润：</w:t>
      </w:r>
      <w:r>
        <w:rPr>
          <w:rFonts w:hint="eastAsia"/>
          <w:lang w:val="en-US" w:eastAsia="zh-CN"/>
        </w:rPr>
        <w:t>依据沪建标定联〔2023〕120号、沪建标定联〔2023〕486号、上海市</w:t>
      </w:r>
      <w:r>
        <w:rPr>
          <w:rFonts w:hint="default"/>
          <w:lang w:val="en-US" w:eastAsia="zh-CN"/>
        </w:rPr>
        <w:t>建设工程工程量清单计价应用规则（2025版）规定），以分部分项工程费中的人工费为基数，乘以相应费率。企业管理费中不包含增值税可抵扣进项税额。企业管理费中已包括管理人员养老保险、管理人员医疗保险（含生育保险）、管理人员失业保险、管理人员工伤保险、管理人员住房公积金、城市维护建设税、教育费附加、地方教育附加和河道管理费等附加税</w:t>
      </w:r>
      <w:r>
        <w:rPr>
          <w:rFonts w:hint="eastAsia" w:cs="宋体"/>
        </w:rPr>
        <w:t>。</w:t>
      </w:r>
    </w:p>
    <w:p w14:paraId="584E10C8">
      <w:pPr>
        <w:spacing w:line="360" w:lineRule="auto"/>
        <w:ind w:firstLine="420" w:firstLineChars="200"/>
        <w:rPr>
          <w:rFonts w:hint="eastAsia"/>
        </w:rPr>
      </w:pPr>
      <w:r>
        <w:rPr>
          <w:rFonts w:hint="eastAsia" w:ascii="宋体" w:hAnsi="宋体"/>
          <w:szCs w:val="22"/>
        </w:rPr>
        <w:t>3.</w:t>
      </w:r>
      <w:r>
        <w:rPr>
          <w:rFonts w:hint="eastAsia" w:ascii="宋体" w:hAnsi="宋体"/>
          <w:szCs w:val="22"/>
          <w:lang w:val="en-US" w:eastAsia="zh-CN"/>
        </w:rPr>
        <w:t>3</w:t>
      </w:r>
      <w:r>
        <w:rPr>
          <w:rFonts w:hint="eastAsia"/>
        </w:rPr>
        <w:t>增值税：根据《关于调整上海市建设工程计价依据增值税税率等有关事项的通知》(沪建</w:t>
      </w:r>
    </w:p>
    <w:p w14:paraId="6FDF93D2">
      <w:pPr>
        <w:spacing w:line="360" w:lineRule="auto"/>
        <w:ind w:firstLine="420" w:firstLineChars="200"/>
        <w:rPr>
          <w:rFonts w:ascii="宋体" w:hAnsi="宋体" w:cs="宋体"/>
          <w:color w:val="000000"/>
          <w:szCs w:val="21"/>
        </w:rPr>
      </w:pPr>
      <w:r>
        <w:rPr>
          <w:rFonts w:hint="eastAsia"/>
        </w:rPr>
        <w:t>市管(2019)19号)执行</w:t>
      </w:r>
      <w:r>
        <w:rPr>
          <w:rFonts w:hint="eastAsia" w:ascii="宋体" w:hAnsi="宋体"/>
        </w:rPr>
        <w:t>。</w:t>
      </w:r>
    </w:p>
    <w:p w14:paraId="6A8F401A">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4A32EDA2">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80DA92F">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1E42A">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40811DCD">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3A63A7A9">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投标单位应根据招标文件、补充文件，投标单位编制的本工程施工组织设计、施工方案，工程现场的实际情况，投标单位的施工经验等竞争报价;措施项目费合计包含本项目需发生的所有措施费用，包括拆除（</w:t>
      </w:r>
      <w:r>
        <w:rPr>
          <w:rFonts w:hint="eastAsia" w:ascii="宋体" w:hAnsi="宋体"/>
          <w:lang w:val="en-US" w:eastAsia="zh-CN"/>
        </w:rPr>
        <w:t>利旧</w:t>
      </w:r>
      <w:r>
        <w:rPr>
          <w:rFonts w:hint="eastAsia" w:ascii="宋体" w:hAnsi="宋体"/>
          <w:lang w:eastAsia="zh-CN"/>
        </w:rPr>
        <w:t>）及垃圾清运费用(工程量清单列明的除外)，请投标单位结合工程量清单并踏勘现场后，根据现场实际情况报价，本项目结算时，该项费用闭口包干，不作调整</w:t>
      </w:r>
      <w:r>
        <w:rPr>
          <w:rFonts w:hint="eastAsia" w:ascii="宋体" w:hAnsi="宋体"/>
        </w:rPr>
        <w:t>。</w:t>
      </w:r>
    </w:p>
    <w:p w14:paraId="7822C99D">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F1F1D01">
      <w:pPr>
        <w:spacing w:line="360" w:lineRule="auto"/>
        <w:ind w:firstLine="420" w:firstLineChars="200"/>
        <w:rPr>
          <w:rFonts w:hint="eastAsia" w:ascii="宋体" w:hAnsi="宋体"/>
          <w:lang w:eastAsia="zh-CN"/>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ascii="宋体" w:hAnsi="宋体"/>
          <w:lang w:val="en-US" w:eastAsia="zh-CN"/>
        </w:rPr>
        <w:t xml:space="preserve">依据沪建标定联〔2023〕120号、沪建标定联〔2023〕486号、上海 </w:t>
      </w:r>
      <w:r>
        <w:rPr>
          <w:rFonts w:hint="default" w:ascii="宋体" w:hAnsi="宋体"/>
          <w:lang w:val="en-US" w:eastAsia="zh-CN"/>
        </w:rPr>
        <w:t>市建设工程工程量清单计价应用规则（2025版）规定），费用应包括环境保护、文明施工、临时 设施和安全施工共四项费用，以分部分项工程费中的人工费、材料费、施工机具（机械）使用费 、企业管理费、利润之和为基数乘以相应的费率计算费用</w:t>
      </w:r>
      <w:r>
        <w:rPr>
          <w:rFonts w:hint="eastAsia" w:ascii="宋体" w:hAnsi="宋体"/>
          <w:lang w:eastAsia="zh-CN"/>
        </w:rPr>
        <w:t>。</w:t>
      </w:r>
    </w:p>
    <w:p w14:paraId="1E2E6332">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2D348724">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CF0EDEA">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049D5DCE">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32C26195">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29F13186">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0A14349">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011E037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0F324D8C">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5D16A4DD">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0E1D6423">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09B26B6A">
      <w:pPr>
        <w:spacing w:line="360" w:lineRule="auto"/>
        <w:ind w:firstLine="640" w:firstLineChars="200"/>
        <w:rPr>
          <w:rFonts w:ascii="宋体" w:cs="宋体"/>
          <w:sz w:val="32"/>
          <w:szCs w:val="32"/>
        </w:rPr>
      </w:pPr>
    </w:p>
    <w:p w14:paraId="64AAE38E">
      <w:pPr>
        <w:pStyle w:val="3"/>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3"/>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w:t>
      </w:r>
      <w:r>
        <w:rPr>
          <w:rFonts w:hint="eastAsia" w:ascii="宋体" w:hAnsi="宋体"/>
          <w:sz w:val="32"/>
          <w:szCs w:val="32"/>
          <w:lang w:val="en-US" w:eastAsia="zh-CN"/>
        </w:rPr>
        <w:t xml:space="preserve">  </w:t>
      </w:r>
      <w:r>
        <w:rPr>
          <w:rFonts w:hint="eastAsia" w:ascii="宋体" w:hAnsi="宋体"/>
          <w:sz w:val="32"/>
          <w:szCs w:val="32"/>
        </w:rPr>
        <w:t>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3"/>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color w:val="auto"/>
          <w:szCs w:val="21"/>
        </w:rPr>
        <w:t>磋商评审小组由三人</w:t>
      </w:r>
      <w:r>
        <w:rPr>
          <w:rFonts w:hint="eastAsia" w:ascii="宋体" w:hAnsi="宋体" w:cs="宋体"/>
          <w:color w:val="auto"/>
          <w:szCs w:val="21"/>
          <w:lang w:val="en-US" w:eastAsia="zh-CN"/>
        </w:rPr>
        <w:t>及三人以上单数人数</w:t>
      </w:r>
      <w:r>
        <w:rPr>
          <w:rFonts w:hint="eastAsia" w:ascii="宋体" w:hAnsi="宋体" w:cs="宋体"/>
          <w:color w:val="auto"/>
          <w:szCs w:val="21"/>
        </w:rPr>
        <w:t>组成，其中</w:t>
      </w:r>
      <w:r>
        <w:rPr>
          <w:rFonts w:ascii="宋体" w:hAnsi="宋体" w:cs="宋体"/>
          <w:color w:val="auto"/>
          <w:szCs w:val="21"/>
        </w:rPr>
        <w:t>1</w:t>
      </w:r>
      <w:r>
        <w:rPr>
          <w:rFonts w:hint="eastAsia" w:ascii="宋体" w:hAnsi="宋体" w:cs="宋体"/>
          <w:color w:val="auto"/>
          <w:szCs w:val="21"/>
        </w:rPr>
        <w:t>名采购单位代表（如有），</w:t>
      </w:r>
      <w:r>
        <w:rPr>
          <w:rFonts w:hint="eastAsia" w:ascii="宋体" w:hAnsi="宋体" w:cs="宋体"/>
          <w:color w:val="auto"/>
          <w:szCs w:val="21"/>
          <w:lang w:val="en-US" w:eastAsia="zh-CN"/>
        </w:rPr>
        <w:t>其余专家</w:t>
      </w:r>
      <w:r>
        <w:rPr>
          <w:rFonts w:hint="eastAsia" w:ascii="宋体" w:hAnsi="宋体" w:cs="宋体"/>
          <w:color w:val="auto"/>
          <w:szCs w:val="21"/>
        </w:rPr>
        <w:t>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36CC1CA1">
      <w:pPr>
        <w:spacing w:line="360" w:lineRule="auto"/>
        <w:ind w:firstLine="420" w:firstLineChars="200"/>
        <w:rPr>
          <w:rFonts w:hint="eastAsia" w:ascii="宋体" w:hAnsi="宋体" w:cs="宋体"/>
          <w:szCs w:val="21"/>
        </w:rPr>
      </w:pPr>
      <w:r>
        <w:rPr>
          <w:rFonts w:hint="eastAsia" w:ascii="宋体" w:hAnsi="宋体" w:cs="宋体"/>
          <w:szCs w:val="21"/>
        </w:rPr>
        <w:t>按总得分从高到低排序，推荐前三名作为中标候选人，确定排名第一的为中标单位。</w:t>
      </w:r>
      <w:r>
        <w:rPr>
          <w:rFonts w:hint="eastAsia" w:ascii="宋体" w:hAnsi="宋体" w:cs="宋体"/>
          <w:szCs w:val="21"/>
          <w:lang w:val="en-US" w:eastAsia="zh-CN"/>
        </w:rPr>
        <w:t>如中标单位因某种原因放弃合同签定，则排名第二的为中标单位。</w:t>
      </w:r>
    </w:p>
    <w:p w14:paraId="7068AA8F">
      <w:pPr>
        <w:spacing w:line="360" w:lineRule="auto"/>
        <w:ind w:firstLine="420" w:firstLineChars="200"/>
        <w:rPr>
          <w:rFonts w:hint="eastAsia" w:ascii="宋体" w:hAnsi="宋体" w:cs="宋体"/>
          <w:szCs w:val="21"/>
        </w:rPr>
      </w:pPr>
    </w:p>
    <w:p w14:paraId="375102B2">
      <w:pPr>
        <w:spacing w:line="360" w:lineRule="auto"/>
        <w:ind w:firstLine="420" w:firstLineChars="200"/>
        <w:rPr>
          <w:rFonts w:hint="eastAsia" w:ascii="宋体" w:hAnsi="宋体" w:cs="宋体"/>
          <w:szCs w:val="21"/>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6BF1C5EB">
      <w:pPr>
        <w:pStyle w:val="24"/>
        <w:widowControl/>
        <w:adjustRightInd w:val="0"/>
        <w:snapToGrid w:val="0"/>
        <w:spacing w:beforeLines="0" w:afterLines="0"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异常低价审查</w:t>
      </w:r>
    </w:p>
    <w:p w14:paraId="647F7085">
      <w:pPr>
        <w:pStyle w:val="24"/>
        <w:widowControl/>
        <w:adjustRightInd w:val="0"/>
        <w:snapToGrid w:val="0"/>
        <w:spacing w:beforeLines="0" w:afterLines="0"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评审中出现下列情形之一的，评审委员会应当启动异常低价投标（响应）审查程序：</w:t>
      </w:r>
    </w:p>
    <w:p w14:paraId="4660D55E">
      <w:pPr>
        <w:pStyle w:val="24"/>
        <w:widowControl/>
        <w:adjustRightInd w:val="0"/>
        <w:snapToGrid w:val="0"/>
        <w:spacing w:beforeLines="0" w:afterLines="0"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（1）投标（响应）报价低于全部通过符合性审查供应商投标（响应）报价平均值50%的，即投标（响应）报价&lt;全部通过符合性审查供应商投标（响应）报价平均值×50%；</w:t>
      </w:r>
    </w:p>
    <w:p w14:paraId="57C0FECA">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（2）投标（响应）报价低于通过符合性审查的次低报价供应商投标（响应）报价50%的，即投标（响应）报价&lt;通过符合性审查的次低报价供应商投标（响应）报价×50%；</w:t>
      </w:r>
    </w:p>
    <w:p w14:paraId="05D555EA">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（3）投标（响应）报价低于采购项目最高限价45%的，即投标（响应）报价&lt;采购项目最高限价×45%；</w:t>
      </w:r>
    </w:p>
    <w:p w14:paraId="46FA33E9">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（4）评审委员会基于专业判断，认为供应商报价过低，有可能影响产品质量或者不能诚信履约的其他情形。</w:t>
      </w:r>
    </w:p>
    <w:p w14:paraId="3C01D3C4">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w:t>
      </w:r>
    </w:p>
    <w:p w14:paraId="635CF1EC">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1）相关法律法规对供应商报价有规定的，从其规定。</w:t>
      </w:r>
    </w:p>
    <w:p w14:paraId="67413F8A">
      <w:pPr>
        <w:spacing w:line="360" w:lineRule="auto"/>
        <w:ind w:left="96"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3ECDD8">
      <w:pPr>
        <w:spacing w:line="360" w:lineRule="auto"/>
        <w:ind w:right="-261" w:firstLine="420" w:firstLineChars="200"/>
        <w:rPr>
          <w:rFonts w:ascii="宋体" w:hAnsi="宋体"/>
          <w:b/>
          <w:sz w:val="24"/>
          <w:szCs w:val="24"/>
        </w:rPr>
      </w:pPr>
      <w:r>
        <w:rPr>
          <w:rFonts w:hint="eastAsia" w:ascii="宋体" w:hAnsi="宋体" w:eastAsia="宋体" w:cs="宋体"/>
          <w:kern w:val="2"/>
          <w:sz w:val="21"/>
          <w:szCs w:val="21"/>
          <w:lang w:val="en-US" w:eastAsia="zh-CN" w:bidi="ar-SA"/>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08341E1">
      <w:pPr>
        <w:spacing w:line="360" w:lineRule="auto"/>
        <w:ind w:right="-261" w:firstLine="482" w:firstLineChars="200"/>
        <w:rPr>
          <w:rFonts w:ascii="宋体" w:hAnsi="宋体"/>
          <w:b/>
          <w:sz w:val="24"/>
          <w:szCs w:val="24"/>
        </w:rPr>
      </w:pP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31"/>
        <w:gridCol w:w="6123"/>
        <w:gridCol w:w="907"/>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vAlign w:val="center"/>
          </w:tcPr>
          <w:p w14:paraId="24E1AB02">
            <w:pPr>
              <w:adjustRightInd w:val="0"/>
              <w:jc w:val="center"/>
              <w:rPr>
                <w:rFonts w:ascii="宋体"/>
                <w:bCs/>
                <w:color w:val="auto"/>
                <w:szCs w:val="21"/>
              </w:rPr>
            </w:pPr>
            <w:r>
              <w:rPr>
                <w:rFonts w:hint="eastAsia" w:ascii="宋体" w:hAnsi="宋体"/>
                <w:bCs/>
                <w:color w:val="auto"/>
                <w:szCs w:val="21"/>
              </w:rPr>
              <w:t>序号</w:t>
            </w:r>
          </w:p>
        </w:tc>
        <w:tc>
          <w:tcPr>
            <w:tcW w:w="1531" w:type="dxa"/>
            <w:vAlign w:val="center"/>
          </w:tcPr>
          <w:p w14:paraId="41FFC7CA">
            <w:pPr>
              <w:adjustRightInd w:val="0"/>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评审因素</w:t>
            </w:r>
          </w:p>
        </w:tc>
        <w:tc>
          <w:tcPr>
            <w:tcW w:w="6123" w:type="dxa"/>
            <w:vAlign w:val="center"/>
          </w:tcPr>
          <w:p w14:paraId="2F0093B1">
            <w:pPr>
              <w:adjustRightInd w:val="0"/>
              <w:jc w:val="center"/>
              <w:rPr>
                <w:rFonts w:hint="eastAsia" w:ascii="宋体" w:eastAsia="宋体"/>
                <w:bCs/>
                <w:color w:val="auto"/>
                <w:szCs w:val="21"/>
                <w:lang w:val="en-US" w:eastAsia="zh-CN"/>
              </w:rPr>
            </w:pPr>
            <w:r>
              <w:rPr>
                <w:rFonts w:hint="eastAsia" w:ascii="宋体" w:hAnsi="宋体"/>
                <w:bCs/>
                <w:color w:val="auto"/>
                <w:szCs w:val="21"/>
              </w:rPr>
              <w:t>评审</w:t>
            </w:r>
            <w:r>
              <w:rPr>
                <w:rFonts w:hint="eastAsia" w:ascii="宋体" w:hAnsi="宋体"/>
                <w:bCs/>
                <w:color w:val="auto"/>
                <w:szCs w:val="21"/>
                <w:lang w:val="en-US" w:eastAsia="zh-CN"/>
              </w:rPr>
              <w:t>说明</w:t>
            </w:r>
          </w:p>
        </w:tc>
        <w:tc>
          <w:tcPr>
            <w:tcW w:w="907" w:type="dxa"/>
            <w:vAlign w:val="center"/>
          </w:tcPr>
          <w:p w14:paraId="11911728">
            <w:pPr>
              <w:adjustRightInd w:val="0"/>
              <w:jc w:val="center"/>
              <w:rPr>
                <w:rFonts w:ascii="宋体"/>
                <w:bCs/>
                <w:color w:val="auto"/>
                <w:szCs w:val="21"/>
              </w:rPr>
            </w:pPr>
            <w:r>
              <w:rPr>
                <w:rFonts w:hint="eastAsia" w:ascii="宋体" w:hAnsi="宋体"/>
                <w:bCs/>
                <w:color w:val="auto"/>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80" w:type="dxa"/>
            <w:vAlign w:val="center"/>
          </w:tcPr>
          <w:p w14:paraId="24FA0B5F">
            <w:pPr>
              <w:adjustRightInd w:val="0"/>
              <w:jc w:val="center"/>
              <w:rPr>
                <w:rFonts w:ascii="宋体"/>
                <w:bCs/>
                <w:color w:val="auto"/>
                <w:szCs w:val="21"/>
              </w:rPr>
            </w:pPr>
            <w:r>
              <w:rPr>
                <w:rFonts w:ascii="宋体" w:hAnsi="宋体"/>
                <w:bCs/>
                <w:color w:val="auto"/>
                <w:szCs w:val="21"/>
              </w:rPr>
              <w:t>1</w:t>
            </w:r>
          </w:p>
        </w:tc>
        <w:tc>
          <w:tcPr>
            <w:tcW w:w="1531" w:type="dxa"/>
            <w:vAlign w:val="center"/>
          </w:tcPr>
          <w:p w14:paraId="72A56D37">
            <w:pPr>
              <w:adjustRightInd w:val="0"/>
              <w:jc w:val="center"/>
              <w:rPr>
                <w:rFonts w:ascii="宋体" w:hAnsi="宋体"/>
                <w:bCs/>
                <w:color w:val="auto"/>
                <w:szCs w:val="21"/>
              </w:rPr>
            </w:pPr>
            <w:r>
              <w:rPr>
                <w:rFonts w:hint="eastAsia" w:ascii="宋体" w:hAnsi="宋体"/>
                <w:color w:val="auto"/>
              </w:rPr>
              <w:t>项目重点难点分析</w:t>
            </w:r>
          </w:p>
        </w:tc>
        <w:tc>
          <w:tcPr>
            <w:tcW w:w="6123" w:type="dxa"/>
            <w:vAlign w:val="center"/>
          </w:tcPr>
          <w:p w14:paraId="3456AD73">
            <w:pPr>
              <w:adjustRightInd w:val="0"/>
              <w:rPr>
                <w:rFonts w:hint="default" w:ascii="宋体" w:hAnsi="宋体"/>
                <w:color w:val="auto"/>
                <w:lang w:val="en-US" w:eastAsia="zh-CN"/>
              </w:rPr>
            </w:pPr>
            <w:r>
              <w:rPr>
                <w:rFonts w:hint="eastAsia" w:ascii="宋体" w:hAnsi="宋体"/>
                <w:color w:val="auto"/>
                <w:lang w:val="en-US" w:eastAsia="zh-CN"/>
              </w:rPr>
              <w:t>包括</w:t>
            </w:r>
            <w:r>
              <w:rPr>
                <w:rFonts w:hint="eastAsia" w:ascii="宋体" w:hAnsi="宋体"/>
                <w:color w:val="auto"/>
              </w:rPr>
              <w:t>项目重点难点分析是否正确，应对措施是否正确、有效、有针对性</w:t>
            </w:r>
            <w:r>
              <w:rPr>
                <w:rFonts w:hint="eastAsia" w:ascii="宋体" w:hAnsi="宋体"/>
                <w:color w:val="auto"/>
                <w:lang w:val="en-US" w:eastAsia="zh-CN"/>
              </w:rPr>
              <w:t>等，进行综合评分：</w:t>
            </w:r>
          </w:p>
          <w:p w14:paraId="04A410C1">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r>
              <w:rPr>
                <w:rFonts w:hint="eastAsia" w:ascii="宋体" w:hAnsi="宋体" w:cs="宋体"/>
                <w:color w:val="auto"/>
                <w:kern w:val="0"/>
                <w:sz w:val="21"/>
                <w:szCs w:val="21"/>
                <w:lang w:val="en-US" w:eastAsia="zh-CN" w:bidi="ar"/>
              </w:rPr>
              <w:t>项目</w:t>
            </w:r>
            <w:r>
              <w:rPr>
                <w:rFonts w:hint="eastAsia" w:ascii="宋体" w:hAnsi="宋体" w:eastAsia="宋体" w:cs="宋体"/>
                <w:color w:val="auto"/>
                <w:kern w:val="0"/>
                <w:sz w:val="21"/>
                <w:szCs w:val="21"/>
                <w:lang w:val="en-US" w:eastAsia="zh-CN" w:bidi="ar"/>
              </w:rPr>
              <w:t>整体理解充分，重难点分析透彻的</w:t>
            </w:r>
            <w:r>
              <w:rPr>
                <w:rFonts w:hint="eastAsia" w:ascii="宋体" w:hAnsi="宋体" w:cs="宋体"/>
                <w:color w:val="auto"/>
                <w:kern w:val="0"/>
                <w:sz w:val="21"/>
                <w:szCs w:val="21"/>
                <w:lang w:val="en-US" w:eastAsia="zh-CN" w:bidi="ar"/>
              </w:rPr>
              <w:t>得11-</w:t>
            </w:r>
            <w:r>
              <w:rPr>
                <w:rFonts w:hint="eastAsia" w:ascii="宋体" w:hAnsi="宋体" w:eastAsia="宋体" w:cs="宋体"/>
                <w:color w:val="auto"/>
                <w:kern w:val="0"/>
                <w:sz w:val="21"/>
                <w:szCs w:val="21"/>
                <w:lang w:val="en-US" w:eastAsia="zh-CN" w:bidi="ar"/>
              </w:rPr>
              <w:t>15分</w:t>
            </w:r>
          </w:p>
          <w:p w14:paraId="4BF40553">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项目</w:t>
            </w:r>
            <w:r>
              <w:rPr>
                <w:rFonts w:hint="eastAsia" w:ascii="宋体" w:hAnsi="宋体" w:eastAsia="宋体" w:cs="宋体"/>
                <w:color w:val="auto"/>
                <w:kern w:val="0"/>
                <w:sz w:val="21"/>
                <w:szCs w:val="21"/>
                <w:lang w:val="en-US" w:eastAsia="zh-CN" w:bidi="ar"/>
              </w:rPr>
              <w:t>整体理解一般，重难点分析一般的</w:t>
            </w:r>
            <w:r>
              <w:rPr>
                <w:rFonts w:hint="eastAsia" w:ascii="宋体" w:hAnsi="宋体" w:cs="宋体"/>
                <w:color w:val="auto"/>
                <w:kern w:val="0"/>
                <w:sz w:val="21"/>
                <w:szCs w:val="21"/>
                <w:lang w:val="en-US" w:eastAsia="zh-CN" w:bidi="ar"/>
              </w:rPr>
              <w:t>得5-10</w:t>
            </w:r>
            <w:r>
              <w:rPr>
                <w:rFonts w:hint="eastAsia" w:ascii="宋体" w:hAnsi="宋体" w:eastAsia="宋体" w:cs="宋体"/>
                <w:color w:val="auto"/>
                <w:kern w:val="0"/>
                <w:sz w:val="21"/>
                <w:szCs w:val="21"/>
                <w:lang w:val="en-US" w:eastAsia="zh-CN" w:bidi="ar"/>
              </w:rPr>
              <w:t>分</w:t>
            </w:r>
          </w:p>
          <w:p w14:paraId="3DF89FF1">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项目</w:t>
            </w:r>
            <w:r>
              <w:rPr>
                <w:rFonts w:hint="eastAsia" w:ascii="宋体" w:hAnsi="宋体" w:eastAsia="宋体" w:cs="宋体"/>
                <w:color w:val="auto"/>
                <w:kern w:val="0"/>
                <w:sz w:val="21"/>
                <w:szCs w:val="21"/>
                <w:lang w:val="en-US" w:eastAsia="zh-CN" w:bidi="ar"/>
              </w:rPr>
              <w:t>整体理解较差，重难点分析较差的</w:t>
            </w:r>
            <w:r>
              <w:rPr>
                <w:rFonts w:hint="eastAsia" w:ascii="宋体" w:hAnsi="宋体" w:cs="宋体"/>
                <w:color w:val="auto"/>
                <w:kern w:val="0"/>
                <w:sz w:val="21"/>
                <w:szCs w:val="21"/>
                <w:lang w:val="en-US" w:eastAsia="zh-CN" w:bidi="ar"/>
              </w:rPr>
              <w:t>得1-4</w:t>
            </w:r>
            <w:r>
              <w:rPr>
                <w:rFonts w:hint="eastAsia" w:ascii="宋体" w:hAnsi="宋体" w:eastAsia="宋体" w:cs="宋体"/>
                <w:color w:val="auto"/>
                <w:kern w:val="0"/>
                <w:sz w:val="21"/>
                <w:szCs w:val="21"/>
                <w:lang w:val="en-US" w:eastAsia="zh-CN" w:bidi="ar"/>
              </w:rPr>
              <w:t>分</w:t>
            </w:r>
          </w:p>
          <w:p w14:paraId="0C897B14">
            <w:pPr>
              <w:pStyle w:val="2"/>
              <w:ind w:left="0" w:leftChars="0" w:firstLine="0" w:firstLineChars="0"/>
              <w:rPr>
                <w:rFonts w:hint="eastAsia"/>
                <w:lang w:val="en-US" w:eastAsia="zh-CN"/>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0910F1D9">
            <w:pPr>
              <w:adjustRightInd w:val="0"/>
              <w:jc w:val="center"/>
              <w:rPr>
                <w:rFonts w:ascii="宋体"/>
                <w:bCs/>
                <w:color w:val="auto"/>
                <w:szCs w:val="21"/>
              </w:rPr>
            </w:pPr>
            <w:r>
              <w:rPr>
                <w:rFonts w:hint="eastAsia" w:ascii="宋体" w:hAnsi="宋体"/>
                <w:bCs/>
                <w:color w:val="auto"/>
                <w:szCs w:val="21"/>
                <w:lang w:val="en-US" w:eastAsia="zh-CN"/>
              </w:rPr>
              <w:t>0</w:t>
            </w:r>
            <w:r>
              <w:rPr>
                <w:rFonts w:ascii="宋体" w:hAnsi="宋体"/>
                <w:bCs/>
                <w:color w:val="auto"/>
                <w:szCs w:val="21"/>
              </w:rPr>
              <w:t>-</w:t>
            </w:r>
            <w:r>
              <w:rPr>
                <w:rFonts w:hint="eastAsia" w:ascii="宋体" w:hAnsi="宋体"/>
                <w:bCs/>
                <w:color w:val="auto"/>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80" w:type="dxa"/>
            <w:vAlign w:val="center"/>
          </w:tcPr>
          <w:p w14:paraId="30BC7B63">
            <w:pPr>
              <w:adjustRightInd w:val="0"/>
              <w:jc w:val="center"/>
              <w:rPr>
                <w:rFonts w:ascii="宋体"/>
                <w:bCs/>
                <w:color w:val="auto"/>
                <w:szCs w:val="21"/>
              </w:rPr>
            </w:pPr>
            <w:r>
              <w:rPr>
                <w:rFonts w:ascii="宋体" w:hAnsi="宋体"/>
                <w:bCs/>
                <w:color w:val="auto"/>
                <w:szCs w:val="21"/>
              </w:rPr>
              <w:t>2</w:t>
            </w:r>
          </w:p>
        </w:tc>
        <w:tc>
          <w:tcPr>
            <w:tcW w:w="1531" w:type="dxa"/>
            <w:vAlign w:val="center"/>
          </w:tcPr>
          <w:p w14:paraId="13C227AA">
            <w:pPr>
              <w:adjustRightInd w:val="0"/>
              <w:jc w:val="center"/>
              <w:rPr>
                <w:rFonts w:hint="eastAsia" w:ascii="宋体" w:hAnsi="宋体"/>
                <w:bCs/>
                <w:color w:val="auto"/>
                <w:szCs w:val="21"/>
              </w:rPr>
            </w:pPr>
            <w:r>
              <w:rPr>
                <w:rFonts w:hint="eastAsia" w:ascii="宋体" w:hAnsi="宋体"/>
                <w:bCs/>
                <w:color w:val="auto"/>
                <w:szCs w:val="21"/>
              </w:rPr>
              <w:t>施工方案与技</w:t>
            </w:r>
          </w:p>
          <w:p w14:paraId="61E3F100">
            <w:pPr>
              <w:adjustRightInd w:val="0"/>
              <w:jc w:val="center"/>
              <w:rPr>
                <w:rFonts w:ascii="宋体" w:hAnsi="宋体"/>
                <w:bCs/>
                <w:color w:val="auto"/>
                <w:szCs w:val="21"/>
              </w:rPr>
            </w:pPr>
            <w:r>
              <w:rPr>
                <w:rFonts w:hint="eastAsia" w:ascii="宋体" w:hAnsi="宋体"/>
                <w:bCs/>
                <w:color w:val="auto"/>
                <w:szCs w:val="21"/>
              </w:rPr>
              <w:t>术措施</w:t>
            </w:r>
          </w:p>
        </w:tc>
        <w:tc>
          <w:tcPr>
            <w:tcW w:w="6123" w:type="dxa"/>
            <w:vAlign w:val="center"/>
          </w:tcPr>
          <w:p w14:paraId="3CC8ACE8">
            <w:pPr>
              <w:adjustRightInd w:val="0"/>
              <w:rPr>
                <w:rFonts w:hint="eastAsia" w:ascii="宋体" w:hAnsi="宋体"/>
                <w:color w:val="auto"/>
              </w:rPr>
            </w:pPr>
            <w:r>
              <w:rPr>
                <w:rFonts w:hint="eastAsia" w:ascii="宋体" w:hAnsi="宋体"/>
                <w:color w:val="auto"/>
                <w:lang w:val="en-US" w:eastAsia="zh-CN"/>
              </w:rPr>
              <w:t xml:space="preserve">包括工程特点、重点与难点描述的准确性及相应针对性措施；对项目特点、难点及重点的分析是否透彻；是否能提供有效的技术建议，进行综合评分： </w:t>
            </w:r>
          </w:p>
          <w:p w14:paraId="7FF8F415">
            <w:pPr>
              <w:adjustRightInd w:val="0"/>
              <w:rPr>
                <w:rFonts w:hint="eastAsia" w:ascii="宋体" w:hAnsi="宋体"/>
                <w:color w:val="auto"/>
              </w:rPr>
            </w:pPr>
            <w:r>
              <w:rPr>
                <w:rFonts w:hint="eastAsia" w:ascii="宋体" w:hAnsi="宋体"/>
                <w:color w:val="auto"/>
                <w:lang w:val="en-US" w:eastAsia="zh-CN"/>
              </w:rPr>
              <w:t xml:space="preserve">1）对工程特点、重点与难点描述的准确、针对性强、分析透彻，提供的技术建议有针对性的得 8-11 分； </w:t>
            </w:r>
          </w:p>
          <w:p w14:paraId="4365E7C4">
            <w:pPr>
              <w:adjustRightInd w:val="0"/>
              <w:rPr>
                <w:rFonts w:hint="eastAsia" w:ascii="宋体" w:hAnsi="宋体"/>
                <w:color w:val="auto"/>
              </w:rPr>
            </w:pPr>
            <w:r>
              <w:rPr>
                <w:rFonts w:hint="eastAsia" w:ascii="宋体" w:hAnsi="宋体"/>
                <w:color w:val="auto"/>
                <w:lang w:val="en-US" w:eastAsia="zh-CN"/>
              </w:rPr>
              <w:t xml:space="preserve">2）对工程特点、重点与难点描述的准确、针对性较强、分析较透彻，提供的技术建议针对性较强的得 4-7 分； </w:t>
            </w:r>
          </w:p>
          <w:p w14:paraId="40062557">
            <w:pPr>
              <w:adjustRightInd w:val="0"/>
              <w:rPr>
                <w:rFonts w:hint="eastAsia" w:ascii="宋体" w:hAnsi="宋体"/>
                <w:color w:val="auto"/>
                <w:lang w:val="en-US" w:eastAsia="zh-CN"/>
              </w:rPr>
            </w:pPr>
            <w:r>
              <w:rPr>
                <w:rFonts w:hint="eastAsia" w:ascii="宋体" w:hAnsi="宋体"/>
                <w:color w:val="auto"/>
                <w:lang w:val="en-US" w:eastAsia="zh-CN"/>
              </w:rPr>
              <w:t>3）对工程特点、重点与难点描述的无针对性、提供的技术建议针对性的较差的得1-3 分。</w:t>
            </w:r>
          </w:p>
          <w:p w14:paraId="119109A8">
            <w:pPr>
              <w:pStyle w:val="2"/>
              <w:ind w:left="0" w:leftChars="0" w:firstLine="0" w:firstLineChars="0"/>
              <w:rPr>
                <w:rFonts w:hint="eastAsia"/>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0874C9AD">
            <w:pPr>
              <w:adjustRightInd w:val="0"/>
              <w:jc w:val="center"/>
              <w:rPr>
                <w:rFonts w:ascii="宋体"/>
                <w:bCs/>
                <w:color w:val="auto"/>
                <w:szCs w:val="21"/>
              </w:rPr>
            </w:pPr>
            <w:r>
              <w:rPr>
                <w:rFonts w:hint="eastAsia" w:ascii="宋体" w:hAnsi="宋体"/>
                <w:bCs/>
                <w:color w:val="auto"/>
                <w:szCs w:val="21"/>
                <w:lang w:val="en-US" w:eastAsia="zh-CN"/>
              </w:rPr>
              <w:t>0-11</w:t>
            </w:r>
            <w:r>
              <w:rPr>
                <w:rFonts w:hint="eastAsia" w:ascii="宋体" w:hAnsi="宋体"/>
                <w:bCs/>
                <w:color w:val="auto"/>
                <w:szCs w:val="21"/>
              </w:rPr>
              <w:t>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80" w:type="dxa"/>
            <w:vAlign w:val="center"/>
          </w:tcPr>
          <w:p w14:paraId="283AF8CC">
            <w:pPr>
              <w:adjustRightInd w:val="0"/>
              <w:jc w:val="center"/>
              <w:rPr>
                <w:rFonts w:ascii="宋体"/>
                <w:bCs/>
                <w:color w:val="auto"/>
                <w:szCs w:val="21"/>
              </w:rPr>
            </w:pPr>
            <w:r>
              <w:rPr>
                <w:rFonts w:ascii="宋体" w:hAnsi="宋体"/>
                <w:bCs/>
                <w:color w:val="auto"/>
                <w:szCs w:val="21"/>
              </w:rPr>
              <w:t>3</w:t>
            </w:r>
          </w:p>
        </w:tc>
        <w:tc>
          <w:tcPr>
            <w:tcW w:w="1531" w:type="dxa"/>
            <w:vAlign w:val="center"/>
          </w:tcPr>
          <w:p w14:paraId="5A622A27">
            <w:pPr>
              <w:adjustRightInd w:val="0"/>
              <w:jc w:val="center"/>
              <w:rPr>
                <w:rFonts w:hint="eastAsia" w:ascii="宋体" w:hAnsi="宋体"/>
                <w:bCs/>
                <w:color w:val="auto"/>
                <w:szCs w:val="21"/>
              </w:rPr>
            </w:pPr>
            <w:r>
              <w:rPr>
                <w:rFonts w:hint="eastAsia" w:ascii="宋体" w:hAnsi="宋体"/>
                <w:bCs/>
                <w:color w:val="auto"/>
                <w:szCs w:val="21"/>
              </w:rPr>
              <w:t>施工总平面布</w:t>
            </w:r>
          </w:p>
          <w:p w14:paraId="71AD276B">
            <w:pPr>
              <w:adjustRightInd w:val="0"/>
              <w:jc w:val="center"/>
              <w:rPr>
                <w:rFonts w:ascii="宋体" w:hAnsi="宋体"/>
                <w:bCs/>
                <w:color w:val="auto"/>
                <w:szCs w:val="21"/>
              </w:rPr>
            </w:pPr>
            <w:r>
              <w:rPr>
                <w:rFonts w:hint="eastAsia" w:ascii="宋体" w:hAnsi="宋体"/>
                <w:bCs/>
                <w:color w:val="auto"/>
                <w:szCs w:val="21"/>
              </w:rPr>
              <w:t>置规划</w:t>
            </w:r>
          </w:p>
        </w:tc>
        <w:tc>
          <w:tcPr>
            <w:tcW w:w="6123" w:type="dxa"/>
            <w:vAlign w:val="center"/>
          </w:tcPr>
          <w:p w14:paraId="35D6EEFC">
            <w:pPr>
              <w:adjustRightInd w:val="0"/>
              <w:rPr>
                <w:rFonts w:hint="eastAsia" w:ascii="宋体"/>
                <w:bCs/>
                <w:color w:val="auto"/>
                <w:szCs w:val="21"/>
              </w:rPr>
            </w:pPr>
            <w:r>
              <w:rPr>
                <w:rFonts w:hint="eastAsia" w:ascii="宋体"/>
                <w:bCs/>
                <w:color w:val="auto"/>
                <w:szCs w:val="21"/>
              </w:rPr>
              <w:t>施工现场布置是否满足有利生产、方便生活、安全防火和环境保护等要求。</w:t>
            </w:r>
          </w:p>
          <w:p w14:paraId="531171E7">
            <w:pPr>
              <w:numPr>
                <w:ilvl w:val="0"/>
                <w:numId w:val="14"/>
              </w:numPr>
              <w:adjustRightInd w:val="0"/>
              <w:ind w:left="425" w:leftChars="0" w:hanging="425" w:firstLineChars="0"/>
              <w:rPr>
                <w:rFonts w:hint="eastAsia" w:ascii="宋体"/>
                <w:bCs/>
                <w:color w:val="auto"/>
                <w:szCs w:val="21"/>
              </w:rPr>
            </w:pPr>
            <w:r>
              <w:rPr>
                <w:rFonts w:hint="eastAsia" w:ascii="宋体"/>
                <w:bCs/>
                <w:color w:val="auto"/>
                <w:szCs w:val="21"/>
              </w:rPr>
              <w:t>施工现场布置</w:t>
            </w:r>
            <w:r>
              <w:rPr>
                <w:rFonts w:hint="eastAsia" w:ascii="宋体"/>
                <w:bCs/>
                <w:color w:val="auto"/>
                <w:szCs w:val="21"/>
                <w:lang w:eastAsia="zh-CN"/>
              </w:rPr>
              <w:t>规划完善合理</w:t>
            </w:r>
            <w:r>
              <w:rPr>
                <w:rFonts w:hint="eastAsia" w:ascii="宋体"/>
                <w:bCs/>
                <w:color w:val="auto"/>
                <w:szCs w:val="21"/>
              </w:rPr>
              <w:t>的得 5 分</w:t>
            </w:r>
          </w:p>
          <w:p w14:paraId="006F0EBE">
            <w:pPr>
              <w:numPr>
                <w:ilvl w:val="0"/>
                <w:numId w:val="14"/>
              </w:numPr>
              <w:adjustRightInd w:val="0"/>
              <w:ind w:left="425" w:leftChars="0" w:hanging="425" w:firstLineChars="0"/>
              <w:rPr>
                <w:rFonts w:hint="eastAsia" w:ascii="宋体"/>
                <w:bCs/>
                <w:color w:val="auto"/>
                <w:szCs w:val="21"/>
              </w:rPr>
            </w:pPr>
            <w:r>
              <w:rPr>
                <w:rFonts w:hint="eastAsia" w:ascii="宋体"/>
                <w:bCs/>
                <w:color w:val="auto"/>
                <w:szCs w:val="21"/>
              </w:rPr>
              <w:t>施工现场布置</w:t>
            </w:r>
            <w:r>
              <w:rPr>
                <w:rFonts w:hint="eastAsia" w:ascii="宋体"/>
                <w:bCs/>
                <w:color w:val="auto"/>
                <w:szCs w:val="21"/>
                <w:lang w:eastAsia="zh-CN"/>
              </w:rPr>
              <w:t>规划一般</w:t>
            </w:r>
            <w:r>
              <w:rPr>
                <w:rFonts w:hint="eastAsia" w:ascii="宋体"/>
                <w:bCs/>
                <w:color w:val="auto"/>
                <w:szCs w:val="21"/>
              </w:rPr>
              <w:t>的得3-4 分</w:t>
            </w:r>
          </w:p>
          <w:p w14:paraId="033EB395">
            <w:pPr>
              <w:numPr>
                <w:ilvl w:val="0"/>
                <w:numId w:val="14"/>
              </w:numPr>
              <w:adjustRightInd w:val="0"/>
              <w:ind w:left="425" w:leftChars="0" w:hanging="425" w:firstLineChars="0"/>
              <w:rPr>
                <w:rFonts w:hint="eastAsia" w:ascii="宋体"/>
                <w:bCs/>
                <w:color w:val="auto"/>
                <w:szCs w:val="21"/>
              </w:rPr>
            </w:pPr>
            <w:r>
              <w:rPr>
                <w:rFonts w:hint="eastAsia" w:ascii="宋体"/>
                <w:bCs/>
                <w:color w:val="auto"/>
                <w:szCs w:val="21"/>
              </w:rPr>
              <w:t>施工现场布置</w:t>
            </w:r>
            <w:r>
              <w:rPr>
                <w:rFonts w:hint="eastAsia" w:ascii="宋体"/>
                <w:bCs/>
                <w:color w:val="auto"/>
                <w:szCs w:val="21"/>
                <w:lang w:eastAsia="zh-CN"/>
              </w:rPr>
              <w:t>规划较差</w:t>
            </w:r>
            <w:r>
              <w:rPr>
                <w:rFonts w:hint="eastAsia" w:ascii="宋体"/>
                <w:bCs/>
                <w:color w:val="auto"/>
                <w:szCs w:val="21"/>
              </w:rPr>
              <w:t>的得 1-2 分。</w:t>
            </w:r>
          </w:p>
          <w:p w14:paraId="1CB1EEF0">
            <w:pPr>
              <w:numPr>
                <w:ilvl w:val="0"/>
                <w:numId w:val="14"/>
              </w:numPr>
              <w:adjustRightInd w:val="0"/>
              <w:ind w:left="425" w:leftChars="0" w:hanging="425" w:firstLineChars="0"/>
              <w:rPr>
                <w:rFonts w:ascii="宋体"/>
                <w:bCs/>
                <w:color w:val="auto"/>
                <w:szCs w:val="21"/>
              </w:rPr>
            </w:pPr>
            <w:r>
              <w:rPr>
                <w:rFonts w:hint="eastAsia" w:ascii="宋体"/>
                <w:bCs/>
                <w:color w:val="auto"/>
                <w:szCs w:val="21"/>
              </w:rPr>
              <w:t>无相关内容不得分。</w:t>
            </w:r>
          </w:p>
        </w:tc>
        <w:tc>
          <w:tcPr>
            <w:tcW w:w="907" w:type="dxa"/>
            <w:vAlign w:val="center"/>
          </w:tcPr>
          <w:p w14:paraId="671152BF">
            <w:pPr>
              <w:adjustRightInd w:val="0"/>
              <w:jc w:val="center"/>
              <w:rPr>
                <w:rFonts w:ascii="宋体"/>
                <w:bCs/>
                <w:color w:val="auto"/>
                <w:szCs w:val="21"/>
              </w:rPr>
            </w:pPr>
            <w:r>
              <w:rPr>
                <w:rFonts w:hint="eastAsia" w:ascii="宋体" w:hAnsi="宋体"/>
                <w:bCs/>
                <w:color w:val="auto"/>
                <w:szCs w:val="21"/>
                <w:lang w:val="en-US" w:eastAsia="zh-CN"/>
              </w:rPr>
              <w:t>0-5</w:t>
            </w:r>
            <w:r>
              <w:rPr>
                <w:rFonts w:hint="eastAsia" w:ascii="宋体" w:hAnsi="宋体"/>
                <w:bCs/>
                <w:color w:val="auto"/>
                <w:szCs w:val="21"/>
              </w:rPr>
              <w:t>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80" w:type="dxa"/>
            <w:vAlign w:val="center"/>
          </w:tcPr>
          <w:p w14:paraId="14245628">
            <w:pPr>
              <w:adjustRightInd w:val="0"/>
              <w:jc w:val="center"/>
              <w:rPr>
                <w:rFonts w:ascii="宋体"/>
                <w:bCs/>
                <w:color w:val="auto"/>
                <w:szCs w:val="21"/>
              </w:rPr>
            </w:pPr>
            <w:r>
              <w:rPr>
                <w:rFonts w:hint="eastAsia" w:ascii="宋体" w:hAnsi="宋体"/>
                <w:bCs/>
                <w:color w:val="auto"/>
                <w:szCs w:val="21"/>
              </w:rPr>
              <w:t>4</w:t>
            </w:r>
          </w:p>
        </w:tc>
        <w:tc>
          <w:tcPr>
            <w:tcW w:w="1531" w:type="dxa"/>
            <w:vAlign w:val="center"/>
          </w:tcPr>
          <w:p w14:paraId="3CAE560B">
            <w:pPr>
              <w:adjustRightInd w:val="0"/>
              <w:jc w:val="center"/>
              <w:rPr>
                <w:rFonts w:hint="eastAsia" w:ascii="宋体" w:hAnsi="宋体"/>
                <w:bCs/>
                <w:color w:val="auto"/>
                <w:szCs w:val="21"/>
              </w:rPr>
            </w:pPr>
            <w:r>
              <w:rPr>
                <w:rFonts w:hint="eastAsia" w:ascii="宋体" w:hAnsi="宋体"/>
                <w:bCs/>
                <w:color w:val="auto"/>
                <w:szCs w:val="21"/>
              </w:rPr>
              <w:t>施工总进度计</w:t>
            </w:r>
          </w:p>
          <w:p w14:paraId="2FA78CE5">
            <w:pPr>
              <w:adjustRightInd w:val="0"/>
              <w:jc w:val="center"/>
              <w:rPr>
                <w:rFonts w:hint="eastAsia" w:ascii="宋体" w:hAnsi="宋体"/>
                <w:bCs/>
                <w:color w:val="auto"/>
                <w:szCs w:val="21"/>
              </w:rPr>
            </w:pPr>
            <w:r>
              <w:rPr>
                <w:rFonts w:hint="eastAsia" w:ascii="宋体" w:hAnsi="宋体"/>
                <w:bCs/>
                <w:color w:val="auto"/>
                <w:szCs w:val="21"/>
              </w:rPr>
              <w:t>划及保证措施</w:t>
            </w:r>
          </w:p>
        </w:tc>
        <w:tc>
          <w:tcPr>
            <w:tcW w:w="6123" w:type="dxa"/>
            <w:vAlign w:val="center"/>
          </w:tcPr>
          <w:p w14:paraId="4A83822B">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hAnsi="Times New Roman"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根据供应商所编制的施工进度计划及保证措施的合理性、科学性</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可行性及满足响应文件要求的程度分别进行评分</w:t>
            </w:r>
            <w:r>
              <w:rPr>
                <w:rFonts w:hint="eastAsia" w:hAnsi="Times New Roman" w:cs="Times New Roman"/>
                <w:bCs/>
                <w:color w:val="auto"/>
                <w:kern w:val="2"/>
                <w:sz w:val="21"/>
                <w:szCs w:val="21"/>
                <w:lang w:val="en-US" w:eastAsia="zh-CN" w:bidi="ar-SA"/>
              </w:rPr>
              <w:t>：</w:t>
            </w:r>
          </w:p>
          <w:p w14:paraId="2063C411">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Times New Roman" w:eastAsia="宋体"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1</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所编制的施工进度计划及保证措施具有合理性、科学性、可行性，同时满足响应文件要求的得 6-8分；</w:t>
            </w:r>
          </w:p>
          <w:p w14:paraId="01E32088">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Times New Roman" w:eastAsia="宋体"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2</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所编制的施工进度计划及保证措施合理性、科学性、可行性一般，部分满足响应文件要求的得 3-5分；</w:t>
            </w:r>
          </w:p>
          <w:p w14:paraId="0513B7CD">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Times New Roman" w:eastAsia="宋体"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3</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所编制的施工进度计划及保证措施合理性、科学性、可行性无针对性，部分响应文件要求的得 1-2分。</w:t>
            </w:r>
          </w:p>
          <w:p w14:paraId="17A5F761">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Times New Roman" w:eastAsia="宋体" w:cs="Times New Roman"/>
                <w:bCs/>
                <w:color w:val="auto"/>
                <w:kern w:val="2"/>
                <w:sz w:val="21"/>
                <w:szCs w:val="21"/>
                <w:lang w:val="en-US" w:eastAsia="zh-CN" w:bidi="ar-SA"/>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3DDCB252">
            <w:pPr>
              <w:adjustRightInd w:val="0"/>
              <w:jc w:val="center"/>
              <w:rPr>
                <w:rFonts w:ascii="宋体"/>
                <w:bCs/>
                <w:color w:val="auto"/>
                <w:szCs w:val="21"/>
              </w:rPr>
            </w:pPr>
            <w:r>
              <w:rPr>
                <w:rFonts w:hint="eastAsia" w:ascii="宋体" w:hAnsi="宋体"/>
                <w:bCs/>
                <w:color w:val="auto"/>
                <w:szCs w:val="21"/>
                <w:lang w:val="en-US" w:eastAsia="zh-CN"/>
              </w:rPr>
              <w:t>0-8</w:t>
            </w:r>
            <w:r>
              <w:rPr>
                <w:rFonts w:hint="eastAsia" w:ascii="宋体" w:hAnsi="宋体"/>
                <w:bCs/>
                <w:color w:val="auto"/>
                <w:szCs w:val="21"/>
              </w:rPr>
              <w:t>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0" w:type="dxa"/>
            <w:vAlign w:val="center"/>
          </w:tcPr>
          <w:p w14:paraId="4FFE346C">
            <w:pPr>
              <w:adjustRightInd w:val="0"/>
              <w:jc w:val="center"/>
              <w:rPr>
                <w:rFonts w:ascii="宋体"/>
                <w:bCs/>
                <w:color w:val="auto"/>
                <w:szCs w:val="21"/>
              </w:rPr>
            </w:pPr>
            <w:r>
              <w:rPr>
                <w:rFonts w:hint="eastAsia" w:ascii="宋体" w:hAnsi="宋体"/>
                <w:bCs/>
                <w:color w:val="auto"/>
                <w:szCs w:val="21"/>
              </w:rPr>
              <w:t>5</w:t>
            </w:r>
          </w:p>
        </w:tc>
        <w:tc>
          <w:tcPr>
            <w:tcW w:w="1531" w:type="dxa"/>
            <w:vAlign w:val="center"/>
          </w:tcPr>
          <w:p w14:paraId="284C5D95">
            <w:pPr>
              <w:adjustRightInd w:val="0"/>
              <w:jc w:val="center"/>
              <w:rPr>
                <w:rFonts w:hint="eastAsia" w:ascii="宋体" w:hAnsi="宋体"/>
                <w:bCs/>
                <w:color w:val="auto"/>
                <w:szCs w:val="21"/>
              </w:rPr>
            </w:pPr>
            <w:r>
              <w:rPr>
                <w:rFonts w:hint="eastAsia" w:ascii="宋体" w:hAnsi="宋体"/>
                <w:bCs/>
                <w:color w:val="auto"/>
                <w:szCs w:val="21"/>
              </w:rPr>
              <w:t>资源配备计划</w:t>
            </w:r>
          </w:p>
        </w:tc>
        <w:tc>
          <w:tcPr>
            <w:tcW w:w="6123" w:type="dxa"/>
            <w:vAlign w:val="center"/>
          </w:tcPr>
          <w:p w14:paraId="212E9E22">
            <w:pPr>
              <w:pStyle w:val="40"/>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rPr>
            </w:pPr>
            <w:r>
              <w:rPr>
                <w:rFonts w:hint="eastAsia"/>
                <w:color w:val="auto"/>
                <w:kern w:val="2"/>
                <w:sz w:val="21"/>
                <w:szCs w:val="22"/>
              </w:rPr>
              <w:t>根据劳动力、主要设备、主要原材料计划表等</w:t>
            </w:r>
            <w:r>
              <w:rPr>
                <w:rFonts w:hint="eastAsia"/>
                <w:color w:val="auto"/>
                <w:kern w:val="2"/>
                <w:sz w:val="21"/>
                <w:szCs w:val="22"/>
                <w:lang w:val="en-US" w:eastAsia="zh-CN"/>
              </w:rPr>
              <w:t>进行</w:t>
            </w:r>
            <w:r>
              <w:rPr>
                <w:rFonts w:hint="eastAsia"/>
                <w:color w:val="auto"/>
                <w:kern w:val="2"/>
                <w:sz w:val="21"/>
                <w:szCs w:val="22"/>
              </w:rPr>
              <w:t>综合打分：</w:t>
            </w:r>
          </w:p>
          <w:p w14:paraId="09FC6180">
            <w:pPr>
              <w:pStyle w:val="40"/>
              <w:keepNext w:val="0"/>
              <w:keepLines w:val="0"/>
              <w:pageBreakBefore w:val="0"/>
              <w:widowControl/>
              <w:kinsoku/>
              <w:wordWrap/>
              <w:overflowPunct/>
              <w:topLinePunct w:val="0"/>
              <w:autoSpaceDE/>
              <w:autoSpaceDN/>
              <w:bidi w:val="0"/>
              <w:adjustRightInd/>
              <w:snapToGrid/>
              <w:spacing w:before="0" w:beforeAutospacing="0" w:after="0" w:afterAutospacing="0"/>
              <w:ind w:left="210" w:hanging="210" w:hangingChars="100"/>
              <w:textAlignment w:val="auto"/>
              <w:rPr>
                <w:rFonts w:hint="eastAsia"/>
                <w:color w:val="auto"/>
                <w:kern w:val="2"/>
                <w:sz w:val="21"/>
                <w:szCs w:val="22"/>
              </w:rPr>
            </w:pPr>
            <w:r>
              <w:rPr>
                <w:rFonts w:hint="eastAsia"/>
                <w:color w:val="auto"/>
                <w:kern w:val="2"/>
                <w:sz w:val="21"/>
                <w:szCs w:val="22"/>
              </w:rPr>
              <w:t>1</w:t>
            </w:r>
            <w:r>
              <w:rPr>
                <w:rFonts w:hint="eastAsia" w:hAnsi="Times New Roman" w:cs="Times New Roman"/>
                <w:bCs/>
                <w:color w:val="auto"/>
                <w:kern w:val="2"/>
                <w:sz w:val="21"/>
                <w:szCs w:val="21"/>
                <w:lang w:val="en-US" w:eastAsia="zh-CN" w:bidi="ar-SA"/>
              </w:rPr>
              <w:t>）</w:t>
            </w:r>
            <w:r>
              <w:rPr>
                <w:rFonts w:hint="eastAsia"/>
                <w:color w:val="auto"/>
                <w:kern w:val="2"/>
                <w:sz w:val="21"/>
                <w:szCs w:val="22"/>
              </w:rPr>
              <w:t>配备的劳动力、主要设备、主要原材料计划表有针对性</w:t>
            </w:r>
            <w:r>
              <w:rPr>
                <w:rFonts w:hint="eastAsia"/>
                <w:color w:val="auto"/>
                <w:kern w:val="2"/>
                <w:sz w:val="21"/>
                <w:szCs w:val="22"/>
                <w:lang w:val="en-US" w:eastAsia="zh-CN"/>
              </w:rPr>
              <w:t>的</w:t>
            </w:r>
            <w:r>
              <w:rPr>
                <w:rFonts w:hint="eastAsia"/>
                <w:color w:val="auto"/>
                <w:kern w:val="2"/>
                <w:sz w:val="21"/>
                <w:szCs w:val="22"/>
              </w:rPr>
              <w:t>得5-6 分；</w:t>
            </w:r>
          </w:p>
          <w:p w14:paraId="2F67BFD8">
            <w:pPr>
              <w:pStyle w:val="40"/>
              <w:keepNext w:val="0"/>
              <w:keepLines w:val="0"/>
              <w:pageBreakBefore w:val="0"/>
              <w:widowControl/>
              <w:kinsoku/>
              <w:wordWrap/>
              <w:overflowPunct/>
              <w:topLinePunct w:val="0"/>
              <w:autoSpaceDE/>
              <w:autoSpaceDN/>
              <w:bidi w:val="0"/>
              <w:adjustRightInd/>
              <w:snapToGrid/>
              <w:spacing w:before="0" w:beforeAutospacing="0" w:after="0" w:afterAutospacing="0"/>
              <w:ind w:left="210" w:hanging="210" w:hangingChars="100"/>
              <w:textAlignment w:val="auto"/>
              <w:rPr>
                <w:rFonts w:hint="eastAsia"/>
                <w:color w:val="auto"/>
                <w:kern w:val="2"/>
                <w:sz w:val="21"/>
                <w:szCs w:val="22"/>
              </w:rPr>
            </w:pPr>
            <w:r>
              <w:rPr>
                <w:rFonts w:hint="eastAsia"/>
                <w:color w:val="auto"/>
                <w:kern w:val="2"/>
                <w:sz w:val="21"/>
                <w:szCs w:val="22"/>
                <w:lang w:val="en-US" w:eastAsia="zh-CN"/>
              </w:rPr>
              <w:t>2</w:t>
            </w:r>
            <w:r>
              <w:rPr>
                <w:rFonts w:hint="eastAsia" w:hAnsi="Times New Roman" w:cs="Times New Roman"/>
                <w:bCs/>
                <w:color w:val="auto"/>
                <w:kern w:val="2"/>
                <w:sz w:val="21"/>
                <w:szCs w:val="21"/>
                <w:lang w:val="en-US" w:eastAsia="zh-CN" w:bidi="ar-SA"/>
              </w:rPr>
              <w:t>）</w:t>
            </w:r>
            <w:r>
              <w:rPr>
                <w:rFonts w:hint="eastAsia"/>
                <w:color w:val="auto"/>
                <w:kern w:val="2"/>
                <w:sz w:val="21"/>
                <w:szCs w:val="22"/>
              </w:rPr>
              <w:t>配备的劳动力、主要设备、主要原材料计划表针对性一般</w:t>
            </w:r>
            <w:r>
              <w:rPr>
                <w:rFonts w:hint="eastAsia"/>
                <w:color w:val="auto"/>
                <w:kern w:val="2"/>
                <w:sz w:val="21"/>
                <w:szCs w:val="22"/>
                <w:lang w:val="en-US" w:eastAsia="zh-CN"/>
              </w:rPr>
              <w:t>的</w:t>
            </w:r>
            <w:r>
              <w:rPr>
                <w:rFonts w:hint="eastAsia"/>
                <w:color w:val="auto"/>
                <w:kern w:val="2"/>
                <w:sz w:val="21"/>
                <w:szCs w:val="22"/>
              </w:rPr>
              <w:t>得3-4 分；</w:t>
            </w:r>
          </w:p>
          <w:p w14:paraId="692EFBF0">
            <w:pPr>
              <w:pStyle w:val="40"/>
              <w:keepNext w:val="0"/>
              <w:keepLines w:val="0"/>
              <w:pageBreakBefore w:val="0"/>
              <w:widowControl/>
              <w:kinsoku/>
              <w:wordWrap/>
              <w:overflowPunct/>
              <w:topLinePunct w:val="0"/>
              <w:autoSpaceDE/>
              <w:autoSpaceDN/>
              <w:bidi w:val="0"/>
              <w:adjustRightInd/>
              <w:snapToGrid/>
              <w:spacing w:before="0" w:beforeAutospacing="0" w:after="0" w:afterAutospacing="0"/>
              <w:ind w:left="210" w:hanging="210" w:hangingChars="100"/>
              <w:textAlignment w:val="auto"/>
              <w:rPr>
                <w:rFonts w:hint="eastAsia"/>
                <w:color w:val="auto"/>
                <w:kern w:val="2"/>
                <w:sz w:val="21"/>
                <w:szCs w:val="22"/>
              </w:rPr>
            </w:pPr>
            <w:r>
              <w:rPr>
                <w:rFonts w:hint="eastAsia"/>
                <w:color w:val="auto"/>
                <w:kern w:val="2"/>
                <w:sz w:val="21"/>
                <w:szCs w:val="22"/>
              </w:rPr>
              <w:t>3</w:t>
            </w:r>
            <w:r>
              <w:rPr>
                <w:rFonts w:hint="eastAsia"/>
                <w:color w:val="auto"/>
                <w:kern w:val="2"/>
                <w:sz w:val="21"/>
                <w:szCs w:val="22"/>
                <w:lang w:val="en-US" w:eastAsia="zh-CN"/>
              </w:rPr>
              <w:t>）</w:t>
            </w:r>
            <w:r>
              <w:rPr>
                <w:rFonts w:hint="eastAsia"/>
                <w:color w:val="auto"/>
                <w:kern w:val="2"/>
                <w:sz w:val="21"/>
                <w:szCs w:val="22"/>
              </w:rPr>
              <w:t>配备的劳动力、主要设备、主要原材料计划表无针对性的</w:t>
            </w:r>
            <w:r>
              <w:rPr>
                <w:rFonts w:hint="eastAsia"/>
                <w:color w:val="auto"/>
                <w:kern w:val="2"/>
                <w:sz w:val="21"/>
                <w:szCs w:val="22"/>
                <w:lang w:val="en-US" w:eastAsia="zh-CN"/>
              </w:rPr>
              <w:t>的</w:t>
            </w:r>
            <w:r>
              <w:rPr>
                <w:rFonts w:hint="eastAsia"/>
                <w:color w:val="auto"/>
                <w:kern w:val="2"/>
                <w:sz w:val="21"/>
                <w:szCs w:val="22"/>
              </w:rPr>
              <w:t xml:space="preserve">得 </w:t>
            </w:r>
            <w:r>
              <w:rPr>
                <w:rFonts w:hint="eastAsia"/>
                <w:color w:val="auto"/>
                <w:kern w:val="2"/>
                <w:sz w:val="21"/>
                <w:szCs w:val="22"/>
                <w:lang w:val="en-US" w:eastAsia="zh-CN"/>
              </w:rPr>
              <w:t>1-</w:t>
            </w:r>
            <w:r>
              <w:rPr>
                <w:rFonts w:hint="eastAsia"/>
                <w:color w:val="auto"/>
                <w:kern w:val="2"/>
                <w:sz w:val="21"/>
                <w:szCs w:val="22"/>
              </w:rPr>
              <w:t>2 分。</w:t>
            </w:r>
          </w:p>
          <w:p w14:paraId="7AEED5C3">
            <w:pPr>
              <w:pStyle w:val="40"/>
              <w:keepNext w:val="0"/>
              <w:keepLines w:val="0"/>
              <w:pageBreakBefore w:val="0"/>
              <w:widowControl/>
              <w:kinsoku/>
              <w:wordWrap/>
              <w:overflowPunct/>
              <w:topLinePunct w:val="0"/>
              <w:autoSpaceDE/>
              <w:autoSpaceDN/>
              <w:bidi w:val="0"/>
              <w:adjustRightInd/>
              <w:snapToGrid/>
              <w:spacing w:before="0" w:beforeAutospacing="0" w:after="0" w:afterAutospacing="0"/>
              <w:ind w:left="210" w:hanging="210" w:hangingChars="100"/>
              <w:textAlignment w:val="auto"/>
              <w:rPr>
                <w:rFonts w:hint="eastAsia"/>
                <w:color w:val="auto"/>
                <w:kern w:val="2"/>
                <w:sz w:val="21"/>
                <w:szCs w:val="22"/>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7783BB99">
            <w:pPr>
              <w:adjustRightInd w:val="0"/>
              <w:jc w:val="center"/>
              <w:rPr>
                <w:rFonts w:ascii="宋体"/>
                <w:color w:val="auto"/>
                <w:szCs w:val="21"/>
              </w:rPr>
            </w:pPr>
            <w:r>
              <w:rPr>
                <w:rFonts w:hint="eastAsia" w:ascii="宋体" w:hAnsi="宋体"/>
                <w:bCs/>
                <w:color w:val="auto"/>
                <w:szCs w:val="21"/>
                <w:lang w:val="en-US" w:eastAsia="zh-CN"/>
              </w:rPr>
              <w:t>0-6</w:t>
            </w:r>
            <w:r>
              <w:rPr>
                <w:rFonts w:hint="eastAsia" w:ascii="宋体" w:hAnsi="宋体"/>
                <w:bCs/>
                <w:color w:val="auto"/>
                <w:szCs w:val="21"/>
              </w:rPr>
              <w:t>分</w:t>
            </w:r>
          </w:p>
        </w:tc>
      </w:tr>
      <w:tr w14:paraId="50E6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0" w:type="dxa"/>
            <w:vAlign w:val="center"/>
          </w:tcPr>
          <w:p w14:paraId="765C6FC9">
            <w:pPr>
              <w:adjustRightInd w:val="0"/>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6</w:t>
            </w:r>
          </w:p>
        </w:tc>
        <w:tc>
          <w:tcPr>
            <w:tcW w:w="1531" w:type="dxa"/>
            <w:vAlign w:val="center"/>
          </w:tcPr>
          <w:p w14:paraId="27EB6FCF">
            <w:pPr>
              <w:adjustRightInd w:val="0"/>
              <w:jc w:val="center"/>
              <w:rPr>
                <w:rFonts w:hint="eastAsia" w:ascii="宋体" w:hAnsi="宋体"/>
                <w:bCs/>
                <w:color w:val="auto"/>
                <w:szCs w:val="21"/>
              </w:rPr>
            </w:pPr>
            <w:r>
              <w:rPr>
                <w:rFonts w:hint="eastAsia" w:ascii="宋体" w:hAnsi="宋体"/>
                <w:bCs/>
                <w:color w:val="auto"/>
                <w:szCs w:val="21"/>
              </w:rPr>
              <w:t>质量、安全文</w:t>
            </w:r>
          </w:p>
          <w:p w14:paraId="4418B1B3">
            <w:pPr>
              <w:adjustRightInd w:val="0"/>
              <w:jc w:val="center"/>
              <w:rPr>
                <w:rFonts w:hint="eastAsia" w:ascii="宋体" w:hAnsi="宋体"/>
                <w:bCs/>
                <w:color w:val="auto"/>
                <w:szCs w:val="21"/>
              </w:rPr>
            </w:pPr>
            <w:r>
              <w:rPr>
                <w:rFonts w:hint="eastAsia" w:ascii="宋体" w:hAnsi="宋体"/>
                <w:bCs/>
                <w:color w:val="auto"/>
                <w:szCs w:val="21"/>
              </w:rPr>
              <w:t>明施工及环境</w:t>
            </w:r>
          </w:p>
          <w:p w14:paraId="16019770">
            <w:pPr>
              <w:adjustRightInd w:val="0"/>
              <w:jc w:val="center"/>
              <w:rPr>
                <w:rFonts w:hint="eastAsia" w:ascii="宋体" w:hAnsi="宋体"/>
                <w:bCs/>
                <w:color w:val="auto"/>
                <w:szCs w:val="21"/>
              </w:rPr>
            </w:pPr>
            <w:r>
              <w:rPr>
                <w:rFonts w:hint="eastAsia" w:ascii="宋体" w:hAnsi="宋体"/>
                <w:bCs/>
                <w:color w:val="auto"/>
                <w:szCs w:val="21"/>
              </w:rPr>
              <w:t>保护措施</w:t>
            </w:r>
          </w:p>
        </w:tc>
        <w:tc>
          <w:tcPr>
            <w:tcW w:w="6123" w:type="dxa"/>
            <w:vAlign w:val="center"/>
          </w:tcPr>
          <w:p w14:paraId="028B49DD">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为确保质量、安全文明施工以及环境保护而采取的技术、组织等措施是否切合项目特点、难点、有针对性，</w:t>
            </w:r>
            <w:r>
              <w:rPr>
                <w:rFonts w:hint="eastAsia"/>
                <w:color w:val="auto"/>
                <w:kern w:val="2"/>
                <w:sz w:val="21"/>
                <w:szCs w:val="22"/>
                <w:lang w:val="en-US" w:eastAsia="zh-CN"/>
              </w:rPr>
              <w:t>进行</w:t>
            </w:r>
            <w:r>
              <w:rPr>
                <w:rFonts w:hint="eastAsia"/>
                <w:color w:val="auto"/>
                <w:kern w:val="2"/>
                <w:sz w:val="21"/>
                <w:szCs w:val="22"/>
                <w:lang w:eastAsia="zh-CN"/>
              </w:rPr>
              <w:t>综合评分。</w:t>
            </w:r>
          </w:p>
          <w:p w14:paraId="6BBC15B7">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1</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质量、安全文明施工以及环境保护而采取的技术、组织等措施切合项目特点、难点、有针对性得 6-8分；</w:t>
            </w:r>
          </w:p>
          <w:p w14:paraId="77AC427F">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2</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质量、安全文明施工以及环境保护而采取的技术、组织等措施部分切合项目特点、难点、针对性较少得3-5 分；</w:t>
            </w:r>
          </w:p>
          <w:p w14:paraId="2F30097A">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3</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质量、安全文明施工以及环境保护而采取的技术、组织等措施不切合项目特点、难点、针对性一般的得1-2 分。</w:t>
            </w:r>
            <w:r>
              <w:rPr>
                <w:rFonts w:hint="eastAsia"/>
                <w:color w:val="auto"/>
                <w:kern w:val="2"/>
                <w:sz w:val="21"/>
                <w:szCs w:val="22"/>
                <w:lang w:eastAsia="zh-CN"/>
              </w:rPr>
              <w:tab/>
            </w:r>
          </w:p>
          <w:p w14:paraId="1B2CAAD3">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215805A8">
            <w:pPr>
              <w:adjustRightInd w:val="0"/>
              <w:jc w:val="center"/>
              <w:rPr>
                <w:rFonts w:hint="default" w:ascii="宋体" w:hAnsi="宋体"/>
                <w:bCs/>
                <w:color w:val="auto"/>
                <w:szCs w:val="21"/>
                <w:lang w:val="en-US" w:eastAsia="zh-CN"/>
              </w:rPr>
            </w:pPr>
            <w:r>
              <w:rPr>
                <w:rFonts w:hint="eastAsia" w:ascii="宋体" w:hAnsi="宋体"/>
                <w:bCs/>
                <w:color w:val="auto"/>
                <w:szCs w:val="21"/>
                <w:lang w:val="en-US" w:eastAsia="zh-CN"/>
              </w:rPr>
              <w:t>0-8</w:t>
            </w:r>
            <w:r>
              <w:rPr>
                <w:rFonts w:hint="eastAsia" w:ascii="宋体" w:hAnsi="宋体"/>
                <w:bCs/>
                <w:color w:val="auto"/>
                <w:szCs w:val="21"/>
              </w:rPr>
              <w:t>分</w:t>
            </w:r>
          </w:p>
        </w:tc>
      </w:tr>
      <w:tr w14:paraId="0738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0" w:type="dxa"/>
            <w:vAlign w:val="center"/>
          </w:tcPr>
          <w:p w14:paraId="419D3F4C">
            <w:pPr>
              <w:adjustRightInd w:val="0"/>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7</w:t>
            </w:r>
          </w:p>
        </w:tc>
        <w:tc>
          <w:tcPr>
            <w:tcW w:w="1531" w:type="dxa"/>
            <w:vAlign w:val="center"/>
          </w:tcPr>
          <w:p w14:paraId="03003EE5">
            <w:pPr>
              <w:adjustRightInd w:val="0"/>
              <w:jc w:val="center"/>
              <w:rPr>
                <w:rFonts w:hint="eastAsia" w:ascii="宋体" w:hAnsi="宋体"/>
                <w:bCs/>
                <w:color w:val="auto"/>
                <w:szCs w:val="21"/>
              </w:rPr>
            </w:pPr>
            <w:r>
              <w:rPr>
                <w:rFonts w:hint="eastAsia" w:ascii="宋体" w:hAnsi="宋体"/>
                <w:bCs/>
                <w:color w:val="auto"/>
                <w:szCs w:val="21"/>
              </w:rPr>
              <w:t>应急预案</w:t>
            </w:r>
          </w:p>
        </w:tc>
        <w:tc>
          <w:tcPr>
            <w:tcW w:w="6123" w:type="dxa"/>
            <w:vAlign w:val="center"/>
          </w:tcPr>
          <w:p w14:paraId="218A04F3">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特殊气候条件下的施工方案；紧急情况的处理措施、预案以及抵抗风险的措施等进行综合评分。</w:t>
            </w:r>
          </w:p>
          <w:p w14:paraId="1AA9FABA">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1</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 xml:space="preserve">针对本项目紧急情况的处理措施、预案以及抵抗风险的措施有针对性、科学合理得 </w:t>
            </w:r>
            <w:r>
              <w:rPr>
                <w:rFonts w:hint="eastAsia"/>
                <w:color w:val="auto"/>
                <w:kern w:val="2"/>
                <w:sz w:val="21"/>
                <w:szCs w:val="22"/>
                <w:lang w:val="en-US" w:eastAsia="zh-CN"/>
              </w:rPr>
              <w:t>5</w:t>
            </w:r>
            <w:r>
              <w:rPr>
                <w:rFonts w:hint="eastAsia"/>
                <w:color w:val="auto"/>
                <w:kern w:val="2"/>
                <w:sz w:val="21"/>
                <w:szCs w:val="22"/>
                <w:lang w:eastAsia="zh-CN"/>
              </w:rPr>
              <w:t>-</w:t>
            </w:r>
            <w:r>
              <w:rPr>
                <w:rFonts w:hint="eastAsia"/>
                <w:color w:val="auto"/>
                <w:kern w:val="2"/>
                <w:sz w:val="21"/>
                <w:szCs w:val="22"/>
                <w:lang w:val="en-US" w:eastAsia="zh-CN"/>
              </w:rPr>
              <w:t>7</w:t>
            </w:r>
            <w:r>
              <w:rPr>
                <w:rFonts w:hint="eastAsia"/>
                <w:color w:val="auto"/>
                <w:kern w:val="2"/>
                <w:sz w:val="21"/>
                <w:szCs w:val="22"/>
                <w:lang w:eastAsia="zh-CN"/>
              </w:rPr>
              <w:t xml:space="preserve"> 分；</w:t>
            </w:r>
          </w:p>
          <w:p w14:paraId="451A7800">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2</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 xml:space="preserve">针对本项目紧急情况的处理措施、预案以及抵抗风险的措施针对性不强的得 </w:t>
            </w:r>
            <w:r>
              <w:rPr>
                <w:rFonts w:hint="eastAsia"/>
                <w:color w:val="auto"/>
                <w:kern w:val="2"/>
                <w:sz w:val="21"/>
                <w:szCs w:val="22"/>
                <w:lang w:val="en-US" w:eastAsia="zh-CN"/>
              </w:rPr>
              <w:t>2</w:t>
            </w:r>
            <w:r>
              <w:rPr>
                <w:rFonts w:hint="eastAsia"/>
                <w:color w:val="auto"/>
                <w:kern w:val="2"/>
                <w:sz w:val="21"/>
                <w:szCs w:val="22"/>
                <w:lang w:eastAsia="zh-CN"/>
              </w:rPr>
              <w:t>-</w:t>
            </w:r>
            <w:r>
              <w:rPr>
                <w:rFonts w:hint="eastAsia"/>
                <w:color w:val="auto"/>
                <w:kern w:val="2"/>
                <w:sz w:val="21"/>
                <w:szCs w:val="22"/>
                <w:lang w:val="en-US" w:eastAsia="zh-CN"/>
              </w:rPr>
              <w:t>4</w:t>
            </w:r>
            <w:r>
              <w:rPr>
                <w:rFonts w:hint="eastAsia"/>
                <w:color w:val="auto"/>
                <w:kern w:val="2"/>
                <w:sz w:val="21"/>
                <w:szCs w:val="22"/>
                <w:lang w:eastAsia="zh-CN"/>
              </w:rPr>
              <w:t xml:space="preserve"> 分；</w:t>
            </w:r>
          </w:p>
          <w:p w14:paraId="7740CAE6">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color w:val="auto"/>
                <w:kern w:val="2"/>
                <w:sz w:val="21"/>
                <w:szCs w:val="22"/>
                <w:lang w:eastAsia="zh-CN"/>
              </w:rPr>
              <w:t>3</w:t>
            </w:r>
            <w:r>
              <w:rPr>
                <w:rFonts w:hint="eastAsia" w:hAnsi="Times New Roman" w:cs="Times New Roman"/>
                <w:bCs/>
                <w:color w:val="auto"/>
                <w:kern w:val="2"/>
                <w:sz w:val="21"/>
                <w:szCs w:val="21"/>
                <w:lang w:val="en-US" w:eastAsia="zh-CN" w:bidi="ar-SA"/>
              </w:rPr>
              <w:t>）</w:t>
            </w:r>
            <w:r>
              <w:rPr>
                <w:rFonts w:hint="eastAsia"/>
                <w:color w:val="auto"/>
                <w:kern w:val="2"/>
                <w:sz w:val="21"/>
                <w:szCs w:val="22"/>
                <w:lang w:eastAsia="zh-CN"/>
              </w:rPr>
              <w:t xml:space="preserve">针对本项目紧急情况的处理措施、预案以及抵抗风险的措施无针对性、不科学的得 </w:t>
            </w:r>
            <w:r>
              <w:rPr>
                <w:rFonts w:hint="eastAsia"/>
                <w:color w:val="auto"/>
                <w:kern w:val="2"/>
                <w:sz w:val="21"/>
                <w:szCs w:val="22"/>
                <w:lang w:val="en-US" w:eastAsia="zh-CN"/>
              </w:rPr>
              <w:t>1</w:t>
            </w:r>
            <w:r>
              <w:rPr>
                <w:rFonts w:hint="eastAsia"/>
                <w:color w:val="auto"/>
                <w:kern w:val="2"/>
                <w:sz w:val="21"/>
                <w:szCs w:val="22"/>
                <w:lang w:eastAsia="zh-CN"/>
              </w:rPr>
              <w:t xml:space="preserve"> 分。</w:t>
            </w:r>
          </w:p>
          <w:p w14:paraId="7278ABA8">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eastAsia="zh-CN"/>
              </w:rPr>
            </w:pPr>
            <w:r>
              <w:rPr>
                <w:rFonts w:hint="eastAsia" w:ascii="宋体" w:hAnsi="Times New Roman" w:eastAsia="宋体" w:cs="Times New Roman"/>
                <w:bCs/>
                <w:color w:val="auto"/>
                <w:kern w:val="2"/>
                <w:sz w:val="21"/>
                <w:szCs w:val="21"/>
                <w:lang w:val="en-US" w:eastAsia="zh-CN" w:bidi="ar-SA"/>
              </w:rPr>
              <w:t>4</w:t>
            </w:r>
            <w:r>
              <w:rPr>
                <w:rFonts w:hint="eastAsia" w:hAnsi="Times New Roman" w:cs="Times New Roman"/>
                <w:bCs/>
                <w:color w:val="auto"/>
                <w:kern w:val="2"/>
                <w:sz w:val="21"/>
                <w:szCs w:val="21"/>
                <w:lang w:val="en-US" w:eastAsia="zh-CN" w:bidi="ar-SA"/>
              </w:rPr>
              <w:t>）</w:t>
            </w:r>
            <w:r>
              <w:rPr>
                <w:rFonts w:hint="eastAsia" w:ascii="宋体" w:hAnsi="Times New Roman" w:eastAsia="宋体" w:cs="Times New Roman"/>
                <w:bCs/>
                <w:color w:val="auto"/>
                <w:kern w:val="2"/>
                <w:sz w:val="21"/>
                <w:szCs w:val="21"/>
                <w:lang w:val="en-US" w:eastAsia="zh-CN" w:bidi="ar-SA"/>
              </w:rPr>
              <w:t>无相关内容不得分。</w:t>
            </w:r>
          </w:p>
        </w:tc>
        <w:tc>
          <w:tcPr>
            <w:tcW w:w="907" w:type="dxa"/>
            <w:vAlign w:val="center"/>
          </w:tcPr>
          <w:p w14:paraId="03E161EE">
            <w:pPr>
              <w:adjustRightInd w:val="0"/>
              <w:jc w:val="center"/>
              <w:rPr>
                <w:rFonts w:hint="default" w:ascii="宋体" w:hAnsi="宋体"/>
                <w:bCs/>
                <w:color w:val="auto"/>
                <w:szCs w:val="21"/>
                <w:lang w:val="en-US" w:eastAsia="zh-CN"/>
              </w:rPr>
            </w:pPr>
            <w:r>
              <w:rPr>
                <w:rFonts w:hint="eastAsia" w:ascii="宋体" w:hAnsi="宋体"/>
                <w:bCs/>
                <w:color w:val="auto"/>
                <w:szCs w:val="21"/>
                <w:lang w:val="en-US" w:eastAsia="zh-CN"/>
              </w:rPr>
              <w:t>0-7</w:t>
            </w:r>
            <w:r>
              <w:rPr>
                <w:rFonts w:hint="eastAsia" w:ascii="宋体" w:hAnsi="宋体"/>
                <w:bCs/>
                <w:color w:val="auto"/>
                <w:szCs w:val="21"/>
              </w:rPr>
              <w:t>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80" w:type="dxa"/>
            <w:vAlign w:val="center"/>
          </w:tcPr>
          <w:p w14:paraId="31F50EF9">
            <w:pPr>
              <w:adjustRightInd w:val="0"/>
              <w:jc w:val="center"/>
              <w:rPr>
                <w:rFonts w:hint="eastAsia" w:ascii="宋体" w:eastAsia="宋体"/>
                <w:bCs/>
                <w:color w:val="auto"/>
                <w:szCs w:val="21"/>
                <w:lang w:eastAsia="zh-CN"/>
              </w:rPr>
            </w:pPr>
            <w:r>
              <w:rPr>
                <w:rFonts w:hint="eastAsia" w:ascii="宋体" w:hAnsi="宋体"/>
                <w:bCs/>
                <w:color w:val="auto"/>
                <w:szCs w:val="21"/>
                <w:lang w:val="en-US" w:eastAsia="zh-CN"/>
              </w:rPr>
              <w:t>8</w:t>
            </w:r>
          </w:p>
        </w:tc>
        <w:tc>
          <w:tcPr>
            <w:tcW w:w="1531" w:type="dxa"/>
            <w:vAlign w:val="center"/>
          </w:tcPr>
          <w:p w14:paraId="1553B55B">
            <w:pPr>
              <w:adjustRightInd w:val="0"/>
              <w:jc w:val="center"/>
              <w:rPr>
                <w:rFonts w:hint="eastAsia" w:ascii="宋体" w:hAnsi="宋体"/>
                <w:bCs/>
                <w:color w:val="auto"/>
                <w:szCs w:val="21"/>
              </w:rPr>
            </w:pPr>
            <w:r>
              <w:rPr>
                <w:rFonts w:hint="eastAsia" w:ascii="宋体" w:hAnsi="宋体"/>
                <w:bCs/>
                <w:color w:val="auto"/>
                <w:szCs w:val="21"/>
              </w:rPr>
              <w:t>项目人员专业能力</w:t>
            </w:r>
          </w:p>
        </w:tc>
        <w:tc>
          <w:tcPr>
            <w:tcW w:w="6123" w:type="dxa"/>
            <w:vAlign w:val="center"/>
          </w:tcPr>
          <w:p w14:paraId="5BD3FAC9">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Times New Roman"/>
                <w:color w:val="auto"/>
                <w:kern w:val="2"/>
                <w:sz w:val="21"/>
                <w:szCs w:val="22"/>
                <w:lang w:val="en-US" w:eastAsia="zh-CN"/>
              </w:rPr>
            </w:pPr>
            <w:r>
              <w:rPr>
                <w:rFonts w:hint="eastAsia" w:ascii="宋体" w:hAnsi="宋体" w:eastAsia="宋体" w:cs="Times New Roman"/>
                <w:color w:val="auto"/>
                <w:kern w:val="2"/>
                <w:sz w:val="21"/>
                <w:szCs w:val="22"/>
                <w:lang w:val="en-US" w:eastAsia="zh-CN"/>
              </w:rPr>
              <w:t>对</w:t>
            </w:r>
            <w:r>
              <w:rPr>
                <w:rFonts w:hint="eastAsia" w:ascii="宋体" w:hAnsi="宋体" w:eastAsia="宋体" w:cs="Times New Roman"/>
                <w:color w:val="auto"/>
                <w:kern w:val="2"/>
                <w:sz w:val="21"/>
                <w:szCs w:val="22"/>
                <w:lang w:eastAsia="zh-CN"/>
              </w:rPr>
              <w:t>项目管理班子人员配置是否合理并能满足施工需要，主要负责人是否有类似工程项目管理经验</w:t>
            </w:r>
            <w:r>
              <w:rPr>
                <w:rFonts w:hint="eastAsia" w:ascii="宋体" w:hAnsi="宋体" w:eastAsia="宋体" w:cs="Times New Roman"/>
                <w:color w:val="auto"/>
                <w:kern w:val="2"/>
                <w:sz w:val="21"/>
                <w:szCs w:val="22"/>
                <w:lang w:val="en-US" w:eastAsia="zh-CN"/>
              </w:rPr>
              <w:t>进行综合打分。</w:t>
            </w:r>
          </w:p>
          <w:p w14:paraId="3A790199">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Times New Roman"/>
                <w:color w:val="auto"/>
                <w:kern w:val="2"/>
                <w:sz w:val="21"/>
                <w:szCs w:val="22"/>
                <w:lang w:eastAsia="zh-CN"/>
              </w:rPr>
            </w:pPr>
            <w:r>
              <w:rPr>
                <w:rFonts w:hint="eastAsia" w:ascii="宋体" w:hAnsi="宋体" w:eastAsia="宋体" w:cs="Times New Roman"/>
                <w:color w:val="auto"/>
                <w:kern w:val="2"/>
                <w:sz w:val="21"/>
                <w:szCs w:val="22"/>
                <w:lang w:eastAsia="zh-CN"/>
              </w:rPr>
              <w:t>1</w:t>
            </w:r>
            <w:r>
              <w:rPr>
                <w:rFonts w:hint="eastAsia" w:ascii="宋体" w:hAnsi="宋体" w:eastAsia="宋体" w:cs="Times New Roman"/>
                <w:color w:val="auto"/>
                <w:kern w:val="2"/>
                <w:sz w:val="21"/>
                <w:szCs w:val="22"/>
                <w:lang w:val="en-US" w:eastAsia="zh-CN"/>
              </w:rPr>
              <w:t>）</w:t>
            </w:r>
            <w:r>
              <w:rPr>
                <w:rFonts w:hint="eastAsia" w:ascii="宋体" w:hAnsi="宋体" w:eastAsia="宋体" w:cs="Times New Roman"/>
                <w:color w:val="auto"/>
                <w:kern w:val="2"/>
                <w:sz w:val="21"/>
                <w:szCs w:val="22"/>
                <w:lang w:eastAsia="zh-CN"/>
              </w:rPr>
              <w:t xml:space="preserve">项目负责人经验丰富，班子人员配置完善合理的得 </w:t>
            </w:r>
            <w:r>
              <w:rPr>
                <w:rFonts w:hint="eastAsia" w:ascii="宋体" w:hAnsi="宋体" w:eastAsia="宋体" w:cs="Times New Roman"/>
                <w:color w:val="auto"/>
                <w:kern w:val="2"/>
                <w:sz w:val="21"/>
                <w:szCs w:val="22"/>
                <w:lang w:val="en-US" w:eastAsia="zh-CN"/>
              </w:rPr>
              <w:t>4</w:t>
            </w:r>
            <w:r>
              <w:rPr>
                <w:rFonts w:hint="eastAsia" w:ascii="宋体" w:hAnsi="宋体" w:eastAsia="宋体" w:cs="Times New Roman"/>
                <w:color w:val="auto"/>
                <w:kern w:val="2"/>
                <w:sz w:val="21"/>
                <w:szCs w:val="22"/>
                <w:lang w:eastAsia="zh-CN"/>
              </w:rPr>
              <w:t>-</w:t>
            </w:r>
            <w:r>
              <w:rPr>
                <w:rFonts w:hint="eastAsia" w:ascii="宋体" w:hAnsi="宋体" w:eastAsia="宋体" w:cs="Times New Roman"/>
                <w:color w:val="auto"/>
                <w:kern w:val="2"/>
                <w:sz w:val="21"/>
                <w:szCs w:val="22"/>
                <w:lang w:val="en-US" w:eastAsia="zh-CN"/>
              </w:rPr>
              <w:t>5</w:t>
            </w:r>
            <w:r>
              <w:rPr>
                <w:rFonts w:hint="eastAsia" w:ascii="宋体" w:hAnsi="宋体" w:eastAsia="宋体" w:cs="Times New Roman"/>
                <w:color w:val="auto"/>
                <w:kern w:val="2"/>
                <w:sz w:val="21"/>
                <w:szCs w:val="22"/>
                <w:lang w:eastAsia="zh-CN"/>
              </w:rPr>
              <w:t>分；</w:t>
            </w:r>
          </w:p>
          <w:p w14:paraId="0CEDD819">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Times New Roman"/>
                <w:color w:val="auto"/>
                <w:kern w:val="2"/>
                <w:sz w:val="21"/>
                <w:szCs w:val="22"/>
                <w:lang w:eastAsia="zh-CN"/>
              </w:rPr>
            </w:pPr>
            <w:r>
              <w:rPr>
                <w:rFonts w:hint="eastAsia" w:ascii="宋体" w:hAnsi="宋体" w:eastAsia="宋体" w:cs="Times New Roman"/>
                <w:color w:val="auto"/>
                <w:kern w:val="2"/>
                <w:sz w:val="21"/>
                <w:szCs w:val="22"/>
                <w:lang w:eastAsia="zh-CN"/>
              </w:rPr>
              <w:t>2</w:t>
            </w:r>
            <w:r>
              <w:rPr>
                <w:rFonts w:hint="eastAsia" w:ascii="宋体" w:hAnsi="宋体" w:eastAsia="宋体" w:cs="Times New Roman"/>
                <w:color w:val="auto"/>
                <w:kern w:val="2"/>
                <w:sz w:val="21"/>
                <w:szCs w:val="22"/>
                <w:lang w:val="en-US" w:eastAsia="zh-CN"/>
              </w:rPr>
              <w:t>）</w:t>
            </w:r>
            <w:r>
              <w:rPr>
                <w:rFonts w:hint="eastAsia" w:ascii="宋体" w:hAnsi="宋体" w:eastAsia="宋体" w:cs="Times New Roman"/>
                <w:color w:val="auto"/>
                <w:kern w:val="2"/>
                <w:sz w:val="21"/>
                <w:szCs w:val="22"/>
                <w:lang w:eastAsia="zh-CN"/>
              </w:rPr>
              <w:t xml:space="preserve">项目负责人经验一般，班子人员配置一般的得 </w:t>
            </w:r>
            <w:r>
              <w:rPr>
                <w:rFonts w:hint="eastAsia" w:ascii="宋体" w:hAnsi="宋体" w:eastAsia="宋体" w:cs="Times New Roman"/>
                <w:color w:val="auto"/>
                <w:kern w:val="2"/>
                <w:sz w:val="21"/>
                <w:szCs w:val="22"/>
                <w:lang w:val="en-US" w:eastAsia="zh-CN"/>
              </w:rPr>
              <w:t>2</w:t>
            </w:r>
            <w:r>
              <w:rPr>
                <w:rFonts w:hint="eastAsia" w:ascii="宋体" w:hAnsi="宋体" w:eastAsia="宋体" w:cs="Times New Roman"/>
                <w:color w:val="auto"/>
                <w:kern w:val="2"/>
                <w:sz w:val="21"/>
                <w:szCs w:val="22"/>
                <w:lang w:eastAsia="zh-CN"/>
              </w:rPr>
              <w:t>-</w:t>
            </w:r>
            <w:r>
              <w:rPr>
                <w:rFonts w:hint="eastAsia" w:ascii="宋体" w:hAnsi="宋体" w:eastAsia="宋体" w:cs="Times New Roman"/>
                <w:color w:val="auto"/>
                <w:kern w:val="2"/>
                <w:sz w:val="21"/>
                <w:szCs w:val="22"/>
                <w:lang w:val="en-US" w:eastAsia="zh-CN"/>
              </w:rPr>
              <w:t>3</w:t>
            </w:r>
            <w:r>
              <w:rPr>
                <w:rFonts w:hint="eastAsia" w:ascii="宋体" w:hAnsi="宋体" w:eastAsia="宋体" w:cs="Times New Roman"/>
                <w:color w:val="auto"/>
                <w:kern w:val="2"/>
                <w:sz w:val="21"/>
                <w:szCs w:val="22"/>
                <w:lang w:eastAsia="zh-CN"/>
              </w:rPr>
              <w:t>分；</w:t>
            </w:r>
          </w:p>
          <w:p w14:paraId="0ADB4CF5">
            <w:pPr>
              <w:pStyle w:val="40"/>
              <w:keepNext w:val="0"/>
              <w:keepLines w:val="0"/>
              <w:pageBreakBefore w:val="0"/>
              <w:widowControl/>
              <w:tabs>
                <w:tab w:val="left" w:pos="1553"/>
              </w:tabs>
              <w:kinsoku/>
              <w:wordWrap/>
              <w:overflowPunct/>
              <w:topLinePunct w:val="0"/>
              <w:autoSpaceDE/>
              <w:autoSpaceDN/>
              <w:bidi w:val="0"/>
              <w:adjustRightInd/>
              <w:snapToGrid/>
              <w:spacing w:before="0" w:beforeAutospacing="0" w:after="0" w:afterAutospacing="0"/>
              <w:textAlignment w:val="auto"/>
              <w:rPr>
                <w:rFonts w:hint="eastAsia"/>
                <w:color w:val="auto"/>
                <w:kern w:val="2"/>
                <w:sz w:val="21"/>
                <w:szCs w:val="22"/>
                <w:lang w:val="en-US" w:eastAsia="zh-CN"/>
              </w:rPr>
            </w:pPr>
            <w:r>
              <w:rPr>
                <w:rFonts w:hint="eastAsia" w:ascii="宋体" w:hAnsi="宋体" w:eastAsia="宋体" w:cs="Times New Roman"/>
                <w:color w:val="auto"/>
                <w:kern w:val="2"/>
                <w:sz w:val="21"/>
                <w:szCs w:val="22"/>
                <w:lang w:eastAsia="zh-CN"/>
              </w:rPr>
              <w:t>3</w:t>
            </w:r>
            <w:r>
              <w:rPr>
                <w:rFonts w:hint="eastAsia" w:ascii="宋体" w:hAnsi="宋体" w:eastAsia="宋体" w:cs="Times New Roman"/>
                <w:color w:val="auto"/>
                <w:kern w:val="2"/>
                <w:sz w:val="21"/>
                <w:szCs w:val="22"/>
                <w:lang w:val="en-US" w:eastAsia="zh-CN"/>
              </w:rPr>
              <w:t>）</w:t>
            </w:r>
            <w:r>
              <w:rPr>
                <w:rFonts w:hint="eastAsia" w:ascii="宋体" w:hAnsi="宋体" w:eastAsia="宋体" w:cs="Times New Roman"/>
                <w:color w:val="auto"/>
                <w:kern w:val="2"/>
                <w:sz w:val="21"/>
                <w:szCs w:val="22"/>
                <w:lang w:eastAsia="zh-CN"/>
              </w:rPr>
              <w:t>项目负责人经验较差，班子人员配置较差的得</w:t>
            </w:r>
            <w:r>
              <w:rPr>
                <w:rFonts w:hint="eastAsia" w:ascii="宋体" w:hAnsi="宋体" w:eastAsia="宋体" w:cs="Times New Roman"/>
                <w:color w:val="auto"/>
                <w:kern w:val="2"/>
                <w:sz w:val="21"/>
                <w:szCs w:val="22"/>
                <w:lang w:val="en-US" w:eastAsia="zh-CN"/>
              </w:rPr>
              <w:t>0-1</w:t>
            </w:r>
            <w:r>
              <w:rPr>
                <w:rFonts w:hint="eastAsia" w:ascii="宋体" w:hAnsi="宋体" w:eastAsia="宋体" w:cs="Times New Roman"/>
                <w:color w:val="auto"/>
                <w:kern w:val="2"/>
                <w:sz w:val="21"/>
                <w:szCs w:val="22"/>
                <w:lang w:eastAsia="zh-CN"/>
              </w:rPr>
              <w:t>分</w:t>
            </w:r>
            <w:r>
              <w:rPr>
                <w:rFonts w:hint="eastAsia" w:ascii="宋体" w:hAnsi="宋体" w:eastAsia="宋体" w:cs="Times New Roman"/>
                <w:color w:val="auto"/>
                <w:kern w:val="2"/>
                <w:sz w:val="21"/>
                <w:szCs w:val="22"/>
                <w:lang w:val="en-US" w:eastAsia="zh-CN"/>
              </w:rPr>
              <w:t>。</w:t>
            </w:r>
          </w:p>
        </w:tc>
        <w:tc>
          <w:tcPr>
            <w:tcW w:w="907" w:type="dxa"/>
            <w:vAlign w:val="center"/>
          </w:tcPr>
          <w:p w14:paraId="49132B14">
            <w:pPr>
              <w:adjustRightInd w:val="0"/>
              <w:jc w:val="center"/>
              <w:rPr>
                <w:rFonts w:ascii="宋体"/>
                <w:color w:val="auto"/>
                <w:szCs w:val="21"/>
              </w:rPr>
            </w:pPr>
            <w:r>
              <w:rPr>
                <w:rFonts w:hint="eastAsia" w:ascii="宋体" w:hAnsi="宋体"/>
                <w:b w:val="0"/>
                <w:bCs/>
                <w:color w:val="auto"/>
                <w:szCs w:val="21"/>
                <w:lang w:val="en-US" w:eastAsia="zh-CN"/>
              </w:rPr>
              <w:t>0</w:t>
            </w:r>
            <w:r>
              <w:rPr>
                <w:rFonts w:ascii="宋体" w:hAnsi="宋体"/>
                <w:bCs/>
                <w:color w:val="auto"/>
                <w:szCs w:val="21"/>
              </w:rPr>
              <w:t>-</w:t>
            </w:r>
            <w:r>
              <w:rPr>
                <w:rFonts w:hint="eastAsia" w:ascii="宋体" w:hAnsi="宋体"/>
                <w:bCs/>
                <w:color w:val="auto"/>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0" w:type="dxa"/>
            <w:vAlign w:val="center"/>
          </w:tcPr>
          <w:p w14:paraId="4C2DB578">
            <w:pPr>
              <w:adjustRightInd w:val="0"/>
              <w:jc w:val="center"/>
              <w:rPr>
                <w:rFonts w:hint="eastAsia" w:ascii="宋体" w:hAnsi="宋体" w:eastAsia="宋体"/>
                <w:bCs/>
                <w:color w:val="auto"/>
                <w:szCs w:val="21"/>
                <w:lang w:eastAsia="zh-CN"/>
              </w:rPr>
            </w:pPr>
            <w:r>
              <w:rPr>
                <w:rFonts w:hint="eastAsia" w:ascii="宋体" w:hAnsi="宋体"/>
                <w:bCs/>
                <w:color w:val="auto"/>
                <w:szCs w:val="21"/>
                <w:lang w:val="en-US" w:eastAsia="zh-CN"/>
              </w:rPr>
              <w:t>9</w:t>
            </w:r>
          </w:p>
        </w:tc>
        <w:tc>
          <w:tcPr>
            <w:tcW w:w="1531" w:type="dxa"/>
            <w:vAlign w:val="center"/>
          </w:tcPr>
          <w:p w14:paraId="3389A42D">
            <w:pPr>
              <w:adjustRightInd w:val="0"/>
              <w:jc w:val="center"/>
              <w:rPr>
                <w:rFonts w:hint="eastAsia" w:ascii="宋体" w:hAnsi="宋体"/>
                <w:bCs/>
                <w:color w:val="auto"/>
                <w:szCs w:val="21"/>
              </w:rPr>
            </w:pPr>
            <w:r>
              <w:rPr>
                <w:rFonts w:hint="eastAsia" w:ascii="宋体" w:hAnsi="宋体"/>
                <w:bCs/>
                <w:color w:val="auto"/>
                <w:szCs w:val="21"/>
              </w:rPr>
              <w:t>类似业绩</w:t>
            </w:r>
          </w:p>
        </w:tc>
        <w:tc>
          <w:tcPr>
            <w:tcW w:w="6123" w:type="dxa"/>
            <w:vAlign w:val="center"/>
          </w:tcPr>
          <w:p w14:paraId="1E5EEC07">
            <w:pPr>
              <w:pStyle w:val="40"/>
              <w:rPr>
                <w:color w:val="auto"/>
                <w:kern w:val="2"/>
                <w:sz w:val="21"/>
                <w:szCs w:val="22"/>
              </w:rPr>
            </w:pPr>
            <w:r>
              <w:rPr>
                <w:rFonts w:hint="eastAsia"/>
                <w:color w:val="auto"/>
                <w:kern w:val="2"/>
                <w:sz w:val="21"/>
                <w:szCs w:val="22"/>
              </w:rPr>
              <w:t>提供类似业绩要求：近三年内（包括当年度）案例，须提供合同正本封面、合同金额页和签字页的复印件（一个有效业绩得0.5分，满分5分，无业绩不得分）</w:t>
            </w:r>
          </w:p>
        </w:tc>
        <w:tc>
          <w:tcPr>
            <w:tcW w:w="907" w:type="dxa"/>
            <w:vAlign w:val="center"/>
          </w:tcPr>
          <w:p w14:paraId="64DB5A34">
            <w:pPr>
              <w:adjustRightInd w:val="0"/>
              <w:jc w:val="center"/>
              <w:rPr>
                <w:rFonts w:ascii="宋体" w:hAnsi="宋体"/>
                <w:bCs/>
                <w:color w:val="auto"/>
                <w:szCs w:val="21"/>
              </w:rPr>
            </w:pPr>
            <w:r>
              <w:rPr>
                <w:rFonts w:ascii="宋体" w:hAnsi="宋体"/>
                <w:bCs/>
                <w:color w:val="auto"/>
                <w:szCs w:val="21"/>
              </w:rPr>
              <w:t>0-</w:t>
            </w:r>
            <w:r>
              <w:rPr>
                <w:rFonts w:hint="eastAsia" w:ascii="宋体" w:hAnsi="宋体"/>
                <w:bCs/>
                <w:color w:val="auto"/>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3"/>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南京路步行街中队及交警支队部分中队新址装修工程-电配套</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3"/>
      </w:pPr>
    </w:p>
    <w:p w14:paraId="25986456">
      <w:pPr>
        <w:ind w:right="2719" w:rightChars="1295" w:firstLine="2738" w:firstLineChars="1304"/>
        <w:jc w:val="center"/>
        <w:rPr>
          <w:rFonts w:ascii="宋体" w:hAnsi="宋体"/>
          <w:b/>
          <w:sz w:val="32"/>
          <w:szCs w:val="2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120015</wp:posOffset>
                </wp:positionV>
                <wp:extent cx="636905" cy="457200"/>
                <wp:effectExtent l="5080" t="4445" r="5715" b="14605"/>
                <wp:wrapNone/>
                <wp:docPr id="1" name="文本框 2"/>
                <wp:cNvGraphicFramePr/>
                <a:graphic xmlns:a="http://schemas.openxmlformats.org/drawingml/2006/main">
                  <a:graphicData uri="http://schemas.microsoft.com/office/word/2010/wordprocessingShape">
                    <wps:wsp>
                      <wps:cNvSpPr txBox="1"/>
                      <wps:spPr>
                        <a:xfrm>
                          <a:off x="0" y="0"/>
                          <a:ext cx="636905" cy="457200"/>
                        </a:xfrm>
                        <a:prstGeom prst="rect">
                          <a:avLst/>
                        </a:prstGeom>
                        <a:noFill/>
                        <a:ln w="9525" cap="flat" cmpd="sng">
                          <a:solidFill>
                            <a:srgbClr val="FFFFFF"/>
                          </a:solidFill>
                          <a:prstDash val="solid"/>
                          <a:miter/>
                          <a:headEnd type="none" w="med" len="med"/>
                          <a:tailEnd type="none" w="med" len="med"/>
                        </a:ln>
                      </wps:spPr>
                      <wps:txbx>
                        <w:txbxContent>
                          <w:p w14:paraId="6E15DE5E">
                            <w:pPr>
                              <w:rPr>
                                <w:rFonts w:hint="eastAsia"/>
                                <w:b/>
                                <w:bCs/>
                                <w:sz w:val="32"/>
                              </w:rPr>
                            </w:pPr>
                            <w:r>
                              <w:rPr>
                                <w:rFonts w:hint="eastAsia"/>
                                <w:b/>
                                <w:bCs/>
                                <w:sz w:val="32"/>
                              </w:rPr>
                              <w:t>制定</w:t>
                            </w:r>
                          </w:p>
                        </w:txbxContent>
                      </wps:txbx>
                      <wps:bodyPr upright="1"/>
                    </wps:wsp>
                  </a:graphicData>
                </a:graphic>
              </wp:anchor>
            </w:drawing>
          </mc:Choice>
          <mc:Fallback>
            <w:pict>
              <v:shape id="文本框 2" o:spid="_x0000_s1026" o:spt="202" type="#_x0000_t202" style="position:absolute;left:0pt;margin-left:319.45pt;margin-top:9.45pt;height:36pt;width:50.15pt;z-index:251659264;mso-width-relative:page;mso-height-relative:page;" filled="f" stroked="t" coordsize="21600,21600" o:gfxdata="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QkXptgAAAAJAQAADwAAAAAAAAABACAAAAAiAAAAZHJz&#10;L2Rvd25yZXYueG1sUEsBAhQAFAAAAAgAh07iQAlVm/IEAgAADAQAAA4AAAAAAAAAAQAgAAAAJwEA&#10;AGRycy9lMm9Eb2MueG1sUEsFBgAAAAAGAAYAWQEAAJ0FAAAAAA==&#10;">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mc:Fallback>
        </mc:AlternateConten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3"/>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3"/>
        <w:tabs>
          <w:tab w:val="right" w:leader="dot" w:pos="8810"/>
          <w:tab w:val="clear" w:pos="8494"/>
        </w:tabs>
        <w:ind w:left="0" w:leftChars="0" w:firstLine="239"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3"/>
        <w:tabs>
          <w:tab w:val="right" w:leader="dot" w:pos="8810"/>
          <w:tab w:val="clear" w:pos="8494"/>
        </w:tabs>
        <w:rPr>
          <w:rStyle w:val="52"/>
          <w:rFonts w:hint="eastAsia" w:ascii="Times New Roman" w:hAnsi="Times New Roman" w:eastAsia="仿宋_GB2312"/>
          <w:b/>
          <w:color w:val="auto"/>
          <w:sz w:val="24"/>
          <w:szCs w:val="24"/>
        </w:rPr>
      </w:pPr>
    </w:p>
    <w:p w14:paraId="05B6825B">
      <w:pPr>
        <w:pStyle w:val="23"/>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2"/>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5"/>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5"/>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南京路步行街中队及交警支队部分中队新址装修工程-电配套</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6"/>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南京路步行街中队及交警支队部分中队新址装修工程-电配套</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复兴东路1121号1-3层。</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hint="eastAsia" w:eastAsia="仿宋_GB2312"/>
          <w:sz w:val="24"/>
          <w:szCs w:val="24"/>
          <w:u w:val="single"/>
          <w:lang w:val="en-US" w:eastAsia="zh-CN"/>
        </w:rPr>
        <w:t>100%</w:t>
      </w:r>
      <w:r>
        <w:rPr>
          <w:rFonts w:ascii="Times New Roman" w:hAnsi="Times New Roman" w:eastAsia="仿宋_GB2312"/>
          <w:bCs/>
          <w:sz w:val="24"/>
          <w:szCs w:val="24"/>
        </w:rPr>
        <w:t>。</w:t>
      </w:r>
    </w:p>
    <w:p w14:paraId="5AE7A07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ascii="Times New Roman" w:hAnsi="Times New Roman" w:eastAsia="仿宋_GB2312"/>
          <w:bCs/>
          <w:color w:val="auto"/>
          <w:sz w:val="24"/>
          <w:szCs w:val="24"/>
          <w:u w:val="none"/>
        </w:rPr>
        <w:t>项目装修总建筑面积为6596.86平方米。主要包括含1000KVA变压器及相关变配电设备。</w:t>
      </w:r>
      <w:r>
        <w:rPr>
          <w:rFonts w:hint="eastAsia" w:eastAsia="仿宋_GB2312"/>
          <w:b w:val="0"/>
          <w:bCs/>
          <w:color w:val="auto"/>
          <w:sz w:val="24"/>
          <w:szCs w:val="24"/>
          <w:u w:val="none"/>
          <w:lang w:val="en-US" w:eastAsia="zh-CN"/>
        </w:rPr>
        <w:t>详见工程量清单及图纸</w:t>
      </w:r>
      <w:r>
        <w:rPr>
          <w:rFonts w:hint="eastAsia" w:eastAsia="仿宋_GB2312"/>
          <w:b w:val="0"/>
          <w:bCs/>
          <w:color w:val="auto"/>
          <w:sz w:val="24"/>
          <w:szCs w:val="24"/>
          <w:u w:val="none"/>
          <w:lang w:eastAsia="zh-CN"/>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highlight w:val="none"/>
          <w:u w:val="single"/>
        </w:rPr>
        <w:t>总承包</w:t>
      </w:r>
      <w:r>
        <w:rPr>
          <w:rFonts w:ascii="Times New Roman" w:hAnsi="Times New Roman" w:eastAsia="仿宋_GB2312"/>
          <w:sz w:val="24"/>
          <w:szCs w:val="24"/>
          <w:highlight w:val="none"/>
        </w:rPr>
        <w:t>。</w:t>
      </w:r>
    </w:p>
    <w:p w14:paraId="4248E2F4">
      <w:pPr>
        <w:pStyle w:val="6"/>
        <w:spacing w:before="120" w:after="120" w:line="360" w:lineRule="auto"/>
        <w:ind w:left="0" w:leftChars="0" w:firstLine="0" w:firstLineChars="0"/>
        <w:rPr>
          <w:rFonts w:ascii="Times New Roman" w:hAnsi="Times New Roman" w:eastAsia="黑体"/>
          <w:b w:val="0"/>
          <w:sz w:val="24"/>
          <w:szCs w:val="24"/>
          <w:highlight w:val="none"/>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default" w:eastAsia="仿宋_GB2312"/>
          <w:b/>
          <w:sz w:val="24"/>
          <w:szCs w:val="24"/>
          <w:highlight w:val="none"/>
          <w:u w:val="single"/>
        </w:rPr>
        <w:t>2026年6月5日</w:t>
      </w:r>
      <w:r>
        <w:rPr>
          <w:rFonts w:ascii="Times New Roman" w:hAnsi="Times New Roman" w:eastAsia="仿宋_GB2312"/>
          <w:sz w:val="24"/>
          <w:szCs w:val="24"/>
          <w:highlight w:val="none"/>
        </w:rPr>
        <w:t>。</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6"/>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05460385">
      <w:pPr>
        <w:spacing w:line="360" w:lineRule="auto"/>
        <w:ind w:firstLine="480" w:firstLineChars="200"/>
        <w:rPr>
          <w:rFonts w:ascii="Times New Roman" w:hAnsi="Times New Roman" w:eastAsia="仿宋_GB2312" w:cs="Times New Roman"/>
          <w:strike/>
          <w:dstrike w:val="0"/>
          <w:color w:val="auto"/>
          <w:kern w:val="2"/>
          <w:sz w:val="24"/>
          <w:szCs w:val="24"/>
          <w:lang w:val="en-US" w:eastAsia="zh-CN" w:bidi="ar-SA"/>
        </w:rPr>
      </w:pPr>
      <w:r>
        <w:rPr>
          <w:rFonts w:ascii="Times New Roman" w:hAnsi="Times New Roman" w:eastAsia="仿宋_GB2312"/>
          <w:color w:val="auto"/>
          <w:sz w:val="24"/>
          <w:szCs w:val="24"/>
        </w:rPr>
        <w:t>2.合同价格形式：</w:t>
      </w:r>
      <w:r>
        <w:rPr>
          <w:rFonts w:hint="eastAsia" w:ascii="Times New Roman" w:hAnsi="Times New Roman" w:eastAsia="仿宋_GB2312"/>
          <w:sz w:val="24"/>
          <w:szCs w:val="24"/>
          <w:highlight w:val="none"/>
          <w:lang w:val="en-US" w:eastAsia="zh-CN"/>
        </w:rPr>
        <w:t>单价合同。其中：其他措施费项目和安全防护、文明施工措施不因任何因素做调整，合同包干。</w:t>
      </w:r>
    </w:p>
    <w:p w14:paraId="30F899A1">
      <w:pPr>
        <w:pStyle w:val="6"/>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6"/>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6"/>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6"/>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6</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6"/>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6"/>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6"/>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5"/>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5"/>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6"/>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347155"/>
      <w:bookmarkStart w:id="35" w:name="_Toc296944495"/>
      <w:bookmarkStart w:id="36" w:name="_Toc296890984"/>
      <w:bookmarkStart w:id="37" w:name="_Toc296891196"/>
      <w:bookmarkStart w:id="38" w:name="_Toc297048342"/>
      <w:bookmarkStart w:id="39" w:name="_Toc292559361"/>
      <w:bookmarkStart w:id="40" w:name="_Toc292559866"/>
      <w:bookmarkStart w:id="41" w:name="_Toc296503156"/>
      <w:bookmarkStart w:id="42" w:name="_Toc297120456"/>
      <w:bookmarkStart w:id="43" w:name="_Toc296346657"/>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lang w:val="en-US" w:eastAsia="zh-CN"/>
        </w:rPr>
        <w:t>协议书、</w:t>
      </w:r>
      <w:r>
        <w:rPr>
          <w:rFonts w:ascii="Times New Roman" w:hAnsi="Times New Roman" w:eastAsia="仿宋_GB2312"/>
          <w:color w:val="auto"/>
          <w:sz w:val="24"/>
          <w:szCs w:val="24"/>
          <w:u w:val="single"/>
          <w:lang w:val="zh-CN" w:eastAsia="zh-CN"/>
        </w:rPr>
        <w:t>中标通知书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投标函及其附录</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专用合同条款及其附件</w:t>
      </w:r>
      <w:r>
        <w:rPr>
          <w:rFonts w:hint="eastAsia" w:ascii="Times New Roman" w:hAnsi="Times New Roman" w:eastAsia="仿宋_GB2312"/>
          <w:color w:val="auto"/>
          <w:sz w:val="24"/>
          <w:szCs w:val="24"/>
          <w:u w:val="single"/>
          <w:lang w:val="en-US" w:eastAsia="zh-CN"/>
        </w:rPr>
        <w:t>、</w:t>
      </w:r>
      <w:r>
        <w:rPr>
          <w:rFonts w:ascii="Times New Roman" w:hAnsi="Times New Roman" w:eastAsia="仿宋_GB2312"/>
          <w:color w:val="auto"/>
          <w:sz w:val="24"/>
          <w:szCs w:val="24"/>
          <w:u w:val="single"/>
          <w:lang w:val="zh-CN" w:eastAsia="zh-CN"/>
        </w:rPr>
        <w:t>通用合同条款</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技术标准和要求</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图纸</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已标价工程量清单或预算书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其他合同文件</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4295521"/>
      <w:bookmarkStart w:id="45" w:name="_Toc303539100"/>
      <w:bookmarkStart w:id="46" w:name="_Toc318581155"/>
      <w:bookmarkStart w:id="47" w:name="_Toc300934943"/>
      <w:bookmarkStart w:id="48" w:name="_Toc312677986"/>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4295522"/>
      <w:bookmarkStart w:id="50" w:name="_Toc300934944"/>
      <w:bookmarkStart w:id="51" w:name="_Toc303539101"/>
      <w:bookmarkStart w:id="52" w:name="_Toc318581156"/>
      <w:bookmarkStart w:id="53" w:name="_Toc312677987"/>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不调整。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6"/>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347156"/>
      <w:bookmarkStart w:id="57" w:name="_Toc296944496"/>
      <w:bookmarkStart w:id="58" w:name="_Toc296503157"/>
      <w:bookmarkStart w:id="59" w:name="_Toc296891197"/>
      <w:bookmarkStart w:id="60" w:name="_Toc297048343"/>
      <w:bookmarkStart w:id="61" w:name="_Toc296890985"/>
      <w:bookmarkStart w:id="62" w:name="_Toc292559362"/>
      <w:bookmarkStart w:id="63" w:name="_Toc296346658"/>
      <w:bookmarkStart w:id="64" w:name="_Toc292559867"/>
      <w:bookmarkStart w:id="65" w:name="_Toc29712045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6"/>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503158"/>
      <w:bookmarkStart w:id="68" w:name="_Toc292559868"/>
      <w:bookmarkStart w:id="69" w:name="_Toc296890986"/>
      <w:bookmarkStart w:id="70" w:name="_Toc296346659"/>
      <w:bookmarkStart w:id="71" w:name="_Toc296944497"/>
      <w:bookmarkStart w:id="72" w:name="_Toc292559363"/>
      <w:bookmarkStart w:id="73" w:name="_Toc296347157"/>
      <w:bookmarkStart w:id="74" w:name="_Toc297048344"/>
      <w:bookmarkStart w:id="75" w:name="_Toc297120458"/>
      <w:bookmarkStart w:id="76" w:name="_Toc29689119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7120459"/>
      <w:bookmarkStart w:id="78" w:name="_Toc292559869"/>
      <w:bookmarkStart w:id="79" w:name="_Toc297216151"/>
      <w:bookmarkStart w:id="80" w:name="_Toc303539102"/>
      <w:bookmarkStart w:id="81" w:name="_Toc304295523"/>
      <w:bookmarkStart w:id="82" w:name="_Toc296347158"/>
      <w:bookmarkStart w:id="83" w:name="_Toc296503159"/>
      <w:bookmarkStart w:id="84" w:name="_Toc297048345"/>
      <w:bookmarkStart w:id="85" w:name="_Toc296891199"/>
      <w:bookmarkStart w:id="86" w:name="_Toc312677988"/>
      <w:bookmarkStart w:id="87" w:name="_Toc297123492"/>
      <w:bookmarkStart w:id="88" w:name="_Toc296890987"/>
      <w:bookmarkStart w:id="89" w:name="_Toc292559364"/>
      <w:bookmarkStart w:id="90" w:name="_Toc296346660"/>
      <w:bookmarkStart w:id="91" w:name="_Toc296944498"/>
      <w:bookmarkStart w:id="92" w:name="_Toc300934945"/>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303539103"/>
      <w:bookmarkStart w:id="94" w:name="_Toc296347159"/>
      <w:bookmarkStart w:id="95" w:name="_Toc292559365"/>
      <w:bookmarkStart w:id="96" w:name="_Toc296890988"/>
      <w:bookmarkStart w:id="97" w:name="_Toc296503160"/>
      <w:bookmarkStart w:id="98" w:name="_Toc297123493"/>
      <w:bookmarkStart w:id="99" w:name="_Toc304295524"/>
      <w:bookmarkStart w:id="100" w:name="_Toc300934946"/>
      <w:bookmarkStart w:id="101" w:name="_Toc297120460"/>
      <w:bookmarkStart w:id="102" w:name="_Toc292559870"/>
      <w:bookmarkStart w:id="103" w:name="_Toc296346661"/>
      <w:bookmarkStart w:id="104" w:name="_Toc296944499"/>
      <w:bookmarkStart w:id="105" w:name="_Toc296891200"/>
      <w:bookmarkStart w:id="106" w:name="_Toc297216152"/>
      <w:bookmarkStart w:id="107" w:name="_Toc297048346"/>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7216153"/>
      <w:bookmarkStart w:id="111" w:name="_Toc297120461"/>
      <w:bookmarkStart w:id="112" w:name="_Toc304295525"/>
      <w:bookmarkStart w:id="113" w:name="_Toc296890989"/>
      <w:bookmarkStart w:id="114" w:name="_Toc300934947"/>
      <w:bookmarkStart w:id="115" w:name="_Toc296503161"/>
      <w:bookmarkStart w:id="116" w:name="_Toc296944500"/>
      <w:bookmarkStart w:id="117" w:name="_Toc303539104"/>
      <w:bookmarkStart w:id="118" w:name="_Toc296346662"/>
      <w:bookmarkStart w:id="119" w:name="_Toc296891201"/>
      <w:bookmarkStart w:id="120" w:name="_Toc297123494"/>
      <w:bookmarkStart w:id="121" w:name="_Toc297048347"/>
      <w:bookmarkStart w:id="122" w:name="_Toc296347160"/>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6"/>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891202"/>
      <w:bookmarkStart w:id="127" w:name="_Toc296346663"/>
      <w:bookmarkStart w:id="128" w:name="_Toc296944501"/>
      <w:bookmarkStart w:id="129" w:name="_Toc296890990"/>
      <w:bookmarkStart w:id="130" w:name="_Toc292559871"/>
      <w:bookmarkStart w:id="131" w:name="_Toc297048348"/>
      <w:bookmarkStart w:id="132" w:name="_Toc292559366"/>
      <w:bookmarkStart w:id="133" w:name="_Toc296503162"/>
      <w:bookmarkStart w:id="134" w:name="_Toc296347161"/>
      <w:bookmarkStart w:id="135" w:name="_Toc267251413"/>
      <w:bookmarkStart w:id="136" w:name="_Toc297120462"/>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6"/>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6503163"/>
      <w:bookmarkStart w:id="140" w:name="_Toc292559367"/>
      <w:bookmarkStart w:id="141" w:name="_Toc296944502"/>
      <w:bookmarkStart w:id="142" w:name="_Toc296891203"/>
      <w:bookmarkStart w:id="143" w:name="_Toc296890991"/>
      <w:bookmarkStart w:id="144" w:name="_Toc296347162"/>
      <w:bookmarkStart w:id="145" w:name="_Toc296346664"/>
      <w:bookmarkStart w:id="146" w:name="_Toc292559872"/>
      <w:bookmarkStart w:id="147" w:name="_Toc297120463"/>
      <w:bookmarkStart w:id="148" w:name="_Toc297048349"/>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312677997"/>
      <w:bookmarkStart w:id="151" w:name="_Toc300934949"/>
      <w:bookmarkStart w:id="152" w:name="_Toc318581164"/>
      <w:bookmarkStart w:id="153" w:name="_Toc297216155"/>
      <w:bookmarkStart w:id="154" w:name="_Toc297123496"/>
      <w:bookmarkStart w:id="155" w:name="_Toc303539106"/>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6"/>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6"/>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3539123"/>
      <w:bookmarkStart w:id="159" w:name="_Toc304295541"/>
      <w:bookmarkStart w:id="160" w:name="_Toc312677479"/>
      <w:bookmarkStart w:id="161" w:name="_Toc300934966"/>
      <w:bookmarkStart w:id="162" w:name="_Toc297123514"/>
      <w:bookmarkStart w:id="163" w:name="_Toc297216173"/>
      <w:bookmarkStart w:id="164" w:name="_Toc312678005"/>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12677484"/>
      <w:bookmarkStart w:id="166" w:name="_Toc300934968"/>
      <w:bookmarkStart w:id="167" w:name="_Toc304295546"/>
      <w:bookmarkStart w:id="168" w:name="_Toc297123516"/>
      <w:bookmarkStart w:id="169" w:name="_Toc297216175"/>
      <w:bookmarkStart w:id="170" w:name="_Toc303539125"/>
      <w:bookmarkStart w:id="171" w:name="_Toc312678010"/>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7486"/>
      <w:bookmarkStart w:id="173" w:name="_Toc318581169"/>
      <w:bookmarkStart w:id="174" w:name="_Toc312678012"/>
      <w:bookmarkStart w:id="175" w:name="_Toc300934970"/>
      <w:bookmarkStart w:id="176" w:name="_Toc304295548"/>
      <w:bookmarkStart w:id="177" w:name="_Toc303539127"/>
      <w:bookmarkStart w:id="178" w:name="_Toc297123518"/>
      <w:bookmarkStart w:id="179" w:name="_Toc297216177"/>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7487"/>
      <w:bookmarkStart w:id="181" w:name="_Toc312678013"/>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如投标无承诺，双方协商确定</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300934971"/>
      <w:bookmarkStart w:id="186" w:name="_Toc297216178"/>
      <w:bookmarkStart w:id="187" w:name="_Toc297123519"/>
      <w:bookmarkStart w:id="188" w:name="_Toc303539128"/>
      <w:bookmarkStart w:id="189" w:name="_Toc312678015"/>
      <w:bookmarkStart w:id="190" w:name="_Toc304295549"/>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12678016"/>
      <w:bookmarkStart w:id="192" w:name="_Toc304295550"/>
      <w:bookmarkStart w:id="193" w:name="_Toc300934972"/>
      <w:bookmarkStart w:id="194" w:name="_Toc318581172"/>
      <w:bookmarkStart w:id="195" w:name="_Toc303539129"/>
      <w:bookmarkStart w:id="196" w:name="_Toc297216179"/>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303539130"/>
      <w:bookmarkStart w:id="199" w:name="_Toc304295551"/>
      <w:bookmarkStart w:id="200" w:name="_Toc297123521"/>
      <w:bookmarkStart w:id="201" w:name="_Toc300934973"/>
      <w:bookmarkStart w:id="202" w:name="_Toc297216180"/>
      <w:bookmarkStart w:id="203" w:name="_Toc312678017"/>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6"/>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2559877"/>
      <w:bookmarkStart w:id="206" w:name="_Toc303539136"/>
      <w:bookmarkStart w:id="207" w:name="_Toc280868654"/>
      <w:bookmarkStart w:id="208" w:name="_Toc296347166"/>
      <w:bookmarkStart w:id="209" w:name="_Toc300934979"/>
      <w:bookmarkStart w:id="210" w:name="_Toc297048353"/>
      <w:bookmarkStart w:id="211" w:name="_Toc296944506"/>
      <w:bookmarkStart w:id="212" w:name="_Toc297123527"/>
      <w:bookmarkStart w:id="213" w:name="_Toc304295556"/>
      <w:bookmarkStart w:id="214" w:name="_Toc312678019"/>
      <w:bookmarkStart w:id="215" w:name="_Toc296891207"/>
      <w:bookmarkStart w:id="216" w:name="_Toc292559372"/>
      <w:bookmarkStart w:id="217" w:name="_Toc312677493"/>
      <w:bookmarkStart w:id="218" w:name="_Toc296503167"/>
      <w:bookmarkStart w:id="219" w:name="_Toc296890995"/>
      <w:bookmarkStart w:id="220" w:name="_Toc297216186"/>
      <w:bookmarkStart w:id="221" w:name="_Toc296346668"/>
      <w:bookmarkStart w:id="222" w:name="_Toc297120467"/>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8</w:t>
      </w:r>
      <w:bookmarkStart w:id="226" w:name="_Toc292559878"/>
      <w:bookmarkStart w:id="227" w:name="_Toc292559373"/>
      <w:bookmarkStart w:id="228" w:name="_Toc318581173"/>
      <w:bookmarkStart w:id="229" w:name="_Toc296503168"/>
      <w:bookmarkStart w:id="230" w:name="_Toc296890996"/>
      <w:bookmarkStart w:id="231" w:name="_Toc312678020"/>
      <w:bookmarkStart w:id="232" w:name="_Toc312677494"/>
      <w:bookmarkStart w:id="233" w:name="_Toc303539137"/>
      <w:bookmarkStart w:id="234" w:name="_Toc297216187"/>
      <w:bookmarkStart w:id="235" w:name="_Toc296944507"/>
      <w:bookmarkStart w:id="236" w:name="_Toc300934980"/>
      <w:bookmarkStart w:id="237" w:name="_Toc297120468"/>
      <w:bookmarkStart w:id="238" w:name="_Toc297048354"/>
      <w:bookmarkStart w:id="239" w:name="_Toc304295557"/>
      <w:bookmarkStart w:id="240" w:name="_Toc296346669"/>
      <w:bookmarkStart w:id="241" w:name="_Toc296347167"/>
      <w:bookmarkStart w:id="242" w:name="_Toc297123528"/>
      <w:bookmarkStart w:id="243" w:name="_Toc296891208"/>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hint="eastAsia" w:ascii="Times New Roman" w:hAnsi="Times New Roman" w:eastAsia="仿宋_GB2312"/>
          <w:color w:val="auto"/>
          <w:sz w:val="24"/>
          <w:szCs w:val="24"/>
          <w:u w:val="single"/>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hint="eastAsia" w:ascii="Times New Roman" w:hAnsi="Times New Roman" w:eastAsia="仿宋_GB2312"/>
          <w:color w:val="auto"/>
          <w:sz w:val="24"/>
          <w:szCs w:val="24"/>
          <w:u w:val="single"/>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6"/>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12678021"/>
      <w:bookmarkStart w:id="246" w:name="_Toc297123533"/>
      <w:bookmarkStart w:id="247" w:name="_Toc303539139"/>
      <w:bookmarkStart w:id="248" w:name="_Toc312677495"/>
      <w:bookmarkStart w:id="249" w:name="_Toc300934982"/>
      <w:bookmarkStart w:id="250" w:name="_Toc297216192"/>
      <w:bookmarkStart w:id="251" w:name="_Toc304295559"/>
      <w:bookmarkStart w:id="252" w:name="_Toc296346674"/>
      <w:bookmarkStart w:id="253" w:name="_Toc296944512"/>
      <w:bookmarkStart w:id="254" w:name="_Toc297048359"/>
      <w:bookmarkStart w:id="255" w:name="_Toc296891213"/>
      <w:bookmarkStart w:id="256" w:name="_Toc292559378"/>
      <w:bookmarkStart w:id="257" w:name="_Toc292559883"/>
      <w:bookmarkStart w:id="258" w:name="_Toc296503173"/>
      <w:bookmarkStart w:id="259" w:name="_Toc267251427"/>
      <w:bookmarkStart w:id="260" w:name="_Toc297120473"/>
      <w:bookmarkStart w:id="261" w:name="_Toc296347172"/>
      <w:bookmarkStart w:id="262" w:name="_Toc296891001"/>
      <w:bookmarkStart w:id="263" w:name="_Toc267251428"/>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03539140"/>
      <w:bookmarkStart w:id="265" w:name="_Toc312677496"/>
      <w:bookmarkStart w:id="266" w:name="_Toc300934983"/>
      <w:bookmarkStart w:id="267" w:name="_Toc312678022"/>
      <w:bookmarkStart w:id="268" w:name="_Toc297216193"/>
      <w:bookmarkStart w:id="269" w:name="_Toc297123534"/>
      <w:bookmarkStart w:id="270" w:name="_Toc30429556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3539141"/>
      <w:bookmarkStart w:id="272" w:name="_Toc312677497"/>
      <w:bookmarkStart w:id="273" w:name="_Toc297216194"/>
      <w:bookmarkStart w:id="274" w:name="_Toc304295561"/>
      <w:bookmarkStart w:id="275" w:name="_Toc300934984"/>
      <w:bookmarkStart w:id="276" w:name="_Toc312678023"/>
      <w:bookmarkStart w:id="277" w:name="_Toc297123535"/>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297216195"/>
      <w:bookmarkStart w:id="280" w:name="_Toc303539142"/>
      <w:bookmarkStart w:id="281" w:name="_Toc300934985"/>
      <w:bookmarkStart w:id="282" w:name="_Toc304295562"/>
      <w:bookmarkStart w:id="283" w:name="_Toc312678024"/>
      <w:bookmarkStart w:id="284" w:name="_Toc312677498"/>
      <w:bookmarkStart w:id="285" w:name="_Toc297123536"/>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6"/>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7123540"/>
      <w:bookmarkStart w:id="288" w:name="_Toc297120493"/>
      <w:bookmarkStart w:id="289" w:name="_Toc292559398"/>
      <w:bookmarkStart w:id="290" w:name="_Toc296347192"/>
      <w:bookmarkStart w:id="291" w:name="_Toc292559903"/>
      <w:bookmarkStart w:id="292" w:name="_Toc296503193"/>
      <w:bookmarkStart w:id="293" w:name="_Toc304295566"/>
      <w:bookmarkStart w:id="294" w:name="_Toc297216199"/>
      <w:bookmarkStart w:id="295" w:name="_Toc296891233"/>
      <w:bookmarkStart w:id="296" w:name="_Toc297048379"/>
      <w:bookmarkStart w:id="297" w:name="_Toc296346694"/>
      <w:bookmarkStart w:id="298" w:name="_Toc296944532"/>
      <w:bookmarkStart w:id="299" w:name="_Toc303539146"/>
      <w:bookmarkStart w:id="300" w:name="_Toc300934989"/>
      <w:bookmarkStart w:id="301" w:name="_Toc296891021"/>
      <w:bookmarkStart w:id="302" w:name="_Toc312677499"/>
      <w:bookmarkStart w:id="303" w:name="_Toc312678025"/>
      <w:bookmarkStart w:id="304" w:name="_Toc267251433"/>
      <w:bookmarkStart w:id="305" w:name="_Toc267251441"/>
      <w:bookmarkStart w:id="306" w:name="_Toc267251440"/>
      <w:bookmarkStart w:id="307" w:name="_Toc267251437"/>
      <w:bookmarkStart w:id="308" w:name="_Toc267251439"/>
      <w:bookmarkStart w:id="309" w:name="_Toc267251435"/>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303539147"/>
      <w:bookmarkStart w:id="312" w:name="_Toc304295567"/>
      <w:bookmarkStart w:id="313" w:name="_Toc296891234"/>
      <w:bookmarkStart w:id="314" w:name="_Toc297123541"/>
      <w:bookmarkStart w:id="315" w:name="_Toc292559904"/>
      <w:bookmarkStart w:id="316" w:name="_Toc300934990"/>
      <w:bookmarkStart w:id="317" w:name="_Toc312678026"/>
      <w:bookmarkStart w:id="318" w:name="_Toc296891022"/>
      <w:bookmarkStart w:id="319" w:name="_Toc297120494"/>
      <w:bookmarkStart w:id="320" w:name="_Toc296503194"/>
      <w:bookmarkStart w:id="321" w:name="_Toc296944533"/>
      <w:bookmarkStart w:id="322" w:name="_Toc296346695"/>
      <w:bookmarkStart w:id="323" w:name="_Toc297216200"/>
      <w:bookmarkStart w:id="324" w:name="_Toc312677500"/>
      <w:bookmarkStart w:id="325" w:name="_Toc292559399"/>
      <w:bookmarkStart w:id="326" w:name="_Toc297048380"/>
      <w:bookmarkStart w:id="327" w:name="_Toc296347193"/>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strike w:val="0"/>
          <w:dstrike w:val="0"/>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6FB6C27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strike w:val="0"/>
          <w:dstrike w:val="0"/>
          <w:color w:val="auto"/>
          <w:sz w:val="24"/>
          <w:szCs w:val="24"/>
          <w:u w:val="single"/>
          <w:lang w:eastAsia="zh-CN"/>
        </w:rPr>
        <w:t>（1）变更导致实际完成的变更工程量与投标工程量清单列明的该子目工程量的变化，原投标单价不作调整；</w:t>
      </w:r>
    </w:p>
    <w:p w14:paraId="2E768856">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（2）由于非承包人原因引起的变更所引起的新的工程量清单项目，发生的数量可按实计算，其相应的综合单价按照如下办法执行：</w:t>
      </w:r>
    </w:p>
    <w:p w14:paraId="0189612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合同中已有适用于变更工程的价格，按合同已有的价格变更合同价款；</w:t>
      </w:r>
    </w:p>
    <w:p w14:paraId="09AB117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只有类似于变更工程的价格，可以参照类似价格变更合同价款(消耗量如合同工程量清单中类似项目的综合单价有两个以上，则由发包人按消耗量最少、管理费和利润取费最低的优先顺序选择类似项目综合单价进行换算)，此条款只适用于同种类材料且该材料的施工工艺基本相同的项目变更，变更公式如下：</w:t>
      </w:r>
    </w:p>
    <w:p w14:paraId="5D2E4A73">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变更综合单价=投标报价综合单价+(变更材料批价-投标材料价)X(1+损耗率)</w:t>
      </w:r>
    </w:p>
    <w:p w14:paraId="35138FD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合同中没有适用或类似于变更工程的价格，由承包人提出适当的变更价格，经工程师（投资监理工程师）确认后执行。变更价格的组价原则：</w:t>
      </w:r>
    </w:p>
    <w:p w14:paraId="6CE2214C">
      <w:pPr>
        <w:spacing w:line="360" w:lineRule="auto"/>
        <w:ind w:firstLine="600"/>
        <w:jc w:val="left"/>
        <w:rPr>
          <w:rFonts w:hint="eastAsia" w:ascii="Times New Roman" w:hAnsi="Times New Roman" w:eastAsia="仿宋_GB2312"/>
          <w:strike w:val="0"/>
          <w:dstrike w:val="0"/>
          <w:color w:val="auto"/>
          <w:sz w:val="24"/>
          <w:szCs w:val="24"/>
          <w:highlight w:val="none"/>
          <w:u w:val="single"/>
          <w:lang w:eastAsia="zh-CN"/>
        </w:rPr>
      </w:pPr>
      <w:r>
        <w:rPr>
          <w:rFonts w:hint="eastAsia" w:ascii="Times New Roman" w:hAnsi="Times New Roman" w:eastAsia="仿宋_GB2312"/>
          <w:strike w:val="0"/>
          <w:dstrike w:val="0"/>
          <w:color w:val="auto"/>
          <w:sz w:val="24"/>
          <w:szCs w:val="24"/>
          <w:u w:val="single"/>
          <w:lang w:eastAsia="zh-CN"/>
        </w:rPr>
        <w:t>①  工程量：依据正式施工图、设计变更、经审定的各类技术文件及其它有效资料，计算规</w:t>
      </w:r>
      <w:r>
        <w:rPr>
          <w:rFonts w:hint="eastAsia" w:ascii="Times New Roman" w:hAnsi="Times New Roman" w:eastAsia="仿宋_GB2312"/>
          <w:strike w:val="0"/>
          <w:dstrike w:val="0"/>
          <w:color w:val="auto"/>
          <w:sz w:val="24"/>
          <w:szCs w:val="24"/>
          <w:highlight w:val="none"/>
          <w:u w:val="single"/>
          <w:lang w:eastAsia="zh-CN"/>
        </w:rPr>
        <w:t>则按《建设工程工程量清单计价规范》GB/T50500-2024、上海市建设工程工程量清单计价应用规则(2025版)；</w:t>
      </w:r>
    </w:p>
    <w:p w14:paraId="2E57B762">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highlight w:val="none"/>
          <w:u w:val="single"/>
          <w:lang w:eastAsia="zh-CN"/>
        </w:rPr>
        <w:t>②人工、材料、机械的消耗量合同中有相同或类似的消耗量参照合同已有消耗量，无类似则按《建设工程工程量清单计价规范》GB/T50500-2024、上海市建设工程工程量清单计价应用规则(2025版)；无法套用</w:t>
      </w:r>
      <w:r>
        <w:rPr>
          <w:rFonts w:hint="eastAsia" w:ascii="Times New Roman" w:hAnsi="Times New Roman" w:eastAsia="仿宋_GB2312"/>
          <w:strike w:val="0"/>
          <w:dstrike w:val="0"/>
          <w:color w:val="auto"/>
          <w:sz w:val="24"/>
          <w:szCs w:val="24"/>
          <w:u w:val="single"/>
          <w:lang w:eastAsia="zh-CN"/>
        </w:rPr>
        <w:t>的，由承包人按具体工程分项的内容按实确定消耗水平，经发包人核定后执行；</w:t>
      </w:r>
    </w:p>
    <w:p w14:paraId="294C0E1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③ 人工、材料、机械的单价，原投标书中已有的按投标单价；人工、主要材料、机械的价格若投标时没有的，按上海市建设市场信息服务平台发布的施工当月的信息价下浮5%计取，如信息价中未明确的则根据公平合理市场价由发包人和承包人协商确定。承包人不得以此为由而停工、怠工，影响工程进度，否则发包人将视作承包人违约。</w:t>
      </w:r>
    </w:p>
    <w:p w14:paraId="7E31F54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④  管理费、利润按承包人投标的标准执行；规费和税金如无政策性变动按承包人投标标准执行，如遇国家政策性变化则按政策调整规定执行。</w:t>
      </w:r>
    </w:p>
    <w:p w14:paraId="22FE4227">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⑤  因承包人自身原因导致的工程变更，承包人无权要求追加合同价款。因承包人自身原因导致的工程变更，承包人无权要求追加合同价款。</w:t>
      </w:r>
    </w:p>
    <w:p w14:paraId="550F15E5">
      <w:pPr>
        <w:spacing w:line="360" w:lineRule="auto"/>
        <w:ind w:firstLine="600"/>
        <w:jc w:val="left"/>
        <w:rPr>
          <w:rFonts w:ascii="Times New Roman" w:hAnsi="Times New Roman" w:eastAsia="仿宋_GB2312"/>
          <w:color w:val="auto"/>
          <w:sz w:val="24"/>
          <w:szCs w:val="24"/>
          <w:u w:val="single"/>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（3）承包人填写的措施费及总承包服务费，应被视为包含了根据合同进行施工的全部工程，发生任何变更和签证时，不再计取额外的上述费用（除模板、脚手架之外） 。</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6891025"/>
      <w:bookmarkStart w:id="329" w:name="_Toc297048383"/>
      <w:bookmarkStart w:id="330" w:name="_Toc300934993"/>
      <w:bookmarkStart w:id="331" w:name="_Toc297216203"/>
      <w:bookmarkStart w:id="332" w:name="_Toc297123544"/>
      <w:bookmarkStart w:id="333" w:name="_Toc296503197"/>
      <w:bookmarkStart w:id="334" w:name="_Toc303539150"/>
      <w:bookmarkStart w:id="335" w:name="_Toc296346698"/>
      <w:bookmarkStart w:id="336" w:name="_Toc292559907"/>
      <w:bookmarkStart w:id="337" w:name="_Toc296347196"/>
      <w:bookmarkStart w:id="338" w:name="_Toc296891237"/>
      <w:bookmarkStart w:id="339" w:name="_Toc297120497"/>
      <w:bookmarkStart w:id="340" w:name="_Toc296944536"/>
      <w:bookmarkStart w:id="341" w:name="_Toc292559402"/>
      <w:bookmarkStart w:id="342" w:name="_Toc304295570"/>
      <w:bookmarkStart w:id="343" w:name="_Toc312677503"/>
      <w:bookmarkStart w:id="344" w:name="_Toc312678029"/>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6944542"/>
      <w:bookmarkStart w:id="346" w:name="_Toc296346704"/>
      <w:bookmarkStart w:id="347" w:name="_Toc296503203"/>
      <w:bookmarkStart w:id="348" w:name="_Toc297048389"/>
      <w:bookmarkStart w:id="349" w:name="_Toc296891031"/>
      <w:bookmarkStart w:id="350" w:name="_Toc297216204"/>
      <w:bookmarkStart w:id="351" w:name="_Toc292559408"/>
      <w:bookmarkStart w:id="352" w:name="_Toc296891243"/>
      <w:bookmarkStart w:id="353" w:name="_Toc303539151"/>
      <w:bookmarkStart w:id="354" w:name="_Toc296347202"/>
      <w:bookmarkStart w:id="355" w:name="_Toc300934994"/>
      <w:bookmarkStart w:id="356" w:name="_Toc297123545"/>
      <w:bookmarkStart w:id="357" w:name="_Toc297120503"/>
      <w:bookmarkStart w:id="358" w:name="_Toc292559913"/>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7216205"/>
      <w:bookmarkStart w:id="360" w:name="_Toc303539152"/>
      <w:bookmarkStart w:id="361" w:name="_Toc296891032"/>
      <w:bookmarkStart w:id="362" w:name="_Toc297120504"/>
      <w:bookmarkStart w:id="363" w:name="_Toc296944543"/>
      <w:bookmarkStart w:id="364" w:name="_Toc318581175"/>
      <w:bookmarkStart w:id="365" w:name="_Toc296347203"/>
      <w:bookmarkStart w:id="366" w:name="_Toc296346705"/>
      <w:bookmarkStart w:id="367" w:name="_Toc297048390"/>
      <w:bookmarkStart w:id="368" w:name="_Toc292559914"/>
      <w:bookmarkStart w:id="369" w:name="_Toc312677504"/>
      <w:bookmarkStart w:id="370" w:name="_Toc297123546"/>
      <w:bookmarkStart w:id="371" w:name="_Toc312678030"/>
      <w:bookmarkStart w:id="372" w:name="_Toc296503204"/>
      <w:bookmarkStart w:id="373" w:name="_Toc292559409"/>
      <w:bookmarkStart w:id="374" w:name="_Toc300934995"/>
      <w:bookmarkStart w:id="375" w:name="_Toc304295571"/>
      <w:bookmarkStart w:id="376" w:name="_Toc296891244"/>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312677507"/>
      <w:bookmarkStart w:id="378" w:name="_Toc312678033"/>
      <w:bookmarkStart w:id="379" w:name="_Toc296891027"/>
      <w:bookmarkStart w:id="380" w:name="_Toc297120499"/>
      <w:bookmarkStart w:id="381" w:name="_Toc297048385"/>
      <w:bookmarkStart w:id="382" w:name="_Toc300934997"/>
      <w:bookmarkStart w:id="383" w:name="_Toc296346700"/>
      <w:bookmarkStart w:id="384" w:name="_Toc304295574"/>
      <w:bookmarkStart w:id="385" w:name="_Toc303539154"/>
      <w:bookmarkStart w:id="386" w:name="_Toc296503199"/>
      <w:bookmarkStart w:id="387" w:name="_Toc296891239"/>
      <w:bookmarkStart w:id="388" w:name="_Toc297216207"/>
      <w:bookmarkStart w:id="389" w:name="_Toc296944538"/>
      <w:bookmarkStart w:id="390" w:name="_Toc292559404"/>
      <w:bookmarkStart w:id="391" w:name="_Toc297123548"/>
      <w:bookmarkStart w:id="392" w:name="_Toc292559909"/>
      <w:bookmarkStart w:id="393" w:name="_Toc29634719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8034"/>
      <w:bookmarkStart w:id="396" w:name="_Toc312677508"/>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8581177"/>
      <w:bookmarkStart w:id="398" w:name="_Toc312677509"/>
      <w:bookmarkStart w:id="399" w:name="_Toc312678035"/>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6"/>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303539157"/>
      <w:bookmarkStart w:id="402" w:name="_Toc296346702"/>
      <w:bookmarkStart w:id="403" w:name="_Toc296347200"/>
      <w:bookmarkStart w:id="404" w:name="_Toc297123550"/>
      <w:bookmarkStart w:id="405" w:name="_Toc297120501"/>
      <w:bookmarkStart w:id="406" w:name="_Toc304295577"/>
      <w:bookmarkStart w:id="407" w:name="_Toc312678039"/>
      <w:bookmarkStart w:id="408" w:name="_Toc292559406"/>
      <w:bookmarkStart w:id="409" w:name="_Toc296944540"/>
      <w:bookmarkStart w:id="410" w:name="_Toc297216209"/>
      <w:bookmarkStart w:id="411" w:name="_Toc297048387"/>
      <w:bookmarkStart w:id="412" w:name="_Toc296891029"/>
      <w:bookmarkStart w:id="413" w:name="_Toc300935000"/>
      <w:bookmarkStart w:id="414" w:name="_Toc296503201"/>
      <w:bookmarkStart w:id="415" w:name="_Toc292559911"/>
      <w:bookmarkStart w:id="416" w:name="_Toc29689124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其他价格调整方式：总价措施费闭口包干，单价措施费中的（脚手架、模板）按实结算，其余单价措施费闭口包干。</w:t>
      </w:r>
    </w:p>
    <w:bookmarkEnd w:id="304"/>
    <w:bookmarkEnd w:id="305"/>
    <w:bookmarkEnd w:id="306"/>
    <w:bookmarkEnd w:id="307"/>
    <w:bookmarkEnd w:id="308"/>
    <w:bookmarkEnd w:id="309"/>
    <w:p w14:paraId="0E6C976C">
      <w:pPr>
        <w:pStyle w:val="6"/>
        <w:spacing w:before="120" w:after="120" w:line="360" w:lineRule="auto"/>
        <w:ind w:left="0" w:leftChars="0" w:firstLine="0" w:firstLineChars="0"/>
        <w:rPr>
          <w:rFonts w:ascii="Times New Roman" w:hAnsi="Times New Roman" w:eastAsia="黑体"/>
          <w:b w:val="0"/>
          <w:color w:val="auto"/>
          <w:sz w:val="24"/>
          <w:szCs w:val="24"/>
        </w:rPr>
      </w:pPr>
      <w:bookmarkStart w:id="417" w:name="_Toc292559915"/>
      <w:bookmarkStart w:id="418" w:name="_Toc296891033"/>
      <w:bookmarkStart w:id="419" w:name="_Toc296503205"/>
      <w:bookmarkStart w:id="420" w:name="_Toc297120505"/>
      <w:bookmarkStart w:id="421" w:name="_Toc292559410"/>
      <w:bookmarkStart w:id="422" w:name="_Toc296891245"/>
      <w:bookmarkStart w:id="423" w:name="_Toc296346706"/>
      <w:bookmarkStart w:id="424" w:name="_Toc296347204"/>
      <w:bookmarkStart w:id="425" w:name="_Toc296944544"/>
      <w:bookmarkStart w:id="426" w:name="_Toc297048391"/>
      <w:bookmarkStart w:id="427" w:name="_Toc351203644"/>
      <w:bookmarkStart w:id="428" w:name="_Toc297123552"/>
      <w:bookmarkStart w:id="429" w:name="_Toc300935002"/>
      <w:bookmarkStart w:id="430" w:name="_Toc303539159"/>
      <w:bookmarkStart w:id="431" w:name="_Toc304295579"/>
      <w:bookmarkStart w:id="432" w:name="_Toc312678040"/>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92559411"/>
      <w:bookmarkStart w:id="436" w:name="_Toc267251461"/>
      <w:bookmarkStart w:id="437" w:name="_Toc296944545"/>
      <w:bookmarkStart w:id="438" w:name="_Toc296503206"/>
      <w:bookmarkStart w:id="439" w:name="_Toc296346707"/>
      <w:bookmarkStart w:id="440" w:name="_Toc296347205"/>
      <w:bookmarkStart w:id="441" w:name="_Toc296891246"/>
      <w:bookmarkStart w:id="442" w:name="_Toc297048392"/>
      <w:bookmarkStart w:id="443" w:name="_Toc297120506"/>
      <w:bookmarkStart w:id="444" w:name="_Toc296891034"/>
      <w:bookmarkStart w:id="445" w:name="_Toc303539160"/>
      <w:bookmarkStart w:id="446" w:name="_Toc297123553"/>
      <w:bookmarkStart w:id="447" w:name="_Toc297216212"/>
      <w:bookmarkStart w:id="448" w:name="_Toc304295580"/>
      <w:bookmarkStart w:id="449" w:name="_Toc300935003"/>
      <w:bookmarkStart w:id="450" w:name="_Toc312678041"/>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eastAsia="仿宋_GB2312"/>
          <w:color w:val="auto"/>
          <w:sz w:val="24"/>
          <w:szCs w:val="24"/>
          <w:lang w:eastAsia="zh-CN"/>
        </w:rPr>
        <w:t>）</w:t>
      </w:r>
      <w:r>
        <w:rPr>
          <w:rFonts w:ascii="Times New Roman" w:hAnsi="Times New Roman" w:eastAsia="仿宋_GB2312"/>
          <w:color w:val="auto"/>
          <w:sz w:val="24"/>
          <w:szCs w:val="24"/>
        </w:rPr>
        <w:t>单价合同。</w:t>
      </w:r>
    </w:p>
    <w:p w14:paraId="2FA6962A">
      <w:pPr>
        <w:spacing w:line="360" w:lineRule="auto"/>
        <w:ind w:firstLine="480" w:firstLineChars="200"/>
        <w:jc w:val="left"/>
        <w:rPr>
          <w:rFonts w:ascii="Times New Roman" w:hAnsi="Times New Roman" w:eastAsia="仿宋_GB2312"/>
          <w:color w:val="auto"/>
          <w:sz w:val="24"/>
          <w:szCs w:val="24"/>
        </w:rPr>
      </w:pPr>
    </w:p>
    <w:p w14:paraId="4016BC93">
      <w:pPr>
        <w:spacing w:line="360" w:lineRule="auto"/>
        <w:jc w:val="left"/>
        <w:rPr>
          <w:rFonts w:hint="eastAsia" w:ascii="Times New Roman" w:hAnsi="Times New Roman" w:eastAsia="仿宋_GB2312"/>
          <w:color w:val="auto"/>
          <w:sz w:val="24"/>
          <w:szCs w:val="24"/>
          <w:u w:val="single"/>
          <w:lang w:val="en-US" w:eastAsia="zh-CN"/>
        </w:rPr>
      </w:pPr>
      <w:r>
        <w:rPr>
          <w:rFonts w:ascii="等线" w:hAnsi="等线" w:eastAsia="等线" w:cs="等线"/>
          <w:spacing w:val="-1"/>
          <w:lang w:eastAsia="zh-CN"/>
        </w:rPr>
        <w:t>1</w:t>
      </w:r>
      <w:r>
        <w:rPr>
          <w:rFonts w:ascii="等线" w:hAnsi="等线" w:eastAsia="等线" w:cs="等线"/>
          <w:spacing w:val="-28"/>
          <w:lang w:eastAsia="zh-CN"/>
        </w:rPr>
        <w:t xml:space="preserve"> </w:t>
      </w:r>
      <w:r>
        <w:rPr>
          <w:rFonts w:ascii="等线" w:hAnsi="等线" w:eastAsia="等线" w:cs="等线"/>
          <w:spacing w:val="-1"/>
          <w:lang w:eastAsia="zh-CN"/>
        </w:rPr>
        <w:t>、</w:t>
      </w:r>
      <w:r>
        <w:rPr>
          <w:rFonts w:hint="eastAsia" w:ascii="Times New Roman" w:hAnsi="Times New Roman" w:eastAsia="仿宋_GB2312"/>
          <w:color w:val="auto"/>
          <w:sz w:val="24"/>
          <w:szCs w:val="24"/>
          <w:u w:val="single"/>
          <w:lang w:val="en-US" w:eastAsia="zh-CN"/>
        </w:rPr>
        <w:t>综合单价是完成工程量清单中一个规定计量单位项目所需的费用，应包括人工费、材料费、施工机具使用费、企业管理费及投标人的期望利润等为完成该项目所需的一切费用（规费和 增值税除外），并考虑招标文件中规定的或投标人为完成规定计量单位项目可能承担的责任、义务及约定的风险因素。</w:t>
      </w:r>
    </w:p>
    <w:p w14:paraId="091CEA2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综合单价以保证工程质量、工程进度为前提。无论合同价格清单中项目特征和工作内容提到与否，承包人均应在综合单价中考虑所采取的施工方法所需的辅助材料，并自行选择质量优良、环保型的材料设备。</w:t>
      </w:r>
    </w:p>
    <w:p w14:paraId="4B21BB2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包含的风险范围：包括不限于包深化设计、包工、包料、包工期、包质量、包安全、包测试、包工资及材料和机械价之任何市场差价、管理费、利润、临时用电费、临时用水费、临时排水费、保险、必须的加班费、费率或汇率的变动、专利费、包装空运、国外及本地存仓、运输、装卸、现场仓储和运输、保管、因非发包方原因造成的材料、设备或施工机械迟到工地的窝工费等。综合单价除按本合同规定外，不得以任何方式调整或变更。</w:t>
      </w:r>
    </w:p>
    <w:p w14:paraId="7D02302C">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风险费用的计算方法：风险范围以内费用包含在综合单价内中。</w:t>
      </w:r>
    </w:p>
    <w:p w14:paraId="74F16A86">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风险范围以外合同价格的调整方法：无。</w:t>
      </w:r>
    </w:p>
    <w:p w14:paraId="59AE3A71">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2、本工程价款已包含且不限于通过政府有关部门、发包人、监理及第三方机构等各方的各项验收及正常使用所需的一切劳务费用、机械设备费、材料费、深化设计费、各类措施费、配合管理费、总部管理费、周边协调与处理费、政府规定缴纳的费用以及档案资料、审批、提供竣工图及相关竣工资料相关费用、协调处理、配件、各工艺工序、损耗、备件、税费、包装、运输、保险、质检、检测（除甲方另有约定）、利润，以及进口材料须缴纳的各项费用（如有）、增值税及完成本工程不可或缺的一切事务的费用。</w:t>
      </w:r>
    </w:p>
    <w:p w14:paraId="20930C30">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3、本合同为单价包干及措施费总价（模板、脚手架费用除外）包干。</w:t>
      </w:r>
    </w:p>
    <w:p w14:paraId="74B4CD55">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4、措施费：</w:t>
      </w:r>
    </w:p>
    <w:p w14:paraId="4A08239E">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措施费为包干价，不因设计变更、工程量变化、工程范围变化等任何因素而调整。乙方不得以踏勘不清、对周边环境了解不足或以提供现状图纸、资料不详或错误为由提出措施类项目存在漏项、错项、缺项、少报等额外索赔要求，或以措施报价时无法预料或考虑不足，以及政府有额外要求等任何理由，提出增加费用的要求；也不得擅自降低措施标准的方式来进行措施管理，如出现类似情况，发包人或监理单位有权要求整改，如承包人拒不整改，发包人有权落实第三方进 行实施，相关措施费按承包人报价所相应的清单措施价的 2 倍金额进行扣除并在当期工程款中一次性扣除，承包人不得阻挠第三方正常的进场及施工。</w:t>
      </w:r>
    </w:p>
    <w:p w14:paraId="72BE2BA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5、本工程报价为包施工、包括但不限于深化设计、环境及安全、进度、质量、协调、验收等，其中投标文件清单价已包含以上所有内容，报价文件中存在的错、缺、漏部分都已包含；除合同约定的调整范围外，本项目不考虑人工、材料、机械调差要求及其他政策性调整；总包风险包括但不限于人工、材料、机械、政策性变化及现场条件、施工中的障碍物等因素、原结构一般性结构缺陷、施工中的各种风险、周边居民及政府部门的协调处理、因乙方施工方案变化或调整、周边管线、河道及地铁、地下障碍物及原建筑结构缺陷、周边建筑物的保护与维修等而引起的费用增加等风险因素，以上风险，均由承包人承担。风险费用的计算方式：已包含在签约的合同单价及措施费内。</w:t>
      </w:r>
    </w:p>
    <w:p w14:paraId="68507719">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6、发包人负责或发包人与承包人联合招标的工程，承包人除收取中标价中对应的配合管理费，承包人不得再额外向分包工程单位收取配合管理费。</w:t>
      </w:r>
    </w:p>
    <w:p w14:paraId="061FDE3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7、承包人承诺对本工程的资金风险、进度要求及支付条件及要求等全方面已做了充分了解，并对自身企业的资金情况与能力做了充分的安排和考虑，且有足够的资金与能力来承接本合同工作内容。承包人承诺工程款实行专款专用，不因包括设计变更或签证或责任分歧未谈妥或其他任何原因为借口，拒绝正常施工，承包人以此承诺并保证工程正常进行，严格按合同工期保质保量的完成所有工程。本条款为承包人真实意思表示，不存在重大误解、也不存在欺诈、胁迫或乘人之危等行为，承包人也不以对此条款没有足够的理解等原因在合同履行过程中向发包人提出质疑、拒绝、索赔、逾期等要求。</w:t>
      </w:r>
    </w:p>
    <w:p w14:paraId="677EACFD">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8、在合同履行过程中，若涉及双方当事人信息变更或更新的，包含但不限于公司名称、纳税人识别号、税务登记信息、纳税人性质、用章等应在办理时及时告知对方，办理完成后提供相关书面资料。因承包人未及时告知发包方相应变更情况，导致发包人不能正常支付工程款的，发包人可暂缓支付工程款，且不视为违约，由此造成的损失由承包人承担。”</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hint="eastAsia" w:eastAsia="仿宋_GB2312"/>
          <w:color w:val="auto"/>
          <w:sz w:val="24"/>
          <w:szCs w:val="24"/>
          <w:lang w:eastAsia="zh-CN"/>
        </w:rPr>
        <w:t>）</w:t>
      </w:r>
      <w:r>
        <w:rPr>
          <w:rFonts w:ascii="Times New Roman" w:hAnsi="Times New Roman" w:eastAsia="仿宋_GB2312"/>
          <w:color w:val="auto"/>
          <w:sz w:val="24"/>
          <w:szCs w:val="24"/>
        </w:rPr>
        <w:t>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w:t>
      </w:r>
      <w:r>
        <w:rPr>
          <w:rFonts w:hint="eastAsia" w:eastAsia="仿宋_GB2312"/>
          <w:color w:val="auto"/>
          <w:sz w:val="24"/>
          <w:szCs w:val="24"/>
          <w:lang w:eastAsia="zh-CN"/>
        </w:rPr>
        <w:t>）</w:t>
      </w:r>
      <w:r>
        <w:rPr>
          <w:rFonts w:ascii="Times New Roman" w:hAnsi="Times New Roman" w:eastAsia="仿宋_GB2312"/>
          <w:color w:val="auto"/>
          <w:sz w:val="24"/>
          <w:szCs w:val="24"/>
        </w:rPr>
        <w:t>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304295581"/>
      <w:bookmarkStart w:id="452" w:name="_Toc303539161"/>
      <w:bookmarkStart w:id="453" w:name="_Toc297216213"/>
      <w:bookmarkStart w:id="454" w:name="_Toc312678042"/>
      <w:bookmarkStart w:id="455" w:name="_Toc300935004"/>
      <w:bookmarkStart w:id="456" w:name="_Toc297123554"/>
      <w:bookmarkStart w:id="457" w:name="_Toc296891247"/>
      <w:bookmarkStart w:id="458" w:name="_Toc297048393"/>
      <w:bookmarkStart w:id="459" w:name="_Toc292559412"/>
      <w:bookmarkStart w:id="460" w:name="_Toc296347206"/>
      <w:bookmarkStart w:id="461" w:name="_Toc292559917"/>
      <w:bookmarkStart w:id="462" w:name="_Toc296944546"/>
      <w:bookmarkStart w:id="463" w:name="_Toc296891035"/>
      <w:bookmarkStart w:id="464" w:name="_Toc297120507"/>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 xml:space="preserve">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竞争性磋商文件工程量清单中开列的工程量是招标时估算的工程量，不能作为承包人按合同履行其责任时，所应当完成工程的实际工程量。除另有规定外：工程师应按照合同通过计量来核实确定己完成的工程量和价值。当工程师要求对己完工的工程量进行计量时， 应适时地通知承包人参加，承包人应提供工程师要求的一切详细资料。</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6346712"/>
      <w:bookmarkStart w:id="468" w:name="_Toc297048397"/>
      <w:bookmarkStart w:id="469" w:name="_Toc297123556"/>
      <w:bookmarkStart w:id="470" w:name="_Toc297120511"/>
      <w:bookmarkStart w:id="471" w:name="_Toc292559921"/>
      <w:bookmarkStart w:id="472" w:name="_Toc296944550"/>
      <w:bookmarkStart w:id="473" w:name="_Toc296891251"/>
      <w:bookmarkStart w:id="474" w:name="_Toc296891039"/>
      <w:bookmarkStart w:id="475" w:name="_Toc296347210"/>
      <w:bookmarkStart w:id="476" w:name="_Toc296503211"/>
      <w:bookmarkStart w:id="477" w:name="_Toc303539163"/>
      <w:bookmarkStart w:id="478" w:name="_Toc300935006"/>
      <w:bookmarkStart w:id="479" w:name="_Toc292559416"/>
      <w:bookmarkStart w:id="480" w:name="_Toc297216215"/>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3055655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none"/>
          <w:lang w:val="zh-CN" w:eastAsia="zh-CN" w:bidi="ar-SA"/>
        </w:rPr>
      </w:pPr>
      <w:r>
        <w:rPr>
          <w:rFonts w:hint="eastAsia" w:ascii="Times New Roman" w:hAnsi="Times New Roman" w:eastAsia="仿宋_GB2312" w:cs="Times New Roman"/>
          <w:color w:val="auto"/>
          <w:kern w:val="2"/>
          <w:sz w:val="24"/>
          <w:szCs w:val="24"/>
          <w:highlight w:val="none"/>
          <w:u w:val="none"/>
          <w:lang w:val="en-US" w:eastAsia="zh-CN" w:bidi="ar-SA"/>
        </w:rPr>
        <w:t>当合同签订后</w:t>
      </w:r>
      <w:r>
        <w:rPr>
          <w:rFonts w:hint="eastAsia" w:ascii="Times New Roman" w:hAnsi="Times New Roman" w:eastAsia="仿宋_GB2312" w:cs="Times New Roman"/>
          <w:color w:val="auto"/>
          <w:kern w:val="2"/>
          <w:sz w:val="24"/>
          <w:szCs w:val="24"/>
          <w:highlight w:val="none"/>
          <w:u w:val="none"/>
          <w:lang w:val="zh-CN" w:eastAsia="zh-CN" w:bidi="ar-SA"/>
        </w:rPr>
        <w:t>，甲方支付扣除暂列金额合同总价的30%。</w:t>
      </w:r>
    </w:p>
    <w:p w14:paraId="7D478B3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none"/>
          <w:lang w:val="zh-CN" w:eastAsia="zh-CN" w:bidi="ar-SA"/>
        </w:rPr>
      </w:pPr>
      <w:r>
        <w:rPr>
          <w:rFonts w:hint="eastAsia" w:ascii="Times New Roman" w:hAnsi="Times New Roman" w:eastAsia="仿宋_GB2312" w:cs="Times New Roman"/>
          <w:color w:val="auto"/>
          <w:kern w:val="2"/>
          <w:sz w:val="24"/>
          <w:szCs w:val="24"/>
          <w:highlight w:val="none"/>
          <w:u w:val="none"/>
          <w:lang w:val="zh-CN" w:eastAsia="zh-CN" w:bidi="ar-SA"/>
        </w:rPr>
        <w:t>当项目竣工验收合格</w:t>
      </w:r>
      <w:r>
        <w:rPr>
          <w:rFonts w:hint="eastAsia" w:ascii="Times New Roman" w:hAnsi="Times New Roman" w:eastAsia="仿宋_GB2312" w:cs="Times New Roman"/>
          <w:color w:val="auto"/>
          <w:kern w:val="2"/>
          <w:sz w:val="24"/>
          <w:szCs w:val="24"/>
          <w:highlight w:val="none"/>
          <w:u w:val="none"/>
          <w:lang w:val="en-US" w:eastAsia="zh-CN" w:bidi="ar-SA"/>
        </w:rPr>
        <w:t>并通电</w:t>
      </w:r>
      <w:r>
        <w:rPr>
          <w:rFonts w:hint="eastAsia" w:ascii="Times New Roman" w:hAnsi="Times New Roman" w:eastAsia="仿宋_GB2312" w:cs="Times New Roman"/>
          <w:color w:val="auto"/>
          <w:kern w:val="2"/>
          <w:sz w:val="24"/>
          <w:szCs w:val="24"/>
          <w:highlight w:val="none"/>
          <w:u w:val="none"/>
          <w:lang w:val="zh-CN" w:eastAsia="zh-CN" w:bidi="ar-SA"/>
        </w:rPr>
        <w:t>后，甲方支付至扣除暂列金额合同金额总价的 80%。</w:t>
      </w:r>
    </w:p>
    <w:p w14:paraId="6FBB2FB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none"/>
          <w:lang w:val="zh-CN" w:eastAsia="zh-CN" w:bidi="ar-SA"/>
        </w:rPr>
      </w:pPr>
      <w:r>
        <w:rPr>
          <w:rFonts w:hint="eastAsia" w:ascii="Times New Roman" w:hAnsi="Times New Roman" w:eastAsia="仿宋_GB2312" w:cs="Times New Roman"/>
          <w:color w:val="auto"/>
          <w:kern w:val="2"/>
          <w:sz w:val="24"/>
          <w:szCs w:val="24"/>
          <w:highlight w:val="none"/>
          <w:u w:val="none"/>
          <w:lang w:val="zh-CN" w:eastAsia="zh-CN" w:bidi="ar-SA"/>
        </w:rPr>
        <w:t>工程审</w:t>
      </w:r>
      <w:r>
        <w:rPr>
          <w:rFonts w:hint="eastAsia" w:ascii="Times New Roman" w:hAnsi="Times New Roman" w:eastAsia="仿宋_GB2312" w:cs="Times New Roman"/>
          <w:color w:val="auto"/>
          <w:kern w:val="2"/>
          <w:sz w:val="24"/>
          <w:szCs w:val="24"/>
          <w:highlight w:val="none"/>
          <w:u w:val="none"/>
          <w:lang w:val="en-US" w:eastAsia="zh-CN" w:bidi="ar-SA"/>
        </w:rPr>
        <w:t>计</w:t>
      </w:r>
      <w:r>
        <w:rPr>
          <w:rFonts w:hint="eastAsia" w:ascii="Times New Roman" w:hAnsi="Times New Roman" w:eastAsia="仿宋_GB2312" w:cs="Times New Roman"/>
          <w:color w:val="auto"/>
          <w:kern w:val="2"/>
          <w:sz w:val="24"/>
          <w:szCs w:val="24"/>
          <w:highlight w:val="none"/>
          <w:u w:val="none"/>
          <w:lang w:val="zh-CN" w:eastAsia="zh-CN" w:bidi="ar-SA"/>
        </w:rPr>
        <w:t>完成后，乙方将审定价 3%的质量保证金支付至甲方账户中，甲方按审价审定金额付清余款。</w:t>
      </w:r>
    </w:p>
    <w:p w14:paraId="359DB71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none"/>
          <w:lang w:val="zh-CN" w:eastAsia="zh-CN" w:bidi="ar-SA"/>
        </w:rPr>
      </w:pPr>
      <w:r>
        <w:rPr>
          <w:rFonts w:hint="eastAsia" w:ascii="Times New Roman" w:hAnsi="Times New Roman" w:eastAsia="仿宋_GB2312" w:cs="Times New Roman"/>
          <w:color w:val="auto"/>
          <w:kern w:val="2"/>
          <w:sz w:val="24"/>
          <w:szCs w:val="24"/>
          <w:highlight w:val="none"/>
          <w:u w:val="none"/>
          <w:lang w:val="zh-CN" w:eastAsia="zh-CN" w:bidi="ar-SA"/>
        </w:rPr>
        <w:t>本工程</w:t>
      </w:r>
      <w:r>
        <w:rPr>
          <w:rFonts w:hint="eastAsia" w:ascii="Times New Roman" w:hAnsi="Times New Roman" w:eastAsia="仿宋_GB2312" w:cs="Times New Roman"/>
          <w:color w:val="auto"/>
          <w:kern w:val="2"/>
          <w:sz w:val="24"/>
          <w:szCs w:val="24"/>
          <w:highlight w:val="none"/>
          <w:u w:val="none"/>
          <w:lang w:val="en-US" w:eastAsia="zh-CN" w:bidi="ar-SA"/>
        </w:rPr>
        <w:t>2</w:t>
      </w:r>
      <w:r>
        <w:rPr>
          <w:rFonts w:hint="eastAsia" w:ascii="Times New Roman" w:hAnsi="Times New Roman" w:eastAsia="仿宋_GB2312" w:cs="Times New Roman"/>
          <w:color w:val="auto"/>
          <w:kern w:val="2"/>
          <w:sz w:val="24"/>
          <w:szCs w:val="24"/>
          <w:highlight w:val="none"/>
          <w:u w:val="none"/>
          <w:lang w:val="zh-CN" w:eastAsia="zh-CN" w:bidi="ar-SA"/>
        </w:rPr>
        <w:t>年质量保修期满无质量问题，甲方退还3%质量保证金至乙方账户。</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6"/>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503219"/>
      <w:bookmarkStart w:id="483" w:name="_Toc297123564"/>
      <w:bookmarkStart w:id="484" w:name="_Toc296891047"/>
      <w:bookmarkStart w:id="485" w:name="_Toc297120519"/>
      <w:bookmarkStart w:id="486" w:name="_Toc303539172"/>
      <w:bookmarkStart w:id="487" w:name="_Toc292559424"/>
      <w:bookmarkStart w:id="488" w:name="_Toc312678053"/>
      <w:bookmarkStart w:id="489" w:name="_Toc296346720"/>
      <w:bookmarkStart w:id="490" w:name="_Toc296347218"/>
      <w:bookmarkStart w:id="491" w:name="_Toc300935015"/>
      <w:bookmarkStart w:id="492" w:name="_Toc296891259"/>
      <w:bookmarkStart w:id="493" w:name="_Toc292559929"/>
      <w:bookmarkStart w:id="494" w:name="_Toc297216223"/>
      <w:bookmarkStart w:id="495" w:name="_Toc296944558"/>
      <w:bookmarkStart w:id="496" w:name="_Toc297048405"/>
      <w:bookmarkStart w:id="497" w:name="_Toc304295593"/>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346724"/>
      <w:bookmarkStart w:id="499" w:name="_Toc292559428"/>
      <w:bookmarkStart w:id="500" w:name="_Toc304295596"/>
      <w:bookmarkStart w:id="501" w:name="_Toc297048409"/>
      <w:bookmarkStart w:id="502" w:name="_Toc292559933"/>
      <w:bookmarkStart w:id="503" w:name="_Toc296347222"/>
      <w:bookmarkStart w:id="504" w:name="_Toc297120523"/>
      <w:bookmarkStart w:id="505" w:name="_Toc296503223"/>
      <w:bookmarkStart w:id="506" w:name="_Toc297216224"/>
      <w:bookmarkStart w:id="507" w:name="_Toc296891051"/>
      <w:bookmarkStart w:id="508" w:name="_Toc296944562"/>
      <w:bookmarkStart w:id="509" w:name="_Toc296891263"/>
      <w:bookmarkStart w:id="510" w:name="_Toc297123565"/>
      <w:bookmarkStart w:id="511" w:name="_Toc303539173"/>
      <w:bookmarkStart w:id="512" w:name="_Toc312678056"/>
      <w:bookmarkStart w:id="513" w:name="_Toc300935016"/>
      <w:bookmarkStart w:id="514" w:name="_Toc267251476"/>
      <w:bookmarkStart w:id="515" w:name="_Toc267251473"/>
      <w:bookmarkStart w:id="516" w:name="_Toc267251474"/>
      <w:bookmarkStart w:id="517" w:name="_Toc267251472"/>
      <w:bookmarkStart w:id="518" w:name="_Toc267251471"/>
      <w:bookmarkStart w:id="519" w:name="_Toc267251475"/>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6"/>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6"/>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6"/>
      <w:bookmarkStart w:id="534" w:name="_Toc267251488"/>
      <w:bookmarkStart w:id="535" w:name="_Toc267251490"/>
      <w:bookmarkStart w:id="536" w:name="_Toc267251489"/>
      <w:bookmarkStart w:id="537" w:name="_Toc267251497"/>
      <w:bookmarkStart w:id="538" w:name="_Toc267251493"/>
      <w:bookmarkStart w:id="539" w:name="_Toc267251491"/>
      <w:bookmarkStart w:id="540" w:name="_Toc267251494"/>
      <w:bookmarkStart w:id="541" w:name="_Toc267251501"/>
      <w:bookmarkStart w:id="542" w:name="_Toc267251495"/>
      <w:bookmarkStart w:id="543" w:name="_Toc267251492"/>
      <w:bookmarkStart w:id="544" w:name="_Toc267251502"/>
      <w:bookmarkStart w:id="545" w:name="_Toc267251496"/>
      <w:bookmarkStart w:id="546" w:name="_Toc267251498"/>
      <w:bookmarkStart w:id="547" w:name="_Toc267251503"/>
      <w:bookmarkStart w:id="548" w:name="_Toc267251499"/>
      <w:bookmarkStart w:id="549" w:name="_Toc267251504"/>
      <w:bookmarkStart w:id="550" w:name="_Toc267251506"/>
      <w:bookmarkStart w:id="551" w:name="_Toc267251507"/>
      <w:bookmarkStart w:id="552" w:name="_Toc267251508"/>
      <w:bookmarkStart w:id="553" w:name="_Toc267251514"/>
      <w:bookmarkStart w:id="554" w:name="_Toc267251511"/>
      <w:bookmarkStart w:id="555" w:name="_Toc267251509"/>
      <w:bookmarkStart w:id="556" w:name="_Toc267251513"/>
      <w:bookmarkStart w:id="557" w:name="_Toc267251515"/>
      <w:bookmarkStart w:id="558" w:name="_Toc267251510"/>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6"/>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6"/>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6"/>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6"/>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67261693"/>
      <w:bookmarkStart w:id="567" w:name="_Toc296346727"/>
      <w:bookmarkStart w:id="568" w:name="_Toc296347225"/>
      <w:bookmarkStart w:id="569" w:name="_Toc296891266"/>
      <w:bookmarkStart w:id="570" w:name="_Toc296503226"/>
      <w:bookmarkStart w:id="571" w:name="_Toc296891054"/>
      <w:bookmarkStart w:id="572" w:name="_Toc29694456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南京路步行街中队及交警支队部分中队新址装修工程-电配套</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szCs w:val="21"/>
          <w:u w:val="single"/>
          <w:lang w:eastAsia="zh-CN"/>
        </w:rPr>
        <w:t>贰</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lang w:eastAsia="zh-CN"/>
        </w:rPr>
        <w:t>贰</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w:t>
      </w:r>
      <w:r>
        <w:rPr>
          <w:rFonts w:hint="eastAsia" w:ascii="仿宋" w:hAnsi="仿宋" w:eastAsia="仿宋"/>
          <w:szCs w:val="21"/>
          <w:u w:val="single"/>
          <w:lang w:eastAsia="zh-CN"/>
        </w:rPr>
        <w:t>贰</w:t>
      </w:r>
      <w:r>
        <w:rPr>
          <w:rFonts w:hint="eastAsia" w:ascii="仿宋" w:hAnsi="仿宋" w:eastAsia="仿宋"/>
          <w:szCs w:val="21"/>
          <w:u w:val="single"/>
          <w:lang w:val="en-US" w:eastAsia="zh-CN"/>
        </w:rPr>
        <w:t xml:space="preserve">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lang w:eastAsia="zh-CN"/>
        </w:rPr>
        <w:t>贰</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115066568"/>
      <w:bookmarkStart w:id="575" w:name="_Toc86473611"/>
      <w:bookmarkStart w:id="576" w:name="_Toc278396837"/>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17653577"/>
      <w:bookmarkStart w:id="578" w:name="_Toc115066569"/>
      <w:bookmarkStart w:id="579" w:name="_Toc177194063"/>
      <w:bookmarkStart w:id="580" w:name="_Toc105820591"/>
      <w:bookmarkStart w:id="581" w:name="_Toc200006096"/>
      <w:bookmarkStart w:id="582" w:name="_Toc200005851"/>
      <w:bookmarkStart w:id="583" w:name="_Toc108513780"/>
      <w:bookmarkStart w:id="584" w:name="_Toc199216166"/>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2026年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278396838"/>
      <w:bookmarkStart w:id="588" w:name="_Toc86473612"/>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2026年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2026年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115066571"/>
      <w:bookmarkStart w:id="591" w:name="_Toc278396839"/>
      <w:bookmarkStart w:id="592" w:name="_Toc86473613"/>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2026年 月 日</w:t>
      </w:r>
      <w:r>
        <w:rPr>
          <w:rFonts w:hint="eastAsia" w:ascii="仿宋" w:hAnsi="仿宋" w:eastAsia="仿宋" w:cs="仿宋"/>
          <w:szCs w:val="20"/>
        </w:rPr>
        <w:t xml:space="preserve">                         签约日期：</w:t>
      </w:r>
      <w:r>
        <w:rPr>
          <w:rFonts w:hint="eastAsia" w:ascii="仿宋" w:hAnsi="仿宋" w:eastAsia="仿宋"/>
          <w:szCs w:val="21"/>
          <w:lang w:val="en-US" w:eastAsia="zh-CN"/>
        </w:rPr>
        <w:t>2026年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3"/>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eastAsia="zh-CN"/>
        </w:rPr>
        <w:t>图纸（另附）</w:t>
      </w:r>
    </w:p>
    <w:p w14:paraId="1B0183F8">
      <w:pPr>
        <w:pStyle w:val="43"/>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43"/>
        <w:jc w:val="center"/>
        <w:rPr>
          <w:rFonts w:hint="eastAsia" w:ascii="宋体" w:hAnsi="宋体" w:cs="宋体"/>
          <w:b/>
          <w:bCs/>
          <w:sz w:val="32"/>
          <w:szCs w:val="32"/>
          <w:lang w:eastAsia="zh-CN"/>
        </w:rPr>
      </w:pPr>
    </w:p>
    <w:p w14:paraId="51C395D4">
      <w:pPr>
        <w:pStyle w:val="43"/>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3"/>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5"/>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5"/>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5"/>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5"/>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5"/>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5"/>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5"/>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5"/>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5"/>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5"/>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5"/>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5"/>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5"/>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5"/>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5"/>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5"/>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5"/>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5"/>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5"/>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5"/>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5"/>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5"/>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5"/>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5"/>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5"/>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5"/>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5"/>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5"/>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5"/>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5"/>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5"/>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5"/>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5"/>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2"/>
        <w:spacing w:line="360" w:lineRule="auto"/>
        <w:ind w:firstLine="0"/>
        <w:rPr>
          <w:rFonts w:ascii="宋体" w:cs="楷体_GB2312"/>
        </w:rPr>
      </w:pPr>
      <w:r>
        <w:rPr>
          <w:rFonts w:hint="eastAsia" w:ascii="宋体" w:hAnsi="宋体" w:cs="楷体_GB2312"/>
        </w:rPr>
        <w:t>要求：身份证正反面复印件及加盖公章</w:t>
      </w:r>
    </w:p>
    <w:p w14:paraId="29129A15">
      <w:pPr>
        <w:pStyle w:val="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2"/>
        <w:spacing w:line="360" w:lineRule="auto"/>
        <w:ind w:firstLine="0"/>
        <w:rPr>
          <w:rFonts w:ascii="宋体" w:hAnsi="宋体" w:cs="楷体_GB2312"/>
          <w:color w:val="FF0000"/>
          <w:u w:val="single"/>
        </w:rPr>
      </w:pPr>
    </w:p>
    <w:p w14:paraId="22022F85">
      <w:pPr>
        <w:pStyle w:val="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2235"/>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5"/>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75144387">
            <w:pPr>
              <w:spacing w:line="360" w:lineRule="auto"/>
              <w:jc w:val="center"/>
              <w:rPr>
                <w:rFonts w:hint="eastAsia" w:ascii="宋体" w:hAnsi="宋体"/>
                <w:szCs w:val="21"/>
              </w:rPr>
            </w:pPr>
            <w:r>
              <w:rPr>
                <w:rFonts w:hint="eastAsia" w:ascii="宋体" w:hAnsi="宋体"/>
                <w:szCs w:val="21"/>
              </w:rPr>
              <w:t>措施费</w:t>
            </w:r>
          </w:p>
          <w:p w14:paraId="098D8AE8">
            <w:pPr>
              <w:spacing w:line="360" w:lineRule="auto"/>
              <w:jc w:val="center"/>
              <w:rPr>
                <w:rFonts w:ascii="宋体"/>
                <w:szCs w:val="21"/>
              </w:rPr>
            </w:pPr>
            <w:bookmarkStart w:id="609" w:name="_GoBack"/>
            <w:bookmarkEnd w:id="609"/>
            <w:r>
              <w:rPr>
                <w:rFonts w:hint="eastAsia" w:ascii="宋体" w:hAnsi="宋体"/>
                <w:szCs w:val="21"/>
              </w:rPr>
              <w:t>报价</w:t>
            </w:r>
          </w:p>
        </w:tc>
        <w:tc>
          <w:tcPr>
            <w:tcW w:w="868" w:type="dxa"/>
            <w:vAlign w:val="center"/>
          </w:tcPr>
          <w:p w14:paraId="49A60177">
            <w:pPr>
              <w:spacing w:line="360" w:lineRule="auto"/>
              <w:jc w:val="center"/>
              <w:rPr>
                <w:rFonts w:ascii="宋体"/>
                <w:szCs w:val="21"/>
              </w:rPr>
            </w:pPr>
            <w:r>
              <w:rPr>
                <w:rFonts w:hint="eastAsia" w:ascii="宋体" w:hAnsi="宋体"/>
                <w:szCs w:val="21"/>
                <w:lang w:val="en-US" w:eastAsia="zh-CN"/>
              </w:rPr>
              <w:t>其他项目</w:t>
            </w:r>
            <w:r>
              <w:rPr>
                <w:rFonts w:hint="eastAsia" w:ascii="宋体" w:hAnsi="宋体"/>
                <w:szCs w:val="21"/>
              </w:rPr>
              <w:t>报价</w:t>
            </w:r>
          </w:p>
        </w:tc>
        <w:tc>
          <w:tcPr>
            <w:tcW w:w="2235"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2235"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2235"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2235"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9"/>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6"/>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6"/>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6"/>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6"/>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4"/>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4"/>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4"/>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4"/>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4"/>
              <w:spacing w:before="120" w:after="120"/>
              <w:jc w:val="center"/>
              <w:rPr>
                <w:rFonts w:hAnsi="宋体"/>
                <w:b/>
                <w:szCs w:val="21"/>
              </w:rPr>
            </w:pPr>
            <w:r>
              <w:rPr>
                <w:rFonts w:hint="eastAsia" w:hAnsi="宋体"/>
                <w:b/>
                <w:szCs w:val="21"/>
              </w:rPr>
              <w:t>合同金额</w:t>
            </w:r>
          </w:p>
          <w:p w14:paraId="79FB91C6">
            <w:pPr>
              <w:pStyle w:val="24"/>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4"/>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4"/>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4"/>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4"/>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4"/>
              <w:jc w:val="center"/>
              <w:rPr>
                <w:rFonts w:hAnsi="宋体"/>
                <w:szCs w:val="21"/>
              </w:rPr>
            </w:pPr>
          </w:p>
        </w:tc>
        <w:tc>
          <w:tcPr>
            <w:tcW w:w="1440" w:type="dxa"/>
            <w:vAlign w:val="center"/>
          </w:tcPr>
          <w:p w14:paraId="025EDD00">
            <w:pPr>
              <w:pStyle w:val="24"/>
              <w:jc w:val="center"/>
              <w:rPr>
                <w:rFonts w:hAnsi="宋体"/>
                <w:szCs w:val="21"/>
              </w:rPr>
            </w:pPr>
          </w:p>
        </w:tc>
        <w:tc>
          <w:tcPr>
            <w:tcW w:w="1740" w:type="dxa"/>
            <w:vAlign w:val="center"/>
          </w:tcPr>
          <w:p w14:paraId="2E3141BC">
            <w:pPr>
              <w:pStyle w:val="24"/>
              <w:jc w:val="center"/>
              <w:rPr>
                <w:rFonts w:hAnsi="宋体"/>
                <w:szCs w:val="21"/>
              </w:rPr>
            </w:pPr>
          </w:p>
        </w:tc>
        <w:tc>
          <w:tcPr>
            <w:tcW w:w="1260" w:type="dxa"/>
            <w:vAlign w:val="center"/>
          </w:tcPr>
          <w:p w14:paraId="064C759A">
            <w:pPr>
              <w:pStyle w:val="24"/>
              <w:jc w:val="center"/>
              <w:rPr>
                <w:rFonts w:hAnsi="宋体"/>
                <w:szCs w:val="21"/>
              </w:rPr>
            </w:pPr>
          </w:p>
        </w:tc>
        <w:tc>
          <w:tcPr>
            <w:tcW w:w="1620" w:type="dxa"/>
            <w:vAlign w:val="center"/>
          </w:tcPr>
          <w:p w14:paraId="52AE287A">
            <w:pPr>
              <w:pStyle w:val="24"/>
              <w:jc w:val="center"/>
              <w:rPr>
                <w:rFonts w:hAnsi="宋体"/>
                <w:szCs w:val="21"/>
              </w:rPr>
            </w:pPr>
          </w:p>
        </w:tc>
        <w:tc>
          <w:tcPr>
            <w:tcW w:w="1680" w:type="dxa"/>
            <w:vAlign w:val="center"/>
          </w:tcPr>
          <w:p w14:paraId="367B3CB7">
            <w:pPr>
              <w:pStyle w:val="24"/>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4"/>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4"/>
              <w:jc w:val="center"/>
              <w:rPr>
                <w:rFonts w:hAnsi="宋体"/>
                <w:szCs w:val="21"/>
              </w:rPr>
            </w:pPr>
          </w:p>
        </w:tc>
        <w:tc>
          <w:tcPr>
            <w:tcW w:w="1440" w:type="dxa"/>
            <w:vAlign w:val="center"/>
          </w:tcPr>
          <w:p w14:paraId="0E6C382B">
            <w:pPr>
              <w:pStyle w:val="24"/>
              <w:jc w:val="center"/>
              <w:rPr>
                <w:rFonts w:hAnsi="宋体"/>
                <w:szCs w:val="21"/>
              </w:rPr>
            </w:pPr>
          </w:p>
        </w:tc>
        <w:tc>
          <w:tcPr>
            <w:tcW w:w="1740" w:type="dxa"/>
            <w:vAlign w:val="center"/>
          </w:tcPr>
          <w:p w14:paraId="4EB8BCC5">
            <w:pPr>
              <w:pStyle w:val="24"/>
              <w:jc w:val="center"/>
              <w:rPr>
                <w:rFonts w:hAnsi="宋体"/>
                <w:szCs w:val="21"/>
              </w:rPr>
            </w:pPr>
          </w:p>
        </w:tc>
        <w:tc>
          <w:tcPr>
            <w:tcW w:w="1260" w:type="dxa"/>
            <w:vAlign w:val="center"/>
          </w:tcPr>
          <w:p w14:paraId="06B876E0">
            <w:pPr>
              <w:pStyle w:val="24"/>
              <w:jc w:val="center"/>
              <w:rPr>
                <w:rFonts w:hAnsi="宋体"/>
                <w:szCs w:val="21"/>
              </w:rPr>
            </w:pPr>
          </w:p>
        </w:tc>
        <w:tc>
          <w:tcPr>
            <w:tcW w:w="1620" w:type="dxa"/>
            <w:vAlign w:val="center"/>
          </w:tcPr>
          <w:p w14:paraId="3A314CA3">
            <w:pPr>
              <w:pStyle w:val="24"/>
              <w:jc w:val="center"/>
              <w:rPr>
                <w:rFonts w:hAnsi="宋体"/>
                <w:szCs w:val="21"/>
              </w:rPr>
            </w:pPr>
          </w:p>
        </w:tc>
        <w:tc>
          <w:tcPr>
            <w:tcW w:w="1680" w:type="dxa"/>
            <w:vAlign w:val="center"/>
          </w:tcPr>
          <w:p w14:paraId="25E40187">
            <w:pPr>
              <w:pStyle w:val="24"/>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4"/>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4"/>
              <w:jc w:val="center"/>
              <w:rPr>
                <w:rFonts w:hAnsi="宋体"/>
                <w:szCs w:val="21"/>
              </w:rPr>
            </w:pPr>
          </w:p>
        </w:tc>
        <w:tc>
          <w:tcPr>
            <w:tcW w:w="1440" w:type="dxa"/>
            <w:vAlign w:val="center"/>
          </w:tcPr>
          <w:p w14:paraId="74355425">
            <w:pPr>
              <w:pStyle w:val="24"/>
              <w:jc w:val="center"/>
              <w:rPr>
                <w:rFonts w:hAnsi="宋体"/>
                <w:szCs w:val="21"/>
              </w:rPr>
            </w:pPr>
          </w:p>
        </w:tc>
        <w:tc>
          <w:tcPr>
            <w:tcW w:w="1740" w:type="dxa"/>
            <w:vAlign w:val="center"/>
          </w:tcPr>
          <w:p w14:paraId="6028EFA9">
            <w:pPr>
              <w:pStyle w:val="24"/>
              <w:jc w:val="center"/>
              <w:rPr>
                <w:rFonts w:hAnsi="宋体"/>
                <w:szCs w:val="21"/>
              </w:rPr>
            </w:pPr>
          </w:p>
        </w:tc>
        <w:tc>
          <w:tcPr>
            <w:tcW w:w="1260" w:type="dxa"/>
            <w:vAlign w:val="center"/>
          </w:tcPr>
          <w:p w14:paraId="583FE146">
            <w:pPr>
              <w:pStyle w:val="24"/>
              <w:jc w:val="center"/>
              <w:rPr>
                <w:rFonts w:hAnsi="宋体"/>
                <w:szCs w:val="21"/>
              </w:rPr>
            </w:pPr>
          </w:p>
        </w:tc>
        <w:tc>
          <w:tcPr>
            <w:tcW w:w="1620" w:type="dxa"/>
            <w:vAlign w:val="center"/>
          </w:tcPr>
          <w:p w14:paraId="5850F95E">
            <w:pPr>
              <w:pStyle w:val="24"/>
              <w:jc w:val="center"/>
              <w:rPr>
                <w:rFonts w:hAnsi="宋体"/>
                <w:szCs w:val="21"/>
              </w:rPr>
            </w:pPr>
          </w:p>
        </w:tc>
        <w:tc>
          <w:tcPr>
            <w:tcW w:w="1680" w:type="dxa"/>
            <w:vAlign w:val="center"/>
          </w:tcPr>
          <w:p w14:paraId="2C875855">
            <w:pPr>
              <w:pStyle w:val="24"/>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4"/>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4"/>
              <w:jc w:val="center"/>
              <w:rPr>
                <w:rFonts w:hAnsi="宋体"/>
                <w:szCs w:val="21"/>
              </w:rPr>
            </w:pPr>
          </w:p>
        </w:tc>
        <w:tc>
          <w:tcPr>
            <w:tcW w:w="1440" w:type="dxa"/>
            <w:vAlign w:val="center"/>
          </w:tcPr>
          <w:p w14:paraId="5E10CD9B">
            <w:pPr>
              <w:pStyle w:val="24"/>
              <w:jc w:val="center"/>
              <w:rPr>
                <w:rFonts w:hAnsi="宋体"/>
                <w:szCs w:val="21"/>
              </w:rPr>
            </w:pPr>
          </w:p>
        </w:tc>
        <w:tc>
          <w:tcPr>
            <w:tcW w:w="1740" w:type="dxa"/>
            <w:vAlign w:val="center"/>
          </w:tcPr>
          <w:p w14:paraId="157B2F4C">
            <w:pPr>
              <w:pStyle w:val="24"/>
              <w:jc w:val="center"/>
              <w:rPr>
                <w:rFonts w:hAnsi="宋体"/>
                <w:szCs w:val="21"/>
              </w:rPr>
            </w:pPr>
          </w:p>
        </w:tc>
        <w:tc>
          <w:tcPr>
            <w:tcW w:w="1260" w:type="dxa"/>
            <w:vAlign w:val="center"/>
          </w:tcPr>
          <w:p w14:paraId="685179D1">
            <w:pPr>
              <w:pStyle w:val="24"/>
              <w:jc w:val="center"/>
              <w:rPr>
                <w:rFonts w:hAnsi="宋体"/>
                <w:szCs w:val="21"/>
              </w:rPr>
            </w:pPr>
          </w:p>
        </w:tc>
        <w:tc>
          <w:tcPr>
            <w:tcW w:w="1620" w:type="dxa"/>
            <w:vAlign w:val="center"/>
          </w:tcPr>
          <w:p w14:paraId="69B9C873">
            <w:pPr>
              <w:pStyle w:val="24"/>
              <w:jc w:val="center"/>
              <w:rPr>
                <w:rFonts w:hAnsi="宋体"/>
                <w:szCs w:val="21"/>
              </w:rPr>
            </w:pPr>
          </w:p>
        </w:tc>
        <w:tc>
          <w:tcPr>
            <w:tcW w:w="1680" w:type="dxa"/>
            <w:vAlign w:val="center"/>
          </w:tcPr>
          <w:p w14:paraId="6C545452">
            <w:pPr>
              <w:pStyle w:val="24"/>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7"/>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346732"/>
      <w:bookmarkStart w:id="605" w:name="_Toc296503231"/>
      <w:bookmarkStart w:id="606" w:name="_Toc296347230"/>
      <w:bookmarkStart w:id="607" w:name="_Toc296891271"/>
      <w:bookmarkStart w:id="608" w:name="_Toc296944570"/>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0"/>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0"/>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0"/>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69C5299F">
      <w:pPr>
        <w:spacing w:line="360" w:lineRule="auto"/>
        <w:rPr>
          <w:rFonts w:hint="default" w:cs="宋体"/>
          <w:color w:val="000000"/>
          <w:kern w:val="2"/>
          <w:sz w:val="21"/>
          <w:szCs w:val="21"/>
          <w:highlight w:val="none"/>
          <w:lang w:val="en-US" w:eastAsia="zh-CN" w:bidi="ar-SA"/>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29"/>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9633585</wp:posOffset>
              </wp:positionV>
              <wp:extent cx="4805680" cy="29845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4805680" cy="298450"/>
                      </a:xfrm>
                      <a:prstGeom prst="rect">
                        <a:avLst/>
                      </a:prstGeom>
                      <a:noFill/>
                      <a:ln>
                        <a:noFill/>
                      </a:ln>
                    </wps:spPr>
                    <wps:txbx>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89pt;margin-top:758.55pt;height:23.5pt;width:378.4pt;mso-position-horizontal-relative:page;mso-position-vertical-relative:page;z-index:-251656192;mso-width-relative:page;mso-height-relative:page;" filled="f" stroked="f" coordsize="21600,21600" o:gfxdata="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F/8srbAAAADQEAAA8AAAAAAAAAAQAgAAAAIgAAAGRycy9kb3ducmV2Lnht&#10;bFBLAQIUABQAAAAIAIdO4kCJ3XRKvQEAAHUDAAAOAAAAAAAAAAEAIAAAACoBAABkcnMvZTJvRG9j&#10;LnhtbFBLBQYAAAAABgAGAFkBAABZBQAAAAA=&#10;">
              <v:fill on="f" focussize="0,0"/>
              <v:stroke on="f"/>
              <v:imagedata o:title=""/>
              <o:lock v:ext="edit" aspectratio="f"/>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29"/>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29"/>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29"/>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29"/>
      <w:framePr w:wrap="around" w:vAnchor="text" w:hAnchor="margin" w:xAlign="center" w:y="1"/>
      <w:rPr>
        <w:rStyle w:val="48"/>
      </w:rPr>
    </w:pPr>
    <w:r>
      <w:fldChar w:fldCharType="begin"/>
    </w:r>
    <w:r>
      <w:rPr>
        <w:rStyle w:val="48"/>
      </w:rPr>
      <w:instrText xml:space="preserve">PAGE  </w:instrText>
    </w:r>
    <w:r>
      <w:fldChar w:fldCharType="end"/>
    </w:r>
  </w:p>
  <w:p w14:paraId="547348F4">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29"/>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29"/>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29"/>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00548"/>
    <w:multiLevelType w:val="singleLevel"/>
    <w:tmpl w:val="11F00548"/>
    <w:lvl w:ilvl="0" w:tentative="0">
      <w:start w:val="1"/>
      <w:numFmt w:val="decimal"/>
      <w:lvlText w:val="%1)"/>
      <w:lvlJc w:val="left"/>
      <w:pPr>
        <w:ind w:left="425" w:hanging="425"/>
      </w:pPr>
      <w:rPr>
        <w:rFonts w:hint="default"/>
      </w:rPr>
    </w:lvl>
  </w:abstractNum>
  <w:abstractNum w:abstractNumId="1">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3">
    <w:nsid w:val="555EA3FA"/>
    <w:multiLevelType w:val="singleLevel"/>
    <w:tmpl w:val="555EA3FA"/>
    <w:lvl w:ilvl="0" w:tentative="0">
      <w:start w:val="1"/>
      <w:numFmt w:val="decimal"/>
      <w:suff w:val="nothing"/>
      <w:lvlText w:val="%1、"/>
      <w:lvlJc w:val="left"/>
      <w:rPr>
        <w:rFonts w:cs="Times New Roman"/>
      </w:rPr>
    </w:lvl>
  </w:abstractNum>
  <w:abstractNum w:abstractNumId="4">
    <w:nsid w:val="555EA441"/>
    <w:multiLevelType w:val="singleLevel"/>
    <w:tmpl w:val="555EA441"/>
    <w:lvl w:ilvl="0" w:tentative="0">
      <w:start w:val="2"/>
      <w:numFmt w:val="decimal"/>
      <w:suff w:val="nothing"/>
      <w:lvlText w:val="%1."/>
      <w:lvlJc w:val="left"/>
      <w:rPr>
        <w:rFonts w:cs="Times New Roman"/>
      </w:rPr>
    </w:lvl>
  </w:abstractNum>
  <w:abstractNum w:abstractNumId="5">
    <w:nsid w:val="555EAACA"/>
    <w:multiLevelType w:val="singleLevel"/>
    <w:tmpl w:val="555EAACA"/>
    <w:lvl w:ilvl="0" w:tentative="0">
      <w:start w:val="1"/>
      <w:numFmt w:val="decimal"/>
      <w:suff w:val="nothing"/>
      <w:lvlText w:val="（%1）"/>
      <w:lvlJc w:val="left"/>
      <w:rPr>
        <w:rFonts w:cs="Times New Roman"/>
      </w:rPr>
    </w:lvl>
  </w:abstractNum>
  <w:abstractNum w:abstractNumId="6">
    <w:nsid w:val="555EBA8A"/>
    <w:multiLevelType w:val="singleLevel"/>
    <w:tmpl w:val="555EBA8A"/>
    <w:lvl w:ilvl="0" w:tentative="0">
      <w:start w:val="1"/>
      <w:numFmt w:val="decimal"/>
      <w:suff w:val="nothing"/>
      <w:lvlText w:val="（%1）"/>
      <w:lvlJc w:val="left"/>
      <w:rPr>
        <w:rFonts w:cs="Times New Roman"/>
      </w:rPr>
    </w:lvl>
  </w:abstractNum>
  <w:abstractNum w:abstractNumId="7">
    <w:nsid w:val="555EBBA1"/>
    <w:multiLevelType w:val="singleLevel"/>
    <w:tmpl w:val="555EBBA1"/>
    <w:lvl w:ilvl="0" w:tentative="0">
      <w:start w:val="4"/>
      <w:numFmt w:val="decimal"/>
      <w:suff w:val="nothing"/>
      <w:lvlText w:val="%1."/>
      <w:lvlJc w:val="left"/>
      <w:rPr>
        <w:rFonts w:cs="Times New Roman"/>
      </w:rPr>
    </w:lvl>
  </w:abstractNum>
  <w:abstractNum w:abstractNumId="8">
    <w:nsid w:val="555EBC7D"/>
    <w:multiLevelType w:val="singleLevel"/>
    <w:tmpl w:val="555EBC7D"/>
    <w:lvl w:ilvl="0" w:tentative="0">
      <w:start w:val="1"/>
      <w:numFmt w:val="decimal"/>
      <w:suff w:val="nothing"/>
      <w:lvlText w:val="%1."/>
      <w:lvlJc w:val="left"/>
      <w:rPr>
        <w:rFonts w:cs="Times New Roman"/>
      </w:rPr>
    </w:lvl>
  </w:abstractNum>
  <w:abstractNum w:abstractNumId="9">
    <w:nsid w:val="555EBF3F"/>
    <w:multiLevelType w:val="singleLevel"/>
    <w:tmpl w:val="555EBF3F"/>
    <w:lvl w:ilvl="0" w:tentative="0">
      <w:start w:val="1"/>
      <w:numFmt w:val="decimal"/>
      <w:suff w:val="nothing"/>
      <w:lvlText w:val="%1."/>
      <w:lvlJc w:val="left"/>
      <w:rPr>
        <w:rFonts w:cs="Times New Roman"/>
      </w:rPr>
    </w:lvl>
  </w:abstractNum>
  <w:abstractNum w:abstractNumId="10">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555FE6ED"/>
    <w:multiLevelType w:val="singleLevel"/>
    <w:tmpl w:val="555FE6ED"/>
    <w:lvl w:ilvl="0" w:tentative="0">
      <w:start w:val="1"/>
      <w:numFmt w:val="decimal"/>
      <w:suff w:val="nothing"/>
      <w:lvlText w:val="%1."/>
      <w:lvlJc w:val="left"/>
      <w:rPr>
        <w:rFonts w:cs="Times New Roman"/>
      </w:rPr>
    </w:lvl>
  </w:abstractNum>
  <w:abstractNum w:abstractNumId="12">
    <w:nsid w:val="555FEA6A"/>
    <w:multiLevelType w:val="singleLevel"/>
    <w:tmpl w:val="555FEA6A"/>
    <w:lvl w:ilvl="0" w:tentative="0">
      <w:start w:val="1"/>
      <w:numFmt w:val="decimal"/>
      <w:suff w:val="nothing"/>
      <w:lvlText w:val="（%1）"/>
      <w:lvlJc w:val="left"/>
      <w:rPr>
        <w:rFonts w:cs="Times New Roman"/>
      </w:rPr>
    </w:lvl>
  </w:abstractNum>
  <w:abstractNum w:abstractNumId="13">
    <w:nsid w:val="555FEB23"/>
    <w:multiLevelType w:val="singleLevel"/>
    <w:tmpl w:val="555FEB23"/>
    <w:lvl w:ilvl="0" w:tentative="0">
      <w:start w:val="1"/>
      <w:numFmt w:val="decimal"/>
      <w:suff w:val="nothing"/>
      <w:lvlText w:val="（%1）"/>
      <w:lvlJc w:val="left"/>
      <w:rPr>
        <w:rFonts w:cs="Times New Roman"/>
      </w:rPr>
    </w:lvl>
  </w:abstractNum>
  <w:abstractNum w:abstractNumId="14">
    <w:nsid w:val="555FEB6A"/>
    <w:multiLevelType w:val="singleLevel"/>
    <w:tmpl w:val="555FEB6A"/>
    <w:lvl w:ilvl="0" w:tentative="0">
      <w:start w:val="5"/>
      <w:numFmt w:val="decimal"/>
      <w:suff w:val="nothing"/>
      <w:lvlText w:val="%1."/>
      <w:lvlJc w:val="left"/>
      <w:rPr>
        <w:rFonts w:cs="Times New Roman"/>
      </w:rPr>
    </w:lvl>
  </w:abstractNum>
  <w:abstractNum w:abstractNumId="15">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0"/>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4449"/>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44AB"/>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2E6257"/>
    <w:rsid w:val="02337D11"/>
    <w:rsid w:val="02357235"/>
    <w:rsid w:val="0295470D"/>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BB1BA3"/>
    <w:rsid w:val="07CA2ED7"/>
    <w:rsid w:val="08124359"/>
    <w:rsid w:val="08263B08"/>
    <w:rsid w:val="083427D0"/>
    <w:rsid w:val="08980FA6"/>
    <w:rsid w:val="08E04690"/>
    <w:rsid w:val="09057B87"/>
    <w:rsid w:val="09503F11"/>
    <w:rsid w:val="097B4255"/>
    <w:rsid w:val="097E7EEB"/>
    <w:rsid w:val="09E9764E"/>
    <w:rsid w:val="0A4B5A36"/>
    <w:rsid w:val="0A591448"/>
    <w:rsid w:val="0A755759"/>
    <w:rsid w:val="0AEC727C"/>
    <w:rsid w:val="0B3172AA"/>
    <w:rsid w:val="0B4E601C"/>
    <w:rsid w:val="0B885181"/>
    <w:rsid w:val="0BF010F8"/>
    <w:rsid w:val="0C1C2136"/>
    <w:rsid w:val="0C8962BA"/>
    <w:rsid w:val="0CC06DF7"/>
    <w:rsid w:val="0CD56D9C"/>
    <w:rsid w:val="0D001B3D"/>
    <w:rsid w:val="0DE66BD9"/>
    <w:rsid w:val="0DF93BBD"/>
    <w:rsid w:val="0E2D05D9"/>
    <w:rsid w:val="0E4C6193"/>
    <w:rsid w:val="0E7463E7"/>
    <w:rsid w:val="0E785855"/>
    <w:rsid w:val="0E7C61D3"/>
    <w:rsid w:val="0FAD72DB"/>
    <w:rsid w:val="103778E9"/>
    <w:rsid w:val="105F0C1F"/>
    <w:rsid w:val="10C77FA2"/>
    <w:rsid w:val="10F2465E"/>
    <w:rsid w:val="10FE773C"/>
    <w:rsid w:val="11755B31"/>
    <w:rsid w:val="1180062F"/>
    <w:rsid w:val="1195400C"/>
    <w:rsid w:val="11B4260B"/>
    <w:rsid w:val="11B5219D"/>
    <w:rsid w:val="11B76268"/>
    <w:rsid w:val="11F1104F"/>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6C71422"/>
    <w:rsid w:val="17041BB3"/>
    <w:rsid w:val="170E28DF"/>
    <w:rsid w:val="17846ED2"/>
    <w:rsid w:val="1785186E"/>
    <w:rsid w:val="178C2434"/>
    <w:rsid w:val="17B00EF6"/>
    <w:rsid w:val="18060E62"/>
    <w:rsid w:val="18477128"/>
    <w:rsid w:val="18477163"/>
    <w:rsid w:val="18510FCC"/>
    <w:rsid w:val="18BE740C"/>
    <w:rsid w:val="18EF01A0"/>
    <w:rsid w:val="19BA322A"/>
    <w:rsid w:val="19C41B53"/>
    <w:rsid w:val="1AA8344A"/>
    <w:rsid w:val="1AAE3F81"/>
    <w:rsid w:val="1B0B7961"/>
    <w:rsid w:val="1B9D631B"/>
    <w:rsid w:val="1BC77AA8"/>
    <w:rsid w:val="1BFF09F4"/>
    <w:rsid w:val="1C511068"/>
    <w:rsid w:val="1C8D5047"/>
    <w:rsid w:val="1C8E7568"/>
    <w:rsid w:val="1CA5548E"/>
    <w:rsid w:val="1D036643"/>
    <w:rsid w:val="1D5A11C0"/>
    <w:rsid w:val="1D9804EE"/>
    <w:rsid w:val="1DE359C0"/>
    <w:rsid w:val="1E237E7E"/>
    <w:rsid w:val="1E291232"/>
    <w:rsid w:val="1E5E1067"/>
    <w:rsid w:val="1E77426E"/>
    <w:rsid w:val="1E780C0D"/>
    <w:rsid w:val="1E7C3FC4"/>
    <w:rsid w:val="1EB65E9F"/>
    <w:rsid w:val="1ED0129B"/>
    <w:rsid w:val="1EE559BD"/>
    <w:rsid w:val="1F053CF4"/>
    <w:rsid w:val="1F7D6E36"/>
    <w:rsid w:val="1F8644B8"/>
    <w:rsid w:val="1FD840FD"/>
    <w:rsid w:val="1FFA68CE"/>
    <w:rsid w:val="200D1865"/>
    <w:rsid w:val="208945DF"/>
    <w:rsid w:val="20CA5EA2"/>
    <w:rsid w:val="20D14707"/>
    <w:rsid w:val="20FD12A8"/>
    <w:rsid w:val="21184D4A"/>
    <w:rsid w:val="214A02C6"/>
    <w:rsid w:val="214F03B6"/>
    <w:rsid w:val="21862A8E"/>
    <w:rsid w:val="219846CF"/>
    <w:rsid w:val="219D0C9F"/>
    <w:rsid w:val="21E92E1A"/>
    <w:rsid w:val="222E18FF"/>
    <w:rsid w:val="223B259E"/>
    <w:rsid w:val="223F1EBC"/>
    <w:rsid w:val="22533814"/>
    <w:rsid w:val="22EC5646"/>
    <w:rsid w:val="22ED32DA"/>
    <w:rsid w:val="22F926DA"/>
    <w:rsid w:val="22FD7EBA"/>
    <w:rsid w:val="23034F44"/>
    <w:rsid w:val="232375F4"/>
    <w:rsid w:val="235F4931"/>
    <w:rsid w:val="237468B8"/>
    <w:rsid w:val="23AE705F"/>
    <w:rsid w:val="241C6A54"/>
    <w:rsid w:val="24526424"/>
    <w:rsid w:val="247D056D"/>
    <w:rsid w:val="24940192"/>
    <w:rsid w:val="249E2CA0"/>
    <w:rsid w:val="24F13E55"/>
    <w:rsid w:val="25185183"/>
    <w:rsid w:val="254C7941"/>
    <w:rsid w:val="255F2A1E"/>
    <w:rsid w:val="256D7FDA"/>
    <w:rsid w:val="25A34ACC"/>
    <w:rsid w:val="25C953A9"/>
    <w:rsid w:val="25D52D16"/>
    <w:rsid w:val="26160709"/>
    <w:rsid w:val="261A5A10"/>
    <w:rsid w:val="261B3491"/>
    <w:rsid w:val="26261822"/>
    <w:rsid w:val="267D795D"/>
    <w:rsid w:val="26814BED"/>
    <w:rsid w:val="26AE7711"/>
    <w:rsid w:val="26E94DE4"/>
    <w:rsid w:val="26FF6A0B"/>
    <w:rsid w:val="274A1985"/>
    <w:rsid w:val="27A12394"/>
    <w:rsid w:val="28123CCE"/>
    <w:rsid w:val="282C45F9"/>
    <w:rsid w:val="28331C1B"/>
    <w:rsid w:val="28B1694E"/>
    <w:rsid w:val="28BC0562"/>
    <w:rsid w:val="29C21F61"/>
    <w:rsid w:val="2A0E0D4F"/>
    <w:rsid w:val="2A1A0CEB"/>
    <w:rsid w:val="2A6A6BA1"/>
    <w:rsid w:val="2A7F1496"/>
    <w:rsid w:val="2ACF474A"/>
    <w:rsid w:val="2AFE384E"/>
    <w:rsid w:val="2B016A47"/>
    <w:rsid w:val="2B181536"/>
    <w:rsid w:val="2B65243A"/>
    <w:rsid w:val="2BB756FE"/>
    <w:rsid w:val="2BD36576"/>
    <w:rsid w:val="2C45506B"/>
    <w:rsid w:val="2CCD2011"/>
    <w:rsid w:val="2CE30931"/>
    <w:rsid w:val="2CF808D7"/>
    <w:rsid w:val="2D941A03"/>
    <w:rsid w:val="2DAE02E0"/>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26171B"/>
    <w:rsid w:val="31643845"/>
    <w:rsid w:val="316C3324"/>
    <w:rsid w:val="323B6E74"/>
    <w:rsid w:val="325B51AB"/>
    <w:rsid w:val="32A0560C"/>
    <w:rsid w:val="32B25BB9"/>
    <w:rsid w:val="32C87D5D"/>
    <w:rsid w:val="331F61ED"/>
    <w:rsid w:val="33354DE7"/>
    <w:rsid w:val="33814F8D"/>
    <w:rsid w:val="33AA66AB"/>
    <w:rsid w:val="340472FB"/>
    <w:rsid w:val="34610414"/>
    <w:rsid w:val="347A51A5"/>
    <w:rsid w:val="34836460"/>
    <w:rsid w:val="34930253"/>
    <w:rsid w:val="34A53A6B"/>
    <w:rsid w:val="34C03072"/>
    <w:rsid w:val="35134CB4"/>
    <w:rsid w:val="352765C3"/>
    <w:rsid w:val="355E5798"/>
    <w:rsid w:val="35740C40"/>
    <w:rsid w:val="35CF5088"/>
    <w:rsid w:val="364E63E7"/>
    <w:rsid w:val="365D5129"/>
    <w:rsid w:val="36AF5145"/>
    <w:rsid w:val="36DA16DE"/>
    <w:rsid w:val="37083929"/>
    <w:rsid w:val="37930C3B"/>
    <w:rsid w:val="37A75193"/>
    <w:rsid w:val="37C036A0"/>
    <w:rsid w:val="37CA12CC"/>
    <w:rsid w:val="37CA3313"/>
    <w:rsid w:val="387D5D44"/>
    <w:rsid w:val="38C81E30"/>
    <w:rsid w:val="39286C9E"/>
    <w:rsid w:val="392E6699"/>
    <w:rsid w:val="392F0EB2"/>
    <w:rsid w:val="39475874"/>
    <w:rsid w:val="39C73159"/>
    <w:rsid w:val="39EC3E11"/>
    <w:rsid w:val="3A317D91"/>
    <w:rsid w:val="3A6C5593"/>
    <w:rsid w:val="3ABA508F"/>
    <w:rsid w:val="3B0A798D"/>
    <w:rsid w:val="3B7905A1"/>
    <w:rsid w:val="3B7D41BE"/>
    <w:rsid w:val="3B8101AF"/>
    <w:rsid w:val="3B830D6D"/>
    <w:rsid w:val="3BA548E8"/>
    <w:rsid w:val="3BAE72EF"/>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76CF9"/>
    <w:rsid w:val="3FAB2584"/>
    <w:rsid w:val="402939B5"/>
    <w:rsid w:val="40562ABF"/>
    <w:rsid w:val="405A6274"/>
    <w:rsid w:val="40F733AF"/>
    <w:rsid w:val="40FC5196"/>
    <w:rsid w:val="41055DEC"/>
    <w:rsid w:val="411E6B51"/>
    <w:rsid w:val="41230C36"/>
    <w:rsid w:val="41836D2B"/>
    <w:rsid w:val="419E6238"/>
    <w:rsid w:val="41AA4248"/>
    <w:rsid w:val="41C62F7B"/>
    <w:rsid w:val="420B11AB"/>
    <w:rsid w:val="425659E6"/>
    <w:rsid w:val="425F0D31"/>
    <w:rsid w:val="42707BEA"/>
    <w:rsid w:val="43104E14"/>
    <w:rsid w:val="43223B49"/>
    <w:rsid w:val="433E3844"/>
    <w:rsid w:val="436314FD"/>
    <w:rsid w:val="437945CF"/>
    <w:rsid w:val="43804D7D"/>
    <w:rsid w:val="43873B5A"/>
    <w:rsid w:val="438C7C44"/>
    <w:rsid w:val="43E45950"/>
    <w:rsid w:val="449916C8"/>
    <w:rsid w:val="44AE6655"/>
    <w:rsid w:val="45313828"/>
    <w:rsid w:val="4535104D"/>
    <w:rsid w:val="4539571E"/>
    <w:rsid w:val="457F6FA9"/>
    <w:rsid w:val="45DB35CC"/>
    <w:rsid w:val="465316EE"/>
    <w:rsid w:val="46A57574"/>
    <w:rsid w:val="46AF3C44"/>
    <w:rsid w:val="46B46290"/>
    <w:rsid w:val="47426DF8"/>
    <w:rsid w:val="475912E1"/>
    <w:rsid w:val="475D31EB"/>
    <w:rsid w:val="48740DB7"/>
    <w:rsid w:val="48F35082"/>
    <w:rsid w:val="490C49ED"/>
    <w:rsid w:val="49144E77"/>
    <w:rsid w:val="49247038"/>
    <w:rsid w:val="496C1724"/>
    <w:rsid w:val="49B83F7E"/>
    <w:rsid w:val="49D51C7E"/>
    <w:rsid w:val="4A236EB1"/>
    <w:rsid w:val="4A397D7D"/>
    <w:rsid w:val="4A7B5341"/>
    <w:rsid w:val="4A895CED"/>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612C25"/>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5DB4F23"/>
    <w:rsid w:val="560378AC"/>
    <w:rsid w:val="56866800"/>
    <w:rsid w:val="573E1C0D"/>
    <w:rsid w:val="575667C0"/>
    <w:rsid w:val="57623B4D"/>
    <w:rsid w:val="578D03B3"/>
    <w:rsid w:val="57AB0B61"/>
    <w:rsid w:val="57F144D9"/>
    <w:rsid w:val="57FE4F58"/>
    <w:rsid w:val="580C45A2"/>
    <w:rsid w:val="582320F2"/>
    <w:rsid w:val="582C5C37"/>
    <w:rsid w:val="586E1F24"/>
    <w:rsid w:val="58944126"/>
    <w:rsid w:val="589748E6"/>
    <w:rsid w:val="58A62685"/>
    <w:rsid w:val="58AC4B2F"/>
    <w:rsid w:val="58CF0CC3"/>
    <w:rsid w:val="58F011F8"/>
    <w:rsid w:val="58FB500B"/>
    <w:rsid w:val="59870472"/>
    <w:rsid w:val="59B7214E"/>
    <w:rsid w:val="59DC7428"/>
    <w:rsid w:val="5A1E1C01"/>
    <w:rsid w:val="5A7A2131"/>
    <w:rsid w:val="5A7B737F"/>
    <w:rsid w:val="5ADE1CCB"/>
    <w:rsid w:val="5AFB64D5"/>
    <w:rsid w:val="5B081542"/>
    <w:rsid w:val="5B230C8C"/>
    <w:rsid w:val="5B2F5F89"/>
    <w:rsid w:val="5BD347B4"/>
    <w:rsid w:val="5BF25E19"/>
    <w:rsid w:val="5C2634BB"/>
    <w:rsid w:val="5C3E6BEA"/>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1E533C7"/>
    <w:rsid w:val="626752C3"/>
    <w:rsid w:val="62DB04BF"/>
    <w:rsid w:val="62E726D3"/>
    <w:rsid w:val="6333694F"/>
    <w:rsid w:val="633D546F"/>
    <w:rsid w:val="63977F2A"/>
    <w:rsid w:val="63AB1A91"/>
    <w:rsid w:val="63E044E9"/>
    <w:rsid w:val="64014A1E"/>
    <w:rsid w:val="644C4E9D"/>
    <w:rsid w:val="64E50514"/>
    <w:rsid w:val="65137F8D"/>
    <w:rsid w:val="65262602"/>
    <w:rsid w:val="65593495"/>
    <w:rsid w:val="657D2C65"/>
    <w:rsid w:val="65927733"/>
    <w:rsid w:val="65A93AD5"/>
    <w:rsid w:val="65BE3A7A"/>
    <w:rsid w:val="65D969F1"/>
    <w:rsid w:val="660C30E4"/>
    <w:rsid w:val="66166687"/>
    <w:rsid w:val="66447A21"/>
    <w:rsid w:val="668074C5"/>
    <w:rsid w:val="668C1857"/>
    <w:rsid w:val="66CF38B7"/>
    <w:rsid w:val="66D40BB2"/>
    <w:rsid w:val="66EF1BEE"/>
    <w:rsid w:val="67706CC4"/>
    <w:rsid w:val="67722599"/>
    <w:rsid w:val="67AB7C92"/>
    <w:rsid w:val="67DF4D46"/>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B8B593A"/>
    <w:rsid w:val="6C303D8F"/>
    <w:rsid w:val="6C4504B1"/>
    <w:rsid w:val="6C9C0EC0"/>
    <w:rsid w:val="6CF22E26"/>
    <w:rsid w:val="6D1546EF"/>
    <w:rsid w:val="6D601F02"/>
    <w:rsid w:val="6DC02871"/>
    <w:rsid w:val="6DD85044"/>
    <w:rsid w:val="6E411D05"/>
    <w:rsid w:val="6E4E38E3"/>
    <w:rsid w:val="6E547E44"/>
    <w:rsid w:val="6EA90BAD"/>
    <w:rsid w:val="6EB4007F"/>
    <w:rsid w:val="6EF259A8"/>
    <w:rsid w:val="6EF97F02"/>
    <w:rsid w:val="6F110CB8"/>
    <w:rsid w:val="6F540894"/>
    <w:rsid w:val="6F974604"/>
    <w:rsid w:val="6FF653BE"/>
    <w:rsid w:val="709829C9"/>
    <w:rsid w:val="70C50F0F"/>
    <w:rsid w:val="70C84199"/>
    <w:rsid w:val="710651FB"/>
    <w:rsid w:val="71B2150C"/>
    <w:rsid w:val="71C15891"/>
    <w:rsid w:val="71D92F81"/>
    <w:rsid w:val="71EF62DD"/>
    <w:rsid w:val="71FE401B"/>
    <w:rsid w:val="7236738B"/>
    <w:rsid w:val="72AD6831"/>
    <w:rsid w:val="72D475D0"/>
    <w:rsid w:val="731B7E2F"/>
    <w:rsid w:val="73211924"/>
    <w:rsid w:val="73245576"/>
    <w:rsid w:val="73E57241"/>
    <w:rsid w:val="744A1799"/>
    <w:rsid w:val="74806F69"/>
    <w:rsid w:val="748B5DC2"/>
    <w:rsid w:val="74A024E4"/>
    <w:rsid w:val="74C15316"/>
    <w:rsid w:val="74EA4A53"/>
    <w:rsid w:val="74EE7665"/>
    <w:rsid w:val="75187B4C"/>
    <w:rsid w:val="752175BA"/>
    <w:rsid w:val="7528245B"/>
    <w:rsid w:val="75AF3FAA"/>
    <w:rsid w:val="75B172CA"/>
    <w:rsid w:val="75B7195A"/>
    <w:rsid w:val="75DB69E8"/>
    <w:rsid w:val="75DE1903"/>
    <w:rsid w:val="75E70E3A"/>
    <w:rsid w:val="76341EFC"/>
    <w:rsid w:val="7683176E"/>
    <w:rsid w:val="76A74C81"/>
    <w:rsid w:val="76D142CA"/>
    <w:rsid w:val="76FE3D79"/>
    <w:rsid w:val="774175B4"/>
    <w:rsid w:val="7749345A"/>
    <w:rsid w:val="77912DDD"/>
    <w:rsid w:val="779176B2"/>
    <w:rsid w:val="77B10A85"/>
    <w:rsid w:val="785C5783"/>
    <w:rsid w:val="78621530"/>
    <w:rsid w:val="789711D5"/>
    <w:rsid w:val="78D15601"/>
    <w:rsid w:val="7910179B"/>
    <w:rsid w:val="794159AF"/>
    <w:rsid w:val="797D7DE3"/>
    <w:rsid w:val="79971C87"/>
    <w:rsid w:val="79BE5205"/>
    <w:rsid w:val="79CF307E"/>
    <w:rsid w:val="7A163E74"/>
    <w:rsid w:val="7A452497"/>
    <w:rsid w:val="7A6F205A"/>
    <w:rsid w:val="7A795AFD"/>
    <w:rsid w:val="7AA256F3"/>
    <w:rsid w:val="7B334F2B"/>
    <w:rsid w:val="7B49603F"/>
    <w:rsid w:val="7B8E2585"/>
    <w:rsid w:val="7BB32DB4"/>
    <w:rsid w:val="7BC0404E"/>
    <w:rsid w:val="7BD91366"/>
    <w:rsid w:val="7BF62A6B"/>
    <w:rsid w:val="7C01687E"/>
    <w:rsid w:val="7C0B2A10"/>
    <w:rsid w:val="7C3A6597"/>
    <w:rsid w:val="7CB07ED4"/>
    <w:rsid w:val="7CB9602C"/>
    <w:rsid w:val="7D1E37C3"/>
    <w:rsid w:val="7D875780"/>
    <w:rsid w:val="7DC600E3"/>
    <w:rsid w:val="7DE57721"/>
    <w:rsid w:val="7DE65272"/>
    <w:rsid w:val="7E12375A"/>
    <w:rsid w:val="7E5B78AF"/>
    <w:rsid w:val="7E6C6CF7"/>
    <w:rsid w:val="7E733B66"/>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9"/>
    <w:qFormat/>
    <w:uiPriority w:val="99"/>
    <w:pPr>
      <w:keepNext/>
      <w:keepLines/>
      <w:spacing w:before="340" w:after="330" w:line="578" w:lineRule="auto"/>
      <w:outlineLvl w:val="0"/>
    </w:pPr>
    <w:rPr>
      <w:b/>
      <w:kern w:val="44"/>
      <w:sz w:val="44"/>
    </w:rPr>
  </w:style>
  <w:style w:type="paragraph" w:styleId="4">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0"/>
    <w:qFormat/>
    <w:uiPriority w:val="99"/>
    <w:pPr>
      <w:keepNext/>
      <w:keepLines/>
      <w:spacing w:before="260" w:after="260" w:line="416" w:lineRule="auto"/>
      <w:outlineLvl w:val="2"/>
    </w:pPr>
    <w:rPr>
      <w:b/>
      <w:sz w:val="32"/>
    </w:rPr>
  </w:style>
  <w:style w:type="paragraph" w:styleId="6">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7">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8">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9">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10">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9"/>
    <w:qFormat/>
    <w:uiPriority w:val="99"/>
    <w:pPr>
      <w:ind w:firstLine="420"/>
    </w:pPr>
  </w:style>
  <w:style w:type="paragraph" w:styleId="12">
    <w:name w:val="toc 7"/>
    <w:basedOn w:val="1"/>
    <w:next w:val="1"/>
    <w:qFormat/>
    <w:uiPriority w:val="99"/>
    <w:pPr>
      <w:ind w:left="1260"/>
      <w:jc w:val="left"/>
    </w:pPr>
    <w:rPr>
      <w:sz w:val="18"/>
      <w:szCs w:val="18"/>
    </w:r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link w:val="121"/>
    <w:qFormat/>
    <w:uiPriority w:val="99"/>
    <w:pPr>
      <w:spacing w:after="120"/>
    </w:pPr>
    <w:rPr>
      <w:sz w:val="24"/>
    </w:rPr>
  </w:style>
  <w:style w:type="paragraph" w:styleId="18">
    <w:name w:val="Body Text Indent"/>
    <w:basedOn w:val="1"/>
    <w:link w:val="120"/>
    <w:qFormat/>
    <w:uiPriority w:val="99"/>
    <w:pPr>
      <w:spacing w:line="360" w:lineRule="auto"/>
      <w:ind w:left="435" w:leftChars="207"/>
    </w:pPr>
    <w:rPr>
      <w:sz w:val="24"/>
    </w:rPr>
  </w:style>
  <w:style w:type="paragraph" w:styleId="19">
    <w:name w:val="List 2"/>
    <w:basedOn w:val="1"/>
    <w:qFormat/>
    <w:uiPriority w:val="99"/>
    <w:pPr>
      <w:ind w:left="100" w:leftChars="200" w:hanging="200" w:hangingChars="200"/>
    </w:pPr>
  </w:style>
  <w:style w:type="paragraph" w:styleId="20">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1">
    <w:name w:val="index 4"/>
    <w:basedOn w:val="1"/>
    <w:next w:val="1"/>
    <w:qFormat/>
    <w:uiPriority w:val="99"/>
    <w:pPr>
      <w:ind w:left="600" w:leftChars="600"/>
    </w:pPr>
    <w:rPr>
      <w:szCs w:val="24"/>
    </w:rPr>
  </w:style>
  <w:style w:type="paragraph" w:styleId="22">
    <w:name w:val="toc 5"/>
    <w:basedOn w:val="1"/>
    <w:next w:val="1"/>
    <w:qFormat/>
    <w:uiPriority w:val="99"/>
    <w:pPr>
      <w:ind w:left="840"/>
      <w:jc w:val="left"/>
    </w:pPr>
    <w:rPr>
      <w:sz w:val="18"/>
      <w:szCs w:val="18"/>
    </w:rPr>
  </w:style>
  <w:style w:type="paragraph" w:styleId="23">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4">
    <w:name w:val="Plain Text"/>
    <w:basedOn w:val="1"/>
    <w:link w:val="115"/>
    <w:qFormat/>
    <w:uiPriority w:val="99"/>
    <w:rPr>
      <w:rFonts w:ascii="宋体" w:hAnsi="Courier New"/>
    </w:rPr>
  </w:style>
  <w:style w:type="paragraph" w:styleId="25">
    <w:name w:val="toc 8"/>
    <w:basedOn w:val="1"/>
    <w:next w:val="1"/>
    <w:qFormat/>
    <w:uiPriority w:val="99"/>
    <w:pPr>
      <w:ind w:left="1470"/>
      <w:jc w:val="left"/>
    </w:pPr>
    <w:rPr>
      <w:sz w:val="18"/>
      <w:szCs w:val="18"/>
    </w:rPr>
  </w:style>
  <w:style w:type="paragraph" w:styleId="26">
    <w:name w:val="Date"/>
    <w:basedOn w:val="1"/>
    <w:next w:val="1"/>
    <w:link w:val="124"/>
    <w:qFormat/>
    <w:uiPriority w:val="99"/>
    <w:pPr>
      <w:ind w:left="100" w:leftChars="2500"/>
    </w:pPr>
    <w:rPr>
      <w:sz w:val="24"/>
    </w:rPr>
  </w:style>
  <w:style w:type="paragraph" w:styleId="27">
    <w:name w:val="Body Text Indent 2"/>
    <w:basedOn w:val="1"/>
    <w:link w:val="127"/>
    <w:qFormat/>
    <w:uiPriority w:val="99"/>
    <w:pPr>
      <w:spacing w:line="360" w:lineRule="auto"/>
      <w:ind w:firstLine="600"/>
    </w:pPr>
    <w:rPr>
      <w:rFonts w:ascii="宋体"/>
      <w:sz w:val="30"/>
    </w:rPr>
  </w:style>
  <w:style w:type="paragraph" w:styleId="28">
    <w:name w:val="Balloon Text"/>
    <w:basedOn w:val="1"/>
    <w:link w:val="128"/>
    <w:qFormat/>
    <w:uiPriority w:val="99"/>
    <w:rPr>
      <w:sz w:val="18"/>
    </w:rPr>
  </w:style>
  <w:style w:type="paragraph" w:styleId="29">
    <w:name w:val="footer"/>
    <w:basedOn w:val="1"/>
    <w:link w:val="119"/>
    <w:qFormat/>
    <w:uiPriority w:val="99"/>
    <w:pPr>
      <w:tabs>
        <w:tab w:val="center" w:pos="4153"/>
        <w:tab w:val="right" w:pos="8306"/>
      </w:tabs>
      <w:snapToGrid w:val="0"/>
      <w:jc w:val="left"/>
    </w:pPr>
    <w:rPr>
      <w:sz w:val="18"/>
    </w:rPr>
  </w:style>
  <w:style w:type="paragraph" w:styleId="30">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1">
    <w:name w:val="toc 1"/>
    <w:basedOn w:val="1"/>
    <w:next w:val="1"/>
    <w:semiHidden/>
    <w:qFormat/>
    <w:uiPriority w:val="99"/>
    <w:pPr>
      <w:tabs>
        <w:tab w:val="right" w:leader="dot" w:pos="8810"/>
      </w:tabs>
      <w:spacing w:line="360" w:lineRule="auto"/>
    </w:pPr>
  </w:style>
  <w:style w:type="paragraph" w:styleId="32">
    <w:name w:val="toc 4"/>
    <w:basedOn w:val="1"/>
    <w:next w:val="1"/>
    <w:qFormat/>
    <w:uiPriority w:val="99"/>
    <w:pPr>
      <w:ind w:left="630"/>
      <w:jc w:val="left"/>
    </w:pPr>
    <w:rPr>
      <w:sz w:val="18"/>
      <w:szCs w:val="18"/>
    </w:rPr>
  </w:style>
  <w:style w:type="paragraph" w:styleId="33">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4">
    <w:name w:val="List"/>
    <w:basedOn w:val="1"/>
    <w:qFormat/>
    <w:uiPriority w:val="99"/>
    <w:pPr>
      <w:ind w:left="200" w:hanging="200" w:hangingChars="200"/>
    </w:pPr>
    <w:rPr>
      <w:szCs w:val="24"/>
    </w:rPr>
  </w:style>
  <w:style w:type="paragraph" w:styleId="35">
    <w:name w:val="toc 6"/>
    <w:basedOn w:val="1"/>
    <w:next w:val="1"/>
    <w:qFormat/>
    <w:uiPriority w:val="99"/>
    <w:pPr>
      <w:ind w:left="1050"/>
      <w:jc w:val="left"/>
    </w:pPr>
    <w:rPr>
      <w:sz w:val="18"/>
      <w:szCs w:val="18"/>
    </w:rPr>
  </w:style>
  <w:style w:type="paragraph" w:styleId="36">
    <w:name w:val="Body Text Indent 3"/>
    <w:basedOn w:val="1"/>
    <w:link w:val="117"/>
    <w:qFormat/>
    <w:uiPriority w:val="99"/>
    <w:pPr>
      <w:spacing w:after="120"/>
      <w:ind w:left="420" w:leftChars="200"/>
    </w:pPr>
    <w:rPr>
      <w:sz w:val="16"/>
    </w:rPr>
  </w:style>
  <w:style w:type="paragraph" w:styleId="37">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8">
    <w:name w:val="toc 9"/>
    <w:basedOn w:val="1"/>
    <w:next w:val="1"/>
    <w:qFormat/>
    <w:uiPriority w:val="99"/>
    <w:pPr>
      <w:ind w:left="1680"/>
      <w:jc w:val="left"/>
    </w:pPr>
    <w:rPr>
      <w:sz w:val="18"/>
      <w:szCs w:val="18"/>
    </w:rPr>
  </w:style>
  <w:style w:type="paragraph" w:styleId="39">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113"/>
    <w:qFormat/>
    <w:uiPriority w:val="99"/>
    <w:pPr>
      <w:spacing w:before="240" w:after="60"/>
      <w:jc w:val="center"/>
      <w:outlineLvl w:val="0"/>
    </w:pPr>
    <w:rPr>
      <w:rFonts w:ascii="Cambria" w:hAnsi="Cambria"/>
      <w:b/>
      <w:sz w:val="32"/>
    </w:rPr>
  </w:style>
  <w:style w:type="paragraph" w:styleId="42">
    <w:name w:val="annotation subject"/>
    <w:basedOn w:val="15"/>
    <w:next w:val="15"/>
    <w:link w:val="125"/>
    <w:qFormat/>
    <w:uiPriority w:val="99"/>
    <w:rPr>
      <w:b/>
    </w:rPr>
  </w:style>
  <w:style w:type="paragraph" w:styleId="43">
    <w:name w:val="Body Text First Indent"/>
    <w:basedOn w:val="17"/>
    <w:qFormat/>
    <w:locked/>
    <w:uiPriority w:val="0"/>
    <w:pPr>
      <w:ind w:firstLine="420" w:firstLineChars="100"/>
    </w:pPr>
    <w:rPr>
      <w:szCs w:val="24"/>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4"/>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6"/>
    <w:qFormat/>
    <w:locked/>
    <w:uiPriority w:val="99"/>
    <w:rPr>
      <w:rFonts w:ascii="Cambria" w:hAnsi="Cambria" w:eastAsia="宋体" w:cs="Times New Roman"/>
      <w:kern w:val="2"/>
      <w:sz w:val="28"/>
    </w:rPr>
  </w:style>
  <w:style w:type="character" w:customStyle="1" w:styleId="62">
    <w:name w:val="标题 5 Char"/>
    <w:link w:val="7"/>
    <w:qFormat/>
    <w:locked/>
    <w:uiPriority w:val="99"/>
    <w:rPr>
      <w:rFonts w:ascii="Calibri" w:hAnsi="Calibri" w:eastAsia="宋体" w:cs="Times New Roman"/>
      <w:b/>
      <w:kern w:val="2"/>
      <w:sz w:val="28"/>
    </w:rPr>
  </w:style>
  <w:style w:type="character" w:customStyle="1" w:styleId="63">
    <w:name w:val="标题 6 Char"/>
    <w:link w:val="8"/>
    <w:qFormat/>
    <w:locked/>
    <w:uiPriority w:val="99"/>
    <w:rPr>
      <w:rFonts w:ascii="Cambria" w:hAnsi="Cambria" w:eastAsia="宋体" w:cs="Times New Roman"/>
      <w:b/>
      <w:kern w:val="2"/>
      <w:sz w:val="24"/>
    </w:rPr>
  </w:style>
  <w:style w:type="character" w:customStyle="1" w:styleId="64">
    <w:name w:val="标题 7 Char"/>
    <w:link w:val="9"/>
    <w:qFormat/>
    <w:locked/>
    <w:uiPriority w:val="99"/>
    <w:rPr>
      <w:rFonts w:eastAsia="宋体" w:cs="Times New Roman"/>
      <w:b/>
      <w:sz w:val="24"/>
    </w:rPr>
  </w:style>
  <w:style w:type="character" w:customStyle="1" w:styleId="65">
    <w:name w:val="标题 8 Char"/>
    <w:link w:val="10"/>
    <w:qFormat/>
    <w:locked/>
    <w:uiPriority w:val="99"/>
    <w:rPr>
      <w:rFonts w:ascii="Arial" w:hAnsi="Arial" w:eastAsia="黑体" w:cs="Times New Roman"/>
      <w:sz w:val="24"/>
    </w:rPr>
  </w:style>
  <w:style w:type="character" w:customStyle="1" w:styleId="66">
    <w:name w:val="标题 9 Char"/>
    <w:link w:val="11"/>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3"/>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5"/>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5"/>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6"/>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1"/>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4"/>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6"/>
    <w:semiHidden/>
    <w:qFormat/>
    <w:locked/>
    <w:uiPriority w:val="99"/>
    <w:rPr>
      <w:rFonts w:cs="Times New Roman"/>
      <w:sz w:val="16"/>
      <w:szCs w:val="16"/>
    </w:rPr>
  </w:style>
  <w:style w:type="character" w:customStyle="1" w:styleId="118">
    <w:name w:val="正文文本 2 Char"/>
    <w:link w:val="39"/>
    <w:semiHidden/>
    <w:qFormat/>
    <w:locked/>
    <w:uiPriority w:val="99"/>
    <w:rPr>
      <w:rFonts w:cs="Times New Roman"/>
      <w:sz w:val="20"/>
      <w:szCs w:val="20"/>
    </w:rPr>
  </w:style>
  <w:style w:type="character" w:customStyle="1" w:styleId="119">
    <w:name w:val="页脚 Char"/>
    <w:link w:val="29"/>
    <w:qFormat/>
    <w:locked/>
    <w:uiPriority w:val="99"/>
    <w:rPr>
      <w:rFonts w:cs="Times New Roman"/>
      <w:sz w:val="18"/>
      <w:szCs w:val="18"/>
    </w:rPr>
  </w:style>
  <w:style w:type="character" w:customStyle="1" w:styleId="120">
    <w:name w:val="正文文本缩进 Char"/>
    <w:link w:val="18"/>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0"/>
    <w:qFormat/>
    <w:locked/>
    <w:uiPriority w:val="99"/>
    <w:rPr>
      <w:rFonts w:cs="Times New Roman"/>
      <w:sz w:val="18"/>
      <w:szCs w:val="18"/>
    </w:rPr>
  </w:style>
  <w:style w:type="character" w:customStyle="1" w:styleId="123">
    <w:name w:val="副标题 Char"/>
    <w:link w:val="33"/>
    <w:qFormat/>
    <w:locked/>
    <w:uiPriority w:val="99"/>
    <w:rPr>
      <w:rFonts w:ascii="Cambria" w:hAnsi="Cambria" w:cs="Times New Roman"/>
      <w:b/>
      <w:bCs/>
      <w:kern w:val="28"/>
      <w:sz w:val="32"/>
      <w:szCs w:val="32"/>
    </w:rPr>
  </w:style>
  <w:style w:type="character" w:customStyle="1" w:styleId="124">
    <w:name w:val="日期 Char"/>
    <w:link w:val="26"/>
    <w:semiHidden/>
    <w:qFormat/>
    <w:locked/>
    <w:uiPriority w:val="99"/>
    <w:rPr>
      <w:rFonts w:cs="Times New Roman"/>
      <w:sz w:val="20"/>
      <w:szCs w:val="20"/>
    </w:rPr>
  </w:style>
  <w:style w:type="character" w:customStyle="1" w:styleId="125">
    <w:name w:val="批注主题 Char"/>
    <w:link w:val="42"/>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7"/>
    <w:semiHidden/>
    <w:qFormat/>
    <w:locked/>
    <w:uiPriority w:val="99"/>
    <w:rPr>
      <w:rFonts w:cs="Times New Roman"/>
      <w:sz w:val="20"/>
      <w:szCs w:val="20"/>
    </w:rPr>
  </w:style>
  <w:style w:type="character" w:customStyle="1" w:styleId="128">
    <w:name w:val="批注框文本 Char"/>
    <w:link w:val="28"/>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6"/>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3"/>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6"/>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5"/>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4"/>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3"/>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11730</Words>
  <Characters>12345</Characters>
  <Lines>24</Lines>
  <Paragraphs>35</Paragraphs>
  <TotalTime>7</TotalTime>
  <ScaleCrop>false</ScaleCrop>
  <LinksUpToDate>false</LinksUpToDate>
  <CharactersWithSpaces>12470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恏銑鰰</cp:lastModifiedBy>
  <cp:lastPrinted>2020-06-30T02:02:00Z</cp:lastPrinted>
  <dcterms:modified xsi:type="dcterms:W3CDTF">2026-05-20T02:27:58Z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C16BBE8A5F25462BB8474777CE704F9A_13</vt:lpwstr>
  </property>
  <property fmtid="{D5CDD505-2E9C-101B-9397-08002B2CF9AE}" pid="4" name="KSOTemplateDocerSaveRecord">
    <vt:lpwstr>eyJoZGlkIjoiMzEwNTM5NzYwMDRjMzkwZTVkZjY2ODkwMGIxNGU0OTUiLCJ1c2VySWQiOiI1Mzg3OTc3MzUifQ==</vt:lpwstr>
  </property>
</Properties>
</file>