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73C880">
      <w:pPr>
        <w:rPr>
          <w:rFonts w:hint="eastAsia"/>
        </w:rPr>
      </w:pPr>
      <w:r>
        <w:rPr>
          <w:rFonts w:hint="eastAsia"/>
        </w:rPr>
        <w:t>II. Qualification requirements for applicants:</w:t>
      </w:r>
    </w:p>
    <w:p w14:paraId="1A002A72">
      <w:pPr>
        <w:rPr>
          <w:rFonts w:hint="eastAsia"/>
        </w:rPr>
      </w:pPr>
      <w:r>
        <w:rPr>
          <w:rFonts w:hint="eastAsia"/>
        </w:rPr>
        <w:t>1. Meet the requirements stipulated in Article 22 of the Government Procurement Law of the People's Republic of China;</w:t>
      </w:r>
    </w:p>
    <w:p w14:paraId="44BAFDC7">
      <w:pPr>
        <w:rPr>
          <w:rFonts w:hint="eastAsia"/>
        </w:rPr>
      </w:pPr>
      <w:r>
        <w:rPr>
          <w:rFonts w:hint="eastAsia"/>
        </w:rPr>
        <w:t>2. Qualification requirements for implementing government procurement policies: This project is a procurement project with reserved quotas, and the reserved quota measure is overall reservation (specifically for small and medium-sized enterprises)</w:t>
      </w:r>
    </w:p>
    <w:p w14:paraId="11B2AE84">
      <w:pPr>
        <w:rPr>
          <w:rFonts w:hint="eastAsia"/>
        </w:rPr>
      </w:pPr>
      <w:r>
        <w:rPr>
          <w:rFonts w:hint="eastAsia"/>
        </w:rPr>
        <w:t>3. Specific qualification requirements for this project:</w:t>
      </w:r>
    </w:p>
    <w:p w14:paraId="0833D5EC">
      <w:pPr>
        <w:rPr>
          <w:rFonts w:hint="eastAsia"/>
        </w:rPr>
      </w:pPr>
      <w:r>
        <w:rPr>
          <w:rFonts w:hint="eastAsia"/>
        </w:rPr>
        <w:t>(1) Compliance with the provisions of Article 22 of the Government Procurement Law of the People's Republic of China.</w:t>
      </w:r>
    </w:p>
    <w:p w14:paraId="7C2F967B">
      <w:pPr>
        <w:rPr>
          <w:rFonts w:hint="eastAsia"/>
        </w:rPr>
      </w:pPr>
      <w:r>
        <w:rPr>
          <w:rFonts w:hint="eastAsia"/>
        </w:rPr>
        <w:t>(2) Not included in the list of dishonesty and dishonesty, major tax violation cases, and serious illegal dishonesty behavior records in government procurement by "Credit China" (www.creditchina.gov.cn) and "China Government Procurement Network" (www.ccgp.gov.cn).</w:t>
      </w:r>
    </w:p>
    <w:p w14:paraId="7E106F42">
      <w:pPr>
        <w:rPr>
          <w:rFonts w:hint="eastAsia"/>
        </w:rPr>
      </w:pPr>
      <w:r>
        <w:rPr>
          <w:rFonts w:hint="eastAsia"/>
        </w:rPr>
        <w:t>(3) Different suppliers whose unit heads are the same person or have a direct holding or management relationship shall not participate in government procurement activities under the same contract; suppliers providing overall design, specification preparation, project management, supervision, testing, or other services for a procurement project shall not participate in other procurement activities for the same project.</w:t>
      </w:r>
    </w:p>
    <w:p w14:paraId="31DCAE97">
      <w:pPr>
        <w:rPr>
          <w:rFonts w:hint="eastAsia"/>
        </w:rPr>
      </w:pPr>
      <w:r>
        <w:rPr>
          <w:rFonts w:hint="eastAsia"/>
        </w:rPr>
        <w:t>(4) Possessing a qualification of Grade III or above for general contracting of construction engineering, and also possessing a qualification of Grade III or above for general contracting of municipal public works.</w:t>
      </w:r>
    </w:p>
    <w:p w14:paraId="685350C5">
      <w:pPr>
        <w:rPr>
          <w:rFonts w:hint="eastAsia"/>
        </w:rPr>
      </w:pPr>
      <w:r>
        <w:rPr>
          <w:rFonts w:hint="eastAsia"/>
        </w:rPr>
        <w:t>(5) Possess a valid safety production license.</w:t>
      </w:r>
    </w:p>
    <w:p w14:paraId="79E872A0">
      <w:r>
        <w:rPr>
          <w:rFonts w:hint="eastAsia"/>
        </w:rPr>
        <w:t>(6) The proposed project leader shall possess a registered construction engineer qualification at or above the second level in the field of construction engineering or municipal public works, hold a valid certificate of safety production assessment, and not serve as the project leader of any other ongoing construction projects (in the case of participating in procurement activities as a consortium, the project leader shall be appointed by the leading unit)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4D52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2026-08-21T01:28:35Z</dcterms:created>
  <dc:creator>42957</dc:creator>
  <cp:lastModifiedBy>42957</cp:lastModifiedBy>
  <dcterms:modified xsi:type="dcterms:W3CDTF">2026-08-21T01:29:23Z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eyJoZGlkIjoiYWQ3MmQ5MDk1ZGI3Nzg2N2MyNTQ3NTNjNWU0NjQyNTYiLCJ1c2VySWQiOiIzMzkxMTI4MzYifQ==</vt:lpwstr>
  </property>
  <property fmtid="{D5CDD505-2E9C-101B-9397-08002B2CF9AE}" pid="4" name="ICV">
    <vt:lpwstr>4DAD2F3A90E44A5C8A1768E1D7234430_12</vt:lpwstr>
  </property>
</Properties>
</file>