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91C9F" w14:textId="77777777" w:rsidR="008137F8" w:rsidRPr="001E17A1" w:rsidRDefault="00000000">
      <w:pPr>
        <w:shd w:val="clear" w:color="auto" w:fill="FFFFFF"/>
        <w:snapToGrid w:val="0"/>
        <w:spacing w:line="360" w:lineRule="auto"/>
        <w:rPr>
          <w:rFonts w:ascii="宋体" w:hAnsi="宋体" w:cs="宋体" w:hint="eastAsia"/>
          <w:b/>
          <w:color w:val="000000" w:themeColor="text1"/>
          <w:sz w:val="24"/>
          <w:szCs w:val="24"/>
        </w:rPr>
      </w:pPr>
      <w:bookmarkStart w:id="0" w:name="_Toc34292031"/>
      <w:bookmarkStart w:id="1" w:name="_Toc20040442"/>
      <w:bookmarkStart w:id="2" w:name="_Toc20010847"/>
      <w:r w:rsidRPr="001E17A1">
        <w:rPr>
          <w:rFonts w:ascii="宋体" w:hAnsi="宋体" w:cs="宋体"/>
          <w:b/>
          <w:bCs/>
          <w:color w:val="000000" w:themeColor="text1"/>
          <w:sz w:val="24"/>
          <w:szCs w:val="24"/>
        </w:rPr>
        <w:t>二、</w:t>
      </w:r>
      <w:r w:rsidRPr="001E17A1">
        <w:rPr>
          <w:rFonts w:ascii="宋体" w:hAnsi="宋体" w:cs="宋体"/>
          <w:b/>
          <w:color w:val="000000" w:themeColor="text1"/>
          <w:sz w:val="24"/>
          <w:szCs w:val="24"/>
        </w:rPr>
        <w:t>项目招标需求</w:t>
      </w:r>
    </w:p>
    <w:p w14:paraId="20B816F8" w14:textId="77777777" w:rsidR="008137F8" w:rsidRPr="001E17A1" w:rsidRDefault="00000000">
      <w:pPr>
        <w:pStyle w:val="1"/>
        <w:snapToGrid w:val="0"/>
        <w:spacing w:before="0" w:afterLines="0"/>
        <w:rPr>
          <w:rFonts w:ascii="宋体" w:hAnsi="宋体" w:hint="eastAsia"/>
          <w:color w:val="000000" w:themeColor="text1"/>
          <w:sz w:val="24"/>
          <w:szCs w:val="24"/>
        </w:rPr>
      </w:pPr>
      <w:r w:rsidRPr="001E17A1">
        <w:rPr>
          <w:rFonts w:ascii="宋体" w:hAnsi="宋体" w:hint="eastAsia"/>
          <w:color w:val="000000" w:themeColor="text1"/>
          <w:sz w:val="24"/>
          <w:szCs w:val="24"/>
        </w:rPr>
        <w:t>项目概述</w:t>
      </w:r>
    </w:p>
    <w:p w14:paraId="1C1A3BD0" w14:textId="77777777" w:rsidR="008137F8" w:rsidRPr="001E17A1" w:rsidRDefault="00000000">
      <w:pPr>
        <w:pStyle w:val="2"/>
        <w:snapToGrid w:val="0"/>
        <w:spacing w:before="0"/>
        <w:ind w:left="0" w:firstLine="0"/>
        <w:rPr>
          <w:rFonts w:ascii="宋体" w:hAnsi="宋体" w:hint="eastAsia"/>
          <w:color w:val="000000" w:themeColor="text1"/>
          <w:sz w:val="24"/>
          <w:szCs w:val="24"/>
        </w:rPr>
      </w:pPr>
      <w:r w:rsidRPr="001E17A1">
        <w:rPr>
          <w:rFonts w:ascii="宋体" w:hAnsi="宋体" w:hint="eastAsia"/>
          <w:color w:val="000000" w:themeColor="text1"/>
          <w:sz w:val="24"/>
          <w:szCs w:val="24"/>
        </w:rPr>
        <w:t>背景和现状</w:t>
      </w:r>
    </w:p>
    <w:p w14:paraId="24E71550"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背景</w:t>
      </w:r>
    </w:p>
    <w:p w14:paraId="46EF8BF6" w14:textId="77777777" w:rsidR="008137F8" w:rsidRPr="001E17A1" w:rsidRDefault="00000000">
      <w:pPr>
        <w:widowControl/>
        <w:tabs>
          <w:tab w:val="left" w:pos="1134"/>
        </w:tabs>
        <w:snapToGrid w:val="0"/>
        <w:spacing w:line="360" w:lineRule="auto"/>
        <w:ind w:firstLineChars="200" w:firstLine="480"/>
        <w:jc w:val="left"/>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为落实市政府《上海市公共数据库和一网通办管理办法》（沪府令9号）及市委办公厅、市政府办公厅《上海市加快推进数据治理促进公共数据应用实施方案》（沪委办〔2019〕8号）、《松江区公共数据安全管理办法》（沪松府〔2021〕241号）、《松江区公共数据管理办法》（沪松府〔2021〕242 号）等相关文件要求，更好地应对全区公共数据全生命周期管理工作中遇到的挑战，构建公共数据服务的生态系统，促进区域核心数据枢纽的建设，松江区政务服务中心（大数据中心）自2023年起即启动了数据运营服务试点项目，并在总结试点经验基础上于2024年8月正式启动数据运营服务工作。</w:t>
      </w:r>
    </w:p>
    <w:p w14:paraId="7A87196B" w14:textId="77777777" w:rsidR="008137F8" w:rsidRPr="001E17A1" w:rsidRDefault="00000000">
      <w:pPr>
        <w:snapToGrid w:val="0"/>
        <w:spacing w:line="360" w:lineRule="auto"/>
        <w:ind w:firstLineChars="200" w:firstLine="480"/>
        <w:rPr>
          <w:rFonts w:ascii="宋体" w:hAnsi="宋体" w:hint="eastAsia"/>
          <w:color w:val="000000" w:themeColor="text1"/>
          <w:sz w:val="24"/>
          <w:szCs w:val="24"/>
          <w:highlight w:val="yellow"/>
        </w:rPr>
      </w:pPr>
      <w:r w:rsidRPr="001E17A1">
        <w:rPr>
          <w:rFonts w:ascii="宋体" w:hAnsi="宋体" w:hint="eastAsia"/>
          <w:color w:val="000000" w:themeColor="text1"/>
          <w:sz w:val="24"/>
          <w:szCs w:val="24"/>
        </w:rPr>
        <w:t>近年来，数据运营服务工作取得了一系列成效，初步构建了区级数据资源底座，支撑公共数据的全生命周期管理；完成区领导交办的数字化六大会战之一的“数据上链”工作会战；按照“应编尽编”“应归尽归”的原则逐步覆盖各类公共服务数据；依托区大数据资源平台对接市级数据中台，打通了国家、市、区三级交换通道；开展自然人、法人综合库优化，推动各领域公共数据有效整合；深化专题库建设，有效支撑政务服务“一网通办”、城市运行“一网统管”等应用场景；开展公共数据社会化应用，赋能各行业领域，发挥数据要素的倍乘效应。</w:t>
      </w:r>
    </w:p>
    <w:p w14:paraId="7AA8AFDC" w14:textId="77777777" w:rsidR="008137F8" w:rsidRPr="001E17A1" w:rsidRDefault="00000000">
      <w:pPr>
        <w:widowControl/>
        <w:tabs>
          <w:tab w:val="left" w:pos="1134"/>
        </w:tabs>
        <w:snapToGrid w:val="0"/>
        <w:spacing w:line="360" w:lineRule="auto"/>
        <w:ind w:firstLineChars="200" w:firstLine="480"/>
        <w:jc w:val="left"/>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数据运营项目由中心作为业主单位委托数据服务集成商负责整体项目实施，第三方监管机构负责对服务集成商的服务过程与产出执行监管。中心是数据运营项目的总体负责方，整体负责数据运营项目的业务执行，制定并完善数据运营服务规范，分解项目周期工作目标发起服务任务并对服务任务进行验收；数据服务集成商是数据运营项目的承接方，承接并组织服务和技术力量执行中心的数据运营服务，确保运营服务按时、按质、按量完成，并配合中心及第三方监管机构的监督与考核工作；第三方监管机构是中心委托的独立服务监督机构，负责对数据服务集成商在数据运营过程中的所有活动，包括由此产生的过程性或者结果性交付成果执行客观监督和评估评价，对监管过程中发现的问题提出整改建议，并追踪整改结果，另外协助完善服务目录以及相应的服务规范。</w:t>
      </w:r>
    </w:p>
    <w:p w14:paraId="290F95A7"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大数据资源平台现状</w:t>
      </w:r>
    </w:p>
    <w:p w14:paraId="68F52D53" w14:textId="77777777" w:rsidR="008137F8" w:rsidRPr="001E17A1" w:rsidRDefault="00000000">
      <w:pPr>
        <w:widowControl/>
        <w:tabs>
          <w:tab w:val="left" w:pos="1134"/>
        </w:tabs>
        <w:snapToGrid w:val="0"/>
        <w:spacing w:line="360" w:lineRule="auto"/>
        <w:ind w:firstLineChars="200" w:firstLine="480"/>
        <w:jc w:val="left"/>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大数据资源平台通过两期建设，基于数据基础底座能力，提供数据归集、数据资产管理、数据开发治理、数据共吸纳过交换等服务能力。主要组成包括：数据基础支撑子平台、数据协同管理子平台、数据赋能子平台、运营服务管理子平台、数据安全保障子平台及政务大数据专区。</w:t>
      </w:r>
    </w:p>
    <w:p w14:paraId="507BCE17" w14:textId="77777777" w:rsidR="008137F8" w:rsidRPr="001E17A1" w:rsidRDefault="00000000">
      <w:pPr>
        <w:widowControl/>
        <w:tabs>
          <w:tab w:val="left" w:pos="1134"/>
        </w:tabs>
        <w:snapToGrid w:val="0"/>
        <w:spacing w:line="360" w:lineRule="auto"/>
        <w:ind w:firstLineChars="200" w:firstLine="480"/>
        <w:jc w:val="left"/>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在业务层面当前支撑业务主要包括面向政务内部业务以及面向社会外部应用两大类。其中面向政务内部业务包括：“一网通办”业务应用、“一网统管”业务应用、各部门专题库业务应用等；面向社会外部应用包括：公共数据开放应用、数据创新实验室等。</w:t>
      </w:r>
    </w:p>
    <w:p w14:paraId="19A6A944"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s="宋体" w:hint="eastAsia"/>
          <w:color w:val="000000" w:themeColor="text1"/>
          <w:sz w:val="24"/>
          <w:szCs w:val="24"/>
        </w:rPr>
        <w:t>随着上海城市数字化转型工作的持续推进以及《上海市数据条例》的正式施行，为支撑各委办单位公共数据应用，支撑经济数字化、生活数字化、治理数字化及满足国家相关法规要求，</w:t>
      </w:r>
      <w:r w:rsidRPr="001E17A1">
        <w:rPr>
          <w:rFonts w:ascii="宋体" w:hAnsi="宋体" w:hint="eastAsia"/>
          <w:color w:val="000000" w:themeColor="text1"/>
          <w:sz w:val="24"/>
          <w:szCs w:val="24"/>
        </w:rPr>
        <w:t>构建区域核心数据枢纽和公共数字底座，大数据资源平台需要进一步丰富数据治理功能，增强数据中台共性能力，提升数据共享的时效性和便捷性，强化数据全过程监管和数据安全保障能力。</w:t>
      </w:r>
    </w:p>
    <w:p w14:paraId="59E6791C"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t>总体目标</w:t>
      </w:r>
    </w:p>
    <w:p w14:paraId="2AA3DA1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根据区委、区政府全面推进城市数字化转型的要求，持续加强公共数据的归集、整合、应用、共享和开放等工作，构建区域核心数据枢纽和公共数字底座，建立建设运营一体化服务体系，推动数据资源要素化转型，支撑治理数字化、经济数字化和生活数字化，满足业务从面向部门业务人员需求到面向公众和企业需求的转变，强化公共数据安全管理，提高数字化治理水平，支撑实现城市整体数字化转型和国际数字之都建设。</w:t>
      </w:r>
    </w:p>
    <w:p w14:paraId="650EBFF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具体目标包括：</w:t>
      </w:r>
    </w:p>
    <w:p w14:paraId="2949F8D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1）平台建设：立足全区公共数据要素管理中枢的定位，基于大数据资源平台能力迭代总体目标，统筹利用现有数据底座能力，推进跨平台统一数据底座管理体系建设，探索两级数据治理架构，提供面向多业务场景、更贴近实际需求的跨平台数据服务能力。在此基础上，积极探索人工智能与大数据资源平台的深度融合路径，拓展AI赋能能力，推动平台向智能化升级，实现以AI驱动的数据治理和分析能力的提升和数据要素价值释放，全面增强大数据资源平台的智能化水平与服务效能。基于数据安全分级管控的要求，加强数据库准入控制能力建设，</w:t>
      </w:r>
      <w:r w:rsidRPr="001E17A1">
        <w:rPr>
          <w:rFonts w:ascii="宋体" w:hAnsi="宋体" w:hint="eastAsia"/>
          <w:color w:val="000000" w:themeColor="text1"/>
          <w:sz w:val="24"/>
          <w:szCs w:val="24"/>
        </w:rPr>
        <w:lastRenderedPageBreak/>
        <w:t>提升数据全生命周期流通合规监管能力，对数据归集、传输、共享、开放等核心数据流动路径、使用行为实现实时监控和分析，防范数据泄露、滥用等风险。</w:t>
      </w:r>
    </w:p>
    <w:p w14:paraId="3D31EC29"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2）运营保障：根据平台和数据的使用用户的不同进行分类分级，规范统一交付版本管理，实施全流程管控和全链路监控，提升应急响应能力，提高平台和数据应用服务的高可用和稳定性。结合常见的运维场景和问题，对运维日志、管理等数据进行治理，推动运维工作数字化、智能化转变。</w:t>
      </w:r>
    </w:p>
    <w:p w14:paraId="637B2677" w14:textId="77777777" w:rsidR="008137F8" w:rsidRPr="001E17A1" w:rsidRDefault="00000000">
      <w:pPr>
        <w:widowControl/>
        <w:tabs>
          <w:tab w:val="left" w:pos="1134"/>
        </w:tabs>
        <w:snapToGrid w:val="0"/>
        <w:spacing w:line="360" w:lineRule="auto"/>
        <w:ind w:firstLineChars="200" w:firstLine="480"/>
        <w:jc w:val="left"/>
        <w:rPr>
          <w:rFonts w:ascii="宋体" w:hAnsi="宋体" w:cs="宋体" w:hint="eastAsia"/>
          <w:color w:val="000000" w:themeColor="text1"/>
          <w:sz w:val="24"/>
          <w:szCs w:val="24"/>
        </w:rPr>
      </w:pPr>
      <w:r w:rsidRPr="001E17A1">
        <w:rPr>
          <w:rFonts w:ascii="宋体" w:hAnsi="宋体" w:hint="eastAsia"/>
          <w:color w:val="000000" w:themeColor="text1"/>
          <w:sz w:val="24"/>
          <w:szCs w:val="24"/>
        </w:rPr>
        <w:t>（3）数据治理：</w:t>
      </w:r>
      <w:r w:rsidRPr="001E17A1">
        <w:rPr>
          <w:rFonts w:ascii="宋体" w:hAnsi="宋体" w:cs="宋体" w:hint="eastAsia"/>
          <w:b/>
          <w:bCs/>
          <w:color w:val="000000" w:themeColor="text1"/>
          <w:sz w:val="24"/>
          <w:szCs w:val="24"/>
        </w:rPr>
        <w:t>开展公共数据需求清单管理</w:t>
      </w:r>
      <w:r w:rsidRPr="001E17A1">
        <w:rPr>
          <w:rFonts w:ascii="宋体" w:hAnsi="宋体" w:cs="宋体" w:hint="eastAsia"/>
          <w:color w:val="000000" w:themeColor="text1"/>
          <w:sz w:val="24"/>
          <w:szCs w:val="24"/>
        </w:rPr>
        <w:t>，严格按照相关要求落实“三清单”的管理，优化数据共享审核流程，落实数据便捷共享要求。</w:t>
      </w:r>
      <w:r w:rsidRPr="001E17A1">
        <w:rPr>
          <w:rFonts w:ascii="宋体" w:hAnsi="宋体" w:cs="宋体" w:hint="eastAsia"/>
          <w:b/>
          <w:bCs/>
          <w:color w:val="000000" w:themeColor="text1"/>
          <w:sz w:val="24"/>
          <w:szCs w:val="24"/>
        </w:rPr>
        <w:t>开展公共数据上链常态化工作</w:t>
      </w:r>
      <w:r w:rsidRPr="001E17A1">
        <w:rPr>
          <w:rFonts w:ascii="宋体" w:hAnsi="宋体" w:cs="宋体" w:hint="eastAsia"/>
          <w:color w:val="000000" w:themeColor="text1"/>
          <w:sz w:val="24"/>
          <w:szCs w:val="24"/>
        </w:rPr>
        <w:t>，持续推进职责目录、系统目录和数据目录编制的质量校核以及两两关联，研究推进国企上链等工作。</w:t>
      </w:r>
      <w:r w:rsidRPr="001E17A1">
        <w:rPr>
          <w:rFonts w:ascii="宋体" w:hAnsi="宋体" w:cs="宋体" w:hint="eastAsia"/>
          <w:b/>
          <w:bCs/>
          <w:color w:val="000000" w:themeColor="text1"/>
          <w:sz w:val="24"/>
          <w:szCs w:val="24"/>
        </w:rPr>
        <w:t>开展公共数据资源登记工作</w:t>
      </w:r>
      <w:r w:rsidRPr="001E17A1">
        <w:rPr>
          <w:rFonts w:ascii="宋体" w:hAnsi="宋体" w:cs="宋体" w:hint="eastAsia"/>
          <w:color w:val="000000" w:themeColor="text1"/>
          <w:sz w:val="24"/>
          <w:szCs w:val="24"/>
        </w:rPr>
        <w:t>，促进公共数据资源合规高效开发利用。</w:t>
      </w:r>
      <w:r w:rsidRPr="001E17A1">
        <w:rPr>
          <w:rFonts w:ascii="宋体" w:hAnsi="宋体" w:cs="宋体" w:hint="eastAsia"/>
          <w:b/>
          <w:bCs/>
          <w:color w:val="000000" w:themeColor="text1"/>
          <w:sz w:val="24"/>
          <w:szCs w:val="24"/>
        </w:rPr>
        <w:t>配合开展公共数据“应编尽编”、“按需尽归”</w:t>
      </w:r>
      <w:r w:rsidRPr="001E17A1">
        <w:rPr>
          <w:rFonts w:ascii="宋体" w:hAnsi="宋体" w:cs="宋体" w:hint="eastAsia"/>
          <w:color w:val="000000" w:themeColor="text1"/>
          <w:sz w:val="24"/>
          <w:szCs w:val="24"/>
        </w:rPr>
        <w:t>，加强“数源目录”管理，落实“一数一源一标准”，配合完成应用场景上链管理，促进基于应用场景的便捷共享。</w:t>
      </w:r>
      <w:r w:rsidRPr="001E17A1">
        <w:rPr>
          <w:rFonts w:ascii="宋体" w:hAnsi="宋体" w:cs="宋体" w:hint="eastAsia"/>
          <w:b/>
          <w:bCs/>
          <w:color w:val="000000" w:themeColor="text1"/>
          <w:sz w:val="24"/>
          <w:szCs w:val="24"/>
        </w:rPr>
        <w:t>加强数据质量检查，提升数据质量，</w:t>
      </w:r>
      <w:r w:rsidRPr="001E17A1">
        <w:rPr>
          <w:rFonts w:ascii="宋体" w:hAnsi="宋体" w:cs="宋体" w:hint="eastAsia"/>
          <w:color w:val="000000" w:themeColor="text1"/>
          <w:sz w:val="24"/>
          <w:szCs w:val="24"/>
        </w:rPr>
        <w:t>完成全量入湖数据的质量检核，尤其是自然人、法人等重要数据的入库质量核验。建立区级数据质量检查规则库，落实数据资源全生命周期的质量检查和反馈，优化异议核实闭环管理机制，持续提高数据质量。</w:t>
      </w:r>
      <w:r w:rsidRPr="001E17A1">
        <w:rPr>
          <w:rFonts w:ascii="宋体" w:hAnsi="宋体" w:cs="宋体" w:hint="eastAsia"/>
          <w:b/>
          <w:bCs/>
          <w:color w:val="000000" w:themeColor="text1"/>
          <w:sz w:val="24"/>
          <w:szCs w:val="24"/>
        </w:rPr>
        <w:t>持续优化自然人、法人建设，</w:t>
      </w:r>
      <w:r w:rsidRPr="001E17A1">
        <w:rPr>
          <w:rFonts w:ascii="宋体" w:hAnsi="宋体" w:cs="宋体" w:hint="eastAsia"/>
          <w:color w:val="000000" w:themeColor="text1"/>
          <w:sz w:val="24"/>
          <w:szCs w:val="24"/>
        </w:rPr>
        <w:t>推进新专题库的建设，不断迭代优化已建成的专题库，持续提升综合库以及专题库应用成效，探索社会数据与公共数据融合治理。</w:t>
      </w:r>
      <w:r w:rsidRPr="001E17A1">
        <w:rPr>
          <w:rFonts w:ascii="宋体" w:hAnsi="宋体" w:cs="宋体" w:hint="eastAsia"/>
          <w:b/>
          <w:bCs/>
          <w:color w:val="000000" w:themeColor="text1"/>
          <w:sz w:val="24"/>
          <w:szCs w:val="24"/>
        </w:rPr>
        <w:t>支撑“两网”等重点场景，</w:t>
      </w:r>
      <w:r w:rsidRPr="001E17A1">
        <w:rPr>
          <w:rFonts w:ascii="宋体" w:hAnsi="宋体" w:cs="宋体" w:hint="eastAsia"/>
          <w:color w:val="000000" w:themeColor="text1"/>
          <w:sz w:val="24"/>
          <w:szCs w:val="24"/>
        </w:rPr>
        <w:t>以数据赋能持续支撑政务服务、城市管理优化。</w:t>
      </w:r>
      <w:r w:rsidRPr="001E17A1">
        <w:rPr>
          <w:rFonts w:ascii="宋体" w:hAnsi="宋体" w:cs="宋体" w:hint="eastAsia"/>
          <w:b/>
          <w:bCs/>
          <w:color w:val="000000" w:themeColor="text1"/>
          <w:sz w:val="24"/>
          <w:szCs w:val="24"/>
        </w:rPr>
        <w:t>着眼基层数据需求</w:t>
      </w:r>
      <w:r w:rsidRPr="001E17A1">
        <w:rPr>
          <w:rFonts w:ascii="宋体" w:hAnsi="宋体" w:cs="宋体" w:hint="eastAsia"/>
          <w:color w:val="000000" w:themeColor="text1"/>
          <w:sz w:val="24"/>
          <w:szCs w:val="24"/>
        </w:rPr>
        <w:t>，根据“基层报表数据</w:t>
      </w:r>
      <w:r w:rsidRPr="001E17A1">
        <w:rPr>
          <w:rFonts w:ascii="宋体" w:hAnsi="宋体" w:cs="宋体"/>
          <w:color w:val="000000" w:themeColor="text1"/>
          <w:sz w:val="24"/>
          <w:szCs w:val="24"/>
        </w:rPr>
        <w:t>’</w:t>
      </w:r>
      <w:r w:rsidRPr="001E17A1">
        <w:rPr>
          <w:rFonts w:ascii="宋体" w:hAnsi="宋体" w:cs="宋体" w:hint="eastAsia"/>
          <w:color w:val="000000" w:themeColor="text1"/>
          <w:sz w:val="24"/>
          <w:szCs w:val="24"/>
        </w:rPr>
        <w:t>只报一次’”工作，实现基层治理数据的统一汇聚和共享共用，支撑解决基层用数难题。</w:t>
      </w:r>
    </w:p>
    <w:p w14:paraId="08E1F87D"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4）数据分析及公共数据社会化应用：深化公共数据分析与应用，围绕区委、区政府、区领导关心的内容开展专题分析。探索公共数据授权运营社会化开发利用，以及其他各类区委区政府重点工作的数据共享场景。</w:t>
      </w:r>
    </w:p>
    <w:p w14:paraId="55F24334"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5）数据安全：优化数据安全运营体系，全面提升整体数据安全保障能力。深化基于公共数据流通业务的数据安全运营工作，重点完善数据安全分级管控机制，推动差异化防护安全策略落地，强化数据全生命周期安全运营服务。完善数据安全监管体系，通过安全检查、构建合成数据标准化等服务，推动公共数据安全合规利用。提升平台安全检测服务，完善常态化监测、审计与权限治理工作机制，降低风险漏洞，实现安全风险闭环管理。</w:t>
      </w:r>
    </w:p>
    <w:p w14:paraId="5474D2DE"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采购金额、采购组织形式和采购方式</w:t>
      </w:r>
    </w:p>
    <w:p w14:paraId="42E8E79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采购金额：709.92万元</w:t>
      </w:r>
    </w:p>
    <w:p w14:paraId="135D90EF"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组织形式：分散采购</w:t>
      </w:r>
    </w:p>
    <w:p w14:paraId="363EB390"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采购方式：公开招标</w:t>
      </w:r>
    </w:p>
    <w:p w14:paraId="343AE743" w14:textId="77777777" w:rsidR="008137F8" w:rsidRPr="001E17A1" w:rsidRDefault="008137F8">
      <w:pPr>
        <w:widowControl/>
        <w:tabs>
          <w:tab w:val="left" w:pos="1134"/>
        </w:tabs>
        <w:snapToGrid w:val="0"/>
        <w:spacing w:line="360" w:lineRule="auto"/>
        <w:ind w:firstLineChars="200" w:firstLine="480"/>
        <w:jc w:val="left"/>
        <w:rPr>
          <w:rFonts w:ascii="宋体" w:hAnsi="宋体" w:hint="eastAsia"/>
          <w:color w:val="000000" w:themeColor="text1"/>
          <w:sz w:val="24"/>
          <w:szCs w:val="24"/>
        </w:rPr>
      </w:pPr>
    </w:p>
    <w:p w14:paraId="6804F806" w14:textId="77777777" w:rsidR="008137F8" w:rsidRPr="001E17A1" w:rsidRDefault="008137F8">
      <w:pPr>
        <w:tabs>
          <w:tab w:val="left" w:pos="1134"/>
        </w:tabs>
        <w:snapToGrid w:val="0"/>
        <w:spacing w:line="360" w:lineRule="auto"/>
        <w:ind w:firstLineChars="200" w:firstLine="480"/>
        <w:rPr>
          <w:rFonts w:ascii="宋体" w:hAnsi="宋体" w:hint="eastAsia"/>
          <w:color w:val="000000" w:themeColor="text1"/>
          <w:sz w:val="24"/>
          <w:szCs w:val="24"/>
        </w:rPr>
        <w:sectPr w:rsidR="008137F8" w:rsidRPr="001E17A1">
          <w:footerReference w:type="default" r:id="rId9"/>
          <w:pgSz w:w="11906" w:h="16838"/>
          <w:pgMar w:top="1440" w:right="1800" w:bottom="1440" w:left="1800" w:header="851" w:footer="992" w:gutter="0"/>
          <w:cols w:space="720"/>
          <w:docGrid w:type="lines" w:linePitch="312"/>
        </w:sectPr>
      </w:pPr>
    </w:p>
    <w:p w14:paraId="783505D1"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数据运营服务目录</w:t>
      </w:r>
    </w:p>
    <w:p w14:paraId="795808B0"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 xml:space="preserve">区政务服务中心数据运营服务目录及其单价的最高限价参见下表： </w:t>
      </w:r>
    </w:p>
    <w:tbl>
      <w:tblPr>
        <w:tblW w:w="1407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807"/>
        <w:gridCol w:w="1419"/>
        <w:gridCol w:w="1651"/>
        <w:gridCol w:w="5367"/>
        <w:gridCol w:w="4174"/>
      </w:tblGrid>
      <w:tr w:rsidR="008137F8" w:rsidRPr="001E17A1" w14:paraId="007A48B9" w14:textId="77777777">
        <w:trPr>
          <w:cantSplit/>
        </w:trPr>
        <w:tc>
          <w:tcPr>
            <w:tcW w:w="657" w:type="dxa"/>
            <w:shd w:val="clear" w:color="auto" w:fill="D0CECE"/>
            <w:vAlign w:val="center"/>
          </w:tcPr>
          <w:p w14:paraId="428F81AE" w14:textId="77777777" w:rsidR="008137F8" w:rsidRPr="001E17A1" w:rsidRDefault="00000000">
            <w:pPr>
              <w:jc w:val="center"/>
              <w:rPr>
                <w:color w:val="000000" w:themeColor="text1"/>
              </w:rPr>
            </w:pPr>
            <w:r w:rsidRPr="001E17A1">
              <w:rPr>
                <w:rFonts w:hint="eastAsia"/>
                <w:color w:val="000000" w:themeColor="text1"/>
              </w:rPr>
              <w:t>服务类型</w:t>
            </w:r>
          </w:p>
        </w:tc>
        <w:tc>
          <w:tcPr>
            <w:tcW w:w="807" w:type="dxa"/>
            <w:shd w:val="clear" w:color="auto" w:fill="D0CECE"/>
            <w:vAlign w:val="center"/>
          </w:tcPr>
          <w:p w14:paraId="166ED49E" w14:textId="77777777" w:rsidR="008137F8" w:rsidRPr="001E17A1" w:rsidRDefault="00000000">
            <w:pPr>
              <w:jc w:val="center"/>
              <w:rPr>
                <w:color w:val="000000" w:themeColor="text1"/>
              </w:rPr>
            </w:pPr>
            <w:r w:rsidRPr="001E17A1">
              <w:rPr>
                <w:rFonts w:hint="eastAsia"/>
                <w:color w:val="000000" w:themeColor="text1"/>
              </w:rPr>
              <w:t>序号</w:t>
            </w:r>
          </w:p>
        </w:tc>
        <w:tc>
          <w:tcPr>
            <w:tcW w:w="1419" w:type="dxa"/>
            <w:shd w:val="clear" w:color="auto" w:fill="D0CECE"/>
            <w:vAlign w:val="center"/>
          </w:tcPr>
          <w:p w14:paraId="34DF7429" w14:textId="77777777" w:rsidR="008137F8" w:rsidRPr="001E17A1" w:rsidRDefault="00000000">
            <w:pPr>
              <w:jc w:val="center"/>
              <w:rPr>
                <w:color w:val="000000" w:themeColor="text1"/>
              </w:rPr>
            </w:pPr>
            <w:r w:rsidRPr="001E17A1">
              <w:rPr>
                <w:rFonts w:hint="eastAsia"/>
                <w:color w:val="000000" w:themeColor="text1"/>
              </w:rPr>
              <w:t>服务目录</w:t>
            </w:r>
          </w:p>
        </w:tc>
        <w:tc>
          <w:tcPr>
            <w:tcW w:w="1651" w:type="dxa"/>
            <w:shd w:val="clear" w:color="auto" w:fill="D0CECE"/>
            <w:vAlign w:val="center"/>
          </w:tcPr>
          <w:p w14:paraId="7B781CA9" w14:textId="77777777" w:rsidR="008137F8" w:rsidRPr="001E17A1" w:rsidRDefault="00000000">
            <w:pPr>
              <w:jc w:val="center"/>
              <w:rPr>
                <w:color w:val="000000" w:themeColor="text1"/>
              </w:rPr>
            </w:pPr>
            <w:r w:rsidRPr="001E17A1">
              <w:rPr>
                <w:rFonts w:hint="eastAsia"/>
                <w:color w:val="000000" w:themeColor="text1"/>
              </w:rPr>
              <w:t>单价（元）</w:t>
            </w:r>
          </w:p>
        </w:tc>
        <w:tc>
          <w:tcPr>
            <w:tcW w:w="5367" w:type="dxa"/>
            <w:shd w:val="clear" w:color="auto" w:fill="D0CECE"/>
            <w:vAlign w:val="center"/>
          </w:tcPr>
          <w:p w14:paraId="49F08272" w14:textId="77777777" w:rsidR="008137F8" w:rsidRPr="001E17A1" w:rsidRDefault="00000000">
            <w:pPr>
              <w:jc w:val="center"/>
              <w:rPr>
                <w:color w:val="000000" w:themeColor="text1"/>
              </w:rPr>
            </w:pPr>
            <w:r w:rsidRPr="001E17A1">
              <w:rPr>
                <w:rFonts w:hint="eastAsia"/>
                <w:color w:val="000000" w:themeColor="text1"/>
              </w:rPr>
              <w:t>计量说明</w:t>
            </w:r>
          </w:p>
        </w:tc>
        <w:tc>
          <w:tcPr>
            <w:tcW w:w="4174" w:type="dxa"/>
            <w:shd w:val="clear" w:color="auto" w:fill="D0CECE"/>
            <w:vAlign w:val="center"/>
          </w:tcPr>
          <w:p w14:paraId="2AC91D6B" w14:textId="77777777" w:rsidR="008137F8" w:rsidRPr="001E17A1" w:rsidRDefault="00000000">
            <w:pPr>
              <w:jc w:val="center"/>
              <w:rPr>
                <w:color w:val="000000" w:themeColor="text1"/>
              </w:rPr>
            </w:pPr>
            <w:r w:rsidRPr="001E17A1">
              <w:rPr>
                <w:rFonts w:hint="eastAsia"/>
                <w:color w:val="000000" w:themeColor="text1"/>
              </w:rPr>
              <w:t>难度系数</w:t>
            </w:r>
          </w:p>
        </w:tc>
      </w:tr>
      <w:tr w:rsidR="008137F8" w:rsidRPr="001E17A1" w14:paraId="3B614912" w14:textId="77777777">
        <w:trPr>
          <w:cantSplit/>
        </w:trPr>
        <w:tc>
          <w:tcPr>
            <w:tcW w:w="657" w:type="dxa"/>
            <w:vMerge w:val="restart"/>
            <w:vAlign w:val="center"/>
          </w:tcPr>
          <w:p w14:paraId="6E44932F" w14:textId="77777777" w:rsidR="008137F8" w:rsidRPr="001E17A1" w:rsidRDefault="00000000">
            <w:pPr>
              <w:rPr>
                <w:color w:val="000000" w:themeColor="text1"/>
              </w:rPr>
            </w:pPr>
            <w:r w:rsidRPr="001E17A1">
              <w:rPr>
                <w:rFonts w:hint="eastAsia"/>
                <w:color w:val="000000" w:themeColor="text1"/>
              </w:rPr>
              <w:t>基础服务类</w:t>
            </w:r>
          </w:p>
        </w:tc>
        <w:tc>
          <w:tcPr>
            <w:tcW w:w="807" w:type="dxa"/>
            <w:vAlign w:val="center"/>
          </w:tcPr>
          <w:p w14:paraId="57CF51D5" w14:textId="77777777" w:rsidR="008137F8" w:rsidRPr="001E17A1" w:rsidRDefault="00000000">
            <w:pPr>
              <w:jc w:val="center"/>
              <w:rPr>
                <w:color w:val="000000" w:themeColor="text1"/>
              </w:rPr>
            </w:pPr>
            <w:r w:rsidRPr="001E17A1">
              <w:rPr>
                <w:rFonts w:hint="eastAsia"/>
                <w:color w:val="000000" w:themeColor="text1"/>
              </w:rPr>
              <w:t>1</w:t>
            </w:r>
          </w:p>
        </w:tc>
        <w:tc>
          <w:tcPr>
            <w:tcW w:w="1419" w:type="dxa"/>
            <w:vAlign w:val="center"/>
          </w:tcPr>
          <w:p w14:paraId="47834300" w14:textId="77777777" w:rsidR="008137F8" w:rsidRPr="001E17A1" w:rsidRDefault="00000000">
            <w:pPr>
              <w:rPr>
                <w:color w:val="000000" w:themeColor="text1"/>
              </w:rPr>
            </w:pPr>
            <w:r w:rsidRPr="001E17A1">
              <w:rPr>
                <w:rFonts w:hint="eastAsia"/>
                <w:color w:val="000000" w:themeColor="text1"/>
              </w:rPr>
              <w:t>数据采集接入</w:t>
            </w:r>
          </w:p>
        </w:tc>
        <w:tc>
          <w:tcPr>
            <w:tcW w:w="1651" w:type="dxa"/>
            <w:vAlign w:val="center"/>
          </w:tcPr>
          <w:p w14:paraId="11AE430D" w14:textId="77777777" w:rsidR="008137F8" w:rsidRPr="001E17A1" w:rsidRDefault="00000000">
            <w:pPr>
              <w:jc w:val="center"/>
              <w:rPr>
                <w:color w:val="000000" w:themeColor="text1"/>
              </w:rPr>
            </w:pPr>
            <w:r w:rsidRPr="001E17A1">
              <w:rPr>
                <w:rFonts w:hint="eastAsia"/>
                <w:color w:val="000000" w:themeColor="text1"/>
              </w:rPr>
              <w:t>120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万条</w:t>
            </w:r>
            <w:r w:rsidRPr="001E17A1">
              <w:rPr>
                <w:rFonts w:hint="eastAsia"/>
                <w:color w:val="000000" w:themeColor="text1"/>
              </w:rPr>
              <w:br/>
              <w:t>90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幅</w:t>
            </w:r>
          </w:p>
        </w:tc>
        <w:tc>
          <w:tcPr>
            <w:tcW w:w="5367" w:type="dxa"/>
            <w:vAlign w:val="center"/>
          </w:tcPr>
          <w:p w14:paraId="654EFA59" w14:textId="77777777" w:rsidR="008137F8" w:rsidRPr="001E17A1" w:rsidRDefault="00000000">
            <w:pPr>
              <w:rPr>
                <w:color w:val="000000" w:themeColor="text1"/>
              </w:rPr>
            </w:pPr>
            <w:r w:rsidRPr="001E17A1">
              <w:rPr>
                <w:rFonts w:hint="eastAsia"/>
                <w:color w:val="000000" w:themeColor="text1"/>
              </w:rPr>
              <w:t>工作范围内，新增釆集接入的工作项计量：</w:t>
            </w:r>
            <w:r w:rsidRPr="001E17A1">
              <w:rPr>
                <w:rFonts w:hint="eastAsia"/>
                <w:color w:val="000000" w:themeColor="text1"/>
              </w:rPr>
              <w:t>1</w:t>
            </w:r>
            <w:r w:rsidRPr="001E17A1">
              <w:rPr>
                <w:rFonts w:hint="eastAsia"/>
                <w:color w:val="000000" w:themeColor="text1"/>
              </w:rPr>
              <w:t>、涉及结构化数据采集接入按数据条数计量，单价为</w:t>
            </w:r>
            <w:r w:rsidRPr="001E17A1">
              <w:rPr>
                <w:rFonts w:hint="eastAsia"/>
                <w:color w:val="000000" w:themeColor="text1"/>
              </w:rPr>
              <w:t>120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万条；</w:t>
            </w:r>
            <w:r w:rsidRPr="001E17A1">
              <w:rPr>
                <w:rFonts w:hint="eastAsia"/>
                <w:color w:val="000000" w:themeColor="text1"/>
              </w:rPr>
              <w:br/>
              <w:t>2</w:t>
            </w:r>
            <w:r w:rsidRPr="001E17A1">
              <w:rPr>
                <w:rFonts w:hint="eastAsia"/>
                <w:color w:val="000000" w:themeColor="text1"/>
              </w:rPr>
              <w:t>、涉及影像数据采集按幅计量，单价为</w:t>
            </w:r>
            <w:r w:rsidRPr="001E17A1">
              <w:rPr>
                <w:rFonts w:hint="eastAsia"/>
                <w:color w:val="000000" w:themeColor="text1"/>
              </w:rPr>
              <w:t>90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幅。</w:t>
            </w:r>
          </w:p>
        </w:tc>
        <w:tc>
          <w:tcPr>
            <w:tcW w:w="4174" w:type="dxa"/>
            <w:vAlign w:val="center"/>
          </w:tcPr>
          <w:p w14:paraId="21E7241E" w14:textId="77777777" w:rsidR="008137F8" w:rsidRPr="001E17A1" w:rsidRDefault="008137F8">
            <w:pPr>
              <w:rPr>
                <w:color w:val="000000" w:themeColor="text1"/>
              </w:rPr>
            </w:pPr>
          </w:p>
        </w:tc>
      </w:tr>
      <w:tr w:rsidR="008137F8" w:rsidRPr="001E17A1" w14:paraId="6155A7B9" w14:textId="77777777">
        <w:trPr>
          <w:cantSplit/>
        </w:trPr>
        <w:tc>
          <w:tcPr>
            <w:tcW w:w="657" w:type="dxa"/>
            <w:vMerge/>
            <w:vAlign w:val="center"/>
          </w:tcPr>
          <w:p w14:paraId="1E3D1DE5" w14:textId="77777777" w:rsidR="008137F8" w:rsidRPr="001E17A1" w:rsidRDefault="008137F8">
            <w:pPr>
              <w:rPr>
                <w:color w:val="000000" w:themeColor="text1"/>
              </w:rPr>
            </w:pPr>
          </w:p>
        </w:tc>
        <w:tc>
          <w:tcPr>
            <w:tcW w:w="807" w:type="dxa"/>
            <w:vAlign w:val="center"/>
          </w:tcPr>
          <w:p w14:paraId="29B09250" w14:textId="77777777" w:rsidR="008137F8" w:rsidRPr="001E17A1" w:rsidRDefault="00000000">
            <w:pPr>
              <w:jc w:val="center"/>
              <w:rPr>
                <w:color w:val="000000" w:themeColor="text1"/>
              </w:rPr>
            </w:pPr>
            <w:r w:rsidRPr="001E17A1">
              <w:rPr>
                <w:rFonts w:hint="eastAsia"/>
                <w:color w:val="000000" w:themeColor="text1"/>
              </w:rPr>
              <w:t>2</w:t>
            </w:r>
          </w:p>
        </w:tc>
        <w:tc>
          <w:tcPr>
            <w:tcW w:w="1419" w:type="dxa"/>
            <w:vAlign w:val="center"/>
          </w:tcPr>
          <w:p w14:paraId="75E9E2C6" w14:textId="77777777" w:rsidR="008137F8" w:rsidRPr="001E17A1" w:rsidRDefault="00000000">
            <w:pPr>
              <w:rPr>
                <w:color w:val="000000" w:themeColor="text1"/>
              </w:rPr>
            </w:pPr>
            <w:r w:rsidRPr="001E17A1">
              <w:rPr>
                <w:rFonts w:hint="eastAsia"/>
                <w:color w:val="000000" w:themeColor="text1"/>
              </w:rPr>
              <w:t>数据抽取服务</w:t>
            </w:r>
          </w:p>
        </w:tc>
        <w:tc>
          <w:tcPr>
            <w:tcW w:w="1651" w:type="dxa"/>
            <w:vAlign w:val="center"/>
          </w:tcPr>
          <w:p w14:paraId="29BA0497" w14:textId="77777777" w:rsidR="008137F8" w:rsidRPr="001E17A1" w:rsidRDefault="00000000">
            <w:pPr>
              <w:jc w:val="center"/>
              <w:rPr>
                <w:color w:val="000000" w:themeColor="text1"/>
              </w:rPr>
            </w:pPr>
            <w:r w:rsidRPr="001E17A1">
              <w:rPr>
                <w:rFonts w:hint="eastAsia"/>
                <w:color w:val="000000" w:themeColor="text1"/>
              </w:rPr>
              <w:t>564</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张</w:t>
            </w:r>
            <w:r w:rsidRPr="001E17A1">
              <w:rPr>
                <w:rFonts w:hint="eastAsia"/>
                <w:color w:val="000000" w:themeColor="text1"/>
              </w:rPr>
              <w:br/>
              <w:t>47</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万坐标点</w:t>
            </w:r>
            <w:r w:rsidRPr="001E17A1">
              <w:rPr>
                <w:rFonts w:hint="eastAsia"/>
                <w:color w:val="000000" w:themeColor="text1"/>
              </w:rPr>
              <w:br/>
              <w:t>200000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年</w:t>
            </w:r>
          </w:p>
        </w:tc>
        <w:tc>
          <w:tcPr>
            <w:tcW w:w="5367" w:type="dxa"/>
            <w:vAlign w:val="center"/>
          </w:tcPr>
          <w:p w14:paraId="604ECD0D" w14:textId="77777777" w:rsidR="008137F8" w:rsidRPr="001E17A1" w:rsidRDefault="00000000">
            <w:pPr>
              <w:rPr>
                <w:color w:val="000000" w:themeColor="text1"/>
              </w:rPr>
            </w:pPr>
            <w:r w:rsidRPr="001E17A1">
              <w:rPr>
                <w:rFonts w:hint="eastAsia"/>
                <w:color w:val="000000" w:themeColor="text1"/>
              </w:rPr>
              <w:t>工作范围内：</w:t>
            </w:r>
            <w:r w:rsidRPr="001E17A1">
              <w:rPr>
                <w:rFonts w:hint="eastAsia"/>
                <w:color w:val="000000" w:themeColor="text1"/>
              </w:rPr>
              <w:t>1</w:t>
            </w:r>
            <w:r w:rsidRPr="001E17A1">
              <w:rPr>
                <w:rFonts w:hint="eastAsia"/>
                <w:color w:val="000000" w:themeColor="text1"/>
              </w:rPr>
              <w:t>、对批数据的数据抽取的按数据表数计量，以张为计价单位，单价为</w:t>
            </w:r>
            <w:r w:rsidRPr="001E17A1">
              <w:rPr>
                <w:rFonts w:hint="eastAsia"/>
                <w:color w:val="000000" w:themeColor="text1"/>
              </w:rPr>
              <w:t>564</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张；</w:t>
            </w:r>
            <w:r w:rsidRPr="001E17A1">
              <w:rPr>
                <w:rFonts w:hint="eastAsia"/>
                <w:color w:val="000000" w:themeColor="text1"/>
              </w:rPr>
              <w:br/>
              <w:t>2</w:t>
            </w:r>
            <w:r w:rsidRPr="001E17A1">
              <w:rPr>
                <w:rFonts w:hint="eastAsia"/>
                <w:color w:val="000000" w:themeColor="text1"/>
              </w:rPr>
              <w:t>、对新增实时数据、流式数据、空间数据的抽取按坐标点计量，以万坐标点为计价单位，单价为</w:t>
            </w:r>
            <w:r w:rsidRPr="001E17A1">
              <w:rPr>
                <w:rFonts w:hint="eastAsia"/>
                <w:color w:val="000000" w:themeColor="text1"/>
              </w:rPr>
              <w:t>47</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万坐标点；</w:t>
            </w:r>
            <w:r w:rsidRPr="001E17A1">
              <w:rPr>
                <w:rFonts w:hint="eastAsia"/>
                <w:color w:val="000000" w:themeColor="text1"/>
              </w:rPr>
              <w:br/>
              <w:t>3</w:t>
            </w:r>
            <w:r w:rsidRPr="001E17A1">
              <w:rPr>
                <w:rFonts w:hint="eastAsia"/>
                <w:color w:val="000000" w:themeColor="text1"/>
              </w:rPr>
              <w:t>、对新增以数据高铁形式提供服务，按数据表数计量，</w:t>
            </w:r>
            <w:r w:rsidRPr="001E17A1">
              <w:rPr>
                <w:rFonts w:hint="eastAsia"/>
                <w:color w:val="000000" w:themeColor="text1"/>
              </w:rPr>
              <w:t>200</w:t>
            </w:r>
            <w:r w:rsidRPr="001E17A1">
              <w:rPr>
                <w:rFonts w:hint="eastAsia"/>
                <w:color w:val="000000" w:themeColor="text1"/>
              </w:rPr>
              <w:t>张数据库表以内（包含</w:t>
            </w:r>
            <w:r w:rsidRPr="001E17A1">
              <w:rPr>
                <w:rFonts w:hint="eastAsia"/>
                <w:color w:val="000000" w:themeColor="text1"/>
              </w:rPr>
              <w:t>200</w:t>
            </w:r>
            <w:r w:rsidRPr="001E17A1">
              <w:rPr>
                <w:rFonts w:hint="eastAsia"/>
                <w:color w:val="000000" w:themeColor="text1"/>
              </w:rPr>
              <w:t>张），每年付费</w:t>
            </w:r>
            <w:r w:rsidRPr="001E17A1">
              <w:rPr>
                <w:rFonts w:hint="eastAsia"/>
                <w:color w:val="000000" w:themeColor="text1"/>
              </w:rPr>
              <w:t>20</w:t>
            </w:r>
            <w:r w:rsidRPr="001E17A1">
              <w:rPr>
                <w:rFonts w:hint="eastAsia"/>
                <w:color w:val="000000" w:themeColor="text1"/>
              </w:rPr>
              <w:t>万元，超出</w:t>
            </w:r>
            <w:r w:rsidRPr="001E17A1">
              <w:rPr>
                <w:rFonts w:hint="eastAsia"/>
                <w:color w:val="000000" w:themeColor="text1"/>
              </w:rPr>
              <w:t>200</w:t>
            </w:r>
            <w:r w:rsidRPr="001E17A1">
              <w:rPr>
                <w:rFonts w:hint="eastAsia"/>
                <w:color w:val="000000" w:themeColor="text1"/>
              </w:rPr>
              <w:t>张部分工作量按</w:t>
            </w:r>
            <w:r w:rsidRPr="001E17A1">
              <w:rPr>
                <w:rFonts w:hint="eastAsia"/>
                <w:color w:val="000000" w:themeColor="text1"/>
              </w:rPr>
              <w:t>1100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张数据库表计。</w:t>
            </w:r>
          </w:p>
        </w:tc>
        <w:tc>
          <w:tcPr>
            <w:tcW w:w="4174" w:type="dxa"/>
            <w:vAlign w:val="center"/>
          </w:tcPr>
          <w:p w14:paraId="4A1D4E67" w14:textId="77777777" w:rsidR="008137F8" w:rsidRPr="001E17A1" w:rsidRDefault="00000000">
            <w:pPr>
              <w:rPr>
                <w:color w:val="000000" w:themeColor="text1"/>
              </w:rPr>
            </w:pPr>
            <w:r w:rsidRPr="001E17A1">
              <w:rPr>
                <w:rFonts w:hint="eastAsia"/>
                <w:color w:val="000000" w:themeColor="text1"/>
              </w:rPr>
              <w:t>对批数据的抽取：</w:t>
            </w:r>
            <w:r w:rsidRPr="001E17A1">
              <w:rPr>
                <w:rFonts w:hint="eastAsia"/>
                <w:color w:val="000000" w:themeColor="text1"/>
              </w:rPr>
              <w:t>1</w:t>
            </w:r>
            <w:r w:rsidRPr="001E17A1">
              <w:rPr>
                <w:rFonts w:hint="eastAsia"/>
                <w:color w:val="000000" w:themeColor="text1"/>
              </w:rPr>
              <w:t>）费用以原有数据项处理费用为基数，按表格复杂度，取难度系数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N=0.5~1</w:t>
            </w:r>
            <w:r w:rsidRPr="001E17A1">
              <w:rPr>
                <w:rFonts w:hint="eastAsia"/>
                <w:color w:val="000000" w:themeColor="text1"/>
              </w:rPr>
              <w:t>）确定单价，即</w:t>
            </w:r>
            <w:r w:rsidRPr="001E17A1">
              <w:rPr>
                <w:rFonts w:hint="eastAsia"/>
                <w:color w:val="000000" w:themeColor="text1"/>
              </w:rPr>
              <w:t>564*N</w:t>
            </w:r>
            <w:r w:rsidRPr="001E17A1">
              <w:rPr>
                <w:rFonts w:hint="eastAsia"/>
                <w:color w:val="000000" w:themeColor="text1"/>
              </w:rPr>
              <w:t>元；</w:t>
            </w:r>
            <w:r w:rsidRPr="001E17A1">
              <w:rPr>
                <w:rFonts w:hint="eastAsia"/>
                <w:color w:val="000000" w:themeColor="text1"/>
              </w:rPr>
              <w:br/>
              <w:t>2</w:t>
            </w:r>
            <w:r w:rsidRPr="001E17A1">
              <w:rPr>
                <w:rFonts w:hint="eastAsia"/>
                <w:color w:val="000000" w:themeColor="text1"/>
              </w:rPr>
              <w:t>）</w:t>
            </w:r>
            <w:r w:rsidRPr="001E17A1">
              <w:rPr>
                <w:rFonts w:hint="eastAsia"/>
                <w:color w:val="000000" w:themeColor="text1"/>
              </w:rPr>
              <w:t>0-1000</w:t>
            </w:r>
            <w:r w:rsidRPr="001E17A1">
              <w:rPr>
                <w:rFonts w:hint="eastAsia"/>
                <w:color w:val="000000" w:themeColor="text1"/>
              </w:rPr>
              <w:t>个计价单元（含</w:t>
            </w:r>
            <w:r w:rsidRPr="001E17A1">
              <w:rPr>
                <w:rFonts w:hint="eastAsia"/>
                <w:color w:val="000000" w:themeColor="text1"/>
              </w:rPr>
              <w:t>1000</w:t>
            </w:r>
            <w:r w:rsidRPr="001E17A1">
              <w:rPr>
                <w:rFonts w:hint="eastAsia"/>
                <w:color w:val="000000" w:themeColor="text1"/>
              </w:rPr>
              <w:t>个）按原始单价计算；</w:t>
            </w:r>
            <w:r w:rsidRPr="001E17A1">
              <w:rPr>
                <w:rFonts w:hint="eastAsia"/>
                <w:color w:val="000000" w:themeColor="text1"/>
              </w:rPr>
              <w:t>1000-10000</w:t>
            </w:r>
            <w:r w:rsidRPr="001E17A1">
              <w:rPr>
                <w:rFonts w:hint="eastAsia"/>
                <w:color w:val="000000" w:themeColor="text1"/>
              </w:rPr>
              <w:t>个计价单元（包含</w:t>
            </w:r>
            <w:r w:rsidRPr="001E17A1">
              <w:rPr>
                <w:rFonts w:hint="eastAsia"/>
                <w:color w:val="000000" w:themeColor="text1"/>
              </w:rPr>
              <w:t>10000</w:t>
            </w:r>
            <w:r w:rsidRPr="001E17A1">
              <w:rPr>
                <w:rFonts w:hint="eastAsia"/>
                <w:color w:val="000000" w:themeColor="text1"/>
              </w:rPr>
              <w:t>个）按原始单价</w:t>
            </w:r>
            <w:r w:rsidRPr="001E17A1">
              <w:rPr>
                <w:rFonts w:hint="eastAsia"/>
                <w:color w:val="000000" w:themeColor="text1"/>
              </w:rPr>
              <w:t>*80%</w:t>
            </w:r>
            <w:r w:rsidRPr="001E17A1">
              <w:rPr>
                <w:rFonts w:hint="eastAsia"/>
                <w:color w:val="000000" w:themeColor="text1"/>
              </w:rPr>
              <w:t>；</w:t>
            </w:r>
            <w:r w:rsidRPr="001E17A1">
              <w:rPr>
                <w:rFonts w:hint="eastAsia"/>
                <w:color w:val="000000" w:themeColor="text1"/>
              </w:rPr>
              <w:t>1</w:t>
            </w:r>
            <w:r w:rsidRPr="001E17A1">
              <w:rPr>
                <w:rFonts w:hint="eastAsia"/>
                <w:color w:val="000000" w:themeColor="text1"/>
              </w:rPr>
              <w:t>万个以上按原始单价</w:t>
            </w:r>
            <w:r w:rsidRPr="001E17A1">
              <w:rPr>
                <w:rFonts w:hint="eastAsia"/>
                <w:color w:val="000000" w:themeColor="text1"/>
              </w:rPr>
              <w:t>*60%</w:t>
            </w:r>
            <w:r w:rsidRPr="001E17A1">
              <w:rPr>
                <w:rFonts w:hint="eastAsia"/>
                <w:color w:val="000000" w:themeColor="text1"/>
              </w:rPr>
              <w:t>。</w:t>
            </w:r>
            <w:r w:rsidRPr="001E17A1">
              <w:rPr>
                <w:rFonts w:hint="eastAsia"/>
                <w:color w:val="000000" w:themeColor="text1"/>
              </w:rPr>
              <w:br/>
            </w:r>
            <w:r w:rsidRPr="001E17A1">
              <w:rPr>
                <w:rFonts w:hint="eastAsia"/>
                <w:color w:val="000000" w:themeColor="text1"/>
              </w:rPr>
              <w:t>对新增实时数据、流式数据、空间数据的抽取：</w:t>
            </w:r>
            <w:r w:rsidRPr="001E17A1">
              <w:rPr>
                <w:rFonts w:hint="eastAsia"/>
                <w:color w:val="000000" w:themeColor="text1"/>
              </w:rPr>
              <w:t>0-1000</w:t>
            </w:r>
            <w:r w:rsidRPr="001E17A1">
              <w:rPr>
                <w:rFonts w:hint="eastAsia"/>
                <w:color w:val="000000" w:themeColor="text1"/>
              </w:rPr>
              <w:t>个计价单元（含</w:t>
            </w:r>
            <w:r w:rsidRPr="001E17A1">
              <w:rPr>
                <w:rFonts w:hint="eastAsia"/>
                <w:color w:val="000000" w:themeColor="text1"/>
              </w:rPr>
              <w:t>1000</w:t>
            </w:r>
            <w:r w:rsidRPr="001E17A1">
              <w:rPr>
                <w:rFonts w:hint="eastAsia"/>
                <w:color w:val="000000" w:themeColor="text1"/>
              </w:rPr>
              <w:t>个）按原始单价计算；</w:t>
            </w:r>
            <w:r w:rsidRPr="001E17A1">
              <w:rPr>
                <w:rFonts w:hint="eastAsia"/>
                <w:color w:val="000000" w:themeColor="text1"/>
              </w:rPr>
              <w:t>1000-10000</w:t>
            </w:r>
            <w:r w:rsidRPr="001E17A1">
              <w:rPr>
                <w:rFonts w:hint="eastAsia"/>
                <w:color w:val="000000" w:themeColor="text1"/>
              </w:rPr>
              <w:t>个计价单元（包含</w:t>
            </w:r>
            <w:r w:rsidRPr="001E17A1">
              <w:rPr>
                <w:rFonts w:hint="eastAsia"/>
                <w:color w:val="000000" w:themeColor="text1"/>
              </w:rPr>
              <w:t>10000</w:t>
            </w:r>
            <w:r w:rsidRPr="001E17A1">
              <w:rPr>
                <w:rFonts w:hint="eastAsia"/>
                <w:color w:val="000000" w:themeColor="text1"/>
              </w:rPr>
              <w:t>个）按原始单价</w:t>
            </w:r>
            <w:r w:rsidRPr="001E17A1">
              <w:rPr>
                <w:rFonts w:hint="eastAsia"/>
                <w:color w:val="000000" w:themeColor="text1"/>
              </w:rPr>
              <w:t>*80%</w:t>
            </w:r>
            <w:r w:rsidRPr="001E17A1">
              <w:rPr>
                <w:rFonts w:hint="eastAsia"/>
                <w:color w:val="000000" w:themeColor="text1"/>
              </w:rPr>
              <w:t>；</w:t>
            </w:r>
            <w:r w:rsidRPr="001E17A1">
              <w:rPr>
                <w:rFonts w:hint="eastAsia"/>
                <w:color w:val="000000" w:themeColor="text1"/>
              </w:rPr>
              <w:t>1</w:t>
            </w:r>
            <w:r w:rsidRPr="001E17A1">
              <w:rPr>
                <w:rFonts w:hint="eastAsia"/>
                <w:color w:val="000000" w:themeColor="text1"/>
              </w:rPr>
              <w:t>万个以上按原始单价</w:t>
            </w:r>
            <w:r w:rsidRPr="001E17A1">
              <w:rPr>
                <w:rFonts w:hint="eastAsia"/>
                <w:color w:val="000000" w:themeColor="text1"/>
              </w:rPr>
              <w:t>*60%</w:t>
            </w:r>
            <w:r w:rsidRPr="001E17A1">
              <w:rPr>
                <w:rFonts w:hint="eastAsia"/>
                <w:color w:val="000000" w:themeColor="text1"/>
              </w:rPr>
              <w:t>。</w:t>
            </w:r>
          </w:p>
        </w:tc>
      </w:tr>
      <w:tr w:rsidR="008137F8" w:rsidRPr="001E17A1" w14:paraId="1706F022" w14:textId="77777777">
        <w:trPr>
          <w:cantSplit/>
        </w:trPr>
        <w:tc>
          <w:tcPr>
            <w:tcW w:w="657" w:type="dxa"/>
            <w:vMerge/>
            <w:vAlign w:val="center"/>
          </w:tcPr>
          <w:p w14:paraId="2E104A09" w14:textId="77777777" w:rsidR="008137F8" w:rsidRPr="001E17A1" w:rsidRDefault="008137F8">
            <w:pPr>
              <w:rPr>
                <w:color w:val="000000" w:themeColor="text1"/>
              </w:rPr>
            </w:pPr>
          </w:p>
        </w:tc>
        <w:tc>
          <w:tcPr>
            <w:tcW w:w="807" w:type="dxa"/>
            <w:vAlign w:val="center"/>
          </w:tcPr>
          <w:p w14:paraId="41F50F57" w14:textId="77777777" w:rsidR="008137F8" w:rsidRPr="001E17A1" w:rsidRDefault="00000000">
            <w:pPr>
              <w:jc w:val="center"/>
              <w:rPr>
                <w:color w:val="000000" w:themeColor="text1"/>
              </w:rPr>
            </w:pPr>
            <w:r w:rsidRPr="001E17A1">
              <w:rPr>
                <w:rFonts w:hint="eastAsia"/>
                <w:color w:val="000000" w:themeColor="text1"/>
              </w:rPr>
              <w:t>3</w:t>
            </w:r>
          </w:p>
        </w:tc>
        <w:tc>
          <w:tcPr>
            <w:tcW w:w="1419" w:type="dxa"/>
            <w:vAlign w:val="center"/>
          </w:tcPr>
          <w:p w14:paraId="715A4ECD" w14:textId="77777777" w:rsidR="008137F8" w:rsidRPr="001E17A1" w:rsidRDefault="00000000">
            <w:pPr>
              <w:rPr>
                <w:color w:val="000000" w:themeColor="text1"/>
              </w:rPr>
            </w:pPr>
            <w:r w:rsidRPr="001E17A1">
              <w:rPr>
                <w:rFonts w:hint="eastAsia"/>
                <w:color w:val="000000" w:themeColor="text1"/>
              </w:rPr>
              <w:t>数据标签</w:t>
            </w:r>
          </w:p>
        </w:tc>
        <w:tc>
          <w:tcPr>
            <w:tcW w:w="1651" w:type="dxa"/>
            <w:vAlign w:val="center"/>
          </w:tcPr>
          <w:p w14:paraId="308DF247" w14:textId="77777777" w:rsidR="008137F8" w:rsidRPr="001E17A1" w:rsidRDefault="00000000">
            <w:pPr>
              <w:jc w:val="center"/>
              <w:rPr>
                <w:color w:val="000000" w:themeColor="text1"/>
              </w:rPr>
            </w:pPr>
            <w:r w:rsidRPr="001E17A1">
              <w:rPr>
                <w:rFonts w:hint="eastAsia"/>
                <w:color w:val="000000" w:themeColor="text1"/>
              </w:rPr>
              <w:t>300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个标签</w:t>
            </w:r>
          </w:p>
        </w:tc>
        <w:tc>
          <w:tcPr>
            <w:tcW w:w="5367" w:type="dxa"/>
            <w:vAlign w:val="center"/>
          </w:tcPr>
          <w:p w14:paraId="50946589" w14:textId="77777777" w:rsidR="008137F8" w:rsidRPr="001E17A1" w:rsidRDefault="00000000">
            <w:pPr>
              <w:rPr>
                <w:color w:val="000000" w:themeColor="text1"/>
              </w:rPr>
            </w:pPr>
            <w:r w:rsidRPr="001E17A1">
              <w:rPr>
                <w:rFonts w:hint="eastAsia"/>
                <w:color w:val="000000" w:themeColor="text1"/>
              </w:rPr>
              <w:t>工作范围内，对新增数据标签（包含数据字段标签、目录标签）的个数计量。</w:t>
            </w:r>
          </w:p>
        </w:tc>
        <w:tc>
          <w:tcPr>
            <w:tcW w:w="4174" w:type="dxa"/>
            <w:vAlign w:val="center"/>
          </w:tcPr>
          <w:p w14:paraId="68080724" w14:textId="77777777" w:rsidR="008137F8" w:rsidRPr="001E17A1" w:rsidRDefault="008137F8">
            <w:pPr>
              <w:rPr>
                <w:color w:val="000000" w:themeColor="text1"/>
              </w:rPr>
            </w:pPr>
          </w:p>
        </w:tc>
      </w:tr>
      <w:tr w:rsidR="008137F8" w:rsidRPr="001E17A1" w14:paraId="70C4E865" w14:textId="77777777">
        <w:trPr>
          <w:cantSplit/>
        </w:trPr>
        <w:tc>
          <w:tcPr>
            <w:tcW w:w="657" w:type="dxa"/>
            <w:vMerge/>
            <w:vAlign w:val="center"/>
          </w:tcPr>
          <w:p w14:paraId="00370C17" w14:textId="77777777" w:rsidR="008137F8" w:rsidRPr="001E17A1" w:rsidRDefault="008137F8">
            <w:pPr>
              <w:rPr>
                <w:color w:val="000000" w:themeColor="text1"/>
              </w:rPr>
            </w:pPr>
          </w:p>
        </w:tc>
        <w:tc>
          <w:tcPr>
            <w:tcW w:w="807" w:type="dxa"/>
            <w:vAlign w:val="center"/>
          </w:tcPr>
          <w:p w14:paraId="5AD7899F" w14:textId="77777777" w:rsidR="008137F8" w:rsidRPr="001E17A1" w:rsidRDefault="00000000">
            <w:pPr>
              <w:jc w:val="center"/>
              <w:rPr>
                <w:color w:val="000000" w:themeColor="text1"/>
              </w:rPr>
            </w:pPr>
            <w:r w:rsidRPr="001E17A1">
              <w:rPr>
                <w:rFonts w:hint="eastAsia"/>
                <w:color w:val="000000" w:themeColor="text1"/>
              </w:rPr>
              <w:t>4</w:t>
            </w:r>
          </w:p>
        </w:tc>
        <w:tc>
          <w:tcPr>
            <w:tcW w:w="1419" w:type="dxa"/>
            <w:vAlign w:val="center"/>
          </w:tcPr>
          <w:p w14:paraId="19C78C9B" w14:textId="77777777" w:rsidR="008137F8" w:rsidRPr="001E17A1" w:rsidRDefault="00000000">
            <w:pPr>
              <w:rPr>
                <w:color w:val="000000" w:themeColor="text1"/>
              </w:rPr>
            </w:pPr>
            <w:r w:rsidRPr="001E17A1">
              <w:rPr>
                <w:rFonts w:hint="eastAsia"/>
                <w:color w:val="000000" w:themeColor="text1"/>
              </w:rPr>
              <w:t>时空数据转换与处理</w:t>
            </w:r>
          </w:p>
        </w:tc>
        <w:tc>
          <w:tcPr>
            <w:tcW w:w="1651" w:type="dxa"/>
            <w:vAlign w:val="center"/>
          </w:tcPr>
          <w:p w14:paraId="1769D121" w14:textId="77777777" w:rsidR="008137F8" w:rsidRPr="001E17A1" w:rsidRDefault="00000000">
            <w:pPr>
              <w:jc w:val="center"/>
              <w:rPr>
                <w:color w:val="000000" w:themeColor="text1"/>
              </w:rPr>
            </w:pPr>
            <w:r w:rsidRPr="001E17A1">
              <w:rPr>
                <w:rFonts w:hint="eastAsia"/>
                <w:color w:val="000000" w:themeColor="text1"/>
              </w:rPr>
              <w:t>200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万点</w:t>
            </w:r>
          </w:p>
        </w:tc>
        <w:tc>
          <w:tcPr>
            <w:tcW w:w="5367" w:type="dxa"/>
            <w:vAlign w:val="center"/>
          </w:tcPr>
          <w:p w14:paraId="5188A904" w14:textId="77777777" w:rsidR="008137F8" w:rsidRPr="001E17A1" w:rsidRDefault="00000000">
            <w:pPr>
              <w:rPr>
                <w:color w:val="000000" w:themeColor="text1"/>
              </w:rPr>
            </w:pPr>
            <w:r w:rsidRPr="001E17A1">
              <w:rPr>
                <w:rFonts w:hint="eastAsia"/>
                <w:color w:val="000000" w:themeColor="text1"/>
              </w:rPr>
              <w:t>工作范围内，对坐标转换、格式转换的时空数据加工按万点计量，单价为</w:t>
            </w:r>
            <w:r w:rsidRPr="001E17A1">
              <w:rPr>
                <w:rFonts w:hint="eastAsia"/>
                <w:color w:val="000000" w:themeColor="text1"/>
              </w:rPr>
              <w:t>200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万点。</w:t>
            </w:r>
          </w:p>
        </w:tc>
        <w:tc>
          <w:tcPr>
            <w:tcW w:w="4174" w:type="dxa"/>
            <w:vAlign w:val="center"/>
          </w:tcPr>
          <w:p w14:paraId="02C8E9FB" w14:textId="77777777" w:rsidR="008137F8" w:rsidRPr="001E17A1" w:rsidRDefault="008137F8">
            <w:pPr>
              <w:rPr>
                <w:color w:val="000000" w:themeColor="text1"/>
              </w:rPr>
            </w:pPr>
          </w:p>
        </w:tc>
      </w:tr>
      <w:tr w:rsidR="008137F8" w:rsidRPr="001E17A1" w14:paraId="34332828" w14:textId="77777777">
        <w:trPr>
          <w:cantSplit/>
        </w:trPr>
        <w:tc>
          <w:tcPr>
            <w:tcW w:w="657" w:type="dxa"/>
            <w:vMerge/>
            <w:vAlign w:val="center"/>
          </w:tcPr>
          <w:p w14:paraId="4D145CF5" w14:textId="77777777" w:rsidR="008137F8" w:rsidRPr="001E17A1" w:rsidRDefault="008137F8">
            <w:pPr>
              <w:rPr>
                <w:color w:val="000000" w:themeColor="text1"/>
              </w:rPr>
            </w:pPr>
          </w:p>
        </w:tc>
        <w:tc>
          <w:tcPr>
            <w:tcW w:w="807" w:type="dxa"/>
            <w:vAlign w:val="center"/>
          </w:tcPr>
          <w:p w14:paraId="213F13EC" w14:textId="77777777" w:rsidR="008137F8" w:rsidRPr="001E17A1" w:rsidRDefault="00000000">
            <w:pPr>
              <w:jc w:val="center"/>
              <w:rPr>
                <w:color w:val="000000" w:themeColor="text1"/>
              </w:rPr>
            </w:pPr>
            <w:r w:rsidRPr="001E17A1">
              <w:rPr>
                <w:rFonts w:hint="eastAsia"/>
                <w:color w:val="000000" w:themeColor="text1"/>
              </w:rPr>
              <w:t>5</w:t>
            </w:r>
          </w:p>
        </w:tc>
        <w:tc>
          <w:tcPr>
            <w:tcW w:w="1419" w:type="dxa"/>
            <w:vAlign w:val="center"/>
          </w:tcPr>
          <w:p w14:paraId="0BEC1450" w14:textId="77777777" w:rsidR="008137F8" w:rsidRPr="001E17A1" w:rsidRDefault="00000000">
            <w:pPr>
              <w:rPr>
                <w:color w:val="000000" w:themeColor="text1"/>
              </w:rPr>
            </w:pPr>
            <w:r w:rsidRPr="001E17A1">
              <w:rPr>
                <w:rFonts w:hint="eastAsia"/>
                <w:color w:val="000000" w:themeColor="text1"/>
              </w:rPr>
              <w:t>对于历史数据的归档及销毁</w:t>
            </w:r>
          </w:p>
        </w:tc>
        <w:tc>
          <w:tcPr>
            <w:tcW w:w="1651" w:type="dxa"/>
            <w:vAlign w:val="center"/>
          </w:tcPr>
          <w:p w14:paraId="7AD3F0CA" w14:textId="77777777" w:rsidR="008137F8" w:rsidRPr="001E17A1" w:rsidRDefault="00000000">
            <w:pPr>
              <w:jc w:val="center"/>
              <w:rPr>
                <w:color w:val="000000" w:themeColor="text1"/>
              </w:rPr>
            </w:pPr>
            <w:r w:rsidRPr="001E17A1">
              <w:rPr>
                <w:rFonts w:hint="eastAsia"/>
                <w:color w:val="000000" w:themeColor="text1"/>
              </w:rPr>
              <w:t>550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张</w:t>
            </w:r>
          </w:p>
        </w:tc>
        <w:tc>
          <w:tcPr>
            <w:tcW w:w="5367" w:type="dxa"/>
            <w:vAlign w:val="center"/>
          </w:tcPr>
          <w:p w14:paraId="2FC96A46" w14:textId="77777777" w:rsidR="008137F8" w:rsidRPr="001E17A1" w:rsidRDefault="00000000">
            <w:pPr>
              <w:rPr>
                <w:color w:val="000000" w:themeColor="text1"/>
              </w:rPr>
            </w:pPr>
            <w:r w:rsidRPr="001E17A1">
              <w:rPr>
                <w:rFonts w:hint="eastAsia"/>
                <w:color w:val="000000" w:themeColor="text1"/>
              </w:rPr>
              <w:t>工作范围内，对周期内销毁、归档的数据表数进行计量。</w:t>
            </w:r>
          </w:p>
        </w:tc>
        <w:tc>
          <w:tcPr>
            <w:tcW w:w="4174" w:type="dxa"/>
            <w:vAlign w:val="center"/>
          </w:tcPr>
          <w:p w14:paraId="5CFEC0B1" w14:textId="77777777" w:rsidR="008137F8" w:rsidRPr="001E17A1" w:rsidRDefault="008137F8">
            <w:pPr>
              <w:rPr>
                <w:color w:val="000000" w:themeColor="text1"/>
              </w:rPr>
            </w:pPr>
          </w:p>
        </w:tc>
      </w:tr>
      <w:tr w:rsidR="008137F8" w:rsidRPr="001E17A1" w14:paraId="0394DD20" w14:textId="77777777">
        <w:trPr>
          <w:cantSplit/>
        </w:trPr>
        <w:tc>
          <w:tcPr>
            <w:tcW w:w="657" w:type="dxa"/>
            <w:vMerge/>
            <w:vAlign w:val="center"/>
          </w:tcPr>
          <w:p w14:paraId="299868EA" w14:textId="77777777" w:rsidR="008137F8" w:rsidRPr="001E17A1" w:rsidRDefault="008137F8">
            <w:pPr>
              <w:rPr>
                <w:color w:val="000000" w:themeColor="text1"/>
              </w:rPr>
            </w:pPr>
          </w:p>
        </w:tc>
        <w:tc>
          <w:tcPr>
            <w:tcW w:w="807" w:type="dxa"/>
            <w:vAlign w:val="center"/>
          </w:tcPr>
          <w:p w14:paraId="56FD9F70" w14:textId="77777777" w:rsidR="008137F8" w:rsidRPr="001E17A1" w:rsidRDefault="00000000">
            <w:pPr>
              <w:jc w:val="center"/>
              <w:rPr>
                <w:color w:val="000000" w:themeColor="text1"/>
              </w:rPr>
            </w:pPr>
            <w:r w:rsidRPr="001E17A1">
              <w:rPr>
                <w:rFonts w:hint="eastAsia"/>
                <w:color w:val="000000" w:themeColor="text1"/>
              </w:rPr>
              <w:t>6</w:t>
            </w:r>
          </w:p>
        </w:tc>
        <w:tc>
          <w:tcPr>
            <w:tcW w:w="1419" w:type="dxa"/>
            <w:vAlign w:val="center"/>
          </w:tcPr>
          <w:p w14:paraId="5ADA81FF" w14:textId="77777777" w:rsidR="008137F8" w:rsidRPr="001E17A1" w:rsidRDefault="00000000">
            <w:pPr>
              <w:rPr>
                <w:color w:val="000000" w:themeColor="text1"/>
              </w:rPr>
            </w:pPr>
            <w:r w:rsidRPr="001E17A1">
              <w:rPr>
                <w:rFonts w:hint="eastAsia"/>
                <w:color w:val="000000" w:themeColor="text1"/>
              </w:rPr>
              <w:t>数据质量检查</w:t>
            </w:r>
          </w:p>
        </w:tc>
        <w:tc>
          <w:tcPr>
            <w:tcW w:w="1651" w:type="dxa"/>
            <w:vAlign w:val="center"/>
          </w:tcPr>
          <w:p w14:paraId="234EBC4A" w14:textId="77777777" w:rsidR="008137F8" w:rsidRPr="001E17A1" w:rsidRDefault="00000000">
            <w:pPr>
              <w:jc w:val="center"/>
              <w:rPr>
                <w:color w:val="000000" w:themeColor="text1"/>
              </w:rPr>
            </w:pPr>
            <w:r w:rsidRPr="001E17A1">
              <w:rPr>
                <w:rFonts w:hint="eastAsia"/>
                <w:color w:val="000000" w:themeColor="text1"/>
              </w:rPr>
              <w:t>90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w:t>
            </w:r>
            <w:r w:rsidRPr="001E17A1">
              <w:rPr>
                <w:rFonts w:hint="eastAsia"/>
                <w:color w:val="000000" w:themeColor="text1"/>
              </w:rPr>
              <w:br/>
              <w:t>60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张</w:t>
            </w:r>
            <w:r w:rsidRPr="001E17A1">
              <w:rPr>
                <w:rFonts w:hint="eastAsia"/>
                <w:color w:val="000000" w:themeColor="text1"/>
              </w:rPr>
              <w:br/>
              <w:t>5</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万个</w:t>
            </w:r>
            <w:r w:rsidRPr="001E17A1">
              <w:rPr>
                <w:rFonts w:hint="eastAsia"/>
                <w:color w:val="000000" w:themeColor="text1"/>
              </w:rPr>
              <w:br/>
              <w:t>8000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万坐标点（内业）或</w:t>
            </w:r>
            <w:r w:rsidRPr="001E17A1">
              <w:rPr>
                <w:rFonts w:hint="eastAsia"/>
                <w:color w:val="000000" w:themeColor="text1"/>
              </w:rPr>
              <w:t>150000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万坐标点（外业）</w:t>
            </w:r>
          </w:p>
        </w:tc>
        <w:tc>
          <w:tcPr>
            <w:tcW w:w="5367" w:type="dxa"/>
            <w:vAlign w:val="center"/>
          </w:tcPr>
          <w:p w14:paraId="1E9A3322" w14:textId="77777777" w:rsidR="008137F8" w:rsidRPr="001E17A1" w:rsidRDefault="00000000">
            <w:pPr>
              <w:rPr>
                <w:color w:val="000000" w:themeColor="text1"/>
              </w:rPr>
            </w:pPr>
            <w:r w:rsidRPr="001E17A1">
              <w:rPr>
                <w:rFonts w:hint="eastAsia"/>
                <w:color w:val="000000" w:themeColor="text1"/>
              </w:rPr>
              <w:t>工作范围内：</w:t>
            </w:r>
            <w:r w:rsidRPr="001E17A1">
              <w:rPr>
                <w:rFonts w:hint="eastAsia"/>
                <w:color w:val="000000" w:themeColor="text1"/>
              </w:rPr>
              <w:t>1</w:t>
            </w:r>
            <w:r w:rsidRPr="001E17A1">
              <w:rPr>
                <w:rFonts w:hint="eastAsia"/>
                <w:color w:val="000000" w:themeColor="text1"/>
              </w:rPr>
              <w:t>、对数据资产目录的质量检查，按照检查的目录个数计量，单价为</w:t>
            </w:r>
            <w:r w:rsidRPr="001E17A1">
              <w:rPr>
                <w:rFonts w:hint="eastAsia"/>
                <w:color w:val="000000" w:themeColor="text1"/>
              </w:rPr>
              <w:t>90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w:t>
            </w:r>
            <w:r w:rsidRPr="001E17A1">
              <w:rPr>
                <w:rFonts w:hint="eastAsia"/>
                <w:color w:val="000000" w:themeColor="text1"/>
              </w:rPr>
              <w:br/>
              <w:t>2</w:t>
            </w:r>
            <w:r w:rsidRPr="001E17A1">
              <w:rPr>
                <w:rFonts w:hint="eastAsia"/>
                <w:color w:val="000000" w:themeColor="text1"/>
              </w:rPr>
              <w:t>、对结构化数据表的质量检查，按照检查的数据表数计量，单价为</w:t>
            </w:r>
            <w:r w:rsidRPr="001E17A1">
              <w:rPr>
                <w:rFonts w:hint="eastAsia"/>
                <w:color w:val="000000" w:themeColor="text1"/>
              </w:rPr>
              <w:t>60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张；</w:t>
            </w:r>
            <w:r w:rsidRPr="001E17A1">
              <w:rPr>
                <w:rFonts w:hint="eastAsia"/>
                <w:color w:val="000000" w:themeColor="text1"/>
              </w:rPr>
              <w:br/>
              <w:t>3</w:t>
            </w:r>
            <w:r w:rsidRPr="001E17A1">
              <w:rPr>
                <w:rFonts w:hint="eastAsia"/>
                <w:color w:val="000000" w:themeColor="text1"/>
              </w:rPr>
              <w:t>、对文件数据的质量检查，按照检查的数据文件个数计量，单价为</w:t>
            </w:r>
            <w:r w:rsidRPr="001E17A1">
              <w:rPr>
                <w:rFonts w:hint="eastAsia"/>
                <w:color w:val="000000" w:themeColor="text1"/>
              </w:rPr>
              <w:t>5</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万个；</w:t>
            </w:r>
            <w:r w:rsidRPr="001E17A1">
              <w:rPr>
                <w:rFonts w:hint="eastAsia"/>
                <w:color w:val="000000" w:themeColor="text1"/>
              </w:rPr>
              <w:br/>
              <w:t>4</w:t>
            </w:r>
            <w:r w:rsidRPr="001E17A1">
              <w:rPr>
                <w:rFonts w:hint="eastAsia"/>
                <w:color w:val="000000" w:themeColor="text1"/>
              </w:rPr>
              <w:t>、对空间地理数据的核实，分内业和外业质量检查，按照涉及的坐标点数计量，对内业核实，单价为</w:t>
            </w:r>
            <w:r w:rsidRPr="001E17A1">
              <w:rPr>
                <w:rFonts w:hint="eastAsia"/>
                <w:color w:val="000000" w:themeColor="text1"/>
              </w:rPr>
              <w:t>8000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万坐标点，对外业核实，单价为</w:t>
            </w:r>
            <w:r w:rsidRPr="001E17A1">
              <w:rPr>
                <w:rFonts w:hint="eastAsia"/>
                <w:color w:val="000000" w:themeColor="text1"/>
              </w:rPr>
              <w:t>150000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万坐标点。</w:t>
            </w:r>
            <w:r w:rsidRPr="001E17A1">
              <w:rPr>
                <w:rFonts w:hint="eastAsia"/>
                <w:color w:val="000000" w:themeColor="text1"/>
              </w:rPr>
              <w:br/>
              <w:t>5</w:t>
            </w:r>
            <w:r w:rsidRPr="001E17A1">
              <w:rPr>
                <w:rFonts w:hint="eastAsia"/>
                <w:color w:val="000000" w:themeColor="text1"/>
              </w:rPr>
              <w:t>、若为新设计的数据质量检查规则，可附加设计费用（按规则个数计量，单价为</w:t>
            </w:r>
            <w:r w:rsidRPr="001E17A1">
              <w:rPr>
                <w:rFonts w:hint="eastAsia"/>
                <w:color w:val="000000" w:themeColor="text1"/>
              </w:rPr>
              <w:t>50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个）；基于新设计的数据质量规则检查出的问题数据进行修正处理，可附加修正费用（按修正处理的数据条数计量，单价为</w:t>
            </w:r>
            <w:r w:rsidRPr="001E17A1">
              <w:rPr>
                <w:rFonts w:hint="eastAsia"/>
                <w:color w:val="000000" w:themeColor="text1"/>
              </w:rPr>
              <w:t>50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条）。</w:t>
            </w:r>
          </w:p>
        </w:tc>
        <w:tc>
          <w:tcPr>
            <w:tcW w:w="4174" w:type="dxa"/>
            <w:vAlign w:val="center"/>
          </w:tcPr>
          <w:p w14:paraId="1CA8676F" w14:textId="77777777" w:rsidR="008137F8" w:rsidRPr="001E17A1" w:rsidRDefault="00000000">
            <w:pPr>
              <w:rPr>
                <w:color w:val="000000" w:themeColor="text1"/>
              </w:rPr>
            </w:pPr>
            <w:r w:rsidRPr="001E17A1">
              <w:rPr>
                <w:rFonts w:hint="eastAsia"/>
                <w:color w:val="000000" w:themeColor="text1"/>
              </w:rPr>
              <w:t>针对结构化数据表的质量检查工作，结合工作复杂度，取难度系数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N=1</w:t>
            </w:r>
            <w:r w:rsidRPr="001E17A1">
              <w:rPr>
                <w:rFonts w:hint="eastAsia"/>
                <w:color w:val="000000" w:themeColor="text1"/>
              </w:rPr>
              <w:t>～</w:t>
            </w:r>
            <w:r w:rsidRPr="001E17A1">
              <w:rPr>
                <w:rFonts w:hint="eastAsia"/>
                <w:color w:val="000000" w:themeColor="text1"/>
              </w:rPr>
              <w:t>1.5</w:t>
            </w:r>
            <w:r w:rsidRPr="001E17A1">
              <w:rPr>
                <w:rFonts w:hint="eastAsia"/>
                <w:color w:val="000000" w:themeColor="text1"/>
              </w:rPr>
              <w:t>），其中数据质量检查规则小于</w:t>
            </w:r>
            <w:r w:rsidRPr="001E17A1">
              <w:rPr>
                <w:rFonts w:hint="eastAsia"/>
                <w:color w:val="000000" w:themeColor="text1"/>
              </w:rPr>
              <w:t>5</w:t>
            </w:r>
            <w:r w:rsidRPr="001E17A1">
              <w:rPr>
                <w:rFonts w:hint="eastAsia"/>
                <w:color w:val="000000" w:themeColor="text1"/>
              </w:rPr>
              <w:t>种的，</w:t>
            </w:r>
            <w:r w:rsidRPr="001E17A1">
              <w:rPr>
                <w:rFonts w:hint="eastAsia"/>
                <w:color w:val="000000" w:themeColor="text1"/>
              </w:rPr>
              <w:t>N=1</w:t>
            </w:r>
            <w:r w:rsidRPr="001E17A1">
              <w:rPr>
                <w:rFonts w:hint="eastAsia"/>
                <w:color w:val="000000" w:themeColor="text1"/>
              </w:rPr>
              <w:t>；每增加一种规则难度系数增加</w:t>
            </w:r>
            <w:r w:rsidRPr="001E17A1">
              <w:rPr>
                <w:rFonts w:hint="eastAsia"/>
                <w:color w:val="000000" w:themeColor="text1"/>
              </w:rPr>
              <w:t>0.1</w:t>
            </w:r>
            <w:r w:rsidRPr="001E17A1">
              <w:rPr>
                <w:rFonts w:hint="eastAsia"/>
                <w:color w:val="000000" w:themeColor="text1"/>
              </w:rPr>
              <w:t>，</w:t>
            </w:r>
            <w:r w:rsidRPr="001E17A1">
              <w:rPr>
                <w:rFonts w:hint="eastAsia"/>
                <w:color w:val="000000" w:themeColor="text1"/>
              </w:rPr>
              <w:t>N</w:t>
            </w:r>
            <w:r w:rsidRPr="001E17A1">
              <w:rPr>
                <w:rFonts w:hint="eastAsia"/>
                <w:color w:val="000000" w:themeColor="text1"/>
              </w:rPr>
              <w:t>最高不超过</w:t>
            </w:r>
            <w:r w:rsidRPr="001E17A1">
              <w:rPr>
                <w:rFonts w:hint="eastAsia"/>
                <w:color w:val="000000" w:themeColor="text1"/>
              </w:rPr>
              <w:t>1.5</w:t>
            </w:r>
            <w:r w:rsidRPr="001E17A1">
              <w:rPr>
                <w:rFonts w:hint="eastAsia"/>
                <w:color w:val="000000" w:themeColor="text1"/>
              </w:rPr>
              <w:t>。</w:t>
            </w:r>
          </w:p>
        </w:tc>
      </w:tr>
      <w:tr w:rsidR="008137F8" w:rsidRPr="001E17A1" w14:paraId="5AFBB5B7" w14:textId="77777777">
        <w:trPr>
          <w:cantSplit/>
        </w:trPr>
        <w:tc>
          <w:tcPr>
            <w:tcW w:w="657" w:type="dxa"/>
            <w:vMerge/>
            <w:vAlign w:val="center"/>
          </w:tcPr>
          <w:p w14:paraId="00F3D943" w14:textId="77777777" w:rsidR="008137F8" w:rsidRPr="001E17A1" w:rsidRDefault="008137F8">
            <w:pPr>
              <w:rPr>
                <w:color w:val="000000" w:themeColor="text1"/>
              </w:rPr>
            </w:pPr>
          </w:p>
        </w:tc>
        <w:tc>
          <w:tcPr>
            <w:tcW w:w="807" w:type="dxa"/>
            <w:vAlign w:val="center"/>
          </w:tcPr>
          <w:p w14:paraId="25E2A181" w14:textId="77777777" w:rsidR="008137F8" w:rsidRPr="001E17A1" w:rsidRDefault="00000000">
            <w:pPr>
              <w:jc w:val="center"/>
              <w:rPr>
                <w:color w:val="000000" w:themeColor="text1"/>
              </w:rPr>
            </w:pPr>
            <w:r w:rsidRPr="001E17A1">
              <w:rPr>
                <w:rFonts w:hint="eastAsia"/>
                <w:color w:val="000000" w:themeColor="text1"/>
              </w:rPr>
              <w:t>7</w:t>
            </w:r>
          </w:p>
        </w:tc>
        <w:tc>
          <w:tcPr>
            <w:tcW w:w="1419" w:type="dxa"/>
            <w:vAlign w:val="center"/>
          </w:tcPr>
          <w:p w14:paraId="025A9441" w14:textId="77777777" w:rsidR="008137F8" w:rsidRPr="001E17A1" w:rsidRDefault="00000000">
            <w:pPr>
              <w:rPr>
                <w:color w:val="000000" w:themeColor="text1"/>
              </w:rPr>
            </w:pPr>
            <w:r w:rsidRPr="001E17A1">
              <w:rPr>
                <w:rFonts w:hint="eastAsia"/>
                <w:color w:val="000000" w:themeColor="text1"/>
              </w:rPr>
              <w:t>数据共享</w:t>
            </w:r>
            <w:r w:rsidRPr="001E17A1">
              <w:rPr>
                <w:rFonts w:hint="eastAsia"/>
                <w:color w:val="000000" w:themeColor="text1"/>
              </w:rPr>
              <w:t>/</w:t>
            </w:r>
            <w:r w:rsidRPr="001E17A1">
              <w:rPr>
                <w:rFonts w:hint="eastAsia"/>
                <w:color w:val="000000" w:themeColor="text1"/>
              </w:rPr>
              <w:t>开放</w:t>
            </w:r>
            <w:r w:rsidRPr="001E17A1">
              <w:rPr>
                <w:rFonts w:hint="eastAsia"/>
                <w:color w:val="000000" w:themeColor="text1"/>
              </w:rPr>
              <w:t>/</w:t>
            </w:r>
            <w:r w:rsidRPr="001E17A1">
              <w:rPr>
                <w:rFonts w:hint="eastAsia"/>
                <w:color w:val="000000" w:themeColor="text1"/>
              </w:rPr>
              <w:t>授权订阅服务</w:t>
            </w:r>
          </w:p>
        </w:tc>
        <w:tc>
          <w:tcPr>
            <w:tcW w:w="1651" w:type="dxa"/>
            <w:vAlign w:val="center"/>
          </w:tcPr>
          <w:p w14:paraId="67F63E0A" w14:textId="77777777" w:rsidR="008137F8" w:rsidRPr="001E17A1" w:rsidRDefault="00000000">
            <w:pPr>
              <w:jc w:val="center"/>
              <w:rPr>
                <w:color w:val="000000" w:themeColor="text1"/>
              </w:rPr>
            </w:pPr>
            <w:r w:rsidRPr="001E17A1">
              <w:rPr>
                <w:rFonts w:hint="eastAsia"/>
                <w:color w:val="000000" w:themeColor="text1"/>
              </w:rPr>
              <w:t>1000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组</w:t>
            </w:r>
          </w:p>
        </w:tc>
        <w:tc>
          <w:tcPr>
            <w:tcW w:w="5367" w:type="dxa"/>
            <w:vAlign w:val="center"/>
          </w:tcPr>
          <w:p w14:paraId="6CB70593" w14:textId="77777777" w:rsidR="008137F8" w:rsidRPr="001E17A1" w:rsidRDefault="00000000">
            <w:pPr>
              <w:rPr>
                <w:color w:val="000000" w:themeColor="text1"/>
              </w:rPr>
            </w:pPr>
            <w:r w:rsidRPr="001E17A1">
              <w:rPr>
                <w:rFonts w:hint="eastAsia"/>
                <w:color w:val="000000" w:themeColor="text1"/>
              </w:rPr>
              <w:t>工作范围内，数据共享、开放、社会化应用工作中所提供的一组完整服务接口数计量。</w:t>
            </w:r>
          </w:p>
        </w:tc>
        <w:tc>
          <w:tcPr>
            <w:tcW w:w="4174" w:type="dxa"/>
            <w:vAlign w:val="center"/>
          </w:tcPr>
          <w:p w14:paraId="445DBBD5" w14:textId="77777777" w:rsidR="008137F8" w:rsidRPr="001E17A1" w:rsidRDefault="008137F8">
            <w:pPr>
              <w:rPr>
                <w:color w:val="000000" w:themeColor="text1"/>
              </w:rPr>
            </w:pPr>
          </w:p>
        </w:tc>
      </w:tr>
      <w:tr w:rsidR="008137F8" w:rsidRPr="001E17A1" w14:paraId="6E6CC076" w14:textId="77777777">
        <w:trPr>
          <w:cantSplit/>
        </w:trPr>
        <w:tc>
          <w:tcPr>
            <w:tcW w:w="657" w:type="dxa"/>
            <w:vMerge/>
            <w:vAlign w:val="center"/>
          </w:tcPr>
          <w:p w14:paraId="0577176F" w14:textId="77777777" w:rsidR="008137F8" w:rsidRPr="001E17A1" w:rsidRDefault="008137F8">
            <w:pPr>
              <w:rPr>
                <w:color w:val="000000" w:themeColor="text1"/>
              </w:rPr>
            </w:pPr>
          </w:p>
        </w:tc>
        <w:tc>
          <w:tcPr>
            <w:tcW w:w="807" w:type="dxa"/>
            <w:vAlign w:val="center"/>
          </w:tcPr>
          <w:p w14:paraId="44CAAAA8" w14:textId="77777777" w:rsidR="008137F8" w:rsidRPr="001E17A1" w:rsidRDefault="00000000">
            <w:pPr>
              <w:jc w:val="center"/>
              <w:rPr>
                <w:color w:val="000000" w:themeColor="text1"/>
              </w:rPr>
            </w:pPr>
            <w:r w:rsidRPr="001E17A1">
              <w:rPr>
                <w:rFonts w:hint="eastAsia"/>
                <w:color w:val="000000" w:themeColor="text1"/>
              </w:rPr>
              <w:t>8</w:t>
            </w:r>
          </w:p>
        </w:tc>
        <w:tc>
          <w:tcPr>
            <w:tcW w:w="1419" w:type="dxa"/>
            <w:vAlign w:val="center"/>
          </w:tcPr>
          <w:p w14:paraId="2E01C4C0" w14:textId="77777777" w:rsidR="008137F8" w:rsidRPr="001E17A1" w:rsidRDefault="00000000">
            <w:pPr>
              <w:rPr>
                <w:color w:val="000000" w:themeColor="text1"/>
              </w:rPr>
            </w:pPr>
            <w:r w:rsidRPr="001E17A1">
              <w:rPr>
                <w:rFonts w:hint="eastAsia"/>
                <w:color w:val="000000" w:themeColor="text1"/>
              </w:rPr>
              <w:t>数据统计分析及报表服务</w:t>
            </w:r>
          </w:p>
        </w:tc>
        <w:tc>
          <w:tcPr>
            <w:tcW w:w="1651" w:type="dxa"/>
            <w:vAlign w:val="center"/>
          </w:tcPr>
          <w:p w14:paraId="14E5CBCD" w14:textId="77777777" w:rsidR="008137F8" w:rsidRPr="001E17A1" w:rsidRDefault="00000000">
            <w:pPr>
              <w:jc w:val="center"/>
              <w:rPr>
                <w:color w:val="000000" w:themeColor="text1"/>
              </w:rPr>
            </w:pPr>
            <w:r w:rsidRPr="001E17A1">
              <w:rPr>
                <w:rFonts w:hint="eastAsia"/>
                <w:color w:val="000000" w:themeColor="text1"/>
              </w:rPr>
              <w:t>4000-5000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次</w:t>
            </w:r>
          </w:p>
        </w:tc>
        <w:tc>
          <w:tcPr>
            <w:tcW w:w="5367" w:type="dxa"/>
            <w:vAlign w:val="center"/>
          </w:tcPr>
          <w:p w14:paraId="4EC826FA" w14:textId="77777777" w:rsidR="008137F8" w:rsidRPr="001E17A1" w:rsidRDefault="00000000">
            <w:pPr>
              <w:rPr>
                <w:color w:val="000000" w:themeColor="text1"/>
              </w:rPr>
            </w:pPr>
            <w:r w:rsidRPr="001E17A1">
              <w:rPr>
                <w:rFonts w:hint="eastAsia"/>
                <w:color w:val="000000" w:themeColor="text1"/>
              </w:rPr>
              <w:t>工作范围内，按需对各类需求进行数据统计分析，按涉及的统计次数计量。仅完成数据统计分析</w:t>
            </w:r>
            <w:r w:rsidRPr="001E17A1">
              <w:rPr>
                <w:rFonts w:hint="eastAsia"/>
                <w:color w:val="000000" w:themeColor="text1"/>
              </w:rPr>
              <w:t>4000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次，完成数据统计分析及报表服务</w:t>
            </w:r>
            <w:r w:rsidRPr="001E17A1">
              <w:rPr>
                <w:rFonts w:hint="eastAsia"/>
                <w:color w:val="000000" w:themeColor="text1"/>
              </w:rPr>
              <w:t>5000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次，同时按照工作难度，设置难度系数</w:t>
            </w:r>
            <w:r w:rsidRPr="001E17A1">
              <w:rPr>
                <w:rFonts w:hint="eastAsia"/>
                <w:color w:val="000000" w:themeColor="text1"/>
              </w:rPr>
              <w:t>N</w:t>
            </w:r>
            <w:r w:rsidRPr="001E17A1">
              <w:rPr>
                <w:rFonts w:hint="eastAsia"/>
                <w:color w:val="000000" w:themeColor="text1"/>
              </w:rPr>
              <w:t>。</w:t>
            </w:r>
          </w:p>
        </w:tc>
        <w:tc>
          <w:tcPr>
            <w:tcW w:w="4174" w:type="dxa"/>
            <w:vAlign w:val="center"/>
          </w:tcPr>
          <w:p w14:paraId="6F8C24CD" w14:textId="77777777" w:rsidR="008137F8" w:rsidRPr="001E17A1" w:rsidRDefault="00000000">
            <w:pPr>
              <w:rPr>
                <w:color w:val="000000" w:themeColor="text1"/>
              </w:rPr>
            </w:pPr>
            <w:r w:rsidRPr="001E17A1">
              <w:rPr>
                <w:rFonts w:hint="eastAsia"/>
                <w:color w:val="000000" w:themeColor="text1"/>
              </w:rPr>
              <w:t>对数据统计分析服务按工作难度，取难度系数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N=1~3</w:t>
            </w:r>
            <w:r w:rsidRPr="001E17A1">
              <w:rPr>
                <w:rFonts w:hint="eastAsia"/>
                <w:color w:val="000000" w:themeColor="text1"/>
              </w:rPr>
              <w:t>），对于仅涉及单领域数据的，</w:t>
            </w:r>
            <w:r w:rsidRPr="001E17A1">
              <w:rPr>
                <w:rFonts w:hint="eastAsia"/>
                <w:color w:val="000000" w:themeColor="text1"/>
              </w:rPr>
              <w:t>N=1</w:t>
            </w:r>
            <w:r w:rsidRPr="001E17A1">
              <w:rPr>
                <w:rFonts w:hint="eastAsia"/>
                <w:color w:val="000000" w:themeColor="text1"/>
              </w:rPr>
              <w:t>；每增加一个领域，</w:t>
            </w:r>
            <w:r w:rsidRPr="001E17A1">
              <w:rPr>
                <w:rFonts w:hint="eastAsia"/>
                <w:color w:val="000000" w:themeColor="text1"/>
              </w:rPr>
              <w:t>N</w:t>
            </w:r>
            <w:r w:rsidRPr="001E17A1">
              <w:rPr>
                <w:rFonts w:hint="eastAsia"/>
                <w:color w:val="000000" w:themeColor="text1"/>
              </w:rPr>
              <w:t>增加</w:t>
            </w:r>
            <w:r w:rsidRPr="001E17A1">
              <w:rPr>
                <w:rFonts w:hint="eastAsia"/>
                <w:color w:val="000000" w:themeColor="text1"/>
              </w:rPr>
              <w:t>1</w:t>
            </w:r>
            <w:r w:rsidRPr="001E17A1">
              <w:rPr>
                <w:rFonts w:hint="eastAsia"/>
                <w:color w:val="000000" w:themeColor="text1"/>
              </w:rPr>
              <w:t>；</w:t>
            </w:r>
            <w:r w:rsidRPr="001E17A1">
              <w:rPr>
                <w:rFonts w:hint="eastAsia"/>
                <w:color w:val="000000" w:themeColor="text1"/>
              </w:rPr>
              <w:t>N</w:t>
            </w:r>
            <w:r w:rsidRPr="001E17A1">
              <w:rPr>
                <w:rFonts w:hint="eastAsia"/>
                <w:color w:val="000000" w:themeColor="text1"/>
              </w:rPr>
              <w:t>最高不超过</w:t>
            </w:r>
            <w:r w:rsidRPr="001E17A1">
              <w:rPr>
                <w:rFonts w:hint="eastAsia"/>
                <w:color w:val="000000" w:themeColor="text1"/>
              </w:rPr>
              <w:t>3</w:t>
            </w:r>
            <w:r w:rsidRPr="001E17A1">
              <w:rPr>
                <w:rFonts w:hint="eastAsia"/>
                <w:color w:val="000000" w:themeColor="text1"/>
              </w:rPr>
              <w:t>。在单个专项任务中对于融合加工的程序个数进行控制，每个库中的数据融合加工程序个数最多记录</w:t>
            </w:r>
            <w:r w:rsidRPr="001E17A1">
              <w:rPr>
                <w:rFonts w:hint="eastAsia"/>
                <w:color w:val="000000" w:themeColor="text1"/>
              </w:rPr>
              <w:t>20</w:t>
            </w:r>
            <w:r w:rsidRPr="001E17A1">
              <w:rPr>
                <w:rFonts w:hint="eastAsia"/>
                <w:color w:val="000000" w:themeColor="text1"/>
              </w:rPr>
              <w:t>个（包括</w:t>
            </w:r>
            <w:r w:rsidRPr="001E17A1">
              <w:rPr>
                <w:rFonts w:hint="eastAsia"/>
                <w:color w:val="000000" w:themeColor="text1"/>
              </w:rPr>
              <w:t>20</w:t>
            </w:r>
            <w:r w:rsidRPr="001E17A1">
              <w:rPr>
                <w:rFonts w:hint="eastAsia"/>
                <w:color w:val="000000" w:themeColor="text1"/>
              </w:rPr>
              <w:t>）；低于</w:t>
            </w:r>
            <w:r w:rsidRPr="001E17A1">
              <w:rPr>
                <w:rFonts w:hint="eastAsia"/>
                <w:color w:val="000000" w:themeColor="text1"/>
              </w:rPr>
              <w:t>20</w:t>
            </w:r>
            <w:r w:rsidRPr="001E17A1">
              <w:rPr>
                <w:rFonts w:hint="eastAsia"/>
                <w:color w:val="000000" w:themeColor="text1"/>
              </w:rPr>
              <w:t>个融合加工程序数，则按实结算。</w:t>
            </w:r>
            <w:r w:rsidRPr="001E17A1">
              <w:rPr>
                <w:rFonts w:hint="eastAsia"/>
                <w:color w:val="000000" w:themeColor="text1"/>
              </w:rPr>
              <w:br/>
            </w:r>
            <w:r w:rsidRPr="001E17A1">
              <w:rPr>
                <w:rFonts w:hint="eastAsia"/>
                <w:color w:val="000000" w:themeColor="text1"/>
              </w:rPr>
              <w:t>同一张统计报表的数据问题更正不再另外收费。开展报表数据更新的，数据自动更新不计费，数据手动更新每次乘以系数</w:t>
            </w:r>
            <w:r w:rsidRPr="001E17A1">
              <w:rPr>
                <w:rFonts w:hint="eastAsia"/>
                <w:color w:val="000000" w:themeColor="text1"/>
              </w:rPr>
              <w:t>M</w:t>
            </w:r>
            <w:r w:rsidRPr="001E17A1">
              <w:rPr>
                <w:rFonts w:hint="eastAsia"/>
                <w:color w:val="000000" w:themeColor="text1"/>
              </w:rPr>
              <w:t>，（</w:t>
            </w:r>
            <w:r w:rsidRPr="001E17A1">
              <w:rPr>
                <w:rFonts w:hint="eastAsia"/>
                <w:color w:val="000000" w:themeColor="text1"/>
              </w:rPr>
              <w:t>M=0.1~0.3</w:t>
            </w:r>
            <w:r w:rsidRPr="001E17A1">
              <w:rPr>
                <w:rFonts w:hint="eastAsia"/>
                <w:color w:val="000000" w:themeColor="text1"/>
              </w:rPr>
              <w:t>）。统计报表未上线或未有有效调用量的不计费。</w:t>
            </w:r>
          </w:p>
        </w:tc>
      </w:tr>
      <w:tr w:rsidR="008137F8" w:rsidRPr="001E17A1" w14:paraId="04F1831E" w14:textId="77777777">
        <w:trPr>
          <w:cantSplit/>
        </w:trPr>
        <w:tc>
          <w:tcPr>
            <w:tcW w:w="657" w:type="dxa"/>
            <w:vMerge/>
            <w:vAlign w:val="center"/>
          </w:tcPr>
          <w:p w14:paraId="5D204F99" w14:textId="77777777" w:rsidR="008137F8" w:rsidRPr="001E17A1" w:rsidRDefault="008137F8">
            <w:pPr>
              <w:rPr>
                <w:color w:val="000000" w:themeColor="text1"/>
              </w:rPr>
            </w:pPr>
          </w:p>
        </w:tc>
        <w:tc>
          <w:tcPr>
            <w:tcW w:w="807" w:type="dxa"/>
            <w:vAlign w:val="center"/>
          </w:tcPr>
          <w:p w14:paraId="3B9A8D9A" w14:textId="77777777" w:rsidR="008137F8" w:rsidRPr="001E17A1" w:rsidRDefault="00000000">
            <w:pPr>
              <w:jc w:val="center"/>
              <w:rPr>
                <w:color w:val="000000" w:themeColor="text1"/>
              </w:rPr>
            </w:pPr>
            <w:r w:rsidRPr="001E17A1">
              <w:rPr>
                <w:rFonts w:hint="eastAsia"/>
                <w:color w:val="000000" w:themeColor="text1"/>
              </w:rPr>
              <w:t>9</w:t>
            </w:r>
          </w:p>
        </w:tc>
        <w:tc>
          <w:tcPr>
            <w:tcW w:w="1419" w:type="dxa"/>
            <w:vAlign w:val="center"/>
          </w:tcPr>
          <w:p w14:paraId="333731CD" w14:textId="77777777" w:rsidR="008137F8" w:rsidRPr="001E17A1" w:rsidRDefault="00000000">
            <w:pPr>
              <w:rPr>
                <w:color w:val="000000" w:themeColor="text1"/>
              </w:rPr>
            </w:pPr>
            <w:r w:rsidRPr="001E17A1">
              <w:rPr>
                <w:rFonts w:hint="eastAsia"/>
                <w:color w:val="000000" w:themeColor="text1"/>
              </w:rPr>
              <w:t>数据挖掘建模</w:t>
            </w:r>
          </w:p>
        </w:tc>
        <w:tc>
          <w:tcPr>
            <w:tcW w:w="1651" w:type="dxa"/>
            <w:vAlign w:val="center"/>
          </w:tcPr>
          <w:p w14:paraId="677E4BAE" w14:textId="77777777" w:rsidR="008137F8" w:rsidRPr="001E17A1" w:rsidRDefault="00000000">
            <w:pPr>
              <w:jc w:val="center"/>
              <w:rPr>
                <w:color w:val="000000" w:themeColor="text1"/>
              </w:rPr>
            </w:pPr>
            <w:r w:rsidRPr="001E17A1">
              <w:rPr>
                <w:rFonts w:hint="eastAsia"/>
                <w:color w:val="000000" w:themeColor="text1"/>
              </w:rPr>
              <w:t>92000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w:t>
            </w:r>
          </w:p>
        </w:tc>
        <w:tc>
          <w:tcPr>
            <w:tcW w:w="5367" w:type="dxa"/>
            <w:vAlign w:val="center"/>
          </w:tcPr>
          <w:p w14:paraId="732A339D" w14:textId="77777777" w:rsidR="008137F8" w:rsidRPr="001E17A1" w:rsidRDefault="00000000">
            <w:pPr>
              <w:rPr>
                <w:color w:val="000000" w:themeColor="text1"/>
              </w:rPr>
            </w:pPr>
            <w:r w:rsidRPr="001E17A1">
              <w:rPr>
                <w:rFonts w:hint="eastAsia"/>
                <w:color w:val="000000" w:themeColor="text1"/>
              </w:rPr>
              <w:t>工作范围内，按涉及的数据挖掘模型个数计量。</w:t>
            </w:r>
          </w:p>
        </w:tc>
        <w:tc>
          <w:tcPr>
            <w:tcW w:w="4174" w:type="dxa"/>
            <w:vAlign w:val="center"/>
          </w:tcPr>
          <w:p w14:paraId="350B1355" w14:textId="77777777" w:rsidR="008137F8" w:rsidRPr="001E17A1" w:rsidRDefault="00000000">
            <w:pPr>
              <w:rPr>
                <w:color w:val="000000" w:themeColor="text1"/>
              </w:rPr>
            </w:pPr>
            <w:r w:rsidRPr="001E17A1">
              <w:rPr>
                <w:rFonts w:hint="eastAsia"/>
                <w:color w:val="000000" w:themeColor="text1"/>
              </w:rPr>
              <w:t>根据数据融合挖掘建模的难度，设置难度系数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N=1~3</w:t>
            </w:r>
            <w:r w:rsidRPr="001E17A1">
              <w:rPr>
                <w:rFonts w:hint="eastAsia"/>
                <w:color w:val="000000" w:themeColor="text1"/>
              </w:rPr>
              <w:t>）。基于数学、统计学及相关学科及业务领域理论、规范及方法建立数据分析模型，应用于业务问题发现、数据规律研究和风险预警提示等工作，</w:t>
            </w:r>
            <w:r w:rsidRPr="001E17A1">
              <w:rPr>
                <w:rFonts w:hint="eastAsia"/>
                <w:color w:val="000000" w:themeColor="text1"/>
              </w:rPr>
              <w:t>N=1</w:t>
            </w:r>
            <w:r w:rsidRPr="001E17A1">
              <w:rPr>
                <w:rFonts w:hint="eastAsia"/>
                <w:color w:val="000000" w:themeColor="text1"/>
              </w:rPr>
              <w:t>；基于数据挖掘、人工智能等算法开展的数据分析建模服务，应用于综合性强、业务领域广、难度较高的数据分析场景，</w:t>
            </w:r>
            <w:r w:rsidRPr="001E17A1">
              <w:rPr>
                <w:rFonts w:hint="eastAsia"/>
                <w:color w:val="000000" w:themeColor="text1"/>
              </w:rPr>
              <w:t>N=2</w:t>
            </w:r>
            <w:r w:rsidRPr="001E17A1">
              <w:rPr>
                <w:rFonts w:hint="eastAsia"/>
                <w:color w:val="000000" w:themeColor="text1"/>
              </w:rPr>
              <w:t>～</w:t>
            </w:r>
            <w:r w:rsidRPr="001E17A1">
              <w:rPr>
                <w:rFonts w:hint="eastAsia"/>
                <w:color w:val="000000" w:themeColor="text1"/>
              </w:rPr>
              <w:t>3</w:t>
            </w:r>
            <w:r w:rsidRPr="001E17A1">
              <w:rPr>
                <w:rFonts w:hint="eastAsia"/>
                <w:color w:val="000000" w:themeColor="text1"/>
              </w:rPr>
              <w:t>。</w:t>
            </w:r>
          </w:p>
        </w:tc>
      </w:tr>
      <w:tr w:rsidR="008137F8" w:rsidRPr="001E17A1" w14:paraId="37F3FEF8" w14:textId="77777777">
        <w:trPr>
          <w:cantSplit/>
        </w:trPr>
        <w:tc>
          <w:tcPr>
            <w:tcW w:w="657" w:type="dxa"/>
            <w:vMerge/>
            <w:vAlign w:val="center"/>
          </w:tcPr>
          <w:p w14:paraId="403FC434" w14:textId="77777777" w:rsidR="008137F8" w:rsidRPr="001E17A1" w:rsidRDefault="008137F8">
            <w:pPr>
              <w:rPr>
                <w:color w:val="000000" w:themeColor="text1"/>
              </w:rPr>
            </w:pPr>
          </w:p>
        </w:tc>
        <w:tc>
          <w:tcPr>
            <w:tcW w:w="807" w:type="dxa"/>
            <w:vAlign w:val="center"/>
          </w:tcPr>
          <w:p w14:paraId="6956E278" w14:textId="77777777" w:rsidR="008137F8" w:rsidRPr="001E17A1" w:rsidRDefault="00000000">
            <w:pPr>
              <w:jc w:val="center"/>
              <w:rPr>
                <w:color w:val="000000" w:themeColor="text1"/>
              </w:rPr>
            </w:pPr>
            <w:r w:rsidRPr="001E17A1">
              <w:rPr>
                <w:rFonts w:hint="eastAsia"/>
                <w:color w:val="000000" w:themeColor="text1"/>
              </w:rPr>
              <w:t>10</w:t>
            </w:r>
          </w:p>
        </w:tc>
        <w:tc>
          <w:tcPr>
            <w:tcW w:w="1419" w:type="dxa"/>
            <w:vAlign w:val="center"/>
          </w:tcPr>
          <w:p w14:paraId="453AFECB" w14:textId="77777777" w:rsidR="008137F8" w:rsidRPr="001E17A1" w:rsidRDefault="00000000">
            <w:pPr>
              <w:rPr>
                <w:color w:val="000000" w:themeColor="text1"/>
              </w:rPr>
            </w:pPr>
            <w:r w:rsidRPr="001E17A1">
              <w:rPr>
                <w:rFonts w:hint="eastAsia"/>
                <w:color w:val="000000" w:themeColor="text1"/>
              </w:rPr>
              <w:t>数据分类分级检查</w:t>
            </w:r>
          </w:p>
        </w:tc>
        <w:tc>
          <w:tcPr>
            <w:tcW w:w="1651" w:type="dxa"/>
            <w:vAlign w:val="center"/>
          </w:tcPr>
          <w:p w14:paraId="034D8C7D" w14:textId="77777777" w:rsidR="008137F8" w:rsidRPr="001E17A1" w:rsidRDefault="00000000">
            <w:pPr>
              <w:jc w:val="center"/>
              <w:rPr>
                <w:color w:val="000000" w:themeColor="text1"/>
              </w:rPr>
            </w:pPr>
            <w:r w:rsidRPr="001E17A1">
              <w:rPr>
                <w:rFonts w:hint="eastAsia"/>
                <w:color w:val="000000" w:themeColor="text1"/>
              </w:rPr>
              <w:t>1500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张表</w:t>
            </w:r>
          </w:p>
        </w:tc>
        <w:tc>
          <w:tcPr>
            <w:tcW w:w="5367" w:type="dxa"/>
            <w:vAlign w:val="center"/>
          </w:tcPr>
          <w:p w14:paraId="5113499D" w14:textId="77777777" w:rsidR="008137F8" w:rsidRPr="001E17A1" w:rsidRDefault="00000000">
            <w:pPr>
              <w:rPr>
                <w:color w:val="000000" w:themeColor="text1"/>
              </w:rPr>
            </w:pPr>
            <w:r w:rsidRPr="001E17A1">
              <w:rPr>
                <w:rFonts w:hint="eastAsia"/>
                <w:color w:val="000000" w:themeColor="text1"/>
              </w:rPr>
              <w:t>工作范围内，按数据分级分类的检查数据表数计量。</w:t>
            </w:r>
          </w:p>
        </w:tc>
        <w:tc>
          <w:tcPr>
            <w:tcW w:w="4174" w:type="dxa"/>
            <w:vAlign w:val="center"/>
          </w:tcPr>
          <w:p w14:paraId="6BFBDA56" w14:textId="77777777" w:rsidR="008137F8" w:rsidRPr="001E17A1" w:rsidRDefault="008137F8">
            <w:pPr>
              <w:rPr>
                <w:color w:val="000000" w:themeColor="text1"/>
              </w:rPr>
            </w:pPr>
          </w:p>
        </w:tc>
      </w:tr>
      <w:tr w:rsidR="008137F8" w:rsidRPr="001E17A1" w14:paraId="4696892F" w14:textId="77777777">
        <w:trPr>
          <w:cantSplit/>
        </w:trPr>
        <w:tc>
          <w:tcPr>
            <w:tcW w:w="657" w:type="dxa"/>
            <w:vMerge/>
            <w:vAlign w:val="center"/>
          </w:tcPr>
          <w:p w14:paraId="26892EF6" w14:textId="77777777" w:rsidR="008137F8" w:rsidRPr="001E17A1" w:rsidRDefault="008137F8">
            <w:pPr>
              <w:rPr>
                <w:color w:val="000000" w:themeColor="text1"/>
              </w:rPr>
            </w:pPr>
          </w:p>
        </w:tc>
        <w:tc>
          <w:tcPr>
            <w:tcW w:w="807" w:type="dxa"/>
            <w:vAlign w:val="center"/>
          </w:tcPr>
          <w:p w14:paraId="77DB560D" w14:textId="77777777" w:rsidR="008137F8" w:rsidRPr="001E17A1" w:rsidRDefault="00000000">
            <w:pPr>
              <w:jc w:val="center"/>
              <w:rPr>
                <w:color w:val="000000" w:themeColor="text1"/>
              </w:rPr>
            </w:pPr>
            <w:r w:rsidRPr="001E17A1">
              <w:rPr>
                <w:rFonts w:hint="eastAsia"/>
                <w:color w:val="000000" w:themeColor="text1"/>
              </w:rPr>
              <w:t>11</w:t>
            </w:r>
          </w:p>
        </w:tc>
        <w:tc>
          <w:tcPr>
            <w:tcW w:w="1419" w:type="dxa"/>
            <w:vAlign w:val="center"/>
          </w:tcPr>
          <w:p w14:paraId="348123E3" w14:textId="77777777" w:rsidR="008137F8" w:rsidRPr="001E17A1" w:rsidRDefault="00000000">
            <w:pPr>
              <w:rPr>
                <w:color w:val="000000" w:themeColor="text1"/>
              </w:rPr>
            </w:pPr>
            <w:r w:rsidRPr="001E17A1">
              <w:rPr>
                <w:rFonts w:hint="eastAsia"/>
                <w:color w:val="000000" w:themeColor="text1"/>
              </w:rPr>
              <w:t>数据加密、脱敏等控制</w:t>
            </w:r>
          </w:p>
        </w:tc>
        <w:tc>
          <w:tcPr>
            <w:tcW w:w="1651" w:type="dxa"/>
            <w:vAlign w:val="center"/>
          </w:tcPr>
          <w:p w14:paraId="594A9C59" w14:textId="77777777" w:rsidR="008137F8" w:rsidRPr="001E17A1" w:rsidRDefault="00000000">
            <w:pPr>
              <w:jc w:val="center"/>
              <w:rPr>
                <w:color w:val="000000" w:themeColor="text1"/>
              </w:rPr>
            </w:pPr>
            <w:r w:rsidRPr="001E17A1">
              <w:rPr>
                <w:rFonts w:hint="eastAsia"/>
                <w:color w:val="000000" w:themeColor="text1"/>
              </w:rPr>
              <w:t>5</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万条</w:t>
            </w:r>
          </w:p>
        </w:tc>
        <w:tc>
          <w:tcPr>
            <w:tcW w:w="5367" w:type="dxa"/>
            <w:vAlign w:val="center"/>
          </w:tcPr>
          <w:p w14:paraId="1E5CD6DB" w14:textId="77777777" w:rsidR="008137F8" w:rsidRPr="001E17A1" w:rsidRDefault="00000000">
            <w:pPr>
              <w:rPr>
                <w:color w:val="000000" w:themeColor="text1"/>
              </w:rPr>
            </w:pPr>
            <w:r w:rsidRPr="001E17A1">
              <w:rPr>
                <w:rFonts w:hint="eastAsia"/>
                <w:color w:val="000000" w:themeColor="text1"/>
              </w:rPr>
              <w:t>工作范围内，按数据加密、脱敏等控制数据条数计量。</w:t>
            </w:r>
          </w:p>
        </w:tc>
        <w:tc>
          <w:tcPr>
            <w:tcW w:w="4174" w:type="dxa"/>
            <w:vAlign w:val="center"/>
          </w:tcPr>
          <w:p w14:paraId="6AAB3ED6" w14:textId="77777777" w:rsidR="008137F8" w:rsidRPr="001E17A1" w:rsidRDefault="008137F8">
            <w:pPr>
              <w:rPr>
                <w:color w:val="000000" w:themeColor="text1"/>
              </w:rPr>
            </w:pPr>
          </w:p>
        </w:tc>
      </w:tr>
      <w:tr w:rsidR="008137F8" w:rsidRPr="001E17A1" w14:paraId="151E4069" w14:textId="77777777">
        <w:trPr>
          <w:cantSplit/>
        </w:trPr>
        <w:tc>
          <w:tcPr>
            <w:tcW w:w="657" w:type="dxa"/>
            <w:vMerge/>
            <w:vAlign w:val="center"/>
          </w:tcPr>
          <w:p w14:paraId="1819AA11" w14:textId="77777777" w:rsidR="008137F8" w:rsidRPr="001E17A1" w:rsidRDefault="008137F8">
            <w:pPr>
              <w:rPr>
                <w:color w:val="000000" w:themeColor="text1"/>
              </w:rPr>
            </w:pPr>
          </w:p>
        </w:tc>
        <w:tc>
          <w:tcPr>
            <w:tcW w:w="807" w:type="dxa"/>
            <w:vAlign w:val="center"/>
          </w:tcPr>
          <w:p w14:paraId="2B9E076C" w14:textId="77777777" w:rsidR="008137F8" w:rsidRPr="001E17A1" w:rsidRDefault="00000000">
            <w:pPr>
              <w:jc w:val="center"/>
              <w:rPr>
                <w:color w:val="000000" w:themeColor="text1"/>
              </w:rPr>
            </w:pPr>
            <w:r w:rsidRPr="001E17A1">
              <w:rPr>
                <w:rFonts w:hint="eastAsia"/>
                <w:color w:val="000000" w:themeColor="text1"/>
              </w:rPr>
              <w:t>12</w:t>
            </w:r>
          </w:p>
        </w:tc>
        <w:tc>
          <w:tcPr>
            <w:tcW w:w="1419" w:type="dxa"/>
            <w:vAlign w:val="center"/>
          </w:tcPr>
          <w:p w14:paraId="688F8B61" w14:textId="77777777" w:rsidR="008137F8" w:rsidRPr="001E17A1" w:rsidRDefault="00000000">
            <w:pPr>
              <w:rPr>
                <w:color w:val="000000" w:themeColor="text1"/>
              </w:rPr>
            </w:pPr>
            <w:r w:rsidRPr="001E17A1">
              <w:rPr>
                <w:rFonts w:hint="eastAsia"/>
                <w:color w:val="000000" w:themeColor="text1"/>
              </w:rPr>
              <w:t>应用安全监测分析及威胁情报服务</w:t>
            </w:r>
          </w:p>
        </w:tc>
        <w:tc>
          <w:tcPr>
            <w:tcW w:w="1651" w:type="dxa"/>
            <w:vAlign w:val="center"/>
          </w:tcPr>
          <w:p w14:paraId="65E2FD93" w14:textId="77777777" w:rsidR="008137F8" w:rsidRPr="001E17A1" w:rsidRDefault="00000000">
            <w:pPr>
              <w:jc w:val="center"/>
              <w:rPr>
                <w:color w:val="000000" w:themeColor="text1"/>
              </w:rPr>
            </w:pPr>
            <w:r w:rsidRPr="001E17A1">
              <w:rPr>
                <w:rFonts w:hint="eastAsia"/>
                <w:color w:val="000000" w:themeColor="text1"/>
              </w:rPr>
              <w:t>280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台</w:t>
            </w:r>
            <w:r w:rsidRPr="001E17A1">
              <w:rPr>
                <w:rFonts w:hint="eastAsia"/>
                <w:color w:val="000000" w:themeColor="text1"/>
              </w:rPr>
              <w:t>*</w:t>
            </w:r>
            <w:r w:rsidRPr="001E17A1">
              <w:rPr>
                <w:rFonts w:hint="eastAsia"/>
                <w:color w:val="000000" w:themeColor="text1"/>
              </w:rPr>
              <w:t>年</w:t>
            </w:r>
          </w:p>
        </w:tc>
        <w:tc>
          <w:tcPr>
            <w:tcW w:w="5367" w:type="dxa"/>
            <w:vAlign w:val="center"/>
          </w:tcPr>
          <w:p w14:paraId="5026DB79" w14:textId="77777777" w:rsidR="008137F8" w:rsidRPr="001E17A1" w:rsidRDefault="00000000">
            <w:pPr>
              <w:rPr>
                <w:color w:val="000000" w:themeColor="text1"/>
              </w:rPr>
            </w:pPr>
            <w:r w:rsidRPr="001E17A1">
              <w:rPr>
                <w:rFonts w:hint="eastAsia"/>
                <w:color w:val="000000" w:themeColor="text1"/>
              </w:rPr>
              <w:t>工作范围内，按运营项目合同年内开展应用监测分析及威胁情报服务的台数计量。</w:t>
            </w:r>
          </w:p>
        </w:tc>
        <w:tc>
          <w:tcPr>
            <w:tcW w:w="4174" w:type="dxa"/>
            <w:vAlign w:val="center"/>
          </w:tcPr>
          <w:p w14:paraId="7DBEA072" w14:textId="77777777" w:rsidR="008137F8" w:rsidRPr="001E17A1" w:rsidRDefault="008137F8">
            <w:pPr>
              <w:rPr>
                <w:color w:val="000000" w:themeColor="text1"/>
              </w:rPr>
            </w:pPr>
          </w:p>
        </w:tc>
      </w:tr>
      <w:tr w:rsidR="008137F8" w:rsidRPr="001E17A1" w14:paraId="38DC5A73" w14:textId="77777777">
        <w:trPr>
          <w:cantSplit/>
        </w:trPr>
        <w:tc>
          <w:tcPr>
            <w:tcW w:w="657" w:type="dxa"/>
            <w:vMerge/>
            <w:vAlign w:val="center"/>
          </w:tcPr>
          <w:p w14:paraId="4499AD86" w14:textId="77777777" w:rsidR="008137F8" w:rsidRPr="001E17A1" w:rsidRDefault="008137F8">
            <w:pPr>
              <w:rPr>
                <w:color w:val="000000" w:themeColor="text1"/>
              </w:rPr>
            </w:pPr>
          </w:p>
        </w:tc>
        <w:tc>
          <w:tcPr>
            <w:tcW w:w="807" w:type="dxa"/>
            <w:vAlign w:val="center"/>
          </w:tcPr>
          <w:p w14:paraId="56A2BC0E" w14:textId="77777777" w:rsidR="008137F8" w:rsidRPr="001E17A1" w:rsidRDefault="00000000">
            <w:pPr>
              <w:jc w:val="center"/>
              <w:rPr>
                <w:color w:val="000000" w:themeColor="text1"/>
              </w:rPr>
            </w:pPr>
            <w:r w:rsidRPr="001E17A1">
              <w:rPr>
                <w:rFonts w:hint="eastAsia"/>
                <w:color w:val="000000" w:themeColor="text1"/>
              </w:rPr>
              <w:t>13</w:t>
            </w:r>
          </w:p>
        </w:tc>
        <w:tc>
          <w:tcPr>
            <w:tcW w:w="1419" w:type="dxa"/>
            <w:vAlign w:val="center"/>
          </w:tcPr>
          <w:p w14:paraId="3C153EC7" w14:textId="77777777" w:rsidR="008137F8" w:rsidRPr="001E17A1" w:rsidRDefault="00000000">
            <w:pPr>
              <w:rPr>
                <w:color w:val="000000" w:themeColor="text1"/>
              </w:rPr>
            </w:pPr>
            <w:r w:rsidRPr="001E17A1">
              <w:rPr>
                <w:rFonts w:hint="eastAsia"/>
                <w:color w:val="000000" w:themeColor="text1"/>
              </w:rPr>
              <w:t>应用安全检査评估服务</w:t>
            </w:r>
          </w:p>
        </w:tc>
        <w:tc>
          <w:tcPr>
            <w:tcW w:w="1651" w:type="dxa"/>
            <w:vAlign w:val="center"/>
          </w:tcPr>
          <w:p w14:paraId="16161C08" w14:textId="77777777" w:rsidR="008137F8" w:rsidRPr="001E17A1" w:rsidRDefault="00000000">
            <w:pPr>
              <w:jc w:val="center"/>
              <w:rPr>
                <w:color w:val="000000" w:themeColor="text1"/>
              </w:rPr>
            </w:pPr>
            <w:r w:rsidRPr="001E17A1">
              <w:rPr>
                <w:rFonts w:hint="eastAsia"/>
                <w:color w:val="000000" w:themeColor="text1"/>
              </w:rPr>
              <w:t>165</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台</w:t>
            </w:r>
            <w:r w:rsidRPr="001E17A1">
              <w:rPr>
                <w:rFonts w:hint="eastAsia"/>
                <w:color w:val="000000" w:themeColor="text1"/>
              </w:rPr>
              <w:t>*</w:t>
            </w:r>
            <w:r w:rsidRPr="001E17A1">
              <w:rPr>
                <w:rFonts w:hint="eastAsia"/>
                <w:color w:val="000000" w:themeColor="text1"/>
              </w:rPr>
              <w:t>次</w:t>
            </w:r>
          </w:p>
        </w:tc>
        <w:tc>
          <w:tcPr>
            <w:tcW w:w="5367" w:type="dxa"/>
            <w:vAlign w:val="center"/>
          </w:tcPr>
          <w:p w14:paraId="693E1A2C" w14:textId="77777777" w:rsidR="008137F8" w:rsidRPr="001E17A1" w:rsidRDefault="00000000">
            <w:pPr>
              <w:rPr>
                <w:color w:val="000000" w:themeColor="text1"/>
              </w:rPr>
            </w:pPr>
            <w:r w:rsidRPr="001E17A1">
              <w:rPr>
                <w:rFonts w:hint="eastAsia"/>
                <w:color w:val="000000" w:themeColor="text1"/>
              </w:rPr>
              <w:t>工作范围内，按运营项目合同年内开展检查评估的台数和次数计量。</w:t>
            </w:r>
          </w:p>
        </w:tc>
        <w:tc>
          <w:tcPr>
            <w:tcW w:w="4174" w:type="dxa"/>
            <w:vAlign w:val="center"/>
          </w:tcPr>
          <w:p w14:paraId="0E7EFDD4" w14:textId="77777777" w:rsidR="008137F8" w:rsidRPr="001E17A1" w:rsidRDefault="008137F8">
            <w:pPr>
              <w:rPr>
                <w:color w:val="000000" w:themeColor="text1"/>
              </w:rPr>
            </w:pPr>
          </w:p>
        </w:tc>
      </w:tr>
      <w:tr w:rsidR="008137F8" w:rsidRPr="001E17A1" w14:paraId="69F96756" w14:textId="77777777">
        <w:trPr>
          <w:cantSplit/>
        </w:trPr>
        <w:tc>
          <w:tcPr>
            <w:tcW w:w="657" w:type="dxa"/>
            <w:vMerge/>
            <w:vAlign w:val="center"/>
          </w:tcPr>
          <w:p w14:paraId="7886BC99" w14:textId="77777777" w:rsidR="008137F8" w:rsidRPr="001E17A1" w:rsidRDefault="008137F8">
            <w:pPr>
              <w:rPr>
                <w:color w:val="000000" w:themeColor="text1"/>
              </w:rPr>
            </w:pPr>
          </w:p>
        </w:tc>
        <w:tc>
          <w:tcPr>
            <w:tcW w:w="807" w:type="dxa"/>
            <w:vAlign w:val="center"/>
          </w:tcPr>
          <w:p w14:paraId="63FE3D14" w14:textId="77777777" w:rsidR="008137F8" w:rsidRPr="001E17A1" w:rsidRDefault="00000000">
            <w:pPr>
              <w:jc w:val="center"/>
              <w:rPr>
                <w:color w:val="000000" w:themeColor="text1"/>
              </w:rPr>
            </w:pPr>
            <w:r w:rsidRPr="001E17A1">
              <w:rPr>
                <w:rFonts w:hint="eastAsia"/>
                <w:color w:val="000000" w:themeColor="text1"/>
              </w:rPr>
              <w:t>14</w:t>
            </w:r>
          </w:p>
        </w:tc>
        <w:tc>
          <w:tcPr>
            <w:tcW w:w="1419" w:type="dxa"/>
            <w:vAlign w:val="center"/>
          </w:tcPr>
          <w:p w14:paraId="2B7A2014" w14:textId="77777777" w:rsidR="008137F8" w:rsidRPr="001E17A1" w:rsidRDefault="00000000">
            <w:pPr>
              <w:rPr>
                <w:color w:val="000000" w:themeColor="text1"/>
              </w:rPr>
            </w:pPr>
            <w:r w:rsidRPr="001E17A1">
              <w:rPr>
                <w:rFonts w:hint="eastAsia"/>
                <w:color w:val="000000" w:themeColor="text1"/>
              </w:rPr>
              <w:t>应用安全基础管理服务</w:t>
            </w:r>
          </w:p>
        </w:tc>
        <w:tc>
          <w:tcPr>
            <w:tcW w:w="1651" w:type="dxa"/>
            <w:vAlign w:val="center"/>
          </w:tcPr>
          <w:p w14:paraId="072D63C1" w14:textId="77777777" w:rsidR="008137F8" w:rsidRPr="001E17A1" w:rsidRDefault="00000000">
            <w:pPr>
              <w:jc w:val="center"/>
              <w:rPr>
                <w:color w:val="000000" w:themeColor="text1"/>
              </w:rPr>
            </w:pPr>
            <w:r w:rsidRPr="001E17A1">
              <w:rPr>
                <w:rFonts w:hint="eastAsia"/>
                <w:color w:val="000000" w:themeColor="text1"/>
              </w:rPr>
              <w:t>120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台</w:t>
            </w:r>
            <w:r w:rsidRPr="001E17A1">
              <w:rPr>
                <w:rFonts w:hint="eastAsia"/>
                <w:color w:val="000000" w:themeColor="text1"/>
              </w:rPr>
              <w:t>*</w:t>
            </w:r>
            <w:r w:rsidRPr="001E17A1">
              <w:rPr>
                <w:rFonts w:hint="eastAsia"/>
                <w:color w:val="000000" w:themeColor="text1"/>
              </w:rPr>
              <w:t>年</w:t>
            </w:r>
          </w:p>
        </w:tc>
        <w:tc>
          <w:tcPr>
            <w:tcW w:w="5367" w:type="dxa"/>
            <w:vAlign w:val="center"/>
          </w:tcPr>
          <w:p w14:paraId="73589756" w14:textId="77777777" w:rsidR="008137F8" w:rsidRPr="001E17A1" w:rsidRDefault="00000000">
            <w:pPr>
              <w:rPr>
                <w:color w:val="000000" w:themeColor="text1"/>
              </w:rPr>
            </w:pPr>
            <w:r w:rsidRPr="001E17A1">
              <w:rPr>
                <w:rFonts w:hint="eastAsia"/>
                <w:color w:val="000000" w:themeColor="text1"/>
              </w:rPr>
              <w:t>工作范围内，对于应用设备的管理的台数计量。</w:t>
            </w:r>
          </w:p>
        </w:tc>
        <w:tc>
          <w:tcPr>
            <w:tcW w:w="4174" w:type="dxa"/>
            <w:vAlign w:val="center"/>
          </w:tcPr>
          <w:p w14:paraId="28B2AF3C" w14:textId="77777777" w:rsidR="008137F8" w:rsidRPr="001E17A1" w:rsidRDefault="008137F8">
            <w:pPr>
              <w:rPr>
                <w:color w:val="000000" w:themeColor="text1"/>
              </w:rPr>
            </w:pPr>
          </w:p>
        </w:tc>
      </w:tr>
      <w:tr w:rsidR="008137F8" w:rsidRPr="001E17A1" w14:paraId="091C812A" w14:textId="77777777">
        <w:trPr>
          <w:cantSplit/>
        </w:trPr>
        <w:tc>
          <w:tcPr>
            <w:tcW w:w="657" w:type="dxa"/>
            <w:vMerge/>
            <w:vAlign w:val="center"/>
          </w:tcPr>
          <w:p w14:paraId="1FFE4694" w14:textId="77777777" w:rsidR="008137F8" w:rsidRPr="001E17A1" w:rsidRDefault="008137F8">
            <w:pPr>
              <w:rPr>
                <w:color w:val="000000" w:themeColor="text1"/>
              </w:rPr>
            </w:pPr>
          </w:p>
        </w:tc>
        <w:tc>
          <w:tcPr>
            <w:tcW w:w="807" w:type="dxa"/>
            <w:vAlign w:val="center"/>
          </w:tcPr>
          <w:p w14:paraId="78E66AA9" w14:textId="77777777" w:rsidR="008137F8" w:rsidRPr="001E17A1" w:rsidRDefault="00000000">
            <w:pPr>
              <w:jc w:val="center"/>
              <w:rPr>
                <w:color w:val="000000" w:themeColor="text1"/>
              </w:rPr>
            </w:pPr>
            <w:r w:rsidRPr="001E17A1">
              <w:rPr>
                <w:rFonts w:hint="eastAsia"/>
                <w:color w:val="000000" w:themeColor="text1"/>
              </w:rPr>
              <w:t>15</w:t>
            </w:r>
          </w:p>
        </w:tc>
        <w:tc>
          <w:tcPr>
            <w:tcW w:w="1419" w:type="dxa"/>
            <w:vAlign w:val="center"/>
          </w:tcPr>
          <w:p w14:paraId="3A96DFDD" w14:textId="77777777" w:rsidR="008137F8" w:rsidRPr="001E17A1" w:rsidRDefault="00000000">
            <w:pPr>
              <w:rPr>
                <w:color w:val="000000" w:themeColor="text1"/>
              </w:rPr>
            </w:pPr>
            <w:r w:rsidRPr="001E17A1">
              <w:rPr>
                <w:rFonts w:hint="eastAsia"/>
                <w:color w:val="000000" w:themeColor="text1"/>
              </w:rPr>
              <w:t>作业调度</w:t>
            </w:r>
          </w:p>
        </w:tc>
        <w:tc>
          <w:tcPr>
            <w:tcW w:w="1651" w:type="dxa"/>
            <w:vAlign w:val="center"/>
          </w:tcPr>
          <w:p w14:paraId="4916EE89" w14:textId="77777777" w:rsidR="008137F8" w:rsidRPr="001E17A1" w:rsidRDefault="00000000">
            <w:pPr>
              <w:jc w:val="center"/>
              <w:rPr>
                <w:color w:val="000000" w:themeColor="text1"/>
              </w:rPr>
            </w:pPr>
            <w:r w:rsidRPr="001E17A1">
              <w:rPr>
                <w:rFonts w:hint="eastAsia"/>
                <w:color w:val="000000" w:themeColor="text1"/>
              </w:rPr>
              <w:t>45</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w:t>
            </w:r>
          </w:p>
        </w:tc>
        <w:tc>
          <w:tcPr>
            <w:tcW w:w="5367" w:type="dxa"/>
            <w:vAlign w:val="center"/>
          </w:tcPr>
          <w:p w14:paraId="0FC9E207" w14:textId="77777777" w:rsidR="008137F8" w:rsidRPr="001E17A1" w:rsidRDefault="00000000">
            <w:pPr>
              <w:rPr>
                <w:color w:val="000000" w:themeColor="text1"/>
              </w:rPr>
            </w:pPr>
            <w:r w:rsidRPr="001E17A1">
              <w:rPr>
                <w:rFonts w:hint="eastAsia"/>
                <w:color w:val="000000" w:themeColor="text1"/>
              </w:rPr>
              <w:t>工作范围内，按照新增作业调度的任务个数计量。</w:t>
            </w:r>
          </w:p>
        </w:tc>
        <w:tc>
          <w:tcPr>
            <w:tcW w:w="4174" w:type="dxa"/>
            <w:vAlign w:val="center"/>
          </w:tcPr>
          <w:p w14:paraId="4EF0DB5E" w14:textId="77777777" w:rsidR="008137F8" w:rsidRPr="001E17A1" w:rsidRDefault="008137F8">
            <w:pPr>
              <w:rPr>
                <w:color w:val="000000" w:themeColor="text1"/>
              </w:rPr>
            </w:pPr>
          </w:p>
        </w:tc>
      </w:tr>
      <w:tr w:rsidR="008137F8" w:rsidRPr="001E17A1" w14:paraId="68BD41ED" w14:textId="77777777">
        <w:trPr>
          <w:cantSplit/>
        </w:trPr>
        <w:tc>
          <w:tcPr>
            <w:tcW w:w="657" w:type="dxa"/>
            <w:vMerge w:val="restart"/>
            <w:vAlign w:val="center"/>
          </w:tcPr>
          <w:p w14:paraId="2593DDD5" w14:textId="77777777" w:rsidR="008137F8" w:rsidRPr="001E17A1" w:rsidRDefault="00000000">
            <w:pPr>
              <w:rPr>
                <w:color w:val="000000" w:themeColor="text1"/>
              </w:rPr>
            </w:pPr>
            <w:r w:rsidRPr="001E17A1">
              <w:rPr>
                <w:rFonts w:hint="eastAsia"/>
                <w:color w:val="000000" w:themeColor="text1"/>
              </w:rPr>
              <w:t>应用服务类</w:t>
            </w:r>
          </w:p>
        </w:tc>
        <w:tc>
          <w:tcPr>
            <w:tcW w:w="807" w:type="dxa"/>
            <w:vAlign w:val="center"/>
          </w:tcPr>
          <w:p w14:paraId="34B20959" w14:textId="77777777" w:rsidR="008137F8" w:rsidRPr="001E17A1" w:rsidRDefault="00000000">
            <w:pPr>
              <w:jc w:val="center"/>
              <w:rPr>
                <w:color w:val="000000" w:themeColor="text1"/>
              </w:rPr>
            </w:pPr>
            <w:r w:rsidRPr="001E17A1">
              <w:rPr>
                <w:rFonts w:hint="eastAsia"/>
                <w:color w:val="000000" w:themeColor="text1"/>
              </w:rPr>
              <w:t>16</w:t>
            </w:r>
          </w:p>
        </w:tc>
        <w:tc>
          <w:tcPr>
            <w:tcW w:w="1419" w:type="dxa"/>
            <w:vAlign w:val="center"/>
          </w:tcPr>
          <w:p w14:paraId="2D1D746C" w14:textId="77777777" w:rsidR="008137F8" w:rsidRPr="001E17A1" w:rsidRDefault="00000000">
            <w:pPr>
              <w:rPr>
                <w:color w:val="000000" w:themeColor="text1"/>
              </w:rPr>
            </w:pPr>
            <w:r w:rsidRPr="001E17A1">
              <w:rPr>
                <w:rFonts w:hint="eastAsia"/>
                <w:color w:val="000000" w:themeColor="text1"/>
              </w:rPr>
              <w:t>数据开放运营接入服务</w:t>
            </w:r>
          </w:p>
        </w:tc>
        <w:tc>
          <w:tcPr>
            <w:tcW w:w="1651" w:type="dxa"/>
            <w:vAlign w:val="center"/>
          </w:tcPr>
          <w:p w14:paraId="5E082BF3" w14:textId="77777777" w:rsidR="008137F8" w:rsidRPr="001E17A1" w:rsidRDefault="00000000">
            <w:pPr>
              <w:jc w:val="center"/>
              <w:rPr>
                <w:color w:val="000000" w:themeColor="text1"/>
              </w:rPr>
            </w:pPr>
            <w:r w:rsidRPr="001E17A1">
              <w:rPr>
                <w:rFonts w:hint="eastAsia"/>
                <w:color w:val="000000" w:themeColor="text1"/>
              </w:rPr>
              <w:t>750000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年</w:t>
            </w:r>
          </w:p>
        </w:tc>
        <w:tc>
          <w:tcPr>
            <w:tcW w:w="5367" w:type="dxa"/>
            <w:vAlign w:val="center"/>
          </w:tcPr>
          <w:p w14:paraId="7A8AE583" w14:textId="77777777" w:rsidR="008137F8" w:rsidRPr="001E17A1" w:rsidRDefault="00000000">
            <w:pPr>
              <w:rPr>
                <w:color w:val="000000" w:themeColor="text1"/>
              </w:rPr>
            </w:pPr>
            <w:r w:rsidRPr="001E17A1">
              <w:rPr>
                <w:rFonts w:hint="eastAsia"/>
                <w:color w:val="000000" w:themeColor="text1"/>
              </w:rPr>
              <w:t>工作范围内，基于数据开放和数据授权运营服务对接的各类需求对接、梳理、需求分析，相关工作整体年度计费。</w:t>
            </w:r>
          </w:p>
        </w:tc>
        <w:tc>
          <w:tcPr>
            <w:tcW w:w="4174" w:type="dxa"/>
            <w:vAlign w:val="center"/>
          </w:tcPr>
          <w:p w14:paraId="3D93C36F" w14:textId="77777777" w:rsidR="008137F8" w:rsidRPr="001E17A1" w:rsidRDefault="008137F8">
            <w:pPr>
              <w:rPr>
                <w:color w:val="000000" w:themeColor="text1"/>
              </w:rPr>
            </w:pPr>
          </w:p>
        </w:tc>
      </w:tr>
      <w:tr w:rsidR="008137F8" w:rsidRPr="001E17A1" w14:paraId="3D0C998A" w14:textId="77777777">
        <w:trPr>
          <w:cantSplit/>
        </w:trPr>
        <w:tc>
          <w:tcPr>
            <w:tcW w:w="657" w:type="dxa"/>
            <w:vMerge/>
            <w:vAlign w:val="center"/>
          </w:tcPr>
          <w:p w14:paraId="3F9721AD" w14:textId="77777777" w:rsidR="008137F8" w:rsidRPr="001E17A1" w:rsidRDefault="008137F8">
            <w:pPr>
              <w:rPr>
                <w:color w:val="000000" w:themeColor="text1"/>
              </w:rPr>
            </w:pPr>
          </w:p>
        </w:tc>
        <w:tc>
          <w:tcPr>
            <w:tcW w:w="807" w:type="dxa"/>
            <w:vAlign w:val="center"/>
          </w:tcPr>
          <w:p w14:paraId="23F3B800" w14:textId="77777777" w:rsidR="008137F8" w:rsidRPr="001E17A1" w:rsidRDefault="00000000">
            <w:pPr>
              <w:jc w:val="center"/>
              <w:rPr>
                <w:color w:val="000000" w:themeColor="text1"/>
              </w:rPr>
            </w:pPr>
            <w:r w:rsidRPr="001E17A1">
              <w:rPr>
                <w:rFonts w:hint="eastAsia"/>
                <w:color w:val="000000" w:themeColor="text1"/>
              </w:rPr>
              <w:t>17</w:t>
            </w:r>
          </w:p>
        </w:tc>
        <w:tc>
          <w:tcPr>
            <w:tcW w:w="1419" w:type="dxa"/>
            <w:vAlign w:val="center"/>
          </w:tcPr>
          <w:p w14:paraId="57E69CC8" w14:textId="77777777" w:rsidR="008137F8" w:rsidRPr="001E17A1" w:rsidRDefault="00000000">
            <w:pPr>
              <w:rPr>
                <w:color w:val="000000" w:themeColor="text1"/>
              </w:rPr>
            </w:pPr>
            <w:r w:rsidRPr="001E17A1">
              <w:rPr>
                <w:rFonts w:hint="eastAsia"/>
                <w:color w:val="000000" w:themeColor="text1"/>
              </w:rPr>
              <w:t>公共数据上链服务</w:t>
            </w:r>
          </w:p>
        </w:tc>
        <w:tc>
          <w:tcPr>
            <w:tcW w:w="1651" w:type="dxa"/>
            <w:vAlign w:val="center"/>
          </w:tcPr>
          <w:p w14:paraId="45199B1E" w14:textId="77777777" w:rsidR="008137F8" w:rsidRPr="001E17A1" w:rsidRDefault="00000000">
            <w:pPr>
              <w:jc w:val="center"/>
              <w:rPr>
                <w:color w:val="000000" w:themeColor="text1"/>
              </w:rPr>
            </w:pPr>
            <w:r w:rsidRPr="001E17A1">
              <w:rPr>
                <w:rFonts w:hint="eastAsia"/>
                <w:color w:val="000000" w:themeColor="text1"/>
              </w:rPr>
              <w:t>50000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w:t>
            </w:r>
          </w:p>
        </w:tc>
        <w:tc>
          <w:tcPr>
            <w:tcW w:w="5367" w:type="dxa"/>
            <w:vAlign w:val="center"/>
          </w:tcPr>
          <w:p w14:paraId="0260AE69" w14:textId="77777777" w:rsidR="008137F8" w:rsidRPr="001E17A1" w:rsidRDefault="00000000">
            <w:pPr>
              <w:rPr>
                <w:color w:val="000000" w:themeColor="text1"/>
              </w:rPr>
            </w:pPr>
            <w:r w:rsidRPr="001E17A1">
              <w:rPr>
                <w:rFonts w:hint="eastAsia"/>
                <w:color w:val="000000" w:themeColor="text1"/>
              </w:rPr>
              <w:t>工作范围内，按照公共数据上链服务单位的个数计量。</w:t>
            </w:r>
            <w:r w:rsidRPr="001E17A1">
              <w:rPr>
                <w:rFonts w:hint="eastAsia"/>
                <w:color w:val="000000" w:themeColor="text1"/>
              </w:rPr>
              <w:br/>
            </w:r>
            <w:r w:rsidRPr="001E17A1">
              <w:rPr>
                <w:rFonts w:hint="eastAsia"/>
                <w:color w:val="000000" w:themeColor="text1"/>
              </w:rPr>
              <w:t>使用该目录时，不可使用数据质量检查、数据质量规则设计及异常处置服务目录。</w:t>
            </w:r>
          </w:p>
        </w:tc>
        <w:tc>
          <w:tcPr>
            <w:tcW w:w="4174" w:type="dxa"/>
            <w:vAlign w:val="center"/>
          </w:tcPr>
          <w:p w14:paraId="520FA3D2" w14:textId="77777777" w:rsidR="008137F8" w:rsidRPr="001E17A1" w:rsidRDefault="00000000">
            <w:pPr>
              <w:rPr>
                <w:color w:val="000000" w:themeColor="text1"/>
              </w:rPr>
            </w:pPr>
            <w:r w:rsidRPr="001E17A1">
              <w:rPr>
                <w:rFonts w:hint="eastAsia"/>
                <w:color w:val="000000" w:themeColor="text1"/>
              </w:rPr>
              <w:t>根据上链单位的工作规模大小，设置难度系数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N=0.5-1</w:t>
            </w:r>
            <w:r w:rsidRPr="001E17A1">
              <w:rPr>
                <w:rFonts w:hint="eastAsia"/>
                <w:color w:val="000000" w:themeColor="text1"/>
              </w:rPr>
              <w:t>）。</w:t>
            </w:r>
          </w:p>
        </w:tc>
      </w:tr>
      <w:tr w:rsidR="008137F8" w:rsidRPr="001E17A1" w14:paraId="525D4374" w14:textId="77777777">
        <w:trPr>
          <w:cantSplit/>
        </w:trPr>
        <w:tc>
          <w:tcPr>
            <w:tcW w:w="657" w:type="dxa"/>
            <w:vMerge/>
            <w:vAlign w:val="center"/>
          </w:tcPr>
          <w:p w14:paraId="276B2358" w14:textId="77777777" w:rsidR="008137F8" w:rsidRPr="001E17A1" w:rsidRDefault="008137F8">
            <w:pPr>
              <w:rPr>
                <w:color w:val="000000" w:themeColor="text1"/>
              </w:rPr>
            </w:pPr>
          </w:p>
        </w:tc>
        <w:tc>
          <w:tcPr>
            <w:tcW w:w="807" w:type="dxa"/>
            <w:vAlign w:val="center"/>
          </w:tcPr>
          <w:p w14:paraId="5437A323" w14:textId="77777777" w:rsidR="008137F8" w:rsidRPr="001E17A1" w:rsidRDefault="00000000">
            <w:pPr>
              <w:jc w:val="center"/>
              <w:rPr>
                <w:color w:val="000000" w:themeColor="text1"/>
              </w:rPr>
            </w:pPr>
            <w:r w:rsidRPr="001E17A1">
              <w:rPr>
                <w:rFonts w:hint="eastAsia"/>
                <w:color w:val="000000" w:themeColor="text1"/>
              </w:rPr>
              <w:t>18</w:t>
            </w:r>
          </w:p>
        </w:tc>
        <w:tc>
          <w:tcPr>
            <w:tcW w:w="1419" w:type="dxa"/>
            <w:vAlign w:val="center"/>
          </w:tcPr>
          <w:p w14:paraId="757A4A15" w14:textId="77777777" w:rsidR="008137F8" w:rsidRPr="001E17A1" w:rsidRDefault="00000000">
            <w:pPr>
              <w:rPr>
                <w:color w:val="000000" w:themeColor="text1"/>
              </w:rPr>
            </w:pPr>
            <w:r w:rsidRPr="001E17A1">
              <w:rPr>
                <w:rFonts w:hint="eastAsia"/>
                <w:color w:val="000000" w:themeColor="text1"/>
              </w:rPr>
              <w:t>主（专）题数据库建设</w:t>
            </w:r>
          </w:p>
        </w:tc>
        <w:tc>
          <w:tcPr>
            <w:tcW w:w="1651" w:type="dxa"/>
            <w:vAlign w:val="center"/>
          </w:tcPr>
          <w:p w14:paraId="6F78F5B2" w14:textId="77777777" w:rsidR="008137F8" w:rsidRPr="001E17A1" w:rsidRDefault="00000000">
            <w:pPr>
              <w:jc w:val="center"/>
              <w:rPr>
                <w:color w:val="000000" w:themeColor="text1"/>
              </w:rPr>
            </w:pPr>
            <w:r w:rsidRPr="001E17A1">
              <w:rPr>
                <w:rFonts w:hint="eastAsia"/>
                <w:color w:val="000000" w:themeColor="text1"/>
              </w:rPr>
              <w:t>250000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w:t>
            </w:r>
          </w:p>
        </w:tc>
        <w:tc>
          <w:tcPr>
            <w:tcW w:w="5367" w:type="dxa"/>
            <w:vAlign w:val="center"/>
          </w:tcPr>
          <w:p w14:paraId="0E76A76D" w14:textId="77777777" w:rsidR="008137F8" w:rsidRPr="001E17A1" w:rsidRDefault="00000000">
            <w:pPr>
              <w:rPr>
                <w:color w:val="000000" w:themeColor="text1"/>
              </w:rPr>
            </w:pPr>
            <w:r w:rsidRPr="001E17A1">
              <w:rPr>
                <w:rFonts w:hint="eastAsia"/>
                <w:color w:val="000000" w:themeColor="text1"/>
              </w:rPr>
              <w:t>工作范围内，按建设主（专）题库的个数计量。按工作内容，设置难度系数</w:t>
            </w:r>
            <w:r w:rsidRPr="001E17A1">
              <w:rPr>
                <w:rFonts w:hint="eastAsia"/>
                <w:color w:val="000000" w:themeColor="text1"/>
              </w:rPr>
              <w:t>N</w:t>
            </w:r>
            <w:r w:rsidRPr="001E17A1">
              <w:rPr>
                <w:rFonts w:hint="eastAsia"/>
                <w:color w:val="000000" w:themeColor="text1"/>
              </w:rPr>
              <w:t>。使用该目录时，不可使用数据采集接入、数据抽取服务、数据标签、时空数据转换与处理、数据质量检查、数据质量规则设计及异常处置服务目录、数据共享</w:t>
            </w:r>
            <w:r w:rsidRPr="001E17A1">
              <w:rPr>
                <w:rFonts w:hint="eastAsia"/>
                <w:color w:val="000000" w:themeColor="text1"/>
              </w:rPr>
              <w:t>/</w:t>
            </w:r>
            <w:r w:rsidRPr="001E17A1">
              <w:rPr>
                <w:rFonts w:hint="eastAsia"/>
                <w:color w:val="000000" w:themeColor="text1"/>
              </w:rPr>
              <w:t>开放</w:t>
            </w:r>
            <w:r w:rsidRPr="001E17A1">
              <w:rPr>
                <w:rFonts w:hint="eastAsia"/>
                <w:color w:val="000000" w:themeColor="text1"/>
              </w:rPr>
              <w:t>/</w:t>
            </w:r>
            <w:r w:rsidRPr="001E17A1">
              <w:rPr>
                <w:rFonts w:hint="eastAsia"/>
                <w:color w:val="000000" w:themeColor="text1"/>
              </w:rPr>
              <w:t>授权订阅服务、数据统计分析及报表服务、数据挖掘建模、对于历史数据的归档及销毁服务目录。</w:t>
            </w:r>
          </w:p>
        </w:tc>
        <w:tc>
          <w:tcPr>
            <w:tcW w:w="4174" w:type="dxa"/>
            <w:vAlign w:val="center"/>
          </w:tcPr>
          <w:p w14:paraId="7901BA84" w14:textId="77777777" w:rsidR="008137F8" w:rsidRPr="001E17A1" w:rsidRDefault="00000000">
            <w:pPr>
              <w:rPr>
                <w:color w:val="000000" w:themeColor="text1"/>
              </w:rPr>
            </w:pPr>
            <w:r w:rsidRPr="001E17A1">
              <w:rPr>
                <w:rFonts w:hint="eastAsia"/>
                <w:color w:val="000000" w:themeColor="text1"/>
              </w:rPr>
              <w:t>按照业务目标的复杂度、涉及领域的数量等因素，取难度系数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N=1</w:t>
            </w:r>
            <w:r w:rsidRPr="001E17A1">
              <w:rPr>
                <w:rFonts w:hint="eastAsia"/>
                <w:color w:val="000000" w:themeColor="text1"/>
              </w:rPr>
              <w:t>、</w:t>
            </w:r>
            <w:r w:rsidRPr="001E17A1">
              <w:rPr>
                <w:rFonts w:hint="eastAsia"/>
                <w:color w:val="000000" w:themeColor="text1"/>
              </w:rPr>
              <w:t>2</w:t>
            </w:r>
            <w:r w:rsidRPr="001E17A1">
              <w:rPr>
                <w:rFonts w:hint="eastAsia"/>
                <w:color w:val="000000" w:themeColor="text1"/>
              </w:rPr>
              <w:t>、</w:t>
            </w:r>
            <w:r w:rsidRPr="001E17A1">
              <w:rPr>
                <w:rFonts w:hint="eastAsia"/>
                <w:color w:val="000000" w:themeColor="text1"/>
              </w:rPr>
              <w:t>3)</w:t>
            </w:r>
            <w:r w:rsidRPr="001E17A1">
              <w:rPr>
                <w:rFonts w:hint="eastAsia"/>
                <w:color w:val="000000" w:themeColor="text1"/>
              </w:rPr>
              <w:t>。</w:t>
            </w:r>
          </w:p>
        </w:tc>
      </w:tr>
      <w:tr w:rsidR="008137F8" w:rsidRPr="001E17A1" w14:paraId="12298F31" w14:textId="77777777">
        <w:trPr>
          <w:cantSplit/>
        </w:trPr>
        <w:tc>
          <w:tcPr>
            <w:tcW w:w="657" w:type="dxa"/>
            <w:vMerge/>
            <w:vAlign w:val="center"/>
          </w:tcPr>
          <w:p w14:paraId="5EF18963" w14:textId="77777777" w:rsidR="008137F8" w:rsidRPr="001E17A1" w:rsidRDefault="008137F8">
            <w:pPr>
              <w:rPr>
                <w:color w:val="000000" w:themeColor="text1"/>
              </w:rPr>
            </w:pPr>
          </w:p>
        </w:tc>
        <w:tc>
          <w:tcPr>
            <w:tcW w:w="807" w:type="dxa"/>
            <w:vAlign w:val="center"/>
          </w:tcPr>
          <w:p w14:paraId="73308968" w14:textId="77777777" w:rsidR="008137F8" w:rsidRPr="001E17A1" w:rsidRDefault="00000000">
            <w:pPr>
              <w:jc w:val="center"/>
              <w:rPr>
                <w:color w:val="000000" w:themeColor="text1"/>
              </w:rPr>
            </w:pPr>
            <w:r w:rsidRPr="001E17A1">
              <w:rPr>
                <w:rFonts w:hint="eastAsia"/>
                <w:color w:val="000000" w:themeColor="text1"/>
              </w:rPr>
              <w:t>19</w:t>
            </w:r>
          </w:p>
        </w:tc>
        <w:tc>
          <w:tcPr>
            <w:tcW w:w="1419" w:type="dxa"/>
            <w:vAlign w:val="center"/>
          </w:tcPr>
          <w:p w14:paraId="281450F2" w14:textId="77777777" w:rsidR="008137F8" w:rsidRPr="001E17A1" w:rsidRDefault="00000000">
            <w:pPr>
              <w:rPr>
                <w:color w:val="000000" w:themeColor="text1"/>
              </w:rPr>
            </w:pPr>
            <w:r w:rsidRPr="001E17A1">
              <w:rPr>
                <w:rFonts w:hint="eastAsia"/>
                <w:color w:val="000000" w:themeColor="text1"/>
              </w:rPr>
              <w:t>数据可视化展现工作</w:t>
            </w:r>
          </w:p>
        </w:tc>
        <w:tc>
          <w:tcPr>
            <w:tcW w:w="1651" w:type="dxa"/>
            <w:vAlign w:val="center"/>
          </w:tcPr>
          <w:p w14:paraId="2E7218A0" w14:textId="77777777" w:rsidR="008137F8" w:rsidRPr="001E17A1" w:rsidRDefault="00000000">
            <w:pPr>
              <w:jc w:val="center"/>
              <w:rPr>
                <w:color w:val="000000" w:themeColor="text1"/>
              </w:rPr>
            </w:pPr>
            <w:r w:rsidRPr="001E17A1">
              <w:rPr>
                <w:rFonts w:hint="eastAsia"/>
                <w:color w:val="000000" w:themeColor="text1"/>
              </w:rPr>
              <w:t>92500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个主题域</w:t>
            </w:r>
          </w:p>
        </w:tc>
        <w:tc>
          <w:tcPr>
            <w:tcW w:w="5367" w:type="dxa"/>
            <w:vAlign w:val="center"/>
          </w:tcPr>
          <w:p w14:paraId="6A277B41" w14:textId="77777777" w:rsidR="008137F8" w:rsidRPr="001E17A1" w:rsidRDefault="00000000">
            <w:pPr>
              <w:rPr>
                <w:color w:val="000000" w:themeColor="text1"/>
              </w:rPr>
            </w:pPr>
            <w:r w:rsidRPr="001E17A1">
              <w:rPr>
                <w:rFonts w:hint="eastAsia"/>
                <w:color w:val="000000" w:themeColor="text1"/>
              </w:rPr>
              <w:t>工作范围内，按大屏展现的主题域个数或中屏（小屏）模块数计量。</w:t>
            </w:r>
            <w:r w:rsidRPr="001E17A1">
              <w:rPr>
                <w:rFonts w:hint="eastAsia"/>
                <w:color w:val="000000" w:themeColor="text1"/>
              </w:rPr>
              <w:br/>
            </w:r>
            <w:r w:rsidRPr="001E17A1">
              <w:rPr>
                <w:rFonts w:hint="eastAsia"/>
                <w:color w:val="000000" w:themeColor="text1"/>
              </w:rPr>
              <w:t>同时对大中小屏设置难度系数</w:t>
            </w:r>
            <w:r w:rsidRPr="001E17A1">
              <w:rPr>
                <w:rFonts w:hint="eastAsia"/>
                <w:color w:val="000000" w:themeColor="text1"/>
              </w:rPr>
              <w:t>N</w:t>
            </w:r>
            <w:r w:rsidRPr="001E17A1">
              <w:rPr>
                <w:rFonts w:hint="eastAsia"/>
                <w:color w:val="000000" w:themeColor="text1"/>
              </w:rPr>
              <w:t>。</w:t>
            </w:r>
          </w:p>
        </w:tc>
        <w:tc>
          <w:tcPr>
            <w:tcW w:w="4174" w:type="dxa"/>
            <w:vAlign w:val="center"/>
          </w:tcPr>
          <w:p w14:paraId="07B0513F" w14:textId="77777777" w:rsidR="008137F8" w:rsidRPr="001E17A1" w:rsidRDefault="00000000">
            <w:pPr>
              <w:rPr>
                <w:color w:val="000000" w:themeColor="text1"/>
              </w:rPr>
            </w:pPr>
            <w:r w:rsidRPr="001E17A1">
              <w:rPr>
                <w:rFonts w:hint="eastAsia"/>
                <w:color w:val="000000" w:themeColor="text1"/>
              </w:rPr>
              <w:t>可视化大屏服务，以主题域个数为计费单元，确定计费基数：</w:t>
            </w:r>
            <w:r w:rsidRPr="001E17A1">
              <w:rPr>
                <w:rFonts w:hint="eastAsia"/>
                <w:color w:val="000000" w:themeColor="text1"/>
              </w:rPr>
              <w:t>92500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主题域；中屏及小屏（含</w:t>
            </w:r>
            <w:r w:rsidRPr="001E17A1">
              <w:rPr>
                <w:rFonts w:hint="eastAsia"/>
                <w:color w:val="000000" w:themeColor="text1"/>
              </w:rPr>
              <w:t>H5</w:t>
            </w:r>
            <w:r w:rsidRPr="001E17A1">
              <w:rPr>
                <w:rFonts w:hint="eastAsia"/>
                <w:color w:val="000000" w:themeColor="text1"/>
              </w:rPr>
              <w:t>页面），同等情况下工作量分别按难度系数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N=0.1~0.2</w:t>
            </w:r>
            <w:r w:rsidRPr="001E17A1">
              <w:rPr>
                <w:rFonts w:hint="eastAsia"/>
                <w:color w:val="000000" w:themeColor="text1"/>
              </w:rPr>
              <w:t>）折算。</w:t>
            </w:r>
          </w:p>
        </w:tc>
      </w:tr>
      <w:tr w:rsidR="008137F8" w:rsidRPr="001E17A1" w14:paraId="3DF11636" w14:textId="77777777">
        <w:trPr>
          <w:cantSplit/>
        </w:trPr>
        <w:tc>
          <w:tcPr>
            <w:tcW w:w="657" w:type="dxa"/>
            <w:vMerge/>
            <w:vAlign w:val="center"/>
          </w:tcPr>
          <w:p w14:paraId="5F671235" w14:textId="77777777" w:rsidR="008137F8" w:rsidRPr="001E17A1" w:rsidRDefault="008137F8">
            <w:pPr>
              <w:rPr>
                <w:color w:val="000000" w:themeColor="text1"/>
              </w:rPr>
            </w:pPr>
          </w:p>
        </w:tc>
        <w:tc>
          <w:tcPr>
            <w:tcW w:w="807" w:type="dxa"/>
            <w:vAlign w:val="center"/>
          </w:tcPr>
          <w:p w14:paraId="10325911" w14:textId="77777777" w:rsidR="008137F8" w:rsidRPr="001E17A1" w:rsidRDefault="00000000">
            <w:pPr>
              <w:jc w:val="center"/>
              <w:rPr>
                <w:color w:val="000000" w:themeColor="text1"/>
              </w:rPr>
            </w:pPr>
            <w:r w:rsidRPr="001E17A1">
              <w:rPr>
                <w:rFonts w:hint="eastAsia"/>
                <w:color w:val="000000" w:themeColor="text1"/>
              </w:rPr>
              <w:t>20</w:t>
            </w:r>
          </w:p>
        </w:tc>
        <w:tc>
          <w:tcPr>
            <w:tcW w:w="1419" w:type="dxa"/>
            <w:vAlign w:val="center"/>
          </w:tcPr>
          <w:p w14:paraId="768FA489" w14:textId="77777777" w:rsidR="008137F8" w:rsidRPr="001E17A1" w:rsidRDefault="00000000">
            <w:pPr>
              <w:rPr>
                <w:color w:val="000000" w:themeColor="text1"/>
              </w:rPr>
            </w:pPr>
            <w:r w:rsidRPr="001E17A1">
              <w:rPr>
                <w:rFonts w:hint="eastAsia"/>
                <w:color w:val="000000" w:themeColor="text1"/>
              </w:rPr>
              <w:t>公共数据社会化应用服务</w:t>
            </w:r>
          </w:p>
        </w:tc>
        <w:tc>
          <w:tcPr>
            <w:tcW w:w="1651" w:type="dxa"/>
            <w:vAlign w:val="center"/>
          </w:tcPr>
          <w:p w14:paraId="7FA800EB" w14:textId="77777777" w:rsidR="008137F8" w:rsidRPr="001E17A1" w:rsidRDefault="00000000">
            <w:pPr>
              <w:jc w:val="center"/>
              <w:rPr>
                <w:color w:val="000000" w:themeColor="text1"/>
              </w:rPr>
            </w:pPr>
            <w:r w:rsidRPr="001E17A1">
              <w:rPr>
                <w:rFonts w:hint="eastAsia"/>
                <w:color w:val="000000" w:themeColor="text1"/>
              </w:rPr>
              <w:t>100000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w:t>
            </w:r>
          </w:p>
        </w:tc>
        <w:tc>
          <w:tcPr>
            <w:tcW w:w="5367" w:type="dxa"/>
            <w:vAlign w:val="center"/>
          </w:tcPr>
          <w:p w14:paraId="6B383FD0" w14:textId="77777777" w:rsidR="008137F8" w:rsidRPr="001E17A1" w:rsidRDefault="00000000">
            <w:pPr>
              <w:rPr>
                <w:color w:val="000000" w:themeColor="text1"/>
              </w:rPr>
            </w:pPr>
            <w:r w:rsidRPr="001E17A1">
              <w:rPr>
                <w:rFonts w:hint="eastAsia"/>
                <w:color w:val="000000" w:themeColor="text1"/>
              </w:rPr>
              <w:t>工作范围内，按照公共数据社会化应用的场景个数计量。按工作的复杂度，设置难度系数</w:t>
            </w:r>
            <w:r w:rsidRPr="001E17A1">
              <w:rPr>
                <w:rFonts w:hint="eastAsia"/>
                <w:color w:val="000000" w:themeColor="text1"/>
              </w:rPr>
              <w:t>N</w:t>
            </w:r>
            <w:r w:rsidRPr="001E17A1">
              <w:rPr>
                <w:rFonts w:hint="eastAsia"/>
                <w:color w:val="000000" w:themeColor="text1"/>
              </w:rPr>
              <w:t>。使用该目录时，不可使用数据采集接入服务、统计服务、数据分类分级检查目录。</w:t>
            </w:r>
          </w:p>
        </w:tc>
        <w:tc>
          <w:tcPr>
            <w:tcW w:w="4174" w:type="dxa"/>
            <w:vAlign w:val="center"/>
          </w:tcPr>
          <w:p w14:paraId="67F505EC" w14:textId="77777777" w:rsidR="008137F8" w:rsidRPr="001E17A1" w:rsidRDefault="00000000">
            <w:pPr>
              <w:rPr>
                <w:color w:val="000000" w:themeColor="text1"/>
              </w:rPr>
            </w:pPr>
            <w:r w:rsidRPr="001E17A1">
              <w:rPr>
                <w:rFonts w:hint="eastAsia"/>
                <w:color w:val="000000" w:themeColor="text1"/>
              </w:rPr>
              <w:t>按工作的复杂度，取难度系数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N=0.5</w:t>
            </w:r>
            <w:r w:rsidRPr="001E17A1">
              <w:rPr>
                <w:rFonts w:hint="eastAsia"/>
                <w:color w:val="000000" w:themeColor="text1"/>
              </w:rPr>
              <w:t>～</w:t>
            </w:r>
            <w:r w:rsidRPr="001E17A1">
              <w:rPr>
                <w:rFonts w:hint="eastAsia"/>
                <w:color w:val="000000" w:themeColor="text1"/>
              </w:rPr>
              <w:t>2.5</w:t>
            </w:r>
            <w:r w:rsidRPr="001E17A1">
              <w:rPr>
                <w:rFonts w:hint="eastAsia"/>
                <w:color w:val="000000" w:themeColor="text1"/>
              </w:rPr>
              <w:t>）确定单价，其中难度系数评估涉及的数据级别相关联。</w:t>
            </w:r>
            <w:r w:rsidRPr="001E17A1">
              <w:rPr>
                <w:rFonts w:hint="eastAsia"/>
                <w:color w:val="000000" w:themeColor="text1"/>
              </w:rPr>
              <w:br/>
            </w:r>
            <w:r w:rsidRPr="001E17A1">
              <w:rPr>
                <w:rFonts w:hint="eastAsia"/>
                <w:color w:val="000000" w:themeColor="text1"/>
              </w:rPr>
              <w:t>难度系数</w:t>
            </w:r>
            <w:r w:rsidRPr="001E17A1">
              <w:rPr>
                <w:rFonts w:hint="eastAsia"/>
                <w:color w:val="000000" w:themeColor="text1"/>
              </w:rPr>
              <w:t>0.5</w:t>
            </w:r>
            <w:r w:rsidRPr="001E17A1">
              <w:rPr>
                <w:rFonts w:hint="eastAsia"/>
                <w:color w:val="000000" w:themeColor="text1"/>
              </w:rPr>
              <w:t>按照数据分级标准，场景规划所使用数据分级等级小于等于</w:t>
            </w:r>
            <w:r w:rsidRPr="001E17A1">
              <w:rPr>
                <w:rFonts w:hint="eastAsia"/>
                <w:color w:val="000000" w:themeColor="text1"/>
              </w:rPr>
              <w:t>2</w:t>
            </w:r>
            <w:r w:rsidRPr="001E17A1">
              <w:rPr>
                <w:rFonts w:hint="eastAsia"/>
                <w:color w:val="000000" w:themeColor="text1"/>
              </w:rPr>
              <w:t>级，且有可参考的已评估成熟案例。</w:t>
            </w:r>
            <w:r w:rsidRPr="001E17A1">
              <w:rPr>
                <w:rFonts w:hint="eastAsia"/>
                <w:color w:val="000000" w:themeColor="text1"/>
              </w:rPr>
              <w:br/>
            </w:r>
            <w:r w:rsidRPr="001E17A1">
              <w:rPr>
                <w:rFonts w:hint="eastAsia"/>
                <w:color w:val="000000" w:themeColor="text1"/>
              </w:rPr>
              <w:t>难度系数</w:t>
            </w:r>
            <w:r w:rsidRPr="001E17A1">
              <w:rPr>
                <w:rFonts w:hint="eastAsia"/>
                <w:color w:val="000000" w:themeColor="text1"/>
              </w:rPr>
              <w:t>1</w:t>
            </w:r>
            <w:r w:rsidRPr="001E17A1">
              <w:rPr>
                <w:rFonts w:hint="eastAsia"/>
                <w:color w:val="000000" w:themeColor="text1"/>
              </w:rPr>
              <w:t>按照数据分级标准，场景规划所使用数据分级等级为</w:t>
            </w:r>
            <w:r w:rsidRPr="001E17A1">
              <w:rPr>
                <w:rFonts w:hint="eastAsia"/>
                <w:color w:val="000000" w:themeColor="text1"/>
              </w:rPr>
              <w:t>1</w:t>
            </w:r>
            <w:r w:rsidRPr="001E17A1">
              <w:rPr>
                <w:rFonts w:hint="eastAsia"/>
                <w:color w:val="000000" w:themeColor="text1"/>
              </w:rPr>
              <w:t>级，且没有可参考的已评估成熟案例。</w:t>
            </w:r>
            <w:r w:rsidRPr="001E17A1">
              <w:rPr>
                <w:rFonts w:hint="eastAsia"/>
                <w:color w:val="000000" w:themeColor="text1"/>
              </w:rPr>
              <w:br/>
            </w:r>
            <w:r w:rsidRPr="001E17A1">
              <w:rPr>
                <w:rFonts w:hint="eastAsia"/>
                <w:color w:val="000000" w:themeColor="text1"/>
              </w:rPr>
              <w:t>难度系数</w:t>
            </w:r>
            <w:r w:rsidRPr="001E17A1">
              <w:rPr>
                <w:rFonts w:hint="eastAsia"/>
                <w:color w:val="000000" w:themeColor="text1"/>
              </w:rPr>
              <w:t>2</w:t>
            </w:r>
            <w:r w:rsidRPr="001E17A1">
              <w:rPr>
                <w:rFonts w:hint="eastAsia"/>
                <w:color w:val="000000" w:themeColor="text1"/>
              </w:rPr>
              <w:t>按照数据分级标准，场景规划所使用数据分级等级为</w:t>
            </w:r>
            <w:r w:rsidRPr="001E17A1">
              <w:rPr>
                <w:rFonts w:hint="eastAsia"/>
                <w:color w:val="000000" w:themeColor="text1"/>
              </w:rPr>
              <w:t>2</w:t>
            </w:r>
            <w:r w:rsidRPr="001E17A1">
              <w:rPr>
                <w:rFonts w:hint="eastAsia"/>
                <w:color w:val="000000" w:themeColor="text1"/>
              </w:rPr>
              <w:t>级，且没有可参考的已评估成熟案例。</w:t>
            </w:r>
            <w:r w:rsidRPr="001E17A1">
              <w:rPr>
                <w:rFonts w:hint="eastAsia"/>
                <w:color w:val="000000" w:themeColor="text1"/>
              </w:rPr>
              <w:br/>
            </w:r>
            <w:r w:rsidRPr="001E17A1">
              <w:rPr>
                <w:rFonts w:hint="eastAsia"/>
                <w:color w:val="000000" w:themeColor="text1"/>
              </w:rPr>
              <w:t>难度系数</w:t>
            </w:r>
            <w:r w:rsidRPr="001E17A1">
              <w:rPr>
                <w:rFonts w:hint="eastAsia"/>
                <w:color w:val="000000" w:themeColor="text1"/>
              </w:rPr>
              <w:t>2.5</w:t>
            </w:r>
            <w:r w:rsidRPr="001E17A1">
              <w:rPr>
                <w:rFonts w:hint="eastAsia"/>
                <w:color w:val="000000" w:themeColor="text1"/>
              </w:rPr>
              <w:t>按照数据分级标准，场景规划所使用数据分级等级为</w:t>
            </w:r>
            <w:r w:rsidRPr="001E17A1">
              <w:rPr>
                <w:rFonts w:hint="eastAsia"/>
                <w:color w:val="000000" w:themeColor="text1"/>
              </w:rPr>
              <w:t>2</w:t>
            </w:r>
            <w:r w:rsidRPr="001E17A1">
              <w:rPr>
                <w:rFonts w:hint="eastAsia"/>
                <w:color w:val="000000" w:themeColor="text1"/>
              </w:rPr>
              <w:t>级的案例（如涉及个人敏感信息或者由于场景的重要性、场景特殊性及紧急性案例）。</w:t>
            </w:r>
          </w:p>
        </w:tc>
      </w:tr>
      <w:tr w:rsidR="008137F8" w:rsidRPr="001E17A1" w14:paraId="02002E79" w14:textId="77777777">
        <w:trPr>
          <w:cantSplit/>
        </w:trPr>
        <w:tc>
          <w:tcPr>
            <w:tcW w:w="657" w:type="dxa"/>
            <w:vMerge/>
            <w:vAlign w:val="center"/>
          </w:tcPr>
          <w:p w14:paraId="64EDE989" w14:textId="77777777" w:rsidR="008137F8" w:rsidRPr="001E17A1" w:rsidRDefault="008137F8">
            <w:pPr>
              <w:rPr>
                <w:color w:val="000000" w:themeColor="text1"/>
              </w:rPr>
            </w:pPr>
          </w:p>
        </w:tc>
        <w:tc>
          <w:tcPr>
            <w:tcW w:w="807" w:type="dxa"/>
            <w:vAlign w:val="center"/>
          </w:tcPr>
          <w:p w14:paraId="16251765" w14:textId="77777777" w:rsidR="008137F8" w:rsidRPr="001E17A1" w:rsidRDefault="00000000">
            <w:pPr>
              <w:jc w:val="center"/>
              <w:rPr>
                <w:color w:val="000000" w:themeColor="text1"/>
              </w:rPr>
            </w:pPr>
            <w:r w:rsidRPr="001E17A1">
              <w:rPr>
                <w:rFonts w:hint="eastAsia"/>
                <w:color w:val="000000" w:themeColor="text1"/>
              </w:rPr>
              <w:t>21</w:t>
            </w:r>
          </w:p>
        </w:tc>
        <w:tc>
          <w:tcPr>
            <w:tcW w:w="1419" w:type="dxa"/>
            <w:vAlign w:val="center"/>
          </w:tcPr>
          <w:p w14:paraId="27FF4360" w14:textId="77777777" w:rsidR="008137F8" w:rsidRPr="001E17A1" w:rsidRDefault="00000000">
            <w:pPr>
              <w:rPr>
                <w:color w:val="000000" w:themeColor="text1"/>
              </w:rPr>
            </w:pPr>
            <w:r w:rsidRPr="001E17A1">
              <w:rPr>
                <w:rFonts w:hint="eastAsia"/>
                <w:color w:val="000000" w:themeColor="text1"/>
              </w:rPr>
              <w:t>数据共享</w:t>
            </w:r>
            <w:r w:rsidRPr="001E17A1">
              <w:rPr>
                <w:rFonts w:hint="eastAsia"/>
                <w:color w:val="000000" w:themeColor="text1"/>
              </w:rPr>
              <w:t>/</w:t>
            </w:r>
            <w:r w:rsidRPr="001E17A1">
              <w:rPr>
                <w:rFonts w:hint="eastAsia"/>
                <w:color w:val="000000" w:themeColor="text1"/>
              </w:rPr>
              <w:t>开放</w:t>
            </w:r>
            <w:r w:rsidRPr="001E17A1">
              <w:rPr>
                <w:rFonts w:hint="eastAsia"/>
                <w:color w:val="000000" w:themeColor="text1"/>
              </w:rPr>
              <w:t>/</w:t>
            </w:r>
            <w:r w:rsidRPr="001E17A1">
              <w:rPr>
                <w:rFonts w:hint="eastAsia"/>
                <w:color w:val="000000" w:themeColor="text1"/>
              </w:rPr>
              <w:t>授权运营服务</w:t>
            </w:r>
          </w:p>
        </w:tc>
        <w:tc>
          <w:tcPr>
            <w:tcW w:w="1651" w:type="dxa"/>
            <w:vAlign w:val="center"/>
          </w:tcPr>
          <w:p w14:paraId="06C890DF" w14:textId="77777777" w:rsidR="008137F8" w:rsidRPr="001E17A1" w:rsidRDefault="00000000">
            <w:pPr>
              <w:jc w:val="center"/>
              <w:rPr>
                <w:color w:val="000000" w:themeColor="text1"/>
              </w:rPr>
            </w:pPr>
            <w:r w:rsidRPr="001E17A1">
              <w:rPr>
                <w:rFonts w:hint="eastAsia"/>
                <w:color w:val="000000" w:themeColor="text1"/>
              </w:rPr>
              <w:t>1000000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年</w:t>
            </w:r>
          </w:p>
        </w:tc>
        <w:tc>
          <w:tcPr>
            <w:tcW w:w="5367" w:type="dxa"/>
            <w:vAlign w:val="center"/>
          </w:tcPr>
          <w:p w14:paraId="576A6A11" w14:textId="77777777" w:rsidR="008137F8" w:rsidRPr="001E17A1" w:rsidRDefault="00000000">
            <w:pPr>
              <w:rPr>
                <w:color w:val="000000" w:themeColor="text1"/>
              </w:rPr>
            </w:pPr>
            <w:r w:rsidRPr="001E17A1">
              <w:rPr>
                <w:rFonts w:hint="eastAsia"/>
                <w:color w:val="000000" w:themeColor="text1"/>
              </w:rPr>
              <w:t>工作范围内，在数据共享开放和数据授权运营服务过程中，依托数据异议核实等工作机制进行的数据质量问题的跟踪、解答和处理，相关工作整体年度计费。</w:t>
            </w:r>
          </w:p>
        </w:tc>
        <w:tc>
          <w:tcPr>
            <w:tcW w:w="4174" w:type="dxa"/>
            <w:vAlign w:val="center"/>
          </w:tcPr>
          <w:p w14:paraId="2873EAB7" w14:textId="77777777" w:rsidR="008137F8" w:rsidRPr="001E17A1" w:rsidRDefault="008137F8">
            <w:pPr>
              <w:rPr>
                <w:color w:val="000000" w:themeColor="text1"/>
              </w:rPr>
            </w:pPr>
          </w:p>
        </w:tc>
      </w:tr>
      <w:tr w:rsidR="008137F8" w:rsidRPr="001E17A1" w14:paraId="3009A5F2" w14:textId="77777777">
        <w:trPr>
          <w:cantSplit/>
        </w:trPr>
        <w:tc>
          <w:tcPr>
            <w:tcW w:w="657" w:type="dxa"/>
            <w:vMerge/>
            <w:vAlign w:val="center"/>
          </w:tcPr>
          <w:p w14:paraId="5C039014" w14:textId="77777777" w:rsidR="008137F8" w:rsidRPr="001E17A1" w:rsidRDefault="008137F8">
            <w:pPr>
              <w:rPr>
                <w:color w:val="000000" w:themeColor="text1"/>
              </w:rPr>
            </w:pPr>
          </w:p>
        </w:tc>
        <w:tc>
          <w:tcPr>
            <w:tcW w:w="807" w:type="dxa"/>
            <w:vAlign w:val="center"/>
          </w:tcPr>
          <w:p w14:paraId="0FBB2AFC" w14:textId="77777777" w:rsidR="008137F8" w:rsidRPr="001E17A1" w:rsidRDefault="00000000">
            <w:pPr>
              <w:jc w:val="center"/>
              <w:rPr>
                <w:color w:val="000000" w:themeColor="text1"/>
              </w:rPr>
            </w:pPr>
            <w:r w:rsidRPr="001E17A1">
              <w:rPr>
                <w:rFonts w:hint="eastAsia"/>
                <w:color w:val="000000" w:themeColor="text1"/>
              </w:rPr>
              <w:t>22</w:t>
            </w:r>
          </w:p>
        </w:tc>
        <w:tc>
          <w:tcPr>
            <w:tcW w:w="1419" w:type="dxa"/>
            <w:vAlign w:val="center"/>
          </w:tcPr>
          <w:p w14:paraId="1A6CB641" w14:textId="77777777" w:rsidR="008137F8" w:rsidRPr="001E17A1" w:rsidRDefault="00000000">
            <w:pPr>
              <w:rPr>
                <w:color w:val="000000" w:themeColor="text1"/>
              </w:rPr>
            </w:pPr>
            <w:r w:rsidRPr="001E17A1">
              <w:rPr>
                <w:rFonts w:hint="eastAsia"/>
                <w:color w:val="000000" w:themeColor="text1"/>
              </w:rPr>
              <w:t>安全基线配置管理服务</w:t>
            </w:r>
          </w:p>
        </w:tc>
        <w:tc>
          <w:tcPr>
            <w:tcW w:w="1651" w:type="dxa"/>
            <w:vAlign w:val="center"/>
          </w:tcPr>
          <w:p w14:paraId="579891A3" w14:textId="77777777" w:rsidR="008137F8" w:rsidRPr="001E17A1" w:rsidRDefault="00000000">
            <w:pPr>
              <w:jc w:val="center"/>
              <w:rPr>
                <w:color w:val="000000" w:themeColor="text1"/>
              </w:rPr>
            </w:pPr>
            <w:r w:rsidRPr="001E17A1">
              <w:rPr>
                <w:rFonts w:hint="eastAsia"/>
                <w:color w:val="000000" w:themeColor="text1"/>
              </w:rPr>
              <w:t>250000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个子系统</w:t>
            </w:r>
          </w:p>
        </w:tc>
        <w:tc>
          <w:tcPr>
            <w:tcW w:w="5367" w:type="dxa"/>
            <w:vAlign w:val="center"/>
          </w:tcPr>
          <w:p w14:paraId="1317F2A2" w14:textId="77777777" w:rsidR="008137F8" w:rsidRPr="001E17A1" w:rsidRDefault="00000000">
            <w:pPr>
              <w:rPr>
                <w:color w:val="000000" w:themeColor="text1"/>
              </w:rPr>
            </w:pPr>
            <w:r w:rsidRPr="001E17A1">
              <w:rPr>
                <w:rFonts w:hint="eastAsia"/>
                <w:color w:val="000000" w:themeColor="text1"/>
              </w:rPr>
              <w:t>此项目录，适用范围仅为大数据资源平台。工作范围内，按系统个数计量。</w:t>
            </w:r>
            <w:r w:rsidRPr="001E17A1">
              <w:rPr>
                <w:rFonts w:hint="eastAsia"/>
                <w:color w:val="000000" w:themeColor="text1"/>
              </w:rPr>
              <w:br/>
            </w:r>
            <w:r w:rsidRPr="001E17A1">
              <w:rPr>
                <w:rFonts w:hint="eastAsia"/>
                <w:color w:val="000000" w:themeColor="text1"/>
              </w:rPr>
              <w:t>按系统复杂度，设置难度系数</w:t>
            </w:r>
            <w:r w:rsidRPr="001E17A1">
              <w:rPr>
                <w:rFonts w:hint="eastAsia"/>
                <w:color w:val="000000" w:themeColor="text1"/>
              </w:rPr>
              <w:t>N</w:t>
            </w:r>
            <w:r w:rsidRPr="001E17A1">
              <w:rPr>
                <w:rFonts w:hint="eastAsia"/>
                <w:color w:val="000000" w:themeColor="text1"/>
              </w:rPr>
              <w:t>。同时，系统数量达</w:t>
            </w:r>
            <w:r w:rsidRPr="001E17A1">
              <w:rPr>
                <w:rFonts w:hint="eastAsia"/>
                <w:color w:val="000000" w:themeColor="text1"/>
              </w:rPr>
              <w:t>20</w:t>
            </w:r>
            <w:r w:rsidRPr="001E17A1">
              <w:rPr>
                <w:rFonts w:hint="eastAsia"/>
                <w:color w:val="000000" w:themeColor="text1"/>
              </w:rPr>
              <w:t>个及以上，在总费用基础上乘以调整系数</w:t>
            </w:r>
            <w:r w:rsidRPr="001E17A1">
              <w:rPr>
                <w:rFonts w:hint="eastAsia"/>
                <w:color w:val="000000" w:themeColor="text1"/>
              </w:rPr>
              <w:t>0.8</w:t>
            </w:r>
            <w:r w:rsidRPr="001E17A1">
              <w:rPr>
                <w:rFonts w:hint="eastAsia"/>
                <w:color w:val="000000" w:themeColor="text1"/>
              </w:rPr>
              <w:t>；系统数量达</w:t>
            </w:r>
            <w:r w:rsidRPr="001E17A1">
              <w:rPr>
                <w:rFonts w:hint="eastAsia"/>
                <w:color w:val="000000" w:themeColor="text1"/>
              </w:rPr>
              <w:t>50</w:t>
            </w:r>
            <w:r w:rsidRPr="001E17A1">
              <w:rPr>
                <w:rFonts w:hint="eastAsia"/>
                <w:color w:val="000000" w:themeColor="text1"/>
              </w:rPr>
              <w:t>个及以上，在总费用基础上乘以调整系数</w:t>
            </w:r>
            <w:r w:rsidRPr="001E17A1">
              <w:rPr>
                <w:rFonts w:hint="eastAsia"/>
                <w:color w:val="000000" w:themeColor="text1"/>
              </w:rPr>
              <w:t>0.6</w:t>
            </w:r>
            <w:r w:rsidRPr="001E17A1">
              <w:rPr>
                <w:rFonts w:hint="eastAsia"/>
                <w:color w:val="000000" w:themeColor="text1"/>
              </w:rPr>
              <w:t>。</w:t>
            </w:r>
          </w:p>
        </w:tc>
        <w:tc>
          <w:tcPr>
            <w:tcW w:w="4174" w:type="dxa"/>
            <w:vAlign w:val="center"/>
          </w:tcPr>
          <w:p w14:paraId="18C3F138" w14:textId="77777777" w:rsidR="008137F8" w:rsidRPr="001E17A1" w:rsidRDefault="00000000">
            <w:pPr>
              <w:rPr>
                <w:color w:val="000000" w:themeColor="text1"/>
              </w:rPr>
            </w:pPr>
            <w:r w:rsidRPr="001E17A1">
              <w:rPr>
                <w:rFonts w:hint="eastAsia"/>
                <w:color w:val="000000" w:themeColor="text1"/>
              </w:rPr>
              <w:t>按系统复杂度，乘以难度系数</w:t>
            </w:r>
            <w:r w:rsidRPr="001E17A1">
              <w:rPr>
                <w:rFonts w:hint="eastAsia"/>
                <w:color w:val="000000" w:themeColor="text1"/>
              </w:rPr>
              <w:t>N (N=l</w:t>
            </w:r>
            <w:r w:rsidRPr="001E17A1">
              <w:rPr>
                <w:rFonts w:hint="eastAsia"/>
                <w:color w:val="000000" w:themeColor="text1"/>
              </w:rPr>
              <w:t>～</w:t>
            </w:r>
            <w:r w:rsidRPr="001E17A1">
              <w:rPr>
                <w:rFonts w:hint="eastAsia"/>
                <w:color w:val="000000" w:themeColor="text1"/>
              </w:rPr>
              <w:t>3),</w:t>
            </w:r>
            <w:r w:rsidRPr="001E17A1">
              <w:rPr>
                <w:rFonts w:hint="eastAsia"/>
                <w:color w:val="000000" w:themeColor="text1"/>
              </w:rPr>
              <w:br/>
            </w:r>
            <w:r w:rsidRPr="001E17A1">
              <w:rPr>
                <w:rFonts w:hint="eastAsia"/>
                <w:color w:val="000000" w:themeColor="text1"/>
              </w:rPr>
              <w:t>系统主机≤</w:t>
            </w:r>
            <w:r w:rsidRPr="001E17A1">
              <w:rPr>
                <w:rFonts w:hint="eastAsia"/>
                <w:color w:val="000000" w:themeColor="text1"/>
              </w:rPr>
              <w:t>50</w:t>
            </w:r>
            <w:r w:rsidRPr="001E17A1">
              <w:rPr>
                <w:rFonts w:hint="eastAsia"/>
                <w:color w:val="000000" w:themeColor="text1"/>
              </w:rPr>
              <w:t>台，</w:t>
            </w:r>
            <w:r w:rsidRPr="001E17A1">
              <w:rPr>
                <w:rFonts w:hint="eastAsia"/>
                <w:color w:val="000000" w:themeColor="text1"/>
              </w:rPr>
              <w:t>N=1</w:t>
            </w:r>
            <w:r w:rsidRPr="001E17A1">
              <w:rPr>
                <w:rFonts w:hint="eastAsia"/>
                <w:color w:val="000000" w:themeColor="text1"/>
              </w:rPr>
              <w:t>；系统主机≥</w:t>
            </w:r>
            <w:r w:rsidRPr="001E17A1">
              <w:rPr>
                <w:rFonts w:hint="eastAsia"/>
                <w:color w:val="000000" w:themeColor="text1"/>
              </w:rPr>
              <w:t>150</w:t>
            </w:r>
            <w:r w:rsidRPr="001E17A1">
              <w:rPr>
                <w:rFonts w:hint="eastAsia"/>
                <w:color w:val="000000" w:themeColor="text1"/>
              </w:rPr>
              <w:t>台，</w:t>
            </w:r>
            <w:r w:rsidRPr="001E17A1">
              <w:rPr>
                <w:rFonts w:hint="eastAsia"/>
                <w:color w:val="000000" w:themeColor="text1"/>
              </w:rPr>
              <w:t>N=3</w:t>
            </w:r>
            <w:r w:rsidRPr="001E17A1">
              <w:rPr>
                <w:rFonts w:hint="eastAsia"/>
                <w:color w:val="000000" w:themeColor="text1"/>
              </w:rPr>
              <w:t>；其他</w:t>
            </w:r>
            <w:r w:rsidRPr="001E17A1">
              <w:rPr>
                <w:rFonts w:hint="eastAsia"/>
                <w:color w:val="000000" w:themeColor="text1"/>
              </w:rPr>
              <w:t>N</w:t>
            </w:r>
            <w:r w:rsidRPr="001E17A1">
              <w:rPr>
                <w:rFonts w:hint="eastAsia"/>
                <w:color w:val="000000" w:themeColor="text1"/>
              </w:rPr>
              <w:t>为主机数量除以</w:t>
            </w:r>
            <w:r w:rsidRPr="001E17A1">
              <w:rPr>
                <w:rFonts w:hint="eastAsia"/>
                <w:color w:val="000000" w:themeColor="text1"/>
              </w:rPr>
              <w:t>50</w:t>
            </w:r>
            <w:r w:rsidRPr="001E17A1">
              <w:rPr>
                <w:rFonts w:hint="eastAsia"/>
                <w:color w:val="000000" w:themeColor="text1"/>
              </w:rPr>
              <w:t>的值做为难度系数获得。</w:t>
            </w:r>
          </w:p>
        </w:tc>
      </w:tr>
      <w:tr w:rsidR="008137F8" w:rsidRPr="001E17A1" w14:paraId="3582A27B" w14:textId="77777777">
        <w:trPr>
          <w:cantSplit/>
        </w:trPr>
        <w:tc>
          <w:tcPr>
            <w:tcW w:w="657" w:type="dxa"/>
            <w:vMerge/>
            <w:vAlign w:val="center"/>
          </w:tcPr>
          <w:p w14:paraId="7D2FFC05" w14:textId="77777777" w:rsidR="008137F8" w:rsidRPr="001E17A1" w:rsidRDefault="008137F8">
            <w:pPr>
              <w:rPr>
                <w:color w:val="000000" w:themeColor="text1"/>
              </w:rPr>
            </w:pPr>
          </w:p>
        </w:tc>
        <w:tc>
          <w:tcPr>
            <w:tcW w:w="807" w:type="dxa"/>
            <w:vAlign w:val="center"/>
          </w:tcPr>
          <w:p w14:paraId="34E4341E" w14:textId="77777777" w:rsidR="008137F8" w:rsidRPr="001E17A1" w:rsidRDefault="00000000">
            <w:pPr>
              <w:jc w:val="center"/>
              <w:rPr>
                <w:color w:val="000000" w:themeColor="text1"/>
              </w:rPr>
            </w:pPr>
            <w:r w:rsidRPr="001E17A1">
              <w:rPr>
                <w:rFonts w:hint="eastAsia"/>
                <w:color w:val="000000" w:themeColor="text1"/>
              </w:rPr>
              <w:t>23</w:t>
            </w:r>
          </w:p>
        </w:tc>
        <w:tc>
          <w:tcPr>
            <w:tcW w:w="1419" w:type="dxa"/>
            <w:vAlign w:val="center"/>
          </w:tcPr>
          <w:p w14:paraId="31B036BF" w14:textId="77777777" w:rsidR="008137F8" w:rsidRPr="001E17A1" w:rsidRDefault="00000000">
            <w:pPr>
              <w:rPr>
                <w:color w:val="000000" w:themeColor="text1"/>
              </w:rPr>
            </w:pPr>
            <w:r w:rsidRPr="001E17A1">
              <w:rPr>
                <w:rFonts w:hint="eastAsia"/>
                <w:color w:val="000000" w:themeColor="text1"/>
              </w:rPr>
              <w:t>综合运营保障服务</w:t>
            </w:r>
          </w:p>
        </w:tc>
        <w:tc>
          <w:tcPr>
            <w:tcW w:w="1651" w:type="dxa"/>
            <w:vAlign w:val="center"/>
          </w:tcPr>
          <w:p w14:paraId="5030FAAD" w14:textId="77777777" w:rsidR="008137F8" w:rsidRPr="001E17A1" w:rsidRDefault="00000000">
            <w:pPr>
              <w:jc w:val="center"/>
              <w:rPr>
                <w:color w:val="000000" w:themeColor="text1"/>
              </w:rPr>
            </w:pPr>
            <w:r w:rsidRPr="001E17A1">
              <w:rPr>
                <w:rFonts w:hint="eastAsia"/>
                <w:color w:val="000000" w:themeColor="text1"/>
              </w:rPr>
              <w:t>120000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个系统（数据服务）</w:t>
            </w:r>
            <w:r w:rsidRPr="001E17A1">
              <w:rPr>
                <w:rFonts w:hint="eastAsia"/>
                <w:color w:val="000000" w:themeColor="text1"/>
              </w:rPr>
              <w:t>/</w:t>
            </w:r>
            <w:r w:rsidRPr="001E17A1">
              <w:rPr>
                <w:rFonts w:hint="eastAsia"/>
                <w:color w:val="000000" w:themeColor="text1"/>
              </w:rPr>
              <w:t>年</w:t>
            </w:r>
          </w:p>
        </w:tc>
        <w:tc>
          <w:tcPr>
            <w:tcW w:w="5367" w:type="dxa"/>
            <w:vAlign w:val="center"/>
          </w:tcPr>
          <w:p w14:paraId="020DAF05" w14:textId="77777777" w:rsidR="008137F8" w:rsidRPr="001E17A1" w:rsidRDefault="00000000">
            <w:pPr>
              <w:rPr>
                <w:color w:val="000000" w:themeColor="text1"/>
              </w:rPr>
            </w:pPr>
            <w:r w:rsidRPr="001E17A1">
              <w:rPr>
                <w:rFonts w:hint="eastAsia"/>
                <w:color w:val="000000" w:themeColor="text1"/>
              </w:rPr>
              <w:t>工作范围内，按纳入运营监控服务的系统个数或数据服务个数计量。按工作复杂度，设置难度系数</w:t>
            </w:r>
            <w:r w:rsidRPr="001E17A1">
              <w:rPr>
                <w:rFonts w:hint="eastAsia"/>
                <w:color w:val="000000" w:themeColor="text1"/>
              </w:rPr>
              <w:t>N</w:t>
            </w:r>
            <w:r w:rsidRPr="001E17A1">
              <w:rPr>
                <w:rFonts w:hint="eastAsia"/>
                <w:color w:val="000000" w:themeColor="text1"/>
              </w:rPr>
              <w:t>。</w:t>
            </w:r>
          </w:p>
        </w:tc>
        <w:tc>
          <w:tcPr>
            <w:tcW w:w="4174" w:type="dxa"/>
            <w:vAlign w:val="center"/>
          </w:tcPr>
          <w:p w14:paraId="62000312" w14:textId="77777777" w:rsidR="008137F8" w:rsidRPr="001E17A1" w:rsidRDefault="00000000">
            <w:pPr>
              <w:rPr>
                <w:color w:val="000000" w:themeColor="text1"/>
              </w:rPr>
            </w:pPr>
            <w:r w:rsidRPr="001E17A1">
              <w:rPr>
                <w:rFonts w:hint="eastAsia"/>
                <w:color w:val="000000" w:themeColor="text1"/>
              </w:rPr>
              <w:t>按工作复杂度，乘以难度系数</w:t>
            </w:r>
            <w:r w:rsidRPr="001E17A1">
              <w:rPr>
                <w:rFonts w:hint="eastAsia"/>
                <w:color w:val="000000" w:themeColor="text1"/>
              </w:rPr>
              <w:t>N (N=l</w:t>
            </w:r>
            <w:r w:rsidRPr="001E17A1">
              <w:rPr>
                <w:rFonts w:hint="eastAsia"/>
                <w:color w:val="000000" w:themeColor="text1"/>
              </w:rPr>
              <w:t>～</w:t>
            </w:r>
            <w:r w:rsidRPr="001E17A1">
              <w:rPr>
                <w:rFonts w:hint="eastAsia"/>
                <w:color w:val="000000" w:themeColor="text1"/>
              </w:rPr>
              <w:t>3)</w:t>
            </w:r>
            <w:r w:rsidRPr="001E17A1">
              <w:rPr>
                <w:rFonts w:hint="eastAsia"/>
                <w:color w:val="000000" w:themeColor="text1"/>
              </w:rPr>
              <w:t>。以系统作为对象的，系统主机≤</w:t>
            </w:r>
            <w:r w:rsidRPr="001E17A1">
              <w:rPr>
                <w:rFonts w:hint="eastAsia"/>
                <w:color w:val="000000" w:themeColor="text1"/>
              </w:rPr>
              <w:t>50</w:t>
            </w:r>
            <w:r w:rsidRPr="001E17A1">
              <w:rPr>
                <w:rFonts w:hint="eastAsia"/>
                <w:color w:val="000000" w:themeColor="text1"/>
              </w:rPr>
              <w:t>台，</w:t>
            </w:r>
            <w:r w:rsidRPr="001E17A1">
              <w:rPr>
                <w:rFonts w:hint="eastAsia"/>
                <w:color w:val="000000" w:themeColor="text1"/>
              </w:rPr>
              <w:t>N=1</w:t>
            </w:r>
            <w:r w:rsidRPr="001E17A1">
              <w:rPr>
                <w:rFonts w:hint="eastAsia"/>
                <w:color w:val="000000" w:themeColor="text1"/>
              </w:rPr>
              <w:t>，每增加</w:t>
            </w:r>
            <w:r w:rsidRPr="001E17A1">
              <w:rPr>
                <w:rFonts w:hint="eastAsia"/>
                <w:color w:val="000000" w:themeColor="text1"/>
              </w:rPr>
              <w:t>50</w:t>
            </w:r>
            <w:r w:rsidRPr="001E17A1">
              <w:rPr>
                <w:rFonts w:hint="eastAsia"/>
                <w:color w:val="000000" w:themeColor="text1"/>
              </w:rPr>
              <w:t>台主机数，难度系数增加</w:t>
            </w:r>
            <w:r w:rsidRPr="001E17A1">
              <w:rPr>
                <w:rFonts w:hint="eastAsia"/>
                <w:color w:val="000000" w:themeColor="text1"/>
              </w:rPr>
              <w:t>1</w:t>
            </w:r>
            <w:r w:rsidRPr="001E17A1">
              <w:rPr>
                <w:rFonts w:hint="eastAsia"/>
                <w:color w:val="000000" w:themeColor="text1"/>
              </w:rPr>
              <w:t>，系统主机≥</w:t>
            </w:r>
            <w:r w:rsidRPr="001E17A1">
              <w:rPr>
                <w:rFonts w:hint="eastAsia"/>
                <w:color w:val="000000" w:themeColor="text1"/>
              </w:rPr>
              <w:t>150</w:t>
            </w:r>
            <w:r w:rsidRPr="001E17A1">
              <w:rPr>
                <w:rFonts w:hint="eastAsia"/>
                <w:color w:val="000000" w:themeColor="text1"/>
              </w:rPr>
              <w:t>台，</w:t>
            </w:r>
            <w:r w:rsidRPr="001E17A1">
              <w:rPr>
                <w:rFonts w:hint="eastAsia"/>
                <w:color w:val="000000" w:themeColor="text1"/>
              </w:rPr>
              <w:t>N=3</w:t>
            </w:r>
            <w:r w:rsidRPr="001E17A1">
              <w:rPr>
                <w:rFonts w:hint="eastAsia"/>
                <w:color w:val="000000" w:themeColor="text1"/>
              </w:rPr>
              <w:t>。以数据服务作为对象的，当数据服务实际并发量≤</w:t>
            </w:r>
            <w:r w:rsidRPr="001E17A1">
              <w:rPr>
                <w:rFonts w:hint="eastAsia"/>
                <w:color w:val="000000" w:themeColor="text1"/>
              </w:rPr>
              <w:t>500tps</w:t>
            </w:r>
            <w:r w:rsidRPr="001E17A1">
              <w:rPr>
                <w:rFonts w:hint="eastAsia"/>
                <w:color w:val="000000" w:themeColor="text1"/>
              </w:rPr>
              <w:t>时，</w:t>
            </w:r>
            <w:r w:rsidRPr="001E17A1">
              <w:rPr>
                <w:rFonts w:hint="eastAsia"/>
                <w:color w:val="000000" w:themeColor="text1"/>
              </w:rPr>
              <w:t>N=1</w:t>
            </w:r>
            <w:r w:rsidRPr="001E17A1">
              <w:rPr>
                <w:rFonts w:hint="eastAsia"/>
                <w:color w:val="000000" w:themeColor="text1"/>
              </w:rPr>
              <w:t>，每增加</w:t>
            </w:r>
            <w:r w:rsidRPr="001E17A1">
              <w:rPr>
                <w:rFonts w:hint="eastAsia"/>
                <w:color w:val="000000" w:themeColor="text1"/>
              </w:rPr>
              <w:t>500tps</w:t>
            </w:r>
            <w:r w:rsidRPr="001E17A1">
              <w:rPr>
                <w:rFonts w:hint="eastAsia"/>
                <w:color w:val="000000" w:themeColor="text1"/>
              </w:rPr>
              <w:t>难度系数增加</w:t>
            </w:r>
            <w:r w:rsidRPr="001E17A1">
              <w:rPr>
                <w:rFonts w:hint="eastAsia"/>
                <w:color w:val="000000" w:themeColor="text1"/>
              </w:rPr>
              <w:t>1</w:t>
            </w:r>
            <w:r w:rsidRPr="001E17A1">
              <w:rPr>
                <w:rFonts w:hint="eastAsia"/>
                <w:color w:val="000000" w:themeColor="text1"/>
              </w:rPr>
              <w:t>，实际并发量≥</w:t>
            </w:r>
            <w:r w:rsidRPr="001E17A1">
              <w:rPr>
                <w:rFonts w:hint="eastAsia"/>
                <w:color w:val="000000" w:themeColor="text1"/>
              </w:rPr>
              <w:t>1500tps</w:t>
            </w:r>
            <w:r w:rsidRPr="001E17A1">
              <w:rPr>
                <w:rFonts w:hint="eastAsia"/>
                <w:color w:val="000000" w:themeColor="text1"/>
              </w:rPr>
              <w:t>，</w:t>
            </w:r>
            <w:r w:rsidRPr="001E17A1">
              <w:rPr>
                <w:rFonts w:hint="eastAsia"/>
                <w:color w:val="000000" w:themeColor="text1"/>
              </w:rPr>
              <w:t>N=3</w:t>
            </w:r>
            <w:r w:rsidRPr="001E17A1">
              <w:rPr>
                <w:rFonts w:hint="eastAsia"/>
                <w:color w:val="000000" w:themeColor="text1"/>
              </w:rPr>
              <w:t>。</w:t>
            </w:r>
            <w:r w:rsidRPr="001E17A1">
              <w:rPr>
                <w:rFonts w:hint="eastAsia"/>
                <w:color w:val="000000" w:themeColor="text1"/>
              </w:rPr>
              <w:br/>
            </w:r>
            <w:r w:rsidRPr="001E17A1">
              <w:rPr>
                <w:rFonts w:hint="eastAsia"/>
                <w:color w:val="000000" w:themeColor="text1"/>
              </w:rPr>
              <w:t>若当年系统发生重保服务，难度系统（</w:t>
            </w:r>
            <w:r w:rsidRPr="001E17A1">
              <w:rPr>
                <w:rFonts w:hint="eastAsia"/>
                <w:color w:val="000000" w:themeColor="text1"/>
              </w:rPr>
              <w:t>N</w:t>
            </w:r>
            <w:r w:rsidRPr="001E17A1">
              <w:rPr>
                <w:rFonts w:hint="eastAsia"/>
                <w:color w:val="000000" w:themeColor="text1"/>
              </w:rPr>
              <w:t>）在原有基础上增加</w:t>
            </w:r>
            <w:r w:rsidRPr="001E17A1">
              <w:rPr>
                <w:rFonts w:hint="eastAsia"/>
                <w:color w:val="000000" w:themeColor="text1"/>
              </w:rPr>
              <w:t>0.25</w:t>
            </w:r>
            <w:r w:rsidRPr="001E17A1">
              <w:rPr>
                <w:rFonts w:hint="eastAsia"/>
                <w:color w:val="000000" w:themeColor="text1"/>
              </w:rPr>
              <w:t>。全年由于重保服务发生费用</w:t>
            </w:r>
            <w:r w:rsidRPr="001E17A1">
              <w:rPr>
                <w:rFonts w:hint="eastAsia"/>
                <w:color w:val="000000" w:themeColor="text1"/>
              </w:rPr>
              <w:t>50</w:t>
            </w:r>
            <w:r w:rsidRPr="001E17A1">
              <w:rPr>
                <w:rFonts w:hint="eastAsia"/>
                <w:color w:val="000000" w:themeColor="text1"/>
              </w:rPr>
              <w:t>万元封顶。</w:t>
            </w:r>
          </w:p>
        </w:tc>
      </w:tr>
      <w:tr w:rsidR="008137F8" w:rsidRPr="001E17A1" w14:paraId="40D8CD9E" w14:textId="77777777">
        <w:trPr>
          <w:cantSplit/>
        </w:trPr>
        <w:tc>
          <w:tcPr>
            <w:tcW w:w="657" w:type="dxa"/>
            <w:vMerge/>
            <w:vAlign w:val="center"/>
          </w:tcPr>
          <w:p w14:paraId="6FA02A76" w14:textId="77777777" w:rsidR="008137F8" w:rsidRPr="001E17A1" w:rsidRDefault="008137F8">
            <w:pPr>
              <w:rPr>
                <w:color w:val="000000" w:themeColor="text1"/>
              </w:rPr>
            </w:pPr>
          </w:p>
        </w:tc>
        <w:tc>
          <w:tcPr>
            <w:tcW w:w="807" w:type="dxa"/>
            <w:vAlign w:val="center"/>
          </w:tcPr>
          <w:p w14:paraId="6E89F2A4" w14:textId="77777777" w:rsidR="008137F8" w:rsidRPr="001E17A1" w:rsidRDefault="00000000">
            <w:pPr>
              <w:jc w:val="center"/>
              <w:rPr>
                <w:color w:val="000000" w:themeColor="text1"/>
              </w:rPr>
            </w:pPr>
            <w:r w:rsidRPr="001E17A1">
              <w:rPr>
                <w:rFonts w:hint="eastAsia"/>
                <w:color w:val="000000" w:themeColor="text1"/>
              </w:rPr>
              <w:t>24</w:t>
            </w:r>
          </w:p>
        </w:tc>
        <w:tc>
          <w:tcPr>
            <w:tcW w:w="1419" w:type="dxa"/>
            <w:vAlign w:val="center"/>
          </w:tcPr>
          <w:p w14:paraId="3D2E6E7F" w14:textId="77777777" w:rsidR="008137F8" w:rsidRPr="001E17A1" w:rsidRDefault="00000000">
            <w:pPr>
              <w:rPr>
                <w:color w:val="000000" w:themeColor="text1"/>
              </w:rPr>
            </w:pPr>
            <w:r w:rsidRPr="001E17A1">
              <w:rPr>
                <w:rFonts w:hint="eastAsia"/>
                <w:color w:val="000000" w:themeColor="text1"/>
              </w:rPr>
              <w:t>数据安全风险评估、安全审核服务</w:t>
            </w:r>
          </w:p>
        </w:tc>
        <w:tc>
          <w:tcPr>
            <w:tcW w:w="1651" w:type="dxa"/>
            <w:vAlign w:val="center"/>
          </w:tcPr>
          <w:p w14:paraId="3951CDC9" w14:textId="77777777" w:rsidR="008137F8" w:rsidRPr="001E17A1" w:rsidRDefault="00000000">
            <w:pPr>
              <w:jc w:val="center"/>
              <w:rPr>
                <w:color w:val="000000" w:themeColor="text1"/>
              </w:rPr>
            </w:pPr>
            <w:r w:rsidRPr="001E17A1">
              <w:rPr>
                <w:rFonts w:hint="eastAsia"/>
                <w:color w:val="000000" w:themeColor="text1"/>
              </w:rPr>
              <w:t>22</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万条</w:t>
            </w:r>
          </w:p>
        </w:tc>
        <w:tc>
          <w:tcPr>
            <w:tcW w:w="5367" w:type="dxa"/>
            <w:vAlign w:val="center"/>
          </w:tcPr>
          <w:p w14:paraId="12507515" w14:textId="77777777" w:rsidR="008137F8" w:rsidRPr="001E17A1" w:rsidRDefault="00000000">
            <w:pPr>
              <w:rPr>
                <w:color w:val="000000" w:themeColor="text1"/>
              </w:rPr>
            </w:pPr>
            <w:r w:rsidRPr="001E17A1">
              <w:rPr>
                <w:rFonts w:hint="eastAsia"/>
                <w:color w:val="000000" w:themeColor="text1"/>
              </w:rPr>
              <w:t>此项目录，适用范围仅为大数据资源平台。</w:t>
            </w:r>
          </w:p>
          <w:p w14:paraId="33A87109" w14:textId="77777777" w:rsidR="008137F8" w:rsidRPr="001E17A1" w:rsidRDefault="00000000">
            <w:pPr>
              <w:rPr>
                <w:color w:val="000000" w:themeColor="text1"/>
              </w:rPr>
            </w:pPr>
            <w:r w:rsidRPr="001E17A1">
              <w:rPr>
                <w:rFonts w:hint="eastAsia"/>
                <w:color w:val="000000" w:themeColor="text1"/>
              </w:rPr>
              <w:t>工作范围内，针对运营项目合同年内开展数据安全评估、审核的工作，按数据条数计量。</w:t>
            </w:r>
          </w:p>
        </w:tc>
        <w:tc>
          <w:tcPr>
            <w:tcW w:w="4174" w:type="dxa"/>
            <w:vAlign w:val="center"/>
          </w:tcPr>
          <w:p w14:paraId="600527E8" w14:textId="77777777" w:rsidR="008137F8" w:rsidRPr="001E17A1" w:rsidRDefault="008137F8">
            <w:pPr>
              <w:rPr>
                <w:color w:val="000000" w:themeColor="text1"/>
              </w:rPr>
            </w:pPr>
          </w:p>
        </w:tc>
      </w:tr>
      <w:tr w:rsidR="008137F8" w:rsidRPr="001E17A1" w14:paraId="1E3F0F19" w14:textId="77777777">
        <w:trPr>
          <w:cantSplit/>
        </w:trPr>
        <w:tc>
          <w:tcPr>
            <w:tcW w:w="657" w:type="dxa"/>
            <w:vMerge/>
            <w:vAlign w:val="center"/>
          </w:tcPr>
          <w:p w14:paraId="5854F42C" w14:textId="77777777" w:rsidR="008137F8" w:rsidRPr="001E17A1" w:rsidRDefault="008137F8">
            <w:pPr>
              <w:rPr>
                <w:color w:val="000000" w:themeColor="text1"/>
              </w:rPr>
            </w:pPr>
          </w:p>
        </w:tc>
        <w:tc>
          <w:tcPr>
            <w:tcW w:w="807" w:type="dxa"/>
            <w:vAlign w:val="center"/>
          </w:tcPr>
          <w:p w14:paraId="4E282AA7" w14:textId="77777777" w:rsidR="008137F8" w:rsidRPr="001E17A1" w:rsidRDefault="00000000">
            <w:pPr>
              <w:jc w:val="center"/>
              <w:rPr>
                <w:color w:val="000000" w:themeColor="text1"/>
              </w:rPr>
            </w:pPr>
            <w:r w:rsidRPr="001E17A1">
              <w:rPr>
                <w:rFonts w:hint="eastAsia"/>
                <w:color w:val="000000" w:themeColor="text1"/>
              </w:rPr>
              <w:t>25</w:t>
            </w:r>
          </w:p>
        </w:tc>
        <w:tc>
          <w:tcPr>
            <w:tcW w:w="1419" w:type="dxa"/>
            <w:vAlign w:val="center"/>
          </w:tcPr>
          <w:p w14:paraId="75F92D5E" w14:textId="77777777" w:rsidR="008137F8" w:rsidRPr="001E17A1" w:rsidRDefault="00000000">
            <w:pPr>
              <w:rPr>
                <w:color w:val="000000" w:themeColor="text1"/>
              </w:rPr>
            </w:pPr>
            <w:r w:rsidRPr="001E17A1">
              <w:rPr>
                <w:rFonts w:hint="eastAsia"/>
                <w:color w:val="000000" w:themeColor="text1"/>
              </w:rPr>
              <w:t>应用安全渗透测试服务</w:t>
            </w:r>
          </w:p>
        </w:tc>
        <w:tc>
          <w:tcPr>
            <w:tcW w:w="1651" w:type="dxa"/>
            <w:vAlign w:val="center"/>
          </w:tcPr>
          <w:p w14:paraId="734E7425" w14:textId="77777777" w:rsidR="008137F8" w:rsidRPr="001E17A1" w:rsidRDefault="00000000">
            <w:pPr>
              <w:jc w:val="center"/>
              <w:rPr>
                <w:color w:val="000000" w:themeColor="text1"/>
              </w:rPr>
            </w:pPr>
            <w:r w:rsidRPr="001E17A1">
              <w:rPr>
                <w:rFonts w:hint="eastAsia"/>
                <w:color w:val="000000" w:themeColor="text1"/>
              </w:rPr>
              <w:t>30000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次</w:t>
            </w:r>
          </w:p>
        </w:tc>
        <w:tc>
          <w:tcPr>
            <w:tcW w:w="5367" w:type="dxa"/>
            <w:vAlign w:val="center"/>
          </w:tcPr>
          <w:p w14:paraId="23CA992B" w14:textId="77777777" w:rsidR="008137F8" w:rsidRPr="001E17A1" w:rsidRDefault="00000000">
            <w:pPr>
              <w:rPr>
                <w:color w:val="000000" w:themeColor="text1"/>
              </w:rPr>
            </w:pPr>
            <w:r w:rsidRPr="001E17A1">
              <w:rPr>
                <w:rFonts w:hint="eastAsia"/>
                <w:color w:val="000000" w:themeColor="text1"/>
              </w:rPr>
              <w:t>工作范围内，针对运营项目合同年内开展渗透测试的定期检查，按开展检查评估的台数和次数计量，按单个系统计费，单价</w:t>
            </w:r>
            <w:r w:rsidRPr="001E17A1">
              <w:rPr>
                <w:rFonts w:hint="eastAsia"/>
                <w:color w:val="000000" w:themeColor="text1"/>
              </w:rPr>
              <w:t>3</w:t>
            </w:r>
            <w:r w:rsidRPr="001E17A1">
              <w:rPr>
                <w:rFonts w:hint="eastAsia"/>
                <w:color w:val="000000" w:themeColor="text1"/>
              </w:rPr>
              <w:t>万</w:t>
            </w:r>
            <w:r w:rsidRPr="001E17A1">
              <w:rPr>
                <w:rFonts w:hint="eastAsia"/>
                <w:color w:val="000000" w:themeColor="text1"/>
              </w:rPr>
              <w:t>/</w:t>
            </w:r>
            <w:r w:rsidRPr="001E17A1">
              <w:rPr>
                <w:rFonts w:hint="eastAsia"/>
                <w:color w:val="000000" w:themeColor="text1"/>
              </w:rPr>
              <w:t>次</w:t>
            </w:r>
            <w:r w:rsidRPr="001E17A1">
              <w:rPr>
                <w:rFonts w:hint="eastAsia"/>
                <w:color w:val="000000" w:themeColor="text1"/>
              </w:rPr>
              <w:t>(20</w:t>
            </w:r>
            <w:r w:rsidRPr="001E17A1">
              <w:rPr>
                <w:rFonts w:hint="eastAsia"/>
                <w:color w:val="000000" w:themeColor="text1"/>
              </w:rPr>
              <w:t>个页面以内</w:t>
            </w:r>
            <w:r w:rsidRPr="001E17A1">
              <w:rPr>
                <w:rFonts w:hint="eastAsia"/>
                <w:color w:val="000000" w:themeColor="text1"/>
              </w:rPr>
              <w:t>)</w:t>
            </w:r>
            <w:r w:rsidRPr="001E17A1">
              <w:rPr>
                <w:rFonts w:hint="eastAsia"/>
                <w:color w:val="000000" w:themeColor="text1"/>
              </w:rPr>
              <w:t>计算。按渗透测试的页面数量，设置难度系数</w:t>
            </w:r>
            <w:r w:rsidRPr="001E17A1">
              <w:rPr>
                <w:rFonts w:hint="eastAsia"/>
                <w:color w:val="000000" w:themeColor="text1"/>
              </w:rPr>
              <w:t>N</w:t>
            </w:r>
            <w:r w:rsidRPr="001E17A1">
              <w:rPr>
                <w:rFonts w:hint="eastAsia"/>
                <w:color w:val="000000" w:themeColor="text1"/>
              </w:rPr>
              <w:t>。</w:t>
            </w:r>
          </w:p>
        </w:tc>
        <w:tc>
          <w:tcPr>
            <w:tcW w:w="4174" w:type="dxa"/>
            <w:vAlign w:val="center"/>
          </w:tcPr>
          <w:p w14:paraId="2E62C57D" w14:textId="77777777" w:rsidR="008137F8" w:rsidRPr="001E17A1" w:rsidRDefault="00000000">
            <w:pPr>
              <w:rPr>
                <w:color w:val="000000" w:themeColor="text1"/>
              </w:rPr>
            </w:pPr>
            <w:r w:rsidRPr="001E17A1">
              <w:rPr>
                <w:rFonts w:hint="eastAsia"/>
                <w:color w:val="000000" w:themeColor="text1"/>
              </w:rPr>
              <w:t>针对运营项目合同年内开展渗透测试的定期检查，按渗透测试的页面数量，取难度系数</w:t>
            </w:r>
            <w:r w:rsidRPr="001E17A1">
              <w:rPr>
                <w:rFonts w:hint="eastAsia"/>
                <w:color w:val="000000" w:themeColor="text1"/>
              </w:rPr>
              <w:t xml:space="preserve"> N(N=1</w:t>
            </w:r>
            <w:r w:rsidRPr="001E17A1">
              <w:rPr>
                <w:rFonts w:hint="eastAsia"/>
                <w:color w:val="000000" w:themeColor="text1"/>
              </w:rPr>
              <w:t>～</w:t>
            </w:r>
            <w:r w:rsidRPr="001E17A1">
              <w:rPr>
                <w:rFonts w:hint="eastAsia"/>
                <w:color w:val="000000" w:themeColor="text1"/>
              </w:rPr>
              <w:t>3)</w:t>
            </w:r>
            <w:r w:rsidRPr="001E17A1">
              <w:rPr>
                <w:rFonts w:hint="eastAsia"/>
                <w:color w:val="000000" w:themeColor="text1"/>
              </w:rPr>
              <w:t>。</w:t>
            </w:r>
          </w:p>
        </w:tc>
      </w:tr>
      <w:tr w:rsidR="008137F8" w:rsidRPr="001E17A1" w14:paraId="1800576B" w14:textId="77777777">
        <w:trPr>
          <w:cantSplit/>
        </w:trPr>
        <w:tc>
          <w:tcPr>
            <w:tcW w:w="657" w:type="dxa"/>
            <w:vMerge/>
            <w:vAlign w:val="center"/>
          </w:tcPr>
          <w:p w14:paraId="7432FEE1" w14:textId="77777777" w:rsidR="008137F8" w:rsidRPr="001E17A1" w:rsidRDefault="008137F8">
            <w:pPr>
              <w:rPr>
                <w:color w:val="000000" w:themeColor="text1"/>
              </w:rPr>
            </w:pPr>
          </w:p>
        </w:tc>
        <w:tc>
          <w:tcPr>
            <w:tcW w:w="807" w:type="dxa"/>
            <w:vAlign w:val="center"/>
          </w:tcPr>
          <w:p w14:paraId="636904E8" w14:textId="77777777" w:rsidR="008137F8" w:rsidRPr="001E17A1" w:rsidRDefault="00000000">
            <w:pPr>
              <w:jc w:val="center"/>
              <w:rPr>
                <w:color w:val="000000" w:themeColor="text1"/>
              </w:rPr>
            </w:pPr>
            <w:r w:rsidRPr="001E17A1">
              <w:rPr>
                <w:rFonts w:hint="eastAsia"/>
                <w:color w:val="000000" w:themeColor="text1"/>
              </w:rPr>
              <w:t>26</w:t>
            </w:r>
          </w:p>
        </w:tc>
        <w:tc>
          <w:tcPr>
            <w:tcW w:w="1419" w:type="dxa"/>
            <w:vAlign w:val="center"/>
          </w:tcPr>
          <w:p w14:paraId="4EEE2C32" w14:textId="77777777" w:rsidR="008137F8" w:rsidRPr="001E17A1" w:rsidRDefault="00000000">
            <w:pPr>
              <w:rPr>
                <w:color w:val="000000" w:themeColor="text1"/>
              </w:rPr>
            </w:pPr>
            <w:r w:rsidRPr="001E17A1">
              <w:rPr>
                <w:rFonts w:hint="eastAsia"/>
                <w:color w:val="000000" w:themeColor="text1"/>
              </w:rPr>
              <w:t>安全审计服务</w:t>
            </w:r>
          </w:p>
        </w:tc>
        <w:tc>
          <w:tcPr>
            <w:tcW w:w="1651" w:type="dxa"/>
            <w:vAlign w:val="center"/>
          </w:tcPr>
          <w:p w14:paraId="222253EE" w14:textId="77777777" w:rsidR="008137F8" w:rsidRPr="001E17A1" w:rsidRDefault="00000000">
            <w:pPr>
              <w:jc w:val="center"/>
              <w:rPr>
                <w:color w:val="000000" w:themeColor="text1"/>
              </w:rPr>
            </w:pPr>
            <w:r w:rsidRPr="001E17A1">
              <w:rPr>
                <w:rFonts w:hint="eastAsia"/>
                <w:color w:val="000000" w:themeColor="text1"/>
              </w:rPr>
              <w:t>30000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个系统</w:t>
            </w:r>
          </w:p>
        </w:tc>
        <w:tc>
          <w:tcPr>
            <w:tcW w:w="5367" w:type="dxa"/>
            <w:vAlign w:val="center"/>
          </w:tcPr>
          <w:p w14:paraId="19FA9C2B" w14:textId="77777777" w:rsidR="008137F8" w:rsidRPr="001E17A1" w:rsidRDefault="00000000">
            <w:pPr>
              <w:rPr>
                <w:color w:val="000000" w:themeColor="text1"/>
              </w:rPr>
            </w:pPr>
            <w:r w:rsidRPr="001E17A1">
              <w:rPr>
                <w:rFonts w:hint="eastAsia"/>
                <w:color w:val="000000" w:themeColor="text1"/>
              </w:rPr>
              <w:t>此项目录，适用范围仅为大数据资源平台。</w:t>
            </w:r>
            <w:r w:rsidRPr="001E17A1">
              <w:rPr>
                <w:rFonts w:hint="eastAsia"/>
                <w:color w:val="000000" w:themeColor="text1"/>
                <w:highlight w:val="yellow"/>
              </w:rPr>
              <w:br/>
            </w:r>
            <w:r w:rsidRPr="001E17A1">
              <w:rPr>
                <w:rFonts w:hint="eastAsia"/>
                <w:color w:val="000000" w:themeColor="text1"/>
              </w:rPr>
              <w:t>工作范围内，按对开展安全审计的信息系统个数计量。</w:t>
            </w:r>
            <w:r w:rsidRPr="001E17A1">
              <w:rPr>
                <w:rFonts w:hint="eastAsia"/>
                <w:color w:val="000000" w:themeColor="text1"/>
              </w:rPr>
              <w:br/>
            </w:r>
            <w:r w:rsidRPr="001E17A1">
              <w:rPr>
                <w:rFonts w:hint="eastAsia"/>
                <w:color w:val="000000" w:themeColor="text1"/>
              </w:rPr>
              <w:t>按系统复杂度，设置难度系数</w:t>
            </w:r>
            <w:r w:rsidRPr="001E17A1">
              <w:rPr>
                <w:rFonts w:hint="eastAsia"/>
                <w:color w:val="000000" w:themeColor="text1"/>
              </w:rPr>
              <w:t>N</w:t>
            </w:r>
            <w:r w:rsidRPr="001E17A1">
              <w:rPr>
                <w:rFonts w:hint="eastAsia"/>
                <w:color w:val="000000" w:themeColor="text1"/>
              </w:rPr>
              <w:t>。同时，系统数量达</w:t>
            </w:r>
            <w:r w:rsidRPr="001E17A1">
              <w:rPr>
                <w:rFonts w:hint="eastAsia"/>
                <w:color w:val="000000" w:themeColor="text1"/>
              </w:rPr>
              <w:t>20</w:t>
            </w:r>
            <w:r w:rsidRPr="001E17A1">
              <w:rPr>
                <w:rFonts w:hint="eastAsia"/>
                <w:color w:val="000000" w:themeColor="text1"/>
              </w:rPr>
              <w:t>个及以上，在总费用基础上乘以系数</w:t>
            </w:r>
            <w:r w:rsidRPr="001E17A1">
              <w:rPr>
                <w:rFonts w:hint="eastAsia"/>
                <w:color w:val="000000" w:themeColor="text1"/>
              </w:rPr>
              <w:t>0.8</w:t>
            </w:r>
            <w:r w:rsidRPr="001E17A1">
              <w:rPr>
                <w:rFonts w:hint="eastAsia"/>
                <w:color w:val="000000" w:themeColor="text1"/>
              </w:rPr>
              <w:t>；监控系统数量达</w:t>
            </w:r>
            <w:r w:rsidRPr="001E17A1">
              <w:rPr>
                <w:rFonts w:hint="eastAsia"/>
                <w:color w:val="000000" w:themeColor="text1"/>
              </w:rPr>
              <w:t>50</w:t>
            </w:r>
            <w:r w:rsidRPr="001E17A1">
              <w:rPr>
                <w:rFonts w:hint="eastAsia"/>
                <w:color w:val="000000" w:themeColor="text1"/>
              </w:rPr>
              <w:t>个及以上，在总费用基础上乘以系数</w:t>
            </w:r>
            <w:r w:rsidRPr="001E17A1">
              <w:rPr>
                <w:rFonts w:hint="eastAsia"/>
                <w:color w:val="000000" w:themeColor="text1"/>
              </w:rPr>
              <w:t>0.6</w:t>
            </w:r>
            <w:r w:rsidRPr="001E17A1">
              <w:rPr>
                <w:rFonts w:hint="eastAsia"/>
                <w:color w:val="000000" w:themeColor="text1"/>
              </w:rPr>
              <w:t>。</w:t>
            </w:r>
          </w:p>
        </w:tc>
        <w:tc>
          <w:tcPr>
            <w:tcW w:w="4174" w:type="dxa"/>
            <w:vAlign w:val="center"/>
          </w:tcPr>
          <w:p w14:paraId="3E45D4C5" w14:textId="77777777" w:rsidR="008137F8" w:rsidRPr="001E17A1" w:rsidRDefault="00000000">
            <w:pPr>
              <w:rPr>
                <w:color w:val="000000" w:themeColor="text1"/>
              </w:rPr>
            </w:pPr>
            <w:r w:rsidRPr="001E17A1">
              <w:rPr>
                <w:rFonts w:hint="eastAsia"/>
                <w:color w:val="000000" w:themeColor="text1"/>
              </w:rPr>
              <w:t>按系统复杂度，乘以难度系数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N=1~3</w:t>
            </w:r>
            <w:r w:rsidRPr="001E17A1">
              <w:rPr>
                <w:rFonts w:hint="eastAsia"/>
                <w:color w:val="000000" w:themeColor="text1"/>
              </w:rPr>
              <w:t>），系统主机≥</w:t>
            </w:r>
            <w:r w:rsidRPr="001E17A1">
              <w:rPr>
                <w:rFonts w:hint="eastAsia"/>
                <w:color w:val="000000" w:themeColor="text1"/>
              </w:rPr>
              <w:t>50</w:t>
            </w:r>
            <w:r w:rsidRPr="001E17A1">
              <w:rPr>
                <w:rFonts w:hint="eastAsia"/>
                <w:color w:val="000000" w:themeColor="text1"/>
              </w:rPr>
              <w:t>台，</w:t>
            </w:r>
            <w:r w:rsidRPr="001E17A1">
              <w:rPr>
                <w:rFonts w:hint="eastAsia"/>
                <w:color w:val="000000" w:themeColor="text1"/>
              </w:rPr>
              <w:t>N=1</w:t>
            </w:r>
            <w:r w:rsidRPr="001E17A1">
              <w:rPr>
                <w:rFonts w:hint="eastAsia"/>
                <w:color w:val="000000" w:themeColor="text1"/>
              </w:rPr>
              <w:t>；系统主机≥</w:t>
            </w:r>
            <w:r w:rsidRPr="001E17A1">
              <w:rPr>
                <w:rFonts w:hint="eastAsia"/>
                <w:color w:val="000000" w:themeColor="text1"/>
              </w:rPr>
              <w:t>150</w:t>
            </w:r>
            <w:r w:rsidRPr="001E17A1">
              <w:rPr>
                <w:rFonts w:hint="eastAsia"/>
                <w:color w:val="000000" w:themeColor="text1"/>
              </w:rPr>
              <w:t>台，</w:t>
            </w:r>
            <w:r w:rsidRPr="001E17A1">
              <w:rPr>
                <w:rFonts w:hint="eastAsia"/>
                <w:color w:val="000000" w:themeColor="text1"/>
              </w:rPr>
              <w:t>N=3</w:t>
            </w:r>
            <w:r w:rsidRPr="001E17A1">
              <w:rPr>
                <w:rFonts w:hint="eastAsia"/>
                <w:color w:val="000000" w:themeColor="text1"/>
              </w:rPr>
              <w:t>；其他</w:t>
            </w:r>
            <w:r w:rsidRPr="001E17A1">
              <w:rPr>
                <w:rFonts w:hint="eastAsia"/>
                <w:color w:val="000000" w:themeColor="text1"/>
              </w:rPr>
              <w:t>N</w:t>
            </w:r>
            <w:r w:rsidRPr="001E17A1">
              <w:rPr>
                <w:rFonts w:hint="eastAsia"/>
                <w:color w:val="000000" w:themeColor="text1"/>
              </w:rPr>
              <w:t>为主机数量除以</w:t>
            </w:r>
            <w:r w:rsidRPr="001E17A1">
              <w:rPr>
                <w:rFonts w:hint="eastAsia"/>
                <w:color w:val="000000" w:themeColor="text1"/>
              </w:rPr>
              <w:t>50</w:t>
            </w:r>
            <w:r w:rsidRPr="001E17A1">
              <w:rPr>
                <w:rFonts w:hint="eastAsia"/>
                <w:color w:val="000000" w:themeColor="text1"/>
              </w:rPr>
              <w:t>的值作为难度系数获得。</w:t>
            </w:r>
          </w:p>
        </w:tc>
      </w:tr>
      <w:tr w:rsidR="008137F8" w:rsidRPr="001E17A1" w14:paraId="4741692E" w14:textId="77777777">
        <w:trPr>
          <w:cantSplit/>
        </w:trPr>
        <w:tc>
          <w:tcPr>
            <w:tcW w:w="657" w:type="dxa"/>
            <w:vMerge/>
            <w:vAlign w:val="center"/>
          </w:tcPr>
          <w:p w14:paraId="60267325" w14:textId="77777777" w:rsidR="008137F8" w:rsidRPr="001E17A1" w:rsidRDefault="008137F8">
            <w:pPr>
              <w:rPr>
                <w:color w:val="000000" w:themeColor="text1"/>
              </w:rPr>
            </w:pPr>
          </w:p>
        </w:tc>
        <w:tc>
          <w:tcPr>
            <w:tcW w:w="807" w:type="dxa"/>
            <w:vAlign w:val="center"/>
          </w:tcPr>
          <w:p w14:paraId="3E1C3306" w14:textId="77777777" w:rsidR="008137F8" w:rsidRPr="001E17A1" w:rsidRDefault="00000000">
            <w:pPr>
              <w:jc w:val="center"/>
              <w:rPr>
                <w:color w:val="000000" w:themeColor="text1"/>
              </w:rPr>
            </w:pPr>
            <w:r w:rsidRPr="001E17A1">
              <w:rPr>
                <w:rFonts w:hint="eastAsia"/>
                <w:color w:val="000000" w:themeColor="text1"/>
              </w:rPr>
              <w:t>27</w:t>
            </w:r>
          </w:p>
        </w:tc>
        <w:tc>
          <w:tcPr>
            <w:tcW w:w="1419" w:type="dxa"/>
            <w:vAlign w:val="center"/>
          </w:tcPr>
          <w:p w14:paraId="5ADE4C30" w14:textId="77777777" w:rsidR="008137F8" w:rsidRPr="001E17A1" w:rsidRDefault="00000000">
            <w:pPr>
              <w:rPr>
                <w:color w:val="000000" w:themeColor="text1"/>
              </w:rPr>
            </w:pPr>
            <w:r w:rsidRPr="001E17A1">
              <w:rPr>
                <w:rFonts w:hint="eastAsia"/>
                <w:color w:val="000000" w:themeColor="text1"/>
              </w:rPr>
              <w:t>系统功能符合性评估和测评服务</w:t>
            </w:r>
          </w:p>
        </w:tc>
        <w:tc>
          <w:tcPr>
            <w:tcW w:w="1651" w:type="dxa"/>
            <w:vAlign w:val="center"/>
          </w:tcPr>
          <w:p w14:paraId="1D1DB391" w14:textId="77777777" w:rsidR="008137F8" w:rsidRPr="001E17A1" w:rsidRDefault="00000000">
            <w:pPr>
              <w:jc w:val="center"/>
              <w:rPr>
                <w:color w:val="000000" w:themeColor="text1"/>
              </w:rPr>
            </w:pPr>
            <w:r w:rsidRPr="001E17A1">
              <w:rPr>
                <w:rFonts w:hint="eastAsia"/>
                <w:color w:val="000000" w:themeColor="text1"/>
              </w:rPr>
              <w:t>20000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次</w:t>
            </w:r>
          </w:p>
        </w:tc>
        <w:tc>
          <w:tcPr>
            <w:tcW w:w="5367" w:type="dxa"/>
            <w:vAlign w:val="center"/>
          </w:tcPr>
          <w:p w14:paraId="177E8B42" w14:textId="77777777" w:rsidR="008137F8" w:rsidRPr="001E17A1" w:rsidRDefault="00000000">
            <w:pPr>
              <w:rPr>
                <w:color w:val="000000" w:themeColor="text1"/>
              </w:rPr>
            </w:pPr>
            <w:r w:rsidRPr="001E17A1">
              <w:rPr>
                <w:rFonts w:hint="eastAsia"/>
                <w:color w:val="000000" w:themeColor="text1"/>
              </w:rPr>
              <w:t>此项目录，适用范围仅为大数据资源平台。</w:t>
            </w:r>
          </w:p>
          <w:p w14:paraId="6CB124B0" w14:textId="77777777" w:rsidR="008137F8" w:rsidRPr="001E17A1" w:rsidRDefault="00000000">
            <w:pPr>
              <w:rPr>
                <w:color w:val="000000" w:themeColor="text1"/>
              </w:rPr>
            </w:pPr>
            <w:r w:rsidRPr="001E17A1">
              <w:rPr>
                <w:rFonts w:hint="eastAsia"/>
                <w:color w:val="000000" w:themeColor="text1"/>
              </w:rPr>
              <w:t>工作范围内，对子系统进行软件功能测试、等保测评、密码测评、安全评估、数据安全风险评估次数，分别进行计量。</w:t>
            </w:r>
            <w:r w:rsidRPr="001E17A1">
              <w:rPr>
                <w:rFonts w:hint="eastAsia"/>
                <w:color w:val="000000" w:themeColor="text1"/>
              </w:rPr>
              <w:br/>
            </w:r>
            <w:r w:rsidRPr="001E17A1">
              <w:rPr>
                <w:rFonts w:hint="eastAsia"/>
                <w:color w:val="000000" w:themeColor="text1"/>
              </w:rPr>
              <w:t>按照评估和测评服务的复杂性，设置难度系数</w:t>
            </w:r>
            <w:r w:rsidRPr="001E17A1">
              <w:rPr>
                <w:rFonts w:hint="eastAsia"/>
                <w:color w:val="000000" w:themeColor="text1"/>
              </w:rPr>
              <w:t>N</w:t>
            </w:r>
            <w:r w:rsidRPr="001E17A1">
              <w:rPr>
                <w:rFonts w:hint="eastAsia"/>
                <w:color w:val="000000" w:themeColor="text1"/>
              </w:rPr>
              <w:t>。同时，监控系统数量达</w:t>
            </w:r>
            <w:r w:rsidRPr="001E17A1">
              <w:rPr>
                <w:rFonts w:hint="eastAsia"/>
                <w:color w:val="000000" w:themeColor="text1"/>
              </w:rPr>
              <w:t>20</w:t>
            </w:r>
            <w:r w:rsidRPr="001E17A1">
              <w:rPr>
                <w:rFonts w:hint="eastAsia"/>
                <w:color w:val="000000" w:themeColor="text1"/>
              </w:rPr>
              <w:t>个及以上，在总费用基础上乘以调整系数</w:t>
            </w:r>
            <w:r w:rsidRPr="001E17A1">
              <w:rPr>
                <w:rFonts w:hint="eastAsia"/>
                <w:color w:val="000000" w:themeColor="text1"/>
              </w:rPr>
              <w:t>0.8</w:t>
            </w:r>
            <w:r w:rsidRPr="001E17A1">
              <w:rPr>
                <w:rFonts w:hint="eastAsia"/>
                <w:color w:val="000000" w:themeColor="text1"/>
              </w:rPr>
              <w:t>；监控系统数量达</w:t>
            </w:r>
            <w:r w:rsidRPr="001E17A1">
              <w:rPr>
                <w:rFonts w:hint="eastAsia"/>
                <w:color w:val="000000" w:themeColor="text1"/>
              </w:rPr>
              <w:t>50</w:t>
            </w:r>
            <w:r w:rsidRPr="001E17A1">
              <w:rPr>
                <w:rFonts w:hint="eastAsia"/>
                <w:color w:val="000000" w:themeColor="text1"/>
              </w:rPr>
              <w:t>个及以上，在总费用基础上乘以调整系数</w:t>
            </w:r>
            <w:r w:rsidRPr="001E17A1">
              <w:rPr>
                <w:rFonts w:hint="eastAsia"/>
                <w:color w:val="000000" w:themeColor="text1"/>
              </w:rPr>
              <w:t>0.6</w:t>
            </w:r>
            <w:r w:rsidRPr="001E17A1">
              <w:rPr>
                <w:rFonts w:hint="eastAsia"/>
                <w:color w:val="000000" w:themeColor="text1"/>
              </w:rPr>
              <w:t>。</w:t>
            </w:r>
          </w:p>
        </w:tc>
        <w:tc>
          <w:tcPr>
            <w:tcW w:w="4174" w:type="dxa"/>
            <w:vAlign w:val="center"/>
          </w:tcPr>
          <w:p w14:paraId="62D9593D" w14:textId="77777777" w:rsidR="008137F8" w:rsidRPr="001E17A1" w:rsidRDefault="00000000">
            <w:pPr>
              <w:rPr>
                <w:color w:val="000000" w:themeColor="text1"/>
              </w:rPr>
            </w:pPr>
            <w:r w:rsidRPr="001E17A1">
              <w:rPr>
                <w:rFonts w:hint="eastAsia"/>
                <w:color w:val="000000" w:themeColor="text1"/>
              </w:rPr>
              <w:t>按照评估和测评服务的复杂性，乘以难度系数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N=1~3</w:t>
            </w:r>
            <w:r w:rsidRPr="001E17A1">
              <w:rPr>
                <w:rFonts w:hint="eastAsia"/>
                <w:color w:val="000000" w:themeColor="text1"/>
              </w:rPr>
              <w:t>），系统主机≥</w:t>
            </w:r>
            <w:r w:rsidRPr="001E17A1">
              <w:rPr>
                <w:rFonts w:hint="eastAsia"/>
                <w:color w:val="000000" w:themeColor="text1"/>
              </w:rPr>
              <w:t>50</w:t>
            </w:r>
            <w:r w:rsidRPr="001E17A1">
              <w:rPr>
                <w:rFonts w:hint="eastAsia"/>
                <w:color w:val="000000" w:themeColor="text1"/>
              </w:rPr>
              <w:t>台，</w:t>
            </w:r>
            <w:r w:rsidRPr="001E17A1">
              <w:rPr>
                <w:rFonts w:hint="eastAsia"/>
                <w:color w:val="000000" w:themeColor="text1"/>
              </w:rPr>
              <w:t>N=1</w:t>
            </w:r>
            <w:r w:rsidRPr="001E17A1">
              <w:rPr>
                <w:rFonts w:hint="eastAsia"/>
                <w:color w:val="000000" w:themeColor="text1"/>
              </w:rPr>
              <w:t>；系统主机≥</w:t>
            </w:r>
            <w:r w:rsidRPr="001E17A1">
              <w:rPr>
                <w:rFonts w:hint="eastAsia"/>
                <w:color w:val="000000" w:themeColor="text1"/>
              </w:rPr>
              <w:t>150</w:t>
            </w:r>
            <w:r w:rsidRPr="001E17A1">
              <w:rPr>
                <w:rFonts w:hint="eastAsia"/>
                <w:color w:val="000000" w:themeColor="text1"/>
              </w:rPr>
              <w:t>台，</w:t>
            </w:r>
            <w:r w:rsidRPr="001E17A1">
              <w:rPr>
                <w:rFonts w:hint="eastAsia"/>
                <w:color w:val="000000" w:themeColor="text1"/>
              </w:rPr>
              <w:t>N=3</w:t>
            </w:r>
            <w:r w:rsidRPr="001E17A1">
              <w:rPr>
                <w:rFonts w:hint="eastAsia"/>
                <w:color w:val="000000" w:themeColor="text1"/>
              </w:rPr>
              <w:t>；其他</w:t>
            </w:r>
            <w:r w:rsidRPr="001E17A1">
              <w:rPr>
                <w:rFonts w:hint="eastAsia"/>
                <w:color w:val="000000" w:themeColor="text1"/>
              </w:rPr>
              <w:t>N</w:t>
            </w:r>
            <w:r w:rsidRPr="001E17A1">
              <w:rPr>
                <w:rFonts w:hint="eastAsia"/>
                <w:color w:val="000000" w:themeColor="text1"/>
              </w:rPr>
              <w:t>为主机数量除以</w:t>
            </w:r>
            <w:r w:rsidRPr="001E17A1">
              <w:rPr>
                <w:rFonts w:hint="eastAsia"/>
                <w:color w:val="000000" w:themeColor="text1"/>
              </w:rPr>
              <w:t>50</w:t>
            </w:r>
            <w:r w:rsidRPr="001E17A1">
              <w:rPr>
                <w:rFonts w:hint="eastAsia"/>
                <w:color w:val="000000" w:themeColor="text1"/>
              </w:rPr>
              <w:t>的值作为难度系数获得。</w:t>
            </w:r>
          </w:p>
        </w:tc>
      </w:tr>
      <w:tr w:rsidR="008137F8" w:rsidRPr="001E17A1" w14:paraId="134F578A" w14:textId="77777777">
        <w:trPr>
          <w:cantSplit/>
        </w:trPr>
        <w:tc>
          <w:tcPr>
            <w:tcW w:w="657" w:type="dxa"/>
            <w:vAlign w:val="center"/>
          </w:tcPr>
          <w:p w14:paraId="336CD264" w14:textId="77777777" w:rsidR="008137F8" w:rsidRPr="001E17A1" w:rsidRDefault="00000000">
            <w:pPr>
              <w:rPr>
                <w:color w:val="000000" w:themeColor="text1"/>
              </w:rPr>
            </w:pPr>
            <w:r w:rsidRPr="001E17A1">
              <w:rPr>
                <w:rFonts w:hint="eastAsia"/>
                <w:color w:val="000000" w:themeColor="text1"/>
              </w:rPr>
              <w:t>创新服务类</w:t>
            </w:r>
          </w:p>
        </w:tc>
        <w:tc>
          <w:tcPr>
            <w:tcW w:w="807" w:type="dxa"/>
            <w:vAlign w:val="center"/>
          </w:tcPr>
          <w:p w14:paraId="70D02782" w14:textId="77777777" w:rsidR="008137F8" w:rsidRPr="001E17A1" w:rsidRDefault="00000000">
            <w:pPr>
              <w:jc w:val="center"/>
              <w:rPr>
                <w:color w:val="000000" w:themeColor="text1"/>
              </w:rPr>
            </w:pPr>
            <w:r w:rsidRPr="001E17A1">
              <w:rPr>
                <w:rFonts w:hint="eastAsia"/>
                <w:color w:val="000000" w:themeColor="text1"/>
              </w:rPr>
              <w:t>28</w:t>
            </w:r>
          </w:p>
        </w:tc>
        <w:tc>
          <w:tcPr>
            <w:tcW w:w="1419" w:type="dxa"/>
            <w:vAlign w:val="center"/>
          </w:tcPr>
          <w:p w14:paraId="7C88969E" w14:textId="77777777" w:rsidR="008137F8" w:rsidRPr="001E17A1" w:rsidRDefault="00000000">
            <w:pPr>
              <w:rPr>
                <w:color w:val="000000" w:themeColor="text1"/>
              </w:rPr>
            </w:pPr>
            <w:r w:rsidRPr="001E17A1">
              <w:rPr>
                <w:rFonts w:hint="eastAsia"/>
                <w:color w:val="000000" w:themeColor="text1"/>
              </w:rPr>
              <w:t>能力迭代服务</w:t>
            </w:r>
          </w:p>
        </w:tc>
        <w:tc>
          <w:tcPr>
            <w:tcW w:w="1651" w:type="dxa"/>
            <w:vAlign w:val="center"/>
          </w:tcPr>
          <w:p w14:paraId="1F0716EC" w14:textId="77777777" w:rsidR="008137F8" w:rsidRPr="001E17A1" w:rsidRDefault="00000000">
            <w:pPr>
              <w:jc w:val="center"/>
              <w:rPr>
                <w:color w:val="000000" w:themeColor="text1"/>
              </w:rPr>
            </w:pPr>
            <w:r w:rsidRPr="001E17A1">
              <w:rPr>
                <w:rFonts w:hint="eastAsia"/>
                <w:color w:val="000000" w:themeColor="text1"/>
              </w:rPr>
              <w:t>3500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个功能点</w:t>
            </w:r>
            <w:r w:rsidRPr="001E17A1">
              <w:rPr>
                <w:rFonts w:hint="eastAsia"/>
                <w:color w:val="000000" w:themeColor="text1"/>
              </w:rPr>
              <w:br/>
              <w:t>100000</w:t>
            </w:r>
            <w:r w:rsidRPr="001E17A1">
              <w:rPr>
                <w:rFonts w:hint="eastAsia"/>
                <w:color w:val="000000" w:themeColor="text1"/>
              </w:rPr>
              <w:t>元</w:t>
            </w:r>
            <w:r w:rsidRPr="001E17A1">
              <w:rPr>
                <w:rFonts w:hint="eastAsia"/>
                <w:color w:val="000000" w:themeColor="text1"/>
              </w:rPr>
              <w:t>/</w:t>
            </w:r>
            <w:r w:rsidRPr="001E17A1">
              <w:rPr>
                <w:rFonts w:hint="eastAsia"/>
                <w:color w:val="000000" w:themeColor="text1"/>
              </w:rPr>
              <w:t>个大模型加工</w:t>
            </w:r>
          </w:p>
        </w:tc>
        <w:tc>
          <w:tcPr>
            <w:tcW w:w="5367" w:type="dxa"/>
            <w:vAlign w:val="center"/>
          </w:tcPr>
          <w:p w14:paraId="6E072862" w14:textId="77777777" w:rsidR="008137F8" w:rsidRPr="001E17A1" w:rsidRDefault="00000000">
            <w:pPr>
              <w:rPr>
                <w:color w:val="000000" w:themeColor="text1"/>
              </w:rPr>
            </w:pPr>
            <w:r w:rsidRPr="001E17A1">
              <w:rPr>
                <w:rFonts w:hint="eastAsia"/>
                <w:color w:val="000000" w:themeColor="text1"/>
              </w:rPr>
              <w:t>针对普通功能迭代，适用范围仅为大数据资源平台。</w:t>
            </w:r>
            <w:r w:rsidRPr="001E17A1">
              <w:rPr>
                <w:rFonts w:hint="eastAsia"/>
                <w:color w:val="000000" w:themeColor="text1"/>
              </w:rPr>
              <w:br/>
            </w:r>
            <w:r w:rsidRPr="001E17A1">
              <w:rPr>
                <w:rFonts w:hint="eastAsia"/>
                <w:color w:val="000000" w:themeColor="text1"/>
              </w:rPr>
              <w:t>工作范围内，按照最终实现的功能规模进行计算，功能规模是指功能建设需求中涉及外部输入数、外部查询数、外部输岀数和内部逻辑文件数、外部接口文件数，按能力实现的复杂程度进行加权求和后进行计算。功能规模计量方法参考《</w:t>
            </w:r>
            <w:r w:rsidRPr="001E17A1">
              <w:rPr>
                <w:rFonts w:hint="eastAsia"/>
                <w:color w:val="000000" w:themeColor="text1"/>
              </w:rPr>
              <w:t>SJ/T11619-2016</w:t>
            </w:r>
            <w:r w:rsidRPr="001E17A1">
              <w:rPr>
                <w:rFonts w:hint="eastAsia"/>
                <w:color w:val="000000" w:themeColor="text1"/>
              </w:rPr>
              <w:t>软件工程功能规模测量</w:t>
            </w:r>
            <w:r w:rsidRPr="001E17A1">
              <w:rPr>
                <w:rFonts w:hint="eastAsia"/>
                <w:color w:val="000000" w:themeColor="text1"/>
              </w:rPr>
              <w:t>NESMA</w:t>
            </w:r>
            <w:r w:rsidRPr="001E17A1">
              <w:rPr>
                <w:rFonts w:hint="eastAsia"/>
                <w:color w:val="000000" w:themeColor="text1"/>
              </w:rPr>
              <w:t>方法》。</w:t>
            </w:r>
            <w:r w:rsidRPr="001E17A1">
              <w:rPr>
                <w:rFonts w:hint="eastAsia"/>
                <w:color w:val="000000" w:themeColor="text1"/>
              </w:rPr>
              <w:br/>
            </w:r>
            <w:r w:rsidRPr="001E17A1">
              <w:rPr>
                <w:rFonts w:hint="eastAsia"/>
                <w:color w:val="000000" w:themeColor="text1"/>
              </w:rPr>
              <w:t>针对大模型数据集的数据加工，适用范围为数据运营项目中涉及数据资产查找、智能运维的</w:t>
            </w:r>
            <w:r w:rsidRPr="001E17A1">
              <w:rPr>
                <w:rFonts w:hint="eastAsia"/>
                <w:color w:val="000000" w:themeColor="text1"/>
              </w:rPr>
              <w:t>2</w:t>
            </w:r>
            <w:r w:rsidRPr="001E17A1">
              <w:rPr>
                <w:rFonts w:hint="eastAsia"/>
                <w:color w:val="000000" w:themeColor="text1"/>
              </w:rPr>
              <w:t>类垂域大模型应用场景。</w:t>
            </w:r>
            <w:r w:rsidRPr="001E17A1">
              <w:rPr>
                <w:rFonts w:hint="eastAsia"/>
                <w:color w:val="000000" w:themeColor="text1"/>
              </w:rPr>
              <w:br/>
            </w:r>
            <w:r w:rsidRPr="001E17A1">
              <w:rPr>
                <w:rFonts w:hint="eastAsia"/>
                <w:color w:val="000000" w:themeColor="text1"/>
              </w:rPr>
              <w:t>工作范围内，按照大模型在垂直领域的应用场景个数进行计量。按大模型数据集的数据加工复杂度，设置难度系数</w:t>
            </w:r>
            <w:r w:rsidRPr="001E17A1">
              <w:rPr>
                <w:rFonts w:hint="eastAsia"/>
                <w:color w:val="000000" w:themeColor="text1"/>
              </w:rPr>
              <w:t>N</w:t>
            </w:r>
            <w:r w:rsidRPr="001E17A1">
              <w:rPr>
                <w:rFonts w:hint="eastAsia"/>
                <w:color w:val="000000" w:themeColor="text1"/>
              </w:rPr>
              <w:t>。</w:t>
            </w:r>
          </w:p>
        </w:tc>
        <w:tc>
          <w:tcPr>
            <w:tcW w:w="4174" w:type="dxa"/>
            <w:vAlign w:val="center"/>
          </w:tcPr>
          <w:p w14:paraId="23A530D6" w14:textId="77777777" w:rsidR="008137F8" w:rsidRPr="001E17A1" w:rsidRDefault="00000000">
            <w:pPr>
              <w:rPr>
                <w:color w:val="000000" w:themeColor="text1"/>
              </w:rPr>
            </w:pPr>
            <w:r w:rsidRPr="001E17A1">
              <w:rPr>
                <w:rFonts w:hint="eastAsia"/>
                <w:color w:val="000000" w:themeColor="text1"/>
              </w:rPr>
              <w:t>针对普通功能迭代，按照功能的复杂程度，取难度系数</w:t>
            </w:r>
            <w:r w:rsidRPr="001E17A1">
              <w:rPr>
                <w:rFonts w:hint="eastAsia"/>
                <w:color w:val="000000" w:themeColor="text1"/>
              </w:rPr>
              <w:t>N</w:t>
            </w:r>
            <w:r w:rsidRPr="001E17A1">
              <w:rPr>
                <w:rFonts w:hint="eastAsia"/>
                <w:color w:val="000000" w:themeColor="text1"/>
              </w:rPr>
              <w:t>（</w:t>
            </w:r>
            <w:r w:rsidRPr="001E17A1">
              <w:rPr>
                <w:rFonts w:hint="eastAsia"/>
                <w:color w:val="000000" w:themeColor="text1"/>
              </w:rPr>
              <w:t>N=0.5-2</w:t>
            </w:r>
            <w:r w:rsidRPr="001E17A1">
              <w:rPr>
                <w:rFonts w:hint="eastAsia"/>
                <w:color w:val="000000" w:themeColor="text1"/>
              </w:rPr>
              <w:t>）。</w:t>
            </w:r>
            <w:r w:rsidRPr="001E17A1">
              <w:rPr>
                <w:rFonts w:hint="eastAsia"/>
                <w:color w:val="000000" w:themeColor="text1"/>
              </w:rPr>
              <w:br/>
            </w:r>
            <w:r w:rsidRPr="001E17A1">
              <w:rPr>
                <w:rFonts w:hint="eastAsia"/>
                <w:color w:val="000000" w:themeColor="text1"/>
              </w:rPr>
              <w:t>针对大模型数据集的数据加工，按复杂度取难度系数</w:t>
            </w:r>
            <w:r w:rsidRPr="001E17A1">
              <w:rPr>
                <w:rFonts w:hint="eastAsia"/>
                <w:color w:val="000000" w:themeColor="text1"/>
              </w:rPr>
              <w:t>N(N=1~3)</w:t>
            </w:r>
            <w:r w:rsidRPr="001E17A1">
              <w:rPr>
                <w:rFonts w:hint="eastAsia"/>
                <w:color w:val="000000" w:themeColor="text1"/>
              </w:rPr>
              <w:t>，对数据集进行简单加工（清洗、提取、分片、分词、格式转换）、简单图像数据标注（矩形框标注、多边形标注等），</w:t>
            </w:r>
            <w:r w:rsidRPr="001E17A1">
              <w:rPr>
                <w:rFonts w:hint="eastAsia"/>
                <w:color w:val="000000" w:themeColor="text1"/>
              </w:rPr>
              <w:t>N=1</w:t>
            </w:r>
            <w:r w:rsidRPr="001E17A1">
              <w:rPr>
                <w:rFonts w:hint="eastAsia"/>
                <w:color w:val="000000" w:themeColor="text1"/>
              </w:rPr>
              <w:t>；对数据集含有复杂加工（向量嵌入等）、图像的复杂标注（像素级标注等）、模型的精调时，</w:t>
            </w:r>
            <w:r w:rsidRPr="001E17A1">
              <w:rPr>
                <w:rFonts w:hint="eastAsia"/>
                <w:color w:val="000000" w:themeColor="text1"/>
              </w:rPr>
              <w:t>N=2</w:t>
            </w:r>
            <w:r w:rsidRPr="001E17A1">
              <w:rPr>
                <w:rFonts w:hint="eastAsia"/>
                <w:color w:val="000000" w:themeColor="text1"/>
              </w:rPr>
              <w:t>或</w:t>
            </w:r>
            <w:r w:rsidRPr="001E17A1">
              <w:rPr>
                <w:rFonts w:hint="eastAsia"/>
                <w:color w:val="000000" w:themeColor="text1"/>
              </w:rPr>
              <w:t>3</w:t>
            </w:r>
            <w:r w:rsidRPr="001E17A1">
              <w:rPr>
                <w:rFonts w:hint="eastAsia"/>
                <w:color w:val="000000" w:themeColor="text1"/>
              </w:rPr>
              <w:t>。</w:t>
            </w:r>
          </w:p>
        </w:tc>
      </w:tr>
    </w:tbl>
    <w:p w14:paraId="2ADB8524" w14:textId="77777777" w:rsidR="008137F8" w:rsidRPr="001E17A1" w:rsidRDefault="008137F8">
      <w:pPr>
        <w:widowControl/>
        <w:tabs>
          <w:tab w:val="left" w:pos="1134"/>
        </w:tabs>
        <w:snapToGrid w:val="0"/>
        <w:spacing w:line="360" w:lineRule="auto"/>
        <w:ind w:firstLineChars="200" w:firstLine="480"/>
        <w:jc w:val="left"/>
        <w:rPr>
          <w:rFonts w:ascii="宋体" w:hAnsi="宋体" w:hint="eastAsia"/>
          <w:color w:val="000000" w:themeColor="text1"/>
          <w:sz w:val="24"/>
          <w:szCs w:val="24"/>
        </w:rPr>
      </w:pPr>
    </w:p>
    <w:p w14:paraId="750944DE" w14:textId="77777777" w:rsidR="008137F8" w:rsidRPr="001E17A1" w:rsidRDefault="008137F8">
      <w:pPr>
        <w:widowControl/>
        <w:tabs>
          <w:tab w:val="left" w:pos="1134"/>
        </w:tabs>
        <w:snapToGrid w:val="0"/>
        <w:spacing w:line="360" w:lineRule="auto"/>
        <w:ind w:firstLineChars="200" w:firstLine="480"/>
        <w:jc w:val="left"/>
        <w:rPr>
          <w:rFonts w:ascii="宋体" w:hAnsi="宋体" w:hint="eastAsia"/>
          <w:color w:val="000000" w:themeColor="text1"/>
          <w:sz w:val="24"/>
          <w:szCs w:val="24"/>
        </w:rPr>
        <w:sectPr w:rsidR="008137F8" w:rsidRPr="001E17A1">
          <w:pgSz w:w="16838" w:h="11906" w:orient="landscape"/>
          <w:pgMar w:top="1797" w:right="1440" w:bottom="1797" w:left="1440" w:header="851" w:footer="992" w:gutter="0"/>
          <w:cols w:space="720"/>
          <w:docGrid w:type="linesAndChars" w:linePitch="312"/>
        </w:sectPr>
      </w:pPr>
    </w:p>
    <w:p w14:paraId="6B5B22AC"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招标范围</w:t>
      </w:r>
    </w:p>
    <w:p w14:paraId="651175C5"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中标人中标后承担为期一年的数据运营服务。具体包括以下范围：</w:t>
      </w:r>
    </w:p>
    <w:p w14:paraId="3E730A44"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（一）基础类服务</w:t>
      </w:r>
    </w:p>
    <w:p w14:paraId="1A531E0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以数据的生命周期管理为基础，针对数据管理服务工序类服务，主要以数据和系统为对象进行服务计量。数据采集接入、数据抽取服务、数据标签、时空数据转换与处理、对于历史数据的归档及销毁、数据质量检查、数据共享/开放/授权订阅服务、数据统计分析及报表服务、数据挖掘建模、数据分类分级检查、数据加密、脱敏等控制、应用安全监测分析及威胁情报服务、应用安全检査评估服务、应用安全基础管理服务、作业调度。</w:t>
      </w:r>
    </w:p>
    <w:p w14:paraId="4F799653"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（二）应用类服务</w:t>
      </w:r>
    </w:p>
    <w:p w14:paraId="7C605210"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以重点数据工作为基础，一揽子承接需求对接、数据治理、质量检查、数据安全等工作，以整体投入进行服务计量。包括数据开放运营接入服务、公共数据上链服务、主（专）题数据库建设、数据可视化展现工作、公共数据社会化应用服务、数据共享/开放/授权运营服务、安全基线配置管理服务、综合运营保障服务、数据安全风险评估、安全审核服务、应用安全渗透测试服务、安全审计服务、系统功能符合性评估和测评服务。</w:t>
      </w:r>
    </w:p>
    <w:p w14:paraId="36E07B6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（三）创新类服务</w:t>
      </w:r>
    </w:p>
    <w:p w14:paraId="056CA40E"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围绕新技术试点应用和能力迭代升级，支撑新技术在数据工作中的创新应用。针对大数据资源平台，按照最终实现的功能规模进行计算，功能规模是指功能建设需求中涉及外部输入数、外部查询数、外部输岀数和内部逻辑文件数、外部接口文件数，按能力实现的复杂程度进行加权求和后进行计算。</w:t>
      </w:r>
    </w:p>
    <w:p w14:paraId="15DDE260"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t>服务期限和地点</w:t>
      </w:r>
    </w:p>
    <w:p w14:paraId="48CDC553"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服务期限：</w:t>
      </w:r>
      <w:r w:rsidRPr="001E17A1">
        <w:rPr>
          <w:rFonts w:ascii="宋体" w:hAnsi="宋体"/>
          <w:color w:val="000000" w:themeColor="text1"/>
          <w:sz w:val="24"/>
          <w:szCs w:val="24"/>
        </w:rPr>
        <w:t>自合同签订后</w:t>
      </w:r>
      <w:r w:rsidRPr="001E17A1">
        <w:rPr>
          <w:rFonts w:ascii="宋体" w:hAnsi="宋体" w:hint="eastAsia"/>
          <w:color w:val="000000" w:themeColor="text1"/>
          <w:sz w:val="24"/>
          <w:szCs w:val="24"/>
        </w:rPr>
        <w:t>12个月</w:t>
      </w:r>
    </w:p>
    <w:p w14:paraId="1EAB51C0"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服务地点：松江区政务服务中心（大数据中心）</w:t>
      </w:r>
    </w:p>
    <w:p w14:paraId="614DD4C6" w14:textId="77777777" w:rsidR="008137F8" w:rsidRPr="001E17A1" w:rsidRDefault="00000000">
      <w:pPr>
        <w:pStyle w:val="1"/>
        <w:snapToGrid w:val="0"/>
        <w:spacing w:before="0" w:afterLines="0"/>
        <w:ind w:left="567" w:hanging="567"/>
        <w:rPr>
          <w:rFonts w:ascii="宋体" w:hAnsi="宋体" w:hint="eastAsia"/>
          <w:color w:val="000000" w:themeColor="text1"/>
          <w:sz w:val="24"/>
          <w:szCs w:val="24"/>
        </w:rPr>
      </w:pPr>
      <w:bookmarkStart w:id="3" w:name="_Toc430688919"/>
      <w:bookmarkStart w:id="4" w:name="_Toc34292040"/>
      <w:bookmarkStart w:id="5" w:name="_Toc430911022"/>
      <w:bookmarkStart w:id="6" w:name="_Toc19802435"/>
      <w:bookmarkStart w:id="7" w:name="_Toc20010858"/>
      <w:bookmarkStart w:id="8" w:name="_Toc20040453"/>
      <w:bookmarkEnd w:id="0"/>
      <w:bookmarkEnd w:id="1"/>
      <w:bookmarkEnd w:id="2"/>
      <w:r w:rsidRPr="001E17A1">
        <w:rPr>
          <w:rFonts w:ascii="宋体" w:hAnsi="宋体" w:hint="eastAsia"/>
          <w:color w:val="000000" w:themeColor="text1"/>
          <w:sz w:val="24"/>
          <w:szCs w:val="24"/>
        </w:rPr>
        <w:t>项目</w:t>
      </w:r>
      <w:bookmarkStart w:id="9" w:name="_Toc34292043"/>
      <w:bookmarkEnd w:id="3"/>
      <w:bookmarkEnd w:id="4"/>
      <w:bookmarkEnd w:id="5"/>
      <w:bookmarkEnd w:id="6"/>
      <w:r w:rsidRPr="001E17A1">
        <w:rPr>
          <w:rFonts w:ascii="宋体" w:hAnsi="宋体"/>
          <w:color w:val="000000" w:themeColor="text1"/>
          <w:sz w:val="24"/>
          <w:szCs w:val="24"/>
        </w:rPr>
        <w:t>技术需求</w:t>
      </w:r>
      <w:bookmarkStart w:id="10" w:name="_Toc20010859"/>
      <w:bookmarkStart w:id="11" w:name="_Toc20040454"/>
      <w:bookmarkEnd w:id="7"/>
      <w:bookmarkEnd w:id="8"/>
      <w:bookmarkEnd w:id="9"/>
    </w:p>
    <w:p w14:paraId="7289FAAC" w14:textId="77777777" w:rsidR="008137F8" w:rsidRPr="001E17A1" w:rsidRDefault="00000000">
      <w:pPr>
        <w:pStyle w:val="2"/>
        <w:snapToGrid w:val="0"/>
        <w:spacing w:before="0"/>
        <w:ind w:left="0" w:firstLine="0"/>
        <w:rPr>
          <w:rFonts w:ascii="宋体" w:hAnsi="宋体" w:hint="eastAsia"/>
          <w:color w:val="000000" w:themeColor="text1"/>
          <w:sz w:val="24"/>
          <w:szCs w:val="24"/>
        </w:rPr>
      </w:pPr>
      <w:r w:rsidRPr="001E17A1">
        <w:rPr>
          <w:rFonts w:ascii="宋体" w:hAnsi="宋体" w:hint="eastAsia"/>
          <w:color w:val="000000" w:themeColor="text1"/>
          <w:sz w:val="24"/>
          <w:szCs w:val="24"/>
        </w:rPr>
        <w:t>各服务项的具体要求</w:t>
      </w:r>
    </w:p>
    <w:p w14:paraId="547C7FE7" w14:textId="77777777" w:rsidR="008137F8" w:rsidRPr="001E17A1" w:rsidRDefault="00000000">
      <w:pPr>
        <w:snapToGrid w:val="0"/>
        <w:spacing w:line="360" w:lineRule="auto"/>
        <w:ind w:firstLineChars="200" w:firstLine="480"/>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以下为各服务目录及交付物的具体要求，服务规范将根据项目实际情况定期进行更新，倘若存在冲突，则参照最新版本的服务规范予以实施。</w:t>
      </w:r>
    </w:p>
    <w:p w14:paraId="78D496F3" w14:textId="77777777" w:rsidR="008137F8" w:rsidRPr="001E17A1" w:rsidRDefault="00000000">
      <w:pPr>
        <w:pStyle w:val="3"/>
        <w:keepNext w:val="0"/>
        <w:keepLines w:val="0"/>
        <w:snapToGrid w:val="0"/>
        <w:spacing w:before="0" w:line="360" w:lineRule="auto"/>
        <w:ind w:left="567"/>
        <w:rPr>
          <w:rFonts w:ascii="宋体" w:hAnsi="宋体" w:hint="eastAsia"/>
          <w:color w:val="000000" w:themeColor="text1"/>
          <w:sz w:val="24"/>
          <w:szCs w:val="24"/>
        </w:rPr>
      </w:pPr>
      <w:bookmarkStart w:id="12" w:name="_Hlk170995859"/>
      <w:bookmarkStart w:id="13" w:name="_Toc29540"/>
      <w:bookmarkStart w:id="14" w:name="_Toc34292058"/>
      <w:bookmarkStart w:id="15" w:name="_Toc20010869"/>
      <w:bookmarkStart w:id="16" w:name="_Toc20040464"/>
      <w:bookmarkEnd w:id="10"/>
      <w:bookmarkEnd w:id="11"/>
      <w:r w:rsidRPr="001E17A1">
        <w:rPr>
          <w:rFonts w:ascii="宋体" w:hAnsi="宋体" w:hint="eastAsia"/>
          <w:color w:val="000000" w:themeColor="text1"/>
          <w:sz w:val="24"/>
          <w:szCs w:val="24"/>
        </w:rPr>
        <w:t>基础服务类</w:t>
      </w:r>
    </w:p>
    <w:p w14:paraId="2BDCB7DB" w14:textId="77777777" w:rsidR="008137F8" w:rsidRPr="001E17A1" w:rsidRDefault="00000000">
      <w:pPr>
        <w:pStyle w:val="4"/>
        <w:keepNext w:val="0"/>
        <w:keepLines w:val="0"/>
        <w:tabs>
          <w:tab w:val="clear" w:pos="720"/>
          <w:tab w:val="left" w:pos="567"/>
        </w:tabs>
        <w:snapToGrid w:val="0"/>
        <w:spacing w:before="0" w:line="360" w:lineRule="auto"/>
        <w:ind w:left="709"/>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数据采集接入</w:t>
      </w:r>
    </w:p>
    <w:p w14:paraId="5DCF6E0F"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lastRenderedPageBreak/>
        <w:t>服务要求</w:t>
      </w:r>
    </w:p>
    <w:p w14:paraId="07D48347"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实施支撑中心业务需求的数据接入工作，并保障接入数据的</w:t>
      </w:r>
      <w:r w:rsidRPr="001E17A1">
        <w:rPr>
          <w:rFonts w:ascii="宋体" w:hAnsi="宋体"/>
          <w:color w:val="000000" w:themeColor="text1"/>
          <w:szCs w:val="24"/>
        </w:rPr>
        <w:t>实时性、</w:t>
      </w:r>
      <w:r w:rsidRPr="001E17A1">
        <w:rPr>
          <w:rFonts w:ascii="宋体" w:hAnsi="宋体" w:hint="eastAsia"/>
          <w:color w:val="000000" w:themeColor="text1"/>
          <w:szCs w:val="24"/>
        </w:rPr>
        <w:t>有效性和完整性。数据采集接入工作包括数据编目和数据接入两部分，数据编目首先要对需要采集接入的数据进行业务理解和数据理解，然后再按照编目规范标准在编目系统中进行编目；数据接入工作包括协议适配、接口开发、数据清洗、资源挂载、数据对账以及质量检核等，将数据通过ETL汇集到大数据中心数据湖。</w:t>
      </w:r>
    </w:p>
    <w:p w14:paraId="21B301E6"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5790"/>
      </w:tblGrid>
      <w:tr w:rsidR="008137F8" w:rsidRPr="001E17A1" w14:paraId="6EF665D5" w14:textId="77777777">
        <w:trPr>
          <w:trHeight w:val="511"/>
        </w:trPr>
        <w:tc>
          <w:tcPr>
            <w:tcW w:w="1603" w:type="pct"/>
          </w:tcPr>
          <w:p w14:paraId="14EB9E3B"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w:t>
            </w:r>
          </w:p>
        </w:tc>
        <w:tc>
          <w:tcPr>
            <w:tcW w:w="3397" w:type="pct"/>
          </w:tcPr>
          <w:p w14:paraId="49E61813"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3A607DDE" w14:textId="77777777">
        <w:tc>
          <w:tcPr>
            <w:tcW w:w="1603" w:type="pct"/>
            <w:vAlign w:val="center"/>
          </w:tcPr>
          <w:p w14:paraId="5404BBBB"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数据资源目录</w:t>
            </w:r>
          </w:p>
        </w:tc>
        <w:tc>
          <w:tcPr>
            <w:tcW w:w="3397" w:type="pct"/>
            <w:vAlign w:val="center"/>
          </w:tcPr>
          <w:p w14:paraId="7B95D61D"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目录符合编目规范、数据采集标准、符合系统的数据质量检查规则。</w:t>
            </w:r>
          </w:p>
        </w:tc>
      </w:tr>
      <w:tr w:rsidR="008137F8" w:rsidRPr="001E17A1" w14:paraId="3A6AC484" w14:textId="77777777">
        <w:tc>
          <w:tcPr>
            <w:tcW w:w="1603" w:type="pct"/>
            <w:vAlign w:val="center"/>
          </w:tcPr>
          <w:p w14:paraId="10447F0C"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数据资源编目变更记录</w:t>
            </w:r>
          </w:p>
        </w:tc>
        <w:tc>
          <w:tcPr>
            <w:tcW w:w="3397" w:type="pct"/>
            <w:vAlign w:val="center"/>
          </w:tcPr>
          <w:p w14:paraId="2DF74AAF"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附相关记录。</w:t>
            </w:r>
          </w:p>
        </w:tc>
      </w:tr>
      <w:tr w:rsidR="008137F8" w:rsidRPr="001E17A1" w14:paraId="7DEB1E2A" w14:textId="77777777">
        <w:trPr>
          <w:trHeight w:val="90"/>
        </w:trPr>
        <w:tc>
          <w:tcPr>
            <w:tcW w:w="1603" w:type="pct"/>
            <w:vAlign w:val="center"/>
          </w:tcPr>
          <w:p w14:paraId="5653C237"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采集数据日志</w:t>
            </w:r>
          </w:p>
        </w:tc>
        <w:tc>
          <w:tcPr>
            <w:tcW w:w="3397" w:type="pct"/>
            <w:vAlign w:val="center"/>
          </w:tcPr>
          <w:p w14:paraId="1BF2B94E"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日志包含但不限于以下字段：库表位置、运行状态、实际数量等。</w:t>
            </w:r>
          </w:p>
        </w:tc>
      </w:tr>
    </w:tbl>
    <w:p w14:paraId="54931C30"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数据抽取服务</w:t>
      </w:r>
    </w:p>
    <w:p w14:paraId="1F0911C6"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21ABAD7B"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对新增数据资源的抽取服务，按照编目规范标准在编目系统中完成编目。按照应用需求进行集中统一服务，根据抽取数据对象的不同数据属性、不同业务领域、不同授权场景从源数据库抽取数据到指定目标库中，并完成数据清洗加工、数据质量前置基础性评估和处理工作；对有实时数据共享需求的任务，依托区大数据资源平台提供源系统相关数据的编目、实时接入工作，并根据共享的具体场景提供数据接入的实时监控。实施日常数据抽取任务维护，保障各信息系统的数据及时准确地汇聚，对问题抽取任务进行处置调整。</w:t>
      </w:r>
    </w:p>
    <w:p w14:paraId="2F4B7373"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5773"/>
      </w:tblGrid>
      <w:tr w:rsidR="008137F8" w:rsidRPr="001E17A1" w14:paraId="5FFB4936" w14:textId="77777777">
        <w:trPr>
          <w:trHeight w:val="416"/>
        </w:trPr>
        <w:tc>
          <w:tcPr>
            <w:tcW w:w="1613" w:type="pct"/>
            <w:vAlign w:val="center"/>
          </w:tcPr>
          <w:p w14:paraId="05ABB26B"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387" w:type="pct"/>
            <w:vAlign w:val="center"/>
          </w:tcPr>
          <w:p w14:paraId="48A601AF"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2FABC703" w14:textId="77777777">
        <w:tc>
          <w:tcPr>
            <w:tcW w:w="1613" w:type="pct"/>
          </w:tcPr>
          <w:p w14:paraId="79DC034F"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抽取流程设计</w:t>
            </w:r>
          </w:p>
        </w:tc>
        <w:tc>
          <w:tcPr>
            <w:tcW w:w="3387" w:type="pct"/>
          </w:tcPr>
          <w:p w14:paraId="11DD048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符合数据运营工作实际需求，符合数据抽取相关规范和数据对账方案。</w:t>
            </w:r>
          </w:p>
        </w:tc>
      </w:tr>
      <w:tr w:rsidR="008137F8" w:rsidRPr="001E17A1" w14:paraId="7F892DCB" w14:textId="77777777">
        <w:tc>
          <w:tcPr>
            <w:tcW w:w="1613" w:type="pct"/>
          </w:tcPr>
          <w:p w14:paraId="3DFF267B"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抽取流程变更记录</w:t>
            </w:r>
          </w:p>
        </w:tc>
        <w:tc>
          <w:tcPr>
            <w:tcW w:w="3387" w:type="pct"/>
          </w:tcPr>
          <w:p w14:paraId="0E48D882"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附相关记录。</w:t>
            </w:r>
          </w:p>
        </w:tc>
      </w:tr>
      <w:tr w:rsidR="008137F8" w:rsidRPr="001E17A1" w14:paraId="29097A36" w14:textId="77777777">
        <w:tc>
          <w:tcPr>
            <w:tcW w:w="1613" w:type="pct"/>
          </w:tcPr>
          <w:p w14:paraId="60363AB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优化分析报告（如有）</w:t>
            </w:r>
          </w:p>
        </w:tc>
        <w:tc>
          <w:tcPr>
            <w:tcW w:w="3387" w:type="pct"/>
          </w:tcPr>
          <w:p w14:paraId="0232E26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符合优化分析报告模板。</w:t>
            </w:r>
          </w:p>
        </w:tc>
      </w:tr>
      <w:tr w:rsidR="008137F8" w:rsidRPr="001E17A1" w14:paraId="4E69368D" w14:textId="77777777">
        <w:tc>
          <w:tcPr>
            <w:tcW w:w="1613" w:type="pct"/>
          </w:tcPr>
          <w:p w14:paraId="37D70C01"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抽取数据日志</w:t>
            </w:r>
          </w:p>
        </w:tc>
        <w:tc>
          <w:tcPr>
            <w:tcW w:w="3387" w:type="pct"/>
          </w:tcPr>
          <w:p w14:paraId="3E791A87"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日志包含但不限于以下信息：库表位置、运行状态、</w:t>
            </w:r>
            <w:r w:rsidRPr="001E17A1">
              <w:rPr>
                <w:rFonts w:ascii="宋体" w:hAnsi="宋体" w:hint="eastAsia"/>
                <w:color w:val="000000" w:themeColor="text1"/>
                <w:szCs w:val="24"/>
              </w:rPr>
              <w:lastRenderedPageBreak/>
              <w:t>和数据对账记录等。</w:t>
            </w:r>
          </w:p>
        </w:tc>
      </w:tr>
      <w:tr w:rsidR="008137F8" w:rsidRPr="001E17A1" w14:paraId="63A37311" w14:textId="77777777">
        <w:tc>
          <w:tcPr>
            <w:tcW w:w="1613" w:type="pct"/>
          </w:tcPr>
          <w:p w14:paraId="78893CEC"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lastRenderedPageBreak/>
              <w:t>月总结报告</w:t>
            </w:r>
          </w:p>
        </w:tc>
        <w:tc>
          <w:tcPr>
            <w:tcW w:w="3387" w:type="pct"/>
          </w:tcPr>
          <w:p w14:paraId="2804A3E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月汇总报告内容至少包含下述绩效指标：</w:t>
            </w:r>
          </w:p>
          <w:p w14:paraId="16129B0C"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及时率=要求的时间内抽取次数/计划抽取次数、</w:t>
            </w:r>
          </w:p>
          <w:p w14:paraId="1715343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准确率=入湖数据量/源头数据量。</w:t>
            </w:r>
          </w:p>
        </w:tc>
      </w:tr>
    </w:tbl>
    <w:p w14:paraId="05025154"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数据标签</w:t>
      </w:r>
    </w:p>
    <w:p w14:paraId="3CC982A8"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0C566F29"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根据数据内容分类分级标准、数据标识的需求场景、需要标识的数据业务分类、需要标识的数据安全分类、需标注的数据范围，实施对结构化数据、文本数据、音频数据、视频数据、流媒体等格式进行内容释义，对数据内容进行分类分级管理，以挖掘数据资产价值，提升数据资产复用性和数据管理精细化程度。</w:t>
      </w:r>
    </w:p>
    <w:p w14:paraId="2CF763F5"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5962"/>
      </w:tblGrid>
      <w:tr w:rsidR="008137F8" w:rsidRPr="001E17A1" w14:paraId="0768F640" w14:textId="77777777">
        <w:trPr>
          <w:jc w:val="center"/>
        </w:trPr>
        <w:tc>
          <w:tcPr>
            <w:tcW w:w="1502" w:type="pct"/>
          </w:tcPr>
          <w:p w14:paraId="1F5C5678"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w:t>
            </w:r>
          </w:p>
        </w:tc>
        <w:tc>
          <w:tcPr>
            <w:tcW w:w="3498" w:type="pct"/>
          </w:tcPr>
          <w:p w14:paraId="59A1FDCD"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503173FB" w14:textId="77777777">
        <w:trPr>
          <w:jc w:val="center"/>
        </w:trPr>
        <w:tc>
          <w:tcPr>
            <w:tcW w:w="1502" w:type="pct"/>
          </w:tcPr>
          <w:p w14:paraId="6B98ABA0"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数据标签规则</w:t>
            </w:r>
          </w:p>
        </w:tc>
        <w:tc>
          <w:tcPr>
            <w:tcW w:w="3498" w:type="pct"/>
          </w:tcPr>
          <w:p w14:paraId="071CE4BA"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规则符合数据分级以及相关重点工作的要求。</w:t>
            </w:r>
          </w:p>
        </w:tc>
      </w:tr>
      <w:tr w:rsidR="008137F8" w:rsidRPr="001E17A1" w14:paraId="69FEB7D3" w14:textId="77777777">
        <w:trPr>
          <w:jc w:val="center"/>
        </w:trPr>
        <w:tc>
          <w:tcPr>
            <w:tcW w:w="1502" w:type="pct"/>
          </w:tcPr>
          <w:p w14:paraId="28774126"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数据标签日志/记录</w:t>
            </w:r>
          </w:p>
        </w:tc>
        <w:tc>
          <w:tcPr>
            <w:tcW w:w="3498" w:type="pct"/>
          </w:tcPr>
          <w:p w14:paraId="19316BE3"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日志包含但不限于以下字段，含标签内容、数量等。</w:t>
            </w:r>
          </w:p>
        </w:tc>
      </w:tr>
    </w:tbl>
    <w:p w14:paraId="4439D33E"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时空数据转换与处理</w:t>
      </w:r>
    </w:p>
    <w:p w14:paraId="62EC1B88"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05E37EC9"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根据时空数据的坐标转换、格式转换等需求，对时空数据的坐标、格式进行转换服务工作，为业务需求提供专业化的时空数据需求。</w:t>
      </w:r>
    </w:p>
    <w:p w14:paraId="22066352"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5773"/>
      </w:tblGrid>
      <w:tr w:rsidR="008137F8" w:rsidRPr="001E17A1" w14:paraId="4C51DCA4" w14:textId="77777777">
        <w:trPr>
          <w:trHeight w:val="416"/>
        </w:trPr>
        <w:tc>
          <w:tcPr>
            <w:tcW w:w="1613" w:type="pct"/>
            <w:vAlign w:val="center"/>
          </w:tcPr>
          <w:p w14:paraId="394BF77A"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387" w:type="pct"/>
            <w:vAlign w:val="center"/>
          </w:tcPr>
          <w:p w14:paraId="7DA00855"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2E033141" w14:textId="77777777">
        <w:tc>
          <w:tcPr>
            <w:tcW w:w="1613" w:type="pct"/>
          </w:tcPr>
          <w:p w14:paraId="0A8FC6D2"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时空数据转换与处理流程设计</w:t>
            </w:r>
          </w:p>
        </w:tc>
        <w:tc>
          <w:tcPr>
            <w:tcW w:w="3387" w:type="pct"/>
          </w:tcPr>
          <w:p w14:paraId="3EB9236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符合数据运营工作实际需求，符合数据转换处理相关规范和数据对账方案。</w:t>
            </w:r>
          </w:p>
        </w:tc>
      </w:tr>
      <w:tr w:rsidR="008137F8" w:rsidRPr="001E17A1" w14:paraId="5B5DA2E7" w14:textId="77777777">
        <w:tc>
          <w:tcPr>
            <w:tcW w:w="1613" w:type="pct"/>
          </w:tcPr>
          <w:p w14:paraId="2A3ADE3F"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时空数据转换与处理工作记录</w:t>
            </w:r>
          </w:p>
        </w:tc>
        <w:tc>
          <w:tcPr>
            <w:tcW w:w="3387" w:type="pct"/>
          </w:tcPr>
          <w:p w14:paraId="50280C6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附相关记录材料。</w:t>
            </w:r>
          </w:p>
        </w:tc>
      </w:tr>
      <w:tr w:rsidR="008137F8" w:rsidRPr="001E17A1" w14:paraId="02448708" w14:textId="77777777">
        <w:tc>
          <w:tcPr>
            <w:tcW w:w="1613" w:type="pct"/>
          </w:tcPr>
          <w:p w14:paraId="1180915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优化分析报告（如有）</w:t>
            </w:r>
          </w:p>
        </w:tc>
        <w:tc>
          <w:tcPr>
            <w:tcW w:w="3387" w:type="pct"/>
          </w:tcPr>
          <w:p w14:paraId="030202E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符合优化分析报告模板，附相关记录材料。</w:t>
            </w:r>
          </w:p>
        </w:tc>
      </w:tr>
      <w:tr w:rsidR="008137F8" w:rsidRPr="001E17A1" w14:paraId="4CE62A78" w14:textId="77777777">
        <w:tc>
          <w:tcPr>
            <w:tcW w:w="1613" w:type="pct"/>
          </w:tcPr>
          <w:p w14:paraId="4F8EBE6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时空数据转换与处理数据日志</w:t>
            </w:r>
          </w:p>
        </w:tc>
        <w:tc>
          <w:tcPr>
            <w:tcW w:w="3387" w:type="pct"/>
          </w:tcPr>
          <w:p w14:paraId="188754C1"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日志包含但不限于以下信息：库表位置、运行状态、和数据对账记录等。</w:t>
            </w:r>
          </w:p>
        </w:tc>
      </w:tr>
      <w:tr w:rsidR="008137F8" w:rsidRPr="001E17A1" w14:paraId="53C7687A" w14:textId="77777777">
        <w:tc>
          <w:tcPr>
            <w:tcW w:w="1613" w:type="pct"/>
          </w:tcPr>
          <w:p w14:paraId="0B4363E2"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总结报告</w:t>
            </w:r>
          </w:p>
        </w:tc>
        <w:tc>
          <w:tcPr>
            <w:tcW w:w="3387" w:type="pct"/>
          </w:tcPr>
          <w:p w14:paraId="2F1DF99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总结报告应体现服务需求来源、需求完成情况、服务工作总结等内容。</w:t>
            </w:r>
          </w:p>
        </w:tc>
      </w:tr>
    </w:tbl>
    <w:p w14:paraId="5F7D84E1"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lastRenderedPageBreak/>
        <w:t>对于历史数据的归档及销毁</w:t>
      </w:r>
    </w:p>
    <w:p w14:paraId="112FB9FB"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3172347F"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针对数据运营服务的要求，开展日常数据归档、恢复、销毁等工作的服务。该服务需要做到针对不对数据使用场景下的各类数据按需、配置化、全覆盖的服务要求，同时需要支撑该服务的可逆性和可视化需求。</w:t>
      </w:r>
    </w:p>
    <w:p w14:paraId="379CEDD1"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1"/>
        <w:gridCol w:w="5911"/>
      </w:tblGrid>
      <w:tr w:rsidR="008137F8" w:rsidRPr="001E17A1" w14:paraId="047A066B" w14:textId="77777777">
        <w:trPr>
          <w:trHeight w:val="609"/>
        </w:trPr>
        <w:tc>
          <w:tcPr>
            <w:tcW w:w="1532" w:type="pct"/>
            <w:tcBorders>
              <w:top w:val="single" w:sz="4" w:space="0" w:color="000000"/>
              <w:left w:val="single" w:sz="4" w:space="0" w:color="000000"/>
              <w:bottom w:val="single" w:sz="4" w:space="0" w:color="000000"/>
              <w:right w:val="single" w:sz="4" w:space="0" w:color="000000"/>
            </w:tcBorders>
            <w:vAlign w:val="center"/>
          </w:tcPr>
          <w:p w14:paraId="11B58897"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w:t>
            </w:r>
          </w:p>
        </w:tc>
        <w:tc>
          <w:tcPr>
            <w:tcW w:w="3468" w:type="pct"/>
            <w:tcBorders>
              <w:top w:val="single" w:sz="4" w:space="0" w:color="000000"/>
              <w:left w:val="single" w:sz="4" w:space="0" w:color="000000"/>
              <w:bottom w:val="single" w:sz="4" w:space="0" w:color="000000"/>
              <w:right w:val="single" w:sz="4" w:space="0" w:color="000000"/>
            </w:tcBorders>
            <w:vAlign w:val="center"/>
          </w:tcPr>
          <w:p w14:paraId="7B56EE3D"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输出物标准</w:t>
            </w:r>
          </w:p>
        </w:tc>
      </w:tr>
      <w:tr w:rsidR="008137F8" w:rsidRPr="001E17A1" w14:paraId="623C62A5" w14:textId="77777777">
        <w:trPr>
          <w:trHeight w:val="609"/>
        </w:trPr>
        <w:tc>
          <w:tcPr>
            <w:tcW w:w="1532" w:type="pct"/>
            <w:tcBorders>
              <w:top w:val="single" w:sz="4" w:space="0" w:color="000000"/>
              <w:left w:val="single" w:sz="4" w:space="0" w:color="000000"/>
              <w:bottom w:val="single" w:sz="4" w:space="0" w:color="000000"/>
              <w:right w:val="single" w:sz="4" w:space="0" w:color="000000"/>
            </w:tcBorders>
            <w:vAlign w:val="center"/>
          </w:tcPr>
          <w:p w14:paraId="40488F79"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归档/销毁方案</w:t>
            </w:r>
          </w:p>
        </w:tc>
        <w:tc>
          <w:tcPr>
            <w:tcW w:w="3468" w:type="pct"/>
            <w:tcBorders>
              <w:top w:val="single" w:sz="4" w:space="0" w:color="000000"/>
              <w:left w:val="single" w:sz="4" w:space="0" w:color="000000"/>
              <w:bottom w:val="single" w:sz="4" w:space="0" w:color="000000"/>
              <w:right w:val="single" w:sz="4" w:space="0" w:color="000000"/>
            </w:tcBorders>
            <w:vAlign w:val="center"/>
          </w:tcPr>
          <w:p w14:paraId="458621F0"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符合归档或者销毁的运营需求。</w:t>
            </w:r>
          </w:p>
        </w:tc>
      </w:tr>
      <w:tr w:rsidR="008137F8" w:rsidRPr="001E17A1" w14:paraId="7C42BEBA" w14:textId="77777777">
        <w:trPr>
          <w:trHeight w:val="415"/>
        </w:trPr>
        <w:tc>
          <w:tcPr>
            <w:tcW w:w="1532" w:type="pct"/>
            <w:tcBorders>
              <w:top w:val="single" w:sz="4" w:space="0" w:color="000000"/>
              <w:left w:val="single" w:sz="4" w:space="0" w:color="000000"/>
              <w:bottom w:val="single" w:sz="4" w:space="0" w:color="000000"/>
              <w:right w:val="single" w:sz="4" w:space="0" w:color="000000"/>
            </w:tcBorders>
            <w:vAlign w:val="center"/>
          </w:tcPr>
          <w:p w14:paraId="43064723"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归档/销毁执行日志</w:t>
            </w:r>
          </w:p>
        </w:tc>
        <w:tc>
          <w:tcPr>
            <w:tcW w:w="3468" w:type="pct"/>
            <w:tcBorders>
              <w:top w:val="single" w:sz="4" w:space="0" w:color="000000"/>
              <w:left w:val="single" w:sz="4" w:space="0" w:color="000000"/>
              <w:bottom w:val="single" w:sz="4" w:space="0" w:color="000000"/>
              <w:right w:val="single" w:sz="4" w:space="0" w:color="000000"/>
            </w:tcBorders>
            <w:vAlign w:val="center"/>
          </w:tcPr>
          <w:p w14:paraId="1B026F9D" w14:textId="77777777" w:rsidR="008137F8" w:rsidRPr="001E17A1" w:rsidRDefault="00000000">
            <w:pPr>
              <w:pStyle w:val="15"/>
              <w:snapToGrid w:val="0"/>
              <w:ind w:firstLineChars="0" w:firstLine="0"/>
              <w:jc w:val="left"/>
              <w:rPr>
                <w:rFonts w:ascii="宋体" w:hAnsi="宋体" w:hint="eastAsia"/>
                <w:bCs/>
                <w:color w:val="000000" w:themeColor="text1"/>
                <w:kern w:val="0"/>
                <w:szCs w:val="24"/>
              </w:rPr>
            </w:pPr>
            <w:r w:rsidRPr="001E17A1">
              <w:rPr>
                <w:rFonts w:ascii="宋体" w:hAnsi="宋体" w:hint="eastAsia"/>
                <w:bCs/>
                <w:color w:val="000000" w:themeColor="text1"/>
                <w:kern w:val="0"/>
                <w:szCs w:val="24"/>
              </w:rPr>
              <w:t>包含库表位置、运行状态、实际数量等。</w:t>
            </w:r>
          </w:p>
        </w:tc>
      </w:tr>
      <w:tr w:rsidR="008137F8" w:rsidRPr="001E17A1" w14:paraId="71AB2617" w14:textId="77777777">
        <w:trPr>
          <w:trHeight w:val="415"/>
        </w:trPr>
        <w:tc>
          <w:tcPr>
            <w:tcW w:w="1532" w:type="pct"/>
            <w:tcBorders>
              <w:top w:val="single" w:sz="4" w:space="0" w:color="000000"/>
              <w:left w:val="single" w:sz="4" w:space="0" w:color="000000"/>
              <w:bottom w:val="single" w:sz="4" w:space="0" w:color="000000"/>
              <w:right w:val="single" w:sz="4" w:space="0" w:color="000000"/>
            </w:tcBorders>
            <w:vAlign w:val="center"/>
          </w:tcPr>
          <w:p w14:paraId="0FA5EA9F"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数据归档/销毁服务报告</w:t>
            </w:r>
          </w:p>
        </w:tc>
        <w:tc>
          <w:tcPr>
            <w:tcW w:w="3468" w:type="pct"/>
            <w:tcBorders>
              <w:top w:val="single" w:sz="4" w:space="0" w:color="000000"/>
              <w:left w:val="single" w:sz="4" w:space="0" w:color="000000"/>
              <w:bottom w:val="single" w:sz="4" w:space="0" w:color="000000"/>
              <w:right w:val="single" w:sz="4" w:space="0" w:color="000000"/>
            </w:tcBorders>
            <w:vAlign w:val="center"/>
          </w:tcPr>
          <w:p w14:paraId="7B07EFD3" w14:textId="77777777" w:rsidR="008137F8" w:rsidRPr="001E17A1" w:rsidRDefault="00000000">
            <w:pPr>
              <w:pStyle w:val="15"/>
              <w:snapToGrid w:val="0"/>
              <w:ind w:firstLineChars="0" w:firstLine="0"/>
              <w:jc w:val="left"/>
              <w:rPr>
                <w:rFonts w:ascii="宋体" w:hAnsi="宋体" w:hint="eastAsia"/>
                <w:bCs/>
                <w:color w:val="000000" w:themeColor="text1"/>
                <w:kern w:val="0"/>
                <w:szCs w:val="24"/>
              </w:rPr>
            </w:pPr>
            <w:r w:rsidRPr="001E17A1">
              <w:rPr>
                <w:rFonts w:ascii="宋体" w:hAnsi="宋体" w:hint="eastAsia"/>
                <w:bCs/>
                <w:color w:val="000000" w:themeColor="text1"/>
                <w:kern w:val="0"/>
                <w:szCs w:val="24"/>
              </w:rPr>
              <w:t>报告期内各业务系统使用数据归档情况、数据销毁情况。</w:t>
            </w:r>
          </w:p>
        </w:tc>
      </w:tr>
    </w:tbl>
    <w:p w14:paraId="3AF4FB5B"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数据质量检查</w:t>
      </w:r>
    </w:p>
    <w:p w14:paraId="553C153F"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3A30E4FD"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结合业务需求或数据质量管理要求，设计新的数据质量规则，并完成质量规则对应数据表的质量检查工作，并对检查出的非数据管理过程中的技术因素引起的问题数据，进行修正处理，不断提升数据质量。</w:t>
      </w:r>
    </w:p>
    <w:p w14:paraId="5D5672E8"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对数据资产目录的质量检查工作，包括编目的内容、字段信息的完整性、有效性等质量检查，并就问题编目进行沟通对接、调整修改；对采集的数据、融合治理后的结构化数据，结合已有数据质量规则进行数据质量检查工作；对共享、开放的文件数据开展检查工作，包括文件可下载性检查、文件内容的查看、文件与编目的关联性检查等，并处置异常数据文件；对空间地理类新增数据开展核实工作，包括地名地址信息、门牌信息、坐标信息等真实有效性核实确认，并在综合库、基础库、专题库中进行更新。</w:t>
      </w:r>
    </w:p>
    <w:p w14:paraId="3213F15C"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pPr w:leftFromText="180" w:rightFromText="180" w:vertAnchor="text" w:horzAnchor="page" w:tblpX="1798" w:tblpY="45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5289"/>
      </w:tblGrid>
      <w:tr w:rsidR="008137F8" w:rsidRPr="001E17A1" w14:paraId="0631A2D2" w14:textId="77777777">
        <w:trPr>
          <w:trHeight w:val="504"/>
        </w:trPr>
        <w:tc>
          <w:tcPr>
            <w:tcW w:w="1897" w:type="pct"/>
            <w:vAlign w:val="center"/>
          </w:tcPr>
          <w:p w14:paraId="37DCB665"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103" w:type="pct"/>
            <w:vAlign w:val="center"/>
          </w:tcPr>
          <w:p w14:paraId="40C77ACF"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3BF690FD" w14:textId="77777777">
        <w:tc>
          <w:tcPr>
            <w:tcW w:w="1897" w:type="pct"/>
            <w:vAlign w:val="center"/>
          </w:tcPr>
          <w:p w14:paraId="0EF45869"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质量规则设计及变更记录</w:t>
            </w:r>
          </w:p>
        </w:tc>
        <w:tc>
          <w:tcPr>
            <w:tcW w:w="3103" w:type="pct"/>
            <w:vAlign w:val="center"/>
          </w:tcPr>
          <w:p w14:paraId="2E4CB6BB"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符合数据运营工作实际需求，符合数据标准和公共数据模型设计规范。</w:t>
            </w:r>
          </w:p>
        </w:tc>
      </w:tr>
      <w:tr w:rsidR="008137F8" w:rsidRPr="001E17A1" w14:paraId="2F29E632" w14:textId="77777777">
        <w:trPr>
          <w:trHeight w:val="314"/>
        </w:trPr>
        <w:tc>
          <w:tcPr>
            <w:tcW w:w="1897" w:type="pct"/>
            <w:vAlign w:val="center"/>
          </w:tcPr>
          <w:p w14:paraId="5B86E85B"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数据质量检查日志</w:t>
            </w:r>
          </w:p>
        </w:tc>
        <w:tc>
          <w:tcPr>
            <w:tcW w:w="3103" w:type="pct"/>
            <w:vAlign w:val="center"/>
          </w:tcPr>
          <w:p w14:paraId="2CAE2084"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日志包括但不限于以下字段：库表名称、检查规</w:t>
            </w:r>
            <w:r w:rsidRPr="001E17A1">
              <w:rPr>
                <w:rFonts w:ascii="宋体" w:hAnsi="宋体" w:hint="eastAsia"/>
                <w:color w:val="000000" w:themeColor="text1"/>
                <w:sz w:val="24"/>
                <w:szCs w:val="24"/>
              </w:rPr>
              <w:lastRenderedPageBreak/>
              <w:t>则、实际检测数量、异常数据量等。</w:t>
            </w:r>
          </w:p>
        </w:tc>
      </w:tr>
      <w:tr w:rsidR="008137F8" w:rsidRPr="001E17A1" w14:paraId="37B996EF" w14:textId="77777777">
        <w:trPr>
          <w:trHeight w:val="314"/>
        </w:trPr>
        <w:tc>
          <w:tcPr>
            <w:tcW w:w="1897" w:type="pct"/>
            <w:vAlign w:val="center"/>
          </w:tcPr>
          <w:p w14:paraId="59993E4C"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异常数据清单</w:t>
            </w:r>
          </w:p>
        </w:tc>
        <w:tc>
          <w:tcPr>
            <w:tcW w:w="3103" w:type="pct"/>
            <w:vAlign w:val="center"/>
          </w:tcPr>
          <w:p w14:paraId="3F0023A2"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异常数据清单，包含数据信息和判定异常原因，附相关记录材料。</w:t>
            </w:r>
          </w:p>
        </w:tc>
      </w:tr>
      <w:tr w:rsidR="008137F8" w:rsidRPr="001E17A1" w14:paraId="038C5B5D" w14:textId="77777777">
        <w:trPr>
          <w:trHeight w:val="314"/>
        </w:trPr>
        <w:tc>
          <w:tcPr>
            <w:tcW w:w="1897" w:type="pct"/>
            <w:vAlign w:val="center"/>
          </w:tcPr>
          <w:p w14:paraId="05843528"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数据质量报告</w:t>
            </w:r>
          </w:p>
        </w:tc>
        <w:tc>
          <w:tcPr>
            <w:tcW w:w="3103" w:type="pct"/>
            <w:vAlign w:val="center"/>
          </w:tcPr>
          <w:p w14:paraId="63AED94A"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符合数据质量报告模板</w:t>
            </w:r>
            <w:r w:rsidRPr="001E17A1">
              <w:rPr>
                <w:rFonts w:ascii="宋体" w:hAnsi="宋体" w:hint="eastAsia"/>
                <w:bCs/>
                <w:color w:val="000000" w:themeColor="text1"/>
                <w:kern w:val="0"/>
                <w:sz w:val="24"/>
                <w:szCs w:val="24"/>
              </w:rPr>
              <w:t>。</w:t>
            </w:r>
          </w:p>
        </w:tc>
      </w:tr>
      <w:tr w:rsidR="008137F8" w:rsidRPr="001E17A1" w14:paraId="4B244DD2" w14:textId="77777777">
        <w:trPr>
          <w:trHeight w:val="314"/>
        </w:trPr>
        <w:tc>
          <w:tcPr>
            <w:tcW w:w="1897" w:type="pct"/>
            <w:vAlign w:val="center"/>
          </w:tcPr>
          <w:p w14:paraId="224464F2"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综合数据质量评价报告</w:t>
            </w:r>
          </w:p>
        </w:tc>
        <w:tc>
          <w:tcPr>
            <w:tcW w:w="3103" w:type="pct"/>
            <w:vAlign w:val="center"/>
          </w:tcPr>
          <w:p w14:paraId="646F9F2F"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符合综合质量检查评价报告模板，附相关记录材料。</w:t>
            </w:r>
          </w:p>
        </w:tc>
      </w:tr>
      <w:tr w:rsidR="008137F8" w:rsidRPr="001E17A1" w14:paraId="4CC8A9F5" w14:textId="77777777">
        <w:trPr>
          <w:trHeight w:val="314"/>
        </w:trPr>
        <w:tc>
          <w:tcPr>
            <w:tcW w:w="1897" w:type="pct"/>
            <w:vAlign w:val="center"/>
          </w:tcPr>
          <w:p w14:paraId="52EA43A8"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异常数据修复方案（如有）</w:t>
            </w:r>
          </w:p>
        </w:tc>
        <w:tc>
          <w:tcPr>
            <w:tcW w:w="3103" w:type="pct"/>
            <w:vAlign w:val="center"/>
          </w:tcPr>
          <w:p w14:paraId="3B376819"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符合方案模板要求，附相关记录材料。</w:t>
            </w:r>
          </w:p>
        </w:tc>
      </w:tr>
      <w:tr w:rsidR="008137F8" w:rsidRPr="001E17A1" w14:paraId="68ABF67B" w14:textId="77777777">
        <w:trPr>
          <w:trHeight w:val="314"/>
        </w:trPr>
        <w:tc>
          <w:tcPr>
            <w:tcW w:w="1897" w:type="pct"/>
            <w:vAlign w:val="center"/>
          </w:tcPr>
          <w:p w14:paraId="3ECF638C"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异常数据处置及修复测试报告（如有）</w:t>
            </w:r>
          </w:p>
        </w:tc>
        <w:tc>
          <w:tcPr>
            <w:tcW w:w="3103" w:type="pct"/>
            <w:vAlign w:val="center"/>
          </w:tcPr>
          <w:p w14:paraId="0628AB5A"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测试报告，二次验证通过后的记录材料。</w:t>
            </w:r>
          </w:p>
        </w:tc>
      </w:tr>
      <w:tr w:rsidR="008137F8" w:rsidRPr="001E17A1" w14:paraId="3D3B417F" w14:textId="77777777">
        <w:trPr>
          <w:trHeight w:val="314"/>
        </w:trPr>
        <w:tc>
          <w:tcPr>
            <w:tcW w:w="1897" w:type="pct"/>
            <w:vAlign w:val="center"/>
          </w:tcPr>
          <w:p w14:paraId="595C2780"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外业核查记录（如有）</w:t>
            </w:r>
          </w:p>
        </w:tc>
        <w:tc>
          <w:tcPr>
            <w:tcW w:w="3103" w:type="pct"/>
            <w:vAlign w:val="center"/>
          </w:tcPr>
          <w:p w14:paraId="579AC9D0"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符合外业核查要求的原始记录和确认记录。</w:t>
            </w:r>
          </w:p>
        </w:tc>
      </w:tr>
    </w:tbl>
    <w:p w14:paraId="2D48C58F"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数据共享/开放/授权订阅服务</w:t>
      </w:r>
    </w:p>
    <w:p w14:paraId="66EC479E"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4B13E919"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在数据共享、开放、社会化应用工作中所提供的一组完整服务接口的服务数，原则上服务主要针对数据集对外提供一组多种类型的接口服务，并根据不同用户角色的需求开展满足不同SLA的数据共享需求；提供的一组多种类型的接口服务包括但不限于样例数据接口、Json、Xml；同时满足数据安全的工作要求。</w:t>
      </w:r>
    </w:p>
    <w:p w14:paraId="23783D91"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Style w:val="af6"/>
        <w:tblW w:w="5000" w:type="pct"/>
        <w:tblLook w:val="04A0" w:firstRow="1" w:lastRow="0" w:firstColumn="1" w:lastColumn="0" w:noHBand="0" w:noVBand="1"/>
      </w:tblPr>
      <w:tblGrid>
        <w:gridCol w:w="3007"/>
        <w:gridCol w:w="5515"/>
      </w:tblGrid>
      <w:tr w:rsidR="008137F8" w:rsidRPr="001E17A1" w14:paraId="668BA4DE" w14:textId="77777777">
        <w:tc>
          <w:tcPr>
            <w:tcW w:w="1764" w:type="pct"/>
          </w:tcPr>
          <w:p w14:paraId="6DAB334A"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236" w:type="pct"/>
          </w:tcPr>
          <w:p w14:paraId="260FEAE1"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7E1EC6BD" w14:textId="77777777">
        <w:trPr>
          <w:trHeight w:val="333"/>
        </w:trPr>
        <w:tc>
          <w:tcPr>
            <w:tcW w:w="1764" w:type="pct"/>
          </w:tcPr>
          <w:p w14:paraId="3762099B"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需求文档</w:t>
            </w:r>
          </w:p>
        </w:tc>
        <w:tc>
          <w:tcPr>
            <w:tcW w:w="3236" w:type="pct"/>
          </w:tcPr>
          <w:p w14:paraId="60C01E01"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接口清单、委办自定义入参出参，在文档模板里明确使用场景。</w:t>
            </w:r>
          </w:p>
          <w:p w14:paraId="17806D82"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文件订阅方式，需包含具体文件类型及规格说明、共享方式等信息，如果约定文件命名规则，必须在本文档中表述清楚。</w:t>
            </w:r>
          </w:p>
        </w:tc>
      </w:tr>
      <w:tr w:rsidR="008137F8" w:rsidRPr="001E17A1" w14:paraId="5B5A90B5" w14:textId="77777777">
        <w:tc>
          <w:tcPr>
            <w:tcW w:w="1764" w:type="pct"/>
          </w:tcPr>
          <w:p w14:paraId="59919135"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数据模型设计（如有）</w:t>
            </w:r>
          </w:p>
        </w:tc>
        <w:tc>
          <w:tcPr>
            <w:tcW w:w="3236" w:type="pct"/>
          </w:tcPr>
          <w:p w14:paraId="1100F720"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API接口设计或库表落地数据模型设计，需包含库表说明，业务逻辑，推送方案；</w:t>
            </w:r>
          </w:p>
          <w:p w14:paraId="23B58651"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文件订阅方式可以无数据模型设计文档。</w:t>
            </w:r>
          </w:p>
        </w:tc>
      </w:tr>
      <w:tr w:rsidR="008137F8" w:rsidRPr="001E17A1" w14:paraId="6538F4D3" w14:textId="77777777">
        <w:tc>
          <w:tcPr>
            <w:tcW w:w="1764" w:type="pct"/>
          </w:tcPr>
          <w:p w14:paraId="3C4E4180"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接口开发代码</w:t>
            </w:r>
          </w:p>
        </w:tc>
        <w:tc>
          <w:tcPr>
            <w:tcW w:w="3236" w:type="pct"/>
          </w:tcPr>
          <w:p w14:paraId="4FFE1449"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提供接口开发代码清单或截图。</w:t>
            </w:r>
          </w:p>
        </w:tc>
      </w:tr>
      <w:tr w:rsidR="008137F8" w:rsidRPr="001E17A1" w14:paraId="4E50597A" w14:textId="77777777">
        <w:trPr>
          <w:trHeight w:val="311"/>
        </w:trPr>
        <w:tc>
          <w:tcPr>
            <w:tcW w:w="1764" w:type="pct"/>
          </w:tcPr>
          <w:p w14:paraId="6DF13B6B"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接口测试报告(含API接口列表)</w:t>
            </w:r>
          </w:p>
        </w:tc>
        <w:tc>
          <w:tcPr>
            <w:tcW w:w="3236" w:type="pct"/>
          </w:tcPr>
          <w:p w14:paraId="3E98CF64"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测试报告需包括参数名称、类型、取值范围，附相关记录材料；API接口符合业务需求和性能要求</w:t>
            </w:r>
          </w:p>
          <w:p w14:paraId="6F13477D"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文件订阅方式不涉及到接口，可以无测试报告。</w:t>
            </w:r>
          </w:p>
        </w:tc>
      </w:tr>
      <w:tr w:rsidR="008137F8" w:rsidRPr="001E17A1" w14:paraId="6FE53740" w14:textId="77777777">
        <w:trPr>
          <w:trHeight w:val="314"/>
        </w:trPr>
        <w:tc>
          <w:tcPr>
            <w:tcW w:w="1764" w:type="pct"/>
          </w:tcPr>
          <w:p w14:paraId="39225AB5"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作业上线记录</w:t>
            </w:r>
          </w:p>
        </w:tc>
        <w:tc>
          <w:tcPr>
            <w:tcW w:w="3236" w:type="pct"/>
          </w:tcPr>
          <w:p w14:paraId="05A7E76F"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需包含上线时间、共享频率、共享内容等记录；</w:t>
            </w:r>
          </w:p>
          <w:p w14:paraId="3E735A1F"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文件订阅方式不涉及上线，可以无作业上线记录。</w:t>
            </w:r>
          </w:p>
        </w:tc>
      </w:tr>
      <w:tr w:rsidR="008137F8" w:rsidRPr="001E17A1" w14:paraId="78A69FE4" w14:textId="77777777">
        <w:trPr>
          <w:trHeight w:val="314"/>
        </w:trPr>
        <w:tc>
          <w:tcPr>
            <w:tcW w:w="1764" w:type="pct"/>
          </w:tcPr>
          <w:p w14:paraId="5F8E7B97"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共享记录</w:t>
            </w:r>
          </w:p>
        </w:tc>
        <w:tc>
          <w:tcPr>
            <w:tcW w:w="3236" w:type="pct"/>
          </w:tcPr>
          <w:p w14:paraId="7BC79888" w14:textId="77777777" w:rsidR="008137F8" w:rsidRPr="001E17A1" w:rsidRDefault="00000000">
            <w:pPr>
              <w:pStyle w:val="150"/>
              <w:snapToGrid w:val="0"/>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提供需求方调用或验证记录、数据库表落地验证记录、文件交付记录或FTP落地记录等，可截屏记录。</w:t>
            </w:r>
          </w:p>
        </w:tc>
      </w:tr>
    </w:tbl>
    <w:p w14:paraId="5E02EF2D"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数据统计分析及报表服务</w:t>
      </w:r>
    </w:p>
    <w:p w14:paraId="4584B29B"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6EED27DF"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开展数据统计分析服务，按需对各类数据进行统计分析，包括但不限于数据比对、分类筛选汇总、描述性统计、时间序列分析、多元统计分析等工作；同一个统计任务的数据修正及补充不再另外收费。基于完成项目中各类需求的数据统计分析部分定制场景开发，按需对各类数据统计后生成数据报表服务。</w:t>
      </w:r>
    </w:p>
    <w:p w14:paraId="7EF51DB9"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0"/>
        <w:gridCol w:w="5292"/>
      </w:tblGrid>
      <w:tr w:rsidR="008137F8" w:rsidRPr="001E17A1" w14:paraId="3E9FFC42" w14:textId="77777777">
        <w:trPr>
          <w:trHeight w:val="515"/>
        </w:trPr>
        <w:tc>
          <w:tcPr>
            <w:tcW w:w="1895" w:type="pct"/>
            <w:shd w:val="clear" w:color="auto" w:fill="FFFFFF"/>
            <w:vAlign w:val="center"/>
          </w:tcPr>
          <w:p w14:paraId="25D62131"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w:t>
            </w:r>
          </w:p>
        </w:tc>
        <w:tc>
          <w:tcPr>
            <w:tcW w:w="3105" w:type="pct"/>
            <w:shd w:val="clear" w:color="auto" w:fill="FFFFFF"/>
            <w:vAlign w:val="center"/>
          </w:tcPr>
          <w:p w14:paraId="17BEB9E1"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2F8CD8A2" w14:textId="77777777">
        <w:trPr>
          <w:trHeight w:val="309"/>
        </w:trPr>
        <w:tc>
          <w:tcPr>
            <w:tcW w:w="1895" w:type="pct"/>
            <w:vAlign w:val="center"/>
          </w:tcPr>
          <w:p w14:paraId="48B74607"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需求文档</w:t>
            </w:r>
          </w:p>
        </w:tc>
        <w:tc>
          <w:tcPr>
            <w:tcW w:w="3105" w:type="pct"/>
            <w:vAlign w:val="center"/>
          </w:tcPr>
          <w:p w14:paraId="76AF9F80"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提供服务模板的需求文档。</w:t>
            </w:r>
          </w:p>
        </w:tc>
      </w:tr>
      <w:tr w:rsidR="008137F8" w:rsidRPr="001E17A1" w14:paraId="6D80FCC6" w14:textId="77777777">
        <w:trPr>
          <w:trHeight w:val="309"/>
        </w:trPr>
        <w:tc>
          <w:tcPr>
            <w:tcW w:w="1895" w:type="pct"/>
            <w:vAlign w:val="center"/>
          </w:tcPr>
          <w:p w14:paraId="682C8EBA"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模型设计文档</w:t>
            </w:r>
          </w:p>
        </w:tc>
        <w:tc>
          <w:tcPr>
            <w:tcW w:w="3105" w:type="pct"/>
            <w:vAlign w:val="center"/>
          </w:tcPr>
          <w:p w14:paraId="1FDDB409"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要求符合数据运营工作实际需求，符合数据标准和公共数据模型设计规范。</w:t>
            </w:r>
          </w:p>
        </w:tc>
      </w:tr>
      <w:tr w:rsidR="008137F8" w:rsidRPr="001E17A1" w14:paraId="05348E28" w14:textId="77777777">
        <w:trPr>
          <w:trHeight w:val="309"/>
        </w:trPr>
        <w:tc>
          <w:tcPr>
            <w:tcW w:w="1895" w:type="pct"/>
            <w:vAlign w:val="center"/>
          </w:tcPr>
          <w:p w14:paraId="29B2C207"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测试文档</w:t>
            </w:r>
          </w:p>
        </w:tc>
        <w:tc>
          <w:tcPr>
            <w:tcW w:w="3105" w:type="pct"/>
            <w:vAlign w:val="center"/>
          </w:tcPr>
          <w:p w14:paraId="5C56174E"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符合测试报告模板，如实记录测试过程和缺陷。</w:t>
            </w:r>
          </w:p>
        </w:tc>
      </w:tr>
      <w:tr w:rsidR="008137F8" w:rsidRPr="001E17A1" w14:paraId="594CA906" w14:textId="77777777">
        <w:trPr>
          <w:trHeight w:val="309"/>
        </w:trPr>
        <w:tc>
          <w:tcPr>
            <w:tcW w:w="1895" w:type="pct"/>
            <w:vAlign w:val="center"/>
          </w:tcPr>
          <w:p w14:paraId="47C4C63A"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指标设计文档（如有）</w:t>
            </w:r>
          </w:p>
        </w:tc>
        <w:tc>
          <w:tcPr>
            <w:tcW w:w="3105" w:type="pct"/>
            <w:vAlign w:val="center"/>
          </w:tcPr>
          <w:p w14:paraId="2FCDF57A"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指标定义描述规范，指标间的设计逻辑和关系表述清晰。</w:t>
            </w:r>
          </w:p>
        </w:tc>
      </w:tr>
      <w:tr w:rsidR="008137F8" w:rsidRPr="001E17A1" w14:paraId="2DE606F5" w14:textId="77777777">
        <w:trPr>
          <w:trHeight w:val="309"/>
        </w:trPr>
        <w:tc>
          <w:tcPr>
            <w:tcW w:w="1895" w:type="pct"/>
            <w:vAlign w:val="center"/>
          </w:tcPr>
          <w:p w14:paraId="32EA9378"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模型说明文档</w:t>
            </w:r>
          </w:p>
        </w:tc>
        <w:tc>
          <w:tcPr>
            <w:tcW w:w="3105" w:type="pct"/>
            <w:vAlign w:val="center"/>
          </w:tcPr>
          <w:p w14:paraId="7227B6C6"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模型表述包含必要的代码说明，内容清晰完整，符合模板要求。</w:t>
            </w:r>
          </w:p>
        </w:tc>
      </w:tr>
      <w:tr w:rsidR="008137F8" w:rsidRPr="001E17A1" w14:paraId="334C2804" w14:textId="77777777">
        <w:trPr>
          <w:trHeight w:val="309"/>
        </w:trPr>
        <w:tc>
          <w:tcPr>
            <w:tcW w:w="1895" w:type="pct"/>
            <w:vAlign w:val="center"/>
          </w:tcPr>
          <w:p w14:paraId="7C88C778"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分析报告（如有）</w:t>
            </w:r>
          </w:p>
        </w:tc>
        <w:tc>
          <w:tcPr>
            <w:tcW w:w="3105" w:type="pct"/>
            <w:vAlign w:val="center"/>
          </w:tcPr>
          <w:p w14:paraId="1D649A60"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报告内容和形式应满足个性化需求和管理目标要素，素材详实严谨，不限定模板，以获得正式交付对象的确认为标准。</w:t>
            </w:r>
          </w:p>
        </w:tc>
      </w:tr>
      <w:tr w:rsidR="008137F8" w:rsidRPr="001E17A1" w14:paraId="6867D7F0" w14:textId="77777777">
        <w:trPr>
          <w:trHeight w:val="314"/>
        </w:trPr>
        <w:tc>
          <w:tcPr>
            <w:tcW w:w="1895" w:type="pct"/>
            <w:vAlign w:val="center"/>
          </w:tcPr>
          <w:p w14:paraId="075815E8"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结果表及使用说明</w:t>
            </w:r>
          </w:p>
        </w:tc>
        <w:tc>
          <w:tcPr>
            <w:tcW w:w="3105" w:type="pct"/>
            <w:vAlign w:val="center"/>
          </w:tcPr>
          <w:p w14:paraId="409C77B0"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内容完整，与需求和设计文档一致，符合模板。</w:t>
            </w:r>
          </w:p>
        </w:tc>
      </w:tr>
      <w:tr w:rsidR="008137F8" w:rsidRPr="001E17A1" w14:paraId="2F63A0E3" w14:textId="77777777">
        <w:trPr>
          <w:trHeight w:val="314"/>
        </w:trPr>
        <w:tc>
          <w:tcPr>
            <w:tcW w:w="1895" w:type="pct"/>
            <w:vAlign w:val="center"/>
          </w:tcPr>
          <w:p w14:paraId="6EAAE699"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融合加工程序执行记录</w:t>
            </w:r>
          </w:p>
        </w:tc>
        <w:tc>
          <w:tcPr>
            <w:tcW w:w="3105" w:type="pct"/>
            <w:vAlign w:val="center"/>
          </w:tcPr>
          <w:p w14:paraId="42B378F9"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系统获取的真实执行记录，与共享、治理业务需求一致。</w:t>
            </w:r>
          </w:p>
        </w:tc>
      </w:tr>
    </w:tbl>
    <w:p w14:paraId="1E6AAB30"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数据挖掘建模</w:t>
      </w:r>
    </w:p>
    <w:p w14:paraId="020B0ED1"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6F772485"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lastRenderedPageBreak/>
        <w:t>基于数学、统计学等学科，数据挖掘、人工智能等算法，及业务领域理论、规范及方法开展数据分析建模服务，应用于业务问题发现、数据规律研究和风险预警提示等工作。在相关数据分析场景建立数据分析模型，并输出专题分析报告等相关成果。</w:t>
      </w:r>
    </w:p>
    <w:p w14:paraId="20788121"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6"/>
        <w:gridCol w:w="5556"/>
      </w:tblGrid>
      <w:tr w:rsidR="008137F8" w:rsidRPr="001E17A1" w14:paraId="29296B60" w14:textId="77777777">
        <w:trPr>
          <w:trHeight w:val="526"/>
        </w:trPr>
        <w:tc>
          <w:tcPr>
            <w:tcW w:w="1740" w:type="pct"/>
            <w:shd w:val="clear" w:color="auto" w:fill="FFFFFF"/>
          </w:tcPr>
          <w:p w14:paraId="350487BE"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260" w:type="pct"/>
            <w:shd w:val="clear" w:color="auto" w:fill="FFFFFF"/>
          </w:tcPr>
          <w:p w14:paraId="3DFCF7DD"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32FF1CB8" w14:textId="77777777">
        <w:trPr>
          <w:trHeight w:val="309"/>
        </w:trPr>
        <w:tc>
          <w:tcPr>
            <w:tcW w:w="1740" w:type="pct"/>
            <w:vAlign w:val="center"/>
          </w:tcPr>
          <w:p w14:paraId="0A50522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需求文档</w:t>
            </w:r>
          </w:p>
        </w:tc>
        <w:tc>
          <w:tcPr>
            <w:tcW w:w="3260" w:type="pct"/>
            <w:vAlign w:val="center"/>
          </w:tcPr>
          <w:p w14:paraId="4F1A3578"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提供符合模板的需求文档。</w:t>
            </w:r>
          </w:p>
        </w:tc>
      </w:tr>
      <w:tr w:rsidR="008137F8" w:rsidRPr="001E17A1" w14:paraId="68628CBE" w14:textId="77777777">
        <w:tc>
          <w:tcPr>
            <w:tcW w:w="1740" w:type="pct"/>
            <w:vAlign w:val="center"/>
          </w:tcPr>
          <w:p w14:paraId="247EC87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模型设计文档</w:t>
            </w:r>
          </w:p>
        </w:tc>
        <w:tc>
          <w:tcPr>
            <w:tcW w:w="3260" w:type="pct"/>
            <w:vAlign w:val="center"/>
          </w:tcPr>
          <w:p w14:paraId="6E391FA1"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提供含指标设计的设计文档，要求符合数据运营工作实际需求，符合数据标准和公共数据模型设计规范。</w:t>
            </w:r>
          </w:p>
        </w:tc>
      </w:tr>
      <w:tr w:rsidR="008137F8" w:rsidRPr="001E17A1" w14:paraId="1842054D" w14:textId="77777777">
        <w:trPr>
          <w:trHeight w:val="314"/>
        </w:trPr>
        <w:tc>
          <w:tcPr>
            <w:tcW w:w="1740" w:type="pct"/>
            <w:vAlign w:val="center"/>
          </w:tcPr>
          <w:p w14:paraId="4B0F317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测试文档</w:t>
            </w:r>
          </w:p>
        </w:tc>
        <w:tc>
          <w:tcPr>
            <w:tcW w:w="3260" w:type="pct"/>
            <w:vAlign w:val="center"/>
          </w:tcPr>
          <w:p w14:paraId="3221DA60"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符合测试报告模板，如实记录测试过程和缺陷。</w:t>
            </w:r>
          </w:p>
        </w:tc>
      </w:tr>
      <w:tr w:rsidR="008137F8" w:rsidRPr="001E17A1" w14:paraId="3FB2BE22" w14:textId="77777777">
        <w:trPr>
          <w:trHeight w:val="314"/>
        </w:trPr>
        <w:tc>
          <w:tcPr>
            <w:tcW w:w="1740" w:type="pct"/>
            <w:vAlign w:val="center"/>
          </w:tcPr>
          <w:p w14:paraId="13ADD7F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指标设计文档（如有）</w:t>
            </w:r>
          </w:p>
        </w:tc>
        <w:tc>
          <w:tcPr>
            <w:tcW w:w="3260" w:type="pct"/>
            <w:vAlign w:val="center"/>
          </w:tcPr>
          <w:p w14:paraId="311F7724"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符合需求和模板，与模型设计文档保持一致。</w:t>
            </w:r>
          </w:p>
        </w:tc>
      </w:tr>
      <w:tr w:rsidR="008137F8" w:rsidRPr="001E17A1" w14:paraId="767DC8E4" w14:textId="77777777">
        <w:trPr>
          <w:trHeight w:val="314"/>
        </w:trPr>
        <w:tc>
          <w:tcPr>
            <w:tcW w:w="1740" w:type="pct"/>
            <w:vAlign w:val="center"/>
          </w:tcPr>
          <w:p w14:paraId="627BDC0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模型说明文档</w:t>
            </w:r>
          </w:p>
        </w:tc>
        <w:tc>
          <w:tcPr>
            <w:tcW w:w="3260" w:type="pct"/>
            <w:vAlign w:val="center"/>
          </w:tcPr>
          <w:p w14:paraId="5C6B1755"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提供符合数据运营工作实际需求，符合模型验证基本要求。</w:t>
            </w:r>
          </w:p>
        </w:tc>
      </w:tr>
      <w:tr w:rsidR="008137F8" w:rsidRPr="001E17A1" w14:paraId="37CD2969" w14:textId="77777777">
        <w:trPr>
          <w:trHeight w:val="314"/>
        </w:trPr>
        <w:tc>
          <w:tcPr>
            <w:tcW w:w="1740" w:type="pct"/>
            <w:vAlign w:val="center"/>
          </w:tcPr>
          <w:p w14:paraId="39BF58ED"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分析报告</w:t>
            </w:r>
          </w:p>
        </w:tc>
        <w:tc>
          <w:tcPr>
            <w:tcW w:w="3260" w:type="pct"/>
            <w:vAlign w:val="center"/>
          </w:tcPr>
          <w:p w14:paraId="7D494C49"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如有应用建模的分析工作，需提供符合模板的分析报告，获得正式交付对象的确认。</w:t>
            </w:r>
          </w:p>
        </w:tc>
      </w:tr>
    </w:tbl>
    <w:p w14:paraId="69C44615"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数据分类分级检查</w:t>
      </w:r>
    </w:p>
    <w:p w14:paraId="738BC2D0"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1467E17F"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结合数据分级分类的管理要求，以及分级分类标准、技术指南等规范，制定数据分级分类检查方案，并对各类型数据进行分类分级检查，提升数据安全的管理能力和管理水平，便于规避数据运营过程中的数据安全风险。</w:t>
      </w:r>
    </w:p>
    <w:p w14:paraId="3DC2A226"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5788"/>
      </w:tblGrid>
      <w:tr w:rsidR="008137F8" w:rsidRPr="001E17A1" w14:paraId="384FB6CB" w14:textId="77777777">
        <w:trPr>
          <w:trHeight w:val="511"/>
        </w:trPr>
        <w:tc>
          <w:tcPr>
            <w:tcW w:w="1604" w:type="pct"/>
          </w:tcPr>
          <w:p w14:paraId="708A7D79"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w:t>
            </w:r>
          </w:p>
        </w:tc>
        <w:tc>
          <w:tcPr>
            <w:tcW w:w="3396" w:type="pct"/>
          </w:tcPr>
          <w:p w14:paraId="083229D3"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64CEF4D9" w14:textId="77777777">
        <w:tc>
          <w:tcPr>
            <w:tcW w:w="1604" w:type="pct"/>
            <w:vAlign w:val="center"/>
          </w:tcPr>
          <w:p w14:paraId="55FF344B"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数据分类分级检查方案</w:t>
            </w:r>
          </w:p>
        </w:tc>
        <w:tc>
          <w:tcPr>
            <w:tcW w:w="3396" w:type="pct"/>
            <w:vAlign w:val="center"/>
          </w:tcPr>
          <w:p w14:paraId="2274C2B1"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符合分类分级工作实际需求，符合数据分类分级标准规范。</w:t>
            </w:r>
          </w:p>
        </w:tc>
      </w:tr>
      <w:tr w:rsidR="008137F8" w:rsidRPr="001E17A1" w14:paraId="75106546" w14:textId="77777777">
        <w:trPr>
          <w:trHeight w:val="90"/>
        </w:trPr>
        <w:tc>
          <w:tcPr>
            <w:tcW w:w="1604" w:type="pct"/>
            <w:vAlign w:val="center"/>
          </w:tcPr>
          <w:p w14:paraId="57E00776"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数据分类分级检查报告</w:t>
            </w:r>
          </w:p>
        </w:tc>
        <w:tc>
          <w:tcPr>
            <w:tcW w:w="3396" w:type="pct"/>
            <w:vAlign w:val="center"/>
          </w:tcPr>
          <w:p w14:paraId="445753BD"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覆盖全部检查对象，符合分类分级标准规范要求的数据分类分级检查报告。</w:t>
            </w:r>
          </w:p>
        </w:tc>
      </w:tr>
    </w:tbl>
    <w:p w14:paraId="7C8EBA71"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数据加密、脱敏等控制</w:t>
      </w:r>
    </w:p>
    <w:p w14:paraId="76C2FEB9"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7EE554B6"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数据安全控制服务是针对数据汇集、数据构建、数据开发、数据开放、数据共享、后台运维等数据流转场景，提升数据防护能力的建设，在满足业务需求正常开展的前提下，最大限度的对敏感数据进行保护，防止敏感数据泄露事件的发生，通过数据安全控制服务进行持续保障数据安全控制相应的应用系统安全、稳定运行。该服务需要做到针对不对数据使用场景下配置化、全覆盖的服务要求，同时需要支撑该服务的灵活性和操作友好性需求。</w:t>
      </w:r>
    </w:p>
    <w:p w14:paraId="687EC3B6"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5243"/>
      </w:tblGrid>
      <w:tr w:rsidR="008137F8" w:rsidRPr="001E17A1" w14:paraId="1A4E55FD" w14:textId="77777777">
        <w:trPr>
          <w:trHeight w:val="551"/>
        </w:trPr>
        <w:tc>
          <w:tcPr>
            <w:tcW w:w="1924" w:type="pct"/>
            <w:tcBorders>
              <w:top w:val="single" w:sz="4" w:space="0" w:color="auto"/>
              <w:left w:val="single" w:sz="4" w:space="0" w:color="auto"/>
              <w:bottom w:val="single" w:sz="4" w:space="0" w:color="auto"/>
              <w:right w:val="single" w:sz="4" w:space="0" w:color="auto"/>
            </w:tcBorders>
            <w:vAlign w:val="center"/>
          </w:tcPr>
          <w:p w14:paraId="4C174EAE"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w:t>
            </w:r>
          </w:p>
        </w:tc>
        <w:tc>
          <w:tcPr>
            <w:tcW w:w="3076" w:type="pct"/>
            <w:tcBorders>
              <w:top w:val="single" w:sz="4" w:space="0" w:color="auto"/>
              <w:left w:val="single" w:sz="4" w:space="0" w:color="auto"/>
              <w:bottom w:val="single" w:sz="4" w:space="0" w:color="auto"/>
              <w:right w:val="single" w:sz="4" w:space="0" w:color="auto"/>
            </w:tcBorders>
            <w:vAlign w:val="center"/>
          </w:tcPr>
          <w:p w14:paraId="36200C5E"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输出物标准</w:t>
            </w:r>
          </w:p>
        </w:tc>
      </w:tr>
      <w:tr w:rsidR="008137F8" w:rsidRPr="001E17A1" w14:paraId="254B25D9" w14:textId="77777777">
        <w:trPr>
          <w:trHeight w:val="312"/>
        </w:trPr>
        <w:tc>
          <w:tcPr>
            <w:tcW w:w="1924" w:type="pct"/>
            <w:tcBorders>
              <w:top w:val="single" w:sz="4" w:space="0" w:color="auto"/>
              <w:left w:val="single" w:sz="4" w:space="0" w:color="auto"/>
              <w:bottom w:val="single" w:sz="4" w:space="0" w:color="auto"/>
              <w:right w:val="single" w:sz="4" w:space="0" w:color="auto"/>
            </w:tcBorders>
            <w:vAlign w:val="center"/>
          </w:tcPr>
          <w:p w14:paraId="56EBFC0B"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安全控制配置化规则</w:t>
            </w:r>
          </w:p>
        </w:tc>
        <w:tc>
          <w:tcPr>
            <w:tcW w:w="3076" w:type="pct"/>
            <w:tcBorders>
              <w:top w:val="single" w:sz="4" w:space="0" w:color="auto"/>
              <w:left w:val="single" w:sz="4" w:space="0" w:color="auto"/>
              <w:bottom w:val="single" w:sz="4" w:space="0" w:color="auto"/>
              <w:right w:val="single" w:sz="4" w:space="0" w:color="auto"/>
            </w:tcBorders>
            <w:vAlign w:val="bottom"/>
          </w:tcPr>
          <w:p w14:paraId="52BBBD91"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规则应当符合数据加密、脱敏工作要求</w:t>
            </w:r>
            <w:r w:rsidRPr="001E17A1">
              <w:rPr>
                <w:rFonts w:ascii="宋体" w:hAnsi="宋体" w:cs="Times New Roman" w:hint="eastAsia"/>
                <w:color w:val="000000" w:themeColor="text1"/>
                <w:kern w:val="0"/>
                <w:szCs w:val="24"/>
              </w:rPr>
              <w:t>。</w:t>
            </w:r>
          </w:p>
        </w:tc>
      </w:tr>
      <w:tr w:rsidR="008137F8" w:rsidRPr="001E17A1" w14:paraId="3FD94A04" w14:textId="77777777">
        <w:trPr>
          <w:trHeight w:val="312"/>
        </w:trPr>
        <w:tc>
          <w:tcPr>
            <w:tcW w:w="1924" w:type="pct"/>
            <w:tcBorders>
              <w:top w:val="single" w:sz="4" w:space="0" w:color="auto"/>
              <w:left w:val="single" w:sz="4" w:space="0" w:color="auto"/>
              <w:bottom w:val="single" w:sz="4" w:space="0" w:color="auto"/>
              <w:right w:val="single" w:sz="4" w:space="0" w:color="auto"/>
            </w:tcBorders>
            <w:vAlign w:val="center"/>
          </w:tcPr>
          <w:p w14:paraId="6919DF84"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安全控制执行日志</w:t>
            </w:r>
          </w:p>
        </w:tc>
        <w:tc>
          <w:tcPr>
            <w:tcW w:w="3076" w:type="pct"/>
            <w:tcBorders>
              <w:top w:val="single" w:sz="4" w:space="0" w:color="auto"/>
              <w:left w:val="single" w:sz="4" w:space="0" w:color="auto"/>
              <w:bottom w:val="single" w:sz="4" w:space="0" w:color="auto"/>
              <w:right w:val="single" w:sz="4" w:space="0" w:color="auto"/>
            </w:tcBorders>
            <w:vAlign w:val="bottom"/>
          </w:tcPr>
          <w:p w14:paraId="091E8C5D"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包含安全控制策略、控制记录数等信息。</w:t>
            </w:r>
          </w:p>
        </w:tc>
      </w:tr>
      <w:tr w:rsidR="008137F8" w:rsidRPr="001E17A1" w14:paraId="297DF0C9" w14:textId="77777777">
        <w:trPr>
          <w:trHeight w:val="312"/>
        </w:trPr>
        <w:tc>
          <w:tcPr>
            <w:tcW w:w="1924" w:type="pct"/>
            <w:tcBorders>
              <w:top w:val="single" w:sz="4" w:space="0" w:color="auto"/>
              <w:left w:val="single" w:sz="4" w:space="0" w:color="auto"/>
              <w:bottom w:val="single" w:sz="4" w:space="0" w:color="auto"/>
              <w:right w:val="single" w:sz="4" w:space="0" w:color="auto"/>
            </w:tcBorders>
            <w:vAlign w:val="center"/>
          </w:tcPr>
          <w:p w14:paraId="6A9266EC"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数据安全控制服务报告（如有）</w:t>
            </w:r>
          </w:p>
        </w:tc>
        <w:tc>
          <w:tcPr>
            <w:tcW w:w="3076" w:type="pct"/>
            <w:tcBorders>
              <w:top w:val="single" w:sz="4" w:space="0" w:color="auto"/>
              <w:left w:val="single" w:sz="4" w:space="0" w:color="auto"/>
              <w:bottom w:val="single" w:sz="4" w:space="0" w:color="auto"/>
              <w:right w:val="single" w:sz="4" w:space="0" w:color="auto"/>
            </w:tcBorders>
            <w:vAlign w:val="bottom"/>
          </w:tcPr>
          <w:p w14:paraId="1055593E"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包含脱敏、加密、加水印后安全控制服务的分析报告。</w:t>
            </w:r>
          </w:p>
        </w:tc>
      </w:tr>
    </w:tbl>
    <w:p w14:paraId="414ED0DA"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应用安全监测分析及威胁情报服务</w:t>
      </w:r>
    </w:p>
    <w:p w14:paraId="469E2ABF"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62533372"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针对应用实时开展网络流量收集、分析、展示和预警，按要求提供使用统计报告，以满足对整体网络安全监控保障需要。该服务需要对应用安全监测分析服务中所需要提供的从流量接入、分析、场景事件到告警与交付输出的整个过程，达到流量实时监控与安全事件第一时间响应的目标。</w:t>
      </w:r>
    </w:p>
    <w:p w14:paraId="333C1947"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收集威胁情报，以辅助识别外部威胁、确认攻击源头、预警安全威胁、发现未知风险等。需要提供的从安全社区公布、分析、威胁确认到告警与交付输出的整个过程，达到安全威胁情报监控分析与第一时间上报响应的目标。</w:t>
      </w:r>
    </w:p>
    <w:p w14:paraId="30CF394D"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5756"/>
      </w:tblGrid>
      <w:tr w:rsidR="008137F8" w:rsidRPr="001E17A1" w14:paraId="1BB1B241" w14:textId="77777777">
        <w:trPr>
          <w:trHeight w:val="653"/>
        </w:trPr>
        <w:tc>
          <w:tcPr>
            <w:tcW w:w="1623" w:type="pct"/>
            <w:tcBorders>
              <w:top w:val="single" w:sz="4" w:space="0" w:color="auto"/>
              <w:left w:val="single" w:sz="4" w:space="0" w:color="auto"/>
              <w:bottom w:val="single" w:sz="4" w:space="0" w:color="auto"/>
              <w:right w:val="single" w:sz="4" w:space="0" w:color="auto"/>
            </w:tcBorders>
            <w:vAlign w:val="center"/>
          </w:tcPr>
          <w:p w14:paraId="6388DE3A" w14:textId="77777777" w:rsidR="008137F8" w:rsidRPr="001E17A1" w:rsidRDefault="00000000">
            <w:pPr>
              <w:pStyle w:val="150"/>
              <w:snapToGrid w:val="0"/>
              <w:ind w:firstLineChars="0" w:firstLine="0"/>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377" w:type="pct"/>
            <w:tcBorders>
              <w:top w:val="single" w:sz="4" w:space="0" w:color="auto"/>
              <w:left w:val="single" w:sz="4" w:space="0" w:color="auto"/>
              <w:bottom w:val="single" w:sz="4" w:space="0" w:color="auto"/>
              <w:right w:val="single" w:sz="4" w:space="0" w:color="auto"/>
            </w:tcBorders>
            <w:vAlign w:val="center"/>
          </w:tcPr>
          <w:p w14:paraId="29CB5AFD" w14:textId="77777777" w:rsidR="008137F8" w:rsidRPr="001E17A1" w:rsidRDefault="00000000">
            <w:pPr>
              <w:pStyle w:val="150"/>
              <w:snapToGrid w:val="0"/>
              <w:ind w:firstLineChars="0" w:firstLine="0"/>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4430EBA7" w14:textId="77777777">
        <w:tc>
          <w:tcPr>
            <w:tcW w:w="1623" w:type="pct"/>
            <w:tcBorders>
              <w:top w:val="single" w:sz="4" w:space="0" w:color="auto"/>
              <w:left w:val="single" w:sz="4" w:space="0" w:color="auto"/>
              <w:bottom w:val="single" w:sz="4" w:space="0" w:color="auto"/>
              <w:right w:val="single" w:sz="4" w:space="0" w:color="auto"/>
            </w:tcBorders>
            <w:vAlign w:val="center"/>
          </w:tcPr>
          <w:p w14:paraId="06C470D1"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《安全监测分析日报》</w:t>
            </w:r>
          </w:p>
        </w:tc>
        <w:tc>
          <w:tcPr>
            <w:tcW w:w="3377" w:type="pct"/>
            <w:tcBorders>
              <w:top w:val="single" w:sz="4" w:space="0" w:color="auto"/>
              <w:left w:val="single" w:sz="4" w:space="0" w:color="auto"/>
              <w:bottom w:val="single" w:sz="4" w:space="0" w:color="auto"/>
              <w:right w:val="single" w:sz="4" w:space="0" w:color="auto"/>
            </w:tcBorders>
            <w:vAlign w:val="center"/>
          </w:tcPr>
          <w:p w14:paraId="6A0668E1"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包含值班时间、值班地点、值班人员、平台防护情况、平台攻击源</w:t>
            </w:r>
            <w:r w:rsidRPr="001E17A1">
              <w:rPr>
                <w:rFonts w:ascii="宋体" w:hAnsi="宋体"/>
                <w:color w:val="000000" w:themeColor="text1"/>
                <w:szCs w:val="24"/>
              </w:rPr>
              <w:t>top</w:t>
            </w:r>
            <w:r w:rsidRPr="001E17A1">
              <w:rPr>
                <w:rFonts w:ascii="宋体" w:hAnsi="宋体" w:hint="eastAsia"/>
                <w:color w:val="000000" w:themeColor="text1"/>
                <w:szCs w:val="24"/>
              </w:rPr>
              <w:t>摘要、可能出现的攻击成功的安全事件。</w:t>
            </w:r>
          </w:p>
        </w:tc>
      </w:tr>
      <w:tr w:rsidR="008137F8" w:rsidRPr="001E17A1" w14:paraId="5B4FFB4E" w14:textId="77777777">
        <w:tc>
          <w:tcPr>
            <w:tcW w:w="1623" w:type="pct"/>
            <w:tcBorders>
              <w:top w:val="single" w:sz="4" w:space="0" w:color="auto"/>
              <w:left w:val="single" w:sz="4" w:space="0" w:color="auto"/>
              <w:bottom w:val="single" w:sz="4" w:space="0" w:color="auto"/>
              <w:right w:val="single" w:sz="4" w:space="0" w:color="auto"/>
            </w:tcBorders>
            <w:vAlign w:val="center"/>
          </w:tcPr>
          <w:p w14:paraId="31405097"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《安全监测分析月报》</w:t>
            </w:r>
          </w:p>
        </w:tc>
        <w:tc>
          <w:tcPr>
            <w:tcW w:w="3377" w:type="pct"/>
            <w:tcBorders>
              <w:top w:val="single" w:sz="4" w:space="0" w:color="auto"/>
              <w:left w:val="single" w:sz="4" w:space="0" w:color="auto"/>
              <w:bottom w:val="single" w:sz="4" w:space="0" w:color="auto"/>
              <w:right w:val="single" w:sz="4" w:space="0" w:color="auto"/>
            </w:tcBorders>
            <w:vAlign w:val="center"/>
          </w:tcPr>
          <w:p w14:paraId="4BDE4B3C"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包含分析事件、告警</w:t>
            </w:r>
            <w:r w:rsidRPr="001E17A1">
              <w:rPr>
                <w:rFonts w:ascii="宋体" w:hAnsi="宋体"/>
                <w:color w:val="000000" w:themeColor="text1"/>
                <w:sz w:val="24"/>
                <w:szCs w:val="24"/>
              </w:rPr>
              <w:t>top</w:t>
            </w:r>
            <w:r w:rsidRPr="001E17A1">
              <w:rPr>
                <w:rFonts w:ascii="宋体" w:hAnsi="宋体" w:hint="eastAsia"/>
                <w:color w:val="000000" w:themeColor="text1"/>
                <w:sz w:val="24"/>
                <w:szCs w:val="24"/>
              </w:rPr>
              <w:t>摘要、受攻击站点</w:t>
            </w:r>
            <w:r w:rsidRPr="001E17A1">
              <w:rPr>
                <w:rFonts w:ascii="宋体" w:hAnsi="宋体"/>
                <w:color w:val="000000" w:themeColor="text1"/>
                <w:sz w:val="24"/>
                <w:szCs w:val="24"/>
              </w:rPr>
              <w:t>top</w:t>
            </w:r>
            <w:r w:rsidRPr="001E17A1">
              <w:rPr>
                <w:rFonts w:ascii="宋体" w:hAnsi="宋体" w:hint="eastAsia"/>
                <w:color w:val="000000" w:themeColor="text1"/>
                <w:sz w:val="24"/>
                <w:szCs w:val="24"/>
              </w:rPr>
              <w:t>摘要、攻击者</w:t>
            </w:r>
            <w:r w:rsidRPr="001E17A1">
              <w:rPr>
                <w:rFonts w:ascii="宋体" w:hAnsi="宋体"/>
                <w:color w:val="000000" w:themeColor="text1"/>
                <w:sz w:val="24"/>
                <w:szCs w:val="24"/>
              </w:rPr>
              <w:t>top</w:t>
            </w:r>
            <w:r w:rsidRPr="001E17A1">
              <w:rPr>
                <w:rFonts w:ascii="宋体" w:hAnsi="宋体" w:hint="eastAsia"/>
                <w:color w:val="000000" w:themeColor="text1"/>
                <w:sz w:val="24"/>
                <w:szCs w:val="24"/>
              </w:rPr>
              <w:t>摘要、当月安全事件汇总。</w:t>
            </w:r>
          </w:p>
        </w:tc>
      </w:tr>
      <w:tr w:rsidR="008137F8" w:rsidRPr="001E17A1" w14:paraId="6A0C1147" w14:textId="77777777">
        <w:tc>
          <w:tcPr>
            <w:tcW w:w="1623" w:type="pct"/>
            <w:tcBorders>
              <w:top w:val="single" w:sz="4" w:space="0" w:color="auto"/>
              <w:left w:val="single" w:sz="4" w:space="0" w:color="auto"/>
              <w:bottom w:val="single" w:sz="4" w:space="0" w:color="auto"/>
              <w:right w:val="single" w:sz="4" w:space="0" w:color="auto"/>
            </w:tcBorders>
            <w:vAlign w:val="center"/>
          </w:tcPr>
          <w:p w14:paraId="6BA0F2A7" w14:textId="77777777" w:rsidR="008137F8" w:rsidRPr="001E17A1" w:rsidRDefault="00000000">
            <w:pPr>
              <w:pStyle w:val="150"/>
              <w:snapToGrid w:val="0"/>
              <w:ind w:firstLineChars="0" w:firstLine="0"/>
              <w:jc w:val="center"/>
              <w:rPr>
                <w:rFonts w:ascii="宋体" w:hAnsi="宋体" w:hint="eastAsia"/>
                <w:iCs/>
                <w:color w:val="000000" w:themeColor="text1"/>
                <w:sz w:val="24"/>
                <w:szCs w:val="24"/>
              </w:rPr>
            </w:pPr>
            <w:r w:rsidRPr="001E17A1">
              <w:rPr>
                <w:rFonts w:ascii="宋体" w:hAnsi="宋体" w:hint="eastAsia"/>
                <w:color w:val="000000" w:themeColor="text1"/>
                <w:sz w:val="24"/>
                <w:szCs w:val="24"/>
              </w:rPr>
              <w:t>《需求确认与跟踪列表》</w:t>
            </w:r>
          </w:p>
        </w:tc>
        <w:tc>
          <w:tcPr>
            <w:tcW w:w="3377" w:type="pct"/>
            <w:tcBorders>
              <w:top w:val="single" w:sz="4" w:space="0" w:color="auto"/>
              <w:left w:val="single" w:sz="4" w:space="0" w:color="auto"/>
              <w:bottom w:val="single" w:sz="4" w:space="0" w:color="auto"/>
              <w:right w:val="single" w:sz="4" w:space="0" w:color="auto"/>
            </w:tcBorders>
            <w:vAlign w:val="center"/>
          </w:tcPr>
          <w:p w14:paraId="2532A0AD"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对服务过程中产生的需求进行分析与执行，并对执行</w:t>
            </w:r>
            <w:r w:rsidRPr="001E17A1">
              <w:rPr>
                <w:rFonts w:ascii="宋体" w:hAnsi="宋体" w:hint="eastAsia"/>
                <w:color w:val="000000" w:themeColor="text1"/>
                <w:sz w:val="24"/>
                <w:szCs w:val="24"/>
              </w:rPr>
              <w:lastRenderedPageBreak/>
              <w:t>完成情况进行跟踪及说明。</w:t>
            </w:r>
          </w:p>
        </w:tc>
      </w:tr>
      <w:tr w:rsidR="008137F8" w:rsidRPr="001E17A1" w14:paraId="1DBB2F36" w14:textId="77777777">
        <w:tc>
          <w:tcPr>
            <w:tcW w:w="1623" w:type="pct"/>
            <w:tcBorders>
              <w:top w:val="single" w:sz="4" w:space="0" w:color="auto"/>
              <w:left w:val="single" w:sz="4" w:space="0" w:color="auto"/>
              <w:bottom w:val="single" w:sz="4" w:space="0" w:color="auto"/>
              <w:right w:val="single" w:sz="4" w:space="0" w:color="auto"/>
            </w:tcBorders>
            <w:vAlign w:val="center"/>
          </w:tcPr>
          <w:p w14:paraId="47C6CC16"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iCs/>
                <w:color w:val="000000" w:themeColor="text1"/>
                <w:sz w:val="24"/>
                <w:szCs w:val="24"/>
              </w:rPr>
              <w:lastRenderedPageBreak/>
              <w:t>《安全攻击事件汇总》</w:t>
            </w:r>
          </w:p>
        </w:tc>
        <w:tc>
          <w:tcPr>
            <w:tcW w:w="3377" w:type="pct"/>
            <w:tcBorders>
              <w:top w:val="single" w:sz="4" w:space="0" w:color="auto"/>
              <w:left w:val="single" w:sz="4" w:space="0" w:color="auto"/>
              <w:bottom w:val="single" w:sz="4" w:space="0" w:color="auto"/>
              <w:right w:val="single" w:sz="4" w:space="0" w:color="auto"/>
            </w:tcBorders>
            <w:vAlign w:val="center"/>
          </w:tcPr>
          <w:p w14:paraId="4BEBF112"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包含大量攻击事件、明显攻击事件、攻击成功的安全事件。</w:t>
            </w:r>
          </w:p>
        </w:tc>
      </w:tr>
      <w:tr w:rsidR="008137F8" w:rsidRPr="001E17A1" w14:paraId="151BDB9C" w14:textId="77777777">
        <w:tc>
          <w:tcPr>
            <w:tcW w:w="1623" w:type="pct"/>
            <w:tcBorders>
              <w:top w:val="single" w:sz="4" w:space="0" w:color="auto"/>
              <w:left w:val="single" w:sz="4" w:space="0" w:color="auto"/>
              <w:bottom w:val="single" w:sz="4" w:space="0" w:color="auto"/>
              <w:right w:val="single" w:sz="4" w:space="0" w:color="auto"/>
            </w:tcBorders>
            <w:vAlign w:val="center"/>
          </w:tcPr>
          <w:p w14:paraId="658F6DCF" w14:textId="77777777" w:rsidR="008137F8" w:rsidRPr="001E17A1" w:rsidRDefault="00000000">
            <w:pPr>
              <w:pStyle w:val="150"/>
              <w:snapToGrid w:val="0"/>
              <w:ind w:firstLineChars="0" w:firstLine="0"/>
              <w:jc w:val="center"/>
              <w:rPr>
                <w:rFonts w:ascii="宋体" w:hAnsi="宋体" w:hint="eastAsia"/>
                <w:iCs/>
                <w:color w:val="000000" w:themeColor="text1"/>
                <w:sz w:val="24"/>
                <w:szCs w:val="24"/>
              </w:rPr>
            </w:pPr>
            <w:r w:rsidRPr="001E17A1">
              <w:rPr>
                <w:rFonts w:ascii="宋体" w:hAnsi="宋体" w:hint="eastAsia"/>
                <w:iCs/>
                <w:color w:val="000000" w:themeColor="text1"/>
                <w:sz w:val="24"/>
                <w:szCs w:val="24"/>
              </w:rPr>
              <w:t>《安全监测在线报告》</w:t>
            </w:r>
          </w:p>
        </w:tc>
        <w:tc>
          <w:tcPr>
            <w:tcW w:w="3377" w:type="pct"/>
            <w:tcBorders>
              <w:top w:val="single" w:sz="4" w:space="0" w:color="auto"/>
              <w:left w:val="single" w:sz="4" w:space="0" w:color="auto"/>
              <w:bottom w:val="single" w:sz="4" w:space="0" w:color="auto"/>
              <w:right w:val="single" w:sz="4" w:space="0" w:color="auto"/>
            </w:tcBorders>
            <w:vAlign w:val="center"/>
          </w:tcPr>
          <w:p w14:paraId="3A2A9961"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对大屏实时展现的内容进行报告拉取、编辑汇总。</w:t>
            </w:r>
          </w:p>
        </w:tc>
      </w:tr>
      <w:tr w:rsidR="008137F8" w:rsidRPr="001E17A1" w14:paraId="13F2C10D" w14:textId="77777777">
        <w:tc>
          <w:tcPr>
            <w:tcW w:w="1623" w:type="pct"/>
            <w:tcBorders>
              <w:top w:val="single" w:sz="4" w:space="0" w:color="auto"/>
              <w:left w:val="single" w:sz="4" w:space="0" w:color="auto"/>
              <w:bottom w:val="single" w:sz="4" w:space="0" w:color="auto"/>
              <w:right w:val="single" w:sz="4" w:space="0" w:color="auto"/>
            </w:tcBorders>
            <w:vAlign w:val="center"/>
          </w:tcPr>
          <w:p w14:paraId="7A08AD87"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iCs/>
                <w:color w:val="000000" w:themeColor="text1"/>
                <w:sz w:val="24"/>
                <w:szCs w:val="24"/>
              </w:rPr>
              <w:t>《安全监控告警处置类单据》</w:t>
            </w:r>
          </w:p>
        </w:tc>
        <w:tc>
          <w:tcPr>
            <w:tcW w:w="3377" w:type="pct"/>
            <w:tcBorders>
              <w:top w:val="single" w:sz="4" w:space="0" w:color="auto"/>
              <w:left w:val="single" w:sz="4" w:space="0" w:color="auto"/>
              <w:bottom w:val="single" w:sz="4" w:space="0" w:color="auto"/>
              <w:right w:val="single" w:sz="4" w:space="0" w:color="auto"/>
            </w:tcBorders>
            <w:vAlign w:val="center"/>
          </w:tcPr>
          <w:p w14:paraId="2F9F4699"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安全事件均录入平台工单系统可根据平台记录情况记录安全事件闭环结果，包含事件发生时间、发现人员、事件描述、处置时间、处置人员。</w:t>
            </w:r>
          </w:p>
        </w:tc>
      </w:tr>
      <w:tr w:rsidR="008137F8" w:rsidRPr="001E17A1" w14:paraId="2A0CF8D9" w14:textId="77777777">
        <w:tc>
          <w:tcPr>
            <w:tcW w:w="1623" w:type="pct"/>
            <w:tcBorders>
              <w:top w:val="single" w:sz="4" w:space="0" w:color="auto"/>
              <w:left w:val="single" w:sz="4" w:space="0" w:color="auto"/>
              <w:bottom w:val="single" w:sz="4" w:space="0" w:color="auto"/>
              <w:right w:val="single" w:sz="4" w:space="0" w:color="auto"/>
            </w:tcBorders>
            <w:vAlign w:val="center"/>
          </w:tcPr>
          <w:p w14:paraId="535BC278" w14:textId="77777777" w:rsidR="008137F8" w:rsidRPr="001E17A1" w:rsidRDefault="00000000">
            <w:pPr>
              <w:pStyle w:val="150"/>
              <w:snapToGrid w:val="0"/>
              <w:ind w:firstLineChars="0" w:firstLine="0"/>
              <w:jc w:val="center"/>
              <w:rPr>
                <w:rFonts w:ascii="宋体" w:hAnsi="宋体" w:hint="eastAsia"/>
                <w:iCs/>
                <w:color w:val="000000" w:themeColor="text1"/>
                <w:sz w:val="24"/>
                <w:szCs w:val="24"/>
              </w:rPr>
            </w:pPr>
            <w:r w:rsidRPr="001E17A1">
              <w:rPr>
                <w:rFonts w:ascii="宋体" w:hAnsi="宋体" w:hint="eastAsia"/>
                <w:iCs/>
                <w:color w:val="000000" w:themeColor="text1"/>
                <w:sz w:val="24"/>
                <w:szCs w:val="24"/>
              </w:rPr>
              <w:t>《模型设计与评估报告》</w:t>
            </w:r>
          </w:p>
        </w:tc>
        <w:tc>
          <w:tcPr>
            <w:tcW w:w="3377" w:type="pct"/>
            <w:tcBorders>
              <w:top w:val="single" w:sz="4" w:space="0" w:color="auto"/>
              <w:left w:val="single" w:sz="4" w:space="0" w:color="auto"/>
              <w:bottom w:val="single" w:sz="4" w:space="0" w:color="auto"/>
              <w:right w:val="single" w:sz="4" w:space="0" w:color="auto"/>
            </w:tcBorders>
            <w:vAlign w:val="center"/>
          </w:tcPr>
          <w:p w14:paraId="39C95B03"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符合模型设计与评估报告模板。</w:t>
            </w:r>
          </w:p>
        </w:tc>
      </w:tr>
      <w:tr w:rsidR="008137F8" w:rsidRPr="001E17A1" w14:paraId="3F547DC9" w14:textId="77777777">
        <w:tc>
          <w:tcPr>
            <w:tcW w:w="1623" w:type="pct"/>
            <w:tcBorders>
              <w:top w:val="single" w:sz="4" w:space="0" w:color="auto"/>
              <w:left w:val="single" w:sz="4" w:space="0" w:color="auto"/>
              <w:bottom w:val="single" w:sz="4" w:space="0" w:color="auto"/>
              <w:right w:val="single" w:sz="4" w:space="0" w:color="auto"/>
            </w:tcBorders>
            <w:vAlign w:val="center"/>
          </w:tcPr>
          <w:p w14:paraId="78EFF3DE" w14:textId="77777777" w:rsidR="008137F8" w:rsidRPr="001E17A1" w:rsidRDefault="00000000">
            <w:pPr>
              <w:pStyle w:val="150"/>
              <w:snapToGrid w:val="0"/>
              <w:ind w:firstLineChars="0" w:firstLine="0"/>
              <w:jc w:val="center"/>
              <w:rPr>
                <w:rFonts w:ascii="宋体" w:hAnsi="宋体" w:hint="eastAsia"/>
                <w:iCs/>
                <w:color w:val="000000" w:themeColor="text1"/>
                <w:sz w:val="24"/>
                <w:szCs w:val="24"/>
              </w:rPr>
            </w:pPr>
            <w:r w:rsidRPr="001E17A1">
              <w:rPr>
                <w:rFonts w:ascii="宋体" w:hAnsi="宋体" w:hint="eastAsia"/>
                <w:iCs/>
                <w:color w:val="000000" w:themeColor="text1"/>
                <w:sz w:val="24"/>
                <w:szCs w:val="24"/>
              </w:rPr>
              <w:t>《安全监测分析专项工作报告》</w:t>
            </w:r>
          </w:p>
        </w:tc>
        <w:tc>
          <w:tcPr>
            <w:tcW w:w="3377" w:type="pct"/>
            <w:tcBorders>
              <w:top w:val="single" w:sz="4" w:space="0" w:color="auto"/>
              <w:left w:val="single" w:sz="4" w:space="0" w:color="auto"/>
              <w:bottom w:val="single" w:sz="4" w:space="0" w:color="auto"/>
              <w:right w:val="single" w:sz="4" w:space="0" w:color="auto"/>
            </w:tcBorders>
            <w:vAlign w:val="center"/>
          </w:tcPr>
          <w:p w14:paraId="5A0B800D"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符合安全监测分析专项工作报告模板。</w:t>
            </w:r>
          </w:p>
        </w:tc>
      </w:tr>
    </w:tbl>
    <w:p w14:paraId="237B8C88"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应用安全检査评估服务</w:t>
      </w:r>
    </w:p>
    <w:p w14:paraId="03D24872"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364E1E27" w14:textId="77777777" w:rsidR="008137F8" w:rsidRPr="001E17A1" w:rsidRDefault="00000000">
      <w:pPr>
        <w:tabs>
          <w:tab w:val="left" w:pos="1134"/>
        </w:tabs>
        <w:snapToGrid w:val="0"/>
        <w:spacing w:line="360" w:lineRule="auto"/>
        <w:ind w:firstLineChars="200" w:firstLine="480"/>
        <w:rPr>
          <w:rFonts w:ascii="宋体" w:hAnsi="宋体" w:hint="eastAsia"/>
          <w:b/>
          <w:bCs/>
          <w:color w:val="000000" w:themeColor="text1"/>
          <w:sz w:val="24"/>
          <w:szCs w:val="24"/>
        </w:rPr>
      </w:pPr>
      <w:r w:rsidRPr="001E17A1">
        <w:rPr>
          <w:rFonts w:ascii="宋体" w:hAnsi="宋体" w:hint="eastAsia"/>
          <w:color w:val="000000" w:themeColor="text1"/>
          <w:sz w:val="24"/>
          <w:szCs w:val="24"/>
        </w:rPr>
        <w:t>按照《信息安全等级保护管理办法》、《关键信息基础设施安全保护条例》等法律法规、技术标准和招标方的信息安全、维护管理要求，对信息系统定期开展安全风险评估，准确及时有效识别系统脆弱性，确保漏洞隐患整改闭环，并按照要求开展应急演练，降低数据运营所涉及服务的安全风险，提高相关系统及服务的抗攻击能力，以满足防止相关数据泄露或者被窃取、篡改以及制定网络安全事件应急预案的要求。</w:t>
      </w:r>
    </w:p>
    <w:p w14:paraId="62C40D26"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5551"/>
      </w:tblGrid>
      <w:tr w:rsidR="008137F8" w:rsidRPr="001E17A1" w14:paraId="687518F2" w14:textId="77777777">
        <w:tc>
          <w:tcPr>
            <w:tcW w:w="1743" w:type="pct"/>
            <w:tcBorders>
              <w:top w:val="single" w:sz="4" w:space="0" w:color="auto"/>
              <w:left w:val="single" w:sz="4" w:space="0" w:color="auto"/>
              <w:bottom w:val="single" w:sz="4" w:space="0" w:color="auto"/>
              <w:right w:val="single" w:sz="4" w:space="0" w:color="auto"/>
            </w:tcBorders>
            <w:vAlign w:val="center"/>
          </w:tcPr>
          <w:p w14:paraId="1574766F" w14:textId="77777777" w:rsidR="008137F8" w:rsidRPr="001E17A1" w:rsidRDefault="00000000">
            <w:pPr>
              <w:pStyle w:val="150"/>
              <w:snapToGrid w:val="0"/>
              <w:ind w:firstLineChars="0" w:firstLine="0"/>
              <w:jc w:val="center"/>
              <w:rPr>
                <w:rFonts w:ascii="宋体" w:hAnsi="宋体" w:hint="eastAsia"/>
                <w:b/>
                <w:color w:val="000000" w:themeColor="text1"/>
                <w:sz w:val="24"/>
                <w:szCs w:val="24"/>
              </w:rPr>
            </w:pPr>
            <w:r w:rsidRPr="001E17A1">
              <w:rPr>
                <w:rFonts w:ascii="宋体" w:hAnsi="宋体" w:hint="eastAsia"/>
                <w:b/>
                <w:color w:val="000000" w:themeColor="text1"/>
                <w:sz w:val="24"/>
                <w:szCs w:val="24"/>
              </w:rPr>
              <w:t>输出物</w:t>
            </w:r>
          </w:p>
        </w:tc>
        <w:tc>
          <w:tcPr>
            <w:tcW w:w="3257" w:type="pct"/>
            <w:tcBorders>
              <w:top w:val="single" w:sz="4" w:space="0" w:color="auto"/>
              <w:left w:val="single" w:sz="4" w:space="0" w:color="auto"/>
              <w:bottom w:val="single" w:sz="4" w:space="0" w:color="auto"/>
              <w:right w:val="single" w:sz="4" w:space="0" w:color="auto"/>
            </w:tcBorders>
            <w:vAlign w:val="center"/>
          </w:tcPr>
          <w:p w14:paraId="65F73A71" w14:textId="77777777" w:rsidR="008137F8" w:rsidRPr="001E17A1" w:rsidRDefault="00000000">
            <w:pPr>
              <w:pStyle w:val="150"/>
              <w:snapToGrid w:val="0"/>
              <w:ind w:firstLineChars="0" w:firstLine="0"/>
              <w:jc w:val="center"/>
              <w:rPr>
                <w:rFonts w:ascii="宋体" w:hAnsi="宋体" w:hint="eastAsia"/>
                <w:b/>
                <w:color w:val="000000" w:themeColor="text1"/>
                <w:sz w:val="24"/>
                <w:szCs w:val="24"/>
              </w:rPr>
            </w:pPr>
            <w:r w:rsidRPr="001E17A1">
              <w:rPr>
                <w:rFonts w:ascii="宋体" w:hAnsi="宋体" w:hint="eastAsia"/>
                <w:b/>
                <w:color w:val="000000" w:themeColor="text1"/>
                <w:sz w:val="24"/>
                <w:szCs w:val="24"/>
              </w:rPr>
              <w:t>输出物标准</w:t>
            </w:r>
          </w:p>
        </w:tc>
      </w:tr>
      <w:tr w:rsidR="008137F8" w:rsidRPr="001E17A1" w14:paraId="25E718F2" w14:textId="77777777">
        <w:tc>
          <w:tcPr>
            <w:tcW w:w="1743" w:type="pct"/>
            <w:tcBorders>
              <w:top w:val="single" w:sz="4" w:space="0" w:color="auto"/>
              <w:left w:val="single" w:sz="4" w:space="0" w:color="auto"/>
              <w:bottom w:val="single" w:sz="4" w:space="0" w:color="auto"/>
              <w:right w:val="single" w:sz="4" w:space="0" w:color="auto"/>
            </w:tcBorders>
            <w:vAlign w:val="center"/>
          </w:tcPr>
          <w:p w14:paraId="6F34CE6E"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应用安全检查评估服务申请单</w:t>
            </w:r>
          </w:p>
        </w:tc>
        <w:tc>
          <w:tcPr>
            <w:tcW w:w="3257" w:type="pct"/>
            <w:tcBorders>
              <w:top w:val="single" w:sz="4" w:space="0" w:color="auto"/>
              <w:left w:val="single" w:sz="4" w:space="0" w:color="auto"/>
              <w:bottom w:val="single" w:sz="4" w:space="0" w:color="auto"/>
              <w:right w:val="single" w:sz="4" w:space="0" w:color="auto"/>
            </w:tcBorders>
            <w:vAlign w:val="center"/>
          </w:tcPr>
          <w:p w14:paraId="6EF7C3DE"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包含本次安全检查评估的对象范围、时间要求、评估方式（脆弱性检查或应急演练）。</w:t>
            </w:r>
          </w:p>
        </w:tc>
      </w:tr>
      <w:tr w:rsidR="008137F8" w:rsidRPr="001E17A1" w14:paraId="75579224" w14:textId="77777777">
        <w:tc>
          <w:tcPr>
            <w:tcW w:w="1743" w:type="pct"/>
            <w:tcBorders>
              <w:top w:val="single" w:sz="4" w:space="0" w:color="auto"/>
              <w:left w:val="single" w:sz="4" w:space="0" w:color="auto"/>
              <w:bottom w:val="single" w:sz="4" w:space="0" w:color="auto"/>
              <w:right w:val="single" w:sz="4" w:space="0" w:color="auto"/>
            </w:tcBorders>
            <w:vAlign w:val="center"/>
          </w:tcPr>
          <w:p w14:paraId="567BFC6C"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安全脆弱性检查报告</w:t>
            </w:r>
          </w:p>
        </w:tc>
        <w:tc>
          <w:tcPr>
            <w:tcW w:w="3257" w:type="pct"/>
            <w:tcBorders>
              <w:top w:val="single" w:sz="4" w:space="0" w:color="auto"/>
              <w:left w:val="single" w:sz="4" w:space="0" w:color="auto"/>
              <w:bottom w:val="single" w:sz="4" w:space="0" w:color="auto"/>
              <w:right w:val="single" w:sz="4" w:space="0" w:color="auto"/>
            </w:tcBorders>
            <w:vAlign w:val="center"/>
          </w:tcPr>
          <w:p w14:paraId="0F52B505"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包含本次脆弱性检查所使用的工具、对象、漏洞清单（漏洞漏报率小于</w:t>
            </w:r>
            <w:r w:rsidRPr="001E17A1">
              <w:rPr>
                <w:rFonts w:ascii="宋体" w:hAnsi="宋体"/>
                <w:color w:val="000000" w:themeColor="text1"/>
                <w:sz w:val="24"/>
                <w:szCs w:val="24"/>
              </w:rPr>
              <w:t>1~3%</w:t>
            </w:r>
            <w:r w:rsidRPr="001E17A1">
              <w:rPr>
                <w:rFonts w:ascii="宋体" w:hAnsi="宋体" w:hint="eastAsia"/>
                <w:color w:val="000000" w:themeColor="text1"/>
                <w:sz w:val="24"/>
                <w:szCs w:val="24"/>
              </w:rPr>
              <w:t>）以及漏洞整改建议。</w:t>
            </w:r>
          </w:p>
        </w:tc>
      </w:tr>
      <w:tr w:rsidR="008137F8" w:rsidRPr="001E17A1" w14:paraId="35548175" w14:textId="77777777">
        <w:tc>
          <w:tcPr>
            <w:tcW w:w="1743" w:type="pct"/>
            <w:tcBorders>
              <w:top w:val="single" w:sz="4" w:space="0" w:color="auto"/>
              <w:left w:val="single" w:sz="4" w:space="0" w:color="auto"/>
              <w:bottom w:val="single" w:sz="4" w:space="0" w:color="auto"/>
              <w:right w:val="single" w:sz="4" w:space="0" w:color="auto"/>
            </w:tcBorders>
            <w:vAlign w:val="center"/>
          </w:tcPr>
          <w:p w14:paraId="136A3DA0"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安全脆弱项处置类单据</w:t>
            </w:r>
          </w:p>
        </w:tc>
        <w:tc>
          <w:tcPr>
            <w:tcW w:w="3257" w:type="pct"/>
            <w:tcBorders>
              <w:top w:val="single" w:sz="4" w:space="0" w:color="auto"/>
              <w:left w:val="single" w:sz="4" w:space="0" w:color="auto"/>
              <w:bottom w:val="single" w:sz="4" w:space="0" w:color="auto"/>
              <w:right w:val="single" w:sz="4" w:space="0" w:color="auto"/>
            </w:tcBorders>
            <w:vAlign w:val="center"/>
          </w:tcPr>
          <w:p w14:paraId="6160BD4A"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符合安全脆弱项处置类单据模板。</w:t>
            </w:r>
          </w:p>
        </w:tc>
      </w:tr>
      <w:tr w:rsidR="008137F8" w:rsidRPr="001E17A1" w14:paraId="5636B2C6" w14:textId="77777777">
        <w:tc>
          <w:tcPr>
            <w:tcW w:w="1743" w:type="pct"/>
            <w:tcBorders>
              <w:top w:val="single" w:sz="4" w:space="0" w:color="auto"/>
              <w:left w:val="single" w:sz="4" w:space="0" w:color="auto"/>
              <w:bottom w:val="single" w:sz="4" w:space="0" w:color="auto"/>
              <w:right w:val="single" w:sz="4" w:space="0" w:color="auto"/>
            </w:tcBorders>
            <w:vAlign w:val="center"/>
          </w:tcPr>
          <w:p w14:paraId="50F4371E"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应急预案和应急演练记录</w:t>
            </w:r>
          </w:p>
        </w:tc>
        <w:tc>
          <w:tcPr>
            <w:tcW w:w="3257" w:type="pct"/>
            <w:tcBorders>
              <w:top w:val="single" w:sz="4" w:space="0" w:color="auto"/>
              <w:left w:val="single" w:sz="4" w:space="0" w:color="auto"/>
              <w:bottom w:val="single" w:sz="4" w:space="0" w:color="auto"/>
              <w:right w:val="single" w:sz="4" w:space="0" w:color="auto"/>
            </w:tcBorders>
            <w:vAlign w:val="center"/>
          </w:tcPr>
          <w:p w14:paraId="5C64609A"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包含应急预案、应急演练的过程记录和需整改的问题清单。</w:t>
            </w:r>
          </w:p>
        </w:tc>
      </w:tr>
    </w:tbl>
    <w:p w14:paraId="4C78A7CF"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应用安全基础管理服务</w:t>
      </w:r>
    </w:p>
    <w:p w14:paraId="3E7AD673"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0C20B5DD"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应用安全基础管理服务提供的整改需求接入、安全复测、问题跟踪与交付输出的整个过程，以满足整体应用安全管理需要的目标。结合安全基础管理服务的需要，在规定时间节点上，周期性组织应用安全基础管理工作，以满足防止网络数据被窃取、篡改和安全事件管理的要求。</w:t>
      </w:r>
    </w:p>
    <w:p w14:paraId="20F83A3F"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5352"/>
      </w:tblGrid>
      <w:tr w:rsidR="008137F8" w:rsidRPr="001E17A1" w14:paraId="2F1EF8B0" w14:textId="77777777">
        <w:trPr>
          <w:jc w:val="center"/>
        </w:trPr>
        <w:tc>
          <w:tcPr>
            <w:tcW w:w="1860" w:type="pct"/>
            <w:tcBorders>
              <w:top w:val="single" w:sz="4" w:space="0" w:color="auto"/>
              <w:left w:val="single" w:sz="4" w:space="0" w:color="auto"/>
              <w:bottom w:val="single" w:sz="4" w:space="0" w:color="auto"/>
              <w:right w:val="single" w:sz="4" w:space="0" w:color="auto"/>
            </w:tcBorders>
            <w:vAlign w:val="center"/>
          </w:tcPr>
          <w:p w14:paraId="5EDF18FA" w14:textId="77777777" w:rsidR="008137F8" w:rsidRPr="001E17A1" w:rsidRDefault="00000000">
            <w:pPr>
              <w:pStyle w:val="150"/>
              <w:snapToGrid w:val="0"/>
              <w:ind w:firstLineChars="0" w:firstLine="0"/>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140" w:type="pct"/>
            <w:tcBorders>
              <w:top w:val="single" w:sz="4" w:space="0" w:color="auto"/>
              <w:left w:val="single" w:sz="4" w:space="0" w:color="auto"/>
              <w:bottom w:val="single" w:sz="4" w:space="0" w:color="auto"/>
              <w:right w:val="single" w:sz="4" w:space="0" w:color="auto"/>
            </w:tcBorders>
            <w:vAlign w:val="center"/>
          </w:tcPr>
          <w:p w14:paraId="1842B734" w14:textId="77777777" w:rsidR="008137F8" w:rsidRPr="001E17A1" w:rsidRDefault="00000000">
            <w:pPr>
              <w:pStyle w:val="150"/>
              <w:snapToGrid w:val="0"/>
              <w:ind w:firstLineChars="0" w:firstLine="0"/>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3339171F" w14:textId="77777777">
        <w:trPr>
          <w:jc w:val="center"/>
        </w:trPr>
        <w:tc>
          <w:tcPr>
            <w:tcW w:w="1860" w:type="pct"/>
            <w:tcBorders>
              <w:top w:val="single" w:sz="4" w:space="0" w:color="auto"/>
              <w:left w:val="single" w:sz="4" w:space="0" w:color="auto"/>
              <w:bottom w:val="single" w:sz="4" w:space="0" w:color="auto"/>
              <w:right w:val="single" w:sz="4" w:space="0" w:color="auto"/>
            </w:tcBorders>
            <w:vAlign w:val="center"/>
          </w:tcPr>
          <w:p w14:paraId="0589C197"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安全问题整改需求清单</w:t>
            </w:r>
          </w:p>
        </w:tc>
        <w:tc>
          <w:tcPr>
            <w:tcW w:w="3140" w:type="pct"/>
            <w:tcBorders>
              <w:top w:val="single" w:sz="4" w:space="0" w:color="auto"/>
              <w:left w:val="single" w:sz="4" w:space="0" w:color="auto"/>
              <w:bottom w:val="single" w:sz="4" w:space="0" w:color="auto"/>
              <w:right w:val="single" w:sz="4" w:space="0" w:color="auto"/>
            </w:tcBorders>
            <w:vAlign w:val="center"/>
          </w:tcPr>
          <w:p w14:paraId="2B8A0C29"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包含应用对象、问题来源、问题描述、发生时间、复测时间要求。</w:t>
            </w:r>
          </w:p>
        </w:tc>
      </w:tr>
      <w:tr w:rsidR="008137F8" w:rsidRPr="001E17A1" w14:paraId="43458CCE" w14:textId="77777777">
        <w:trPr>
          <w:jc w:val="center"/>
        </w:trPr>
        <w:tc>
          <w:tcPr>
            <w:tcW w:w="1860" w:type="pct"/>
            <w:tcBorders>
              <w:top w:val="single" w:sz="4" w:space="0" w:color="auto"/>
              <w:left w:val="single" w:sz="4" w:space="0" w:color="auto"/>
              <w:bottom w:val="single" w:sz="4" w:space="0" w:color="auto"/>
              <w:right w:val="single" w:sz="4" w:space="0" w:color="auto"/>
            </w:tcBorders>
            <w:vAlign w:val="center"/>
          </w:tcPr>
          <w:p w14:paraId="54D969F5" w14:textId="77777777" w:rsidR="008137F8" w:rsidRPr="001E17A1" w:rsidRDefault="00000000">
            <w:pPr>
              <w:snapToGrid w:val="0"/>
              <w:spacing w:line="360" w:lineRule="auto"/>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安全整改验证处置类单据</w:t>
            </w:r>
          </w:p>
        </w:tc>
        <w:tc>
          <w:tcPr>
            <w:tcW w:w="3140" w:type="pct"/>
            <w:tcBorders>
              <w:top w:val="single" w:sz="4" w:space="0" w:color="auto"/>
              <w:left w:val="single" w:sz="4" w:space="0" w:color="auto"/>
              <w:bottom w:val="single" w:sz="4" w:space="0" w:color="auto"/>
              <w:right w:val="single" w:sz="4" w:space="0" w:color="auto"/>
            </w:tcBorders>
            <w:vAlign w:val="center"/>
          </w:tcPr>
          <w:p w14:paraId="70FAF075"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记录安全问题整改过程，符合安全整改验证处置类单据模板。</w:t>
            </w:r>
          </w:p>
        </w:tc>
      </w:tr>
      <w:tr w:rsidR="008137F8" w:rsidRPr="001E17A1" w14:paraId="532E6B6F" w14:textId="77777777">
        <w:trPr>
          <w:jc w:val="center"/>
        </w:trPr>
        <w:tc>
          <w:tcPr>
            <w:tcW w:w="1860" w:type="pct"/>
            <w:tcBorders>
              <w:top w:val="single" w:sz="4" w:space="0" w:color="auto"/>
              <w:left w:val="single" w:sz="4" w:space="0" w:color="auto"/>
              <w:bottom w:val="single" w:sz="4" w:space="0" w:color="auto"/>
              <w:right w:val="single" w:sz="4" w:space="0" w:color="auto"/>
            </w:tcBorders>
            <w:vAlign w:val="center"/>
          </w:tcPr>
          <w:p w14:paraId="1472949E"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安全问题跟踪表</w:t>
            </w:r>
          </w:p>
        </w:tc>
        <w:tc>
          <w:tcPr>
            <w:tcW w:w="3140" w:type="pct"/>
            <w:tcBorders>
              <w:top w:val="single" w:sz="4" w:space="0" w:color="auto"/>
              <w:left w:val="single" w:sz="4" w:space="0" w:color="auto"/>
              <w:bottom w:val="single" w:sz="4" w:space="0" w:color="auto"/>
              <w:right w:val="single" w:sz="4" w:space="0" w:color="auto"/>
            </w:tcBorders>
            <w:vAlign w:val="center"/>
          </w:tcPr>
          <w:p w14:paraId="55A40D26"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包含应用对象、问题来源、问题描述、发生时间、复测时间、复测结果、复测人员。</w:t>
            </w:r>
          </w:p>
        </w:tc>
      </w:tr>
      <w:tr w:rsidR="008137F8" w:rsidRPr="001E17A1" w14:paraId="4236D234" w14:textId="77777777">
        <w:trPr>
          <w:jc w:val="center"/>
        </w:trPr>
        <w:tc>
          <w:tcPr>
            <w:tcW w:w="1860" w:type="pct"/>
            <w:tcBorders>
              <w:top w:val="single" w:sz="4" w:space="0" w:color="auto"/>
              <w:left w:val="single" w:sz="4" w:space="0" w:color="auto"/>
              <w:bottom w:val="single" w:sz="4" w:space="0" w:color="auto"/>
              <w:right w:val="single" w:sz="4" w:space="0" w:color="auto"/>
            </w:tcBorders>
            <w:vAlign w:val="center"/>
          </w:tcPr>
          <w:p w14:paraId="3D5873A5"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安全基础管理工作报告</w:t>
            </w:r>
          </w:p>
        </w:tc>
        <w:tc>
          <w:tcPr>
            <w:tcW w:w="3140" w:type="pct"/>
            <w:tcBorders>
              <w:top w:val="single" w:sz="4" w:space="0" w:color="auto"/>
              <w:left w:val="single" w:sz="4" w:space="0" w:color="auto"/>
              <w:bottom w:val="single" w:sz="4" w:space="0" w:color="auto"/>
              <w:right w:val="single" w:sz="4" w:space="0" w:color="auto"/>
            </w:tcBorders>
            <w:vAlign w:val="center"/>
          </w:tcPr>
          <w:p w14:paraId="48DD65BA"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包含复测结果以及未整改完成项的整改建议。</w:t>
            </w:r>
          </w:p>
        </w:tc>
      </w:tr>
    </w:tbl>
    <w:p w14:paraId="4F111F0F"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作业调度</w:t>
      </w:r>
    </w:p>
    <w:p w14:paraId="5B170826"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383C93BB"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为了能够满足中心及各委办单位对于数据及时性和稳定性的要求，通过作业调度工具对日常数据加工、数据开放、数据分发等作业的调度管理进行监控，对中断、失败、卡死、执行时间过长的作业进行问题分析、定位、处理和记录，并通过事后的分析，明确问题缘由，及时修复，以便后续能够避免同类问题发生。</w:t>
      </w:r>
    </w:p>
    <w:p w14:paraId="5266B24B"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cs="宋体" w:hint="eastAsia"/>
          <w:color w:val="000000" w:themeColor="text1"/>
          <w:sz w:val="24"/>
          <w:szCs w:val="24"/>
        </w:rPr>
        <w:t>作业调度服务工作</w:t>
      </w:r>
      <w:r w:rsidRPr="001E17A1">
        <w:rPr>
          <w:rFonts w:ascii="宋体" w:hAnsi="宋体" w:hint="eastAsia"/>
          <w:color w:val="000000" w:themeColor="text1"/>
          <w:sz w:val="24"/>
          <w:szCs w:val="24"/>
        </w:rPr>
        <w:t>内容包含但不限于：日常数据加工、数据开放、数据分发作业的调度管理，检查是否及时完成，对于中断作业进行处置。</w:t>
      </w:r>
    </w:p>
    <w:p w14:paraId="4FA03CCD"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5993"/>
      </w:tblGrid>
      <w:tr w:rsidR="008137F8" w:rsidRPr="001E17A1" w14:paraId="3FB7F432" w14:textId="77777777">
        <w:trPr>
          <w:trHeight w:val="384"/>
        </w:trPr>
        <w:tc>
          <w:tcPr>
            <w:tcW w:w="1484" w:type="pct"/>
            <w:vAlign w:val="center"/>
          </w:tcPr>
          <w:p w14:paraId="19049056"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516" w:type="pct"/>
            <w:vAlign w:val="center"/>
          </w:tcPr>
          <w:p w14:paraId="03AA2CFA"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3526895F" w14:textId="77777777">
        <w:tc>
          <w:tcPr>
            <w:tcW w:w="1484" w:type="pct"/>
            <w:vAlign w:val="center"/>
          </w:tcPr>
          <w:p w14:paraId="14830B06" w14:textId="77777777" w:rsidR="008137F8" w:rsidRPr="001E17A1" w:rsidRDefault="00000000">
            <w:pPr>
              <w:pStyle w:val="15"/>
              <w:snapToGrid w:val="0"/>
              <w:ind w:firstLineChars="0" w:firstLine="0"/>
              <w:jc w:val="center"/>
              <w:rPr>
                <w:rFonts w:ascii="宋体" w:hAnsi="宋体" w:hint="eastAsia"/>
                <w:color w:val="000000" w:themeColor="text1"/>
                <w:szCs w:val="24"/>
              </w:rPr>
            </w:pPr>
            <w:r w:rsidRPr="001E17A1">
              <w:rPr>
                <w:rFonts w:ascii="宋体" w:hAnsi="宋体" w:hint="eastAsia"/>
                <w:color w:val="000000" w:themeColor="text1"/>
                <w:szCs w:val="24"/>
              </w:rPr>
              <w:t>作业监控数据汇总报告（含异常作业分析）</w:t>
            </w:r>
          </w:p>
        </w:tc>
        <w:tc>
          <w:tcPr>
            <w:tcW w:w="3516" w:type="pct"/>
            <w:vAlign w:val="center"/>
          </w:tcPr>
          <w:p w14:paraId="70FB9A60"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作业监控数据汇总报告，包含但不限于作业运行情况、作业异常分析等</w:t>
            </w:r>
            <w:r w:rsidRPr="001E17A1">
              <w:rPr>
                <w:rFonts w:ascii="宋体" w:hAnsi="宋体" w:hint="eastAsia"/>
                <w:bCs/>
                <w:color w:val="000000" w:themeColor="text1"/>
                <w:kern w:val="0"/>
                <w:szCs w:val="24"/>
              </w:rPr>
              <w:t>。</w:t>
            </w:r>
          </w:p>
        </w:tc>
      </w:tr>
      <w:tr w:rsidR="008137F8" w:rsidRPr="001E17A1" w14:paraId="1DEAFF49" w14:textId="77777777">
        <w:tc>
          <w:tcPr>
            <w:tcW w:w="1484" w:type="pct"/>
            <w:vAlign w:val="center"/>
          </w:tcPr>
          <w:p w14:paraId="781963D6" w14:textId="77777777" w:rsidR="008137F8" w:rsidRPr="001E17A1" w:rsidRDefault="00000000">
            <w:pPr>
              <w:pStyle w:val="15"/>
              <w:snapToGrid w:val="0"/>
              <w:ind w:firstLineChars="0" w:firstLine="0"/>
              <w:jc w:val="center"/>
              <w:rPr>
                <w:rFonts w:ascii="宋体" w:hAnsi="宋体" w:hint="eastAsia"/>
                <w:color w:val="000000" w:themeColor="text1"/>
                <w:szCs w:val="24"/>
              </w:rPr>
            </w:pPr>
            <w:r w:rsidRPr="001E17A1">
              <w:rPr>
                <w:rFonts w:ascii="宋体" w:hAnsi="宋体" w:hint="eastAsia"/>
                <w:color w:val="000000" w:themeColor="text1"/>
                <w:szCs w:val="24"/>
              </w:rPr>
              <w:t>月总结报告</w:t>
            </w:r>
          </w:p>
        </w:tc>
        <w:tc>
          <w:tcPr>
            <w:tcW w:w="3516" w:type="pct"/>
            <w:vAlign w:val="center"/>
          </w:tcPr>
          <w:p w14:paraId="1F4209C8"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符合运维报告模板，并包含以下绩效指标：</w:t>
            </w:r>
          </w:p>
          <w:p w14:paraId="768B72C8"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作业规模数据及变化记录（作业映射到目录数）、</w:t>
            </w:r>
          </w:p>
          <w:p w14:paraId="205D2E7A"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作业可用率</w:t>
            </w:r>
            <w:r w:rsidRPr="001E17A1">
              <w:rPr>
                <w:rFonts w:ascii="宋体" w:hAnsi="宋体"/>
                <w:color w:val="000000" w:themeColor="text1"/>
                <w:szCs w:val="24"/>
              </w:rPr>
              <w:t>=</w:t>
            </w:r>
            <w:r w:rsidRPr="001E17A1">
              <w:rPr>
                <w:rFonts w:ascii="宋体" w:hAnsi="宋体" w:hint="eastAsia"/>
                <w:color w:val="000000" w:themeColor="text1"/>
                <w:szCs w:val="24"/>
              </w:rPr>
              <w:t>（月实际及时完成作业量</w:t>
            </w:r>
            <w:r w:rsidRPr="001E17A1">
              <w:rPr>
                <w:rFonts w:ascii="宋体" w:hAnsi="宋体"/>
                <w:color w:val="000000" w:themeColor="text1"/>
                <w:szCs w:val="24"/>
              </w:rPr>
              <w:t>/</w:t>
            </w:r>
            <w:r w:rsidRPr="001E17A1">
              <w:rPr>
                <w:rFonts w:ascii="宋体" w:hAnsi="宋体" w:hint="eastAsia"/>
                <w:color w:val="000000" w:themeColor="text1"/>
                <w:szCs w:val="24"/>
              </w:rPr>
              <w:t>每月计划执行作业量）</w:t>
            </w:r>
          </w:p>
          <w:p w14:paraId="294594CA"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lastRenderedPageBreak/>
              <w:t>故障处理及时率</w:t>
            </w:r>
          </w:p>
          <w:p w14:paraId="687DEE6F" w14:textId="77777777" w:rsidR="008137F8" w:rsidRPr="001E17A1" w:rsidRDefault="00000000">
            <w:pPr>
              <w:pStyle w:val="15"/>
              <w:snapToGrid w:val="0"/>
              <w:ind w:firstLineChars="0" w:firstLine="0"/>
              <w:jc w:val="left"/>
              <w:rPr>
                <w:rFonts w:ascii="宋体" w:hAnsi="宋体" w:hint="eastAsia"/>
                <w:color w:val="000000" w:themeColor="text1"/>
                <w:szCs w:val="24"/>
              </w:rPr>
            </w:pPr>
            <w:r w:rsidRPr="001E17A1">
              <w:rPr>
                <w:rFonts w:ascii="宋体" w:hAnsi="宋体" w:hint="eastAsia"/>
                <w:color w:val="000000" w:themeColor="text1"/>
                <w:szCs w:val="24"/>
              </w:rPr>
              <w:t>附相关记录材料。</w:t>
            </w:r>
          </w:p>
        </w:tc>
      </w:tr>
    </w:tbl>
    <w:p w14:paraId="6DB4B1B6" w14:textId="77777777" w:rsidR="008137F8" w:rsidRPr="001E17A1" w:rsidRDefault="00000000">
      <w:pPr>
        <w:pStyle w:val="3"/>
        <w:keepNext w:val="0"/>
        <w:keepLines w:val="0"/>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应用服务类</w:t>
      </w:r>
    </w:p>
    <w:p w14:paraId="4F799312" w14:textId="77777777" w:rsidR="008137F8" w:rsidRPr="001E17A1" w:rsidRDefault="00000000">
      <w:pPr>
        <w:pStyle w:val="4"/>
        <w:keepNext w:val="0"/>
        <w:keepLines w:val="0"/>
        <w:tabs>
          <w:tab w:val="clear" w:pos="720"/>
          <w:tab w:val="left" w:pos="567"/>
        </w:tabs>
        <w:snapToGrid w:val="0"/>
        <w:spacing w:before="0" w:line="360" w:lineRule="auto"/>
        <w:ind w:hanging="850"/>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数据开放运营接入服务</w:t>
      </w:r>
    </w:p>
    <w:p w14:paraId="56F1F0AD"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66A0AE5A"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在支撑数据开放及数据社会化应用过程中，对需求对接、需求分析、咨询反馈的服务。</w:t>
      </w:r>
    </w:p>
    <w:p w14:paraId="77C2960C"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5521"/>
      </w:tblGrid>
      <w:tr w:rsidR="008137F8" w:rsidRPr="001E17A1" w14:paraId="1E0376C6" w14:textId="77777777">
        <w:trPr>
          <w:trHeight w:val="487"/>
        </w:trPr>
        <w:tc>
          <w:tcPr>
            <w:tcW w:w="1761" w:type="pct"/>
            <w:vAlign w:val="center"/>
          </w:tcPr>
          <w:p w14:paraId="2622E872"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239" w:type="pct"/>
            <w:vAlign w:val="center"/>
          </w:tcPr>
          <w:p w14:paraId="2CEFF3D5"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12323B17" w14:textId="77777777">
        <w:trPr>
          <w:trHeight w:val="314"/>
        </w:trPr>
        <w:tc>
          <w:tcPr>
            <w:tcW w:w="1761" w:type="pct"/>
            <w:vAlign w:val="center"/>
          </w:tcPr>
          <w:p w14:paraId="2C58B37E"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内容发布记录</w:t>
            </w:r>
          </w:p>
        </w:tc>
        <w:tc>
          <w:tcPr>
            <w:tcW w:w="3239" w:type="pct"/>
            <w:vAlign w:val="center"/>
          </w:tcPr>
          <w:p w14:paraId="1A0D227D"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符合内容发布记录模板</w:t>
            </w:r>
            <w:r w:rsidRPr="001E17A1">
              <w:rPr>
                <w:rFonts w:ascii="宋体" w:hAnsi="宋体" w:hint="eastAsia"/>
                <w:bCs/>
                <w:color w:val="000000" w:themeColor="text1"/>
                <w:kern w:val="0"/>
                <w:sz w:val="24"/>
                <w:szCs w:val="24"/>
              </w:rPr>
              <w:t>。</w:t>
            </w:r>
          </w:p>
        </w:tc>
      </w:tr>
      <w:tr w:rsidR="008137F8" w:rsidRPr="001E17A1" w14:paraId="125A143B" w14:textId="77777777">
        <w:trPr>
          <w:trHeight w:val="314"/>
        </w:trPr>
        <w:tc>
          <w:tcPr>
            <w:tcW w:w="1761" w:type="pct"/>
            <w:vAlign w:val="center"/>
          </w:tcPr>
          <w:p w14:paraId="498E85B8" w14:textId="77777777" w:rsidR="008137F8" w:rsidRPr="001E17A1" w:rsidRDefault="00000000">
            <w:pPr>
              <w:pStyle w:val="150"/>
              <w:snapToGrid w:val="0"/>
              <w:ind w:firstLineChars="0" w:firstLine="0"/>
              <w:jc w:val="left"/>
              <w:rPr>
                <w:rFonts w:ascii="宋体" w:hAnsi="宋体" w:hint="eastAsia"/>
                <w:b/>
                <w:bCs/>
                <w:color w:val="000000" w:themeColor="text1"/>
                <w:sz w:val="24"/>
                <w:szCs w:val="24"/>
              </w:rPr>
            </w:pPr>
            <w:r w:rsidRPr="001E17A1">
              <w:rPr>
                <w:rFonts w:ascii="宋体" w:hAnsi="宋体" w:hint="eastAsia"/>
                <w:color w:val="000000" w:themeColor="text1"/>
                <w:sz w:val="24"/>
                <w:szCs w:val="24"/>
              </w:rPr>
              <w:t>运营策划方案（如有）</w:t>
            </w:r>
          </w:p>
        </w:tc>
        <w:tc>
          <w:tcPr>
            <w:tcW w:w="3239" w:type="pct"/>
            <w:vAlign w:val="center"/>
          </w:tcPr>
          <w:p w14:paraId="77541767"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符合数据运营需求附相关记录材料。</w:t>
            </w:r>
          </w:p>
        </w:tc>
      </w:tr>
      <w:tr w:rsidR="008137F8" w:rsidRPr="001E17A1" w14:paraId="197593B2" w14:textId="77777777">
        <w:trPr>
          <w:trHeight w:val="314"/>
        </w:trPr>
        <w:tc>
          <w:tcPr>
            <w:tcW w:w="1761" w:type="pct"/>
            <w:vAlign w:val="center"/>
          </w:tcPr>
          <w:p w14:paraId="25BA0F95"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运营统计报告</w:t>
            </w:r>
          </w:p>
        </w:tc>
        <w:tc>
          <w:tcPr>
            <w:tcW w:w="3239" w:type="pct"/>
            <w:vAlign w:val="center"/>
          </w:tcPr>
          <w:p w14:paraId="6DDB9492"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包含运营数据统计相关数据。</w:t>
            </w:r>
          </w:p>
        </w:tc>
      </w:tr>
      <w:tr w:rsidR="008137F8" w:rsidRPr="001E17A1" w14:paraId="4BA05C00" w14:textId="77777777">
        <w:trPr>
          <w:trHeight w:val="314"/>
        </w:trPr>
        <w:tc>
          <w:tcPr>
            <w:tcW w:w="1761" w:type="pct"/>
            <w:vAlign w:val="center"/>
          </w:tcPr>
          <w:p w14:paraId="53D4CB26"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问题回复记录</w:t>
            </w:r>
          </w:p>
        </w:tc>
        <w:tc>
          <w:tcPr>
            <w:tcW w:w="3239" w:type="pct"/>
            <w:vAlign w:val="center"/>
          </w:tcPr>
          <w:p w14:paraId="3D2496E1"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符合问题回复记录模板，并包括回复数量，回复及时率，用户满意度，附相关记录材料。</w:t>
            </w:r>
          </w:p>
        </w:tc>
      </w:tr>
      <w:tr w:rsidR="008137F8" w:rsidRPr="001E17A1" w14:paraId="20300806" w14:textId="77777777">
        <w:trPr>
          <w:trHeight w:val="314"/>
        </w:trPr>
        <w:tc>
          <w:tcPr>
            <w:tcW w:w="1761" w:type="pct"/>
            <w:vAlign w:val="center"/>
          </w:tcPr>
          <w:p w14:paraId="471DE9B9"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需求审核记录</w:t>
            </w:r>
          </w:p>
        </w:tc>
        <w:tc>
          <w:tcPr>
            <w:tcW w:w="3239" w:type="pct"/>
            <w:vAlign w:val="center"/>
          </w:tcPr>
          <w:p w14:paraId="2705ECAD"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包含需求审核数量及需求审核结果</w:t>
            </w:r>
            <w:r w:rsidRPr="001E17A1">
              <w:rPr>
                <w:rFonts w:ascii="宋体" w:hAnsi="宋体" w:hint="eastAsia"/>
                <w:bCs/>
                <w:color w:val="000000" w:themeColor="text1"/>
                <w:kern w:val="0"/>
                <w:sz w:val="24"/>
                <w:szCs w:val="24"/>
              </w:rPr>
              <w:t>。</w:t>
            </w:r>
          </w:p>
        </w:tc>
      </w:tr>
      <w:tr w:rsidR="008137F8" w:rsidRPr="001E17A1" w14:paraId="37010C7E" w14:textId="77777777">
        <w:trPr>
          <w:trHeight w:val="314"/>
        </w:trPr>
        <w:tc>
          <w:tcPr>
            <w:tcW w:w="1761" w:type="pct"/>
            <w:vAlign w:val="center"/>
          </w:tcPr>
          <w:p w14:paraId="285228D2"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需求审核记录</w:t>
            </w:r>
          </w:p>
        </w:tc>
        <w:tc>
          <w:tcPr>
            <w:tcW w:w="3239" w:type="pct"/>
            <w:vAlign w:val="center"/>
          </w:tcPr>
          <w:p w14:paraId="03EECF80"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包含需求审核数量及需求审核结果</w:t>
            </w:r>
            <w:r w:rsidRPr="001E17A1">
              <w:rPr>
                <w:rFonts w:ascii="宋体" w:hAnsi="宋体" w:hint="eastAsia"/>
                <w:bCs/>
                <w:color w:val="000000" w:themeColor="text1"/>
                <w:kern w:val="0"/>
                <w:sz w:val="24"/>
                <w:szCs w:val="24"/>
              </w:rPr>
              <w:t>。</w:t>
            </w:r>
          </w:p>
        </w:tc>
      </w:tr>
    </w:tbl>
    <w:p w14:paraId="014B579E"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公共数据上链服务</w:t>
      </w:r>
    </w:p>
    <w:p w14:paraId="62EB93BA"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0CC08CD2"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在支撑各单位公共数据上链过程中，对于职责目录、系统目录、数据目录三目录编制的完成情况，以及三目录挂载关联情况进行逐一审核；按照新一年度的重点工作任务，制定工作方案并开展数据标准的上链、应用场景上链的逐一审核，并在过程中对各单位开展相关工作进行技术支撑。</w:t>
      </w:r>
    </w:p>
    <w:p w14:paraId="23291615"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使用该目录时，不可使用数据质量检查、数据质量规则设计及异常处置服务目录。</w:t>
      </w:r>
    </w:p>
    <w:p w14:paraId="6D807000"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5790"/>
      </w:tblGrid>
      <w:tr w:rsidR="008137F8" w:rsidRPr="001E17A1" w14:paraId="2420E358" w14:textId="77777777">
        <w:trPr>
          <w:trHeight w:val="511"/>
        </w:trPr>
        <w:tc>
          <w:tcPr>
            <w:tcW w:w="1603" w:type="pct"/>
          </w:tcPr>
          <w:p w14:paraId="48DBB08C"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w:t>
            </w:r>
          </w:p>
        </w:tc>
        <w:tc>
          <w:tcPr>
            <w:tcW w:w="3397" w:type="pct"/>
          </w:tcPr>
          <w:p w14:paraId="7BC55AC8"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63528686" w14:textId="77777777">
        <w:tc>
          <w:tcPr>
            <w:tcW w:w="1603" w:type="pct"/>
            <w:vAlign w:val="center"/>
          </w:tcPr>
          <w:p w14:paraId="3E93CD7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公共数据上链目录</w:t>
            </w:r>
          </w:p>
        </w:tc>
        <w:tc>
          <w:tcPr>
            <w:tcW w:w="3397" w:type="pct"/>
            <w:vAlign w:val="center"/>
          </w:tcPr>
          <w:p w14:paraId="01A0A5D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目录符合整体编目规范、数据采集标准、符合系统的数据质量检查规则</w:t>
            </w:r>
            <w:r w:rsidRPr="001E17A1">
              <w:rPr>
                <w:rFonts w:ascii="宋体" w:hAnsi="宋体" w:hint="eastAsia"/>
                <w:bCs/>
                <w:color w:val="000000" w:themeColor="text1"/>
                <w:kern w:val="0"/>
                <w:szCs w:val="24"/>
              </w:rPr>
              <w:t>。</w:t>
            </w:r>
          </w:p>
        </w:tc>
      </w:tr>
      <w:tr w:rsidR="008137F8" w:rsidRPr="001E17A1" w14:paraId="63F8DF41" w14:textId="77777777">
        <w:tc>
          <w:tcPr>
            <w:tcW w:w="1603" w:type="pct"/>
            <w:vAlign w:val="center"/>
          </w:tcPr>
          <w:p w14:paraId="658887D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公共数据上链方案</w:t>
            </w:r>
          </w:p>
        </w:tc>
        <w:tc>
          <w:tcPr>
            <w:tcW w:w="3397" w:type="pct"/>
            <w:vAlign w:val="center"/>
          </w:tcPr>
          <w:p w14:paraId="14B8A0E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符合智能合约、应用场景上链的需求</w:t>
            </w:r>
            <w:r w:rsidRPr="001E17A1">
              <w:rPr>
                <w:rFonts w:ascii="宋体" w:hAnsi="宋体" w:hint="eastAsia"/>
                <w:bCs/>
                <w:color w:val="000000" w:themeColor="text1"/>
                <w:kern w:val="0"/>
                <w:szCs w:val="24"/>
              </w:rPr>
              <w:t>。</w:t>
            </w:r>
          </w:p>
        </w:tc>
      </w:tr>
      <w:tr w:rsidR="008137F8" w:rsidRPr="001E17A1" w14:paraId="101BCF98" w14:textId="77777777">
        <w:trPr>
          <w:trHeight w:val="90"/>
        </w:trPr>
        <w:tc>
          <w:tcPr>
            <w:tcW w:w="1603" w:type="pct"/>
            <w:vAlign w:val="center"/>
          </w:tcPr>
          <w:p w14:paraId="6C9E58EC"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lastRenderedPageBreak/>
              <w:t>公共数据上链总结报告</w:t>
            </w:r>
          </w:p>
        </w:tc>
        <w:tc>
          <w:tcPr>
            <w:tcW w:w="3397" w:type="pct"/>
            <w:vAlign w:val="center"/>
          </w:tcPr>
          <w:p w14:paraId="4F59F817"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公共数据上链总结报告，包含但不限于上链数据目录、数据清单、数据质量标准、数据异常分析等</w:t>
            </w:r>
            <w:r w:rsidRPr="001E17A1">
              <w:rPr>
                <w:rFonts w:ascii="宋体" w:hAnsi="宋体" w:hint="eastAsia"/>
                <w:bCs/>
                <w:color w:val="000000" w:themeColor="text1"/>
                <w:kern w:val="0"/>
                <w:szCs w:val="24"/>
              </w:rPr>
              <w:t>。</w:t>
            </w:r>
          </w:p>
        </w:tc>
      </w:tr>
    </w:tbl>
    <w:p w14:paraId="262B3607"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主（专）题数据库建设</w:t>
      </w:r>
    </w:p>
    <w:p w14:paraId="573D99FA"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259FB2B1"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根据数据库建设需求，对主题库建设，按照某一主题或业务领域，将相关的基础数据进行收集、整理、归类和存储的过程，以形成专业的知识库。主要包括主题的选择、数据的收集、整理和存储，其主要目的是为用户提供特定主题下的专业知识和研究素材。对专题库建设，根据特定专题或业务需求，对基础数据进行二次加工和整合形成的数据库，以满足特定专题分析的需求，包括对专题需求分析、数据收集、清洗、治理、质量控制和更新维护等工作。</w:t>
      </w:r>
    </w:p>
    <w:p w14:paraId="34EFA35B"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使用该目录时，不可使用数据采集接入、数据抽取服务、数据标签、时空数据转换与处理、数据质量检查、数据质量规则设计及异常处置服务目录、数据共享/开放/授权订阅服务、数据统计分析及报表服务、数据挖掘建模、对于历史数据的归档及销毁服务目录。</w:t>
      </w:r>
    </w:p>
    <w:p w14:paraId="3564D47D"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6"/>
        <w:gridCol w:w="5556"/>
      </w:tblGrid>
      <w:tr w:rsidR="008137F8" w:rsidRPr="001E17A1" w14:paraId="31FB2E14" w14:textId="77777777">
        <w:trPr>
          <w:trHeight w:val="526"/>
        </w:trPr>
        <w:tc>
          <w:tcPr>
            <w:tcW w:w="1740" w:type="pct"/>
            <w:shd w:val="clear" w:color="auto" w:fill="FFFFFF"/>
          </w:tcPr>
          <w:p w14:paraId="598F95AF"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260" w:type="pct"/>
            <w:shd w:val="clear" w:color="auto" w:fill="FFFFFF"/>
          </w:tcPr>
          <w:p w14:paraId="4A5A6E55"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717ED825" w14:textId="77777777">
        <w:trPr>
          <w:trHeight w:val="309"/>
        </w:trPr>
        <w:tc>
          <w:tcPr>
            <w:tcW w:w="1740" w:type="pct"/>
            <w:vAlign w:val="center"/>
          </w:tcPr>
          <w:p w14:paraId="1E8C659C"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主（专）题数据库需求书</w:t>
            </w:r>
          </w:p>
        </w:tc>
        <w:tc>
          <w:tcPr>
            <w:tcW w:w="3260" w:type="pct"/>
            <w:vAlign w:val="center"/>
          </w:tcPr>
          <w:p w14:paraId="7D71CE1F"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提供经确认的需求文档。</w:t>
            </w:r>
          </w:p>
        </w:tc>
      </w:tr>
      <w:tr w:rsidR="008137F8" w:rsidRPr="001E17A1" w14:paraId="1193335B" w14:textId="77777777">
        <w:tc>
          <w:tcPr>
            <w:tcW w:w="1740" w:type="pct"/>
            <w:vAlign w:val="center"/>
          </w:tcPr>
          <w:p w14:paraId="30DD3698"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主（专）题数据库设计文档</w:t>
            </w:r>
          </w:p>
        </w:tc>
        <w:tc>
          <w:tcPr>
            <w:tcW w:w="3260" w:type="pct"/>
            <w:vAlign w:val="center"/>
          </w:tcPr>
          <w:p w14:paraId="4DB24090"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提供含指标设计的设计文档，要求符合数据运营工作实际需求，符合主（专）题数据库设计规范。</w:t>
            </w:r>
          </w:p>
        </w:tc>
      </w:tr>
      <w:tr w:rsidR="008137F8" w:rsidRPr="001E17A1" w14:paraId="74D98B3D" w14:textId="77777777">
        <w:trPr>
          <w:trHeight w:val="314"/>
        </w:trPr>
        <w:tc>
          <w:tcPr>
            <w:tcW w:w="1740" w:type="pct"/>
            <w:vAlign w:val="center"/>
          </w:tcPr>
          <w:p w14:paraId="17084D99"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测试文档</w:t>
            </w:r>
          </w:p>
        </w:tc>
        <w:tc>
          <w:tcPr>
            <w:tcW w:w="3260" w:type="pct"/>
            <w:vAlign w:val="center"/>
          </w:tcPr>
          <w:p w14:paraId="7DEC188E"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符合测试报告模板，如实记录测试过程和缺陷。</w:t>
            </w:r>
          </w:p>
        </w:tc>
      </w:tr>
      <w:tr w:rsidR="008137F8" w:rsidRPr="001E17A1" w14:paraId="0E0D8409" w14:textId="77777777">
        <w:trPr>
          <w:trHeight w:val="314"/>
        </w:trPr>
        <w:tc>
          <w:tcPr>
            <w:tcW w:w="1740" w:type="pct"/>
            <w:vAlign w:val="center"/>
          </w:tcPr>
          <w:p w14:paraId="0F8673BD"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主（专）题数据库说明文档</w:t>
            </w:r>
          </w:p>
        </w:tc>
        <w:tc>
          <w:tcPr>
            <w:tcW w:w="3260" w:type="pct"/>
            <w:vAlign w:val="center"/>
          </w:tcPr>
          <w:p w14:paraId="5858E982" w14:textId="77777777" w:rsidR="008137F8" w:rsidRPr="001E17A1" w:rsidRDefault="00000000">
            <w:pPr>
              <w:snapToGrid w:val="0"/>
              <w:spacing w:line="360" w:lineRule="auto"/>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提供符合数据运营工作实际需求，符合主（专）题数据库建设基本要求。</w:t>
            </w:r>
          </w:p>
        </w:tc>
      </w:tr>
    </w:tbl>
    <w:p w14:paraId="5CCFEA2B"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数据可视化展现工作</w:t>
      </w:r>
    </w:p>
    <w:p w14:paraId="3D7EB0A9"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562DEA9E"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可视化展现服务主要以需求调研明确大屏展示要求，通过系统设计与实施实现将中心在公共数据</w:t>
      </w:r>
      <w:r w:rsidRPr="001E17A1">
        <w:rPr>
          <w:rFonts w:ascii="宋体" w:hAnsi="宋体"/>
          <w:color w:val="000000" w:themeColor="text1"/>
          <w:sz w:val="24"/>
          <w:szCs w:val="24"/>
        </w:rPr>
        <w:t>治理</w:t>
      </w:r>
      <w:r w:rsidRPr="001E17A1">
        <w:rPr>
          <w:rFonts w:ascii="宋体" w:hAnsi="宋体" w:hint="eastAsia"/>
          <w:color w:val="000000" w:themeColor="text1"/>
          <w:sz w:val="24"/>
          <w:szCs w:val="24"/>
        </w:rPr>
        <w:t>、</w:t>
      </w:r>
      <w:r w:rsidRPr="001E17A1">
        <w:rPr>
          <w:rFonts w:ascii="宋体" w:hAnsi="宋体"/>
          <w:color w:val="000000" w:themeColor="text1"/>
          <w:sz w:val="24"/>
          <w:szCs w:val="24"/>
        </w:rPr>
        <w:t>应用</w:t>
      </w:r>
      <w:r w:rsidRPr="001E17A1">
        <w:rPr>
          <w:rFonts w:ascii="宋体" w:hAnsi="宋体" w:hint="eastAsia"/>
          <w:color w:val="000000" w:themeColor="text1"/>
          <w:sz w:val="24"/>
          <w:szCs w:val="24"/>
        </w:rPr>
        <w:t>或安全</w:t>
      </w:r>
      <w:r w:rsidRPr="001E17A1">
        <w:rPr>
          <w:rFonts w:ascii="宋体" w:hAnsi="宋体"/>
          <w:color w:val="000000" w:themeColor="text1"/>
          <w:sz w:val="24"/>
          <w:szCs w:val="24"/>
        </w:rPr>
        <w:t>方面的建设情况</w:t>
      </w:r>
      <w:r w:rsidRPr="001E17A1">
        <w:rPr>
          <w:rFonts w:ascii="宋体" w:hAnsi="宋体" w:hint="eastAsia"/>
          <w:color w:val="000000" w:themeColor="text1"/>
          <w:sz w:val="24"/>
          <w:szCs w:val="24"/>
        </w:rPr>
        <w:t>及</w:t>
      </w:r>
      <w:r w:rsidRPr="001E17A1">
        <w:rPr>
          <w:rFonts w:ascii="宋体" w:hAnsi="宋体"/>
          <w:color w:val="000000" w:themeColor="text1"/>
          <w:sz w:val="24"/>
          <w:szCs w:val="24"/>
        </w:rPr>
        <w:t>成果</w:t>
      </w:r>
      <w:r w:rsidRPr="001E17A1">
        <w:rPr>
          <w:rFonts w:ascii="宋体" w:hAnsi="宋体" w:hint="eastAsia"/>
          <w:color w:val="000000" w:themeColor="text1"/>
          <w:sz w:val="24"/>
          <w:szCs w:val="24"/>
        </w:rPr>
        <w:t>借助图形化</w:t>
      </w:r>
      <w:r w:rsidRPr="001E17A1">
        <w:rPr>
          <w:rFonts w:ascii="宋体" w:hAnsi="宋体"/>
          <w:color w:val="000000" w:themeColor="text1"/>
          <w:sz w:val="24"/>
          <w:szCs w:val="24"/>
        </w:rPr>
        <w:t>手段</w:t>
      </w:r>
      <w:r w:rsidRPr="001E17A1">
        <w:rPr>
          <w:rFonts w:ascii="宋体" w:hAnsi="宋体" w:hint="eastAsia"/>
          <w:color w:val="000000" w:themeColor="text1"/>
          <w:sz w:val="24"/>
          <w:szCs w:val="24"/>
        </w:rPr>
        <w:t>更加</w:t>
      </w:r>
      <w:r w:rsidRPr="001E17A1">
        <w:rPr>
          <w:rFonts w:ascii="宋体" w:hAnsi="宋体"/>
          <w:color w:val="000000" w:themeColor="text1"/>
          <w:sz w:val="24"/>
          <w:szCs w:val="24"/>
        </w:rPr>
        <w:t>直观</w:t>
      </w:r>
      <w:r w:rsidRPr="001E17A1">
        <w:rPr>
          <w:rFonts w:ascii="宋体" w:hAnsi="宋体" w:hint="eastAsia"/>
          <w:color w:val="000000" w:themeColor="text1"/>
          <w:sz w:val="24"/>
          <w:szCs w:val="24"/>
        </w:rPr>
        <w:t>、</w:t>
      </w:r>
      <w:r w:rsidRPr="001E17A1">
        <w:rPr>
          <w:rFonts w:ascii="宋体" w:hAnsi="宋体"/>
          <w:color w:val="000000" w:themeColor="text1"/>
          <w:sz w:val="24"/>
          <w:szCs w:val="24"/>
        </w:rPr>
        <w:t>清晰、</w:t>
      </w:r>
      <w:r w:rsidRPr="001E17A1">
        <w:rPr>
          <w:rFonts w:ascii="宋体" w:hAnsi="宋体" w:hint="eastAsia"/>
          <w:color w:val="000000" w:themeColor="text1"/>
          <w:sz w:val="24"/>
          <w:szCs w:val="24"/>
        </w:rPr>
        <w:t>全面的展现出来。为中心在公共数据</w:t>
      </w:r>
      <w:r w:rsidRPr="001E17A1">
        <w:rPr>
          <w:rFonts w:ascii="宋体" w:hAnsi="宋体"/>
          <w:color w:val="000000" w:themeColor="text1"/>
          <w:sz w:val="24"/>
          <w:szCs w:val="24"/>
        </w:rPr>
        <w:t>治理</w:t>
      </w:r>
      <w:r w:rsidRPr="001E17A1">
        <w:rPr>
          <w:rFonts w:ascii="宋体" w:hAnsi="宋体" w:hint="eastAsia"/>
          <w:color w:val="000000" w:themeColor="text1"/>
          <w:sz w:val="24"/>
          <w:szCs w:val="24"/>
        </w:rPr>
        <w:t>、</w:t>
      </w:r>
      <w:r w:rsidRPr="001E17A1">
        <w:rPr>
          <w:rFonts w:ascii="宋体" w:hAnsi="宋体"/>
          <w:color w:val="000000" w:themeColor="text1"/>
          <w:sz w:val="24"/>
          <w:szCs w:val="24"/>
        </w:rPr>
        <w:t>应用</w:t>
      </w:r>
      <w:r w:rsidRPr="001E17A1">
        <w:rPr>
          <w:rFonts w:ascii="宋体" w:hAnsi="宋体" w:hint="eastAsia"/>
          <w:color w:val="000000" w:themeColor="text1"/>
          <w:sz w:val="24"/>
          <w:szCs w:val="24"/>
        </w:rPr>
        <w:t>或安全</w:t>
      </w:r>
      <w:r w:rsidRPr="001E17A1">
        <w:rPr>
          <w:rFonts w:ascii="宋体" w:hAnsi="宋体"/>
          <w:color w:val="000000" w:themeColor="text1"/>
          <w:sz w:val="24"/>
          <w:szCs w:val="24"/>
        </w:rPr>
        <w:t>方面</w:t>
      </w:r>
      <w:r w:rsidRPr="001E17A1">
        <w:rPr>
          <w:rFonts w:ascii="宋体" w:hAnsi="宋体" w:hint="eastAsia"/>
          <w:color w:val="000000" w:themeColor="text1"/>
          <w:sz w:val="24"/>
          <w:szCs w:val="24"/>
        </w:rPr>
        <w:t>决策</w:t>
      </w:r>
      <w:r w:rsidRPr="001E17A1">
        <w:rPr>
          <w:rFonts w:ascii="宋体" w:hAnsi="宋体"/>
          <w:color w:val="000000" w:themeColor="text1"/>
          <w:sz w:val="24"/>
          <w:szCs w:val="24"/>
        </w:rPr>
        <w:t>上</w:t>
      </w:r>
      <w:r w:rsidRPr="001E17A1">
        <w:rPr>
          <w:rFonts w:ascii="宋体" w:hAnsi="宋体" w:hint="eastAsia"/>
          <w:color w:val="000000" w:themeColor="text1"/>
          <w:sz w:val="24"/>
          <w:szCs w:val="24"/>
        </w:rPr>
        <w:t>提供支撑及辅助判断，起到</w:t>
      </w:r>
      <w:r w:rsidRPr="001E17A1">
        <w:rPr>
          <w:rFonts w:ascii="宋体" w:hAnsi="宋体"/>
          <w:color w:val="000000" w:themeColor="text1"/>
          <w:sz w:val="24"/>
          <w:szCs w:val="24"/>
        </w:rPr>
        <w:t>业务监控、风险预警</w:t>
      </w:r>
      <w:r w:rsidRPr="001E17A1">
        <w:rPr>
          <w:rFonts w:ascii="宋体" w:hAnsi="宋体" w:hint="eastAsia"/>
          <w:color w:val="000000" w:themeColor="text1"/>
          <w:sz w:val="24"/>
          <w:szCs w:val="24"/>
        </w:rPr>
        <w:t>的作用。</w:t>
      </w:r>
    </w:p>
    <w:p w14:paraId="42463BBF"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4"/>
        <w:gridCol w:w="5768"/>
      </w:tblGrid>
      <w:tr w:rsidR="008137F8" w:rsidRPr="001E17A1" w14:paraId="6D24DEAF" w14:textId="77777777">
        <w:trPr>
          <w:trHeight w:val="511"/>
        </w:trPr>
        <w:tc>
          <w:tcPr>
            <w:tcW w:w="1616" w:type="pct"/>
            <w:shd w:val="clear" w:color="auto" w:fill="FFFFFF"/>
          </w:tcPr>
          <w:p w14:paraId="6452B5E5"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lastRenderedPageBreak/>
              <w:t>输出物</w:t>
            </w:r>
          </w:p>
        </w:tc>
        <w:tc>
          <w:tcPr>
            <w:tcW w:w="3384" w:type="pct"/>
            <w:shd w:val="clear" w:color="auto" w:fill="FFFFFF"/>
          </w:tcPr>
          <w:p w14:paraId="25CA35E9"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4B6735C2" w14:textId="77777777">
        <w:tc>
          <w:tcPr>
            <w:tcW w:w="1616" w:type="pct"/>
            <w:vAlign w:val="center"/>
          </w:tcPr>
          <w:p w14:paraId="4CC1601F"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需求文档</w:t>
            </w:r>
          </w:p>
        </w:tc>
        <w:tc>
          <w:tcPr>
            <w:tcW w:w="3384" w:type="pct"/>
            <w:vAlign w:val="center"/>
          </w:tcPr>
          <w:p w14:paraId="13B483D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需求文档符合模板要求，经过需求方确认。</w:t>
            </w:r>
          </w:p>
        </w:tc>
      </w:tr>
      <w:tr w:rsidR="008137F8" w:rsidRPr="001E17A1" w14:paraId="40ECEE76" w14:textId="77777777">
        <w:tc>
          <w:tcPr>
            <w:tcW w:w="1616" w:type="pct"/>
            <w:vAlign w:val="center"/>
          </w:tcPr>
          <w:p w14:paraId="59829E4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点线设计图</w:t>
            </w:r>
          </w:p>
        </w:tc>
        <w:tc>
          <w:tcPr>
            <w:tcW w:w="3384" w:type="pct"/>
            <w:vAlign w:val="center"/>
          </w:tcPr>
          <w:p w14:paraId="369EBE2F"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符合实际需求和设计规范，包括度量页面数量。</w:t>
            </w:r>
          </w:p>
        </w:tc>
      </w:tr>
      <w:tr w:rsidR="008137F8" w:rsidRPr="001E17A1" w14:paraId="6AE68A20" w14:textId="77777777">
        <w:trPr>
          <w:trHeight w:val="314"/>
        </w:trPr>
        <w:tc>
          <w:tcPr>
            <w:tcW w:w="1616" w:type="pct"/>
            <w:vAlign w:val="center"/>
          </w:tcPr>
          <w:p w14:paraId="6C3A7B3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高保真设计图</w:t>
            </w:r>
          </w:p>
        </w:tc>
        <w:tc>
          <w:tcPr>
            <w:tcW w:w="3384" w:type="pct"/>
            <w:vAlign w:val="center"/>
          </w:tcPr>
          <w:p w14:paraId="0D16E1D6"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根据需求说明书和点线设计图设计出高保真设计图，符合设计规范。</w:t>
            </w:r>
          </w:p>
        </w:tc>
      </w:tr>
      <w:tr w:rsidR="008137F8" w:rsidRPr="001E17A1" w14:paraId="5EC88940" w14:textId="77777777">
        <w:tc>
          <w:tcPr>
            <w:tcW w:w="1616" w:type="pct"/>
            <w:vAlign w:val="center"/>
          </w:tcPr>
          <w:p w14:paraId="37349B02"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数据指标设计文档</w:t>
            </w:r>
          </w:p>
        </w:tc>
        <w:tc>
          <w:tcPr>
            <w:tcW w:w="3384" w:type="pct"/>
            <w:vAlign w:val="center"/>
          </w:tcPr>
          <w:p w14:paraId="4BED3E8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符合指标设计文档模板。</w:t>
            </w:r>
          </w:p>
        </w:tc>
      </w:tr>
      <w:tr w:rsidR="008137F8" w:rsidRPr="001E17A1" w14:paraId="1162119B" w14:textId="77777777">
        <w:tc>
          <w:tcPr>
            <w:tcW w:w="1616" w:type="pct"/>
            <w:vAlign w:val="center"/>
          </w:tcPr>
          <w:p w14:paraId="636C817C"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数据库设计文档</w:t>
            </w:r>
          </w:p>
        </w:tc>
        <w:tc>
          <w:tcPr>
            <w:tcW w:w="3384" w:type="pct"/>
            <w:vAlign w:val="center"/>
          </w:tcPr>
          <w:p w14:paraId="2CFE63B1"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符合数据库设计文档模板。</w:t>
            </w:r>
          </w:p>
        </w:tc>
      </w:tr>
      <w:tr w:rsidR="008137F8" w:rsidRPr="001E17A1" w14:paraId="02FA92C0" w14:textId="77777777">
        <w:tc>
          <w:tcPr>
            <w:tcW w:w="1616" w:type="pct"/>
            <w:vAlign w:val="center"/>
          </w:tcPr>
          <w:p w14:paraId="0673761C"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接口设计文档</w:t>
            </w:r>
          </w:p>
        </w:tc>
        <w:tc>
          <w:tcPr>
            <w:tcW w:w="3384" w:type="pct"/>
            <w:vAlign w:val="center"/>
          </w:tcPr>
          <w:p w14:paraId="7AFC42CE"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符合接口设计文档模板。</w:t>
            </w:r>
          </w:p>
        </w:tc>
      </w:tr>
      <w:tr w:rsidR="008137F8" w:rsidRPr="001E17A1" w14:paraId="64CAD948" w14:textId="77777777">
        <w:tc>
          <w:tcPr>
            <w:tcW w:w="1616" w:type="pct"/>
            <w:vAlign w:val="center"/>
          </w:tcPr>
          <w:p w14:paraId="61B78F26"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相关代码</w:t>
            </w:r>
          </w:p>
        </w:tc>
        <w:tc>
          <w:tcPr>
            <w:tcW w:w="3384" w:type="pct"/>
            <w:vAlign w:val="center"/>
          </w:tcPr>
          <w:p w14:paraId="7137F2D4"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符合代码规范，测试通过。</w:t>
            </w:r>
          </w:p>
        </w:tc>
      </w:tr>
      <w:tr w:rsidR="008137F8" w:rsidRPr="001E17A1" w14:paraId="3F6C3AAF" w14:textId="77777777">
        <w:tc>
          <w:tcPr>
            <w:tcW w:w="1616" w:type="pct"/>
            <w:vAlign w:val="center"/>
          </w:tcPr>
          <w:p w14:paraId="204C5046"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测试文档</w:t>
            </w:r>
          </w:p>
        </w:tc>
        <w:tc>
          <w:tcPr>
            <w:tcW w:w="3384" w:type="pct"/>
            <w:vAlign w:val="center"/>
          </w:tcPr>
          <w:p w14:paraId="1E043C36"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测试过程和缺陷记录完整，符合测试报告模板。</w:t>
            </w:r>
          </w:p>
        </w:tc>
      </w:tr>
      <w:tr w:rsidR="008137F8" w:rsidRPr="001E17A1" w14:paraId="281FB54A" w14:textId="77777777">
        <w:tc>
          <w:tcPr>
            <w:tcW w:w="1616" w:type="pct"/>
            <w:vAlign w:val="center"/>
          </w:tcPr>
          <w:p w14:paraId="2AE6B54B"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可视化交付物（含url）</w:t>
            </w:r>
          </w:p>
        </w:tc>
        <w:tc>
          <w:tcPr>
            <w:tcW w:w="3384" w:type="pct"/>
            <w:vAlign w:val="center"/>
          </w:tcPr>
          <w:p w14:paraId="1C231D26"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可视化交付物部署并正常运行</w:t>
            </w:r>
            <w:r w:rsidRPr="001E17A1">
              <w:rPr>
                <w:rFonts w:ascii="宋体" w:hAnsi="宋体" w:hint="eastAsia"/>
                <w:bCs/>
                <w:color w:val="000000" w:themeColor="text1"/>
                <w:kern w:val="0"/>
                <w:szCs w:val="24"/>
              </w:rPr>
              <w:t>。</w:t>
            </w:r>
          </w:p>
        </w:tc>
      </w:tr>
    </w:tbl>
    <w:p w14:paraId="1C6A9F36"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公共数据社会化应用服务</w:t>
      </w:r>
    </w:p>
    <w:p w14:paraId="0D0CCE04"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4C9C0A0D"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在推进公共数据社会化应用过程中，围绕公共数据社会化应用场景的咨询管理、场景评估、数据支撑、产品或服务发布评估，其中场景规划评估包括社会伦理风险、技术安全风险、法律合规风险等评估，满足“一场景一授权”工作要求，对社会化应用场景中每个数据服务和产品的每次发布，进行发布前审核工作，包括但不限于以数据分级分类标准为依据，确保服务实现与方案涉及的一致性、与场景规划符合度。同时落实推进社会化应用场景的主体、场景内容、服务调用日志、授权凭证等管理要素上链等工作。</w:t>
      </w:r>
    </w:p>
    <w:p w14:paraId="6583B514"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使用该目录时，不可使用数据采集接入服务、统计服务、数据分类分级检查目录。</w:t>
      </w:r>
    </w:p>
    <w:p w14:paraId="5D06D20A"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5790"/>
      </w:tblGrid>
      <w:tr w:rsidR="008137F8" w:rsidRPr="001E17A1" w14:paraId="57FB670B" w14:textId="77777777">
        <w:trPr>
          <w:trHeight w:val="511"/>
        </w:trPr>
        <w:tc>
          <w:tcPr>
            <w:tcW w:w="1603" w:type="pct"/>
          </w:tcPr>
          <w:p w14:paraId="0B4FB588"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w:t>
            </w:r>
          </w:p>
        </w:tc>
        <w:tc>
          <w:tcPr>
            <w:tcW w:w="3397" w:type="pct"/>
          </w:tcPr>
          <w:p w14:paraId="2B03928D"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22058320" w14:textId="77777777">
        <w:tc>
          <w:tcPr>
            <w:tcW w:w="1603" w:type="pct"/>
            <w:vAlign w:val="center"/>
          </w:tcPr>
          <w:p w14:paraId="50FB14FE"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公共数据社会化应用方案</w:t>
            </w:r>
          </w:p>
        </w:tc>
        <w:tc>
          <w:tcPr>
            <w:tcW w:w="3397" w:type="pct"/>
            <w:vAlign w:val="center"/>
          </w:tcPr>
          <w:p w14:paraId="1E56776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按照公共数据社会化应用的场景，编写公共数据社会化应用方案，包括应用场景的主体、场景内容、所需数据支撑、数据分类分级标准及评估情况、拟发布的产品或服务等。</w:t>
            </w:r>
          </w:p>
        </w:tc>
      </w:tr>
      <w:tr w:rsidR="008137F8" w:rsidRPr="001E17A1" w14:paraId="0A3584EA" w14:textId="77777777">
        <w:tc>
          <w:tcPr>
            <w:tcW w:w="1603" w:type="pct"/>
            <w:vAlign w:val="center"/>
          </w:tcPr>
          <w:p w14:paraId="1A98A29E"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公共数据社会化应用评</w:t>
            </w:r>
            <w:r w:rsidRPr="001E17A1">
              <w:rPr>
                <w:rFonts w:ascii="宋体" w:hAnsi="宋体" w:hint="eastAsia"/>
                <w:color w:val="000000" w:themeColor="text1"/>
                <w:szCs w:val="24"/>
              </w:rPr>
              <w:lastRenderedPageBreak/>
              <w:t>估报告</w:t>
            </w:r>
          </w:p>
        </w:tc>
        <w:tc>
          <w:tcPr>
            <w:tcW w:w="3397" w:type="pct"/>
            <w:vAlign w:val="center"/>
          </w:tcPr>
          <w:p w14:paraId="2EFAA961"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lastRenderedPageBreak/>
              <w:t>包括社会伦理风险、技术安全风险、法律合规风险等</w:t>
            </w:r>
            <w:r w:rsidRPr="001E17A1">
              <w:rPr>
                <w:rFonts w:ascii="宋体" w:hAnsi="宋体" w:hint="eastAsia"/>
                <w:color w:val="000000" w:themeColor="text1"/>
                <w:szCs w:val="24"/>
              </w:rPr>
              <w:lastRenderedPageBreak/>
              <w:t>评估。</w:t>
            </w:r>
          </w:p>
        </w:tc>
      </w:tr>
      <w:tr w:rsidR="008137F8" w:rsidRPr="001E17A1" w14:paraId="539631CB" w14:textId="77777777">
        <w:trPr>
          <w:trHeight w:val="90"/>
        </w:trPr>
        <w:tc>
          <w:tcPr>
            <w:tcW w:w="1603" w:type="pct"/>
            <w:vAlign w:val="center"/>
          </w:tcPr>
          <w:p w14:paraId="7F9406A9"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lastRenderedPageBreak/>
              <w:t>公共数据应用日志</w:t>
            </w:r>
          </w:p>
        </w:tc>
        <w:tc>
          <w:tcPr>
            <w:tcW w:w="3397" w:type="pct"/>
            <w:vAlign w:val="center"/>
          </w:tcPr>
          <w:p w14:paraId="62DBA097"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日志包含但不限于服务调用日志、授权凭证等。</w:t>
            </w:r>
          </w:p>
        </w:tc>
      </w:tr>
    </w:tbl>
    <w:p w14:paraId="1E9E19D9"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数据共享/开放/授权运营服务</w:t>
      </w:r>
    </w:p>
    <w:p w14:paraId="68323B41"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6C7B9AAD" w14:textId="77777777" w:rsidR="008137F8" w:rsidRPr="001E17A1" w:rsidRDefault="00000000">
      <w:pPr>
        <w:pStyle w:val="15"/>
        <w:snapToGrid w:val="0"/>
        <w:rPr>
          <w:rFonts w:ascii="宋体" w:hAnsi="宋体" w:hint="eastAsia"/>
          <w:color w:val="000000" w:themeColor="text1"/>
          <w:szCs w:val="24"/>
        </w:rPr>
      </w:pPr>
      <w:r w:rsidRPr="001E17A1">
        <w:rPr>
          <w:rFonts w:ascii="宋体" w:hAnsi="宋体" w:hint="eastAsia"/>
          <w:color w:val="000000" w:themeColor="text1"/>
          <w:szCs w:val="24"/>
        </w:rPr>
        <w:t>该目录用于在数据共享、开放和数据社会化应用服务过程中，对于委办用户的应答响应、报障、需求对接、数据异议核实等工作事项进行跟踪、解答和处理。</w:t>
      </w:r>
    </w:p>
    <w:p w14:paraId="67681E35"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5521"/>
      </w:tblGrid>
      <w:tr w:rsidR="008137F8" w:rsidRPr="001E17A1" w14:paraId="63313A9C" w14:textId="77777777">
        <w:trPr>
          <w:trHeight w:val="487"/>
        </w:trPr>
        <w:tc>
          <w:tcPr>
            <w:tcW w:w="1761" w:type="pct"/>
            <w:vAlign w:val="center"/>
          </w:tcPr>
          <w:p w14:paraId="48401B6E"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239" w:type="pct"/>
            <w:vAlign w:val="center"/>
          </w:tcPr>
          <w:p w14:paraId="4C7315B7"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0DFD4D63" w14:textId="77777777">
        <w:trPr>
          <w:trHeight w:val="314"/>
        </w:trPr>
        <w:tc>
          <w:tcPr>
            <w:tcW w:w="1761" w:type="pct"/>
            <w:vAlign w:val="center"/>
          </w:tcPr>
          <w:p w14:paraId="6AE56794"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内容发布记录</w:t>
            </w:r>
          </w:p>
        </w:tc>
        <w:tc>
          <w:tcPr>
            <w:tcW w:w="3239" w:type="pct"/>
            <w:vAlign w:val="center"/>
          </w:tcPr>
          <w:p w14:paraId="6D14C6DC"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符合内容发布记录模板</w:t>
            </w:r>
            <w:r w:rsidRPr="001E17A1">
              <w:rPr>
                <w:rFonts w:ascii="宋体" w:hAnsi="宋体" w:hint="eastAsia"/>
                <w:bCs/>
                <w:color w:val="000000" w:themeColor="text1"/>
                <w:kern w:val="0"/>
                <w:sz w:val="24"/>
                <w:szCs w:val="24"/>
              </w:rPr>
              <w:t>。</w:t>
            </w:r>
          </w:p>
        </w:tc>
      </w:tr>
      <w:tr w:rsidR="008137F8" w:rsidRPr="001E17A1" w14:paraId="523FFDDE" w14:textId="77777777">
        <w:trPr>
          <w:trHeight w:val="314"/>
        </w:trPr>
        <w:tc>
          <w:tcPr>
            <w:tcW w:w="1761" w:type="pct"/>
            <w:vAlign w:val="center"/>
          </w:tcPr>
          <w:p w14:paraId="417880BB" w14:textId="77777777" w:rsidR="008137F8" w:rsidRPr="001E17A1" w:rsidRDefault="00000000">
            <w:pPr>
              <w:pStyle w:val="150"/>
              <w:snapToGrid w:val="0"/>
              <w:ind w:firstLineChars="0" w:firstLine="0"/>
              <w:jc w:val="left"/>
              <w:rPr>
                <w:rFonts w:ascii="宋体" w:hAnsi="宋体" w:hint="eastAsia"/>
                <w:b/>
                <w:bCs/>
                <w:color w:val="000000" w:themeColor="text1"/>
                <w:sz w:val="24"/>
                <w:szCs w:val="24"/>
              </w:rPr>
            </w:pPr>
            <w:r w:rsidRPr="001E17A1">
              <w:rPr>
                <w:rFonts w:ascii="宋体" w:hAnsi="宋体" w:hint="eastAsia"/>
                <w:color w:val="000000" w:themeColor="text1"/>
                <w:sz w:val="24"/>
                <w:szCs w:val="24"/>
              </w:rPr>
              <w:t>运营策划方案（如有）</w:t>
            </w:r>
          </w:p>
        </w:tc>
        <w:tc>
          <w:tcPr>
            <w:tcW w:w="3239" w:type="pct"/>
            <w:vAlign w:val="center"/>
          </w:tcPr>
          <w:p w14:paraId="49BD4A27"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符合数据运营需求。</w:t>
            </w:r>
          </w:p>
        </w:tc>
      </w:tr>
      <w:tr w:rsidR="008137F8" w:rsidRPr="001E17A1" w14:paraId="4EC3A122" w14:textId="77777777">
        <w:trPr>
          <w:trHeight w:val="314"/>
        </w:trPr>
        <w:tc>
          <w:tcPr>
            <w:tcW w:w="1761" w:type="pct"/>
            <w:vAlign w:val="center"/>
          </w:tcPr>
          <w:p w14:paraId="7C827AA1"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运营统计报告</w:t>
            </w:r>
          </w:p>
        </w:tc>
        <w:tc>
          <w:tcPr>
            <w:tcW w:w="3239" w:type="pct"/>
            <w:vAlign w:val="center"/>
          </w:tcPr>
          <w:p w14:paraId="0720DE98"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包含运营数据统计相关数据。</w:t>
            </w:r>
          </w:p>
        </w:tc>
      </w:tr>
      <w:tr w:rsidR="008137F8" w:rsidRPr="001E17A1" w14:paraId="5ABB6321" w14:textId="77777777">
        <w:trPr>
          <w:trHeight w:val="314"/>
        </w:trPr>
        <w:tc>
          <w:tcPr>
            <w:tcW w:w="1761" w:type="pct"/>
            <w:vAlign w:val="center"/>
          </w:tcPr>
          <w:p w14:paraId="12B40D3C"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问题回复记录</w:t>
            </w:r>
          </w:p>
        </w:tc>
        <w:tc>
          <w:tcPr>
            <w:tcW w:w="3239" w:type="pct"/>
            <w:vAlign w:val="center"/>
          </w:tcPr>
          <w:p w14:paraId="121D246C"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符合问题回复记录模板，并包括回复数量，回复及时率，用户满意度。</w:t>
            </w:r>
          </w:p>
        </w:tc>
      </w:tr>
      <w:tr w:rsidR="008137F8" w:rsidRPr="001E17A1" w14:paraId="30780145" w14:textId="77777777">
        <w:trPr>
          <w:trHeight w:val="314"/>
        </w:trPr>
        <w:tc>
          <w:tcPr>
            <w:tcW w:w="1761" w:type="pct"/>
            <w:vAlign w:val="center"/>
          </w:tcPr>
          <w:p w14:paraId="5B9EFB8B"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知识库补充记录</w:t>
            </w:r>
          </w:p>
        </w:tc>
        <w:tc>
          <w:tcPr>
            <w:tcW w:w="3239" w:type="pct"/>
            <w:vAlign w:val="center"/>
          </w:tcPr>
          <w:p w14:paraId="2278AA85"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符合知识库补充记录模板</w:t>
            </w:r>
            <w:r w:rsidRPr="001E17A1">
              <w:rPr>
                <w:rFonts w:ascii="宋体" w:hAnsi="宋体" w:hint="eastAsia"/>
                <w:bCs/>
                <w:color w:val="000000" w:themeColor="text1"/>
                <w:kern w:val="0"/>
                <w:sz w:val="24"/>
                <w:szCs w:val="24"/>
              </w:rPr>
              <w:t>。</w:t>
            </w:r>
          </w:p>
        </w:tc>
      </w:tr>
      <w:tr w:rsidR="008137F8" w:rsidRPr="001E17A1" w14:paraId="3F3381AA" w14:textId="77777777">
        <w:trPr>
          <w:trHeight w:val="314"/>
        </w:trPr>
        <w:tc>
          <w:tcPr>
            <w:tcW w:w="1761" w:type="pct"/>
            <w:vAlign w:val="center"/>
          </w:tcPr>
          <w:p w14:paraId="1961C8F7"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需求审核记录</w:t>
            </w:r>
          </w:p>
        </w:tc>
        <w:tc>
          <w:tcPr>
            <w:tcW w:w="3239" w:type="pct"/>
            <w:vAlign w:val="center"/>
          </w:tcPr>
          <w:p w14:paraId="0B45FE14"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包含需求审核数量及需求审核结果</w:t>
            </w:r>
            <w:r w:rsidRPr="001E17A1">
              <w:rPr>
                <w:rFonts w:ascii="宋体" w:hAnsi="宋体" w:hint="eastAsia"/>
                <w:bCs/>
                <w:color w:val="000000" w:themeColor="text1"/>
                <w:kern w:val="0"/>
                <w:sz w:val="24"/>
                <w:szCs w:val="24"/>
              </w:rPr>
              <w:t>。</w:t>
            </w:r>
          </w:p>
        </w:tc>
      </w:tr>
      <w:tr w:rsidR="008137F8" w:rsidRPr="001E17A1" w14:paraId="0330957C" w14:textId="77777777">
        <w:trPr>
          <w:trHeight w:val="314"/>
        </w:trPr>
        <w:tc>
          <w:tcPr>
            <w:tcW w:w="1761" w:type="pct"/>
            <w:vAlign w:val="center"/>
          </w:tcPr>
          <w:p w14:paraId="5B8DF53A"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需求审核记录</w:t>
            </w:r>
          </w:p>
        </w:tc>
        <w:tc>
          <w:tcPr>
            <w:tcW w:w="3239" w:type="pct"/>
            <w:vAlign w:val="center"/>
          </w:tcPr>
          <w:p w14:paraId="2B21B36D" w14:textId="77777777" w:rsidR="008137F8" w:rsidRPr="001E17A1" w:rsidRDefault="00000000">
            <w:pPr>
              <w:pStyle w:val="150"/>
              <w:snapToGrid w:val="0"/>
              <w:ind w:firstLineChars="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包含需求审核数量及需求审核结果。</w:t>
            </w:r>
          </w:p>
        </w:tc>
      </w:tr>
    </w:tbl>
    <w:p w14:paraId="2BF3C5D4"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bookmarkStart w:id="17" w:name="_Hlk167719181"/>
      <w:r w:rsidRPr="001E17A1">
        <w:rPr>
          <w:rFonts w:ascii="宋体" w:eastAsia="宋体" w:hAnsi="宋体" w:hint="eastAsia"/>
          <w:color w:val="000000" w:themeColor="text1"/>
          <w:sz w:val="24"/>
          <w:szCs w:val="24"/>
        </w:rPr>
        <w:t>安全基线配置管理服务</w:t>
      </w:r>
    </w:p>
    <w:p w14:paraId="13C365B1"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58688A36"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根据中心业务管理和运行、安全管理的需要，结合《信息安全等级保护管理办法》、《关键信息基础设施安全保护条例》等法律法规、技术标准和招标方的维护管理要求，以网络信息安全、数据安全、安全稳定高效业务运行为服务目标，对区大数据资源平台开展基线巡检、备份执行与管理和配置执行、验证与管理工作，对平台服务连续性、可靠性和安全性相关的服务器、操作系统、中间件、网络策略、数据库、应用系统、安全策略（含账号和权限）、业务配置等进行服务。</w:t>
      </w:r>
    </w:p>
    <w:p w14:paraId="7256E7EA"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3"/>
        <w:gridCol w:w="5359"/>
      </w:tblGrid>
      <w:tr w:rsidR="008137F8" w:rsidRPr="001E17A1" w14:paraId="6A4738A4" w14:textId="77777777">
        <w:trPr>
          <w:trHeight w:val="557"/>
          <w:jc w:val="center"/>
        </w:trPr>
        <w:tc>
          <w:tcPr>
            <w:tcW w:w="1856" w:type="pct"/>
            <w:vAlign w:val="center"/>
          </w:tcPr>
          <w:p w14:paraId="68FEC4EA"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144" w:type="pct"/>
            <w:vAlign w:val="center"/>
          </w:tcPr>
          <w:p w14:paraId="2CD974AC" w14:textId="77777777" w:rsidR="008137F8" w:rsidRPr="001E17A1" w:rsidRDefault="00000000">
            <w:pPr>
              <w:snapToGrid w:val="0"/>
              <w:spacing w:line="360" w:lineRule="auto"/>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6CBF6141" w14:textId="77777777">
        <w:trPr>
          <w:jc w:val="center"/>
        </w:trPr>
        <w:tc>
          <w:tcPr>
            <w:tcW w:w="1856" w:type="pct"/>
            <w:vAlign w:val="center"/>
          </w:tcPr>
          <w:p w14:paraId="21727AB1" w14:textId="77777777" w:rsidR="008137F8" w:rsidRPr="001E17A1" w:rsidRDefault="00000000">
            <w:pPr>
              <w:pStyle w:val="15"/>
              <w:snapToGrid w:val="0"/>
              <w:ind w:firstLineChars="0" w:firstLine="0"/>
              <w:jc w:val="center"/>
              <w:rPr>
                <w:rFonts w:ascii="宋体" w:hAnsi="宋体" w:hint="eastAsia"/>
                <w:color w:val="000000" w:themeColor="text1"/>
                <w:szCs w:val="24"/>
              </w:rPr>
            </w:pPr>
            <w:r w:rsidRPr="001E17A1">
              <w:rPr>
                <w:rFonts w:ascii="宋体" w:hAnsi="宋体" w:hint="eastAsia"/>
                <w:color w:val="000000" w:themeColor="text1"/>
                <w:szCs w:val="24"/>
              </w:rPr>
              <w:t>巡检台账</w:t>
            </w:r>
          </w:p>
        </w:tc>
        <w:tc>
          <w:tcPr>
            <w:tcW w:w="3144" w:type="pct"/>
            <w:vAlign w:val="center"/>
          </w:tcPr>
          <w:p w14:paraId="0B440345"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巡检对象范围包括：操作系统基础架构信息、数据库集群信息及应用子系统相关重要进程等内容。巡检台账包含巡检记录，含巡检对象，巡检</w:t>
            </w:r>
            <w:r w:rsidRPr="001E17A1">
              <w:rPr>
                <w:rFonts w:ascii="宋体" w:hAnsi="宋体" w:hint="eastAsia"/>
                <w:color w:val="000000" w:themeColor="text1"/>
                <w:szCs w:val="24"/>
              </w:rPr>
              <w:lastRenderedPageBreak/>
              <w:t>对象正常值范围，以及巡检采集值信息等内容，以及进行巡检的时间和操作人员信息。</w:t>
            </w:r>
          </w:p>
        </w:tc>
      </w:tr>
      <w:tr w:rsidR="008137F8" w:rsidRPr="001E17A1" w14:paraId="4C8C66C9" w14:textId="77777777">
        <w:trPr>
          <w:jc w:val="center"/>
        </w:trPr>
        <w:tc>
          <w:tcPr>
            <w:tcW w:w="1856" w:type="pct"/>
            <w:vAlign w:val="center"/>
          </w:tcPr>
          <w:p w14:paraId="42F9A560" w14:textId="77777777" w:rsidR="008137F8" w:rsidRPr="001E17A1" w:rsidRDefault="00000000">
            <w:pPr>
              <w:pStyle w:val="15"/>
              <w:snapToGrid w:val="0"/>
              <w:ind w:firstLineChars="0" w:firstLine="0"/>
              <w:jc w:val="center"/>
              <w:rPr>
                <w:rFonts w:ascii="宋体" w:hAnsi="宋体" w:hint="eastAsia"/>
                <w:color w:val="000000" w:themeColor="text1"/>
                <w:szCs w:val="24"/>
              </w:rPr>
            </w:pPr>
            <w:r w:rsidRPr="001E17A1">
              <w:rPr>
                <w:rFonts w:ascii="宋体" w:hAnsi="宋体" w:hint="eastAsia"/>
                <w:color w:val="000000" w:themeColor="text1"/>
                <w:szCs w:val="24"/>
              </w:rPr>
              <w:lastRenderedPageBreak/>
              <w:t>平台月度巡检工作计划</w:t>
            </w:r>
          </w:p>
        </w:tc>
        <w:tc>
          <w:tcPr>
            <w:tcW w:w="3144" w:type="pct"/>
            <w:vAlign w:val="center"/>
          </w:tcPr>
          <w:p w14:paraId="1B598BBE"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包含日期、任务名称、运维值班人员、早晚班及运维值班组长。</w:t>
            </w:r>
          </w:p>
        </w:tc>
      </w:tr>
      <w:tr w:rsidR="008137F8" w:rsidRPr="001E17A1" w14:paraId="1BC99DD9" w14:textId="77777777">
        <w:trPr>
          <w:jc w:val="center"/>
        </w:trPr>
        <w:tc>
          <w:tcPr>
            <w:tcW w:w="1856" w:type="pct"/>
            <w:vAlign w:val="center"/>
          </w:tcPr>
          <w:p w14:paraId="3C3A29E3" w14:textId="77777777" w:rsidR="008137F8" w:rsidRPr="001E17A1" w:rsidRDefault="00000000">
            <w:pPr>
              <w:pStyle w:val="15"/>
              <w:snapToGrid w:val="0"/>
              <w:ind w:firstLineChars="0" w:firstLine="0"/>
              <w:jc w:val="center"/>
              <w:rPr>
                <w:rFonts w:ascii="宋体" w:hAnsi="宋体" w:hint="eastAsia"/>
                <w:color w:val="000000" w:themeColor="text1"/>
                <w:szCs w:val="24"/>
              </w:rPr>
            </w:pPr>
            <w:r w:rsidRPr="001E17A1">
              <w:rPr>
                <w:rFonts w:ascii="宋体" w:hAnsi="宋体" w:hint="eastAsia"/>
                <w:color w:val="000000" w:themeColor="text1"/>
                <w:szCs w:val="24"/>
              </w:rPr>
              <w:t>巡检表单</w:t>
            </w:r>
          </w:p>
        </w:tc>
        <w:tc>
          <w:tcPr>
            <w:tcW w:w="3144" w:type="pct"/>
            <w:vAlign w:val="center"/>
          </w:tcPr>
          <w:p w14:paraId="1AD9CDA3"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呈现本次巡检结果，包括巡检时间、巡检人员、巡检小结、异常情况汇总和分析。</w:t>
            </w:r>
          </w:p>
        </w:tc>
      </w:tr>
      <w:tr w:rsidR="008137F8" w:rsidRPr="001E17A1" w14:paraId="78F023C0" w14:textId="77777777">
        <w:trPr>
          <w:jc w:val="center"/>
        </w:trPr>
        <w:tc>
          <w:tcPr>
            <w:tcW w:w="1856" w:type="pct"/>
            <w:vAlign w:val="center"/>
          </w:tcPr>
          <w:p w14:paraId="4F327A00" w14:textId="77777777" w:rsidR="008137F8" w:rsidRPr="001E17A1" w:rsidRDefault="00000000">
            <w:pPr>
              <w:pStyle w:val="15"/>
              <w:snapToGrid w:val="0"/>
              <w:ind w:firstLineChars="0" w:firstLine="0"/>
              <w:jc w:val="center"/>
              <w:rPr>
                <w:rFonts w:ascii="宋体" w:hAnsi="宋体" w:hint="eastAsia"/>
                <w:color w:val="000000" w:themeColor="text1"/>
                <w:szCs w:val="24"/>
              </w:rPr>
            </w:pPr>
            <w:r w:rsidRPr="001E17A1">
              <w:rPr>
                <w:rFonts w:ascii="宋体" w:hAnsi="宋体" w:hint="eastAsia"/>
                <w:color w:val="000000" w:themeColor="text1"/>
                <w:szCs w:val="24"/>
              </w:rPr>
              <w:t>配置申请表</w:t>
            </w:r>
          </w:p>
        </w:tc>
        <w:tc>
          <w:tcPr>
            <w:tcW w:w="3144" w:type="pct"/>
            <w:vAlign w:val="center"/>
          </w:tcPr>
          <w:p w14:paraId="393A7547"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申请资源、申请人、申请时间。</w:t>
            </w:r>
          </w:p>
        </w:tc>
      </w:tr>
      <w:tr w:rsidR="008137F8" w:rsidRPr="001E17A1" w14:paraId="68944647" w14:textId="77777777">
        <w:trPr>
          <w:jc w:val="center"/>
        </w:trPr>
        <w:tc>
          <w:tcPr>
            <w:tcW w:w="1856" w:type="pct"/>
            <w:vAlign w:val="center"/>
          </w:tcPr>
          <w:p w14:paraId="656F0CDB" w14:textId="77777777" w:rsidR="008137F8" w:rsidRPr="001E17A1" w:rsidRDefault="00000000">
            <w:pPr>
              <w:pStyle w:val="15"/>
              <w:snapToGrid w:val="0"/>
              <w:ind w:firstLineChars="0" w:firstLine="0"/>
              <w:jc w:val="center"/>
              <w:rPr>
                <w:rFonts w:ascii="宋体" w:hAnsi="宋体" w:hint="eastAsia"/>
                <w:color w:val="000000" w:themeColor="text1"/>
                <w:szCs w:val="24"/>
              </w:rPr>
            </w:pPr>
            <w:r w:rsidRPr="001E17A1">
              <w:rPr>
                <w:rFonts w:ascii="宋体" w:hAnsi="宋体" w:hint="eastAsia"/>
                <w:color w:val="000000" w:themeColor="text1"/>
                <w:szCs w:val="24"/>
              </w:rPr>
              <w:t>配置管理台账</w:t>
            </w:r>
          </w:p>
        </w:tc>
        <w:tc>
          <w:tcPr>
            <w:tcW w:w="3144" w:type="pct"/>
            <w:vAlign w:val="center"/>
          </w:tcPr>
          <w:p w14:paraId="12A0D989" w14:textId="77777777" w:rsidR="008137F8" w:rsidRPr="001E17A1" w:rsidRDefault="00000000">
            <w:pPr>
              <w:pStyle w:val="15"/>
              <w:snapToGrid w:val="0"/>
              <w:ind w:firstLineChars="0" w:firstLine="0"/>
              <w:rPr>
                <w:rFonts w:ascii="宋体" w:hAnsi="宋体" w:hint="eastAsia"/>
                <w:color w:val="000000" w:themeColor="text1"/>
                <w:szCs w:val="24"/>
              </w:rPr>
            </w:pPr>
            <w:r w:rsidRPr="001E17A1">
              <w:rPr>
                <w:rFonts w:ascii="宋体" w:hAnsi="宋体" w:hint="eastAsia"/>
                <w:color w:val="000000" w:themeColor="text1"/>
                <w:szCs w:val="24"/>
              </w:rPr>
              <w:t>申请配置类型（资源、系统、J</w:t>
            </w:r>
            <w:r w:rsidRPr="001E17A1">
              <w:rPr>
                <w:rFonts w:ascii="宋体" w:hAnsi="宋体"/>
                <w:color w:val="000000" w:themeColor="text1"/>
                <w:szCs w:val="24"/>
              </w:rPr>
              <w:t>DBC</w:t>
            </w:r>
            <w:r w:rsidRPr="001E17A1">
              <w:rPr>
                <w:rFonts w:ascii="宋体" w:hAnsi="宋体" w:hint="eastAsia"/>
                <w:color w:val="000000" w:themeColor="text1"/>
                <w:szCs w:val="24"/>
              </w:rPr>
              <w:t>），计划配置时间，申请配置内容。</w:t>
            </w:r>
          </w:p>
        </w:tc>
      </w:tr>
    </w:tbl>
    <w:p w14:paraId="637DCD70"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综合运营保障服务</w:t>
      </w:r>
    </w:p>
    <w:p w14:paraId="797C5D2A"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71D876CA"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为保障数据服务的安全性、可靠性、稳定性和连续性，通过综合运营模式，以保障业务安全为服务目标，对所涉及的支撑系统开展7×24小时的运营和安全监测、预警值守监控，及时发现并处置影响业务可用性的安全问题，并对问题通过线上工单流转进行持续追踪，确保问题工单及时有效闭环，对重大安全问题开展专项运营故障分析，提出整改及优化建议，整改完成后组织开展应急安全演练方式进行检验，实现PDCA循环以运营方式提升业务安全保障能力。</w:t>
      </w:r>
    </w:p>
    <w:p w14:paraId="32A4B57D"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提供7×24小时的运营和安全监测、预警值守服务模式，提前预警问题项，实现早发现、早响应，为早解决铸造基石，提升资源利用率，保障应用系统、数据中心、终端设备、服务器及存储设备、网络及安全设备、运维服务台等的高效、稳定运行。</w:t>
      </w:r>
    </w:p>
    <w:p w14:paraId="671518CC"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针对在应用安全重点保障期间，对风险进行分析，制定并执行相应的安全保障方案，从技术、管理、人员等方面提出安全保障要求，确保信息系统的保密性、完整性和可用性，降低安全风险到可接受的程度。</w:t>
      </w:r>
    </w:p>
    <w:p w14:paraId="0EB22DF9"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5589"/>
      </w:tblGrid>
      <w:tr w:rsidR="008137F8" w:rsidRPr="001E17A1" w14:paraId="32C6F45D" w14:textId="77777777">
        <w:trPr>
          <w:trHeight w:val="504"/>
        </w:trPr>
        <w:tc>
          <w:tcPr>
            <w:tcW w:w="1721" w:type="pct"/>
            <w:tcBorders>
              <w:top w:val="single" w:sz="4" w:space="0" w:color="auto"/>
              <w:left w:val="single" w:sz="4" w:space="0" w:color="auto"/>
              <w:bottom w:val="single" w:sz="4" w:space="0" w:color="auto"/>
              <w:right w:val="single" w:sz="4" w:space="0" w:color="auto"/>
            </w:tcBorders>
            <w:vAlign w:val="center"/>
          </w:tcPr>
          <w:p w14:paraId="40CC4CB9" w14:textId="77777777" w:rsidR="008137F8" w:rsidRPr="001E17A1" w:rsidRDefault="00000000">
            <w:pPr>
              <w:widowControl/>
              <w:snapToGrid w:val="0"/>
              <w:spacing w:line="360" w:lineRule="auto"/>
              <w:jc w:val="center"/>
              <w:rPr>
                <w:rFonts w:ascii="宋体" w:hAnsi="宋体" w:hint="eastAsia"/>
                <w:b/>
                <w:bCs/>
                <w:color w:val="000000" w:themeColor="text1"/>
                <w:kern w:val="0"/>
                <w:sz w:val="24"/>
                <w:szCs w:val="24"/>
              </w:rPr>
            </w:pPr>
            <w:r w:rsidRPr="001E17A1">
              <w:rPr>
                <w:rFonts w:ascii="宋体" w:hAnsi="宋体" w:hint="eastAsia"/>
                <w:b/>
                <w:bCs/>
                <w:color w:val="000000" w:themeColor="text1"/>
                <w:kern w:val="0"/>
                <w:sz w:val="24"/>
                <w:szCs w:val="24"/>
              </w:rPr>
              <w:t>输出物</w:t>
            </w:r>
          </w:p>
        </w:tc>
        <w:tc>
          <w:tcPr>
            <w:tcW w:w="3279" w:type="pct"/>
            <w:tcBorders>
              <w:top w:val="single" w:sz="4" w:space="0" w:color="auto"/>
              <w:left w:val="single" w:sz="4" w:space="0" w:color="auto"/>
              <w:bottom w:val="single" w:sz="4" w:space="0" w:color="auto"/>
              <w:right w:val="single" w:sz="4" w:space="0" w:color="auto"/>
            </w:tcBorders>
            <w:vAlign w:val="center"/>
          </w:tcPr>
          <w:p w14:paraId="1063B590" w14:textId="77777777" w:rsidR="008137F8" w:rsidRPr="001E17A1" w:rsidRDefault="00000000">
            <w:pPr>
              <w:widowControl/>
              <w:snapToGrid w:val="0"/>
              <w:spacing w:line="360" w:lineRule="auto"/>
              <w:jc w:val="center"/>
              <w:rPr>
                <w:rFonts w:ascii="宋体" w:hAnsi="宋体" w:hint="eastAsia"/>
                <w:b/>
                <w:bCs/>
                <w:color w:val="000000" w:themeColor="text1"/>
                <w:kern w:val="0"/>
                <w:sz w:val="24"/>
                <w:szCs w:val="24"/>
              </w:rPr>
            </w:pPr>
            <w:r w:rsidRPr="001E17A1">
              <w:rPr>
                <w:rFonts w:ascii="宋体" w:hAnsi="宋体" w:hint="eastAsia"/>
                <w:b/>
                <w:bCs/>
                <w:color w:val="000000" w:themeColor="text1"/>
                <w:kern w:val="0"/>
                <w:sz w:val="24"/>
                <w:szCs w:val="24"/>
              </w:rPr>
              <w:t>输出物标准</w:t>
            </w:r>
          </w:p>
        </w:tc>
      </w:tr>
      <w:tr w:rsidR="008137F8" w:rsidRPr="001E17A1" w14:paraId="5F5DC58A" w14:textId="77777777">
        <w:trPr>
          <w:trHeight w:val="920"/>
        </w:trPr>
        <w:tc>
          <w:tcPr>
            <w:tcW w:w="1721" w:type="pct"/>
            <w:tcBorders>
              <w:top w:val="single" w:sz="4" w:space="0" w:color="auto"/>
              <w:left w:val="single" w:sz="4" w:space="0" w:color="auto"/>
              <w:bottom w:val="single" w:sz="4" w:space="0" w:color="auto"/>
              <w:right w:val="single" w:sz="4" w:space="0" w:color="auto"/>
            </w:tcBorders>
            <w:vAlign w:val="center"/>
          </w:tcPr>
          <w:p w14:paraId="7E393F9E" w14:textId="77777777" w:rsidR="008137F8" w:rsidRPr="001E17A1" w:rsidRDefault="00000000">
            <w:pPr>
              <w:widowControl/>
              <w:snapToGrid w:val="0"/>
              <w:spacing w:line="360" w:lineRule="auto"/>
              <w:jc w:val="left"/>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t>综合运营保障实施方案</w:t>
            </w:r>
          </w:p>
        </w:tc>
        <w:tc>
          <w:tcPr>
            <w:tcW w:w="3279" w:type="pct"/>
            <w:tcBorders>
              <w:top w:val="single" w:sz="4" w:space="0" w:color="auto"/>
              <w:left w:val="single" w:sz="4" w:space="0" w:color="auto"/>
              <w:bottom w:val="single" w:sz="4" w:space="0" w:color="auto"/>
              <w:right w:val="single" w:sz="4" w:space="0" w:color="auto"/>
            </w:tcBorders>
            <w:vAlign w:val="center"/>
          </w:tcPr>
          <w:p w14:paraId="6C237494" w14:textId="77777777" w:rsidR="008137F8" w:rsidRPr="001E17A1" w:rsidRDefault="00000000">
            <w:pPr>
              <w:widowControl/>
              <w:snapToGrid w:val="0"/>
              <w:spacing w:line="360" w:lineRule="auto"/>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t>需在其中明确综合运营保障服务工作要求及流程机制、相关部门工作职责和内容和要求。</w:t>
            </w:r>
          </w:p>
        </w:tc>
      </w:tr>
      <w:tr w:rsidR="008137F8" w:rsidRPr="001E17A1" w14:paraId="259DA5FC" w14:textId="77777777">
        <w:trPr>
          <w:trHeight w:val="920"/>
        </w:trPr>
        <w:tc>
          <w:tcPr>
            <w:tcW w:w="1721" w:type="pct"/>
            <w:tcBorders>
              <w:top w:val="single" w:sz="4" w:space="0" w:color="auto"/>
              <w:left w:val="single" w:sz="4" w:space="0" w:color="auto"/>
              <w:bottom w:val="single" w:sz="4" w:space="0" w:color="auto"/>
              <w:right w:val="single" w:sz="4" w:space="0" w:color="auto"/>
            </w:tcBorders>
            <w:vAlign w:val="center"/>
          </w:tcPr>
          <w:p w14:paraId="428CCA54" w14:textId="77777777" w:rsidR="008137F8" w:rsidRPr="001E17A1" w:rsidRDefault="00000000">
            <w:pPr>
              <w:widowControl/>
              <w:snapToGrid w:val="0"/>
              <w:spacing w:line="360" w:lineRule="auto"/>
              <w:jc w:val="left"/>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lastRenderedPageBreak/>
              <w:t>值守服务和监测预警记录</w:t>
            </w:r>
          </w:p>
        </w:tc>
        <w:tc>
          <w:tcPr>
            <w:tcW w:w="3279" w:type="pct"/>
            <w:tcBorders>
              <w:top w:val="single" w:sz="4" w:space="0" w:color="auto"/>
              <w:left w:val="single" w:sz="4" w:space="0" w:color="auto"/>
              <w:bottom w:val="single" w:sz="4" w:space="0" w:color="auto"/>
              <w:right w:val="single" w:sz="4" w:space="0" w:color="auto"/>
            </w:tcBorders>
            <w:vAlign w:val="center"/>
          </w:tcPr>
          <w:p w14:paraId="7C37E35B" w14:textId="77777777" w:rsidR="008137F8" w:rsidRPr="001E17A1" w:rsidRDefault="00000000">
            <w:pPr>
              <w:widowControl/>
              <w:snapToGrid w:val="0"/>
              <w:spacing w:line="360" w:lineRule="auto"/>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t>提供值守工作记录及监测预警记录。</w:t>
            </w:r>
          </w:p>
        </w:tc>
      </w:tr>
      <w:tr w:rsidR="008137F8" w:rsidRPr="001E17A1" w14:paraId="61BAC972" w14:textId="77777777">
        <w:trPr>
          <w:trHeight w:val="1290"/>
        </w:trPr>
        <w:tc>
          <w:tcPr>
            <w:tcW w:w="1721" w:type="pct"/>
            <w:tcBorders>
              <w:top w:val="single" w:sz="4" w:space="0" w:color="auto"/>
              <w:left w:val="single" w:sz="4" w:space="0" w:color="auto"/>
              <w:bottom w:val="single" w:sz="4" w:space="0" w:color="auto"/>
              <w:right w:val="single" w:sz="4" w:space="0" w:color="auto"/>
            </w:tcBorders>
            <w:vAlign w:val="center"/>
          </w:tcPr>
          <w:p w14:paraId="06CEFA89" w14:textId="77777777" w:rsidR="008137F8" w:rsidRPr="001E17A1" w:rsidRDefault="00000000">
            <w:pPr>
              <w:widowControl/>
              <w:snapToGrid w:val="0"/>
              <w:spacing w:line="360" w:lineRule="auto"/>
              <w:jc w:val="left"/>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t>综合运营保障处置单</w:t>
            </w:r>
          </w:p>
        </w:tc>
        <w:tc>
          <w:tcPr>
            <w:tcW w:w="3279" w:type="pct"/>
            <w:tcBorders>
              <w:top w:val="single" w:sz="4" w:space="0" w:color="auto"/>
              <w:left w:val="single" w:sz="4" w:space="0" w:color="auto"/>
              <w:bottom w:val="single" w:sz="4" w:space="0" w:color="auto"/>
              <w:right w:val="single" w:sz="4" w:space="0" w:color="auto"/>
            </w:tcBorders>
            <w:vAlign w:val="center"/>
          </w:tcPr>
          <w:p w14:paraId="4F1229EA" w14:textId="77777777" w:rsidR="008137F8" w:rsidRPr="001E17A1" w:rsidRDefault="00000000">
            <w:pPr>
              <w:widowControl/>
              <w:snapToGrid w:val="0"/>
              <w:spacing w:line="360" w:lineRule="auto"/>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t>服务商需对所保障各业务系统问题项第一时间响应，并对问题通过线上工单流转进行持续追踪处置，并收集记录处置结果。</w:t>
            </w:r>
          </w:p>
        </w:tc>
      </w:tr>
      <w:tr w:rsidR="008137F8" w:rsidRPr="001E17A1" w14:paraId="30D75A14" w14:textId="77777777">
        <w:trPr>
          <w:trHeight w:val="416"/>
        </w:trPr>
        <w:tc>
          <w:tcPr>
            <w:tcW w:w="1721" w:type="pct"/>
            <w:tcBorders>
              <w:top w:val="single" w:sz="4" w:space="0" w:color="auto"/>
              <w:left w:val="single" w:sz="4" w:space="0" w:color="auto"/>
              <w:bottom w:val="single" w:sz="4" w:space="0" w:color="auto"/>
              <w:right w:val="single" w:sz="4" w:space="0" w:color="auto"/>
            </w:tcBorders>
          </w:tcPr>
          <w:p w14:paraId="5C702262" w14:textId="77777777" w:rsidR="008137F8" w:rsidRPr="001E17A1" w:rsidRDefault="00000000">
            <w:pPr>
              <w:widowControl/>
              <w:snapToGrid w:val="0"/>
              <w:spacing w:line="360" w:lineRule="auto"/>
              <w:jc w:val="left"/>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t>综合运营保障总结报告</w:t>
            </w:r>
          </w:p>
        </w:tc>
        <w:tc>
          <w:tcPr>
            <w:tcW w:w="3279" w:type="pct"/>
            <w:tcBorders>
              <w:top w:val="single" w:sz="4" w:space="0" w:color="auto"/>
              <w:left w:val="single" w:sz="4" w:space="0" w:color="auto"/>
              <w:bottom w:val="single" w:sz="4" w:space="0" w:color="auto"/>
              <w:right w:val="single" w:sz="4" w:space="0" w:color="auto"/>
            </w:tcBorders>
            <w:vAlign w:val="center"/>
          </w:tcPr>
          <w:p w14:paraId="4FA0B0AA" w14:textId="77777777" w:rsidR="008137F8" w:rsidRPr="001E17A1" w:rsidRDefault="00000000">
            <w:pPr>
              <w:widowControl/>
              <w:snapToGrid w:val="0"/>
              <w:spacing w:line="360" w:lineRule="auto"/>
              <w:rPr>
                <w:rFonts w:ascii="宋体" w:hAnsi="宋体" w:hint="eastAsia"/>
                <w:color w:val="000000" w:themeColor="text1"/>
                <w:kern w:val="0"/>
                <w:sz w:val="24"/>
                <w:szCs w:val="24"/>
              </w:rPr>
            </w:pPr>
            <w:r w:rsidRPr="001E17A1">
              <w:rPr>
                <w:rFonts w:ascii="宋体" w:hAnsi="宋体" w:hint="eastAsia"/>
                <w:color w:val="000000" w:themeColor="text1"/>
                <w:kern w:val="0"/>
                <w:sz w:val="24"/>
                <w:szCs w:val="24"/>
              </w:rPr>
              <w:t>需要记录保障期间工作实施情况，需要对所有检测到的安全事件以及告警进行统计。要求做到对中高级告警100%及时处理，并在报告中完整体现。</w:t>
            </w:r>
          </w:p>
        </w:tc>
      </w:tr>
    </w:tbl>
    <w:p w14:paraId="69C8CA94"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数据安全风险评估、安全审核服务</w:t>
      </w:r>
    </w:p>
    <w:p w14:paraId="33392617"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69911112"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数据安全风险评估服务是指针定期开展存储分布、应用场景和安全策略评估，深入分析数据安全风险，对所发现问题闭环管理，并构建数据安全数据评估服务技术合规评测体系。</w:t>
      </w:r>
    </w:p>
    <w:p w14:paraId="293FC21B"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数据安全审核服务是针对数据开展过程中的日志进行审计、账户权限审计和访问行为分析等工作，深入分析数据资源平台在数据处理过程中的安全风险，对所发现问题进行闭环管理。</w:t>
      </w:r>
    </w:p>
    <w:p w14:paraId="5644EDF1"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5163"/>
      </w:tblGrid>
      <w:tr w:rsidR="008137F8" w:rsidRPr="001E17A1" w14:paraId="464D4F73" w14:textId="77777777">
        <w:trPr>
          <w:jc w:val="center"/>
        </w:trPr>
        <w:tc>
          <w:tcPr>
            <w:tcW w:w="1971" w:type="pct"/>
            <w:tcBorders>
              <w:top w:val="single" w:sz="4" w:space="0" w:color="auto"/>
              <w:left w:val="single" w:sz="4" w:space="0" w:color="auto"/>
              <w:bottom w:val="single" w:sz="4" w:space="0" w:color="auto"/>
              <w:right w:val="single" w:sz="4" w:space="0" w:color="auto"/>
            </w:tcBorders>
            <w:vAlign w:val="center"/>
          </w:tcPr>
          <w:p w14:paraId="0B51B48F"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w:t>
            </w:r>
          </w:p>
        </w:tc>
        <w:tc>
          <w:tcPr>
            <w:tcW w:w="3029" w:type="pct"/>
            <w:tcBorders>
              <w:top w:val="single" w:sz="4" w:space="0" w:color="auto"/>
              <w:left w:val="single" w:sz="4" w:space="0" w:color="auto"/>
              <w:bottom w:val="single" w:sz="4" w:space="0" w:color="auto"/>
              <w:right w:val="single" w:sz="4" w:space="0" w:color="auto"/>
            </w:tcBorders>
            <w:vAlign w:val="center"/>
          </w:tcPr>
          <w:p w14:paraId="7D9ED083" w14:textId="77777777" w:rsidR="008137F8" w:rsidRPr="001E17A1" w:rsidRDefault="00000000">
            <w:pPr>
              <w:pStyle w:val="150"/>
              <w:snapToGrid w:val="0"/>
              <w:ind w:firstLineChars="0" w:firstLine="0"/>
              <w:jc w:val="center"/>
              <w:rPr>
                <w:rFonts w:ascii="宋体" w:hAnsi="宋体" w:cs="Times New Roman" w:hint="eastAsia"/>
                <w:b/>
                <w:bCs/>
                <w:color w:val="000000" w:themeColor="text1"/>
                <w:sz w:val="24"/>
                <w:szCs w:val="24"/>
              </w:rPr>
            </w:pPr>
            <w:r w:rsidRPr="001E17A1">
              <w:rPr>
                <w:rFonts w:ascii="宋体" w:hAnsi="宋体" w:cs="Times New Roman" w:hint="eastAsia"/>
                <w:b/>
                <w:bCs/>
                <w:color w:val="000000" w:themeColor="text1"/>
                <w:sz w:val="24"/>
                <w:szCs w:val="24"/>
              </w:rPr>
              <w:t>输出物标准</w:t>
            </w:r>
          </w:p>
        </w:tc>
      </w:tr>
      <w:tr w:rsidR="008137F8" w:rsidRPr="001E17A1" w14:paraId="7CFB4723" w14:textId="77777777">
        <w:trPr>
          <w:jc w:val="center"/>
        </w:trPr>
        <w:tc>
          <w:tcPr>
            <w:tcW w:w="1971" w:type="pct"/>
            <w:tcBorders>
              <w:top w:val="single" w:sz="4" w:space="0" w:color="auto"/>
              <w:left w:val="single" w:sz="4" w:space="0" w:color="auto"/>
              <w:bottom w:val="single" w:sz="4" w:space="0" w:color="auto"/>
              <w:right w:val="single" w:sz="4" w:space="0" w:color="auto"/>
            </w:tcBorders>
            <w:vAlign w:val="center"/>
          </w:tcPr>
          <w:p w14:paraId="5D5C278A"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《数据安全风险评估服务评估报告》</w:t>
            </w:r>
          </w:p>
        </w:tc>
        <w:tc>
          <w:tcPr>
            <w:tcW w:w="3029" w:type="pct"/>
            <w:tcBorders>
              <w:top w:val="single" w:sz="4" w:space="0" w:color="auto"/>
              <w:left w:val="single" w:sz="4" w:space="0" w:color="auto"/>
              <w:bottom w:val="single" w:sz="4" w:space="0" w:color="auto"/>
              <w:right w:val="single" w:sz="4" w:space="0" w:color="auto"/>
            </w:tcBorders>
            <w:vAlign w:val="center"/>
          </w:tcPr>
          <w:p w14:paraId="4672B17E"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包含本次数据安全风险评估服务所使用的对象、存储分布、应用场景和安全策略评估以及深入分析数据资源数据存储过程安全风险。</w:t>
            </w:r>
          </w:p>
        </w:tc>
      </w:tr>
      <w:tr w:rsidR="008137F8" w:rsidRPr="001E17A1" w14:paraId="6187A2DC" w14:textId="77777777">
        <w:trPr>
          <w:jc w:val="center"/>
        </w:trPr>
        <w:tc>
          <w:tcPr>
            <w:tcW w:w="1971" w:type="pct"/>
            <w:tcBorders>
              <w:top w:val="single" w:sz="4" w:space="0" w:color="auto"/>
              <w:left w:val="single" w:sz="4" w:space="0" w:color="auto"/>
              <w:bottom w:val="single" w:sz="4" w:space="0" w:color="auto"/>
              <w:right w:val="single" w:sz="4" w:space="0" w:color="auto"/>
            </w:tcBorders>
            <w:vAlign w:val="center"/>
          </w:tcPr>
          <w:p w14:paraId="763930CA"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《数据安全风险评估服务问题列表》</w:t>
            </w:r>
          </w:p>
        </w:tc>
        <w:tc>
          <w:tcPr>
            <w:tcW w:w="3029" w:type="pct"/>
            <w:tcBorders>
              <w:top w:val="single" w:sz="4" w:space="0" w:color="auto"/>
              <w:left w:val="single" w:sz="4" w:space="0" w:color="auto"/>
              <w:bottom w:val="single" w:sz="4" w:space="0" w:color="auto"/>
              <w:right w:val="single" w:sz="4" w:space="0" w:color="auto"/>
            </w:tcBorders>
            <w:vAlign w:val="center"/>
          </w:tcPr>
          <w:p w14:paraId="7712CE96"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包含本次数据安全风险评估服务需整改的问题清单。</w:t>
            </w:r>
          </w:p>
        </w:tc>
      </w:tr>
      <w:tr w:rsidR="008137F8" w:rsidRPr="001E17A1" w14:paraId="4C2C2A4B" w14:textId="77777777">
        <w:trPr>
          <w:jc w:val="center"/>
        </w:trPr>
        <w:tc>
          <w:tcPr>
            <w:tcW w:w="1971" w:type="pct"/>
            <w:tcBorders>
              <w:top w:val="single" w:sz="4" w:space="0" w:color="auto"/>
              <w:left w:val="single" w:sz="4" w:space="0" w:color="auto"/>
              <w:bottom w:val="single" w:sz="4" w:space="0" w:color="auto"/>
              <w:right w:val="single" w:sz="4" w:space="0" w:color="auto"/>
            </w:tcBorders>
            <w:vAlign w:val="center"/>
          </w:tcPr>
          <w:p w14:paraId="64AE9B1B"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《数据安全风险评估服务问题整改单》</w:t>
            </w:r>
          </w:p>
        </w:tc>
        <w:tc>
          <w:tcPr>
            <w:tcW w:w="3029" w:type="pct"/>
            <w:tcBorders>
              <w:top w:val="single" w:sz="4" w:space="0" w:color="auto"/>
              <w:left w:val="single" w:sz="4" w:space="0" w:color="auto"/>
              <w:bottom w:val="single" w:sz="4" w:space="0" w:color="auto"/>
              <w:right w:val="single" w:sz="4" w:space="0" w:color="auto"/>
            </w:tcBorders>
            <w:vAlign w:val="center"/>
          </w:tcPr>
          <w:p w14:paraId="60B420D6"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记录需要整改问题的发现、整改、二次验证以及确认全生命周期的文档。</w:t>
            </w:r>
          </w:p>
        </w:tc>
      </w:tr>
      <w:tr w:rsidR="008137F8" w:rsidRPr="001E17A1" w14:paraId="7EA7F960" w14:textId="77777777">
        <w:trPr>
          <w:jc w:val="center"/>
        </w:trPr>
        <w:tc>
          <w:tcPr>
            <w:tcW w:w="1971" w:type="pct"/>
            <w:tcBorders>
              <w:top w:val="single" w:sz="4" w:space="0" w:color="auto"/>
              <w:left w:val="single" w:sz="4" w:space="0" w:color="auto"/>
              <w:bottom w:val="single" w:sz="4" w:space="0" w:color="auto"/>
              <w:right w:val="single" w:sz="4" w:space="0" w:color="auto"/>
            </w:tcBorders>
            <w:vAlign w:val="center"/>
          </w:tcPr>
          <w:p w14:paraId="09AD0DD6"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审核日志</w:t>
            </w:r>
          </w:p>
        </w:tc>
        <w:tc>
          <w:tcPr>
            <w:tcW w:w="3029" w:type="pct"/>
            <w:tcBorders>
              <w:top w:val="single" w:sz="4" w:space="0" w:color="auto"/>
              <w:left w:val="single" w:sz="4" w:space="0" w:color="auto"/>
              <w:bottom w:val="single" w:sz="4" w:space="0" w:color="auto"/>
              <w:right w:val="single" w:sz="4" w:space="0" w:color="auto"/>
            </w:tcBorders>
            <w:vAlign w:val="center"/>
          </w:tcPr>
          <w:p w14:paraId="736F3D1D"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包含但不限于审核规则、审核内容、审核数量、审核结果。</w:t>
            </w:r>
          </w:p>
        </w:tc>
      </w:tr>
      <w:tr w:rsidR="008137F8" w:rsidRPr="001E17A1" w14:paraId="3D7302DC" w14:textId="77777777">
        <w:trPr>
          <w:jc w:val="center"/>
        </w:trPr>
        <w:tc>
          <w:tcPr>
            <w:tcW w:w="1971" w:type="pct"/>
            <w:tcBorders>
              <w:top w:val="single" w:sz="4" w:space="0" w:color="auto"/>
              <w:left w:val="single" w:sz="4" w:space="0" w:color="auto"/>
              <w:bottom w:val="single" w:sz="4" w:space="0" w:color="auto"/>
              <w:right w:val="single" w:sz="4" w:space="0" w:color="auto"/>
            </w:tcBorders>
            <w:vAlign w:val="center"/>
          </w:tcPr>
          <w:p w14:paraId="1345E715"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审核报告</w:t>
            </w:r>
          </w:p>
        </w:tc>
        <w:tc>
          <w:tcPr>
            <w:tcW w:w="3029" w:type="pct"/>
            <w:tcBorders>
              <w:top w:val="single" w:sz="4" w:space="0" w:color="auto"/>
              <w:left w:val="single" w:sz="4" w:space="0" w:color="auto"/>
              <w:bottom w:val="single" w:sz="4" w:space="0" w:color="auto"/>
              <w:right w:val="single" w:sz="4" w:space="0" w:color="auto"/>
            </w:tcBorders>
            <w:vAlign w:val="center"/>
          </w:tcPr>
          <w:p w14:paraId="24ABC836"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审核报告应当符合数据安全工作要求。</w:t>
            </w:r>
          </w:p>
        </w:tc>
      </w:tr>
      <w:tr w:rsidR="008137F8" w:rsidRPr="001E17A1" w14:paraId="7C0D6704" w14:textId="77777777">
        <w:trPr>
          <w:jc w:val="center"/>
        </w:trPr>
        <w:tc>
          <w:tcPr>
            <w:tcW w:w="1971" w:type="pct"/>
            <w:tcBorders>
              <w:top w:val="single" w:sz="4" w:space="0" w:color="auto"/>
              <w:left w:val="single" w:sz="4" w:space="0" w:color="auto"/>
              <w:bottom w:val="single" w:sz="4" w:space="0" w:color="auto"/>
              <w:right w:val="single" w:sz="4" w:space="0" w:color="auto"/>
            </w:tcBorders>
            <w:vAlign w:val="center"/>
          </w:tcPr>
          <w:p w14:paraId="1797E3BA"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审核规则及变更</w:t>
            </w:r>
          </w:p>
        </w:tc>
        <w:tc>
          <w:tcPr>
            <w:tcW w:w="3029" w:type="pct"/>
            <w:tcBorders>
              <w:top w:val="single" w:sz="4" w:space="0" w:color="auto"/>
              <w:left w:val="single" w:sz="4" w:space="0" w:color="auto"/>
              <w:bottom w:val="single" w:sz="4" w:space="0" w:color="auto"/>
              <w:right w:val="single" w:sz="4" w:space="0" w:color="auto"/>
            </w:tcBorders>
            <w:vAlign w:val="center"/>
          </w:tcPr>
          <w:p w14:paraId="22203AA9" w14:textId="77777777" w:rsidR="008137F8" w:rsidRPr="001E17A1" w:rsidRDefault="00000000">
            <w:pPr>
              <w:pStyle w:val="150"/>
              <w:snapToGrid w:val="0"/>
              <w:ind w:firstLineChars="0" w:firstLine="0"/>
              <w:jc w:val="left"/>
              <w:rPr>
                <w:rFonts w:ascii="宋体" w:hAnsi="宋体" w:cs="Times New Roman" w:hint="eastAsia"/>
                <w:color w:val="000000" w:themeColor="text1"/>
                <w:sz w:val="24"/>
                <w:szCs w:val="24"/>
              </w:rPr>
            </w:pPr>
            <w:r w:rsidRPr="001E17A1">
              <w:rPr>
                <w:rFonts w:ascii="宋体" w:hAnsi="宋体" w:cs="Times New Roman" w:hint="eastAsia"/>
                <w:color w:val="000000" w:themeColor="text1"/>
                <w:sz w:val="24"/>
                <w:szCs w:val="24"/>
              </w:rPr>
              <w:t>应当符合数据安全工作要求。</w:t>
            </w:r>
          </w:p>
        </w:tc>
      </w:tr>
    </w:tbl>
    <w:p w14:paraId="67C58977"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应用安全渗透测试服务</w:t>
      </w:r>
    </w:p>
    <w:p w14:paraId="270BC68B"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lastRenderedPageBreak/>
        <w:t>服务要求</w:t>
      </w:r>
    </w:p>
    <w:p w14:paraId="5FF43B8B"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按照《信息安全等级保护管理办法》、《关键信息基础设施安全保护条例》等法律法规、技术标准和中心安全管理要求，对应用系统开展安全渗透测试服务，发现系统最脆弱的环节，采用可控制、非破坏性质的方法和手段发现目标和系统设备中存在的弱点，并提供安全加固意见以提升系统的安全性。</w:t>
      </w:r>
    </w:p>
    <w:p w14:paraId="71344642"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6262"/>
      </w:tblGrid>
      <w:tr w:rsidR="008137F8" w:rsidRPr="001E17A1" w14:paraId="5CE09B18" w14:textId="77777777">
        <w:tc>
          <w:tcPr>
            <w:tcW w:w="1326" w:type="pct"/>
            <w:tcBorders>
              <w:top w:val="single" w:sz="4" w:space="0" w:color="auto"/>
              <w:left w:val="single" w:sz="4" w:space="0" w:color="auto"/>
              <w:bottom w:val="single" w:sz="4" w:space="0" w:color="auto"/>
              <w:right w:val="single" w:sz="4" w:space="0" w:color="auto"/>
            </w:tcBorders>
            <w:vAlign w:val="center"/>
          </w:tcPr>
          <w:p w14:paraId="69E038A9" w14:textId="77777777" w:rsidR="008137F8" w:rsidRPr="001E17A1" w:rsidRDefault="00000000">
            <w:pPr>
              <w:pStyle w:val="150"/>
              <w:snapToGrid w:val="0"/>
              <w:ind w:firstLineChars="0" w:firstLine="0"/>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w:t>
            </w:r>
          </w:p>
        </w:tc>
        <w:tc>
          <w:tcPr>
            <w:tcW w:w="3674" w:type="pct"/>
            <w:tcBorders>
              <w:top w:val="single" w:sz="4" w:space="0" w:color="auto"/>
              <w:left w:val="single" w:sz="4" w:space="0" w:color="auto"/>
              <w:bottom w:val="single" w:sz="4" w:space="0" w:color="auto"/>
              <w:right w:val="single" w:sz="4" w:space="0" w:color="auto"/>
            </w:tcBorders>
            <w:vAlign w:val="center"/>
          </w:tcPr>
          <w:p w14:paraId="28682288" w14:textId="77777777" w:rsidR="008137F8" w:rsidRPr="001E17A1" w:rsidRDefault="00000000">
            <w:pPr>
              <w:pStyle w:val="150"/>
              <w:snapToGrid w:val="0"/>
              <w:ind w:firstLineChars="0" w:firstLine="0"/>
              <w:jc w:val="center"/>
              <w:rPr>
                <w:rFonts w:ascii="宋体" w:hAnsi="宋体" w:hint="eastAsia"/>
                <w:b/>
                <w:bCs/>
                <w:color w:val="000000" w:themeColor="text1"/>
                <w:sz w:val="24"/>
                <w:szCs w:val="24"/>
              </w:rPr>
            </w:pPr>
            <w:r w:rsidRPr="001E17A1">
              <w:rPr>
                <w:rFonts w:ascii="宋体" w:hAnsi="宋体" w:hint="eastAsia"/>
                <w:b/>
                <w:bCs/>
                <w:color w:val="000000" w:themeColor="text1"/>
                <w:sz w:val="24"/>
                <w:szCs w:val="24"/>
              </w:rPr>
              <w:t>输出物标准</w:t>
            </w:r>
          </w:p>
        </w:tc>
      </w:tr>
      <w:tr w:rsidR="008137F8" w:rsidRPr="001E17A1" w14:paraId="17F4DD8A" w14:textId="77777777">
        <w:tc>
          <w:tcPr>
            <w:tcW w:w="1326" w:type="pct"/>
            <w:tcBorders>
              <w:top w:val="single" w:sz="4" w:space="0" w:color="auto"/>
              <w:left w:val="single" w:sz="4" w:space="0" w:color="auto"/>
              <w:bottom w:val="single" w:sz="4" w:space="0" w:color="auto"/>
              <w:right w:val="single" w:sz="4" w:space="0" w:color="auto"/>
            </w:tcBorders>
            <w:vAlign w:val="center"/>
          </w:tcPr>
          <w:p w14:paraId="245F621E"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《渗透测试报告》</w:t>
            </w:r>
          </w:p>
        </w:tc>
        <w:tc>
          <w:tcPr>
            <w:tcW w:w="3674" w:type="pct"/>
            <w:tcBorders>
              <w:top w:val="single" w:sz="4" w:space="0" w:color="auto"/>
              <w:left w:val="single" w:sz="4" w:space="0" w:color="auto"/>
              <w:bottom w:val="single" w:sz="4" w:space="0" w:color="auto"/>
              <w:right w:val="single" w:sz="4" w:space="0" w:color="auto"/>
            </w:tcBorders>
            <w:vAlign w:val="center"/>
          </w:tcPr>
          <w:p w14:paraId="110E86B5"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包含本次测试系统检查所使用的工具、对象、漏洞清单（漏洞漏报率小于1~3%）以及漏洞整改建议。</w:t>
            </w:r>
          </w:p>
        </w:tc>
      </w:tr>
      <w:tr w:rsidR="008137F8" w:rsidRPr="001E17A1" w14:paraId="7765D51E" w14:textId="77777777">
        <w:tc>
          <w:tcPr>
            <w:tcW w:w="1326" w:type="pct"/>
            <w:tcBorders>
              <w:top w:val="single" w:sz="4" w:space="0" w:color="auto"/>
              <w:left w:val="single" w:sz="4" w:space="0" w:color="auto"/>
              <w:bottom w:val="single" w:sz="4" w:space="0" w:color="auto"/>
              <w:right w:val="single" w:sz="4" w:space="0" w:color="auto"/>
            </w:tcBorders>
            <w:vAlign w:val="center"/>
          </w:tcPr>
          <w:p w14:paraId="5595D76D"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《应用系统漏洞汇总表》</w:t>
            </w:r>
          </w:p>
        </w:tc>
        <w:tc>
          <w:tcPr>
            <w:tcW w:w="3674" w:type="pct"/>
            <w:tcBorders>
              <w:top w:val="single" w:sz="4" w:space="0" w:color="auto"/>
              <w:left w:val="single" w:sz="4" w:space="0" w:color="auto"/>
              <w:bottom w:val="single" w:sz="4" w:space="0" w:color="auto"/>
              <w:right w:val="single" w:sz="4" w:space="0" w:color="auto"/>
            </w:tcBorders>
            <w:vAlign w:val="center"/>
          </w:tcPr>
          <w:p w14:paraId="52AF1242"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包含各系统的渗透测试漏洞汇总，漏洞分类情况及修复建议。</w:t>
            </w:r>
          </w:p>
        </w:tc>
      </w:tr>
      <w:tr w:rsidR="008137F8" w:rsidRPr="001E17A1" w14:paraId="02B8824C" w14:textId="77777777">
        <w:tc>
          <w:tcPr>
            <w:tcW w:w="1326" w:type="pct"/>
            <w:tcBorders>
              <w:top w:val="single" w:sz="4" w:space="0" w:color="auto"/>
              <w:left w:val="single" w:sz="4" w:space="0" w:color="auto"/>
              <w:bottom w:val="single" w:sz="4" w:space="0" w:color="auto"/>
              <w:right w:val="single" w:sz="4" w:space="0" w:color="auto"/>
            </w:tcBorders>
            <w:vAlign w:val="center"/>
          </w:tcPr>
          <w:p w14:paraId="068289AA"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《回归测试报告》</w:t>
            </w:r>
          </w:p>
        </w:tc>
        <w:tc>
          <w:tcPr>
            <w:tcW w:w="3674" w:type="pct"/>
            <w:tcBorders>
              <w:top w:val="single" w:sz="4" w:space="0" w:color="auto"/>
              <w:left w:val="single" w:sz="4" w:space="0" w:color="auto"/>
              <w:bottom w:val="single" w:sz="4" w:space="0" w:color="auto"/>
              <w:right w:val="single" w:sz="4" w:space="0" w:color="auto"/>
            </w:tcBorders>
            <w:vAlign w:val="center"/>
          </w:tcPr>
          <w:p w14:paraId="26681C6B"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根据之前渗透测试发现的漏洞进行二次验证，检验是否完成所有漏洞的修复，符合回归测试报告模板。</w:t>
            </w:r>
          </w:p>
        </w:tc>
      </w:tr>
      <w:tr w:rsidR="008137F8" w:rsidRPr="001E17A1" w14:paraId="6523A9A8" w14:textId="77777777">
        <w:tc>
          <w:tcPr>
            <w:tcW w:w="1326" w:type="pct"/>
            <w:tcBorders>
              <w:top w:val="single" w:sz="4" w:space="0" w:color="auto"/>
              <w:left w:val="single" w:sz="4" w:space="0" w:color="auto"/>
              <w:bottom w:val="single" w:sz="4" w:space="0" w:color="auto"/>
              <w:right w:val="single" w:sz="4" w:space="0" w:color="auto"/>
            </w:tcBorders>
            <w:vAlign w:val="center"/>
          </w:tcPr>
          <w:p w14:paraId="1431770F"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《应用系统与映射主机对应清单表》</w:t>
            </w:r>
          </w:p>
        </w:tc>
        <w:tc>
          <w:tcPr>
            <w:tcW w:w="3674" w:type="pct"/>
            <w:tcBorders>
              <w:top w:val="single" w:sz="4" w:space="0" w:color="auto"/>
              <w:left w:val="single" w:sz="4" w:space="0" w:color="auto"/>
              <w:bottom w:val="single" w:sz="4" w:space="0" w:color="auto"/>
              <w:right w:val="single" w:sz="4" w:space="0" w:color="auto"/>
            </w:tcBorders>
            <w:vAlign w:val="center"/>
          </w:tcPr>
          <w:p w14:paraId="47A71CDD"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包含本次渗透测试服务中应用系统所对应的所有应用主机清单，便于后续的核算。</w:t>
            </w:r>
          </w:p>
        </w:tc>
      </w:tr>
      <w:tr w:rsidR="008137F8" w:rsidRPr="001E17A1" w14:paraId="0F3D2F50" w14:textId="77777777">
        <w:tc>
          <w:tcPr>
            <w:tcW w:w="1326" w:type="pct"/>
            <w:tcBorders>
              <w:top w:val="single" w:sz="4" w:space="0" w:color="auto"/>
              <w:left w:val="single" w:sz="4" w:space="0" w:color="auto"/>
              <w:bottom w:val="single" w:sz="4" w:space="0" w:color="auto"/>
              <w:right w:val="single" w:sz="4" w:space="0" w:color="auto"/>
            </w:tcBorders>
            <w:vAlign w:val="center"/>
          </w:tcPr>
          <w:p w14:paraId="53AE6FE7"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《安全脆弱项处置类单据》</w:t>
            </w:r>
          </w:p>
        </w:tc>
        <w:tc>
          <w:tcPr>
            <w:tcW w:w="3674" w:type="pct"/>
            <w:tcBorders>
              <w:top w:val="single" w:sz="4" w:space="0" w:color="auto"/>
              <w:left w:val="single" w:sz="4" w:space="0" w:color="auto"/>
              <w:bottom w:val="single" w:sz="4" w:space="0" w:color="auto"/>
              <w:right w:val="single" w:sz="4" w:space="0" w:color="auto"/>
            </w:tcBorders>
            <w:vAlign w:val="center"/>
          </w:tcPr>
          <w:p w14:paraId="1B123557"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包含发现的漏洞名称、类型潜在威胁及当前处置情况并及时下发。</w:t>
            </w:r>
          </w:p>
        </w:tc>
      </w:tr>
      <w:tr w:rsidR="008137F8" w:rsidRPr="001E17A1" w14:paraId="28C69F4F" w14:textId="77777777">
        <w:tc>
          <w:tcPr>
            <w:tcW w:w="1326" w:type="pct"/>
            <w:tcBorders>
              <w:top w:val="single" w:sz="4" w:space="0" w:color="auto"/>
              <w:left w:val="single" w:sz="4" w:space="0" w:color="auto"/>
              <w:bottom w:val="single" w:sz="4" w:space="0" w:color="auto"/>
              <w:right w:val="single" w:sz="4" w:space="0" w:color="auto"/>
            </w:tcBorders>
            <w:vAlign w:val="center"/>
          </w:tcPr>
          <w:p w14:paraId="7E87C335" w14:textId="77777777" w:rsidR="008137F8" w:rsidRPr="001E17A1" w:rsidRDefault="00000000">
            <w:pPr>
              <w:pStyle w:val="150"/>
              <w:snapToGrid w:val="0"/>
              <w:ind w:firstLineChars="0" w:firstLine="0"/>
              <w:jc w:val="center"/>
              <w:rPr>
                <w:rFonts w:ascii="宋体" w:hAnsi="宋体" w:hint="eastAsia"/>
                <w:color w:val="000000" w:themeColor="text1"/>
                <w:sz w:val="24"/>
                <w:szCs w:val="24"/>
              </w:rPr>
            </w:pPr>
            <w:r w:rsidRPr="001E17A1">
              <w:rPr>
                <w:rFonts w:ascii="宋体" w:hAnsi="宋体" w:hint="eastAsia"/>
                <w:color w:val="000000" w:themeColor="text1"/>
                <w:sz w:val="24"/>
                <w:szCs w:val="24"/>
              </w:rPr>
              <w:t>《渗透测试专项总结报告》</w:t>
            </w:r>
          </w:p>
        </w:tc>
        <w:tc>
          <w:tcPr>
            <w:tcW w:w="3674" w:type="pct"/>
            <w:tcBorders>
              <w:top w:val="single" w:sz="4" w:space="0" w:color="auto"/>
              <w:left w:val="single" w:sz="4" w:space="0" w:color="auto"/>
              <w:bottom w:val="single" w:sz="4" w:space="0" w:color="auto"/>
              <w:right w:val="single" w:sz="4" w:space="0" w:color="auto"/>
            </w:tcBorders>
            <w:vAlign w:val="center"/>
          </w:tcPr>
          <w:p w14:paraId="7F6B1834" w14:textId="77777777" w:rsidR="008137F8" w:rsidRPr="001E17A1" w:rsidRDefault="00000000">
            <w:pPr>
              <w:pStyle w:val="150"/>
              <w:snapToGrid w:val="0"/>
              <w:ind w:firstLineChars="0" w:firstLine="0"/>
              <w:jc w:val="left"/>
              <w:rPr>
                <w:rFonts w:ascii="宋体" w:hAnsi="宋体" w:hint="eastAsia"/>
                <w:iCs/>
                <w:color w:val="000000" w:themeColor="text1"/>
                <w:sz w:val="24"/>
                <w:szCs w:val="24"/>
              </w:rPr>
            </w:pPr>
            <w:r w:rsidRPr="001E17A1">
              <w:rPr>
                <w:rFonts w:ascii="宋体" w:hAnsi="宋体" w:hint="eastAsia"/>
                <w:iCs/>
                <w:color w:val="000000" w:themeColor="text1"/>
                <w:sz w:val="24"/>
                <w:szCs w:val="24"/>
              </w:rPr>
              <w:t>包含本次渗透测试发现的所有漏洞清单及相关明细。</w:t>
            </w:r>
          </w:p>
        </w:tc>
      </w:tr>
    </w:tbl>
    <w:p w14:paraId="3EAFEC0A"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安全审计服务</w:t>
      </w:r>
    </w:p>
    <w:p w14:paraId="40DE889B"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0AC4C98E"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按照《信息安全等级保护管理办法》、《关键信息基础设施安全保护条例》等法律法规、技术标准和中心安全管理要求，对应用系统开展综合安全审计评估，涵盖主机审计、网络审计、数据库审计、运维审计、业务审计、源代码审计等内容，发现系统性风险并进行分析预警。</w:t>
      </w:r>
    </w:p>
    <w:p w14:paraId="0851F045"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7"/>
        <w:gridCol w:w="6405"/>
      </w:tblGrid>
      <w:tr w:rsidR="008137F8" w:rsidRPr="001E17A1" w14:paraId="10C7F3A3" w14:textId="77777777">
        <w:trPr>
          <w:trHeight w:val="609"/>
        </w:trPr>
        <w:tc>
          <w:tcPr>
            <w:tcW w:w="1242" w:type="pct"/>
            <w:tcBorders>
              <w:top w:val="single" w:sz="4" w:space="0" w:color="000000"/>
              <w:left w:val="single" w:sz="4" w:space="0" w:color="000000"/>
              <w:bottom w:val="single" w:sz="4" w:space="0" w:color="000000"/>
              <w:right w:val="single" w:sz="4" w:space="0" w:color="000000"/>
            </w:tcBorders>
            <w:vAlign w:val="center"/>
          </w:tcPr>
          <w:p w14:paraId="37AF78BA"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w:t>
            </w:r>
          </w:p>
        </w:tc>
        <w:tc>
          <w:tcPr>
            <w:tcW w:w="3758" w:type="pct"/>
            <w:tcBorders>
              <w:top w:val="single" w:sz="4" w:space="0" w:color="000000"/>
              <w:left w:val="single" w:sz="4" w:space="0" w:color="000000"/>
              <w:bottom w:val="single" w:sz="4" w:space="0" w:color="000000"/>
              <w:right w:val="single" w:sz="4" w:space="0" w:color="000000"/>
            </w:tcBorders>
            <w:vAlign w:val="center"/>
          </w:tcPr>
          <w:p w14:paraId="7D4C531D"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输出物标准</w:t>
            </w:r>
          </w:p>
        </w:tc>
      </w:tr>
      <w:tr w:rsidR="008137F8" w:rsidRPr="001E17A1" w14:paraId="1E5CD2C7" w14:textId="77777777">
        <w:trPr>
          <w:trHeight w:val="609"/>
        </w:trPr>
        <w:tc>
          <w:tcPr>
            <w:tcW w:w="1242" w:type="pct"/>
            <w:tcBorders>
              <w:top w:val="single" w:sz="4" w:space="0" w:color="000000"/>
              <w:left w:val="single" w:sz="4" w:space="0" w:color="000000"/>
              <w:bottom w:val="single" w:sz="4" w:space="0" w:color="000000"/>
              <w:right w:val="single" w:sz="4" w:space="0" w:color="000000"/>
            </w:tcBorders>
            <w:vAlign w:val="center"/>
          </w:tcPr>
          <w:p w14:paraId="0B1FAEAF" w14:textId="77777777" w:rsidR="008137F8" w:rsidRPr="001E17A1" w:rsidRDefault="00000000">
            <w:pPr>
              <w:snapToGrid w:val="0"/>
              <w:spacing w:line="360" w:lineRule="auto"/>
              <w:rPr>
                <w:rFonts w:ascii="宋体" w:hAnsi="宋体" w:cs="宋体" w:hint="eastAsia"/>
                <w:bCs/>
                <w:color w:val="000000" w:themeColor="text1"/>
                <w:kern w:val="0"/>
                <w:sz w:val="24"/>
                <w:szCs w:val="24"/>
              </w:rPr>
            </w:pPr>
            <w:r w:rsidRPr="001E17A1">
              <w:rPr>
                <w:rFonts w:ascii="宋体" w:hAnsi="宋体" w:hint="eastAsia"/>
                <w:color w:val="000000" w:themeColor="text1"/>
                <w:sz w:val="24"/>
                <w:szCs w:val="24"/>
              </w:rPr>
              <w:t>代码审计报告</w:t>
            </w:r>
          </w:p>
        </w:tc>
        <w:tc>
          <w:tcPr>
            <w:tcW w:w="3758" w:type="pct"/>
            <w:tcBorders>
              <w:top w:val="single" w:sz="4" w:space="0" w:color="000000"/>
              <w:left w:val="single" w:sz="4" w:space="0" w:color="000000"/>
              <w:bottom w:val="single" w:sz="4" w:space="0" w:color="000000"/>
              <w:right w:val="single" w:sz="4" w:space="0" w:color="000000"/>
            </w:tcBorders>
            <w:vAlign w:val="center"/>
          </w:tcPr>
          <w:p w14:paraId="6371563F" w14:textId="77777777" w:rsidR="008137F8" w:rsidRPr="001E17A1" w:rsidRDefault="00000000">
            <w:pPr>
              <w:snapToGrid w:val="0"/>
              <w:spacing w:line="360" w:lineRule="auto"/>
              <w:rPr>
                <w:rFonts w:ascii="宋体" w:hAnsi="宋体" w:cs="宋体" w:hint="eastAsia"/>
                <w:bCs/>
                <w:color w:val="000000" w:themeColor="text1"/>
                <w:kern w:val="0"/>
                <w:sz w:val="24"/>
                <w:szCs w:val="24"/>
              </w:rPr>
            </w:pPr>
            <w:r w:rsidRPr="001E17A1">
              <w:rPr>
                <w:rFonts w:ascii="宋体" w:hAnsi="宋体" w:hint="eastAsia"/>
                <w:color w:val="000000" w:themeColor="text1"/>
                <w:sz w:val="24"/>
                <w:szCs w:val="24"/>
              </w:rPr>
              <w:t>根据GB/T 39412-2020《信息安全技术代码安全审计规范》出具相应的报告。</w:t>
            </w:r>
          </w:p>
        </w:tc>
      </w:tr>
      <w:tr w:rsidR="008137F8" w:rsidRPr="001E17A1" w14:paraId="3E96FD6D" w14:textId="77777777">
        <w:trPr>
          <w:trHeight w:val="609"/>
        </w:trPr>
        <w:tc>
          <w:tcPr>
            <w:tcW w:w="1242" w:type="pct"/>
            <w:tcBorders>
              <w:top w:val="single" w:sz="4" w:space="0" w:color="000000"/>
              <w:left w:val="single" w:sz="4" w:space="0" w:color="000000"/>
              <w:bottom w:val="single" w:sz="4" w:space="0" w:color="000000"/>
              <w:right w:val="single" w:sz="4" w:space="0" w:color="000000"/>
            </w:tcBorders>
            <w:vAlign w:val="center"/>
          </w:tcPr>
          <w:p w14:paraId="52524511"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安全审计报告</w:t>
            </w:r>
          </w:p>
        </w:tc>
        <w:tc>
          <w:tcPr>
            <w:tcW w:w="3758" w:type="pct"/>
            <w:tcBorders>
              <w:top w:val="single" w:sz="4" w:space="0" w:color="000000"/>
              <w:left w:val="single" w:sz="4" w:space="0" w:color="000000"/>
              <w:bottom w:val="single" w:sz="4" w:space="0" w:color="000000"/>
              <w:right w:val="single" w:sz="4" w:space="0" w:color="000000"/>
            </w:tcBorders>
            <w:vAlign w:val="center"/>
          </w:tcPr>
          <w:p w14:paraId="438886A7" w14:textId="77777777" w:rsidR="008137F8" w:rsidRPr="001E17A1" w:rsidRDefault="00000000">
            <w:pPr>
              <w:snapToGrid w:val="0"/>
              <w:spacing w:line="360" w:lineRule="auto"/>
              <w:rPr>
                <w:rFonts w:ascii="宋体" w:hAnsi="宋体" w:cs="宋体" w:hint="eastAsia"/>
                <w:bCs/>
                <w:color w:val="000000" w:themeColor="text1"/>
                <w:kern w:val="0"/>
                <w:sz w:val="24"/>
                <w:szCs w:val="24"/>
              </w:rPr>
            </w:pPr>
            <w:r w:rsidRPr="001E17A1">
              <w:rPr>
                <w:rFonts w:ascii="宋体" w:hAnsi="宋体" w:hint="eastAsia"/>
                <w:color w:val="000000" w:themeColor="text1"/>
                <w:sz w:val="24"/>
                <w:szCs w:val="24"/>
              </w:rPr>
              <w:t>包括但不限于所辖服务器主机操作系统、网络区域、应用平台软件、数据库、应用系统和网页等审计内容和审计结果。</w:t>
            </w:r>
          </w:p>
        </w:tc>
      </w:tr>
      <w:tr w:rsidR="008137F8" w:rsidRPr="001E17A1" w14:paraId="169DB8FD" w14:textId="77777777">
        <w:trPr>
          <w:trHeight w:val="609"/>
        </w:trPr>
        <w:tc>
          <w:tcPr>
            <w:tcW w:w="1242" w:type="pct"/>
            <w:tcBorders>
              <w:top w:val="single" w:sz="4" w:space="0" w:color="000000"/>
              <w:left w:val="single" w:sz="4" w:space="0" w:color="000000"/>
              <w:bottom w:val="single" w:sz="4" w:space="0" w:color="000000"/>
              <w:right w:val="single" w:sz="4" w:space="0" w:color="000000"/>
            </w:tcBorders>
            <w:vAlign w:val="center"/>
          </w:tcPr>
          <w:p w14:paraId="51B1192C"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安全整改方案和整改验证报告</w:t>
            </w:r>
          </w:p>
        </w:tc>
        <w:tc>
          <w:tcPr>
            <w:tcW w:w="3758" w:type="pct"/>
            <w:tcBorders>
              <w:top w:val="single" w:sz="4" w:space="0" w:color="000000"/>
              <w:left w:val="single" w:sz="4" w:space="0" w:color="000000"/>
              <w:bottom w:val="single" w:sz="4" w:space="0" w:color="000000"/>
              <w:right w:val="single" w:sz="4" w:space="0" w:color="000000"/>
            </w:tcBorders>
          </w:tcPr>
          <w:p w14:paraId="2DBD4286" w14:textId="77777777" w:rsidR="008137F8" w:rsidRPr="001E17A1" w:rsidRDefault="00000000">
            <w:pPr>
              <w:snapToGrid w:val="0"/>
              <w:spacing w:line="360" w:lineRule="auto"/>
              <w:rPr>
                <w:rFonts w:ascii="宋体" w:hAnsi="宋体" w:cs="宋体" w:hint="eastAsia"/>
                <w:bCs/>
                <w:color w:val="000000" w:themeColor="text1"/>
                <w:kern w:val="0"/>
                <w:sz w:val="24"/>
                <w:szCs w:val="24"/>
              </w:rPr>
            </w:pPr>
            <w:r w:rsidRPr="001E17A1">
              <w:rPr>
                <w:rFonts w:ascii="宋体" w:hAnsi="宋体" w:hint="eastAsia"/>
                <w:color w:val="000000" w:themeColor="text1"/>
                <w:sz w:val="24"/>
                <w:szCs w:val="24"/>
              </w:rPr>
              <w:t>根据审计报告发现的问题输出整改方案、验证整改方案的可行性并组织整改并提供整改后验证证明。</w:t>
            </w:r>
          </w:p>
        </w:tc>
      </w:tr>
    </w:tbl>
    <w:p w14:paraId="6C1631D4" w14:textId="77777777" w:rsidR="008137F8" w:rsidRPr="001E17A1" w:rsidRDefault="00000000">
      <w:pPr>
        <w:pStyle w:val="4"/>
        <w:keepNext w:val="0"/>
        <w:keepLines w:val="0"/>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系统功能符合性评估和测评服务</w:t>
      </w:r>
    </w:p>
    <w:p w14:paraId="36539351" w14:textId="77777777" w:rsidR="008137F8" w:rsidRPr="001E17A1" w:rsidRDefault="00000000">
      <w:pPr>
        <w:numPr>
          <w:ilvl w:val="0"/>
          <w:numId w:val="4"/>
        </w:numPr>
        <w:tabs>
          <w:tab w:val="left" w:pos="1134"/>
        </w:tabs>
        <w:snapToGrid w:val="0"/>
        <w:spacing w:line="360" w:lineRule="auto"/>
        <w:rPr>
          <w:rFonts w:ascii="宋体" w:hAnsi="宋体" w:hint="eastAsia"/>
          <w:color w:val="000000" w:themeColor="text1"/>
          <w:sz w:val="24"/>
          <w:szCs w:val="24"/>
        </w:rPr>
      </w:pPr>
      <w:r w:rsidRPr="001E17A1">
        <w:rPr>
          <w:rFonts w:ascii="宋体" w:hAnsi="宋体" w:hint="eastAsia"/>
          <w:b/>
          <w:bCs/>
          <w:color w:val="000000" w:themeColor="text1"/>
          <w:sz w:val="24"/>
          <w:szCs w:val="24"/>
        </w:rPr>
        <w:t>服务要求</w:t>
      </w:r>
    </w:p>
    <w:p w14:paraId="7D91D654"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根据中心业务开展和安全管理需要，结合《信息安全等级保护管理办法》、《关键信息基础设施安全保护条例》等法律法规规定以及主管单位的管理和技术标准要求，针对大数据资源平台开展系统功能、安全及密码方面符合性测评。</w:t>
      </w:r>
    </w:p>
    <w:p w14:paraId="395F00E7"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4"/>
        <w:gridCol w:w="6098"/>
      </w:tblGrid>
      <w:tr w:rsidR="008137F8" w:rsidRPr="001E17A1" w14:paraId="6D639214" w14:textId="77777777">
        <w:trPr>
          <w:trHeight w:val="609"/>
        </w:trPr>
        <w:tc>
          <w:tcPr>
            <w:tcW w:w="1422" w:type="pct"/>
            <w:tcBorders>
              <w:top w:val="single" w:sz="4" w:space="0" w:color="000000"/>
              <w:left w:val="single" w:sz="4" w:space="0" w:color="000000"/>
              <w:bottom w:val="single" w:sz="4" w:space="0" w:color="000000"/>
              <w:right w:val="single" w:sz="4" w:space="0" w:color="000000"/>
            </w:tcBorders>
            <w:vAlign w:val="center"/>
          </w:tcPr>
          <w:p w14:paraId="6107B603"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w:t>
            </w:r>
          </w:p>
        </w:tc>
        <w:tc>
          <w:tcPr>
            <w:tcW w:w="3578" w:type="pct"/>
            <w:tcBorders>
              <w:top w:val="single" w:sz="4" w:space="0" w:color="000000"/>
              <w:left w:val="single" w:sz="4" w:space="0" w:color="000000"/>
              <w:bottom w:val="single" w:sz="4" w:space="0" w:color="000000"/>
              <w:right w:val="single" w:sz="4" w:space="0" w:color="000000"/>
            </w:tcBorders>
            <w:vAlign w:val="center"/>
          </w:tcPr>
          <w:p w14:paraId="176A4EB3"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输出物标准</w:t>
            </w:r>
          </w:p>
        </w:tc>
      </w:tr>
      <w:tr w:rsidR="008137F8" w:rsidRPr="001E17A1" w14:paraId="0A4657C0" w14:textId="77777777">
        <w:trPr>
          <w:trHeight w:val="609"/>
        </w:trPr>
        <w:tc>
          <w:tcPr>
            <w:tcW w:w="1422" w:type="pct"/>
            <w:tcBorders>
              <w:top w:val="single" w:sz="4" w:space="0" w:color="000000"/>
              <w:left w:val="single" w:sz="4" w:space="0" w:color="000000"/>
              <w:bottom w:val="single" w:sz="4" w:space="0" w:color="000000"/>
              <w:right w:val="single" w:sz="4" w:space="0" w:color="000000"/>
            </w:tcBorders>
            <w:vAlign w:val="center"/>
          </w:tcPr>
          <w:p w14:paraId="766C46D5"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评估报告</w:t>
            </w:r>
          </w:p>
        </w:tc>
        <w:tc>
          <w:tcPr>
            <w:tcW w:w="3578" w:type="pct"/>
            <w:tcBorders>
              <w:top w:val="single" w:sz="4" w:space="0" w:color="000000"/>
              <w:left w:val="single" w:sz="4" w:space="0" w:color="000000"/>
              <w:bottom w:val="single" w:sz="4" w:space="0" w:color="000000"/>
              <w:right w:val="single" w:sz="4" w:space="0" w:color="000000"/>
            </w:tcBorders>
            <w:vAlign w:val="center"/>
          </w:tcPr>
          <w:p w14:paraId="0CED7677" w14:textId="77777777" w:rsidR="008137F8" w:rsidRPr="001E17A1" w:rsidRDefault="00000000">
            <w:pPr>
              <w:snapToGrid w:val="0"/>
              <w:spacing w:line="360" w:lineRule="auto"/>
              <w:rPr>
                <w:rFonts w:ascii="宋体" w:hAnsi="宋体" w:cs="宋体" w:hint="eastAsia"/>
                <w:bCs/>
                <w:color w:val="000000" w:themeColor="text1"/>
                <w:kern w:val="0"/>
                <w:sz w:val="24"/>
                <w:szCs w:val="24"/>
              </w:rPr>
            </w:pPr>
            <w:r w:rsidRPr="001E17A1">
              <w:rPr>
                <w:rFonts w:ascii="宋体" w:hAnsi="宋体" w:hint="eastAsia"/>
                <w:color w:val="000000" w:themeColor="text1"/>
                <w:sz w:val="24"/>
                <w:szCs w:val="24"/>
              </w:rPr>
              <w:t>符合国家、地方法律法规规定以及相关技术标准要求。</w:t>
            </w:r>
          </w:p>
        </w:tc>
      </w:tr>
      <w:tr w:rsidR="008137F8" w:rsidRPr="001E17A1" w14:paraId="0A00E7F6" w14:textId="77777777">
        <w:trPr>
          <w:trHeight w:val="609"/>
        </w:trPr>
        <w:tc>
          <w:tcPr>
            <w:tcW w:w="1422" w:type="pct"/>
            <w:tcBorders>
              <w:top w:val="single" w:sz="4" w:space="0" w:color="000000"/>
              <w:left w:val="single" w:sz="4" w:space="0" w:color="000000"/>
              <w:bottom w:val="single" w:sz="4" w:space="0" w:color="000000"/>
              <w:right w:val="single" w:sz="4" w:space="0" w:color="000000"/>
            </w:tcBorders>
            <w:vAlign w:val="center"/>
          </w:tcPr>
          <w:p w14:paraId="2A5DE1D6"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测试报告</w:t>
            </w:r>
          </w:p>
        </w:tc>
        <w:tc>
          <w:tcPr>
            <w:tcW w:w="3578" w:type="pct"/>
            <w:tcBorders>
              <w:top w:val="single" w:sz="4" w:space="0" w:color="000000"/>
              <w:left w:val="single" w:sz="4" w:space="0" w:color="000000"/>
              <w:bottom w:val="single" w:sz="4" w:space="0" w:color="000000"/>
              <w:right w:val="single" w:sz="4" w:space="0" w:color="000000"/>
            </w:tcBorders>
            <w:vAlign w:val="center"/>
          </w:tcPr>
          <w:p w14:paraId="145F8B07"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符合招标方业务开展和安全管理需要。</w:t>
            </w:r>
          </w:p>
        </w:tc>
      </w:tr>
    </w:tbl>
    <w:p w14:paraId="15873C4C" w14:textId="77777777" w:rsidR="008137F8" w:rsidRPr="001E17A1" w:rsidRDefault="00000000">
      <w:pPr>
        <w:pStyle w:val="3"/>
        <w:keepNext w:val="0"/>
        <w:keepLines w:val="0"/>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创新服务类</w:t>
      </w:r>
    </w:p>
    <w:p w14:paraId="52BAEA8A" w14:textId="77777777" w:rsidR="008137F8" w:rsidRPr="001E17A1" w:rsidRDefault="00000000">
      <w:pPr>
        <w:pStyle w:val="4"/>
        <w:keepNext w:val="0"/>
        <w:keepLines w:val="0"/>
        <w:snapToGrid w:val="0"/>
        <w:spacing w:before="0" w:line="360" w:lineRule="auto"/>
        <w:ind w:hanging="850"/>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能力迭代服务</w:t>
      </w:r>
    </w:p>
    <w:p w14:paraId="15D74EF3"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服务要求</w:t>
      </w:r>
    </w:p>
    <w:p w14:paraId="3FB950B7"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根据中心业务开展、稳定运行和安全管理的需要，结合《信息安全等级保护管理办法》、《关键信息基础设施安全保护条例》等法律法规、技术标准和相关主管单位的要求，以保障数据运营工作安全有序稳定运行为服务目标，对所涉及的平台能力和应用功能进行迭代优化，或开展大模型加工，以达到相关业务和安全管理要求。</w:t>
      </w:r>
    </w:p>
    <w:p w14:paraId="5B147050"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中标方需根据招标方服务单的具体要求，对所涉及的平台、服务、应用系统等的能力进行新增或者更新，需要对新增或更新的能力进行需求分析、实施路径设计、研发测试和版本管理等服务，确保新增或更新的能力在维持原有服务能力的基础上满足服务单新增的业务和保障要求。</w:t>
      </w:r>
    </w:p>
    <w:p w14:paraId="37087E7A"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能力迭代服务以网络安全和信息安全为底线，以集约化建设为核心，以用户体验为导向，保障数据运营业务安全、有序、稳定、高效地开展。</w:t>
      </w:r>
    </w:p>
    <w:p w14:paraId="60B6C4C9"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具体服务事项应与招标方的管理要求、业务需求一一匹配，依托线上流程和提供服务执行各个环节的客观证据。在能力需求分析时，应厘清需迭代的能力所</w:t>
      </w:r>
      <w:r w:rsidRPr="001E17A1">
        <w:rPr>
          <w:rFonts w:ascii="宋体" w:hAnsi="宋体" w:hint="eastAsia"/>
          <w:color w:val="000000" w:themeColor="text1"/>
          <w:sz w:val="24"/>
          <w:szCs w:val="24"/>
        </w:rPr>
        <w:lastRenderedPageBreak/>
        <w:t>涉及的业务流程、并量化内部文件的变更以及与外部用户（系统）的交互。在研发实施过程中应满足招标方原有平台、系统的技术标准和要求，并具备可扩展性和可迁移性。在测试发版前需做好充分地测试和版本管理，确保相关能力发挥服务单的要求。同时，在招标方没有精简功能要求的情况下中标方应保障原有功能的健全和稳定。中标方应按照招标方的管理要求按时保质保量提供例行服务，中标方三日内需求响应率不低于99%，服务的交付（含验证与确认）及时率不低于98%。上线失败（版本回滚）率小于1%，上线功能缺陷率小于1%，用户满意度大于95%。</w:t>
      </w:r>
    </w:p>
    <w:p w14:paraId="243961B9" w14:textId="77777777" w:rsidR="008137F8" w:rsidRPr="001E17A1" w:rsidRDefault="00000000">
      <w:pPr>
        <w:numPr>
          <w:ilvl w:val="0"/>
          <w:numId w:val="4"/>
        </w:num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交付成果和标准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2"/>
        <w:gridCol w:w="5950"/>
      </w:tblGrid>
      <w:tr w:rsidR="008137F8" w:rsidRPr="001E17A1" w14:paraId="7CA9EEF7" w14:textId="77777777">
        <w:trPr>
          <w:trHeight w:val="609"/>
        </w:trPr>
        <w:tc>
          <w:tcPr>
            <w:tcW w:w="1509" w:type="pct"/>
            <w:tcBorders>
              <w:top w:val="single" w:sz="4" w:space="0" w:color="000000"/>
              <w:left w:val="single" w:sz="4" w:space="0" w:color="000000"/>
              <w:bottom w:val="single" w:sz="4" w:space="0" w:color="000000"/>
              <w:right w:val="single" w:sz="4" w:space="0" w:color="000000"/>
            </w:tcBorders>
            <w:vAlign w:val="center"/>
          </w:tcPr>
          <w:p w14:paraId="313F3AD5"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w:t>
            </w:r>
          </w:p>
        </w:tc>
        <w:tc>
          <w:tcPr>
            <w:tcW w:w="3491" w:type="pct"/>
            <w:tcBorders>
              <w:top w:val="single" w:sz="4" w:space="0" w:color="000000"/>
              <w:left w:val="single" w:sz="4" w:space="0" w:color="000000"/>
              <w:bottom w:val="single" w:sz="4" w:space="0" w:color="000000"/>
              <w:right w:val="single" w:sz="4" w:space="0" w:color="000000"/>
            </w:tcBorders>
            <w:vAlign w:val="center"/>
          </w:tcPr>
          <w:p w14:paraId="1D377410" w14:textId="77777777" w:rsidR="008137F8" w:rsidRPr="001E17A1" w:rsidRDefault="00000000">
            <w:pPr>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输出物标准</w:t>
            </w:r>
          </w:p>
        </w:tc>
      </w:tr>
      <w:tr w:rsidR="008137F8" w:rsidRPr="001E17A1" w14:paraId="281CB93F" w14:textId="77777777">
        <w:trPr>
          <w:trHeight w:val="609"/>
        </w:trPr>
        <w:tc>
          <w:tcPr>
            <w:tcW w:w="1509" w:type="pct"/>
            <w:tcBorders>
              <w:top w:val="single" w:sz="4" w:space="0" w:color="000000"/>
              <w:left w:val="single" w:sz="4" w:space="0" w:color="000000"/>
              <w:bottom w:val="single" w:sz="4" w:space="0" w:color="000000"/>
              <w:right w:val="single" w:sz="4" w:space="0" w:color="000000"/>
            </w:tcBorders>
            <w:vAlign w:val="center"/>
          </w:tcPr>
          <w:p w14:paraId="160A8992"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功能需求分析报告</w:t>
            </w:r>
          </w:p>
        </w:tc>
        <w:tc>
          <w:tcPr>
            <w:tcW w:w="3491" w:type="pct"/>
            <w:tcBorders>
              <w:top w:val="single" w:sz="4" w:space="0" w:color="000000"/>
              <w:left w:val="single" w:sz="4" w:space="0" w:color="000000"/>
              <w:bottom w:val="single" w:sz="4" w:space="0" w:color="000000"/>
              <w:right w:val="single" w:sz="4" w:space="0" w:color="000000"/>
            </w:tcBorders>
            <w:vAlign w:val="center"/>
          </w:tcPr>
          <w:p w14:paraId="5C32132A"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包括需求背景、需求所要达到的业务目标、所涉及的业务流程、需要优化的功能说明以及与需求相关的功能架构和技术架构。</w:t>
            </w:r>
          </w:p>
        </w:tc>
      </w:tr>
      <w:tr w:rsidR="008137F8" w:rsidRPr="001E17A1" w14:paraId="5850E8D6" w14:textId="77777777">
        <w:trPr>
          <w:trHeight w:val="609"/>
        </w:trPr>
        <w:tc>
          <w:tcPr>
            <w:tcW w:w="1509" w:type="pct"/>
            <w:tcBorders>
              <w:top w:val="single" w:sz="4" w:space="0" w:color="000000"/>
              <w:left w:val="single" w:sz="4" w:space="0" w:color="000000"/>
              <w:bottom w:val="single" w:sz="4" w:space="0" w:color="000000"/>
              <w:right w:val="single" w:sz="4" w:space="0" w:color="000000"/>
            </w:tcBorders>
            <w:vAlign w:val="center"/>
          </w:tcPr>
          <w:p w14:paraId="4ACC1898"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设计文档</w:t>
            </w:r>
          </w:p>
        </w:tc>
        <w:tc>
          <w:tcPr>
            <w:tcW w:w="3491" w:type="pct"/>
            <w:tcBorders>
              <w:top w:val="single" w:sz="4" w:space="0" w:color="000000"/>
              <w:left w:val="single" w:sz="4" w:space="0" w:color="000000"/>
              <w:bottom w:val="single" w:sz="4" w:space="0" w:color="000000"/>
              <w:right w:val="single" w:sz="4" w:space="0" w:color="000000"/>
            </w:tcBorders>
            <w:vAlign w:val="center"/>
          </w:tcPr>
          <w:p w14:paraId="3F162992"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与功能需求分析报告相关的功能设计、数据结构设计、交互流程设计、容量设计和性能设计。</w:t>
            </w:r>
          </w:p>
        </w:tc>
      </w:tr>
      <w:tr w:rsidR="008137F8" w:rsidRPr="001E17A1" w14:paraId="696B2952" w14:textId="77777777">
        <w:trPr>
          <w:trHeight w:val="609"/>
        </w:trPr>
        <w:tc>
          <w:tcPr>
            <w:tcW w:w="1509" w:type="pct"/>
            <w:tcBorders>
              <w:top w:val="single" w:sz="4" w:space="0" w:color="000000"/>
              <w:left w:val="single" w:sz="4" w:space="0" w:color="000000"/>
              <w:bottom w:val="single" w:sz="4" w:space="0" w:color="000000"/>
              <w:right w:val="single" w:sz="4" w:space="0" w:color="000000"/>
            </w:tcBorders>
            <w:vAlign w:val="center"/>
          </w:tcPr>
          <w:p w14:paraId="38AEC90B"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交付代码/程序</w:t>
            </w:r>
          </w:p>
        </w:tc>
        <w:tc>
          <w:tcPr>
            <w:tcW w:w="3491" w:type="pct"/>
            <w:tcBorders>
              <w:top w:val="single" w:sz="4" w:space="0" w:color="000000"/>
              <w:left w:val="single" w:sz="4" w:space="0" w:color="000000"/>
              <w:bottom w:val="single" w:sz="4" w:space="0" w:color="000000"/>
              <w:right w:val="single" w:sz="4" w:space="0" w:color="000000"/>
            </w:tcBorders>
            <w:vAlign w:val="center"/>
          </w:tcPr>
          <w:p w14:paraId="36672345"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满足代码审计的源码和打包代码，需要有具体的版本或分支编号。</w:t>
            </w:r>
          </w:p>
        </w:tc>
      </w:tr>
      <w:tr w:rsidR="008137F8" w:rsidRPr="001E17A1" w14:paraId="58D07CAF" w14:textId="77777777">
        <w:trPr>
          <w:trHeight w:val="609"/>
        </w:trPr>
        <w:tc>
          <w:tcPr>
            <w:tcW w:w="1509" w:type="pct"/>
            <w:tcBorders>
              <w:top w:val="single" w:sz="4" w:space="0" w:color="000000"/>
              <w:left w:val="single" w:sz="4" w:space="0" w:color="000000"/>
              <w:bottom w:val="single" w:sz="4" w:space="0" w:color="000000"/>
              <w:right w:val="single" w:sz="4" w:space="0" w:color="000000"/>
            </w:tcBorders>
            <w:vAlign w:val="center"/>
          </w:tcPr>
          <w:p w14:paraId="0ED83753"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测试报告</w:t>
            </w:r>
          </w:p>
        </w:tc>
        <w:tc>
          <w:tcPr>
            <w:tcW w:w="3491" w:type="pct"/>
            <w:tcBorders>
              <w:top w:val="single" w:sz="4" w:space="0" w:color="000000"/>
              <w:left w:val="single" w:sz="4" w:space="0" w:color="000000"/>
              <w:bottom w:val="single" w:sz="4" w:space="0" w:color="000000"/>
              <w:right w:val="single" w:sz="4" w:space="0" w:color="000000"/>
            </w:tcBorders>
            <w:vAlign w:val="center"/>
          </w:tcPr>
          <w:p w14:paraId="07078B67"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包括但不限于单元测试、集成测试、压力测试和联调测试。</w:t>
            </w:r>
          </w:p>
        </w:tc>
      </w:tr>
      <w:tr w:rsidR="008137F8" w:rsidRPr="001E17A1" w14:paraId="4A1C9C97" w14:textId="77777777">
        <w:trPr>
          <w:trHeight w:val="609"/>
        </w:trPr>
        <w:tc>
          <w:tcPr>
            <w:tcW w:w="1509" w:type="pct"/>
            <w:tcBorders>
              <w:top w:val="single" w:sz="4" w:space="0" w:color="000000"/>
              <w:left w:val="single" w:sz="4" w:space="0" w:color="000000"/>
              <w:bottom w:val="single" w:sz="4" w:space="0" w:color="000000"/>
              <w:right w:val="single" w:sz="4" w:space="0" w:color="000000"/>
            </w:tcBorders>
            <w:vAlign w:val="center"/>
          </w:tcPr>
          <w:p w14:paraId="6B2DE750"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版本变更方案和变更台账</w:t>
            </w:r>
          </w:p>
        </w:tc>
        <w:tc>
          <w:tcPr>
            <w:tcW w:w="3491" w:type="pct"/>
            <w:tcBorders>
              <w:top w:val="single" w:sz="4" w:space="0" w:color="000000"/>
              <w:left w:val="single" w:sz="4" w:space="0" w:color="000000"/>
              <w:bottom w:val="single" w:sz="4" w:space="0" w:color="000000"/>
              <w:right w:val="single" w:sz="4" w:space="0" w:color="000000"/>
            </w:tcBorders>
            <w:vAlign w:val="center"/>
          </w:tcPr>
          <w:p w14:paraId="2A320ABD" w14:textId="77777777" w:rsidR="008137F8" w:rsidRPr="001E17A1" w:rsidRDefault="00000000">
            <w:pPr>
              <w:snapToGrid w:val="0"/>
              <w:spacing w:line="360" w:lineRule="auto"/>
              <w:jc w:val="left"/>
              <w:rPr>
                <w:rFonts w:ascii="宋体" w:hAnsi="宋体" w:cs="宋体" w:hint="eastAsia"/>
                <w:bCs/>
                <w:color w:val="000000" w:themeColor="text1"/>
                <w:kern w:val="0"/>
                <w:sz w:val="24"/>
                <w:szCs w:val="24"/>
              </w:rPr>
            </w:pPr>
            <w:r w:rsidRPr="001E17A1">
              <w:rPr>
                <w:rFonts w:ascii="宋体" w:hAnsi="宋体" w:cs="宋体" w:hint="eastAsia"/>
                <w:bCs/>
                <w:color w:val="000000" w:themeColor="text1"/>
                <w:kern w:val="0"/>
                <w:sz w:val="24"/>
                <w:szCs w:val="24"/>
              </w:rPr>
              <w:t>包括但不限于版本变更计划、变更方案、回退方案和人员安排、实施记录等。</w:t>
            </w:r>
          </w:p>
        </w:tc>
      </w:tr>
    </w:tbl>
    <w:bookmarkEnd w:id="12"/>
    <w:bookmarkEnd w:id="17"/>
    <w:p w14:paraId="2D57B195" w14:textId="77777777" w:rsidR="008137F8" w:rsidRPr="001E17A1" w:rsidRDefault="00000000">
      <w:pPr>
        <w:pStyle w:val="2"/>
        <w:snapToGrid w:val="0"/>
        <w:spacing w:before="0"/>
        <w:ind w:left="0" w:firstLine="0"/>
        <w:rPr>
          <w:rFonts w:ascii="宋体" w:hAnsi="宋体" w:hint="eastAsia"/>
          <w:color w:val="000000" w:themeColor="text1"/>
          <w:sz w:val="24"/>
          <w:szCs w:val="24"/>
        </w:rPr>
      </w:pPr>
      <w:r w:rsidRPr="001E17A1">
        <w:rPr>
          <w:rFonts w:ascii="宋体" w:hAnsi="宋体" w:hint="eastAsia"/>
          <w:color w:val="000000" w:themeColor="text1"/>
          <w:sz w:val="24"/>
          <w:szCs w:val="24"/>
        </w:rPr>
        <w:t>重点工作目标</w:t>
      </w:r>
    </w:p>
    <w:p w14:paraId="25900D2D" w14:textId="77777777" w:rsidR="008137F8" w:rsidRPr="001E17A1" w:rsidRDefault="00000000">
      <w:pPr>
        <w:pStyle w:val="3"/>
        <w:numPr>
          <w:ilvl w:val="0"/>
          <w:numId w:val="0"/>
        </w:numPr>
        <w:snapToGrid w:val="0"/>
        <w:spacing w:before="0" w:line="360" w:lineRule="auto"/>
        <w:rPr>
          <w:rFonts w:ascii="宋体" w:hAnsi="宋体" w:hint="eastAsia"/>
          <w:b w:val="0"/>
          <w:color w:val="000000" w:themeColor="text1"/>
          <w:kern w:val="2"/>
          <w:sz w:val="24"/>
          <w:szCs w:val="24"/>
        </w:rPr>
      </w:pPr>
      <w:r w:rsidRPr="001E17A1">
        <w:rPr>
          <w:rFonts w:ascii="宋体" w:hAnsi="宋体" w:hint="eastAsia"/>
          <w:b w:val="0"/>
          <w:color w:val="000000" w:themeColor="text1"/>
          <w:kern w:val="2"/>
          <w:sz w:val="24"/>
          <w:szCs w:val="24"/>
        </w:rPr>
        <w:t>其中2026-2027年重点工作目标如下：</w:t>
      </w:r>
    </w:p>
    <w:p w14:paraId="60033A44"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 xml:space="preserve">对标大数据资源平台运营、数据治理与共享、数据分析及社会化应用、数据安全、运营保障几大块工作，具体包含以下几方面的内容： </w:t>
      </w:r>
    </w:p>
    <w:p w14:paraId="6C6DE6F6"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bookmarkStart w:id="18" w:name="_Hlk99627041"/>
      <w:r w:rsidRPr="001E17A1">
        <w:rPr>
          <w:rFonts w:ascii="宋体" w:hAnsi="宋体" w:hint="eastAsia"/>
          <w:color w:val="000000" w:themeColor="text1"/>
          <w:sz w:val="24"/>
          <w:szCs w:val="24"/>
        </w:rPr>
        <w:t>大数据资源平台运营</w:t>
      </w:r>
    </w:p>
    <w:bookmarkEnd w:id="18"/>
    <w:p w14:paraId="05CBFBC3"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为加快构建统一规范、安全可信、智能高效的大数据资源平台，重点聚焦能力迭代、人工智能融合与平台安全等方向，统筹推进平台功能升级和智能化转型，持续夯实平台底座能力，系统提升平台的数据汇聚、处理、共享与治理综合支撑</w:t>
      </w:r>
      <w:r w:rsidRPr="001E17A1">
        <w:rPr>
          <w:rFonts w:ascii="宋体" w:hAnsi="宋体" w:hint="eastAsia"/>
          <w:color w:val="000000" w:themeColor="text1"/>
          <w:sz w:val="24"/>
          <w:szCs w:val="24"/>
        </w:rPr>
        <w:lastRenderedPageBreak/>
        <w:t>能力，不断增强服务供给水平与数据治理效能，为实现数字政府高质量发展提供有力支撑。</w:t>
      </w:r>
    </w:p>
    <w:p w14:paraId="35C90B09"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（1）持续推进大数据资源平台能力迭代，提升平台在数据底座、数据治理与数据服务等方面的综合支撑能力。</w:t>
      </w:r>
      <w:r w:rsidRPr="001E17A1">
        <w:rPr>
          <w:rFonts w:ascii="宋体" w:hAnsi="宋体" w:hint="eastAsia"/>
          <w:b/>
          <w:color w:val="000000" w:themeColor="text1"/>
          <w:sz w:val="24"/>
          <w:szCs w:val="24"/>
        </w:rPr>
        <w:t>一是</w:t>
      </w:r>
      <w:r w:rsidRPr="001E17A1">
        <w:rPr>
          <w:rFonts w:ascii="宋体" w:hAnsi="宋体" w:hint="eastAsia"/>
          <w:color w:val="000000" w:themeColor="text1"/>
          <w:sz w:val="24"/>
          <w:szCs w:val="24"/>
        </w:rPr>
        <w:t>增强数据底座的数据安全防护能力，完善数据透明加密存储机制，实现基于数据安全敏感等级的表级加密策略，保障数据静态存储过程中的安全可控性。二</w:t>
      </w:r>
      <w:r w:rsidRPr="001E17A1">
        <w:rPr>
          <w:rFonts w:ascii="宋体" w:hAnsi="宋体" w:hint="eastAsia"/>
          <w:b/>
          <w:color w:val="000000" w:themeColor="text1"/>
          <w:sz w:val="24"/>
          <w:szCs w:val="24"/>
        </w:rPr>
        <w:t>是</w:t>
      </w:r>
      <w:r w:rsidRPr="001E17A1">
        <w:rPr>
          <w:rFonts w:ascii="宋体" w:hAnsi="宋体" w:hint="eastAsia"/>
          <w:color w:val="000000" w:themeColor="text1"/>
          <w:sz w:val="24"/>
          <w:szCs w:val="24"/>
        </w:rPr>
        <w:t>对接数据创新实验室，实现对数据湖中数据资源在实验室场景下的合规流通管理，推动数据资产从沉淀向高效流通转变。三</w:t>
      </w:r>
      <w:r w:rsidRPr="001E17A1">
        <w:rPr>
          <w:rFonts w:ascii="宋体" w:hAnsi="宋体" w:hint="eastAsia"/>
          <w:b/>
          <w:bCs/>
          <w:color w:val="000000" w:themeColor="text1"/>
          <w:sz w:val="24"/>
          <w:szCs w:val="24"/>
        </w:rPr>
        <w:t>是</w:t>
      </w:r>
      <w:r w:rsidRPr="001E17A1">
        <w:rPr>
          <w:rFonts w:ascii="宋体" w:hAnsi="宋体" w:hint="eastAsia"/>
          <w:color w:val="000000" w:themeColor="text1"/>
          <w:sz w:val="24"/>
          <w:szCs w:val="24"/>
        </w:rPr>
        <w:t>完善数据异议核实工单的闭环管理，保障异常问题及时响应、处理、核实和追踪，全面提升数据可信度与治理效能。</w:t>
      </w:r>
      <w:r w:rsidRPr="001E17A1">
        <w:rPr>
          <w:rFonts w:ascii="宋体" w:hAnsi="宋体" w:hint="eastAsia"/>
          <w:b/>
          <w:bCs/>
          <w:color w:val="000000" w:themeColor="text1"/>
          <w:sz w:val="24"/>
          <w:szCs w:val="24"/>
        </w:rPr>
        <w:t>四是</w:t>
      </w:r>
      <w:r w:rsidRPr="001E17A1">
        <w:rPr>
          <w:rFonts w:ascii="宋体" w:hAnsi="宋体" w:hint="eastAsia"/>
          <w:color w:val="000000" w:themeColor="text1"/>
          <w:sz w:val="24"/>
          <w:szCs w:val="24"/>
        </w:rPr>
        <w:t>优化集成门户功能，实现目录链与业务联动，优化用数申请、三目录审核等核心工单流程，探索数据分析成果可视化展示。</w:t>
      </w:r>
      <w:r w:rsidRPr="001E17A1">
        <w:rPr>
          <w:rFonts w:ascii="宋体" w:hAnsi="宋体" w:hint="eastAsia"/>
          <w:b/>
          <w:bCs/>
          <w:color w:val="000000" w:themeColor="text1"/>
          <w:sz w:val="24"/>
          <w:szCs w:val="24"/>
        </w:rPr>
        <w:t>五</w:t>
      </w:r>
      <w:r w:rsidRPr="001E17A1">
        <w:rPr>
          <w:rFonts w:ascii="宋体" w:hAnsi="宋体" w:hint="eastAsia"/>
          <w:b/>
          <w:color w:val="000000" w:themeColor="text1"/>
          <w:sz w:val="24"/>
          <w:szCs w:val="24"/>
        </w:rPr>
        <w:t>是</w:t>
      </w:r>
      <w:r w:rsidRPr="001E17A1">
        <w:rPr>
          <w:rFonts w:ascii="宋体" w:hAnsi="宋体" w:hint="eastAsia"/>
          <w:color w:val="000000" w:themeColor="text1"/>
          <w:sz w:val="24"/>
          <w:szCs w:val="24"/>
        </w:rPr>
        <w:t>完善工单闭环管理能力，通过对服务单管理过程材料模板化，提供服务单关联交付物的统一索引和存放以及交付物自检与系统检查能力，提高交付物质量与交付效率。</w:t>
      </w:r>
    </w:p>
    <w:p w14:paraId="05D972F9"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（2）积极探索人工智能与大数据资源平台的融合路径，全面拓展AI赋能能力，推动平台智能化升级。</w:t>
      </w:r>
      <w:r w:rsidRPr="001E17A1">
        <w:rPr>
          <w:rFonts w:ascii="宋体" w:hAnsi="宋体" w:hint="eastAsia"/>
          <w:color w:val="000000" w:themeColor="text1"/>
          <w:sz w:val="24"/>
          <w:szCs w:val="24"/>
        </w:rPr>
        <w:t>以“AI赋能”为导向，推进人工智能技术在大数据资源平台中的场景化落地和系统性集成。探索通过自动化规则与知识图谱技术，推动数据标签的动态生成与实时更新，增强平台对数据语义的理解与处理能力。提升平台智能分析与服务支撑能力，探索“AI找数”、“智能问答”、“自动生成分析报告”等功能，优化用户交互体验。推进数据智能体的创新应用，探索AI Agent在数据采集、治理、开发和共享全流程中的协同作用，增强平台在数据治理、数据开发、数据服务等关键环节的智能处理与决策支持能力，全面提升平台的技术先进性、服务敏捷性与治理智能化水平。</w:t>
      </w:r>
    </w:p>
    <w:p w14:paraId="30C01767" w14:textId="77777777" w:rsidR="008137F8" w:rsidRPr="001E17A1" w:rsidRDefault="00000000">
      <w:pPr>
        <w:tabs>
          <w:tab w:val="left" w:pos="1134"/>
        </w:tabs>
        <w:snapToGrid w:val="0"/>
        <w:spacing w:line="360" w:lineRule="auto"/>
        <w:ind w:firstLineChars="200" w:firstLine="482"/>
        <w:rPr>
          <w:rFonts w:ascii="宋体" w:hAnsi="宋体" w:hint="eastAsia"/>
          <w:b/>
          <w:bCs/>
          <w:color w:val="000000" w:themeColor="text1"/>
          <w:sz w:val="24"/>
          <w:szCs w:val="24"/>
        </w:rPr>
      </w:pPr>
      <w:r w:rsidRPr="001E17A1">
        <w:rPr>
          <w:rFonts w:ascii="宋体" w:hAnsi="宋体" w:hint="eastAsia"/>
          <w:b/>
          <w:bCs/>
          <w:color w:val="000000" w:themeColor="text1"/>
          <w:sz w:val="24"/>
          <w:szCs w:val="24"/>
        </w:rPr>
        <w:t>（3）强化平台</w:t>
      </w:r>
      <w:r w:rsidRPr="001E17A1">
        <w:rPr>
          <w:rFonts w:ascii="宋体" w:hAnsi="宋体"/>
          <w:b/>
          <w:bCs/>
          <w:color w:val="000000" w:themeColor="text1"/>
          <w:sz w:val="24"/>
          <w:szCs w:val="24"/>
        </w:rPr>
        <w:t>安全</w:t>
      </w:r>
      <w:r w:rsidRPr="001E17A1">
        <w:rPr>
          <w:rFonts w:ascii="宋体" w:hAnsi="宋体" w:hint="eastAsia"/>
          <w:b/>
          <w:bCs/>
          <w:color w:val="000000" w:themeColor="text1"/>
          <w:sz w:val="24"/>
          <w:szCs w:val="24"/>
        </w:rPr>
        <w:t>分级管控能力，系统落实合规要求与安全控制措施。</w:t>
      </w:r>
    </w:p>
    <w:p w14:paraId="6F4D5157"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加强数据库准入控制能力建设，探索数据库直连行为的分级拦截、阻断等管控能力，通过流量采集方式、sql语义解析实现数据治理任务自动化审计能力，满足针对运维、治理等人员访问生产的敏感数据场景的精细化管控要求。加强数据全生命周期数据流通合规监管能力建设，针对数据归集、传输、存储、共享、开放、分发等全生命周期流动路径、使用行为、安全状态实现实时监控和分析，防范数据泄露、滥用、篡改等风险；提升数据分类分级数据治理能力，实现各类治理业务流程中自动化对接分类分级结果，结合共用能力提供的加密、水印等服</w:t>
      </w:r>
      <w:r w:rsidRPr="001E17A1">
        <w:rPr>
          <w:rFonts w:ascii="宋体" w:hAnsi="宋体" w:hint="eastAsia"/>
          <w:color w:val="000000" w:themeColor="text1"/>
          <w:sz w:val="24"/>
          <w:szCs w:val="24"/>
        </w:rPr>
        <w:lastRenderedPageBreak/>
        <w:t>务，方便治理人员合规组织编排治理数据，保障数据安全。</w:t>
      </w:r>
    </w:p>
    <w:p w14:paraId="06CA2A04"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bookmarkStart w:id="19" w:name="_Hlk99627368"/>
      <w:r w:rsidRPr="001E17A1">
        <w:rPr>
          <w:rFonts w:ascii="宋体" w:hAnsi="宋体" w:hint="eastAsia"/>
          <w:color w:val="000000" w:themeColor="text1"/>
          <w:sz w:val="24"/>
          <w:szCs w:val="24"/>
        </w:rPr>
        <w:t>数据治理</w:t>
      </w:r>
    </w:p>
    <w:p w14:paraId="7C6C86C3" w14:textId="77777777" w:rsidR="008137F8" w:rsidRPr="001E17A1" w:rsidRDefault="00000000">
      <w:pPr>
        <w:pStyle w:val="4"/>
        <w:snapToGrid w:val="0"/>
        <w:spacing w:before="0" w:line="360" w:lineRule="auto"/>
        <w:ind w:hanging="850"/>
        <w:rPr>
          <w:rFonts w:ascii="宋体" w:eastAsia="宋体" w:hAnsi="宋体" w:hint="eastAsia"/>
          <w:color w:val="000000" w:themeColor="text1"/>
          <w:kern w:val="2"/>
          <w:sz w:val="24"/>
          <w:szCs w:val="24"/>
        </w:rPr>
      </w:pPr>
      <w:r w:rsidRPr="001E17A1">
        <w:rPr>
          <w:rFonts w:ascii="宋体" w:eastAsia="宋体" w:hAnsi="宋体" w:hint="eastAsia"/>
          <w:color w:val="000000" w:themeColor="text1"/>
          <w:kern w:val="2"/>
          <w:sz w:val="24"/>
          <w:szCs w:val="24"/>
        </w:rPr>
        <w:t xml:space="preserve"> 数据上链、登记工作</w:t>
      </w:r>
    </w:p>
    <w:p w14:paraId="0EB48467" w14:textId="77777777" w:rsidR="008137F8" w:rsidRPr="001E17A1" w:rsidRDefault="00000000">
      <w:pPr>
        <w:numPr>
          <w:ilvl w:val="255"/>
          <w:numId w:val="0"/>
        </w:numPr>
        <w:tabs>
          <w:tab w:val="left" w:pos="1134"/>
        </w:tabs>
        <w:snapToGrid w:val="0"/>
        <w:spacing w:line="360" w:lineRule="auto"/>
        <w:ind w:firstLineChars="200" w:firstLine="482"/>
        <w:rPr>
          <w:rFonts w:ascii="宋体" w:hAnsi="宋体" w:hint="eastAsia"/>
          <w:b/>
          <w:bCs/>
          <w:color w:val="000000" w:themeColor="text1"/>
          <w:sz w:val="24"/>
          <w:szCs w:val="24"/>
        </w:rPr>
      </w:pPr>
      <w:r w:rsidRPr="001E17A1">
        <w:rPr>
          <w:rFonts w:ascii="宋体" w:hAnsi="宋体" w:hint="eastAsia"/>
          <w:b/>
          <w:bCs/>
          <w:color w:val="000000" w:themeColor="text1"/>
          <w:sz w:val="24"/>
          <w:szCs w:val="24"/>
        </w:rPr>
        <w:t>（1）持续开展公共数据上链常态化运营</w:t>
      </w:r>
    </w:p>
    <w:p w14:paraId="41CA6859"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支撑包含但不限于委办单位数据上链，配合国有企业等社会组织的数据上链工作，为数据要素流通提供高质量的数据目录索引服务。支撑根据职责调整与变更、因项目建设或升级改造引起的系统调整以及应用场景数据需求需要等原因，目录链上目录动态调整，做好数据目录版本更新、数据归档以及新老数据资源替换等工作。</w:t>
      </w:r>
    </w:p>
    <w:p w14:paraId="3F47BAB5"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配合区级事项库更新，校核各单位权责事项履职所产生数据目录作为“数源目录”，进一步加强“数源”数据的管理。</w:t>
      </w:r>
    </w:p>
    <w:p w14:paraId="61D74778"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结合单位根据“三定”职责、权责清单及办事指南编制的职责目录和系统目录，校核所对应数据目录的准确性、完整性和一致性。</w:t>
      </w:r>
    </w:p>
    <w:p w14:paraId="7BD1FA8F" w14:textId="77777777" w:rsidR="008137F8" w:rsidRPr="001E17A1" w:rsidRDefault="00000000">
      <w:pPr>
        <w:numPr>
          <w:ilvl w:val="255"/>
          <w:numId w:val="0"/>
        </w:numPr>
        <w:tabs>
          <w:tab w:val="left" w:pos="1134"/>
        </w:tabs>
        <w:snapToGrid w:val="0"/>
        <w:spacing w:line="360" w:lineRule="auto"/>
        <w:ind w:firstLineChars="200" w:firstLine="482"/>
        <w:rPr>
          <w:rFonts w:ascii="宋体" w:hAnsi="宋体" w:hint="eastAsia"/>
          <w:b/>
          <w:bCs/>
          <w:color w:val="000000" w:themeColor="text1"/>
          <w:sz w:val="24"/>
          <w:szCs w:val="24"/>
        </w:rPr>
      </w:pPr>
      <w:r w:rsidRPr="001E17A1">
        <w:rPr>
          <w:rFonts w:ascii="宋体" w:hAnsi="宋体" w:hint="eastAsia"/>
          <w:b/>
          <w:bCs/>
          <w:color w:val="000000" w:themeColor="text1"/>
          <w:sz w:val="24"/>
          <w:szCs w:val="24"/>
        </w:rPr>
        <w:t>（2）优化数据资源管理</w:t>
      </w:r>
    </w:p>
    <w:p w14:paraId="080A6B91"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探索公共数据资源一本账建设，筑牢数据基础，加大数据供给，推进数据资源管理体系建设。</w:t>
      </w:r>
    </w:p>
    <w:p w14:paraId="054F4621"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落实“一数一源一标准”要求，支撑“数源目录”在重要应用场景和高频共享场景中的应用，支撑数据共享和应用、数源目录调整和迁移，保障供给高质量的数据应用和服务。</w:t>
      </w:r>
    </w:p>
    <w:p w14:paraId="5EDB4BF8"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探索AI技术优化数据资源管理：AI问数、AI荐数。</w:t>
      </w:r>
    </w:p>
    <w:p w14:paraId="27A18803" w14:textId="77777777" w:rsidR="008137F8" w:rsidRPr="001E17A1" w:rsidRDefault="00000000">
      <w:pPr>
        <w:numPr>
          <w:ilvl w:val="255"/>
          <w:numId w:val="0"/>
        </w:numPr>
        <w:tabs>
          <w:tab w:val="left" w:pos="1134"/>
        </w:tabs>
        <w:snapToGrid w:val="0"/>
        <w:spacing w:line="360" w:lineRule="auto"/>
        <w:ind w:firstLineChars="200" w:firstLine="482"/>
        <w:rPr>
          <w:rFonts w:ascii="宋体" w:hAnsi="宋体" w:hint="eastAsia"/>
          <w:b/>
          <w:bCs/>
          <w:color w:val="000000" w:themeColor="text1"/>
          <w:sz w:val="24"/>
          <w:szCs w:val="24"/>
        </w:rPr>
      </w:pPr>
      <w:r w:rsidRPr="001E17A1">
        <w:rPr>
          <w:rFonts w:ascii="宋体" w:hAnsi="宋体" w:hint="eastAsia"/>
          <w:b/>
          <w:bCs/>
          <w:color w:val="000000" w:themeColor="text1"/>
          <w:sz w:val="24"/>
          <w:szCs w:val="24"/>
        </w:rPr>
        <w:t>（3）优化数据供需管理</w:t>
      </w:r>
    </w:p>
    <w:p w14:paraId="25151313"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开展公共数据需求清单管理，严格按照相关要求落实“三清单”的管理，优化数据共享审核流程。</w:t>
      </w:r>
    </w:p>
    <w:p w14:paraId="4161308B"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基于本区目录链系统，探索基于应用场景的便捷共享。基于公共数据便捷共享应用场景清单，落实数据使用要求和安全管理责任。强化属地返还目录管理，做好属地目录标签。</w:t>
      </w:r>
    </w:p>
    <w:p w14:paraId="4039D55B" w14:textId="77777777" w:rsidR="008137F8" w:rsidRPr="001E17A1" w:rsidRDefault="00000000">
      <w:pPr>
        <w:numPr>
          <w:ilvl w:val="255"/>
          <w:numId w:val="0"/>
        </w:numPr>
        <w:tabs>
          <w:tab w:val="left" w:pos="1134"/>
        </w:tabs>
        <w:snapToGrid w:val="0"/>
        <w:spacing w:line="360" w:lineRule="auto"/>
        <w:ind w:firstLineChars="200" w:firstLine="482"/>
        <w:rPr>
          <w:rFonts w:ascii="宋体" w:hAnsi="宋体" w:hint="eastAsia"/>
          <w:b/>
          <w:bCs/>
          <w:color w:val="000000" w:themeColor="text1"/>
          <w:sz w:val="24"/>
          <w:szCs w:val="24"/>
        </w:rPr>
      </w:pPr>
      <w:r w:rsidRPr="001E17A1">
        <w:rPr>
          <w:rFonts w:ascii="宋体" w:hAnsi="宋体" w:hint="eastAsia"/>
          <w:b/>
          <w:bCs/>
          <w:color w:val="000000" w:themeColor="text1"/>
          <w:sz w:val="24"/>
          <w:szCs w:val="24"/>
        </w:rPr>
        <w:t>（4）开展公共数据资源登记</w:t>
      </w:r>
    </w:p>
    <w:p w14:paraId="06414002"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落实市、区两级数据局工作要求，配合登记主体基于公共数据资源登记平台开展登记工作，促进公共数据资源合规高效开发利用。</w:t>
      </w:r>
    </w:p>
    <w:p w14:paraId="3B298988" w14:textId="77777777" w:rsidR="008137F8" w:rsidRPr="001E17A1" w:rsidRDefault="00000000">
      <w:pPr>
        <w:pStyle w:val="4"/>
        <w:snapToGrid w:val="0"/>
        <w:spacing w:before="0" w:line="360" w:lineRule="auto"/>
        <w:ind w:left="0" w:firstLine="0"/>
        <w:rPr>
          <w:rFonts w:ascii="宋体" w:eastAsia="宋体" w:hAnsi="宋体" w:hint="eastAsia"/>
          <w:color w:val="000000" w:themeColor="text1"/>
          <w:kern w:val="2"/>
          <w:sz w:val="24"/>
          <w:szCs w:val="24"/>
        </w:rPr>
      </w:pPr>
      <w:r w:rsidRPr="001E17A1">
        <w:rPr>
          <w:rFonts w:ascii="宋体" w:eastAsia="宋体" w:hAnsi="宋体" w:hint="eastAsia"/>
          <w:color w:val="000000" w:themeColor="text1"/>
          <w:kern w:val="2"/>
          <w:sz w:val="24"/>
          <w:szCs w:val="24"/>
        </w:rPr>
        <w:lastRenderedPageBreak/>
        <w:t>数据治理、共享、应用</w:t>
      </w:r>
    </w:p>
    <w:p w14:paraId="251862C9" w14:textId="77777777" w:rsidR="008137F8" w:rsidRPr="001E17A1" w:rsidRDefault="00000000">
      <w:pPr>
        <w:pStyle w:val="afe"/>
        <w:numPr>
          <w:ilvl w:val="0"/>
          <w:numId w:val="5"/>
        </w:numPr>
        <w:tabs>
          <w:tab w:val="left" w:pos="1134"/>
        </w:tabs>
        <w:snapToGrid w:val="0"/>
        <w:spacing w:line="360" w:lineRule="auto"/>
        <w:ind w:left="567" w:firstLineChars="0" w:hanging="567"/>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开展常态化数据质量工作、支撑供需对接</w:t>
      </w:r>
    </w:p>
    <w:p w14:paraId="4DE9EA78"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保障各类日常对接工作产生的程序及服务稳定运行，如数据异常处置、接口保障、统计分析及报表程序运行保障等，以确保支撑的委办业务稳定开展。及时对接现行数据归集清洗相关数据异常问题情况，分析并处置。针对已完成的数据API服务，常态化保障接口服务的稳定运行，监控接口调用情况，出现异常情况及时完成处理。对已完成的数据统计分析及报表对应SQL程序、作业任务等进行常态化保障，确保各类服务的稳定运行，监控程序及任务的执行情况，出现异常情况及时完成处理。针对各委办新增的业务诉求，完成需求对接、数据归集、数据清洗等工作，为后续的融合治理任务打好基础。对接支撑各委办单位临时统计需求、数据共享需求，并根据业务需要，对自然人、法人数据资源进行探查，预先明确可使用的数据资源情况。针对各单位已归集入湖数据资源，根据委办需要，进行数据探查（标准数据探查模板），并输出探查结果的统计报告。</w:t>
      </w:r>
    </w:p>
    <w:p w14:paraId="0ECE7ECC" w14:textId="77777777" w:rsidR="008137F8" w:rsidRPr="001E17A1" w:rsidRDefault="00000000">
      <w:pPr>
        <w:pStyle w:val="afe"/>
        <w:numPr>
          <w:ilvl w:val="0"/>
          <w:numId w:val="5"/>
        </w:numPr>
        <w:tabs>
          <w:tab w:val="left" w:pos="1134"/>
        </w:tabs>
        <w:snapToGrid w:val="0"/>
        <w:spacing w:line="360" w:lineRule="auto"/>
        <w:ind w:left="567" w:firstLineChars="0" w:hanging="567"/>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 xml:space="preserve"> 深化数据治理，提升数据质量</w:t>
      </w:r>
    </w:p>
    <w:p w14:paraId="44407057"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highlight w:val="yellow"/>
        </w:rPr>
      </w:pPr>
      <w:r w:rsidRPr="001E17A1">
        <w:rPr>
          <w:rFonts w:ascii="宋体" w:hAnsi="宋体" w:hint="eastAsia"/>
          <w:color w:val="000000" w:themeColor="text1"/>
          <w:sz w:val="24"/>
          <w:szCs w:val="24"/>
        </w:rPr>
        <w:t>建立区级数据质量检查规则库，落实数据资源全生命周期的质量检查和反馈，配合源头数据数据质量检查。优化公共数据异议核实的运营保障，提升运营效率和质量。优化数据治理评价指标体系。</w:t>
      </w:r>
    </w:p>
    <w:p w14:paraId="09CC3A4C"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建立健全数据质量闭环管理体系，形成从源头数据对账、日常质量监督、关键环节质量评测以及应用服务抽检各环节的数据质量手段，全面加强数据质量工作，进一步提升数据质量水平。</w:t>
      </w:r>
    </w:p>
    <w:p w14:paraId="61571B08" w14:textId="77777777" w:rsidR="008137F8" w:rsidRPr="001E17A1" w:rsidRDefault="00000000">
      <w:pPr>
        <w:pStyle w:val="afe"/>
        <w:numPr>
          <w:ilvl w:val="0"/>
          <w:numId w:val="5"/>
        </w:numPr>
        <w:tabs>
          <w:tab w:val="left" w:pos="1134"/>
        </w:tabs>
        <w:snapToGrid w:val="0"/>
        <w:spacing w:line="360" w:lineRule="auto"/>
        <w:ind w:left="567" w:firstLineChars="0" w:hanging="567"/>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 xml:space="preserve"> 深化综合库建设，深化建设共性数据能力</w:t>
      </w:r>
    </w:p>
    <w:p w14:paraId="09DF9C78"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持续加强上链目录中自然人、法人等共性业务对象数据的融合治理和复用。</w:t>
      </w:r>
    </w:p>
    <w:p w14:paraId="3152C533" w14:textId="77777777" w:rsidR="008137F8" w:rsidRPr="001E17A1" w:rsidRDefault="00000000">
      <w:pPr>
        <w:pStyle w:val="afe"/>
        <w:numPr>
          <w:ilvl w:val="0"/>
          <w:numId w:val="6"/>
        </w:numPr>
        <w:tabs>
          <w:tab w:val="left" w:pos="420"/>
          <w:tab w:val="left" w:pos="640"/>
        </w:tabs>
        <w:snapToGrid w:val="0"/>
        <w:spacing w:line="360" w:lineRule="auto"/>
        <w:ind w:firstLineChars="0"/>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自然人综合库建设</w:t>
      </w:r>
    </w:p>
    <w:p w14:paraId="6581729F"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从各委办自然人基础数据使用方角度出发，通过制定标准化治理规则、多源数据校验、多元数据补全等手段，对自然人基础信息数据质量进行持续优化，以持续夯实自然人综合库基础数据服务能力，为各类业务需求提供准确数据支撑。完善自然人数据属地返还安全保障，探索自然人数据去标识化处理技术，加强个人信息保护。</w:t>
      </w:r>
    </w:p>
    <w:p w14:paraId="246A7C9F" w14:textId="77777777" w:rsidR="008137F8" w:rsidRPr="001E17A1" w:rsidRDefault="00000000">
      <w:pPr>
        <w:pStyle w:val="afe"/>
        <w:numPr>
          <w:ilvl w:val="0"/>
          <w:numId w:val="7"/>
        </w:numPr>
        <w:tabs>
          <w:tab w:val="left" w:pos="420"/>
          <w:tab w:val="left" w:pos="640"/>
        </w:tabs>
        <w:snapToGrid w:val="0"/>
        <w:spacing w:line="360" w:lineRule="auto"/>
        <w:ind w:firstLineChars="0"/>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深化法人综合库建设</w:t>
      </w:r>
    </w:p>
    <w:p w14:paraId="591E3C7F"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聚焦“一企一档”扩充法人综合库基础数据与监管数据，探索法人数据标签</w:t>
      </w:r>
      <w:r w:rsidRPr="001E17A1">
        <w:rPr>
          <w:rFonts w:ascii="宋体" w:hAnsi="宋体" w:hint="eastAsia"/>
          <w:color w:val="000000" w:themeColor="text1"/>
          <w:sz w:val="24"/>
          <w:szCs w:val="24"/>
        </w:rPr>
        <w:lastRenderedPageBreak/>
        <w:t>建设。</w:t>
      </w:r>
    </w:p>
    <w:p w14:paraId="18FC2AC7" w14:textId="77777777" w:rsidR="008137F8" w:rsidRPr="001E17A1" w:rsidRDefault="00000000">
      <w:pPr>
        <w:tabs>
          <w:tab w:val="left" w:pos="1134"/>
        </w:tabs>
        <w:snapToGrid w:val="0"/>
        <w:spacing w:line="360" w:lineRule="auto"/>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(4) 支撑重点场景，提升用数效益</w:t>
      </w:r>
    </w:p>
    <w:p w14:paraId="50BD5BFD"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支撑基层减负、经济运行等各类场景建设，以数据赋能持续支撑政务服务优化。</w:t>
      </w:r>
      <w:r w:rsidRPr="001E17A1">
        <w:rPr>
          <w:rFonts w:ascii="宋体" w:hAnsi="宋体"/>
          <w:color w:val="000000" w:themeColor="text1"/>
          <w:sz w:val="24"/>
          <w:szCs w:val="24"/>
        </w:rPr>
        <w:t>加强对国家资源使用。围绕“两张网”建设，按照需求进行应用场景数据的归集、共享、融合、治理工作。</w:t>
      </w:r>
    </w:p>
    <w:p w14:paraId="07633089"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数据分析及社会化应用</w:t>
      </w:r>
    </w:p>
    <w:p w14:paraId="18ACA9CD" w14:textId="77777777" w:rsidR="008137F8" w:rsidRPr="001E17A1" w:rsidRDefault="00000000">
      <w:pPr>
        <w:numPr>
          <w:ilvl w:val="0"/>
          <w:numId w:val="8"/>
        </w:numPr>
        <w:tabs>
          <w:tab w:val="left" w:pos="640"/>
        </w:tabs>
        <w:snapToGrid w:val="0"/>
        <w:spacing w:line="360" w:lineRule="auto"/>
        <w:ind w:leftChars="67" w:left="141" w:firstLine="0"/>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持续推进数据可视化和数据分析工作。</w:t>
      </w:r>
    </w:p>
    <w:p w14:paraId="2A67A535" w14:textId="77777777" w:rsidR="008137F8" w:rsidRPr="001E17A1" w:rsidRDefault="00000000">
      <w:pPr>
        <w:pStyle w:val="af3"/>
        <w:shd w:val="clear" w:color="auto" w:fill="FFFFFF"/>
        <w:snapToGrid w:val="0"/>
        <w:spacing w:before="0" w:beforeAutospacing="0" w:after="0" w:afterAutospacing="0" w:line="360" w:lineRule="auto"/>
        <w:ind w:firstLineChars="200" w:firstLine="480"/>
        <w:jc w:val="both"/>
        <w:rPr>
          <w:rFonts w:hint="eastAsia"/>
          <w:color w:val="000000" w:themeColor="text1"/>
        </w:rPr>
      </w:pPr>
      <w:r w:rsidRPr="001E17A1">
        <w:rPr>
          <w:rFonts w:hint="eastAsia"/>
          <w:color w:val="000000" w:themeColor="text1"/>
          <w:kern w:val="2"/>
        </w:rPr>
        <w:t>探索数据可视化工作，探索</w:t>
      </w:r>
      <w:r w:rsidRPr="001E17A1">
        <w:rPr>
          <w:color w:val="000000" w:themeColor="text1"/>
          <w:kern w:val="2"/>
        </w:rPr>
        <w:t>构建数据一屏观态势感知可视化应用，专注于数据治理、创新、安全、平台建设及运维等关键领域，通过指标体系全面评估公共数据的利用效果，识别并解决业务发展瓶颈，提升数据资源利用效率</w:t>
      </w:r>
      <w:r w:rsidRPr="001E17A1">
        <w:rPr>
          <w:rFonts w:hint="eastAsia"/>
          <w:color w:val="000000" w:themeColor="text1"/>
          <w:kern w:val="2"/>
        </w:rPr>
        <w:t>；</w:t>
      </w:r>
      <w:r w:rsidRPr="001E17A1">
        <w:rPr>
          <w:color w:val="000000" w:themeColor="text1"/>
          <w:kern w:val="2"/>
        </w:rPr>
        <w:t>同时，探索“业务预警”协同机制可视化，对业务预警机制中发现的数据问题，协同数据源端处理形成闭环管理。</w:t>
      </w:r>
    </w:p>
    <w:p w14:paraId="07163ECB"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持续推进数据分析工作，构建数据驱动的决策支持体系。服务内容聚焦领导决策需求、跨部门协同治理、政策落地监测，输出可视化分析报告及决策建议，助力政府实现从数据洞察到治理效能的转化升级。</w:t>
      </w:r>
    </w:p>
    <w:p w14:paraId="4CEDD450" w14:textId="77777777" w:rsidR="008137F8" w:rsidRPr="001E17A1" w:rsidRDefault="00000000">
      <w:pPr>
        <w:numPr>
          <w:ilvl w:val="0"/>
          <w:numId w:val="8"/>
        </w:numPr>
        <w:tabs>
          <w:tab w:val="left" w:pos="420"/>
          <w:tab w:val="left" w:pos="640"/>
        </w:tabs>
        <w:snapToGrid w:val="0"/>
        <w:spacing w:line="360" w:lineRule="auto"/>
        <w:ind w:left="419" w:hangingChars="174" w:hanging="419"/>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数据开放及社会化应用。</w:t>
      </w:r>
    </w:p>
    <w:p w14:paraId="4CAB6A13"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通过自动化工具与人工复核结合，开展数据质量检查，覆盖完整性、格式规范性、逻辑一致性，保障开放数据可靠供给；拓展数据开放应用场景，打破“数据孤岛”，支撑“民生服务便捷化、产业创新精准化、治理决策智能化”场景落地。支撑区内团队参与“数据要素×”等赛事，培育数据开放生态。</w:t>
      </w:r>
    </w:p>
    <w:p w14:paraId="2F974EB4" w14:textId="77777777" w:rsidR="008137F8" w:rsidRPr="001E17A1" w:rsidRDefault="00000000">
      <w:pPr>
        <w:numPr>
          <w:ilvl w:val="0"/>
          <w:numId w:val="8"/>
        </w:numPr>
        <w:tabs>
          <w:tab w:val="left" w:pos="420"/>
          <w:tab w:val="left" w:pos="640"/>
        </w:tabs>
        <w:snapToGrid w:val="0"/>
        <w:spacing w:line="360" w:lineRule="auto"/>
        <w:ind w:left="419" w:hangingChars="174" w:hanging="419"/>
        <w:rPr>
          <w:rFonts w:ascii="宋体" w:hAnsi="宋体" w:cs="宋体" w:hint="eastAsia"/>
          <w:b/>
          <w:bCs/>
          <w:color w:val="000000" w:themeColor="text1"/>
          <w:sz w:val="24"/>
          <w:szCs w:val="24"/>
        </w:rPr>
      </w:pPr>
      <w:r w:rsidRPr="001E17A1">
        <w:rPr>
          <w:rFonts w:ascii="宋体" w:hAnsi="宋体" w:cs="宋体" w:hint="eastAsia"/>
          <w:b/>
          <w:bCs/>
          <w:color w:val="000000" w:themeColor="text1"/>
          <w:sz w:val="24"/>
          <w:szCs w:val="24"/>
        </w:rPr>
        <w:t>公共数据授权运营和数据创新实验室。</w:t>
      </w:r>
    </w:p>
    <w:p w14:paraId="660F58C4" w14:textId="77777777" w:rsidR="008137F8" w:rsidRPr="001E17A1" w:rsidRDefault="00000000">
      <w:pPr>
        <w:pStyle w:val="af3"/>
        <w:shd w:val="clear" w:color="auto" w:fill="FFFFFF"/>
        <w:snapToGrid w:val="0"/>
        <w:spacing w:before="0" w:beforeAutospacing="0" w:after="0" w:afterAutospacing="0" w:line="360" w:lineRule="auto"/>
        <w:ind w:firstLineChars="200" w:firstLine="480"/>
        <w:jc w:val="both"/>
        <w:rPr>
          <w:rFonts w:hint="eastAsia"/>
          <w:color w:val="000000" w:themeColor="text1"/>
          <w:kern w:val="2"/>
        </w:rPr>
      </w:pPr>
      <w:r w:rsidRPr="001E17A1">
        <w:rPr>
          <w:rFonts w:hint="eastAsia"/>
          <w:color w:val="000000" w:themeColor="text1"/>
          <w:kern w:val="2"/>
        </w:rPr>
        <w:t>探索公共数据授权运营开发主体培育模式，</w:t>
      </w:r>
      <w:r w:rsidRPr="001E17A1">
        <w:rPr>
          <w:color w:val="000000" w:themeColor="text1"/>
          <w:kern w:val="2"/>
        </w:rPr>
        <w:t>清晰界定行业主管部门、数据主管部门、承建机构等之间的职责与权限，促进各方高效协作；做好实验室产品开发与授权运营流程的衔接，共同推动数据创新实验室生态可持续发展。</w:t>
      </w:r>
    </w:p>
    <w:p w14:paraId="22CFA17B" w14:textId="77777777" w:rsidR="008137F8" w:rsidRPr="001E17A1" w:rsidRDefault="00000000">
      <w:pPr>
        <w:pStyle w:val="af3"/>
        <w:shd w:val="clear" w:color="auto" w:fill="FFFFFF"/>
        <w:snapToGrid w:val="0"/>
        <w:spacing w:before="0" w:beforeAutospacing="0" w:after="0" w:afterAutospacing="0" w:line="360" w:lineRule="auto"/>
        <w:ind w:firstLineChars="200" w:firstLine="480"/>
        <w:jc w:val="both"/>
        <w:rPr>
          <w:rFonts w:cs="宋体" w:hint="eastAsia"/>
          <w:color w:val="000000" w:themeColor="text1"/>
        </w:rPr>
      </w:pPr>
      <w:r w:rsidRPr="001E17A1">
        <w:rPr>
          <w:color w:val="000000" w:themeColor="text1"/>
          <w:kern w:val="2"/>
        </w:rPr>
        <w:t>进一步优化数据创新实验室的工作计划，开展对实验室的运营状况分析以及成效评价等工作，确保规范、高效地推进实验室的运营，并提供必要的技术支撑。</w:t>
      </w:r>
    </w:p>
    <w:p w14:paraId="15F2A2B4" w14:textId="77777777" w:rsidR="008137F8" w:rsidRPr="001E17A1" w:rsidRDefault="00000000">
      <w:pPr>
        <w:pStyle w:val="3"/>
        <w:snapToGrid w:val="0"/>
        <w:spacing w:before="0" w:line="360" w:lineRule="auto"/>
        <w:ind w:left="426"/>
        <w:rPr>
          <w:rFonts w:ascii="宋体" w:hAnsi="宋体" w:hint="eastAsia"/>
          <w:color w:val="000000" w:themeColor="text1"/>
          <w:sz w:val="24"/>
          <w:szCs w:val="24"/>
        </w:rPr>
      </w:pPr>
      <w:r w:rsidRPr="001E17A1">
        <w:rPr>
          <w:rFonts w:ascii="宋体" w:hAnsi="宋体" w:hint="eastAsia"/>
          <w:color w:val="000000" w:themeColor="text1"/>
          <w:sz w:val="24"/>
          <w:szCs w:val="24"/>
        </w:rPr>
        <w:t>数据安全</w:t>
      </w:r>
    </w:p>
    <w:p w14:paraId="0981EBD5"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(1) 加强安全制度建设</w:t>
      </w:r>
    </w:p>
    <w:p w14:paraId="1C1A3CC3"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在中心已有的安全制度体系框架内，进一步夯实中心“制度防火墙”建设，以国家新颁布的相关法律法规要求为基础，紧跟上级监管部门的最新安全工作纲</w:t>
      </w:r>
      <w:r w:rsidRPr="001E17A1">
        <w:rPr>
          <w:rFonts w:ascii="宋体" w:hAnsi="宋体" w:hint="eastAsia"/>
          <w:color w:val="000000" w:themeColor="text1"/>
          <w:sz w:val="24"/>
          <w:szCs w:val="24"/>
        </w:rPr>
        <w:lastRenderedPageBreak/>
        <w:t>要及指示精神，持续修订一二级数据安全管理制度，“以制度为牵引”开展各项安全工作，完善网络和数据安全事件应急响应机制，构建更加科学、系统、全面的网络和数据安全管理制度体系。</w:t>
      </w:r>
    </w:p>
    <w:p w14:paraId="4290CBC3"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(2) 做实分类分级，推动分级管控措施落地。</w:t>
      </w:r>
    </w:p>
    <w:p w14:paraId="72CFED1E" w14:textId="77777777" w:rsidR="008137F8" w:rsidRPr="001E17A1" w:rsidRDefault="00000000">
      <w:pPr>
        <w:tabs>
          <w:tab w:val="left" w:pos="1134"/>
        </w:tabs>
        <w:snapToGrid w:val="0"/>
        <w:spacing w:line="360" w:lineRule="auto"/>
        <w:ind w:firstLineChars="200" w:firstLine="480"/>
        <w:rPr>
          <w:rFonts w:ascii="宋体" w:hAnsi="宋体" w:cs="宋体" w:hint="eastAsia"/>
          <w:color w:val="000000" w:themeColor="text1"/>
          <w:sz w:val="24"/>
          <w:szCs w:val="24"/>
        </w:rPr>
      </w:pPr>
      <w:r w:rsidRPr="001E17A1">
        <w:rPr>
          <w:rFonts w:ascii="宋体" w:hAnsi="宋体" w:cs="宋体" w:hint="eastAsia"/>
          <w:color w:val="000000" w:themeColor="text1"/>
          <w:sz w:val="24"/>
          <w:szCs w:val="24"/>
        </w:rPr>
        <w:t>加强数据分类分级稽核工作，优化自然人分级识别规则，基于目录链分类分级情况，完善分级稽核结果反馈机制。结合数据安全分级结果，完善数据治理各环节数据流图绘制以及策略梳理，依托大数据资源平台以及数据治理服务实施管控策略落地。根据用数需求开展数据使用前风险评估工作，完善基于分类分级的数据共享前安全评估体系。</w:t>
      </w:r>
    </w:p>
    <w:p w14:paraId="71662ACD"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(3) 完善数据安全监管体系，推动公共数据合规开发利用。</w:t>
      </w:r>
    </w:p>
    <w:p w14:paraId="696554E0"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结合数据开发利用场景完善安全监督和检查工作，针对数据基础设施和数据处理活动行为，开展定期和常态化安全检查和安全评估工作。探索通用型公共数据合成技术，支撑实验室场景合成数据服务。</w:t>
      </w:r>
    </w:p>
    <w:p w14:paraId="6EC15AE3"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(4) 优化数据安全运营服务，提升平台安全检测服务标准。</w:t>
      </w:r>
    </w:p>
    <w:p w14:paraId="7FE7E334"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开展大数据资源平台数据安全风险评估，依托数据安全保障子平台，定期开展操作行为、账号使用合规审计工作，对识别到的相关风险问题进行闭环管理。季度开展数据运营服务团队安全管理符合性评估工作。梳理分类分级、数据使用合规等安全指标，实现数据安全工作“可量化、可评估”。</w:t>
      </w:r>
    </w:p>
    <w:p w14:paraId="207B0D3F" w14:textId="77777777" w:rsidR="008137F8" w:rsidRPr="001E17A1" w:rsidRDefault="00000000">
      <w:pPr>
        <w:numPr>
          <w:ilvl w:val="255"/>
          <w:numId w:val="0"/>
        </w:num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制定大数据资源平台安全检测服务标准，完善常态化监测、审计与权限治理工作机制，降低风险漏洞，实现安全风险闭环管理。包括提供大数据资源平台漏洞扫描、应用渗透测试、主机基线检查、源代码审计、系统和数据安全符合性测评等服务。</w:t>
      </w:r>
    </w:p>
    <w:p w14:paraId="26B99B41"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(5) 夯实安全技术能力。</w:t>
      </w:r>
    </w:p>
    <w:p w14:paraId="112BA245"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依托区大数据资源平台安全能力，充分发挥安全运营实效，协助招标人提升安全监测能力，持续拓展升级安全能力建设；探索AI在安全运营中的赋能应用，提升安全运营的各项工作效率和输出质量</w:t>
      </w:r>
      <w:r w:rsidRPr="001E17A1">
        <w:rPr>
          <w:rFonts w:ascii="宋体" w:hAnsi="宋体"/>
          <w:color w:val="000000" w:themeColor="text1"/>
          <w:sz w:val="24"/>
          <w:szCs w:val="24"/>
        </w:rPr>
        <w:t>；</w:t>
      </w:r>
      <w:r w:rsidRPr="001E17A1">
        <w:rPr>
          <w:rFonts w:ascii="宋体" w:hAnsi="宋体" w:hint="eastAsia"/>
          <w:color w:val="000000" w:themeColor="text1"/>
          <w:sz w:val="24"/>
          <w:szCs w:val="24"/>
        </w:rPr>
        <w:t>支撑开展数据安全风险评估等工作，并对相关数据安全风险进行跟踪并制订管控策略，为应用上线前安全测试、数据安全应急演练、人员培训、新技术应用测试等提供支撑。</w:t>
      </w:r>
    </w:p>
    <w:p w14:paraId="4D7A35DE"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运营保障</w:t>
      </w:r>
    </w:p>
    <w:p w14:paraId="3B11B34D"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2.2.5.1 完善安全运营体系。</w:t>
      </w:r>
    </w:p>
    <w:p w14:paraId="6A265E99"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建立专业的安全运营服务团队</w:t>
      </w:r>
      <w:r w:rsidRPr="001E17A1">
        <w:rPr>
          <w:rFonts w:ascii="宋体" w:hAnsi="宋体"/>
          <w:color w:val="000000" w:themeColor="text1"/>
          <w:sz w:val="24"/>
          <w:szCs w:val="24"/>
        </w:rPr>
        <w:t>，</w:t>
      </w:r>
      <w:r w:rsidRPr="001E17A1">
        <w:rPr>
          <w:rFonts w:ascii="宋体" w:hAnsi="宋体" w:hint="eastAsia"/>
          <w:color w:val="000000" w:themeColor="text1"/>
          <w:sz w:val="24"/>
          <w:szCs w:val="24"/>
        </w:rPr>
        <w:t>基于全链路监控能力对所辖业务系统开展多维度集中监控分析</w:t>
      </w:r>
      <w:r w:rsidRPr="001E17A1">
        <w:rPr>
          <w:rFonts w:ascii="宋体" w:hAnsi="宋体"/>
          <w:color w:val="000000" w:themeColor="text1"/>
          <w:sz w:val="24"/>
          <w:szCs w:val="24"/>
        </w:rPr>
        <w:t>，</w:t>
      </w:r>
      <w:r w:rsidRPr="001E17A1">
        <w:rPr>
          <w:rFonts w:ascii="宋体" w:hAnsi="宋体" w:hint="eastAsia"/>
          <w:color w:val="000000" w:themeColor="text1"/>
          <w:sz w:val="24"/>
          <w:szCs w:val="24"/>
        </w:rPr>
        <w:t>及时处置故障</w:t>
      </w:r>
      <w:r w:rsidRPr="001E17A1">
        <w:rPr>
          <w:rFonts w:ascii="宋体" w:hAnsi="宋体"/>
          <w:color w:val="000000" w:themeColor="text1"/>
          <w:sz w:val="24"/>
          <w:szCs w:val="24"/>
        </w:rPr>
        <w:t>；</w:t>
      </w:r>
      <w:r w:rsidRPr="001E17A1">
        <w:rPr>
          <w:rFonts w:ascii="宋体" w:hAnsi="宋体" w:hint="eastAsia"/>
          <w:color w:val="000000" w:themeColor="text1"/>
          <w:sz w:val="24"/>
          <w:szCs w:val="24"/>
        </w:rPr>
        <w:t>开展信息化资产安全运营管理</w:t>
      </w:r>
      <w:r w:rsidRPr="001E17A1">
        <w:rPr>
          <w:rFonts w:ascii="宋体" w:hAnsi="宋体"/>
          <w:color w:val="000000" w:themeColor="text1"/>
          <w:sz w:val="24"/>
          <w:szCs w:val="24"/>
        </w:rPr>
        <w:t>，</w:t>
      </w:r>
      <w:r w:rsidRPr="001E17A1">
        <w:rPr>
          <w:rFonts w:ascii="宋体" w:hAnsi="宋体" w:hint="eastAsia"/>
          <w:color w:val="000000" w:themeColor="text1"/>
          <w:sz w:val="24"/>
          <w:szCs w:val="24"/>
        </w:rPr>
        <w:t>建立漏洞运营管理机制，关联信息化资产及漏洞情报信息</w:t>
      </w:r>
      <w:r w:rsidRPr="001E17A1">
        <w:rPr>
          <w:rFonts w:ascii="宋体" w:hAnsi="宋体"/>
          <w:color w:val="000000" w:themeColor="text1"/>
          <w:sz w:val="24"/>
          <w:szCs w:val="24"/>
        </w:rPr>
        <w:t>，</w:t>
      </w:r>
      <w:r w:rsidRPr="001E17A1">
        <w:rPr>
          <w:rFonts w:ascii="宋体" w:hAnsi="宋体" w:hint="eastAsia"/>
          <w:color w:val="000000" w:themeColor="text1"/>
          <w:sz w:val="24"/>
          <w:szCs w:val="24"/>
        </w:rPr>
        <w:t>从而快速精准地识别资产的对应漏洞</w:t>
      </w:r>
      <w:r w:rsidRPr="001E17A1">
        <w:rPr>
          <w:rFonts w:ascii="宋体" w:hAnsi="宋体"/>
          <w:color w:val="000000" w:themeColor="text1"/>
          <w:sz w:val="24"/>
          <w:szCs w:val="24"/>
        </w:rPr>
        <w:t>；</w:t>
      </w:r>
      <w:r w:rsidRPr="001E17A1">
        <w:rPr>
          <w:rFonts w:ascii="宋体" w:hAnsi="宋体" w:hint="eastAsia"/>
          <w:color w:val="000000" w:themeColor="text1"/>
          <w:sz w:val="24"/>
          <w:szCs w:val="24"/>
        </w:rPr>
        <w:t>落实定期安全检查，结合安全考核，提升中心整体安全防护能力；强化漏洞风险管理，分级分类形成闭环管理。</w:t>
      </w:r>
    </w:p>
    <w:p w14:paraId="4CD309BD"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b/>
          <w:bCs/>
          <w:color w:val="000000" w:themeColor="text1"/>
          <w:sz w:val="24"/>
          <w:szCs w:val="24"/>
        </w:rPr>
        <w:t>2.2.5.</w:t>
      </w:r>
      <w:r w:rsidRPr="001E17A1">
        <w:rPr>
          <w:rFonts w:ascii="宋体" w:hAnsi="宋体" w:hint="eastAsia"/>
          <w:b/>
          <w:bCs/>
          <w:color w:val="000000" w:themeColor="text1"/>
          <w:sz w:val="24"/>
          <w:szCs w:val="24"/>
        </w:rPr>
        <w:t>2 强化安全运营支撑能力。</w:t>
      </w:r>
    </w:p>
    <w:p w14:paraId="145F1853" w14:textId="77777777" w:rsidR="008137F8" w:rsidRPr="001E17A1" w:rsidRDefault="00000000">
      <w:pPr>
        <w:tabs>
          <w:tab w:val="left" w:pos="1134"/>
        </w:tabs>
        <w:snapToGrid w:val="0"/>
        <w:spacing w:line="360" w:lineRule="auto"/>
        <w:ind w:firstLineChars="200" w:firstLine="480"/>
        <w:rPr>
          <w:rFonts w:ascii="宋体" w:hAnsi="宋体" w:hint="eastAsia"/>
          <w:b/>
          <w:bCs/>
          <w:color w:val="000000" w:themeColor="text1"/>
          <w:sz w:val="24"/>
          <w:szCs w:val="24"/>
        </w:rPr>
      </w:pPr>
      <w:r w:rsidRPr="001E17A1">
        <w:rPr>
          <w:rFonts w:ascii="宋体" w:hAnsi="宋体" w:hint="eastAsia"/>
          <w:color w:val="000000" w:themeColor="text1"/>
          <w:sz w:val="24"/>
          <w:szCs w:val="24"/>
        </w:rPr>
        <w:t>持续推进安全服务统筹管理工作，根据中心的反馈需求，推进整体服务的标准化和规范化建设；提升监测告警和威胁情报的准确度和深度，补足补强安全威胁主动发现能力；协助招标人持续推广全链路监控能力，保障重要业务可用性；落实信息化资产常态化和全生命周期管理，提升信息化资产主动发现，组件探测的准确度，联动漏洞、威胁情报、安全监测等信息，建立风险管理体系，夯实安全管理基础；持续开展常态化安全监测值守、安全事件研判和溯源、高危IP封堵及应急联动等运营工作，守牢中心数据安全底线。</w:t>
      </w:r>
    </w:p>
    <w:p w14:paraId="0D2DA524" w14:textId="77777777" w:rsidR="008137F8" w:rsidRPr="001E17A1" w:rsidRDefault="00000000">
      <w:pPr>
        <w:tabs>
          <w:tab w:val="left" w:pos="1134"/>
        </w:tabs>
        <w:snapToGrid w:val="0"/>
        <w:spacing w:line="360" w:lineRule="auto"/>
        <w:rPr>
          <w:rFonts w:ascii="宋体" w:hAnsi="宋体" w:hint="eastAsia"/>
          <w:b/>
          <w:bCs/>
          <w:color w:val="000000" w:themeColor="text1"/>
          <w:sz w:val="24"/>
          <w:szCs w:val="24"/>
        </w:rPr>
      </w:pPr>
      <w:r w:rsidRPr="001E17A1">
        <w:rPr>
          <w:rFonts w:ascii="宋体" w:hAnsi="宋体"/>
          <w:b/>
          <w:bCs/>
          <w:color w:val="000000" w:themeColor="text1"/>
          <w:sz w:val="24"/>
          <w:szCs w:val="24"/>
        </w:rPr>
        <w:t>2.2.5.</w:t>
      </w:r>
      <w:r w:rsidRPr="001E17A1">
        <w:rPr>
          <w:rFonts w:ascii="宋体" w:hAnsi="宋体" w:hint="eastAsia"/>
          <w:b/>
          <w:bCs/>
          <w:color w:val="000000" w:themeColor="text1"/>
          <w:sz w:val="24"/>
          <w:szCs w:val="24"/>
        </w:rPr>
        <w:t>3 保障大数据资源平台服务连续性及高可靠性。</w:t>
      </w:r>
    </w:p>
    <w:p w14:paraId="1538BA19" w14:textId="77777777" w:rsidR="008137F8" w:rsidRPr="001E17A1" w:rsidRDefault="00000000">
      <w:pPr>
        <w:tabs>
          <w:tab w:val="left" w:pos="1134"/>
        </w:tabs>
        <w:snapToGrid w:val="0"/>
        <w:spacing w:line="360" w:lineRule="auto"/>
        <w:ind w:firstLineChars="200" w:firstLine="480"/>
        <w:rPr>
          <w:rFonts w:ascii="宋体" w:hAnsi="宋体" w:hint="eastAsia"/>
          <w:color w:val="000000" w:themeColor="text1"/>
          <w:sz w:val="24"/>
          <w:szCs w:val="24"/>
        </w:rPr>
      </w:pPr>
      <w:r w:rsidRPr="001E17A1">
        <w:rPr>
          <w:rFonts w:ascii="宋体" w:hAnsi="宋体" w:hint="eastAsia"/>
          <w:color w:val="000000" w:themeColor="text1"/>
          <w:sz w:val="24"/>
          <w:szCs w:val="24"/>
        </w:rPr>
        <w:t>建立大数据资源平台的运营管理指标体系，进一步保障平台运行稳定性、高效性。保证核心服务和核心系统7×24小时连续服务，减少系统计划内和计划外停机。在系统出现故障时能及时响应，实现核心应用的快速恢复，以保障关键数据和业务系统的运行稳定性和可持续访问性。实施平台运维，运维对象包含但不限于大数据资源平台相关的网络、主机、前置机集群、数据库、服务组件、应用系统以及数据归集任务、数据治理任务、对外共享服务等一系列数据服务。</w:t>
      </w:r>
    </w:p>
    <w:bookmarkEnd w:id="19"/>
    <w:p w14:paraId="1E775D65" w14:textId="77777777" w:rsidR="008137F8" w:rsidRPr="001E17A1" w:rsidRDefault="00000000">
      <w:pPr>
        <w:pStyle w:val="1"/>
        <w:snapToGrid w:val="0"/>
        <w:spacing w:before="0" w:afterLines="0"/>
        <w:ind w:left="567" w:hanging="567"/>
        <w:rPr>
          <w:rFonts w:ascii="宋体" w:hAnsi="宋体" w:hint="eastAsia"/>
          <w:color w:val="000000" w:themeColor="text1"/>
          <w:sz w:val="24"/>
          <w:szCs w:val="24"/>
        </w:rPr>
      </w:pPr>
      <w:r w:rsidRPr="001E17A1">
        <w:rPr>
          <w:rFonts w:ascii="宋体" w:hAnsi="宋体" w:hint="eastAsia"/>
          <w:color w:val="000000" w:themeColor="text1"/>
          <w:sz w:val="24"/>
          <w:szCs w:val="24"/>
        </w:rPr>
        <w:t>运营服务管理要求</w:t>
      </w:r>
    </w:p>
    <w:p w14:paraId="48DD2CBE" w14:textId="77777777" w:rsidR="008137F8" w:rsidRPr="001E17A1" w:rsidRDefault="00000000">
      <w:pPr>
        <w:pStyle w:val="2"/>
        <w:snapToGrid w:val="0"/>
        <w:spacing w:before="0"/>
        <w:ind w:left="0" w:firstLine="0"/>
        <w:rPr>
          <w:rFonts w:ascii="宋体" w:hAnsi="宋体" w:hint="eastAsia"/>
          <w:color w:val="000000" w:themeColor="text1"/>
          <w:sz w:val="24"/>
          <w:szCs w:val="24"/>
        </w:rPr>
      </w:pPr>
      <w:bookmarkStart w:id="20" w:name="_Toc34292059"/>
      <w:bookmarkStart w:id="21" w:name="_Toc1522"/>
      <w:r w:rsidRPr="001E17A1">
        <w:rPr>
          <w:rFonts w:ascii="宋体" w:hAnsi="宋体" w:hint="eastAsia"/>
          <w:color w:val="000000" w:themeColor="text1"/>
          <w:sz w:val="24"/>
          <w:szCs w:val="24"/>
        </w:rPr>
        <w:t>总体要求</w:t>
      </w:r>
    </w:p>
    <w:p w14:paraId="21D527E2"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bookmarkStart w:id="22" w:name="_Toc34292063"/>
      <w:bookmarkStart w:id="23" w:name="_Toc29764"/>
      <w:bookmarkStart w:id="24" w:name="_Toc5656"/>
      <w:bookmarkStart w:id="25" w:name="_Toc34292060"/>
      <w:bookmarkEnd w:id="20"/>
      <w:bookmarkEnd w:id="21"/>
      <w:r w:rsidRPr="001E17A1">
        <w:rPr>
          <w:rFonts w:ascii="宋体" w:hAnsi="宋体" w:hint="eastAsia"/>
          <w:color w:val="000000" w:themeColor="text1"/>
          <w:sz w:val="24"/>
          <w:szCs w:val="24"/>
        </w:rPr>
        <w:t>中标人应当根据服务任务要求组织服务团队，在理解、落实采购方运营管理和安全管理等相关制度和规范的基础上细化服务需求，形成服务实施方案，统筹实施任务管理，保质、保量完成服务交付；并在服务期间做好进度和质量控制，对运营服务实施的全过程进行安全管理。中标人应当在数据运营服务工作过程中，满足以下重点工作要求，保质保量完成工作。</w:t>
      </w:r>
    </w:p>
    <w:p w14:paraId="740E5C7F"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一是在人员团队配置方面，在数量、资质、工作内容、驻场要求、能力优化支撑上均满足招标要求。</w:t>
      </w:r>
      <w:r w:rsidRPr="001E17A1">
        <w:rPr>
          <w:rFonts w:ascii="宋体" w:hAnsi="宋体" w:hint="eastAsia"/>
          <w:color w:val="000000" w:themeColor="text1"/>
          <w:sz w:val="24"/>
          <w:szCs w:val="24"/>
        </w:rPr>
        <w:t>应当满足采购方对于运营服务团队的要求，配备项目经理、运营管理团队、需求响应与分析团队、资深专家团队、服务单交付团队、</w:t>
      </w:r>
      <w:r w:rsidRPr="001E17A1">
        <w:rPr>
          <w:rFonts w:ascii="宋体" w:hAnsi="宋体" w:hint="eastAsia"/>
          <w:color w:val="000000" w:themeColor="text1"/>
          <w:sz w:val="24"/>
          <w:szCs w:val="24"/>
        </w:rPr>
        <w:lastRenderedPageBreak/>
        <w:t>客户响应团队，其中，团队人员数量、人员资质、人员社保缴纳情况、服务单交付团队的工作经验应当满足服务单交付要求。中标人确认的项目运营服务团队人员及数量，未经采购方书面批准不得随意调换或撤离，若自行更换或撤离，按照合同违约处理。中</w:t>
      </w:r>
      <w:r w:rsidRPr="001E17A1">
        <w:rPr>
          <w:rFonts w:ascii="宋体" w:hAnsi="宋体"/>
          <w:color w:val="000000" w:themeColor="text1"/>
          <w:sz w:val="24"/>
          <w:szCs w:val="24"/>
        </w:rPr>
        <w:t>标人</w:t>
      </w:r>
      <w:r w:rsidRPr="001E17A1">
        <w:rPr>
          <w:rFonts w:ascii="宋体" w:hAnsi="宋体" w:hint="eastAsia"/>
          <w:color w:val="000000" w:themeColor="text1"/>
          <w:sz w:val="24"/>
          <w:szCs w:val="24"/>
        </w:rPr>
        <w:t>应具备提供大型专业培训服务的能力，能够</w:t>
      </w:r>
      <w:r w:rsidRPr="001E17A1">
        <w:rPr>
          <w:rFonts w:ascii="宋体" w:hAnsi="宋体"/>
          <w:color w:val="000000" w:themeColor="text1"/>
          <w:sz w:val="24"/>
          <w:szCs w:val="24"/>
        </w:rPr>
        <w:t>根据数据运营服务的特点制定培训方案并提供培训，使相关人员在培训后能够独立</w:t>
      </w:r>
      <w:r w:rsidRPr="001E17A1">
        <w:rPr>
          <w:rFonts w:ascii="宋体" w:hAnsi="宋体" w:hint="eastAsia"/>
          <w:color w:val="000000" w:themeColor="text1"/>
          <w:sz w:val="24"/>
          <w:szCs w:val="24"/>
        </w:rPr>
        <w:t>开展工作</w:t>
      </w:r>
      <w:r w:rsidRPr="001E17A1">
        <w:rPr>
          <w:rFonts w:ascii="宋体" w:hAnsi="宋体"/>
          <w:color w:val="000000" w:themeColor="text1"/>
          <w:sz w:val="24"/>
          <w:szCs w:val="24"/>
        </w:rPr>
        <w:t>。</w:t>
      </w:r>
      <w:r w:rsidRPr="001E17A1">
        <w:rPr>
          <w:rFonts w:ascii="宋体" w:hAnsi="宋体" w:hint="eastAsia"/>
          <w:color w:val="000000" w:themeColor="text1"/>
          <w:sz w:val="24"/>
          <w:szCs w:val="24"/>
        </w:rPr>
        <w:t>中标人提供的</w:t>
      </w:r>
      <w:r w:rsidRPr="001E17A1">
        <w:rPr>
          <w:rFonts w:ascii="宋体" w:hAnsi="宋体"/>
          <w:color w:val="000000" w:themeColor="text1"/>
          <w:sz w:val="24"/>
          <w:szCs w:val="24"/>
        </w:rPr>
        <w:t>培训课程</w:t>
      </w:r>
      <w:r w:rsidRPr="001E17A1">
        <w:rPr>
          <w:rFonts w:ascii="宋体" w:hAnsi="宋体" w:hint="eastAsia"/>
          <w:color w:val="000000" w:themeColor="text1"/>
          <w:sz w:val="24"/>
          <w:szCs w:val="24"/>
        </w:rPr>
        <w:t>应</w:t>
      </w:r>
      <w:r w:rsidRPr="001E17A1">
        <w:rPr>
          <w:rFonts w:ascii="宋体" w:hAnsi="宋体"/>
          <w:color w:val="000000" w:themeColor="text1"/>
          <w:sz w:val="24"/>
          <w:szCs w:val="24"/>
        </w:rPr>
        <w:t>涵盖</w:t>
      </w:r>
      <w:r w:rsidRPr="001E17A1">
        <w:rPr>
          <w:rFonts w:ascii="宋体" w:hAnsi="宋体" w:hint="eastAsia"/>
          <w:color w:val="000000" w:themeColor="text1"/>
          <w:sz w:val="24"/>
          <w:szCs w:val="24"/>
        </w:rPr>
        <w:t>数据治理、数据共享和开放、数据安全以及大数据资源平台等</w:t>
      </w:r>
      <w:r w:rsidRPr="001E17A1">
        <w:rPr>
          <w:rFonts w:ascii="宋体" w:hAnsi="宋体"/>
          <w:color w:val="000000" w:themeColor="text1"/>
          <w:sz w:val="24"/>
          <w:szCs w:val="24"/>
        </w:rPr>
        <w:t>的系统使用、</w:t>
      </w:r>
      <w:r w:rsidRPr="001E17A1">
        <w:rPr>
          <w:rFonts w:ascii="宋体" w:hAnsi="宋体" w:hint="eastAsia"/>
          <w:color w:val="000000" w:themeColor="text1"/>
          <w:sz w:val="24"/>
          <w:szCs w:val="24"/>
        </w:rPr>
        <w:t>配置维护、</w:t>
      </w:r>
      <w:r w:rsidRPr="001E17A1">
        <w:rPr>
          <w:rFonts w:ascii="宋体" w:hAnsi="宋体"/>
          <w:color w:val="000000" w:themeColor="text1"/>
          <w:sz w:val="24"/>
          <w:szCs w:val="24"/>
        </w:rPr>
        <w:t>运营管理等</w:t>
      </w:r>
      <w:r w:rsidRPr="001E17A1">
        <w:rPr>
          <w:rFonts w:ascii="宋体" w:hAnsi="宋体" w:hint="eastAsia"/>
          <w:color w:val="000000" w:themeColor="text1"/>
          <w:sz w:val="24"/>
          <w:szCs w:val="24"/>
        </w:rPr>
        <w:t>内容</w:t>
      </w:r>
      <w:r w:rsidRPr="001E17A1">
        <w:rPr>
          <w:rFonts w:ascii="宋体" w:hAnsi="宋体"/>
          <w:color w:val="000000" w:themeColor="text1"/>
          <w:sz w:val="24"/>
          <w:szCs w:val="24"/>
        </w:rPr>
        <w:t>，</w:t>
      </w:r>
      <w:r w:rsidRPr="001E17A1">
        <w:rPr>
          <w:rFonts w:ascii="宋体" w:hAnsi="宋体" w:hint="eastAsia"/>
          <w:color w:val="000000" w:themeColor="text1"/>
          <w:sz w:val="24"/>
          <w:szCs w:val="24"/>
        </w:rPr>
        <w:t>以满足采购方以及各委办单位相关管理人员和操作人员的实际需求。同时，中标人应定期或不定期地组织各类人员的相关培训，以保证人员能够有效地理解和掌握运营服务相关的各类技术要求和管理要求。中标人应每季度征集采购方的培训需求，并根据培训需求提出相应的培训计划，报采购方同意后实施。</w:t>
      </w:r>
      <w:r w:rsidRPr="001E17A1">
        <w:rPr>
          <w:rFonts w:ascii="宋体" w:hAnsi="宋体"/>
          <w:color w:val="000000" w:themeColor="text1"/>
          <w:sz w:val="24"/>
          <w:szCs w:val="24"/>
        </w:rPr>
        <w:t>中标人</w:t>
      </w:r>
      <w:r w:rsidRPr="001E17A1">
        <w:rPr>
          <w:rFonts w:ascii="宋体" w:hAnsi="宋体" w:hint="eastAsia"/>
          <w:color w:val="000000" w:themeColor="text1"/>
          <w:sz w:val="24"/>
          <w:szCs w:val="24"/>
        </w:rPr>
        <w:t>应</w:t>
      </w:r>
      <w:r w:rsidRPr="001E17A1">
        <w:rPr>
          <w:rFonts w:ascii="宋体" w:hAnsi="宋体"/>
          <w:color w:val="000000" w:themeColor="text1"/>
          <w:sz w:val="24"/>
          <w:szCs w:val="24"/>
        </w:rPr>
        <w:t>安排专业培训讲师授课，并提供全套培训教材</w:t>
      </w:r>
      <w:r w:rsidRPr="001E17A1">
        <w:rPr>
          <w:rFonts w:ascii="宋体" w:hAnsi="宋体" w:hint="eastAsia"/>
          <w:color w:val="000000" w:themeColor="text1"/>
          <w:sz w:val="24"/>
          <w:szCs w:val="24"/>
        </w:rPr>
        <w:t>、课件、讲义</w:t>
      </w:r>
      <w:r w:rsidRPr="001E17A1">
        <w:rPr>
          <w:rFonts w:ascii="宋体" w:hAnsi="宋体"/>
          <w:color w:val="000000" w:themeColor="text1"/>
          <w:sz w:val="24"/>
          <w:szCs w:val="24"/>
        </w:rPr>
        <w:t>和培训课程计划表</w:t>
      </w:r>
      <w:r w:rsidRPr="001E17A1">
        <w:rPr>
          <w:rFonts w:ascii="宋体" w:hAnsi="宋体" w:hint="eastAsia"/>
          <w:color w:val="000000" w:themeColor="text1"/>
          <w:sz w:val="24"/>
          <w:szCs w:val="24"/>
        </w:rPr>
        <w:t>，</w:t>
      </w:r>
      <w:r w:rsidRPr="001E17A1">
        <w:rPr>
          <w:rFonts w:ascii="宋体" w:hAnsi="宋体"/>
          <w:color w:val="000000" w:themeColor="text1"/>
          <w:sz w:val="24"/>
          <w:szCs w:val="24"/>
        </w:rPr>
        <w:t>所有资料</w:t>
      </w:r>
      <w:r w:rsidRPr="001E17A1">
        <w:rPr>
          <w:rFonts w:ascii="宋体" w:hAnsi="宋体" w:hint="eastAsia"/>
          <w:color w:val="000000" w:themeColor="text1"/>
          <w:sz w:val="24"/>
          <w:szCs w:val="24"/>
        </w:rPr>
        <w:t>均应提供</w:t>
      </w:r>
      <w:r w:rsidRPr="001E17A1">
        <w:rPr>
          <w:rFonts w:ascii="宋体" w:hAnsi="宋体"/>
          <w:color w:val="000000" w:themeColor="text1"/>
          <w:sz w:val="24"/>
          <w:szCs w:val="24"/>
        </w:rPr>
        <w:t>中文</w:t>
      </w:r>
      <w:r w:rsidRPr="001E17A1">
        <w:rPr>
          <w:rFonts w:ascii="宋体" w:hAnsi="宋体" w:hint="eastAsia"/>
          <w:color w:val="000000" w:themeColor="text1"/>
          <w:sz w:val="24"/>
          <w:szCs w:val="24"/>
        </w:rPr>
        <w:t>版资料</w:t>
      </w:r>
      <w:r w:rsidRPr="001E17A1">
        <w:rPr>
          <w:rFonts w:ascii="宋体" w:hAnsi="宋体"/>
          <w:color w:val="000000" w:themeColor="text1"/>
          <w:sz w:val="24"/>
          <w:szCs w:val="24"/>
        </w:rPr>
        <w:t>。中标人</w:t>
      </w:r>
      <w:r w:rsidRPr="001E17A1">
        <w:rPr>
          <w:rFonts w:ascii="宋体" w:hAnsi="宋体" w:hint="eastAsia"/>
          <w:color w:val="000000" w:themeColor="text1"/>
          <w:sz w:val="24"/>
          <w:szCs w:val="24"/>
        </w:rPr>
        <w:t>应在投标文件中提供详细的培训方案，</w:t>
      </w:r>
      <w:r w:rsidRPr="001E17A1">
        <w:rPr>
          <w:rFonts w:ascii="宋体" w:hAnsi="宋体"/>
          <w:color w:val="000000" w:themeColor="text1"/>
          <w:sz w:val="24"/>
          <w:szCs w:val="24"/>
        </w:rPr>
        <w:t>列明相应的培训课程内容、人数和时间安排</w:t>
      </w:r>
      <w:r w:rsidRPr="001E17A1">
        <w:rPr>
          <w:rFonts w:ascii="宋体" w:hAnsi="宋体" w:hint="eastAsia"/>
          <w:color w:val="000000" w:themeColor="text1"/>
          <w:sz w:val="24"/>
          <w:szCs w:val="24"/>
        </w:rPr>
        <w:t>等</w:t>
      </w:r>
      <w:r w:rsidRPr="001E17A1">
        <w:rPr>
          <w:rFonts w:ascii="宋体" w:hAnsi="宋体"/>
          <w:color w:val="000000" w:themeColor="text1"/>
          <w:sz w:val="24"/>
          <w:szCs w:val="24"/>
        </w:rPr>
        <w:t>。</w:t>
      </w:r>
    </w:p>
    <w:p w14:paraId="44744CF8"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二是在服务质量和时效性方面，按时响应并按时保质保量完成各项工作任务。</w:t>
      </w:r>
      <w:r w:rsidRPr="001E17A1">
        <w:rPr>
          <w:rFonts w:ascii="宋体" w:hAnsi="宋体" w:hint="eastAsia"/>
          <w:color w:val="000000" w:themeColor="text1"/>
          <w:sz w:val="24"/>
          <w:szCs w:val="24"/>
        </w:rPr>
        <w:t>中标人应当在</w:t>
      </w:r>
      <w:r w:rsidRPr="001E17A1">
        <w:rPr>
          <w:rFonts w:ascii="宋体" w:hAnsi="宋体"/>
          <w:color w:val="000000" w:themeColor="text1"/>
          <w:sz w:val="24"/>
          <w:szCs w:val="24"/>
        </w:rPr>
        <w:t>2</w:t>
      </w:r>
      <w:r w:rsidRPr="001E17A1">
        <w:rPr>
          <w:rFonts w:ascii="宋体" w:hAnsi="宋体" w:hint="eastAsia"/>
          <w:color w:val="000000" w:themeColor="text1"/>
          <w:sz w:val="24"/>
          <w:szCs w:val="24"/>
        </w:rPr>
        <w:t>个工作日内组织人力、物力资源响应采购方的服务单需求，并在</w:t>
      </w:r>
      <w:r w:rsidRPr="001E17A1">
        <w:rPr>
          <w:rFonts w:ascii="宋体" w:hAnsi="宋体"/>
          <w:color w:val="000000" w:themeColor="text1"/>
          <w:sz w:val="24"/>
          <w:szCs w:val="24"/>
        </w:rPr>
        <w:t>5</w:t>
      </w:r>
      <w:r w:rsidRPr="001E17A1">
        <w:rPr>
          <w:rFonts w:ascii="宋体" w:hAnsi="宋体" w:hint="eastAsia"/>
          <w:color w:val="000000" w:themeColor="text1"/>
          <w:sz w:val="24"/>
          <w:szCs w:val="24"/>
        </w:rPr>
        <w:t>个工作日内下达服务单的工作需求，包含但不限于按照服务单的要求细化工作需求的工作计划、完善服务单的业务方案和技术方案、明确交付绩效目标并启动开展服务单的实施工作，明确服务单各任务预估金额情况。常态化工作任务须在服务周期开始的第一个月内完成服务单的发放。在服务单实施期间，中标方应做好进度和质量控制，对服务单实施的全过程进行安全管理。为保证服务响应效率，中标人运营服务团队应常驻采购方外包服务场地并服从采购方的管理。中标方应按双方确认的时间节点保质保量交付服务单的工作成果。为保障服务质量和数据质量，中标人应当做好全流程监控管理，并开展对账。</w:t>
      </w:r>
    </w:p>
    <w:p w14:paraId="5DCDB9EF"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三是做好合同与协议管理备案，做好第三方监管要求响应、人员与场地管理、合规合理留痕等相关工作。</w:t>
      </w:r>
      <w:r w:rsidRPr="001E17A1">
        <w:rPr>
          <w:rFonts w:ascii="宋体" w:hAnsi="宋体" w:hint="eastAsia"/>
          <w:color w:val="000000" w:themeColor="text1"/>
          <w:sz w:val="24"/>
          <w:szCs w:val="24"/>
        </w:rPr>
        <w:t>在</w:t>
      </w:r>
      <w:r w:rsidRPr="001E17A1">
        <w:rPr>
          <w:rFonts w:ascii="宋体" w:hAnsi="宋体" w:hint="eastAsia"/>
          <w:b/>
          <w:bCs/>
          <w:color w:val="000000" w:themeColor="text1"/>
          <w:sz w:val="24"/>
          <w:szCs w:val="24"/>
        </w:rPr>
        <w:t>合同与协议管理备案方面，</w:t>
      </w:r>
      <w:r w:rsidRPr="001E17A1">
        <w:rPr>
          <w:rFonts w:ascii="宋体" w:hAnsi="宋体" w:hint="eastAsia"/>
          <w:color w:val="000000" w:themeColor="text1"/>
          <w:sz w:val="24"/>
          <w:szCs w:val="24"/>
        </w:rPr>
        <w:t>中标人由于数据运营服务的需要，与任何其他一方签订的合同，应当及时向采购方备案。中标人在服务期内每年通过签署补充协议对当周期内的数据运营服务绩效目标、</w:t>
      </w:r>
      <w:r w:rsidRPr="001E17A1">
        <w:rPr>
          <w:rFonts w:ascii="宋体" w:hAnsi="宋体"/>
          <w:color w:val="000000" w:themeColor="text1"/>
          <w:sz w:val="24"/>
          <w:szCs w:val="24"/>
        </w:rPr>
        <w:t>SLA</w:t>
      </w:r>
      <w:r w:rsidRPr="001E17A1">
        <w:rPr>
          <w:rFonts w:ascii="宋体" w:hAnsi="宋体" w:hint="eastAsia"/>
          <w:color w:val="000000" w:themeColor="text1"/>
          <w:sz w:val="24"/>
          <w:szCs w:val="24"/>
        </w:rPr>
        <w:t>服务要求、用户满意率目标以及服务目录细则予以确认和约定。在</w:t>
      </w:r>
      <w:r w:rsidRPr="001E17A1">
        <w:rPr>
          <w:rFonts w:ascii="宋体" w:hAnsi="宋体" w:hint="eastAsia"/>
          <w:b/>
          <w:bCs/>
          <w:color w:val="000000" w:themeColor="text1"/>
          <w:sz w:val="24"/>
          <w:szCs w:val="24"/>
        </w:rPr>
        <w:t>配合第三方监管机构工作</w:t>
      </w:r>
      <w:r w:rsidRPr="001E17A1">
        <w:rPr>
          <w:rFonts w:ascii="宋体" w:hAnsi="宋体" w:hint="eastAsia"/>
          <w:color w:val="000000" w:themeColor="text1"/>
          <w:sz w:val="24"/>
          <w:szCs w:val="24"/>
        </w:rPr>
        <w:t>方面，中标人应当在数据运营服务的工作要求下，无条件并及时配合数据</w:t>
      </w:r>
      <w:r w:rsidRPr="001E17A1">
        <w:rPr>
          <w:rFonts w:ascii="宋体" w:hAnsi="宋体" w:hint="eastAsia"/>
          <w:color w:val="000000" w:themeColor="text1"/>
          <w:sz w:val="24"/>
          <w:szCs w:val="24"/>
        </w:rPr>
        <w:lastRenderedPageBreak/>
        <w:t>运营服务第三方监管机构完成包括数据质量检核、数据质量攻防、安全审核、安全评估、飞行检查在内的数据质量、安全、人员场地相关工作内容。</w:t>
      </w:r>
      <w:r w:rsidRPr="001E17A1">
        <w:rPr>
          <w:rFonts w:ascii="宋体" w:hAnsi="宋体" w:hint="eastAsia"/>
          <w:b/>
          <w:bCs/>
          <w:color w:val="000000" w:themeColor="text1"/>
          <w:sz w:val="24"/>
          <w:szCs w:val="24"/>
        </w:rPr>
        <w:t>在工作量合规合理留痕方面，</w:t>
      </w:r>
      <w:r w:rsidRPr="001E17A1">
        <w:rPr>
          <w:rFonts w:ascii="宋体" w:hAnsi="宋体" w:hint="eastAsia"/>
          <w:color w:val="000000" w:themeColor="text1"/>
          <w:sz w:val="24"/>
          <w:szCs w:val="24"/>
        </w:rPr>
        <w:t>中标人在开展数据运营服务的过程中，应当配备线上系统与后台技术能力实现工作量的线上合理合规留痕，确保公正客观，并在工作开展的过程中，做好相关管理平台的维护工作，保证与服务任务状态与实际工作相符合。按照数据运营服务目录和服务任务的考核标准在系统如实、及时留痕，客观展现工作内容和工作量，以便满足包括日常监督管理、服务任务验收等工作的需要。</w:t>
      </w:r>
    </w:p>
    <w:p w14:paraId="5E0A5F70" w14:textId="77777777" w:rsidR="008137F8" w:rsidRPr="001E17A1" w:rsidRDefault="00000000">
      <w:pPr>
        <w:widowControl/>
        <w:tabs>
          <w:tab w:val="left" w:pos="1135"/>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四是在制度方面，在服务质量考核、资金管理、费用结算等方面建立符合采购方要求的制度体系。</w:t>
      </w:r>
      <w:r w:rsidRPr="001E17A1">
        <w:rPr>
          <w:rFonts w:ascii="宋体" w:hAnsi="宋体" w:hint="eastAsia"/>
          <w:color w:val="000000" w:themeColor="text1"/>
          <w:sz w:val="24"/>
          <w:szCs w:val="24"/>
        </w:rPr>
        <w:t>中标人在履行运营服务的过程中，应当遵循本区及采购方各类法律法规、制度规范的要求，因违反规定等原因造成的一切损失和责任由中标人承担。严格遵守采购方数据运营相关管理规范和管理办法的要求，若违反相关规定，按照合同违约处理。中标人应当按照采购方的要求，按照数据运营工作的需要，配套相适应的企业内部管理规范，并对不符合管理要求的已有企业内部制度规范进行整改，建立健全包括但不限于“人员考核管理办法”“运营服务实施流程管理规范”“运营服务验收管理规范”等内部制度体系。在</w:t>
      </w:r>
      <w:r w:rsidRPr="001E17A1">
        <w:rPr>
          <w:rFonts w:ascii="宋体" w:hAnsi="宋体" w:hint="eastAsia"/>
          <w:b/>
          <w:bCs/>
          <w:color w:val="000000" w:themeColor="text1"/>
          <w:sz w:val="24"/>
          <w:szCs w:val="24"/>
        </w:rPr>
        <w:t>服务质量考核方面</w:t>
      </w:r>
      <w:r w:rsidRPr="001E17A1">
        <w:rPr>
          <w:rFonts w:ascii="宋体" w:hAnsi="宋体" w:hint="eastAsia"/>
          <w:color w:val="000000" w:themeColor="text1"/>
          <w:sz w:val="24"/>
          <w:szCs w:val="24"/>
        </w:rPr>
        <w:t>建立相关管理制度，对各项服务明确考核指标和考核内容，对服务过程、服务交付物、数据质量等方面开展服务质量考核，开展全过程管理。在</w:t>
      </w:r>
      <w:r w:rsidRPr="001E17A1">
        <w:rPr>
          <w:rFonts w:ascii="宋体" w:hAnsi="宋体" w:hint="eastAsia"/>
          <w:b/>
          <w:bCs/>
          <w:color w:val="000000" w:themeColor="text1"/>
          <w:sz w:val="24"/>
          <w:szCs w:val="24"/>
        </w:rPr>
        <w:t>资金管理方面</w:t>
      </w:r>
      <w:r w:rsidRPr="001E17A1">
        <w:rPr>
          <w:rFonts w:ascii="宋体" w:hAnsi="宋体" w:hint="eastAsia"/>
          <w:color w:val="000000" w:themeColor="text1"/>
          <w:sz w:val="24"/>
          <w:szCs w:val="24"/>
        </w:rPr>
        <w:t>建立相关管理制度，根据“先用后付，按需响应，按实结算”的工作要求和工作原则开展资金管理，建立相适应的企业内部资金管理和商务体系，以适应数据运营的工作要求。在</w:t>
      </w:r>
      <w:r w:rsidRPr="001E17A1">
        <w:rPr>
          <w:rFonts w:ascii="宋体" w:hAnsi="宋体" w:hint="eastAsia"/>
          <w:b/>
          <w:bCs/>
          <w:color w:val="000000" w:themeColor="text1"/>
          <w:sz w:val="24"/>
          <w:szCs w:val="24"/>
        </w:rPr>
        <w:t>费用结算方面</w:t>
      </w:r>
      <w:r w:rsidRPr="001E17A1">
        <w:rPr>
          <w:rFonts w:ascii="宋体" w:hAnsi="宋体" w:hint="eastAsia"/>
          <w:color w:val="000000" w:themeColor="text1"/>
          <w:sz w:val="24"/>
          <w:szCs w:val="24"/>
        </w:rPr>
        <w:t>建立并落实相关管理制度，应当按照采购方的结算频率，在收到结算款后及时与供应商开展结算，结算情况应当及时向采购方进行备案。如发生已查证的与供应商拖欠结算款等事件，按照合同违约处理。相关管理规范和制度必须在经采购方审核通过后发布，并向采购方备案。</w:t>
      </w:r>
    </w:p>
    <w:p w14:paraId="2CECCD6B" w14:textId="77777777" w:rsidR="008137F8" w:rsidRPr="001E17A1" w:rsidRDefault="00000000">
      <w:pPr>
        <w:widowControl/>
        <w:tabs>
          <w:tab w:val="left" w:pos="1135"/>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五是在知识产权方面，满足合法合规要求。</w:t>
      </w:r>
      <w:r w:rsidRPr="001E17A1">
        <w:rPr>
          <w:rFonts w:ascii="宋体" w:hAnsi="宋体" w:hint="eastAsia"/>
          <w:color w:val="000000" w:themeColor="text1"/>
          <w:sz w:val="24"/>
          <w:szCs w:val="24"/>
        </w:rPr>
        <w:t>运营服务过程中涉及的所有数据及资产的拥有权及使用权均属于采购方，未经采购方许可，中标人无权对其进行支配。所有与数据相关的设备维修、报废等处理需经采购方同意，并在监管下进行。若发现中标人未经许可对数据进行支配，采购方将对中标人采取惩罚措施并追究其法律责任。除非事先书面申明并经采购方认可，中标人交付的软件、代码、模型、图纸、文档等是知识产权及使用权均归采购方所有；如交付成果涉及第三方知识产权，中标人应事先获得合法授权并保证采购方具有长期的合法使用权。</w:t>
      </w:r>
    </w:p>
    <w:p w14:paraId="2994C17A"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lastRenderedPageBreak/>
        <w:t>六是在安全管理方面，满足各类安全要求。</w:t>
      </w:r>
      <w:r w:rsidRPr="001E17A1">
        <w:rPr>
          <w:rFonts w:ascii="宋体" w:hAnsi="宋体" w:hint="eastAsia"/>
          <w:color w:val="000000" w:themeColor="text1"/>
          <w:sz w:val="24"/>
          <w:szCs w:val="24"/>
        </w:rPr>
        <w:t>中标人应制订运营安全管理方案，承担运营服务过程中环境安全、人员安全、信息安全、数据合规使用等相关各类安全责任。未经采购方书面授权，中标人不得实施漏洞探测、渗透性测试等活动，禁止上传木马、执行高危</w:t>
      </w:r>
      <w:r w:rsidRPr="001E17A1">
        <w:rPr>
          <w:rFonts w:ascii="宋体" w:hAnsi="宋体"/>
          <w:color w:val="000000" w:themeColor="text1"/>
          <w:sz w:val="24"/>
          <w:szCs w:val="24"/>
        </w:rPr>
        <w:t>payload</w:t>
      </w:r>
      <w:r w:rsidRPr="001E17A1">
        <w:rPr>
          <w:rFonts w:ascii="宋体" w:hAnsi="宋体" w:hint="eastAsia"/>
          <w:color w:val="000000" w:themeColor="text1"/>
          <w:sz w:val="24"/>
          <w:szCs w:val="24"/>
        </w:rPr>
        <w:t>等可能影响系统运行的操作。在安全工作中，1）中标人应当坚持主动预防、迅速高效的原则，紧密结合实际情况，精心编制并持续完善应急预案，按需组织实施应急演练。2）必须提供7×24小时全天候应急响应服务。3）依据故障时间及故障范围划分故障级别，并根据六级故障分别落实不同的故障响应措施，当发生B2级及以上故障后，立即响应，故障(发现+预判+传报)时间5分钟，业务恢复历时10分钟，故障处理历时2小时；当发生C+级故障后，5分钟内响应，故障(发现+预判+传报)时间30分钟，故障处理历时4小时；当发生C级故障后，5分钟内响应，故障(发现+预判+传报)时间60分钟，故障处理历时48小时。4）如发生故障，服务提供方应严格按照制定的应急预案中故障处理流程实施故障排除操作。5）当故障排除操作全部完成后，服务提供方应向采购方提交故障报告，经采购方验证通过后签字确认并归档保存，同时组织更新相关文档。6）如遇有重大事件（包括汛期、节假日、政治军事活动等），服务提供方应科学编制安全保障方案，并根据采购方需要提供现场保障服务。（注：依据故障时间及故障范围划分故障级别，故障级别分为六级，依次为：</w:t>
      </w:r>
    </w:p>
    <w:p w14:paraId="5F59EAB3"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特别重大故障（一级）A1：一级应用场景重要性不可用或数据异常，持续 30 分钟以上或严重后果判定上浮；</w:t>
      </w:r>
    </w:p>
    <w:p w14:paraId="47319BC4"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重大故障（二级）A2：一级或二级应用场景重要性不可用/数据异常 0~30 分钟或影响使用达 60 分钟以上；</w:t>
      </w:r>
    </w:p>
    <w:p w14:paraId="08283A48"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较大故障（三级）B1：二/三级不可用/影响使用 0~60 分钟；</w:t>
      </w:r>
    </w:p>
    <w:p w14:paraId="4382FBDD"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一般故障（四级）B2：场景重要性较低或影响程度较轻，影响时间较短；</w:t>
      </w:r>
    </w:p>
    <w:p w14:paraId="764C369A"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未产生批量投诉，无社会影响度C+级：1.服务性能下降，引发用户体验下降；2.系统、中间件、网络冗余保护功能丧失，处于无保护运行状态；3.非核心业务接口故障，丢失辅助业务功能，不影响核心服务；一般场景为四级或五级，影响使用轻微或数据异常轻微</w:t>
      </w:r>
    </w:p>
    <w:p w14:paraId="5DB862F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C级：1.常规的软、硬件故障，未触发业务功能受损，未导致业务的冗余保护功能丧失；2.常规的容量、性能故障，未触发业务功能受损，未导致业务的冗余保护功能丧失；3.其它故障；）</w:t>
      </w:r>
    </w:p>
    <w:p w14:paraId="201F85F9"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七是承担数据运营相关文档材料、人员场地管理等工作。</w:t>
      </w:r>
      <w:r w:rsidRPr="001E17A1">
        <w:rPr>
          <w:rFonts w:ascii="宋体" w:hAnsi="宋体" w:hint="eastAsia"/>
          <w:color w:val="000000" w:themeColor="text1"/>
          <w:sz w:val="24"/>
          <w:szCs w:val="24"/>
        </w:rPr>
        <w:t>积极并准确响应采购方的需求，并做好转化。编制服务要素单、业务方案、技术方案等文档材料，并做好需求单、服务单、工单的线上流程合理、客观管理。严格执行中心场地管理以及人员管理的要求，做好云桌面的管理、人员账号管理。</w:t>
      </w:r>
    </w:p>
    <w:p w14:paraId="52336EF3" w14:textId="77777777" w:rsidR="008137F8" w:rsidRPr="001E17A1" w:rsidRDefault="00000000">
      <w:pPr>
        <w:widowControl/>
        <w:tabs>
          <w:tab w:val="left" w:pos="1135"/>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八是做好结算管理，形成数据运营的良好生态体系。</w:t>
      </w:r>
      <w:r w:rsidRPr="001E17A1">
        <w:rPr>
          <w:rFonts w:ascii="宋体" w:hAnsi="宋体" w:hint="eastAsia"/>
          <w:color w:val="000000" w:themeColor="text1"/>
          <w:sz w:val="24"/>
          <w:szCs w:val="24"/>
        </w:rPr>
        <w:t>服务集成商的结算行为应当及时向采购方进行报备。优化服务管理模式，深入落实数据运营机制，在支撑好重点工作建设的同时，维护好数据运营的生态圈，构建良好的数据运营生态体系。</w:t>
      </w:r>
    </w:p>
    <w:p w14:paraId="7631D59E"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r w:rsidRPr="001E17A1">
        <w:rPr>
          <w:rFonts w:ascii="宋体" w:hAnsi="宋体" w:hint="eastAsia"/>
          <w:b/>
          <w:bCs/>
          <w:color w:val="000000" w:themeColor="text1"/>
          <w:sz w:val="24"/>
          <w:szCs w:val="24"/>
        </w:rPr>
        <w:t>九是“以成效为导向”做好服务单的分类管理，明确管理内容和目标。</w:t>
      </w:r>
      <w:r w:rsidRPr="001E17A1">
        <w:rPr>
          <w:rFonts w:ascii="宋体" w:hAnsi="宋体" w:hint="eastAsia"/>
          <w:color w:val="000000" w:themeColor="text1"/>
          <w:sz w:val="24"/>
          <w:szCs w:val="24"/>
        </w:rPr>
        <w:t>中标人应当对服务单做好分类管理，服务单类型包括但不限于数据采购服务、数据治理及平台运维运营等。其中，数据采购服务是由中标人直接采购数据服务，以支撑数据运营工作的需要。数据治理服务于委办局本身，开展源端数据治理，一般偏向于满足单部门、单领域、单行业的数据治理需求；服务于区领导、全区，开展多行业、多领域数据的融合治理，一般偏向于全区通用性的数据治理需要；平台运维运营工作具体开展区大数据资源平台运营运维能力的建设以及迭代提升。中标人应当明确每项数据运营服务工作边界、管理工作内容、预期工作成效、预结算机制等。</w:t>
      </w:r>
    </w:p>
    <w:bookmarkEnd w:id="22"/>
    <w:bookmarkEnd w:id="23"/>
    <w:p w14:paraId="51074287"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b/>
          <w:bCs/>
          <w:color w:val="000000" w:themeColor="text1"/>
          <w:sz w:val="24"/>
          <w:szCs w:val="24"/>
        </w:rPr>
      </w:pPr>
      <w:r w:rsidRPr="001E17A1">
        <w:rPr>
          <w:rFonts w:ascii="宋体" w:hAnsi="宋体" w:hint="eastAsia"/>
          <w:b/>
          <w:bCs/>
          <w:color w:val="000000" w:themeColor="text1"/>
          <w:sz w:val="24"/>
          <w:szCs w:val="24"/>
        </w:rPr>
        <w:t>十是承担主体责任，承担经济损失。</w:t>
      </w:r>
      <w:r w:rsidRPr="001E17A1">
        <w:rPr>
          <w:rFonts w:ascii="宋体" w:hAnsi="宋体" w:hint="eastAsia"/>
          <w:color w:val="000000" w:themeColor="text1"/>
          <w:sz w:val="24"/>
          <w:szCs w:val="24"/>
        </w:rPr>
        <w:t>中标人应当在服务周期内做好数据质量和服务质量的保障，避免故障的发生。若发生故障，应按照相关故障处理的时长要求、流程标准等做好处置。在服务周期内，由于中标人直接或间接引起经济损失的，全部由中标人承担经济损失。</w:t>
      </w:r>
    </w:p>
    <w:p w14:paraId="5A449655" w14:textId="77777777" w:rsidR="008137F8" w:rsidRPr="001E17A1" w:rsidRDefault="00000000">
      <w:pPr>
        <w:pStyle w:val="2"/>
        <w:snapToGrid w:val="0"/>
        <w:spacing w:before="0"/>
        <w:ind w:left="0" w:firstLine="0"/>
        <w:rPr>
          <w:rFonts w:ascii="宋体" w:hAnsi="宋体" w:hint="eastAsia"/>
          <w:color w:val="000000" w:themeColor="text1"/>
          <w:sz w:val="24"/>
          <w:szCs w:val="24"/>
        </w:rPr>
      </w:pPr>
      <w:r w:rsidRPr="001E17A1">
        <w:rPr>
          <w:rFonts w:ascii="宋体" w:hAnsi="宋体" w:hint="eastAsia"/>
          <w:color w:val="000000" w:themeColor="text1"/>
          <w:sz w:val="24"/>
          <w:szCs w:val="24"/>
        </w:rPr>
        <w:t>响应时间要求</w:t>
      </w:r>
    </w:p>
    <w:p w14:paraId="5889AD50"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需求响应时间</w:t>
      </w:r>
    </w:p>
    <w:p w14:paraId="2C888342"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采购方提出服务单需求后，中标人应在7日内向采购方提交该服务单的服务团队、实施计划和相应的实施方案，全面响应采购方的服务需求。</w:t>
      </w:r>
    </w:p>
    <w:p w14:paraId="7D338B2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中标人应根据不同的运营服务任务要求，提出相应的运营服务方案，包括但不仅限于处理流程、响应时间、管理体制、服务人员和工具配备等。</w:t>
      </w:r>
    </w:p>
    <w:p w14:paraId="7673797B"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应急服务响应时间</w:t>
      </w:r>
    </w:p>
    <w:p w14:paraId="068279A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（1）中标人应坚持主动预防、迅速高效的原则，紧密结合实际情况，精心编制并持续完善应急预案，按需组织实施应急演练。</w:t>
      </w:r>
    </w:p>
    <w:p w14:paraId="4BBC4A50"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（2）中标人必须提供7×24小时全天候应急响应服务。</w:t>
      </w:r>
    </w:p>
    <w:p w14:paraId="5A71D753"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bookmarkStart w:id="26" w:name="OLE_LINK6"/>
      <w:bookmarkStart w:id="27" w:name="_Hlk200545654"/>
      <w:r w:rsidRPr="001E17A1">
        <w:rPr>
          <w:rFonts w:ascii="宋体" w:hAnsi="宋体" w:hint="eastAsia"/>
          <w:color w:val="000000" w:themeColor="text1"/>
          <w:sz w:val="24"/>
          <w:szCs w:val="24"/>
        </w:rPr>
        <w:t>（3）</w:t>
      </w:r>
      <w:bookmarkEnd w:id="26"/>
      <w:r w:rsidRPr="001E17A1">
        <w:rPr>
          <w:rFonts w:ascii="宋体" w:hAnsi="宋体" w:hint="eastAsia"/>
          <w:color w:val="000000" w:themeColor="text1"/>
          <w:sz w:val="24"/>
          <w:szCs w:val="24"/>
        </w:rPr>
        <w:t>依据故障时间及故障范围划分故障级别，故障级别分为六级，依次为：</w:t>
      </w:r>
    </w:p>
    <w:p w14:paraId="03821EAE"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特别重大故障（一级）A1</w:t>
      </w:r>
      <w:r w:rsidRPr="001E17A1">
        <w:rPr>
          <w:rFonts w:ascii="宋体" w:hAnsi="宋体" w:hint="eastAsia"/>
          <w:color w:val="000000" w:themeColor="text1"/>
          <w:sz w:val="24"/>
          <w:szCs w:val="24"/>
        </w:rPr>
        <w:t>：一级应用场景重要性不可用或数据异常，持续 30 分钟以上或严重后果判定上浮；</w:t>
      </w:r>
    </w:p>
    <w:p w14:paraId="2F1170CB"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重大故障（二级）A2</w:t>
      </w:r>
      <w:r w:rsidRPr="001E17A1">
        <w:rPr>
          <w:rFonts w:ascii="宋体" w:hAnsi="宋体" w:hint="eastAsia"/>
          <w:color w:val="000000" w:themeColor="text1"/>
          <w:sz w:val="24"/>
          <w:szCs w:val="24"/>
        </w:rPr>
        <w:t>：一级或二级应用场景重要性不可用/数据异常 0~30 分钟或影响使用达 60 分钟以上；</w:t>
      </w:r>
    </w:p>
    <w:p w14:paraId="50CED3B4"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较大故障（三级）</w:t>
      </w:r>
      <w:r w:rsidRPr="001E17A1">
        <w:rPr>
          <w:rFonts w:ascii="宋体" w:hAnsi="宋体" w:hint="eastAsia"/>
          <w:color w:val="000000" w:themeColor="text1"/>
          <w:sz w:val="24"/>
          <w:szCs w:val="24"/>
        </w:rPr>
        <w:t>B</w:t>
      </w:r>
      <w:r w:rsidRPr="001E17A1">
        <w:rPr>
          <w:rFonts w:ascii="宋体" w:hAnsi="宋体"/>
          <w:color w:val="000000" w:themeColor="text1"/>
          <w:sz w:val="24"/>
          <w:szCs w:val="24"/>
        </w:rPr>
        <w:t>1</w:t>
      </w:r>
      <w:r w:rsidRPr="001E17A1">
        <w:rPr>
          <w:rFonts w:ascii="宋体" w:hAnsi="宋体" w:hint="eastAsia"/>
          <w:color w:val="000000" w:themeColor="text1"/>
          <w:sz w:val="24"/>
          <w:szCs w:val="24"/>
        </w:rPr>
        <w:t>：二/三级不可用/影响使用 0~60 分钟；</w:t>
      </w:r>
    </w:p>
    <w:p w14:paraId="080B779A"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一般故障（四级）</w:t>
      </w:r>
      <w:r w:rsidRPr="001E17A1">
        <w:rPr>
          <w:rFonts w:ascii="宋体" w:hAnsi="宋体" w:hint="eastAsia"/>
          <w:color w:val="000000" w:themeColor="text1"/>
          <w:sz w:val="24"/>
          <w:szCs w:val="24"/>
        </w:rPr>
        <w:t>B</w:t>
      </w:r>
      <w:r w:rsidRPr="001E17A1">
        <w:rPr>
          <w:rFonts w:ascii="宋体" w:hAnsi="宋体"/>
          <w:color w:val="000000" w:themeColor="text1"/>
          <w:sz w:val="24"/>
          <w:szCs w:val="24"/>
        </w:rPr>
        <w:t>2</w:t>
      </w:r>
      <w:r w:rsidRPr="001E17A1">
        <w:rPr>
          <w:rFonts w:ascii="宋体" w:hAnsi="宋体" w:hint="eastAsia"/>
          <w:color w:val="000000" w:themeColor="text1"/>
          <w:sz w:val="24"/>
          <w:szCs w:val="24"/>
        </w:rPr>
        <w:t>：场景重要性较低或影响程度较轻，影响时间较短；</w:t>
      </w:r>
    </w:p>
    <w:p w14:paraId="53B575BE"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未产生批量投诉，无社会影响度C+级</w:t>
      </w:r>
      <w:r w:rsidRPr="001E17A1">
        <w:rPr>
          <w:rFonts w:ascii="宋体" w:hAnsi="宋体" w:hint="eastAsia"/>
          <w:color w:val="000000" w:themeColor="text1"/>
          <w:sz w:val="24"/>
          <w:szCs w:val="24"/>
        </w:rPr>
        <w:t>：</w:t>
      </w:r>
      <w:r w:rsidRPr="001E17A1">
        <w:rPr>
          <w:rFonts w:ascii="宋体" w:hAnsi="宋体"/>
          <w:color w:val="000000" w:themeColor="text1"/>
          <w:sz w:val="24"/>
          <w:szCs w:val="24"/>
        </w:rPr>
        <w:t>1.服务性能下降，引发用户体验下降</w:t>
      </w:r>
      <w:r w:rsidRPr="001E17A1">
        <w:rPr>
          <w:rFonts w:ascii="宋体" w:hAnsi="宋体" w:hint="eastAsia"/>
          <w:color w:val="000000" w:themeColor="text1"/>
          <w:sz w:val="24"/>
          <w:szCs w:val="24"/>
        </w:rPr>
        <w:t>；</w:t>
      </w:r>
      <w:r w:rsidRPr="001E17A1">
        <w:rPr>
          <w:rFonts w:ascii="宋体" w:hAnsi="宋体"/>
          <w:color w:val="000000" w:themeColor="text1"/>
          <w:sz w:val="24"/>
          <w:szCs w:val="24"/>
        </w:rPr>
        <w:t>2.系统、中间件、网络冗余保护功能丧失，处于无保护运行状态</w:t>
      </w:r>
      <w:r w:rsidRPr="001E17A1">
        <w:rPr>
          <w:rFonts w:ascii="宋体" w:hAnsi="宋体" w:hint="eastAsia"/>
          <w:color w:val="000000" w:themeColor="text1"/>
          <w:sz w:val="24"/>
          <w:szCs w:val="24"/>
        </w:rPr>
        <w:t>；</w:t>
      </w:r>
      <w:r w:rsidRPr="001E17A1">
        <w:rPr>
          <w:rFonts w:ascii="宋体" w:hAnsi="宋体"/>
          <w:color w:val="000000" w:themeColor="text1"/>
          <w:sz w:val="24"/>
          <w:szCs w:val="24"/>
        </w:rPr>
        <w:t>3.非核心业务接口故障，丢失辅助业务功能，不影响核心服务</w:t>
      </w:r>
      <w:r w:rsidRPr="001E17A1">
        <w:rPr>
          <w:rFonts w:ascii="宋体" w:hAnsi="宋体" w:hint="eastAsia"/>
          <w:color w:val="000000" w:themeColor="text1"/>
          <w:sz w:val="24"/>
          <w:szCs w:val="24"/>
        </w:rPr>
        <w:t>；一般场景为四级或五级，影响使用轻微或数据异常轻微</w:t>
      </w:r>
    </w:p>
    <w:p w14:paraId="1A89BFEF"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C级</w:t>
      </w:r>
      <w:r w:rsidRPr="001E17A1">
        <w:rPr>
          <w:rFonts w:ascii="宋体" w:hAnsi="宋体" w:hint="eastAsia"/>
          <w:color w:val="000000" w:themeColor="text1"/>
          <w:sz w:val="24"/>
          <w:szCs w:val="24"/>
        </w:rPr>
        <w:t>：</w:t>
      </w:r>
      <w:r w:rsidRPr="001E17A1">
        <w:rPr>
          <w:rFonts w:ascii="宋体" w:hAnsi="宋体"/>
          <w:color w:val="000000" w:themeColor="text1"/>
          <w:sz w:val="24"/>
          <w:szCs w:val="24"/>
        </w:rPr>
        <w:t>1.常规的软、硬件故障，未触发业务功能受损，未导致业务的冗余保护功能丧失</w:t>
      </w:r>
      <w:r w:rsidRPr="001E17A1">
        <w:rPr>
          <w:rFonts w:ascii="宋体" w:hAnsi="宋体" w:hint="eastAsia"/>
          <w:color w:val="000000" w:themeColor="text1"/>
          <w:sz w:val="24"/>
          <w:szCs w:val="24"/>
        </w:rPr>
        <w:t>；</w:t>
      </w:r>
      <w:r w:rsidRPr="001E17A1">
        <w:rPr>
          <w:rFonts w:ascii="宋体" w:hAnsi="宋体"/>
          <w:color w:val="000000" w:themeColor="text1"/>
          <w:sz w:val="24"/>
          <w:szCs w:val="24"/>
        </w:rPr>
        <w:t>2.常规的容量、性能故障，未触发业务功能受损，未导致业务的冗余保护功能丧失</w:t>
      </w:r>
      <w:r w:rsidRPr="001E17A1">
        <w:rPr>
          <w:rFonts w:ascii="宋体" w:hAnsi="宋体" w:hint="eastAsia"/>
          <w:color w:val="000000" w:themeColor="text1"/>
          <w:sz w:val="24"/>
          <w:szCs w:val="24"/>
        </w:rPr>
        <w:t>；</w:t>
      </w:r>
      <w:r w:rsidRPr="001E17A1">
        <w:rPr>
          <w:rFonts w:ascii="宋体" w:hAnsi="宋体"/>
          <w:color w:val="000000" w:themeColor="text1"/>
          <w:sz w:val="24"/>
          <w:szCs w:val="24"/>
        </w:rPr>
        <w:t>3.其它故障</w:t>
      </w:r>
      <w:r w:rsidRPr="001E17A1">
        <w:rPr>
          <w:rFonts w:ascii="宋体" w:hAnsi="宋体" w:hint="eastAsia"/>
          <w:color w:val="000000" w:themeColor="text1"/>
          <w:sz w:val="24"/>
          <w:szCs w:val="24"/>
        </w:rPr>
        <w:t>；</w:t>
      </w:r>
    </w:p>
    <w:bookmarkEnd w:id="27"/>
    <w:p w14:paraId="061EE1C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当：</w:t>
      </w:r>
    </w:p>
    <w:p w14:paraId="6CFAE61A"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a、发生B2级及以上故障后</w:t>
      </w:r>
      <w:r w:rsidRPr="001E17A1">
        <w:rPr>
          <w:rFonts w:ascii="宋体" w:hAnsi="宋体" w:hint="eastAsia"/>
          <w:color w:val="000000" w:themeColor="text1"/>
          <w:sz w:val="24"/>
          <w:szCs w:val="24"/>
        </w:rPr>
        <w:t>，立即响应，</w:t>
      </w:r>
      <w:r w:rsidRPr="001E17A1">
        <w:rPr>
          <w:rFonts w:ascii="宋体" w:hAnsi="宋体"/>
          <w:color w:val="000000" w:themeColor="text1"/>
          <w:sz w:val="24"/>
          <w:szCs w:val="24"/>
        </w:rPr>
        <w:t>故障(发现+预判+传报)时间5分钟</w:t>
      </w:r>
      <w:r w:rsidRPr="001E17A1">
        <w:rPr>
          <w:rFonts w:ascii="宋体" w:hAnsi="宋体" w:hint="eastAsia"/>
          <w:color w:val="000000" w:themeColor="text1"/>
          <w:sz w:val="24"/>
          <w:szCs w:val="24"/>
        </w:rPr>
        <w:t>，</w:t>
      </w:r>
      <w:r w:rsidRPr="001E17A1">
        <w:rPr>
          <w:rFonts w:ascii="宋体" w:hAnsi="宋体"/>
          <w:color w:val="000000" w:themeColor="text1"/>
          <w:sz w:val="24"/>
          <w:szCs w:val="24"/>
        </w:rPr>
        <w:t>业务恢复历时</w:t>
      </w:r>
      <w:r w:rsidRPr="001E17A1">
        <w:rPr>
          <w:rFonts w:ascii="宋体" w:hAnsi="宋体" w:hint="eastAsia"/>
          <w:color w:val="000000" w:themeColor="text1"/>
          <w:sz w:val="24"/>
          <w:szCs w:val="24"/>
        </w:rPr>
        <w:t>1</w:t>
      </w:r>
      <w:r w:rsidRPr="001E17A1">
        <w:rPr>
          <w:rFonts w:ascii="宋体" w:hAnsi="宋体"/>
          <w:color w:val="000000" w:themeColor="text1"/>
          <w:sz w:val="24"/>
          <w:szCs w:val="24"/>
        </w:rPr>
        <w:t>0</w:t>
      </w:r>
      <w:r w:rsidRPr="001E17A1">
        <w:rPr>
          <w:rFonts w:ascii="宋体" w:hAnsi="宋体" w:hint="eastAsia"/>
          <w:color w:val="000000" w:themeColor="text1"/>
          <w:sz w:val="24"/>
          <w:szCs w:val="24"/>
        </w:rPr>
        <w:t>分钟，</w:t>
      </w:r>
      <w:r w:rsidRPr="001E17A1">
        <w:rPr>
          <w:rFonts w:ascii="宋体" w:hAnsi="宋体"/>
          <w:color w:val="000000" w:themeColor="text1"/>
          <w:sz w:val="24"/>
          <w:szCs w:val="24"/>
        </w:rPr>
        <w:t>故障处理历时</w:t>
      </w:r>
      <w:r w:rsidRPr="001E17A1">
        <w:rPr>
          <w:rFonts w:ascii="宋体" w:hAnsi="宋体" w:hint="eastAsia"/>
          <w:color w:val="000000" w:themeColor="text1"/>
          <w:sz w:val="24"/>
          <w:szCs w:val="24"/>
        </w:rPr>
        <w:t>2小时</w:t>
      </w:r>
    </w:p>
    <w:p w14:paraId="39E952B8"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b、发生C+级故障后</w:t>
      </w:r>
      <w:r w:rsidRPr="001E17A1">
        <w:rPr>
          <w:rFonts w:ascii="宋体" w:hAnsi="宋体" w:hint="eastAsia"/>
          <w:color w:val="000000" w:themeColor="text1"/>
          <w:sz w:val="24"/>
          <w:szCs w:val="24"/>
        </w:rPr>
        <w:t>，5分钟内响应，</w:t>
      </w:r>
      <w:r w:rsidRPr="001E17A1">
        <w:rPr>
          <w:rFonts w:ascii="宋体" w:hAnsi="宋体"/>
          <w:color w:val="000000" w:themeColor="text1"/>
          <w:sz w:val="24"/>
          <w:szCs w:val="24"/>
        </w:rPr>
        <w:t>故障(发现+预判+传报)时间30分钟</w:t>
      </w:r>
      <w:r w:rsidRPr="001E17A1">
        <w:rPr>
          <w:rFonts w:ascii="宋体" w:hAnsi="宋体" w:hint="eastAsia"/>
          <w:color w:val="000000" w:themeColor="text1"/>
          <w:sz w:val="24"/>
          <w:szCs w:val="24"/>
        </w:rPr>
        <w:t>，</w:t>
      </w:r>
      <w:r w:rsidRPr="001E17A1">
        <w:rPr>
          <w:rFonts w:ascii="宋体" w:hAnsi="宋体"/>
          <w:color w:val="000000" w:themeColor="text1"/>
          <w:sz w:val="24"/>
          <w:szCs w:val="24"/>
        </w:rPr>
        <w:t>故障处理历时4小时</w:t>
      </w:r>
    </w:p>
    <w:p w14:paraId="4D279EF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c、发C级故障后</w:t>
      </w:r>
      <w:r w:rsidRPr="001E17A1">
        <w:rPr>
          <w:rFonts w:ascii="宋体" w:hAnsi="宋体" w:hint="eastAsia"/>
          <w:color w:val="000000" w:themeColor="text1"/>
          <w:sz w:val="24"/>
          <w:szCs w:val="24"/>
        </w:rPr>
        <w:t>，5分钟内响应，</w:t>
      </w:r>
      <w:r w:rsidRPr="001E17A1">
        <w:rPr>
          <w:rFonts w:ascii="宋体" w:hAnsi="宋体"/>
          <w:color w:val="000000" w:themeColor="text1"/>
          <w:sz w:val="24"/>
          <w:szCs w:val="24"/>
        </w:rPr>
        <w:t>故障(发现+预判+传报)时间60分钟</w:t>
      </w:r>
      <w:r w:rsidRPr="001E17A1">
        <w:rPr>
          <w:rFonts w:ascii="宋体" w:hAnsi="宋体" w:hint="eastAsia"/>
          <w:color w:val="000000" w:themeColor="text1"/>
          <w:sz w:val="24"/>
          <w:szCs w:val="24"/>
        </w:rPr>
        <w:t>，</w:t>
      </w:r>
      <w:r w:rsidRPr="001E17A1">
        <w:rPr>
          <w:rFonts w:ascii="宋体" w:hAnsi="宋体"/>
          <w:color w:val="000000" w:themeColor="text1"/>
          <w:sz w:val="24"/>
          <w:szCs w:val="24"/>
        </w:rPr>
        <w:t>故障处理历时48小时</w:t>
      </w:r>
    </w:p>
    <w:p w14:paraId="1348441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hint="eastAsia"/>
          <w:color w:val="000000" w:themeColor="text1"/>
          <w:sz w:val="24"/>
          <w:szCs w:val="24"/>
        </w:rPr>
        <w:t>4</w:t>
      </w:r>
      <w:r w:rsidRPr="001E17A1">
        <w:rPr>
          <w:rFonts w:ascii="宋体" w:hAnsi="宋体"/>
          <w:color w:val="000000" w:themeColor="text1"/>
          <w:sz w:val="24"/>
          <w:szCs w:val="24"/>
        </w:rPr>
        <w:t>）</w:t>
      </w:r>
      <w:r w:rsidRPr="001E17A1">
        <w:rPr>
          <w:rFonts w:ascii="宋体" w:hAnsi="宋体" w:hint="eastAsia"/>
          <w:color w:val="000000" w:themeColor="text1"/>
          <w:sz w:val="24"/>
          <w:szCs w:val="24"/>
        </w:rPr>
        <w:t>如发生故障，服务提供方应严格按照制定的应急预案中故障处理流程实施故障排除操作。</w:t>
      </w:r>
    </w:p>
    <w:p w14:paraId="50727C6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hint="eastAsia"/>
          <w:color w:val="000000" w:themeColor="text1"/>
          <w:sz w:val="24"/>
          <w:szCs w:val="24"/>
        </w:rPr>
        <w:t>5</w:t>
      </w:r>
      <w:r w:rsidRPr="001E17A1">
        <w:rPr>
          <w:rFonts w:ascii="宋体" w:hAnsi="宋体"/>
          <w:color w:val="000000" w:themeColor="text1"/>
          <w:sz w:val="24"/>
          <w:szCs w:val="24"/>
        </w:rPr>
        <w:t>）</w:t>
      </w:r>
      <w:r w:rsidRPr="001E17A1">
        <w:rPr>
          <w:rFonts w:ascii="宋体" w:hAnsi="宋体" w:hint="eastAsia"/>
          <w:color w:val="000000" w:themeColor="text1"/>
          <w:sz w:val="24"/>
          <w:szCs w:val="24"/>
        </w:rPr>
        <w:t>当故障排除操作全部完成后，服务提供方应向采购方提交故障报告，经采购方验证通过后签字确认并归档保存，同时组织更新相关文档。</w:t>
      </w:r>
    </w:p>
    <w:p w14:paraId="7246FC7E"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（6）如遇有重大事件（包括汛期、节假日、政治军事活动等），服务提供方应科学编制安全保障方案，并根据采购方需要提供现场保障服务。</w:t>
      </w:r>
    </w:p>
    <w:p w14:paraId="55C70769"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标人应有专门的数据记录方式，记录和整理采购方的各类故障</w:t>
      </w:r>
      <w:r w:rsidRPr="001E17A1">
        <w:rPr>
          <w:rFonts w:ascii="宋体" w:hAnsi="宋体" w:hint="eastAsia"/>
          <w:color w:val="000000" w:themeColor="text1"/>
          <w:sz w:val="24"/>
          <w:szCs w:val="24"/>
        </w:rPr>
        <w:t>及技术分析处置结果</w:t>
      </w:r>
      <w:r w:rsidRPr="001E17A1">
        <w:rPr>
          <w:rFonts w:ascii="宋体" w:hAnsi="宋体"/>
          <w:color w:val="000000" w:themeColor="text1"/>
          <w:sz w:val="24"/>
          <w:szCs w:val="24"/>
        </w:rPr>
        <w:t>、技术咨询问题</w:t>
      </w:r>
      <w:r w:rsidRPr="001E17A1">
        <w:rPr>
          <w:rFonts w:ascii="宋体" w:hAnsi="宋体" w:hint="eastAsia"/>
          <w:color w:val="000000" w:themeColor="text1"/>
          <w:sz w:val="24"/>
          <w:szCs w:val="24"/>
        </w:rPr>
        <w:t>及</w:t>
      </w:r>
      <w:r w:rsidRPr="001E17A1">
        <w:rPr>
          <w:rFonts w:ascii="宋体" w:hAnsi="宋体"/>
          <w:color w:val="000000" w:themeColor="text1"/>
          <w:sz w:val="24"/>
          <w:szCs w:val="24"/>
        </w:rPr>
        <w:t>答复等。</w:t>
      </w:r>
    </w:p>
    <w:p w14:paraId="4A1DDBAF"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投标人应提供相应的响应方案，包括</w:t>
      </w:r>
      <w:r w:rsidRPr="001E17A1">
        <w:rPr>
          <w:rFonts w:ascii="宋体" w:hAnsi="宋体"/>
          <w:color w:val="000000" w:themeColor="text1"/>
          <w:sz w:val="24"/>
          <w:szCs w:val="24"/>
        </w:rPr>
        <w:t>7</w:t>
      </w:r>
      <w:r w:rsidRPr="001E17A1">
        <w:rPr>
          <w:rFonts w:ascii="宋体" w:hAnsi="宋体" w:hint="eastAsia"/>
          <w:color w:val="000000" w:themeColor="text1"/>
          <w:sz w:val="24"/>
          <w:szCs w:val="24"/>
        </w:rPr>
        <w:t>×</w:t>
      </w:r>
      <w:r w:rsidRPr="001E17A1">
        <w:rPr>
          <w:rFonts w:ascii="宋体" w:hAnsi="宋体"/>
          <w:color w:val="000000" w:themeColor="text1"/>
          <w:sz w:val="24"/>
          <w:szCs w:val="24"/>
        </w:rPr>
        <w:t>24</w:t>
      </w:r>
      <w:r w:rsidRPr="001E17A1">
        <w:rPr>
          <w:rFonts w:ascii="宋体" w:hAnsi="宋体" w:hint="eastAsia"/>
          <w:color w:val="000000" w:themeColor="text1"/>
          <w:sz w:val="24"/>
          <w:szCs w:val="24"/>
        </w:rPr>
        <w:t>小时的故障接受渠道、处置流程、响应时间、服务人员和工具配备等。</w:t>
      </w:r>
    </w:p>
    <w:p w14:paraId="400D8CF4"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重点保障服务</w:t>
      </w:r>
    </w:p>
    <w:p w14:paraId="68864557"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系统升级、</w:t>
      </w:r>
      <w:r w:rsidRPr="001E17A1">
        <w:rPr>
          <w:rFonts w:ascii="宋体" w:hAnsi="宋体"/>
          <w:color w:val="000000" w:themeColor="text1"/>
          <w:sz w:val="24"/>
          <w:szCs w:val="24"/>
        </w:rPr>
        <w:t>迁移</w:t>
      </w:r>
      <w:r w:rsidRPr="001E17A1">
        <w:rPr>
          <w:rFonts w:ascii="宋体" w:hAnsi="宋体" w:hint="eastAsia"/>
          <w:color w:val="000000" w:themeColor="text1"/>
          <w:sz w:val="24"/>
          <w:szCs w:val="24"/>
        </w:rPr>
        <w:t>、</w:t>
      </w:r>
      <w:r w:rsidRPr="001E17A1">
        <w:rPr>
          <w:rFonts w:ascii="宋体" w:hAnsi="宋体"/>
          <w:color w:val="000000" w:themeColor="text1"/>
          <w:sz w:val="24"/>
          <w:szCs w:val="24"/>
        </w:rPr>
        <w:t>割接：开展业务系统</w:t>
      </w:r>
      <w:r w:rsidRPr="001E17A1">
        <w:rPr>
          <w:rFonts w:ascii="宋体" w:hAnsi="宋体" w:hint="eastAsia"/>
          <w:color w:val="000000" w:themeColor="text1"/>
          <w:sz w:val="24"/>
          <w:szCs w:val="24"/>
        </w:rPr>
        <w:t>或</w:t>
      </w:r>
      <w:r w:rsidRPr="001E17A1">
        <w:rPr>
          <w:rFonts w:ascii="宋体" w:hAnsi="宋体"/>
          <w:color w:val="000000" w:themeColor="text1"/>
          <w:sz w:val="24"/>
          <w:szCs w:val="24"/>
        </w:rPr>
        <w:t>相关软硬件</w:t>
      </w:r>
      <w:r w:rsidRPr="001E17A1">
        <w:rPr>
          <w:rFonts w:ascii="宋体" w:hAnsi="宋体" w:hint="eastAsia"/>
          <w:color w:val="000000" w:themeColor="text1"/>
          <w:sz w:val="24"/>
          <w:szCs w:val="24"/>
        </w:rPr>
        <w:t>的升级、</w:t>
      </w:r>
      <w:r w:rsidRPr="001E17A1">
        <w:rPr>
          <w:rFonts w:ascii="宋体" w:hAnsi="宋体"/>
          <w:color w:val="000000" w:themeColor="text1"/>
          <w:sz w:val="24"/>
          <w:szCs w:val="24"/>
        </w:rPr>
        <w:t>迁移</w:t>
      </w:r>
      <w:r w:rsidRPr="001E17A1">
        <w:rPr>
          <w:rFonts w:ascii="宋体" w:hAnsi="宋体" w:hint="eastAsia"/>
          <w:color w:val="000000" w:themeColor="text1"/>
          <w:sz w:val="24"/>
          <w:szCs w:val="24"/>
        </w:rPr>
        <w:t>、</w:t>
      </w:r>
      <w:r w:rsidRPr="001E17A1">
        <w:rPr>
          <w:rFonts w:ascii="宋体" w:hAnsi="宋体"/>
          <w:color w:val="000000" w:themeColor="text1"/>
          <w:sz w:val="24"/>
          <w:szCs w:val="24"/>
        </w:rPr>
        <w:t>割接</w:t>
      </w:r>
      <w:r w:rsidRPr="001E17A1">
        <w:rPr>
          <w:rFonts w:ascii="宋体" w:hAnsi="宋体" w:hint="eastAsia"/>
          <w:color w:val="000000" w:themeColor="text1"/>
          <w:sz w:val="24"/>
          <w:szCs w:val="24"/>
        </w:rPr>
        <w:t>等工作前，</w:t>
      </w:r>
      <w:r w:rsidRPr="001E17A1">
        <w:rPr>
          <w:rFonts w:ascii="宋体" w:hAnsi="宋体"/>
          <w:color w:val="000000" w:themeColor="text1"/>
          <w:sz w:val="24"/>
          <w:szCs w:val="24"/>
        </w:rPr>
        <w:t>中标人</w:t>
      </w:r>
      <w:r w:rsidRPr="001E17A1">
        <w:rPr>
          <w:rFonts w:ascii="宋体" w:hAnsi="宋体" w:hint="eastAsia"/>
          <w:color w:val="000000" w:themeColor="text1"/>
          <w:sz w:val="24"/>
          <w:szCs w:val="24"/>
        </w:rPr>
        <w:t>应</w:t>
      </w:r>
      <w:r w:rsidRPr="001E17A1">
        <w:rPr>
          <w:rFonts w:ascii="宋体" w:hAnsi="宋体"/>
          <w:color w:val="000000" w:themeColor="text1"/>
          <w:sz w:val="24"/>
          <w:szCs w:val="24"/>
        </w:rPr>
        <w:t>制定完善的操作实施方案，</w:t>
      </w:r>
      <w:r w:rsidRPr="001E17A1">
        <w:rPr>
          <w:rFonts w:ascii="宋体" w:hAnsi="宋体" w:hint="eastAsia"/>
          <w:color w:val="000000" w:themeColor="text1"/>
          <w:sz w:val="24"/>
          <w:szCs w:val="24"/>
        </w:rPr>
        <w:t>采取适当的措施</w:t>
      </w:r>
      <w:r w:rsidRPr="001E17A1">
        <w:rPr>
          <w:rFonts w:ascii="宋体" w:hAnsi="宋体"/>
          <w:color w:val="000000" w:themeColor="text1"/>
          <w:sz w:val="24"/>
          <w:szCs w:val="24"/>
        </w:rPr>
        <w:t>降低对业务系统的影响</w:t>
      </w:r>
      <w:r w:rsidRPr="001E17A1">
        <w:rPr>
          <w:rFonts w:ascii="宋体" w:hAnsi="宋体" w:hint="eastAsia"/>
          <w:color w:val="000000" w:themeColor="text1"/>
          <w:sz w:val="24"/>
          <w:szCs w:val="24"/>
        </w:rPr>
        <w:t>。</w:t>
      </w:r>
      <w:r w:rsidRPr="001E17A1">
        <w:rPr>
          <w:rFonts w:ascii="宋体" w:hAnsi="宋体"/>
          <w:color w:val="000000" w:themeColor="text1"/>
          <w:sz w:val="24"/>
          <w:szCs w:val="24"/>
        </w:rPr>
        <w:t>对于可能影响业务系统的各类操作，应全面评估</w:t>
      </w:r>
      <w:r w:rsidRPr="001E17A1">
        <w:rPr>
          <w:rFonts w:ascii="宋体" w:hAnsi="宋体" w:hint="eastAsia"/>
          <w:color w:val="000000" w:themeColor="text1"/>
          <w:sz w:val="24"/>
          <w:szCs w:val="24"/>
        </w:rPr>
        <w:t>其</w:t>
      </w:r>
      <w:r w:rsidRPr="001E17A1">
        <w:rPr>
          <w:rFonts w:ascii="宋体" w:hAnsi="宋体"/>
          <w:color w:val="000000" w:themeColor="text1"/>
          <w:sz w:val="24"/>
          <w:szCs w:val="24"/>
        </w:rPr>
        <w:t>操作影响，</w:t>
      </w:r>
      <w:r w:rsidRPr="001E17A1">
        <w:rPr>
          <w:rFonts w:ascii="宋体" w:hAnsi="宋体" w:hint="eastAsia"/>
          <w:color w:val="000000" w:themeColor="text1"/>
          <w:sz w:val="24"/>
          <w:szCs w:val="24"/>
        </w:rPr>
        <w:t>至少</w:t>
      </w:r>
      <w:r w:rsidRPr="001E17A1">
        <w:rPr>
          <w:rFonts w:ascii="宋体" w:hAnsi="宋体"/>
          <w:color w:val="000000" w:themeColor="text1"/>
          <w:sz w:val="24"/>
          <w:szCs w:val="24"/>
        </w:rPr>
        <w:t>提前</w:t>
      </w:r>
      <w:r w:rsidRPr="001E17A1">
        <w:rPr>
          <w:rFonts w:ascii="宋体" w:hAnsi="宋体" w:hint="eastAsia"/>
          <w:color w:val="000000" w:themeColor="text1"/>
          <w:sz w:val="24"/>
          <w:szCs w:val="24"/>
        </w:rPr>
        <w:t>3天</w:t>
      </w:r>
      <w:r w:rsidRPr="001E17A1">
        <w:rPr>
          <w:rFonts w:ascii="宋体" w:hAnsi="宋体"/>
          <w:color w:val="000000" w:themeColor="text1"/>
          <w:sz w:val="24"/>
          <w:szCs w:val="24"/>
        </w:rPr>
        <w:t>通知采购方，</w:t>
      </w:r>
      <w:r w:rsidRPr="001E17A1">
        <w:rPr>
          <w:rFonts w:ascii="宋体" w:hAnsi="宋体" w:hint="eastAsia"/>
          <w:color w:val="000000" w:themeColor="text1"/>
          <w:sz w:val="24"/>
          <w:szCs w:val="24"/>
        </w:rPr>
        <w:t>经</w:t>
      </w:r>
      <w:r w:rsidRPr="001E17A1">
        <w:rPr>
          <w:rFonts w:ascii="宋体" w:hAnsi="宋体"/>
          <w:color w:val="000000" w:themeColor="text1"/>
          <w:sz w:val="24"/>
          <w:szCs w:val="24"/>
        </w:rPr>
        <w:t>相关业务部门同意后方可</w:t>
      </w:r>
      <w:r w:rsidRPr="001E17A1">
        <w:rPr>
          <w:rFonts w:ascii="宋体" w:hAnsi="宋体" w:hint="eastAsia"/>
          <w:color w:val="000000" w:themeColor="text1"/>
          <w:sz w:val="24"/>
          <w:szCs w:val="24"/>
        </w:rPr>
        <w:t>实施，且实施时中标人应提供</w:t>
      </w:r>
      <w:r w:rsidRPr="001E17A1">
        <w:rPr>
          <w:rFonts w:ascii="宋体" w:hAnsi="宋体"/>
          <w:color w:val="000000" w:themeColor="text1"/>
          <w:sz w:val="24"/>
          <w:szCs w:val="24"/>
        </w:rPr>
        <w:t>7</w:t>
      </w:r>
      <w:r w:rsidRPr="001E17A1">
        <w:rPr>
          <w:rFonts w:ascii="宋体" w:hAnsi="宋体" w:hint="eastAsia"/>
          <w:color w:val="000000" w:themeColor="text1"/>
          <w:sz w:val="24"/>
          <w:szCs w:val="24"/>
        </w:rPr>
        <w:t>×</w:t>
      </w:r>
      <w:r w:rsidRPr="001E17A1">
        <w:rPr>
          <w:rFonts w:ascii="宋体" w:hAnsi="宋体"/>
          <w:color w:val="000000" w:themeColor="text1"/>
          <w:sz w:val="24"/>
          <w:szCs w:val="24"/>
        </w:rPr>
        <w:t>24</w:t>
      </w:r>
      <w:r w:rsidRPr="001E17A1">
        <w:rPr>
          <w:rFonts w:ascii="宋体" w:hAnsi="宋体" w:hint="eastAsia"/>
          <w:color w:val="000000" w:themeColor="text1"/>
          <w:sz w:val="24"/>
          <w:szCs w:val="24"/>
        </w:rPr>
        <w:t>小时的驻场值守服务。</w:t>
      </w:r>
    </w:p>
    <w:p w14:paraId="1580B3D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系统中断：由于</w:t>
      </w:r>
      <w:r w:rsidRPr="001E17A1">
        <w:rPr>
          <w:rFonts w:ascii="宋体" w:hAnsi="宋体" w:hint="eastAsia"/>
          <w:color w:val="000000" w:themeColor="text1"/>
          <w:sz w:val="24"/>
          <w:szCs w:val="24"/>
        </w:rPr>
        <w:t>系统</w:t>
      </w:r>
      <w:r w:rsidRPr="001E17A1">
        <w:rPr>
          <w:rFonts w:ascii="宋体" w:hAnsi="宋体"/>
          <w:color w:val="000000" w:themeColor="text1"/>
          <w:sz w:val="24"/>
          <w:szCs w:val="24"/>
        </w:rPr>
        <w:t>维护</w:t>
      </w:r>
      <w:r w:rsidRPr="001E17A1">
        <w:rPr>
          <w:rFonts w:ascii="宋体" w:hAnsi="宋体" w:hint="eastAsia"/>
          <w:color w:val="000000" w:themeColor="text1"/>
          <w:sz w:val="24"/>
          <w:szCs w:val="24"/>
        </w:rPr>
        <w:t>或其他</w:t>
      </w:r>
      <w:r w:rsidRPr="001E17A1">
        <w:rPr>
          <w:rFonts w:ascii="宋体" w:hAnsi="宋体"/>
          <w:color w:val="000000" w:themeColor="text1"/>
          <w:sz w:val="24"/>
          <w:szCs w:val="24"/>
        </w:rPr>
        <w:t>原因</w:t>
      </w:r>
      <w:r w:rsidRPr="001E17A1">
        <w:rPr>
          <w:rFonts w:ascii="宋体" w:hAnsi="宋体" w:hint="eastAsia"/>
          <w:color w:val="000000" w:themeColor="text1"/>
          <w:sz w:val="24"/>
          <w:szCs w:val="24"/>
        </w:rPr>
        <w:t>需要计划性地</w:t>
      </w:r>
      <w:r w:rsidRPr="001E17A1">
        <w:rPr>
          <w:rFonts w:ascii="宋体" w:hAnsi="宋体"/>
          <w:color w:val="000000" w:themeColor="text1"/>
          <w:sz w:val="24"/>
          <w:szCs w:val="24"/>
        </w:rPr>
        <w:t>中断系统时，</w:t>
      </w:r>
      <w:r w:rsidRPr="001E17A1">
        <w:rPr>
          <w:rFonts w:ascii="宋体" w:hAnsi="宋体" w:hint="eastAsia"/>
          <w:color w:val="000000" w:themeColor="text1"/>
          <w:sz w:val="24"/>
          <w:szCs w:val="24"/>
        </w:rPr>
        <w:t>应</w:t>
      </w:r>
      <w:r w:rsidRPr="001E17A1">
        <w:rPr>
          <w:rFonts w:ascii="宋体" w:hAnsi="宋体"/>
          <w:color w:val="000000" w:themeColor="text1"/>
          <w:sz w:val="24"/>
          <w:szCs w:val="24"/>
        </w:rPr>
        <w:t>提前至少72小时通知</w:t>
      </w:r>
      <w:r w:rsidRPr="001E17A1">
        <w:rPr>
          <w:rFonts w:ascii="宋体" w:hAnsi="宋体" w:hint="eastAsia"/>
          <w:color w:val="000000" w:themeColor="text1"/>
          <w:sz w:val="24"/>
          <w:szCs w:val="24"/>
        </w:rPr>
        <w:t>采购方</w:t>
      </w:r>
      <w:r w:rsidRPr="001E17A1">
        <w:rPr>
          <w:rFonts w:ascii="宋体" w:hAnsi="宋体"/>
          <w:color w:val="000000" w:themeColor="text1"/>
          <w:sz w:val="24"/>
          <w:szCs w:val="24"/>
        </w:rPr>
        <w:t>，</w:t>
      </w:r>
      <w:r w:rsidRPr="001E17A1">
        <w:rPr>
          <w:rFonts w:ascii="宋体" w:hAnsi="宋体" w:hint="eastAsia"/>
          <w:color w:val="000000" w:themeColor="text1"/>
          <w:sz w:val="24"/>
          <w:szCs w:val="24"/>
        </w:rPr>
        <w:t>经采购方</w:t>
      </w:r>
      <w:r w:rsidRPr="001E17A1">
        <w:rPr>
          <w:rFonts w:ascii="宋体" w:hAnsi="宋体"/>
          <w:color w:val="000000" w:themeColor="text1"/>
          <w:sz w:val="24"/>
          <w:szCs w:val="24"/>
        </w:rPr>
        <w:t>同意</w:t>
      </w:r>
      <w:r w:rsidRPr="001E17A1">
        <w:rPr>
          <w:rFonts w:ascii="宋体" w:hAnsi="宋体" w:hint="eastAsia"/>
          <w:color w:val="000000" w:themeColor="text1"/>
          <w:sz w:val="24"/>
          <w:szCs w:val="24"/>
        </w:rPr>
        <w:t>后</w:t>
      </w:r>
      <w:r w:rsidRPr="001E17A1">
        <w:rPr>
          <w:rFonts w:ascii="宋体" w:hAnsi="宋体"/>
          <w:color w:val="000000" w:themeColor="text1"/>
          <w:sz w:val="24"/>
          <w:szCs w:val="24"/>
        </w:rPr>
        <w:t>方可实施</w:t>
      </w:r>
      <w:r w:rsidRPr="001E17A1">
        <w:rPr>
          <w:rFonts w:ascii="宋体" w:hAnsi="宋体" w:hint="eastAsia"/>
          <w:color w:val="000000" w:themeColor="text1"/>
          <w:sz w:val="24"/>
          <w:szCs w:val="24"/>
        </w:rPr>
        <w:t>，且实施时中标人应提供</w:t>
      </w:r>
      <w:r w:rsidRPr="001E17A1">
        <w:rPr>
          <w:rFonts w:ascii="宋体" w:hAnsi="宋体"/>
          <w:color w:val="000000" w:themeColor="text1"/>
          <w:sz w:val="24"/>
          <w:szCs w:val="24"/>
        </w:rPr>
        <w:t>7</w:t>
      </w:r>
      <w:r w:rsidRPr="001E17A1">
        <w:rPr>
          <w:rFonts w:ascii="宋体" w:hAnsi="宋体" w:hint="eastAsia"/>
          <w:color w:val="000000" w:themeColor="text1"/>
          <w:sz w:val="24"/>
          <w:szCs w:val="24"/>
        </w:rPr>
        <w:t>×</w:t>
      </w:r>
      <w:r w:rsidRPr="001E17A1">
        <w:rPr>
          <w:rFonts w:ascii="宋体" w:hAnsi="宋体"/>
          <w:color w:val="000000" w:themeColor="text1"/>
          <w:sz w:val="24"/>
          <w:szCs w:val="24"/>
        </w:rPr>
        <w:t>24</w:t>
      </w:r>
      <w:r w:rsidRPr="001E17A1">
        <w:rPr>
          <w:rFonts w:ascii="宋体" w:hAnsi="宋体" w:hint="eastAsia"/>
          <w:color w:val="000000" w:themeColor="text1"/>
          <w:sz w:val="24"/>
          <w:szCs w:val="24"/>
        </w:rPr>
        <w:t>小时的驻场值守服务。</w:t>
      </w:r>
    </w:p>
    <w:p w14:paraId="213E196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重大活动、节假日保障：</w:t>
      </w:r>
      <w:r w:rsidRPr="001E17A1">
        <w:rPr>
          <w:rFonts w:ascii="宋体" w:hAnsi="宋体" w:hint="eastAsia"/>
          <w:color w:val="000000" w:themeColor="text1"/>
          <w:sz w:val="24"/>
          <w:szCs w:val="24"/>
        </w:rPr>
        <w:t>针对重大活动、重要节假期及其他重要时期应提供重点保障服务，</w:t>
      </w:r>
      <w:r w:rsidRPr="001E17A1">
        <w:rPr>
          <w:rFonts w:ascii="宋体" w:hAnsi="宋体"/>
          <w:color w:val="000000" w:themeColor="text1"/>
          <w:sz w:val="24"/>
          <w:szCs w:val="24"/>
        </w:rPr>
        <w:t>需</w:t>
      </w:r>
      <w:r w:rsidRPr="001E17A1">
        <w:rPr>
          <w:rFonts w:ascii="宋体" w:hAnsi="宋体" w:hint="eastAsia"/>
          <w:color w:val="000000" w:themeColor="text1"/>
          <w:sz w:val="24"/>
          <w:szCs w:val="24"/>
        </w:rPr>
        <w:t>提前</w:t>
      </w:r>
      <w:r w:rsidRPr="001E17A1">
        <w:rPr>
          <w:rFonts w:ascii="宋体" w:hAnsi="宋体"/>
          <w:color w:val="000000" w:themeColor="text1"/>
          <w:sz w:val="24"/>
          <w:szCs w:val="24"/>
        </w:rPr>
        <w:t>制定</w:t>
      </w:r>
      <w:r w:rsidRPr="001E17A1">
        <w:rPr>
          <w:rFonts w:ascii="宋体" w:hAnsi="宋体" w:hint="eastAsia"/>
          <w:color w:val="000000" w:themeColor="text1"/>
          <w:sz w:val="24"/>
          <w:szCs w:val="24"/>
        </w:rPr>
        <w:t>强化重点</w:t>
      </w:r>
      <w:r w:rsidRPr="001E17A1">
        <w:rPr>
          <w:rFonts w:ascii="宋体" w:hAnsi="宋体"/>
          <w:color w:val="000000" w:themeColor="text1"/>
          <w:sz w:val="24"/>
          <w:szCs w:val="24"/>
        </w:rPr>
        <w:t>保障措施，</w:t>
      </w:r>
      <w:r w:rsidRPr="001E17A1">
        <w:rPr>
          <w:rFonts w:ascii="宋体" w:hAnsi="宋体" w:hint="eastAsia"/>
          <w:color w:val="000000" w:themeColor="text1"/>
          <w:sz w:val="24"/>
          <w:szCs w:val="24"/>
        </w:rPr>
        <w:t>确保业务骨干、管理人员到场并提前制订预案，</w:t>
      </w:r>
      <w:r w:rsidRPr="001E17A1">
        <w:rPr>
          <w:rFonts w:ascii="宋体" w:hAnsi="宋体"/>
          <w:color w:val="000000" w:themeColor="text1"/>
          <w:sz w:val="24"/>
          <w:szCs w:val="24"/>
        </w:rPr>
        <w:t>确保公共数据生产工作</w:t>
      </w:r>
      <w:r w:rsidRPr="001E17A1">
        <w:rPr>
          <w:rFonts w:ascii="宋体" w:hAnsi="宋体" w:hint="eastAsia"/>
          <w:color w:val="000000" w:themeColor="text1"/>
          <w:sz w:val="24"/>
          <w:szCs w:val="24"/>
        </w:rPr>
        <w:t>安全、</w:t>
      </w:r>
      <w:r w:rsidRPr="001E17A1">
        <w:rPr>
          <w:rFonts w:ascii="宋体" w:hAnsi="宋体"/>
          <w:color w:val="000000" w:themeColor="text1"/>
          <w:sz w:val="24"/>
          <w:szCs w:val="24"/>
        </w:rPr>
        <w:t>稳定运行，涉及数据运营相关的信息安全提供重点保障</w:t>
      </w:r>
      <w:r w:rsidRPr="001E17A1">
        <w:rPr>
          <w:rFonts w:ascii="宋体" w:hAnsi="宋体" w:hint="eastAsia"/>
          <w:color w:val="000000" w:themeColor="text1"/>
          <w:sz w:val="24"/>
          <w:szCs w:val="24"/>
        </w:rPr>
        <w:t>。</w:t>
      </w:r>
    </w:p>
    <w:p w14:paraId="3C704E49"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应急演练：</w:t>
      </w:r>
      <w:r w:rsidRPr="001E17A1">
        <w:rPr>
          <w:rFonts w:ascii="宋体" w:hAnsi="宋体" w:hint="eastAsia"/>
          <w:color w:val="000000" w:themeColor="text1"/>
          <w:sz w:val="24"/>
          <w:szCs w:val="24"/>
        </w:rPr>
        <w:t>应</w:t>
      </w:r>
      <w:r w:rsidRPr="001E17A1">
        <w:rPr>
          <w:rFonts w:ascii="宋体" w:hAnsi="宋体"/>
          <w:color w:val="000000" w:themeColor="text1"/>
          <w:sz w:val="24"/>
          <w:szCs w:val="24"/>
        </w:rPr>
        <w:t>根据</w:t>
      </w:r>
      <w:r w:rsidRPr="001E17A1">
        <w:rPr>
          <w:rFonts w:ascii="宋体" w:hAnsi="宋体" w:hint="eastAsia"/>
          <w:color w:val="000000" w:themeColor="text1"/>
          <w:sz w:val="24"/>
          <w:szCs w:val="24"/>
        </w:rPr>
        <w:t>采购方</w:t>
      </w:r>
      <w:r w:rsidRPr="001E17A1">
        <w:rPr>
          <w:rFonts w:ascii="宋体" w:hAnsi="宋体"/>
          <w:color w:val="000000" w:themeColor="text1"/>
          <w:sz w:val="24"/>
          <w:szCs w:val="24"/>
        </w:rPr>
        <w:t>应急预案</w:t>
      </w:r>
      <w:r w:rsidRPr="001E17A1">
        <w:rPr>
          <w:rFonts w:ascii="宋体" w:hAnsi="宋体" w:hint="eastAsia"/>
          <w:color w:val="000000" w:themeColor="text1"/>
          <w:sz w:val="24"/>
          <w:szCs w:val="24"/>
        </w:rPr>
        <w:t>要求</w:t>
      </w:r>
      <w:r w:rsidRPr="001E17A1">
        <w:rPr>
          <w:rFonts w:ascii="宋体" w:hAnsi="宋体"/>
          <w:color w:val="000000" w:themeColor="text1"/>
          <w:sz w:val="24"/>
          <w:szCs w:val="24"/>
        </w:rPr>
        <w:t>进行针对性</w:t>
      </w:r>
      <w:r w:rsidRPr="001E17A1">
        <w:rPr>
          <w:rFonts w:ascii="宋体" w:hAnsi="宋体" w:hint="eastAsia"/>
          <w:color w:val="000000" w:themeColor="text1"/>
          <w:sz w:val="24"/>
          <w:szCs w:val="24"/>
        </w:rPr>
        <w:t>应急</w:t>
      </w:r>
      <w:r w:rsidRPr="001E17A1">
        <w:rPr>
          <w:rFonts w:ascii="宋体" w:hAnsi="宋体"/>
          <w:color w:val="000000" w:themeColor="text1"/>
          <w:sz w:val="24"/>
          <w:szCs w:val="24"/>
        </w:rPr>
        <w:t>演练，每年组织至少2次应急演练。</w:t>
      </w:r>
      <w:r w:rsidRPr="001E17A1">
        <w:rPr>
          <w:rFonts w:ascii="宋体" w:hAnsi="宋体" w:hint="eastAsia"/>
          <w:color w:val="000000" w:themeColor="text1"/>
          <w:sz w:val="24"/>
          <w:szCs w:val="24"/>
        </w:rPr>
        <w:t>中标人应制订应急演练方案，经采购方</w:t>
      </w:r>
      <w:r w:rsidRPr="001E17A1">
        <w:rPr>
          <w:rFonts w:ascii="宋体" w:hAnsi="宋体"/>
          <w:color w:val="000000" w:themeColor="text1"/>
          <w:sz w:val="24"/>
          <w:szCs w:val="24"/>
        </w:rPr>
        <w:t>同意实施</w:t>
      </w:r>
      <w:r w:rsidRPr="001E17A1">
        <w:rPr>
          <w:rFonts w:ascii="宋体" w:hAnsi="宋体" w:hint="eastAsia"/>
          <w:color w:val="000000" w:themeColor="text1"/>
          <w:sz w:val="24"/>
          <w:szCs w:val="24"/>
        </w:rPr>
        <w:t>，且实施时中标人应提供</w:t>
      </w:r>
      <w:r w:rsidRPr="001E17A1">
        <w:rPr>
          <w:rFonts w:ascii="宋体" w:hAnsi="宋体"/>
          <w:color w:val="000000" w:themeColor="text1"/>
          <w:sz w:val="24"/>
          <w:szCs w:val="24"/>
        </w:rPr>
        <w:t>7</w:t>
      </w:r>
      <w:r w:rsidRPr="001E17A1">
        <w:rPr>
          <w:rFonts w:ascii="宋体" w:hAnsi="宋体" w:hint="eastAsia"/>
          <w:color w:val="000000" w:themeColor="text1"/>
          <w:sz w:val="24"/>
          <w:szCs w:val="24"/>
        </w:rPr>
        <w:t>×</w:t>
      </w:r>
      <w:r w:rsidRPr="001E17A1">
        <w:rPr>
          <w:rFonts w:ascii="宋体" w:hAnsi="宋体"/>
          <w:color w:val="000000" w:themeColor="text1"/>
          <w:sz w:val="24"/>
          <w:szCs w:val="24"/>
        </w:rPr>
        <w:t>24</w:t>
      </w:r>
      <w:r w:rsidRPr="001E17A1">
        <w:rPr>
          <w:rFonts w:ascii="宋体" w:hAnsi="宋体" w:hint="eastAsia"/>
          <w:color w:val="000000" w:themeColor="text1"/>
          <w:sz w:val="24"/>
          <w:szCs w:val="24"/>
        </w:rPr>
        <w:t>小时的驻场值守服务。</w:t>
      </w:r>
    </w:p>
    <w:p w14:paraId="517D24FA"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其他重点保障服务：当系统频繁出现故障、或需要提高系统维护等级等情况下，应采购方要求，中标人应提供</w:t>
      </w:r>
      <w:r w:rsidRPr="001E17A1">
        <w:rPr>
          <w:rFonts w:ascii="宋体" w:hAnsi="宋体"/>
          <w:color w:val="000000" w:themeColor="text1"/>
          <w:sz w:val="24"/>
          <w:szCs w:val="24"/>
        </w:rPr>
        <w:t>7</w:t>
      </w:r>
      <w:r w:rsidRPr="001E17A1">
        <w:rPr>
          <w:rFonts w:ascii="宋体" w:hAnsi="宋体" w:hint="eastAsia"/>
          <w:color w:val="000000" w:themeColor="text1"/>
          <w:sz w:val="24"/>
          <w:szCs w:val="24"/>
        </w:rPr>
        <w:t>×</w:t>
      </w:r>
      <w:r w:rsidRPr="001E17A1">
        <w:rPr>
          <w:rFonts w:ascii="宋体" w:hAnsi="宋体"/>
          <w:color w:val="000000" w:themeColor="text1"/>
          <w:sz w:val="24"/>
          <w:szCs w:val="24"/>
        </w:rPr>
        <w:t>24</w:t>
      </w:r>
      <w:r w:rsidRPr="001E17A1">
        <w:rPr>
          <w:rFonts w:ascii="宋体" w:hAnsi="宋体" w:hint="eastAsia"/>
          <w:color w:val="000000" w:themeColor="text1"/>
          <w:sz w:val="24"/>
          <w:szCs w:val="24"/>
        </w:rPr>
        <w:t>小时的驻场值守服务。</w:t>
      </w:r>
    </w:p>
    <w:p w14:paraId="7ED2E599"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以上工作所产生的费用都由中标人承担。</w:t>
      </w:r>
    </w:p>
    <w:p w14:paraId="7E91AB74" w14:textId="77777777" w:rsidR="008137F8" w:rsidRPr="001E17A1" w:rsidRDefault="00000000">
      <w:pPr>
        <w:pStyle w:val="2"/>
        <w:snapToGrid w:val="0"/>
        <w:spacing w:before="0"/>
        <w:ind w:left="0" w:firstLine="0"/>
        <w:rPr>
          <w:rFonts w:ascii="宋体" w:hAnsi="宋体" w:hint="eastAsia"/>
          <w:color w:val="000000" w:themeColor="text1"/>
          <w:sz w:val="24"/>
          <w:szCs w:val="24"/>
        </w:rPr>
      </w:pPr>
      <w:r w:rsidRPr="001E17A1">
        <w:rPr>
          <w:rFonts w:ascii="宋体" w:hAnsi="宋体" w:hint="eastAsia"/>
          <w:color w:val="000000" w:themeColor="text1"/>
          <w:sz w:val="24"/>
          <w:szCs w:val="24"/>
        </w:rPr>
        <w:t>服务团队要求</w:t>
      </w:r>
      <w:bookmarkEnd w:id="24"/>
      <w:bookmarkEnd w:id="25"/>
    </w:p>
    <w:p w14:paraId="55E03BF7"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投标人</w:t>
      </w:r>
      <w:r w:rsidRPr="001E17A1">
        <w:rPr>
          <w:rFonts w:ascii="宋体" w:hAnsi="宋体"/>
          <w:color w:val="000000" w:themeColor="text1"/>
          <w:sz w:val="24"/>
          <w:szCs w:val="24"/>
        </w:rPr>
        <w:t>应为</w:t>
      </w:r>
      <w:r w:rsidRPr="001E17A1">
        <w:rPr>
          <w:rFonts w:ascii="宋体" w:hAnsi="宋体" w:hint="eastAsia"/>
          <w:color w:val="000000" w:themeColor="text1"/>
          <w:sz w:val="24"/>
          <w:szCs w:val="24"/>
        </w:rPr>
        <w:t>本项目</w:t>
      </w:r>
      <w:r w:rsidRPr="001E17A1">
        <w:rPr>
          <w:rFonts w:ascii="宋体" w:hAnsi="宋体"/>
          <w:color w:val="000000" w:themeColor="text1"/>
          <w:sz w:val="24"/>
          <w:szCs w:val="24"/>
        </w:rPr>
        <w:t>单独建立管理组织，配置相应团队。</w:t>
      </w:r>
    </w:p>
    <w:p w14:paraId="4245CB83" w14:textId="77777777" w:rsidR="008137F8" w:rsidRPr="001E17A1" w:rsidRDefault="00000000">
      <w:pPr>
        <w:pStyle w:val="3"/>
        <w:numPr>
          <w:ilvl w:val="0"/>
          <w:numId w:val="0"/>
        </w:numPr>
        <w:snapToGrid w:val="0"/>
        <w:spacing w:before="0" w:line="360" w:lineRule="auto"/>
        <w:rPr>
          <w:rFonts w:ascii="宋体" w:hAnsi="宋体" w:hint="eastAsia"/>
          <w:color w:val="000000" w:themeColor="text1"/>
          <w:sz w:val="24"/>
          <w:szCs w:val="24"/>
        </w:rPr>
      </w:pPr>
      <w:bookmarkStart w:id="28" w:name="_Hlk163658002"/>
      <w:r w:rsidRPr="001E17A1">
        <w:rPr>
          <w:rFonts w:ascii="宋体" w:hAnsi="宋体" w:hint="eastAsia"/>
          <w:color w:val="000000" w:themeColor="text1"/>
          <w:sz w:val="24"/>
          <w:szCs w:val="24"/>
        </w:rPr>
        <w:t>3.3.1 服务团队配置要求</w:t>
      </w:r>
    </w:p>
    <w:p w14:paraId="67D1B3D8"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本项目配置的服务团队具体要求如下表：</w:t>
      </w:r>
    </w:p>
    <w:p w14:paraId="645B7D1D"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lastRenderedPageBreak/>
        <w:t>投标人</w:t>
      </w:r>
      <w:r w:rsidRPr="001E17A1">
        <w:rPr>
          <w:rFonts w:ascii="宋体" w:hAnsi="宋体" w:hint="eastAsia"/>
          <w:color w:val="000000" w:themeColor="text1"/>
          <w:sz w:val="24"/>
          <w:szCs w:val="24"/>
        </w:rPr>
        <w:t>应当选派在项目服务方面富有经验的团队人员负责该项目，团队应至少配备32人，其中驻场至少21人，包括项目经理</w:t>
      </w:r>
      <w:r w:rsidRPr="001E17A1">
        <w:rPr>
          <w:rFonts w:ascii="宋体" w:hAnsi="宋体"/>
          <w:color w:val="000000" w:themeColor="text1"/>
          <w:sz w:val="24"/>
          <w:szCs w:val="24"/>
        </w:rPr>
        <w:t>1</w:t>
      </w:r>
      <w:r w:rsidRPr="001E17A1">
        <w:rPr>
          <w:rFonts w:ascii="宋体" w:hAnsi="宋体" w:hint="eastAsia"/>
          <w:color w:val="000000" w:themeColor="text1"/>
          <w:sz w:val="24"/>
          <w:szCs w:val="24"/>
        </w:rPr>
        <w:t>人、业务需求团队4人、实施执行团队15人、咨询规划1人。</w:t>
      </w:r>
    </w:p>
    <w:p w14:paraId="14C70FD9" w14:textId="77777777" w:rsidR="008137F8" w:rsidRPr="001E17A1" w:rsidRDefault="00000000">
      <w:pPr>
        <w:widowControl/>
        <w:tabs>
          <w:tab w:val="left" w:pos="1134"/>
        </w:tabs>
        <w:snapToGrid w:val="0"/>
        <w:spacing w:line="360" w:lineRule="auto"/>
        <w:ind w:firstLineChars="200" w:firstLine="482"/>
        <w:jc w:val="left"/>
        <w:rPr>
          <w:rFonts w:ascii="宋体" w:hAnsi="宋体" w:hint="eastAsia"/>
          <w:color w:val="000000" w:themeColor="text1"/>
          <w:sz w:val="24"/>
          <w:szCs w:val="24"/>
        </w:rPr>
      </w:pPr>
      <w:bookmarkStart w:id="29" w:name="OLE_LINK29"/>
      <w:r w:rsidRPr="001E17A1">
        <w:rPr>
          <w:rFonts w:ascii="宋体" w:hAnsi="宋体" w:hint="eastAsia"/>
          <w:b/>
          <w:bCs/>
          <w:color w:val="000000" w:themeColor="text1"/>
          <w:sz w:val="24"/>
          <w:szCs w:val="24"/>
        </w:rPr>
        <w:t>服务团队中核心成员</w:t>
      </w:r>
      <w:r w:rsidRPr="001E17A1">
        <w:rPr>
          <w:rFonts w:ascii="宋体" w:hAnsi="宋体" w:hint="eastAsia"/>
          <w:color w:val="000000" w:themeColor="text1"/>
          <w:sz w:val="24"/>
          <w:szCs w:val="24"/>
        </w:rPr>
        <w:t>（包括项目总监1人、项目经理</w:t>
      </w:r>
      <w:r w:rsidRPr="001E17A1">
        <w:rPr>
          <w:rFonts w:ascii="宋体" w:hAnsi="宋体"/>
          <w:color w:val="000000" w:themeColor="text1"/>
          <w:sz w:val="24"/>
          <w:szCs w:val="24"/>
        </w:rPr>
        <w:t>1</w:t>
      </w:r>
      <w:r w:rsidRPr="001E17A1">
        <w:rPr>
          <w:rFonts w:ascii="宋体" w:hAnsi="宋体" w:hint="eastAsia"/>
          <w:color w:val="000000" w:themeColor="text1"/>
          <w:sz w:val="24"/>
          <w:szCs w:val="24"/>
        </w:rPr>
        <w:t>人、业务需求团队4人、实施执行团队中的核心人员4人、咨询规划1人）应提供最近3个月中任意1个月的投标人为其缴纳社保的证明以及证书证明材料。</w:t>
      </w:r>
      <w:bookmarkEnd w:id="29"/>
      <w:r w:rsidRPr="001E17A1">
        <w:rPr>
          <w:rFonts w:ascii="宋体" w:hAnsi="宋体" w:hint="eastAsia"/>
          <w:color w:val="000000" w:themeColor="text1"/>
          <w:sz w:val="24"/>
          <w:szCs w:val="24"/>
        </w:rPr>
        <w:t>驻场期间投标方应按照采购方关于办公地点进出人员管理要求和工作环境管理要求驻场服务。</w:t>
      </w:r>
    </w:p>
    <w:p w14:paraId="5BB38202"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最低人员要求如下表所示：</w:t>
      </w:r>
    </w:p>
    <w:tbl>
      <w:tblPr>
        <w:tblStyle w:val="af6"/>
        <w:tblW w:w="5000" w:type="pct"/>
        <w:tblLook w:val="04A0" w:firstRow="1" w:lastRow="0" w:firstColumn="1" w:lastColumn="0" w:noHBand="0" w:noVBand="1"/>
      </w:tblPr>
      <w:tblGrid>
        <w:gridCol w:w="751"/>
        <w:gridCol w:w="3414"/>
        <w:gridCol w:w="2894"/>
        <w:gridCol w:w="735"/>
        <w:gridCol w:w="728"/>
      </w:tblGrid>
      <w:tr w:rsidR="008137F8" w:rsidRPr="001E17A1" w14:paraId="43D517D9" w14:textId="77777777">
        <w:trPr>
          <w:tblHeader/>
        </w:trPr>
        <w:tc>
          <w:tcPr>
            <w:tcW w:w="441" w:type="pct"/>
            <w:vAlign w:val="center"/>
          </w:tcPr>
          <w:p w14:paraId="49F8D4D1" w14:textId="77777777" w:rsidR="008137F8" w:rsidRPr="001E17A1" w:rsidRDefault="00000000">
            <w:pPr>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组别</w:t>
            </w:r>
          </w:p>
        </w:tc>
        <w:tc>
          <w:tcPr>
            <w:tcW w:w="2003" w:type="pct"/>
            <w:vAlign w:val="center"/>
          </w:tcPr>
          <w:p w14:paraId="3516AF6E" w14:textId="77777777" w:rsidR="008137F8" w:rsidRPr="001E17A1" w:rsidRDefault="00000000">
            <w:pPr>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职责</w:t>
            </w:r>
          </w:p>
        </w:tc>
        <w:tc>
          <w:tcPr>
            <w:tcW w:w="1698" w:type="pct"/>
            <w:vAlign w:val="center"/>
          </w:tcPr>
          <w:p w14:paraId="2A228595" w14:textId="77777777" w:rsidR="008137F8" w:rsidRPr="001E17A1" w:rsidRDefault="00000000">
            <w:pPr>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人员要求</w:t>
            </w:r>
          </w:p>
        </w:tc>
        <w:tc>
          <w:tcPr>
            <w:tcW w:w="431" w:type="pct"/>
            <w:vAlign w:val="center"/>
          </w:tcPr>
          <w:p w14:paraId="7C499A52" w14:textId="77777777" w:rsidR="008137F8" w:rsidRPr="001E17A1" w:rsidRDefault="00000000">
            <w:pPr>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人数要求</w:t>
            </w:r>
          </w:p>
        </w:tc>
        <w:tc>
          <w:tcPr>
            <w:tcW w:w="427" w:type="pct"/>
            <w:vAlign w:val="center"/>
          </w:tcPr>
          <w:p w14:paraId="4BCCEAF0" w14:textId="77777777" w:rsidR="008137F8" w:rsidRPr="001E17A1" w:rsidRDefault="00000000">
            <w:pPr>
              <w:snapToGrid w:val="0"/>
              <w:spacing w:line="360" w:lineRule="auto"/>
              <w:rPr>
                <w:rFonts w:ascii="宋体" w:hAnsi="宋体" w:hint="eastAsia"/>
                <w:b/>
                <w:bCs/>
                <w:color w:val="000000" w:themeColor="text1"/>
                <w:sz w:val="24"/>
                <w:szCs w:val="24"/>
              </w:rPr>
            </w:pPr>
            <w:r w:rsidRPr="001E17A1">
              <w:rPr>
                <w:rFonts w:ascii="宋体" w:hAnsi="宋体" w:hint="eastAsia"/>
                <w:b/>
                <w:bCs/>
                <w:color w:val="000000" w:themeColor="text1"/>
                <w:sz w:val="24"/>
                <w:szCs w:val="24"/>
              </w:rPr>
              <w:t>驻场要求</w:t>
            </w:r>
          </w:p>
        </w:tc>
      </w:tr>
      <w:tr w:rsidR="008137F8" w:rsidRPr="001E17A1" w14:paraId="1650F39C" w14:textId="77777777">
        <w:tc>
          <w:tcPr>
            <w:tcW w:w="441" w:type="pct"/>
            <w:vAlign w:val="center"/>
          </w:tcPr>
          <w:p w14:paraId="361FA904"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项目总监</w:t>
            </w:r>
          </w:p>
        </w:tc>
        <w:tc>
          <w:tcPr>
            <w:tcW w:w="2003" w:type="pct"/>
            <w:vAlign w:val="center"/>
          </w:tcPr>
          <w:p w14:paraId="38CBBBD7"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负责总体监督项目进度和完成质量，协调中标方内部的财力、人力、物力，支撑保障项目在规定时间内保质保量完成，且在项目过程中高效有序运行：</w:t>
            </w:r>
          </w:p>
          <w:p w14:paraId="4D80B510"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对整体项目整体总负责，包括：项目人员统筹管理、整体技术架构的方向决策、服务质量管理、服务水平考核、关键项目节点汇报、公司资源的统筹协调等；</w:t>
            </w:r>
          </w:p>
          <w:p w14:paraId="237A47DC"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负责项目团队的管理和建设，带领团队实现工作目标。</w:t>
            </w:r>
          </w:p>
        </w:tc>
        <w:tc>
          <w:tcPr>
            <w:tcW w:w="1698" w:type="pct"/>
            <w:vAlign w:val="center"/>
          </w:tcPr>
          <w:p w14:paraId="7CAC63DC"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高级工程师或以上职称，具有10年以上相关工作经验，曾担任过类似重大项目的负责人</w:t>
            </w:r>
          </w:p>
        </w:tc>
        <w:tc>
          <w:tcPr>
            <w:tcW w:w="431" w:type="pct"/>
            <w:vAlign w:val="center"/>
          </w:tcPr>
          <w:p w14:paraId="50E845F9"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1</w:t>
            </w:r>
          </w:p>
        </w:tc>
        <w:tc>
          <w:tcPr>
            <w:tcW w:w="427" w:type="pct"/>
            <w:vAlign w:val="center"/>
          </w:tcPr>
          <w:p w14:paraId="3A243182"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按需</w:t>
            </w:r>
          </w:p>
        </w:tc>
      </w:tr>
      <w:tr w:rsidR="008137F8" w:rsidRPr="001E17A1" w14:paraId="168CC17C" w14:textId="77777777">
        <w:tc>
          <w:tcPr>
            <w:tcW w:w="441" w:type="pct"/>
            <w:vAlign w:val="center"/>
          </w:tcPr>
          <w:p w14:paraId="0B826DC7"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项目经理</w:t>
            </w:r>
          </w:p>
        </w:tc>
        <w:tc>
          <w:tcPr>
            <w:tcW w:w="2003" w:type="pct"/>
            <w:vAlign w:val="center"/>
          </w:tcPr>
          <w:p w14:paraId="0B86C5E1"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负责项目总体实施，包括项目管理、治理任务实施进度管理、过程管理和验收管理、人员场地管理等：</w:t>
            </w:r>
          </w:p>
          <w:p w14:paraId="10D23121"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负责撰写项目计划书及其他相关文字材料</w:t>
            </w:r>
          </w:p>
          <w:p w14:paraId="441D572A"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负责项目现场需求调研、实施部署及项目管理工作，对项目需求、质量、进度、风险等进行有效管理；</w:t>
            </w:r>
          </w:p>
          <w:p w14:paraId="2F13A7A1"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负责落实项目范围，制定项目实施计划、项目进度管理、质量管理、成本管理、资源管理、风险管理等；</w:t>
            </w:r>
          </w:p>
          <w:p w14:paraId="6DD614AB"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项目进展中协调与配备项目运行所需的资源，对项目的最终验收负责；</w:t>
            </w:r>
          </w:p>
          <w:p w14:paraId="3F8495F3"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高度配合采购方，做好合同与协议管理备案、第三方监管要求响应、人员与场地管理、工作量的客观、合规合理线上留痕等相关工作</w:t>
            </w:r>
          </w:p>
        </w:tc>
        <w:tc>
          <w:tcPr>
            <w:tcW w:w="1698" w:type="pct"/>
            <w:vAlign w:val="center"/>
          </w:tcPr>
          <w:p w14:paraId="00E5AB75"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具有10年以上相关工作经验，曾参与过类似重大项目</w:t>
            </w:r>
          </w:p>
        </w:tc>
        <w:tc>
          <w:tcPr>
            <w:tcW w:w="431" w:type="pct"/>
            <w:vAlign w:val="center"/>
          </w:tcPr>
          <w:p w14:paraId="120CAA83"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1</w:t>
            </w:r>
          </w:p>
        </w:tc>
        <w:tc>
          <w:tcPr>
            <w:tcW w:w="427" w:type="pct"/>
            <w:vAlign w:val="center"/>
          </w:tcPr>
          <w:p w14:paraId="41A159BD"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驻场</w:t>
            </w:r>
          </w:p>
        </w:tc>
      </w:tr>
      <w:tr w:rsidR="008137F8" w:rsidRPr="001E17A1" w14:paraId="1903A55B" w14:textId="77777777">
        <w:tc>
          <w:tcPr>
            <w:tcW w:w="441" w:type="pct"/>
            <w:vAlign w:val="center"/>
          </w:tcPr>
          <w:p w14:paraId="20AF2663"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咨询规划</w:t>
            </w:r>
          </w:p>
        </w:tc>
        <w:tc>
          <w:tcPr>
            <w:tcW w:w="2003" w:type="pct"/>
            <w:vAlign w:val="center"/>
          </w:tcPr>
          <w:p w14:paraId="380B7E7C"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深入了解数据运营服务业务需求，深度剖析的业务需求，包括：通过访谈、问卷调查、现场观察等方式收集客户需求信息；识别数据运营服务管理和实施的业务痛点和潜在需求。提供具备专业性的信息化规划建议。</w:t>
            </w:r>
          </w:p>
          <w:p w14:paraId="3A7838F2"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制定具备专业性的数据运营服务总体规划，制定涵盖项目整体的规划以及实施策略，明确</w:t>
            </w:r>
            <w:r w:rsidRPr="001E17A1">
              <w:rPr>
                <w:rFonts w:ascii="宋体" w:hAnsi="宋体" w:cs="Arial" w:hint="eastAsia"/>
                <w:color w:val="000000" w:themeColor="text1"/>
                <w:kern w:val="0"/>
                <w:sz w:val="24"/>
                <w:szCs w:val="24"/>
              </w:rPr>
              <w:lastRenderedPageBreak/>
              <w:t>数据运营服务实施方案，包括：确定各项数据运营服务目标和范围；制定运营服务战略和规划；选择合适的运营服务方案和技术路线。</w:t>
            </w:r>
          </w:p>
          <w:p w14:paraId="2BFAB298"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制定和完善运营服务的标准规范，设计运营服务流程、服务标准、形成具体规范要求。</w:t>
            </w:r>
          </w:p>
          <w:p w14:paraId="6156C73D" w14:textId="77777777" w:rsidR="008137F8" w:rsidRPr="001E17A1" w:rsidRDefault="008137F8">
            <w:pPr>
              <w:widowControl/>
              <w:shd w:val="clear" w:color="auto" w:fill="FFFFFF"/>
              <w:snapToGrid w:val="0"/>
              <w:spacing w:line="360" w:lineRule="auto"/>
              <w:jc w:val="left"/>
              <w:rPr>
                <w:rFonts w:ascii="宋体" w:hAnsi="宋体" w:hint="eastAsia"/>
                <w:color w:val="000000" w:themeColor="text1"/>
                <w:sz w:val="24"/>
                <w:szCs w:val="24"/>
              </w:rPr>
            </w:pPr>
          </w:p>
        </w:tc>
        <w:tc>
          <w:tcPr>
            <w:tcW w:w="1698" w:type="pct"/>
            <w:vAlign w:val="center"/>
          </w:tcPr>
          <w:p w14:paraId="15C58C07" w14:textId="77777777" w:rsidR="008137F8" w:rsidRPr="001E17A1" w:rsidRDefault="00000000">
            <w:pPr>
              <w:snapToGrid w:val="0"/>
              <w:spacing w:line="360" w:lineRule="auto"/>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lastRenderedPageBreak/>
              <w:t>主管人员1名：</w:t>
            </w:r>
            <w:r w:rsidRPr="001E17A1">
              <w:rPr>
                <w:rFonts w:ascii="宋体" w:hAnsi="宋体" w:cs="Arial"/>
                <w:color w:val="000000" w:themeColor="text1"/>
                <w:kern w:val="0"/>
                <w:sz w:val="24"/>
                <w:szCs w:val="24"/>
              </w:rPr>
              <w:t>具备5年及以上相关工作经验，并具有高级工程师或以上职称</w:t>
            </w:r>
            <w:r w:rsidRPr="001E17A1">
              <w:rPr>
                <w:rFonts w:ascii="宋体" w:hAnsi="宋体" w:cs="Arial" w:hint="eastAsia"/>
                <w:color w:val="000000" w:themeColor="text1"/>
                <w:kern w:val="0"/>
                <w:sz w:val="24"/>
                <w:szCs w:val="24"/>
              </w:rPr>
              <w:t>,</w:t>
            </w:r>
            <w:r w:rsidRPr="001E17A1">
              <w:rPr>
                <w:rFonts w:hint="eastAsia"/>
                <w:color w:val="000000" w:themeColor="text1"/>
              </w:rPr>
              <w:t xml:space="preserve"> </w:t>
            </w:r>
            <w:r w:rsidRPr="001E17A1">
              <w:rPr>
                <w:rFonts w:ascii="宋体" w:hAnsi="宋体" w:cs="Arial"/>
                <w:color w:val="000000" w:themeColor="text1"/>
                <w:kern w:val="0"/>
                <w:sz w:val="24"/>
                <w:szCs w:val="24"/>
              </w:rPr>
              <w:t>其他要求同组员</w:t>
            </w:r>
            <w:r w:rsidRPr="001E17A1">
              <w:rPr>
                <w:rFonts w:ascii="宋体" w:hAnsi="宋体" w:cs="Arial" w:hint="eastAsia"/>
                <w:color w:val="000000" w:themeColor="text1"/>
                <w:kern w:val="0"/>
                <w:sz w:val="24"/>
                <w:szCs w:val="24"/>
              </w:rPr>
              <w:t>。</w:t>
            </w:r>
          </w:p>
          <w:p w14:paraId="2987C350"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cs="Arial" w:hint="eastAsia"/>
                <w:color w:val="000000" w:themeColor="text1"/>
                <w:kern w:val="0"/>
                <w:sz w:val="24"/>
                <w:szCs w:val="24"/>
              </w:rPr>
              <w:t>组员：拥有类似本项目的数据平台建设，或跨行业、跨领域数据治理、分析应用的工作经验。拥有政府数据治理工作的优先考虑，在领域具有5年及以上工作经验的优先考虑，</w:t>
            </w:r>
            <w:r w:rsidRPr="001E17A1">
              <w:rPr>
                <w:rFonts w:ascii="宋体" w:hAnsi="宋体" w:cs="Arial" w:hint="eastAsia"/>
                <w:color w:val="000000" w:themeColor="text1"/>
                <w:kern w:val="0"/>
                <w:sz w:val="24"/>
                <w:szCs w:val="24"/>
              </w:rPr>
              <w:lastRenderedPageBreak/>
              <w:t>在工作领域有突出成就和研究成果的优先考虑</w:t>
            </w:r>
          </w:p>
        </w:tc>
        <w:tc>
          <w:tcPr>
            <w:tcW w:w="431" w:type="pct"/>
            <w:vAlign w:val="center"/>
          </w:tcPr>
          <w:p w14:paraId="5EE13BE3"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3</w:t>
            </w:r>
          </w:p>
        </w:tc>
        <w:tc>
          <w:tcPr>
            <w:tcW w:w="427" w:type="pct"/>
            <w:vAlign w:val="center"/>
          </w:tcPr>
          <w:p w14:paraId="0EEEF055"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驻场人数要求至少1人</w:t>
            </w:r>
          </w:p>
        </w:tc>
      </w:tr>
      <w:tr w:rsidR="008137F8" w:rsidRPr="001E17A1" w14:paraId="6E8D43B8" w14:textId="77777777">
        <w:tc>
          <w:tcPr>
            <w:tcW w:w="441" w:type="pct"/>
            <w:vAlign w:val="center"/>
          </w:tcPr>
          <w:p w14:paraId="115CB460"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业务需求</w:t>
            </w:r>
          </w:p>
        </w:tc>
        <w:tc>
          <w:tcPr>
            <w:tcW w:w="2003" w:type="pct"/>
            <w:vAlign w:val="center"/>
          </w:tcPr>
          <w:p w14:paraId="138C2E3D"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与数据运营服务需求方进行紧密沟通，明晰业务需求与期望。将业务需求精确转化为详尽的功能需求，形成项目需求规格说明书 (SRS)，如业务方案等。对需求进行合理的优先级排序与管理。积极参与需求评审，力保需求的精准性与完整性。</w:t>
            </w:r>
          </w:p>
          <w:p w14:paraId="0EB2B189"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负责项目实施过程中的沟通和协调，包括：定期与需求方进行沟通，确保数据运营服务任务进展符合预期；协调项目团队成员之间的工作；解决实施过程中的问题；对服务任务成效进行管理和把控。</w:t>
            </w:r>
          </w:p>
          <w:p w14:paraId="28C441F5" w14:textId="77777777" w:rsidR="008137F8" w:rsidRPr="001E17A1" w:rsidRDefault="008137F8">
            <w:pPr>
              <w:shd w:val="clear" w:color="auto" w:fill="FFFFFF"/>
              <w:snapToGrid w:val="0"/>
              <w:spacing w:line="360" w:lineRule="auto"/>
              <w:rPr>
                <w:rFonts w:ascii="宋体" w:hAnsi="宋体" w:cs="Arial" w:hint="eastAsia"/>
                <w:color w:val="000000" w:themeColor="text1"/>
                <w:kern w:val="0"/>
                <w:sz w:val="24"/>
                <w:szCs w:val="24"/>
              </w:rPr>
            </w:pPr>
          </w:p>
        </w:tc>
        <w:tc>
          <w:tcPr>
            <w:tcW w:w="1698" w:type="pct"/>
            <w:vAlign w:val="center"/>
          </w:tcPr>
          <w:p w14:paraId="56663D2F" w14:textId="77777777" w:rsidR="008137F8" w:rsidRPr="001E17A1" w:rsidRDefault="00000000">
            <w:pPr>
              <w:snapToGrid w:val="0"/>
              <w:spacing w:line="360" w:lineRule="auto"/>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主管人员</w:t>
            </w:r>
            <w:r w:rsidRPr="001E17A1">
              <w:rPr>
                <w:rFonts w:ascii="宋体" w:hAnsi="宋体" w:cs="Arial"/>
                <w:color w:val="000000" w:themeColor="text1"/>
                <w:kern w:val="0"/>
                <w:sz w:val="24"/>
                <w:szCs w:val="24"/>
              </w:rPr>
              <w:t>1名</w:t>
            </w:r>
            <w:r w:rsidRPr="001E17A1">
              <w:rPr>
                <w:rFonts w:ascii="宋体" w:hAnsi="宋体" w:cs="Arial" w:hint="eastAsia"/>
                <w:color w:val="000000" w:themeColor="text1"/>
                <w:kern w:val="0"/>
                <w:sz w:val="24"/>
                <w:szCs w:val="24"/>
              </w:rPr>
              <w:t>：具备5年及以上相关工作经验,其他要求同组员。</w:t>
            </w:r>
          </w:p>
          <w:p w14:paraId="14D5EAA4" w14:textId="77777777" w:rsidR="008137F8" w:rsidRPr="001E17A1" w:rsidRDefault="00000000">
            <w:pPr>
              <w:snapToGrid w:val="0"/>
              <w:spacing w:line="360" w:lineRule="auto"/>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组员：</w:t>
            </w:r>
          </w:p>
          <w:p w14:paraId="44213CC6" w14:textId="77777777" w:rsidR="008137F8" w:rsidRPr="001E17A1" w:rsidRDefault="00000000">
            <w:pPr>
              <w:snapToGrid w:val="0"/>
              <w:spacing w:line="360" w:lineRule="auto"/>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具有相应领域资质或能力水平证书且具有5年以上相关工作经验，具体要求：</w:t>
            </w:r>
          </w:p>
          <w:p w14:paraId="73A29E23" w14:textId="77777777" w:rsidR="008137F8" w:rsidRPr="001E17A1" w:rsidRDefault="00000000">
            <w:pPr>
              <w:pStyle w:val="23"/>
              <w:numPr>
                <w:ilvl w:val="0"/>
                <w:numId w:val="9"/>
              </w:numPr>
              <w:snapToGrid w:val="0"/>
              <w:spacing w:line="360" w:lineRule="auto"/>
              <w:ind w:firstLineChars="0"/>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懂IT基本技术原理，了解应用系统设计思想，熟悉数据治理、数据安全概念并具有实战经验。</w:t>
            </w:r>
          </w:p>
          <w:p w14:paraId="466A17BB" w14:textId="77777777" w:rsidR="008137F8" w:rsidRPr="001E17A1" w:rsidRDefault="00000000">
            <w:pPr>
              <w:pStyle w:val="23"/>
              <w:numPr>
                <w:ilvl w:val="0"/>
                <w:numId w:val="9"/>
              </w:numPr>
              <w:snapToGrid w:val="0"/>
              <w:spacing w:line="360" w:lineRule="auto"/>
              <w:ind w:firstLineChars="0"/>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有责任心，具备较强解决问题的能力，有良好的沟通能力和团队精神。</w:t>
            </w:r>
          </w:p>
          <w:p w14:paraId="48A446D0" w14:textId="77777777" w:rsidR="008137F8" w:rsidRPr="001E17A1" w:rsidRDefault="00000000">
            <w:pPr>
              <w:pStyle w:val="23"/>
              <w:numPr>
                <w:ilvl w:val="0"/>
                <w:numId w:val="9"/>
              </w:numPr>
              <w:snapToGrid w:val="0"/>
              <w:spacing w:line="360" w:lineRule="auto"/>
              <w:ind w:firstLineChars="0"/>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具有优秀的逻辑思维能力，并具有需求判</w:t>
            </w:r>
            <w:r w:rsidRPr="001E17A1">
              <w:rPr>
                <w:rFonts w:ascii="宋体" w:hAnsi="宋体" w:cs="Arial" w:hint="eastAsia"/>
                <w:color w:val="000000" w:themeColor="text1"/>
                <w:kern w:val="0"/>
                <w:sz w:val="24"/>
                <w:szCs w:val="24"/>
              </w:rPr>
              <w:lastRenderedPageBreak/>
              <w:t>断、引导、控制能力。</w:t>
            </w:r>
          </w:p>
          <w:p w14:paraId="4BD482E4" w14:textId="77777777" w:rsidR="008137F8" w:rsidRPr="001E17A1" w:rsidRDefault="00000000">
            <w:pPr>
              <w:pStyle w:val="23"/>
              <w:numPr>
                <w:ilvl w:val="0"/>
                <w:numId w:val="9"/>
              </w:numPr>
              <w:snapToGrid w:val="0"/>
              <w:spacing w:line="360" w:lineRule="auto"/>
              <w:ind w:firstLineChars="0"/>
              <w:rPr>
                <w:rFonts w:ascii="宋体" w:hAnsi="宋体" w:hint="eastAsia"/>
                <w:color w:val="000000" w:themeColor="text1"/>
                <w:sz w:val="24"/>
                <w:szCs w:val="24"/>
              </w:rPr>
            </w:pPr>
            <w:r w:rsidRPr="001E17A1">
              <w:rPr>
                <w:rFonts w:ascii="宋体" w:hAnsi="宋体" w:cs="Arial" w:hint="eastAsia"/>
                <w:color w:val="000000" w:themeColor="text1"/>
                <w:kern w:val="0"/>
                <w:sz w:val="24"/>
                <w:szCs w:val="24"/>
              </w:rPr>
              <w:t>2-3年以上需求分析相关工作经验，有数据分析、数据安全防护经验优先。</w:t>
            </w:r>
          </w:p>
        </w:tc>
        <w:tc>
          <w:tcPr>
            <w:tcW w:w="431" w:type="pct"/>
            <w:vAlign w:val="center"/>
          </w:tcPr>
          <w:p w14:paraId="479CDFA9"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6</w:t>
            </w:r>
          </w:p>
        </w:tc>
        <w:tc>
          <w:tcPr>
            <w:tcW w:w="427" w:type="pct"/>
            <w:vAlign w:val="center"/>
          </w:tcPr>
          <w:p w14:paraId="40C56702"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驻场人数要求至少4人</w:t>
            </w:r>
          </w:p>
        </w:tc>
      </w:tr>
      <w:tr w:rsidR="008137F8" w:rsidRPr="001E17A1" w14:paraId="0C2C239A" w14:textId="77777777">
        <w:tc>
          <w:tcPr>
            <w:tcW w:w="441" w:type="pct"/>
            <w:vAlign w:val="center"/>
          </w:tcPr>
          <w:p w14:paraId="50960FFD"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实施执行</w:t>
            </w:r>
          </w:p>
        </w:tc>
        <w:tc>
          <w:tcPr>
            <w:tcW w:w="2003" w:type="pct"/>
            <w:vAlign w:val="center"/>
          </w:tcPr>
          <w:p w14:paraId="37F6B359"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负责数据运营服务任务实施工作，包括明确技术路径，设计服务任务流程、相关编码和配置工作、承担测试工作，确保运营服务的质量与稳定性。</w:t>
            </w:r>
          </w:p>
          <w:p w14:paraId="15CA7950"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负责项目实施过程中的问题反馈，支撑数据运营服务过程中各类问题的有效解决。</w:t>
            </w:r>
          </w:p>
          <w:p w14:paraId="52577EC2" w14:textId="77777777" w:rsidR="008137F8" w:rsidRPr="001E17A1" w:rsidRDefault="00000000">
            <w:pPr>
              <w:widowControl/>
              <w:shd w:val="clear" w:color="auto" w:fill="FFFFFF"/>
              <w:snapToGrid w:val="0"/>
              <w:spacing w:line="360" w:lineRule="auto"/>
              <w:jc w:val="left"/>
              <w:rPr>
                <w:rFonts w:ascii="宋体" w:hAnsi="宋体" w:cs="Arial" w:hint="eastAsia"/>
                <w:color w:val="000000" w:themeColor="text1"/>
                <w:kern w:val="0"/>
                <w:sz w:val="24"/>
                <w:szCs w:val="24"/>
              </w:rPr>
            </w:pPr>
            <w:r w:rsidRPr="001E17A1">
              <w:rPr>
                <w:rFonts w:ascii="宋体" w:hAnsi="宋体" w:cs="Arial" w:hint="eastAsia"/>
                <w:color w:val="000000" w:themeColor="text1"/>
                <w:kern w:val="0"/>
                <w:sz w:val="24"/>
                <w:szCs w:val="24"/>
              </w:rPr>
              <w:t>负责实施过程中按照运营服务工作的规范要求，编制运营服务各个工作环节的交付文档，并做好工作过程留痕。</w:t>
            </w:r>
          </w:p>
          <w:p w14:paraId="1F13B65A" w14:textId="77777777" w:rsidR="008137F8" w:rsidRPr="001E17A1" w:rsidRDefault="008137F8">
            <w:pPr>
              <w:snapToGrid w:val="0"/>
              <w:spacing w:line="360" w:lineRule="auto"/>
              <w:rPr>
                <w:rFonts w:ascii="宋体" w:hAnsi="宋体" w:hint="eastAsia"/>
                <w:color w:val="000000" w:themeColor="text1"/>
                <w:sz w:val="24"/>
                <w:szCs w:val="24"/>
              </w:rPr>
            </w:pPr>
          </w:p>
        </w:tc>
        <w:tc>
          <w:tcPr>
            <w:tcW w:w="1698" w:type="pct"/>
            <w:vAlign w:val="center"/>
          </w:tcPr>
          <w:p w14:paraId="169D97FA" w14:textId="77777777" w:rsidR="008137F8" w:rsidRPr="001E17A1" w:rsidRDefault="00000000">
            <w:pPr>
              <w:pStyle w:val="23"/>
              <w:snapToGrid w:val="0"/>
              <w:spacing w:line="360" w:lineRule="auto"/>
              <w:ind w:left="1" w:firstLineChars="0" w:hanging="1"/>
              <w:rPr>
                <w:rFonts w:ascii="宋体" w:hAnsi="宋体" w:cs="宋体" w:hint="eastAsia"/>
                <w:color w:val="000000" w:themeColor="text1"/>
                <w:sz w:val="24"/>
                <w:szCs w:val="24"/>
              </w:rPr>
            </w:pPr>
            <w:r w:rsidRPr="001E17A1">
              <w:rPr>
                <w:rFonts w:ascii="宋体" w:hAnsi="宋体" w:hint="eastAsia"/>
                <w:color w:val="000000" w:themeColor="text1"/>
                <w:sz w:val="24"/>
                <w:szCs w:val="24"/>
              </w:rPr>
              <w:t>主管人员</w:t>
            </w:r>
            <w:r w:rsidRPr="001E17A1">
              <w:rPr>
                <w:rFonts w:ascii="宋体" w:hAnsi="宋体"/>
                <w:color w:val="000000" w:themeColor="text1"/>
                <w:sz w:val="24"/>
                <w:szCs w:val="24"/>
              </w:rPr>
              <w:t>1名</w:t>
            </w:r>
            <w:r w:rsidRPr="001E17A1">
              <w:rPr>
                <w:rFonts w:ascii="宋体" w:hAnsi="宋体" w:hint="eastAsia"/>
                <w:color w:val="000000" w:themeColor="text1"/>
                <w:sz w:val="24"/>
                <w:szCs w:val="24"/>
              </w:rPr>
              <w:t>：具备5年及以上相关工作经验,</w:t>
            </w:r>
            <w:r w:rsidRPr="001E17A1">
              <w:rPr>
                <w:rFonts w:hint="eastAsia"/>
                <w:color w:val="000000" w:themeColor="text1"/>
              </w:rPr>
              <w:t xml:space="preserve"> </w:t>
            </w:r>
            <w:r w:rsidRPr="001E17A1">
              <w:rPr>
                <w:rFonts w:ascii="宋体" w:hAnsi="宋体"/>
                <w:color w:val="000000" w:themeColor="text1"/>
                <w:sz w:val="24"/>
                <w:szCs w:val="24"/>
              </w:rPr>
              <w:t>其他要求同组员</w:t>
            </w:r>
            <w:r w:rsidRPr="001E17A1">
              <w:rPr>
                <w:rFonts w:ascii="宋体" w:hAnsi="宋体" w:hint="eastAsia"/>
                <w:color w:val="000000" w:themeColor="text1"/>
                <w:sz w:val="24"/>
                <w:szCs w:val="24"/>
              </w:rPr>
              <w:t>。</w:t>
            </w:r>
          </w:p>
          <w:p w14:paraId="574C9646" w14:textId="77777777" w:rsidR="008137F8" w:rsidRPr="001E17A1" w:rsidRDefault="00000000">
            <w:pPr>
              <w:pStyle w:val="23"/>
              <w:snapToGrid w:val="0"/>
              <w:spacing w:line="360" w:lineRule="auto"/>
              <w:ind w:firstLineChars="0" w:firstLine="0"/>
              <w:rPr>
                <w:rFonts w:ascii="宋体" w:hAnsi="宋体" w:hint="eastAsia"/>
                <w:color w:val="000000" w:themeColor="text1"/>
                <w:sz w:val="24"/>
                <w:szCs w:val="24"/>
              </w:rPr>
            </w:pPr>
            <w:r w:rsidRPr="001E17A1">
              <w:rPr>
                <w:rFonts w:ascii="宋体" w:hAnsi="宋体" w:hint="eastAsia"/>
                <w:color w:val="000000" w:themeColor="text1"/>
                <w:sz w:val="24"/>
                <w:szCs w:val="24"/>
              </w:rPr>
              <w:t>组员：</w:t>
            </w:r>
          </w:p>
          <w:p w14:paraId="790087A4" w14:textId="77777777" w:rsidR="008137F8" w:rsidRPr="001E17A1" w:rsidRDefault="00000000">
            <w:pPr>
              <w:pStyle w:val="23"/>
              <w:numPr>
                <w:ilvl w:val="0"/>
                <w:numId w:val="10"/>
              </w:numPr>
              <w:snapToGrid w:val="0"/>
              <w:spacing w:line="360" w:lineRule="auto"/>
              <w:ind w:firstLineChars="0"/>
              <w:rPr>
                <w:rFonts w:ascii="宋体" w:hAnsi="宋体" w:cs="宋体" w:hint="eastAsia"/>
                <w:color w:val="000000" w:themeColor="text1"/>
                <w:sz w:val="24"/>
                <w:szCs w:val="24"/>
              </w:rPr>
            </w:pPr>
            <w:r w:rsidRPr="001E17A1">
              <w:rPr>
                <w:rFonts w:ascii="宋体" w:hAnsi="宋体" w:hint="eastAsia"/>
                <w:color w:val="000000" w:themeColor="text1"/>
                <w:sz w:val="24"/>
                <w:szCs w:val="24"/>
              </w:rPr>
              <w:t>本科或以上学历且具有3年以上相关工作经验，曾参与过类似重大项目；</w:t>
            </w:r>
          </w:p>
          <w:p w14:paraId="59D387A2" w14:textId="77777777" w:rsidR="008137F8" w:rsidRPr="001E17A1" w:rsidRDefault="00000000">
            <w:pPr>
              <w:pStyle w:val="23"/>
              <w:numPr>
                <w:ilvl w:val="0"/>
                <w:numId w:val="10"/>
              </w:numPr>
              <w:snapToGrid w:val="0"/>
              <w:spacing w:line="360" w:lineRule="auto"/>
              <w:ind w:firstLineChars="0"/>
              <w:rPr>
                <w:rFonts w:ascii="宋体" w:hAnsi="宋体" w:cs="宋体" w:hint="eastAsia"/>
                <w:color w:val="000000" w:themeColor="text1"/>
                <w:sz w:val="24"/>
                <w:szCs w:val="24"/>
              </w:rPr>
            </w:pPr>
            <w:r w:rsidRPr="001E17A1">
              <w:rPr>
                <w:rFonts w:ascii="宋体" w:hAnsi="宋体" w:cs="Helvetica" w:hint="eastAsia"/>
                <w:color w:val="000000" w:themeColor="text1"/>
                <w:spacing w:val="8"/>
                <w:sz w:val="24"/>
                <w:szCs w:val="24"/>
                <w:shd w:val="clear" w:color="auto" w:fill="FFFFFF"/>
              </w:rPr>
              <w:t>具备实施数据运营服务所需的技术知识和技能，包括编程、系统配置，或渗透测试、主机漏扫等技术实施能力。</w:t>
            </w:r>
          </w:p>
          <w:p w14:paraId="2AB837EC" w14:textId="77777777" w:rsidR="008137F8" w:rsidRPr="001E17A1" w:rsidRDefault="00000000">
            <w:pPr>
              <w:pStyle w:val="23"/>
              <w:numPr>
                <w:ilvl w:val="0"/>
                <w:numId w:val="10"/>
              </w:numPr>
              <w:snapToGrid w:val="0"/>
              <w:spacing w:line="360" w:lineRule="auto"/>
              <w:ind w:firstLineChars="0"/>
              <w:rPr>
                <w:rFonts w:ascii="宋体" w:hAnsi="宋体" w:cs="宋体" w:hint="eastAsia"/>
                <w:color w:val="000000" w:themeColor="text1"/>
                <w:sz w:val="24"/>
                <w:szCs w:val="24"/>
              </w:rPr>
            </w:pPr>
            <w:r w:rsidRPr="001E17A1">
              <w:rPr>
                <w:rFonts w:ascii="宋体" w:hAnsi="宋体" w:cs="Helvetica" w:hint="eastAsia"/>
                <w:color w:val="000000" w:themeColor="text1"/>
                <w:spacing w:val="8"/>
                <w:sz w:val="24"/>
                <w:szCs w:val="24"/>
                <w:shd w:val="clear" w:color="auto" w:fill="FFFFFF"/>
              </w:rPr>
              <w:t>在设计服务任务流程和进行编码配置时，对细节有高度的关注力和准确性。</w:t>
            </w:r>
          </w:p>
          <w:p w14:paraId="35A0B06F" w14:textId="77777777" w:rsidR="008137F8" w:rsidRPr="001E17A1" w:rsidRDefault="00000000">
            <w:pPr>
              <w:pStyle w:val="23"/>
              <w:numPr>
                <w:ilvl w:val="0"/>
                <w:numId w:val="10"/>
              </w:numPr>
              <w:snapToGrid w:val="0"/>
              <w:spacing w:line="360" w:lineRule="auto"/>
              <w:ind w:firstLineChars="0"/>
              <w:rPr>
                <w:rFonts w:ascii="宋体" w:hAnsi="宋体" w:cs="宋体" w:hint="eastAsia"/>
                <w:color w:val="000000" w:themeColor="text1"/>
                <w:sz w:val="24"/>
                <w:szCs w:val="24"/>
              </w:rPr>
            </w:pPr>
            <w:r w:rsidRPr="001E17A1">
              <w:rPr>
                <w:rFonts w:ascii="宋体" w:hAnsi="宋体" w:cs="Helvetica" w:hint="eastAsia"/>
                <w:color w:val="000000" w:themeColor="text1"/>
                <w:spacing w:val="8"/>
                <w:sz w:val="24"/>
                <w:szCs w:val="24"/>
                <w:shd w:val="clear" w:color="auto" w:fill="FFFFFF"/>
              </w:rPr>
              <w:t>能够执行测试工作，确保服务的稳定性和性能符合预期；能够编写清晰、准确的</w:t>
            </w:r>
            <w:r w:rsidRPr="001E17A1">
              <w:rPr>
                <w:rFonts w:ascii="宋体" w:hAnsi="宋体" w:cs="Helvetica" w:hint="eastAsia"/>
                <w:color w:val="000000" w:themeColor="text1"/>
                <w:spacing w:val="8"/>
                <w:sz w:val="24"/>
                <w:szCs w:val="24"/>
                <w:shd w:val="clear" w:color="auto" w:fill="FFFFFF"/>
              </w:rPr>
              <w:lastRenderedPageBreak/>
              <w:t>实施文档，为项目提供详细的记录和参考</w:t>
            </w:r>
          </w:p>
        </w:tc>
        <w:tc>
          <w:tcPr>
            <w:tcW w:w="431" w:type="pct"/>
            <w:vAlign w:val="center"/>
          </w:tcPr>
          <w:p w14:paraId="564F05FC"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21</w:t>
            </w:r>
          </w:p>
        </w:tc>
        <w:tc>
          <w:tcPr>
            <w:tcW w:w="427" w:type="pct"/>
            <w:vAlign w:val="center"/>
          </w:tcPr>
          <w:p w14:paraId="2920E861" w14:textId="77777777" w:rsidR="008137F8" w:rsidRPr="001E17A1" w:rsidRDefault="00000000">
            <w:p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驻场人数至少15人以上</w:t>
            </w:r>
          </w:p>
        </w:tc>
      </w:tr>
    </w:tbl>
    <w:bookmarkEnd w:id="28"/>
    <w:p w14:paraId="5D19BA22" w14:textId="77777777" w:rsidR="008137F8" w:rsidRPr="001E17A1" w:rsidRDefault="00000000">
      <w:pPr>
        <w:pStyle w:val="3"/>
        <w:numPr>
          <w:ilvl w:val="2"/>
          <w:numId w:val="11"/>
        </w:numPr>
        <w:snapToGrid w:val="0"/>
        <w:spacing w:before="0"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服务团队管理要求</w:t>
      </w:r>
    </w:p>
    <w:p w14:paraId="45DDCC29"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中标人应保证服务团队的稳定，其中驻场人员每月驻场考勤记录天数应不低于月工作日总数的</w:t>
      </w:r>
      <w:r w:rsidRPr="001E17A1">
        <w:rPr>
          <w:rFonts w:ascii="宋体" w:hAnsi="宋体"/>
          <w:color w:val="000000" w:themeColor="text1"/>
          <w:sz w:val="24"/>
          <w:szCs w:val="24"/>
        </w:rPr>
        <w:t>80%</w:t>
      </w:r>
      <w:r w:rsidRPr="001E17A1">
        <w:rPr>
          <w:rFonts w:ascii="宋体" w:hAnsi="宋体" w:hint="eastAsia"/>
          <w:color w:val="000000" w:themeColor="text1"/>
          <w:sz w:val="24"/>
          <w:szCs w:val="24"/>
        </w:rPr>
        <w:t>，人员变更须经采购方同意且人员变更数不得超过总数的</w:t>
      </w:r>
      <w:r w:rsidRPr="001E17A1">
        <w:rPr>
          <w:rFonts w:ascii="宋体" w:hAnsi="宋体"/>
          <w:color w:val="000000" w:themeColor="text1"/>
          <w:sz w:val="24"/>
          <w:szCs w:val="24"/>
        </w:rPr>
        <w:t>20</w:t>
      </w:r>
      <w:r w:rsidRPr="001E17A1">
        <w:rPr>
          <w:rFonts w:ascii="宋体" w:hAnsi="宋体" w:hint="eastAsia"/>
          <w:color w:val="000000" w:themeColor="text1"/>
          <w:sz w:val="24"/>
          <w:szCs w:val="24"/>
        </w:rPr>
        <w:t>%。</w:t>
      </w:r>
    </w:p>
    <w:p w14:paraId="32FE8C9F"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应遵照采购方《松江区数据运营服务管理办法》和《上海市松江区大数据中心驻场人员管理条例》等相关要求，实施对服务外包人员的监督管理工作，履行对进场外包服务人员的培训、指导和现场管理责任，落实供应商及现场服务人员签订《保密承诺》，确保进场服务人员的知晓、认可采购方的各项管理流程制度及工作规范并在服务过程中严格遵守。</w:t>
      </w:r>
    </w:p>
    <w:p w14:paraId="5B860380"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驻场服务人员在驻场办公地点工作期间应遵守采购方的出入管理、行为规范、安全管理、出勤管理等相关规定，中标人按规定实施考核评估工作。</w:t>
      </w:r>
    </w:p>
    <w:p w14:paraId="67A9F95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应根据采购方《松江区数据运营服务管理办法》《上海市松江区大数据中心驻场人员管理条例》及相关绩效考核管理要求单独制订并执行运营服务团队人员的绩效考核办法，按照“一人一岗、一人一表、效率优先、兼顾公平”的原则每月对运营服务团队的所有人员进行考核，并将考核结论报采购方进行终评。人员考核内容应覆盖服务人员完成的日常工作、专项工作、安全保密工作、服务质量、能力水平和行为规范等，且适应采购方对服务人员的具体要求。中标人应建立相应的考核激励机制，对于考核结果优秀的人员予以表扬与奖励；对于考核不合格的人员应通过培训或调岗等方式提升其适岗能力，经采购方认可后方可回原岗位工作。</w:t>
      </w:r>
    </w:p>
    <w:p w14:paraId="16FD070F"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若驻场服务人员因违反保密义务、工作规范或有其他重大违规行为而被要求退场的，不得再次使用。若因能力上不符合要求，而被要求退场的外包人员则两年内不再使用。</w:t>
      </w:r>
    </w:p>
    <w:p w14:paraId="35939EEE" w14:textId="77777777" w:rsidR="008137F8" w:rsidRPr="001E17A1" w:rsidRDefault="00000000">
      <w:pPr>
        <w:pStyle w:val="2"/>
        <w:snapToGrid w:val="0"/>
        <w:spacing w:before="0"/>
        <w:ind w:left="0" w:firstLine="0"/>
        <w:rPr>
          <w:rFonts w:ascii="宋体" w:hAnsi="宋体" w:hint="eastAsia"/>
          <w:color w:val="000000" w:themeColor="text1"/>
          <w:sz w:val="24"/>
          <w:szCs w:val="24"/>
        </w:rPr>
      </w:pPr>
      <w:bookmarkStart w:id="30" w:name="_Toc19802433"/>
      <w:bookmarkStart w:id="31" w:name="_Toc34292038"/>
      <w:r w:rsidRPr="001E17A1">
        <w:rPr>
          <w:rFonts w:ascii="宋体" w:hAnsi="宋体" w:hint="eastAsia"/>
          <w:color w:val="000000" w:themeColor="text1"/>
          <w:sz w:val="24"/>
          <w:szCs w:val="24"/>
        </w:rPr>
        <w:t>第三方监管要求</w:t>
      </w:r>
    </w:p>
    <w:p w14:paraId="7E8538A8" w14:textId="77777777" w:rsidR="008137F8" w:rsidRPr="001E17A1" w:rsidRDefault="00000000">
      <w:pPr>
        <w:snapToGrid w:val="0"/>
        <w:spacing w:line="360" w:lineRule="auto"/>
        <w:ind w:firstLine="420"/>
        <w:rPr>
          <w:rFonts w:ascii="宋体" w:hAnsi="宋体" w:hint="eastAsia"/>
          <w:color w:val="000000" w:themeColor="text1"/>
          <w:sz w:val="24"/>
          <w:szCs w:val="24"/>
        </w:rPr>
      </w:pPr>
      <w:r w:rsidRPr="001E17A1">
        <w:rPr>
          <w:rFonts w:ascii="宋体" w:hAnsi="宋体" w:hint="eastAsia"/>
          <w:color w:val="000000" w:themeColor="text1"/>
          <w:sz w:val="24"/>
          <w:szCs w:val="24"/>
        </w:rPr>
        <w:t>采购方根据工作需要委托第三方监管机构或专家对中标人提供的运营服务</w:t>
      </w:r>
      <w:r w:rsidRPr="001E17A1">
        <w:rPr>
          <w:rFonts w:ascii="宋体" w:hAnsi="宋体" w:hint="eastAsia"/>
          <w:color w:val="000000" w:themeColor="text1"/>
          <w:sz w:val="24"/>
          <w:szCs w:val="24"/>
        </w:rPr>
        <w:lastRenderedPageBreak/>
        <w:t>工作量、工作内容和完成质量等进行审核、评估或验收，对运营服务过程中发生的质量问题、重大事故进行责任边界判定。中标人应积极配合第三方监管机构和专家的工作，遵从相关指令和要求并认可相关审核评估结论。</w:t>
      </w:r>
    </w:p>
    <w:p w14:paraId="3935056F" w14:textId="77777777" w:rsidR="008137F8" w:rsidRPr="001E17A1" w:rsidRDefault="00000000">
      <w:pPr>
        <w:pStyle w:val="2"/>
        <w:snapToGrid w:val="0"/>
        <w:spacing w:before="0"/>
        <w:ind w:left="0" w:firstLine="0"/>
        <w:rPr>
          <w:rFonts w:ascii="宋体" w:hAnsi="宋体" w:hint="eastAsia"/>
          <w:color w:val="000000" w:themeColor="text1"/>
          <w:sz w:val="24"/>
          <w:szCs w:val="24"/>
        </w:rPr>
      </w:pPr>
      <w:r w:rsidRPr="001E17A1">
        <w:rPr>
          <w:rFonts w:ascii="宋体" w:hAnsi="宋体" w:hint="eastAsia"/>
          <w:color w:val="000000" w:themeColor="text1"/>
          <w:sz w:val="24"/>
          <w:szCs w:val="24"/>
        </w:rPr>
        <w:t>服务质量评估及违约责任</w:t>
      </w:r>
    </w:p>
    <w:bookmarkEnd w:id="30"/>
    <w:bookmarkEnd w:id="31"/>
    <w:p w14:paraId="376FBEAF"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服务质量评估</w:t>
      </w:r>
    </w:p>
    <w:p w14:paraId="04026F42"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采购方</w:t>
      </w:r>
      <w:r w:rsidRPr="001E17A1">
        <w:rPr>
          <w:rFonts w:ascii="宋体" w:hAnsi="宋体"/>
          <w:color w:val="000000" w:themeColor="text1"/>
          <w:sz w:val="24"/>
          <w:szCs w:val="24"/>
        </w:rPr>
        <w:t>将</w:t>
      </w:r>
      <w:r w:rsidRPr="001E17A1">
        <w:rPr>
          <w:rFonts w:ascii="宋体" w:hAnsi="宋体" w:hint="eastAsia"/>
          <w:color w:val="000000" w:themeColor="text1"/>
          <w:sz w:val="24"/>
          <w:szCs w:val="24"/>
        </w:rPr>
        <w:t>委托第三方监管机构</w:t>
      </w:r>
      <w:r w:rsidRPr="001E17A1">
        <w:rPr>
          <w:rFonts w:ascii="宋体" w:hAnsi="宋体"/>
          <w:color w:val="000000" w:themeColor="text1"/>
          <w:sz w:val="24"/>
          <w:szCs w:val="24"/>
        </w:rPr>
        <w:t>对中标人的数据运营服务进行</w:t>
      </w:r>
      <w:r w:rsidRPr="001E17A1">
        <w:rPr>
          <w:rFonts w:ascii="宋体" w:hAnsi="宋体" w:hint="eastAsia"/>
          <w:color w:val="000000" w:themeColor="text1"/>
          <w:sz w:val="24"/>
          <w:szCs w:val="24"/>
        </w:rPr>
        <w:t>服务质量评估，评估结果作为服务费结算的重要依据</w:t>
      </w:r>
      <w:r w:rsidRPr="001E17A1">
        <w:rPr>
          <w:rFonts w:ascii="宋体" w:hAnsi="宋体"/>
          <w:color w:val="000000" w:themeColor="text1"/>
          <w:sz w:val="24"/>
          <w:szCs w:val="24"/>
        </w:rPr>
        <w:t>。</w:t>
      </w:r>
    </w:p>
    <w:p w14:paraId="647058E8" w14:textId="77777777" w:rsidR="008137F8" w:rsidRPr="001E17A1" w:rsidRDefault="00000000">
      <w:pPr>
        <w:pStyle w:val="4"/>
        <w:snapToGrid w:val="0"/>
        <w:spacing w:before="0" w:line="360" w:lineRule="auto"/>
        <w:ind w:hanging="850"/>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t>服务交付质量评估</w:t>
      </w:r>
    </w:p>
    <w:p w14:paraId="0C281303"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交付质量评估主要针对中标人完成交付的每个服务单进行评估，以交付质量评估结果确定服务单的质量系数。交付质量评估内容主要包括服务响应、服务交付、服务过程管理和服务满意度等方面，交付质量评估分值满分为1</w:t>
      </w:r>
      <w:r w:rsidRPr="001E17A1">
        <w:rPr>
          <w:rFonts w:ascii="宋体" w:hAnsi="宋体"/>
          <w:color w:val="000000" w:themeColor="text1"/>
          <w:sz w:val="24"/>
          <w:szCs w:val="24"/>
        </w:rPr>
        <w:t>00</w:t>
      </w:r>
      <w:r w:rsidRPr="001E17A1">
        <w:rPr>
          <w:rFonts w:ascii="宋体" w:hAnsi="宋体" w:hint="eastAsia"/>
          <w:color w:val="000000" w:themeColor="text1"/>
          <w:sz w:val="24"/>
          <w:szCs w:val="24"/>
        </w:rPr>
        <w:t>分。采购方根据服务单交付质量评估分值按下表确定对应的服务单质量系数：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1701"/>
        <w:gridCol w:w="4587"/>
      </w:tblGrid>
      <w:tr w:rsidR="008137F8" w:rsidRPr="001E17A1" w14:paraId="20895DC0" w14:textId="77777777">
        <w:trPr>
          <w:trHeight w:val="580"/>
        </w:trPr>
        <w:tc>
          <w:tcPr>
            <w:tcW w:w="1311" w:type="pct"/>
            <w:vAlign w:val="center"/>
          </w:tcPr>
          <w:p w14:paraId="0B6C8F8F" w14:textId="77777777" w:rsidR="008137F8" w:rsidRPr="001E17A1" w:rsidRDefault="00000000">
            <w:pPr>
              <w:widowControl/>
              <w:snapToGrid w:val="0"/>
              <w:spacing w:line="360" w:lineRule="auto"/>
              <w:jc w:val="center"/>
              <w:rPr>
                <w:rFonts w:ascii="宋体" w:hAnsi="宋体" w:hint="eastAsia"/>
                <w:b/>
                <w:color w:val="000000" w:themeColor="text1"/>
                <w:sz w:val="24"/>
                <w:szCs w:val="24"/>
                <w:lang w:bidi="en-US"/>
              </w:rPr>
            </w:pPr>
            <w:r w:rsidRPr="001E17A1">
              <w:rPr>
                <w:rFonts w:ascii="宋体" w:hAnsi="宋体" w:hint="eastAsia"/>
                <w:b/>
                <w:color w:val="000000" w:themeColor="text1"/>
                <w:sz w:val="24"/>
                <w:szCs w:val="24"/>
                <w:lang w:bidi="en-US"/>
              </w:rPr>
              <w:t>交付质量评估分值</w:t>
            </w:r>
          </w:p>
        </w:tc>
        <w:tc>
          <w:tcPr>
            <w:tcW w:w="998" w:type="pct"/>
            <w:vAlign w:val="center"/>
          </w:tcPr>
          <w:p w14:paraId="50F5DEB9" w14:textId="77777777" w:rsidR="008137F8" w:rsidRPr="001E17A1" w:rsidRDefault="00000000">
            <w:pPr>
              <w:widowControl/>
              <w:snapToGrid w:val="0"/>
              <w:spacing w:line="360" w:lineRule="auto"/>
              <w:jc w:val="center"/>
              <w:rPr>
                <w:rFonts w:ascii="宋体" w:hAnsi="宋体" w:hint="eastAsia"/>
                <w:b/>
                <w:color w:val="000000" w:themeColor="text1"/>
                <w:sz w:val="24"/>
                <w:szCs w:val="24"/>
                <w:lang w:bidi="en-US"/>
              </w:rPr>
            </w:pPr>
            <w:r w:rsidRPr="001E17A1">
              <w:rPr>
                <w:rFonts w:ascii="宋体" w:hAnsi="宋体" w:hint="eastAsia"/>
                <w:b/>
                <w:color w:val="000000" w:themeColor="text1"/>
                <w:sz w:val="24"/>
                <w:szCs w:val="24"/>
                <w:lang w:bidi="en-US"/>
              </w:rPr>
              <w:t>等级</w:t>
            </w:r>
          </w:p>
        </w:tc>
        <w:tc>
          <w:tcPr>
            <w:tcW w:w="2691" w:type="pct"/>
            <w:vAlign w:val="center"/>
          </w:tcPr>
          <w:p w14:paraId="529405E9" w14:textId="77777777" w:rsidR="008137F8" w:rsidRPr="001E17A1" w:rsidRDefault="00000000">
            <w:pPr>
              <w:widowControl/>
              <w:snapToGrid w:val="0"/>
              <w:spacing w:line="360" w:lineRule="auto"/>
              <w:jc w:val="center"/>
              <w:rPr>
                <w:rFonts w:ascii="宋体" w:hAnsi="宋体" w:hint="eastAsia"/>
                <w:b/>
                <w:color w:val="000000" w:themeColor="text1"/>
                <w:sz w:val="24"/>
                <w:szCs w:val="24"/>
                <w:lang w:eastAsia="en-US" w:bidi="en-US"/>
              </w:rPr>
            </w:pPr>
            <w:r w:rsidRPr="001E17A1">
              <w:rPr>
                <w:rFonts w:ascii="宋体" w:hAnsi="宋体" w:hint="eastAsia"/>
                <w:b/>
                <w:color w:val="000000" w:themeColor="text1"/>
                <w:sz w:val="24"/>
                <w:szCs w:val="24"/>
                <w:lang w:bidi="en-US"/>
              </w:rPr>
              <w:t>质量系数</w:t>
            </w:r>
          </w:p>
        </w:tc>
      </w:tr>
      <w:tr w:rsidR="008137F8" w:rsidRPr="001E17A1" w14:paraId="2351D3AD" w14:textId="77777777">
        <w:trPr>
          <w:trHeight w:val="411"/>
        </w:trPr>
        <w:tc>
          <w:tcPr>
            <w:tcW w:w="1311" w:type="pct"/>
            <w:vAlign w:val="center"/>
          </w:tcPr>
          <w:p w14:paraId="0ED6B03D"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color w:val="000000" w:themeColor="text1"/>
                <w:sz w:val="24"/>
                <w:szCs w:val="24"/>
              </w:rPr>
              <w:t>≥9</w:t>
            </w:r>
            <w:r w:rsidRPr="001E17A1">
              <w:rPr>
                <w:rFonts w:ascii="宋体" w:hAnsi="宋体"/>
                <w:color w:val="000000" w:themeColor="text1"/>
                <w:sz w:val="24"/>
                <w:szCs w:val="24"/>
                <w:lang w:bidi="en-US"/>
              </w:rPr>
              <w:t>0分</w:t>
            </w:r>
          </w:p>
        </w:tc>
        <w:tc>
          <w:tcPr>
            <w:tcW w:w="998" w:type="pct"/>
            <w:vAlign w:val="center"/>
          </w:tcPr>
          <w:p w14:paraId="73425F05" w14:textId="77777777" w:rsidR="008137F8" w:rsidRPr="001E17A1" w:rsidRDefault="00000000">
            <w:pPr>
              <w:widowControl/>
              <w:snapToGrid w:val="0"/>
              <w:spacing w:line="360" w:lineRule="auto"/>
              <w:jc w:val="center"/>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A</w:t>
            </w:r>
          </w:p>
        </w:tc>
        <w:tc>
          <w:tcPr>
            <w:tcW w:w="2691" w:type="pct"/>
            <w:vAlign w:val="center"/>
          </w:tcPr>
          <w:p w14:paraId="00BA9867"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1</w:t>
            </w:r>
          </w:p>
        </w:tc>
      </w:tr>
      <w:tr w:rsidR="008137F8" w:rsidRPr="001E17A1" w14:paraId="40D22C9C" w14:textId="77777777">
        <w:trPr>
          <w:trHeight w:val="411"/>
        </w:trPr>
        <w:tc>
          <w:tcPr>
            <w:tcW w:w="1311" w:type="pct"/>
            <w:vAlign w:val="center"/>
          </w:tcPr>
          <w:p w14:paraId="25045F40" w14:textId="77777777" w:rsidR="008137F8" w:rsidRPr="001E17A1" w:rsidRDefault="00000000">
            <w:pPr>
              <w:widowControl/>
              <w:snapToGrid w:val="0"/>
              <w:spacing w:line="360" w:lineRule="auto"/>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color w:val="000000" w:themeColor="text1"/>
                <w:sz w:val="24"/>
                <w:szCs w:val="24"/>
                <w:lang w:bidi="en-US"/>
              </w:rPr>
              <w:t>80分，</w:t>
            </w:r>
            <w:r w:rsidRPr="001E17A1">
              <w:rPr>
                <w:rFonts w:ascii="宋体" w:hAnsi="宋体"/>
                <w:color w:val="000000" w:themeColor="text1"/>
                <w:sz w:val="24"/>
                <w:szCs w:val="24"/>
              </w:rPr>
              <w:t>&lt;90分</w:t>
            </w:r>
          </w:p>
        </w:tc>
        <w:tc>
          <w:tcPr>
            <w:tcW w:w="998" w:type="pct"/>
            <w:vAlign w:val="center"/>
          </w:tcPr>
          <w:p w14:paraId="7B3FA592" w14:textId="77777777" w:rsidR="008137F8" w:rsidRPr="001E17A1" w:rsidRDefault="00000000">
            <w:pPr>
              <w:widowControl/>
              <w:snapToGrid w:val="0"/>
              <w:spacing w:line="360" w:lineRule="auto"/>
              <w:jc w:val="center"/>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B</w:t>
            </w:r>
          </w:p>
        </w:tc>
        <w:tc>
          <w:tcPr>
            <w:tcW w:w="2691" w:type="pct"/>
            <w:vAlign w:val="center"/>
          </w:tcPr>
          <w:p w14:paraId="6CB6B80F"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0</w:t>
            </w:r>
            <w:r w:rsidRPr="001E17A1">
              <w:rPr>
                <w:rFonts w:ascii="宋体" w:hAnsi="宋体"/>
                <w:color w:val="000000" w:themeColor="text1"/>
                <w:sz w:val="24"/>
                <w:szCs w:val="24"/>
                <w:lang w:bidi="en-US"/>
              </w:rPr>
              <w:t>.95</w:t>
            </w:r>
          </w:p>
        </w:tc>
      </w:tr>
      <w:tr w:rsidR="008137F8" w:rsidRPr="001E17A1" w14:paraId="6817488B" w14:textId="77777777">
        <w:trPr>
          <w:trHeight w:val="411"/>
        </w:trPr>
        <w:tc>
          <w:tcPr>
            <w:tcW w:w="1311" w:type="pct"/>
            <w:vAlign w:val="center"/>
          </w:tcPr>
          <w:p w14:paraId="62B4952F" w14:textId="77777777" w:rsidR="008137F8" w:rsidRPr="001E17A1" w:rsidRDefault="00000000">
            <w:pPr>
              <w:widowControl/>
              <w:snapToGrid w:val="0"/>
              <w:spacing w:line="360" w:lineRule="auto"/>
              <w:jc w:val="left"/>
              <w:rPr>
                <w:rFonts w:ascii="宋体" w:hAnsi="宋体" w:hint="eastAsia"/>
                <w:color w:val="000000" w:themeColor="text1"/>
                <w:sz w:val="24"/>
                <w:szCs w:val="24"/>
              </w:rPr>
            </w:pPr>
            <w:r w:rsidRPr="001E17A1">
              <w:rPr>
                <w:rFonts w:ascii="宋体" w:hAnsi="宋体"/>
                <w:color w:val="000000" w:themeColor="text1"/>
                <w:sz w:val="24"/>
                <w:szCs w:val="24"/>
              </w:rPr>
              <w:t>≥70分，&lt;80分</w:t>
            </w:r>
          </w:p>
        </w:tc>
        <w:tc>
          <w:tcPr>
            <w:tcW w:w="998" w:type="pct"/>
            <w:vAlign w:val="center"/>
          </w:tcPr>
          <w:p w14:paraId="4C22C91C" w14:textId="77777777" w:rsidR="008137F8" w:rsidRPr="001E17A1" w:rsidRDefault="00000000">
            <w:pPr>
              <w:widowControl/>
              <w:snapToGrid w:val="0"/>
              <w:spacing w:line="360" w:lineRule="auto"/>
              <w:jc w:val="center"/>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C</w:t>
            </w:r>
          </w:p>
        </w:tc>
        <w:tc>
          <w:tcPr>
            <w:tcW w:w="2691" w:type="pct"/>
            <w:vAlign w:val="center"/>
          </w:tcPr>
          <w:p w14:paraId="27269479"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0.</w:t>
            </w:r>
            <w:r w:rsidRPr="001E17A1">
              <w:rPr>
                <w:rFonts w:ascii="宋体" w:hAnsi="宋体"/>
                <w:color w:val="000000" w:themeColor="text1"/>
                <w:sz w:val="24"/>
                <w:szCs w:val="24"/>
                <w:lang w:bidi="en-US"/>
              </w:rPr>
              <w:t>9</w:t>
            </w:r>
          </w:p>
        </w:tc>
      </w:tr>
      <w:tr w:rsidR="008137F8" w:rsidRPr="001E17A1" w14:paraId="78639341" w14:textId="77777777">
        <w:trPr>
          <w:trHeight w:val="419"/>
        </w:trPr>
        <w:tc>
          <w:tcPr>
            <w:tcW w:w="1311" w:type="pct"/>
            <w:vAlign w:val="center"/>
          </w:tcPr>
          <w:p w14:paraId="3673616E"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color w:val="000000" w:themeColor="text1"/>
                <w:sz w:val="24"/>
                <w:szCs w:val="24"/>
              </w:rPr>
              <w:t>≥60分，&lt;70分</w:t>
            </w:r>
          </w:p>
        </w:tc>
        <w:tc>
          <w:tcPr>
            <w:tcW w:w="998" w:type="pct"/>
            <w:vAlign w:val="center"/>
          </w:tcPr>
          <w:p w14:paraId="10568402" w14:textId="77777777" w:rsidR="008137F8" w:rsidRPr="001E17A1" w:rsidRDefault="00000000">
            <w:pPr>
              <w:widowControl/>
              <w:snapToGrid w:val="0"/>
              <w:spacing w:line="360" w:lineRule="auto"/>
              <w:jc w:val="center"/>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D</w:t>
            </w:r>
          </w:p>
        </w:tc>
        <w:tc>
          <w:tcPr>
            <w:tcW w:w="2691" w:type="pct"/>
            <w:vAlign w:val="center"/>
          </w:tcPr>
          <w:p w14:paraId="1E9C335B"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0.</w:t>
            </w:r>
            <w:r w:rsidRPr="001E17A1">
              <w:rPr>
                <w:rFonts w:ascii="宋体" w:hAnsi="宋体"/>
                <w:color w:val="000000" w:themeColor="text1"/>
                <w:sz w:val="24"/>
                <w:szCs w:val="24"/>
                <w:lang w:bidi="en-US"/>
              </w:rPr>
              <w:t>85</w:t>
            </w:r>
          </w:p>
        </w:tc>
      </w:tr>
      <w:tr w:rsidR="008137F8" w:rsidRPr="001E17A1" w14:paraId="64DEC246" w14:textId="77777777">
        <w:trPr>
          <w:trHeight w:val="413"/>
        </w:trPr>
        <w:tc>
          <w:tcPr>
            <w:tcW w:w="1311" w:type="pct"/>
            <w:vAlign w:val="center"/>
          </w:tcPr>
          <w:p w14:paraId="333F2E7A"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color w:val="000000" w:themeColor="text1"/>
                <w:sz w:val="24"/>
                <w:szCs w:val="24"/>
              </w:rPr>
              <w:t>&lt;60分</w:t>
            </w:r>
          </w:p>
        </w:tc>
        <w:tc>
          <w:tcPr>
            <w:tcW w:w="998" w:type="pct"/>
            <w:vAlign w:val="center"/>
          </w:tcPr>
          <w:p w14:paraId="643FFFCA" w14:textId="77777777" w:rsidR="008137F8" w:rsidRPr="001E17A1" w:rsidRDefault="00000000">
            <w:pPr>
              <w:widowControl/>
              <w:snapToGrid w:val="0"/>
              <w:spacing w:line="360" w:lineRule="auto"/>
              <w:jc w:val="center"/>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E</w:t>
            </w:r>
          </w:p>
        </w:tc>
        <w:tc>
          <w:tcPr>
            <w:tcW w:w="2691" w:type="pct"/>
            <w:vAlign w:val="center"/>
          </w:tcPr>
          <w:p w14:paraId="5897C0DD" w14:textId="77777777" w:rsidR="008137F8" w:rsidRPr="001E17A1" w:rsidRDefault="00000000">
            <w:pPr>
              <w:widowControl/>
              <w:snapToGrid w:val="0"/>
              <w:spacing w:line="360" w:lineRule="auto"/>
              <w:jc w:val="left"/>
              <w:rPr>
                <w:rFonts w:ascii="宋体" w:hAnsi="宋体" w:hint="eastAsia"/>
                <w:color w:val="000000" w:themeColor="text1"/>
                <w:sz w:val="24"/>
                <w:szCs w:val="24"/>
                <w:lang w:bidi="en-US"/>
              </w:rPr>
            </w:pPr>
            <w:r w:rsidRPr="001E17A1">
              <w:rPr>
                <w:rFonts w:ascii="宋体" w:hAnsi="宋体" w:hint="eastAsia"/>
                <w:color w:val="000000" w:themeColor="text1"/>
                <w:sz w:val="24"/>
                <w:szCs w:val="24"/>
                <w:lang w:bidi="en-US"/>
              </w:rPr>
              <w:t>应先进行整改，整改后评估分值</w:t>
            </w:r>
            <w:r w:rsidRPr="001E17A1">
              <w:rPr>
                <w:rFonts w:ascii="宋体" w:hAnsi="宋体"/>
                <w:color w:val="000000" w:themeColor="text1"/>
                <w:sz w:val="24"/>
                <w:szCs w:val="24"/>
              </w:rPr>
              <w:t>≥60分</w:t>
            </w:r>
            <w:r w:rsidRPr="001E17A1">
              <w:rPr>
                <w:rFonts w:ascii="宋体" w:hAnsi="宋体" w:hint="eastAsia"/>
                <w:color w:val="000000" w:themeColor="text1"/>
                <w:sz w:val="24"/>
                <w:szCs w:val="24"/>
                <w:lang w:bidi="en-US"/>
              </w:rPr>
              <w:t>时质量系数为0</w:t>
            </w:r>
            <w:r w:rsidRPr="001E17A1">
              <w:rPr>
                <w:rFonts w:ascii="宋体" w:hAnsi="宋体"/>
                <w:color w:val="000000" w:themeColor="text1"/>
                <w:sz w:val="24"/>
                <w:szCs w:val="24"/>
                <w:lang w:bidi="en-US"/>
              </w:rPr>
              <w:t>.8</w:t>
            </w:r>
            <w:r w:rsidRPr="001E17A1">
              <w:rPr>
                <w:rFonts w:ascii="宋体" w:hAnsi="宋体" w:hint="eastAsia"/>
                <w:color w:val="000000" w:themeColor="text1"/>
                <w:sz w:val="24"/>
                <w:szCs w:val="24"/>
                <w:lang w:bidi="en-US"/>
              </w:rPr>
              <w:t>；整改后评估仍不合格的，质量系数为0。</w:t>
            </w:r>
          </w:p>
        </w:tc>
      </w:tr>
    </w:tbl>
    <w:p w14:paraId="64AF97FB" w14:textId="77777777" w:rsidR="008137F8" w:rsidRPr="001E17A1" w:rsidRDefault="008137F8">
      <w:pPr>
        <w:widowControl/>
        <w:tabs>
          <w:tab w:val="left" w:pos="1134"/>
        </w:tabs>
        <w:snapToGrid w:val="0"/>
        <w:spacing w:line="360" w:lineRule="auto"/>
        <w:ind w:firstLineChars="200" w:firstLine="480"/>
        <w:jc w:val="left"/>
        <w:rPr>
          <w:rFonts w:ascii="宋体" w:hAnsi="宋体" w:hint="eastAsia"/>
          <w:color w:val="000000" w:themeColor="text1"/>
          <w:sz w:val="24"/>
          <w:szCs w:val="24"/>
        </w:rPr>
      </w:pPr>
    </w:p>
    <w:p w14:paraId="3C3EF10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服务交付质量评估的评分标准如下：</w:t>
      </w:r>
    </w:p>
    <w:tbl>
      <w:tblPr>
        <w:tblW w:w="5000" w:type="pct"/>
        <w:tblLook w:val="04A0" w:firstRow="1" w:lastRow="0" w:firstColumn="1" w:lastColumn="0" w:noHBand="0" w:noVBand="1"/>
      </w:tblPr>
      <w:tblGrid>
        <w:gridCol w:w="881"/>
        <w:gridCol w:w="902"/>
        <w:gridCol w:w="1423"/>
        <w:gridCol w:w="1623"/>
        <w:gridCol w:w="3693"/>
      </w:tblGrid>
      <w:tr w:rsidR="008137F8" w:rsidRPr="001E17A1" w14:paraId="2C65354A" w14:textId="77777777">
        <w:trPr>
          <w:trHeight w:val="516"/>
        </w:trPr>
        <w:tc>
          <w:tcPr>
            <w:tcW w:w="517" w:type="pct"/>
            <w:tcBorders>
              <w:top w:val="single" w:sz="4" w:space="0" w:color="auto"/>
              <w:left w:val="single" w:sz="4" w:space="0" w:color="auto"/>
              <w:bottom w:val="single" w:sz="4" w:space="0" w:color="auto"/>
              <w:right w:val="single" w:sz="4" w:space="0" w:color="auto"/>
            </w:tcBorders>
            <w:vAlign w:val="center"/>
          </w:tcPr>
          <w:p w14:paraId="28B7EA62"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指标分类</w:t>
            </w:r>
          </w:p>
        </w:tc>
        <w:tc>
          <w:tcPr>
            <w:tcW w:w="529" w:type="pct"/>
            <w:tcBorders>
              <w:top w:val="single" w:sz="4" w:space="0" w:color="auto"/>
              <w:left w:val="nil"/>
              <w:bottom w:val="single" w:sz="4" w:space="0" w:color="auto"/>
              <w:right w:val="single" w:sz="4" w:space="0" w:color="auto"/>
            </w:tcBorders>
            <w:shd w:val="clear" w:color="000000" w:fill="FFFFFF"/>
            <w:vAlign w:val="center"/>
          </w:tcPr>
          <w:p w14:paraId="3B2822B2"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指标权重</w:t>
            </w:r>
          </w:p>
        </w:tc>
        <w:tc>
          <w:tcPr>
            <w:tcW w:w="835" w:type="pct"/>
            <w:tcBorders>
              <w:top w:val="single" w:sz="4" w:space="0" w:color="auto"/>
              <w:left w:val="nil"/>
              <w:bottom w:val="single" w:sz="4" w:space="0" w:color="auto"/>
              <w:right w:val="single" w:sz="4" w:space="0" w:color="auto"/>
            </w:tcBorders>
            <w:shd w:val="clear" w:color="000000" w:fill="FFFFFF"/>
            <w:vAlign w:val="center"/>
          </w:tcPr>
          <w:p w14:paraId="1AB5D3AE"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评价指标</w:t>
            </w:r>
          </w:p>
        </w:tc>
        <w:tc>
          <w:tcPr>
            <w:tcW w:w="952" w:type="pct"/>
            <w:tcBorders>
              <w:top w:val="single" w:sz="4" w:space="0" w:color="auto"/>
              <w:left w:val="nil"/>
              <w:bottom w:val="single" w:sz="4" w:space="0" w:color="auto"/>
              <w:right w:val="single" w:sz="4" w:space="0" w:color="auto"/>
            </w:tcBorders>
            <w:shd w:val="clear" w:color="000000" w:fill="FFFFFF"/>
            <w:vAlign w:val="center"/>
          </w:tcPr>
          <w:p w14:paraId="65981107"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应达要求</w:t>
            </w:r>
          </w:p>
        </w:tc>
        <w:tc>
          <w:tcPr>
            <w:tcW w:w="2167" w:type="pct"/>
            <w:tcBorders>
              <w:top w:val="single" w:sz="4" w:space="0" w:color="auto"/>
              <w:left w:val="nil"/>
              <w:bottom w:val="single" w:sz="4" w:space="0" w:color="auto"/>
              <w:right w:val="single" w:sz="4" w:space="0" w:color="auto"/>
            </w:tcBorders>
            <w:shd w:val="clear" w:color="000000" w:fill="FFFFFF"/>
            <w:vAlign w:val="center"/>
          </w:tcPr>
          <w:p w14:paraId="4BCA246A"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评分标准</w:t>
            </w:r>
          </w:p>
        </w:tc>
      </w:tr>
      <w:tr w:rsidR="008137F8" w:rsidRPr="001E17A1" w14:paraId="4E4A15F1" w14:textId="77777777">
        <w:trPr>
          <w:trHeight w:val="1032"/>
        </w:trPr>
        <w:tc>
          <w:tcPr>
            <w:tcW w:w="517" w:type="pct"/>
            <w:vMerge w:val="restart"/>
            <w:tcBorders>
              <w:top w:val="nil"/>
              <w:left w:val="single" w:sz="4" w:space="0" w:color="auto"/>
              <w:bottom w:val="single" w:sz="4" w:space="0" w:color="auto"/>
              <w:right w:val="single" w:sz="4" w:space="0" w:color="auto"/>
            </w:tcBorders>
            <w:vAlign w:val="center"/>
          </w:tcPr>
          <w:p w14:paraId="332507EA"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服务单发放与计划</w:t>
            </w:r>
          </w:p>
        </w:tc>
        <w:tc>
          <w:tcPr>
            <w:tcW w:w="529" w:type="pct"/>
            <w:vMerge w:val="restart"/>
            <w:tcBorders>
              <w:top w:val="nil"/>
              <w:left w:val="single" w:sz="4" w:space="0" w:color="auto"/>
              <w:bottom w:val="single" w:sz="4" w:space="0" w:color="000000"/>
              <w:right w:val="single" w:sz="4" w:space="0" w:color="auto"/>
            </w:tcBorders>
            <w:shd w:val="clear" w:color="000000" w:fill="FFFFFF"/>
            <w:vAlign w:val="center"/>
          </w:tcPr>
          <w:p w14:paraId="5224216F"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10</w:t>
            </w:r>
          </w:p>
        </w:tc>
        <w:tc>
          <w:tcPr>
            <w:tcW w:w="835" w:type="pct"/>
            <w:tcBorders>
              <w:top w:val="nil"/>
              <w:left w:val="nil"/>
              <w:bottom w:val="single" w:sz="4" w:space="0" w:color="auto"/>
              <w:right w:val="single" w:sz="4" w:space="0" w:color="auto"/>
            </w:tcBorders>
            <w:shd w:val="clear" w:color="000000" w:fill="FFFFFF"/>
            <w:vAlign w:val="center"/>
          </w:tcPr>
          <w:p w14:paraId="25A9FD4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服务单三要素规范性和完整性</w:t>
            </w:r>
          </w:p>
        </w:tc>
        <w:tc>
          <w:tcPr>
            <w:tcW w:w="952" w:type="pct"/>
            <w:tcBorders>
              <w:top w:val="nil"/>
              <w:left w:val="nil"/>
              <w:bottom w:val="single" w:sz="4" w:space="0" w:color="auto"/>
              <w:right w:val="single" w:sz="4" w:space="0" w:color="auto"/>
            </w:tcBorders>
            <w:shd w:val="clear" w:color="000000" w:fill="FFFFFF"/>
            <w:vAlign w:val="center"/>
          </w:tcPr>
          <w:p w14:paraId="4752860D"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提交的三要素材料应格式规范、内容完整，经评审一次性通过。</w:t>
            </w:r>
          </w:p>
        </w:tc>
        <w:tc>
          <w:tcPr>
            <w:tcW w:w="2167" w:type="pct"/>
            <w:tcBorders>
              <w:top w:val="nil"/>
              <w:left w:val="nil"/>
              <w:bottom w:val="single" w:sz="4" w:space="0" w:color="auto"/>
              <w:right w:val="single" w:sz="4" w:space="0" w:color="auto"/>
            </w:tcBorders>
            <w:shd w:val="clear" w:color="000000" w:fill="FFFFFF"/>
            <w:vAlign w:val="center"/>
          </w:tcPr>
          <w:p w14:paraId="618C353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每发生1次评审未通过的，扣2分，扣完为止。</w:t>
            </w:r>
          </w:p>
        </w:tc>
      </w:tr>
      <w:tr w:rsidR="008137F8" w:rsidRPr="001E17A1" w14:paraId="54B4AE42" w14:textId="77777777">
        <w:trPr>
          <w:trHeight w:val="1290"/>
        </w:trPr>
        <w:tc>
          <w:tcPr>
            <w:tcW w:w="517" w:type="pct"/>
            <w:vMerge/>
            <w:tcBorders>
              <w:top w:val="nil"/>
              <w:left w:val="single" w:sz="4" w:space="0" w:color="auto"/>
              <w:bottom w:val="single" w:sz="4" w:space="0" w:color="auto"/>
              <w:right w:val="single" w:sz="4" w:space="0" w:color="auto"/>
            </w:tcBorders>
            <w:vAlign w:val="center"/>
          </w:tcPr>
          <w:p w14:paraId="50F2952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1BFE0B0A"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67CC7517"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需求满足情况</w:t>
            </w:r>
          </w:p>
        </w:tc>
        <w:tc>
          <w:tcPr>
            <w:tcW w:w="952" w:type="pct"/>
            <w:tcBorders>
              <w:top w:val="nil"/>
              <w:left w:val="nil"/>
              <w:bottom w:val="single" w:sz="4" w:space="0" w:color="auto"/>
              <w:right w:val="single" w:sz="4" w:space="0" w:color="auto"/>
            </w:tcBorders>
            <w:shd w:val="clear" w:color="000000" w:fill="FFFFFF"/>
            <w:vAlign w:val="center"/>
          </w:tcPr>
          <w:p w14:paraId="6AA0805A"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提交的三要素完全响应并满足服务需求的不扣分。</w:t>
            </w:r>
          </w:p>
        </w:tc>
        <w:tc>
          <w:tcPr>
            <w:tcW w:w="2167" w:type="pct"/>
            <w:tcBorders>
              <w:top w:val="nil"/>
              <w:left w:val="nil"/>
              <w:bottom w:val="single" w:sz="4" w:space="0" w:color="auto"/>
              <w:right w:val="single" w:sz="4" w:space="0" w:color="auto"/>
            </w:tcBorders>
            <w:vAlign w:val="center"/>
          </w:tcPr>
          <w:p w14:paraId="02B5D873"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未满足服务需求的，每项扣1分，扣完为止（需求如发生变更，以客户认可的最终版本为准）。</w:t>
            </w:r>
          </w:p>
        </w:tc>
      </w:tr>
      <w:tr w:rsidR="008137F8" w:rsidRPr="001E17A1" w14:paraId="7FF6D556" w14:textId="77777777">
        <w:trPr>
          <w:trHeight w:val="1290"/>
        </w:trPr>
        <w:tc>
          <w:tcPr>
            <w:tcW w:w="517" w:type="pct"/>
            <w:vMerge/>
            <w:tcBorders>
              <w:top w:val="nil"/>
              <w:left w:val="single" w:sz="4" w:space="0" w:color="auto"/>
              <w:bottom w:val="single" w:sz="4" w:space="0" w:color="auto"/>
              <w:right w:val="single" w:sz="4" w:space="0" w:color="auto"/>
            </w:tcBorders>
            <w:vAlign w:val="center"/>
          </w:tcPr>
          <w:p w14:paraId="11CD49E7"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347E6D92"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42E03D2F"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实施计划合理性</w:t>
            </w:r>
          </w:p>
        </w:tc>
        <w:tc>
          <w:tcPr>
            <w:tcW w:w="952" w:type="pct"/>
            <w:tcBorders>
              <w:top w:val="nil"/>
              <w:left w:val="nil"/>
              <w:bottom w:val="single" w:sz="4" w:space="0" w:color="auto"/>
              <w:right w:val="single" w:sz="4" w:space="0" w:color="auto"/>
            </w:tcBorders>
            <w:shd w:val="clear" w:color="000000" w:fill="FFFFFF"/>
            <w:vAlign w:val="center"/>
          </w:tcPr>
          <w:p w14:paraId="36448E48"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提交的实施团队组织保障和计划合理可行、满足服务任务需求的不扣分。</w:t>
            </w:r>
          </w:p>
        </w:tc>
        <w:tc>
          <w:tcPr>
            <w:tcW w:w="2167" w:type="pct"/>
            <w:tcBorders>
              <w:top w:val="nil"/>
              <w:left w:val="nil"/>
              <w:bottom w:val="single" w:sz="4" w:space="0" w:color="auto"/>
              <w:right w:val="single" w:sz="4" w:space="0" w:color="auto"/>
            </w:tcBorders>
            <w:vAlign w:val="center"/>
          </w:tcPr>
          <w:p w14:paraId="695D5CB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实施团队组织保障不合理扣2分、计划不合理或不满足需求的扣2分。</w:t>
            </w:r>
          </w:p>
        </w:tc>
      </w:tr>
      <w:tr w:rsidR="008137F8" w:rsidRPr="001E17A1" w14:paraId="05F847E4" w14:textId="77777777">
        <w:trPr>
          <w:trHeight w:val="1290"/>
        </w:trPr>
        <w:tc>
          <w:tcPr>
            <w:tcW w:w="517" w:type="pct"/>
            <w:vMerge w:val="restart"/>
            <w:tcBorders>
              <w:top w:val="nil"/>
              <w:left w:val="single" w:sz="4" w:space="0" w:color="auto"/>
              <w:bottom w:val="single" w:sz="4" w:space="0" w:color="auto"/>
              <w:right w:val="single" w:sz="4" w:space="0" w:color="auto"/>
            </w:tcBorders>
            <w:vAlign w:val="center"/>
          </w:tcPr>
          <w:p w14:paraId="143918C8"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服务任务交付</w:t>
            </w:r>
          </w:p>
        </w:tc>
        <w:tc>
          <w:tcPr>
            <w:tcW w:w="529" w:type="pct"/>
            <w:vMerge w:val="restart"/>
            <w:tcBorders>
              <w:top w:val="nil"/>
              <w:left w:val="single" w:sz="4" w:space="0" w:color="auto"/>
              <w:bottom w:val="single" w:sz="4" w:space="0" w:color="000000"/>
              <w:right w:val="single" w:sz="4" w:space="0" w:color="auto"/>
            </w:tcBorders>
            <w:shd w:val="clear" w:color="000000" w:fill="FFFFFF"/>
            <w:vAlign w:val="center"/>
          </w:tcPr>
          <w:p w14:paraId="152FCBF8"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35</w:t>
            </w:r>
          </w:p>
        </w:tc>
        <w:tc>
          <w:tcPr>
            <w:tcW w:w="835" w:type="pct"/>
            <w:tcBorders>
              <w:top w:val="nil"/>
              <w:left w:val="nil"/>
              <w:bottom w:val="single" w:sz="4" w:space="0" w:color="auto"/>
              <w:right w:val="single" w:sz="4" w:space="0" w:color="auto"/>
            </w:tcBorders>
            <w:shd w:val="clear" w:color="000000" w:fill="FFFFFF"/>
            <w:vAlign w:val="center"/>
          </w:tcPr>
          <w:p w14:paraId="019AF0F5"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考核指标达标率</w:t>
            </w:r>
          </w:p>
        </w:tc>
        <w:tc>
          <w:tcPr>
            <w:tcW w:w="952" w:type="pct"/>
            <w:tcBorders>
              <w:top w:val="nil"/>
              <w:left w:val="nil"/>
              <w:bottom w:val="single" w:sz="4" w:space="0" w:color="auto"/>
              <w:right w:val="single" w:sz="4" w:space="0" w:color="auto"/>
            </w:tcBorders>
            <w:shd w:val="clear" w:color="000000" w:fill="FFFFFF"/>
            <w:vAlign w:val="center"/>
          </w:tcPr>
          <w:p w14:paraId="413D8086"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考核指标达标率应达100%。</w:t>
            </w:r>
          </w:p>
        </w:tc>
        <w:tc>
          <w:tcPr>
            <w:tcW w:w="2167" w:type="pct"/>
            <w:tcBorders>
              <w:top w:val="nil"/>
              <w:left w:val="nil"/>
              <w:bottom w:val="single" w:sz="4" w:space="0" w:color="auto"/>
              <w:right w:val="single" w:sz="4" w:space="0" w:color="auto"/>
            </w:tcBorders>
            <w:vAlign w:val="center"/>
          </w:tcPr>
          <w:p w14:paraId="67CB5B0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根据服务任务考核指标项的完成比率评分，即得分=10*完成的指标项数量/全部指标项数量</w:t>
            </w:r>
          </w:p>
        </w:tc>
      </w:tr>
      <w:tr w:rsidR="008137F8" w:rsidRPr="001E17A1" w14:paraId="07D5F128" w14:textId="77777777">
        <w:trPr>
          <w:trHeight w:val="1290"/>
        </w:trPr>
        <w:tc>
          <w:tcPr>
            <w:tcW w:w="517" w:type="pct"/>
            <w:vMerge/>
            <w:tcBorders>
              <w:top w:val="nil"/>
              <w:left w:val="single" w:sz="4" w:space="0" w:color="auto"/>
              <w:bottom w:val="single" w:sz="4" w:space="0" w:color="auto"/>
              <w:right w:val="single" w:sz="4" w:space="0" w:color="auto"/>
            </w:tcBorders>
            <w:vAlign w:val="center"/>
          </w:tcPr>
          <w:p w14:paraId="099372BC"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13B55D03"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6E92924A"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绩效目标完成度</w:t>
            </w:r>
          </w:p>
        </w:tc>
        <w:tc>
          <w:tcPr>
            <w:tcW w:w="952" w:type="pct"/>
            <w:tcBorders>
              <w:top w:val="nil"/>
              <w:left w:val="nil"/>
              <w:bottom w:val="single" w:sz="4" w:space="0" w:color="auto"/>
              <w:right w:val="single" w:sz="4" w:space="0" w:color="auto"/>
            </w:tcBorders>
            <w:shd w:val="clear" w:color="000000" w:fill="FFFFFF"/>
            <w:vAlign w:val="center"/>
          </w:tcPr>
          <w:p w14:paraId="61F5C4F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绩效目标完成率应达100%</w:t>
            </w:r>
          </w:p>
        </w:tc>
        <w:tc>
          <w:tcPr>
            <w:tcW w:w="2167" w:type="pct"/>
            <w:tcBorders>
              <w:top w:val="nil"/>
              <w:left w:val="nil"/>
              <w:bottom w:val="single" w:sz="4" w:space="0" w:color="auto"/>
              <w:right w:val="single" w:sz="4" w:space="0" w:color="auto"/>
            </w:tcBorders>
            <w:vAlign w:val="center"/>
          </w:tcPr>
          <w:p w14:paraId="6AAAEE0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①绩效目标完成度＜60%的为0分；②绩效目标完成度≥60%的，得分=10*绩效目标完成度</w:t>
            </w:r>
          </w:p>
        </w:tc>
      </w:tr>
      <w:tr w:rsidR="008137F8" w:rsidRPr="001E17A1" w14:paraId="7E52A232" w14:textId="77777777">
        <w:trPr>
          <w:trHeight w:val="2967"/>
        </w:trPr>
        <w:tc>
          <w:tcPr>
            <w:tcW w:w="517" w:type="pct"/>
            <w:vMerge/>
            <w:tcBorders>
              <w:top w:val="nil"/>
              <w:left w:val="single" w:sz="4" w:space="0" w:color="auto"/>
              <w:bottom w:val="single" w:sz="4" w:space="0" w:color="auto"/>
              <w:right w:val="single" w:sz="4" w:space="0" w:color="auto"/>
            </w:tcBorders>
            <w:vAlign w:val="center"/>
          </w:tcPr>
          <w:p w14:paraId="72F01F1D"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0D48CFB2"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6F31C522"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交付质量</w:t>
            </w:r>
          </w:p>
        </w:tc>
        <w:tc>
          <w:tcPr>
            <w:tcW w:w="952" w:type="pct"/>
            <w:tcBorders>
              <w:top w:val="nil"/>
              <w:left w:val="nil"/>
              <w:bottom w:val="single" w:sz="4" w:space="0" w:color="auto"/>
              <w:right w:val="single" w:sz="4" w:space="0" w:color="auto"/>
            </w:tcBorders>
            <w:shd w:val="clear" w:color="000000" w:fill="FFFFFF"/>
            <w:vAlign w:val="center"/>
          </w:tcPr>
          <w:p w14:paraId="15ABB8DF"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服务单的交付符合质量要求。</w:t>
            </w:r>
          </w:p>
        </w:tc>
        <w:tc>
          <w:tcPr>
            <w:tcW w:w="2167" w:type="pct"/>
            <w:tcBorders>
              <w:top w:val="nil"/>
              <w:left w:val="nil"/>
              <w:bottom w:val="single" w:sz="4" w:space="0" w:color="auto"/>
              <w:right w:val="single" w:sz="4" w:space="0" w:color="auto"/>
            </w:tcBorders>
            <w:vAlign w:val="center"/>
          </w:tcPr>
          <w:p w14:paraId="45ACE6F1"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①由第三方监管机构、测评机构或内部核查人员发现的架构合理性、设计遗漏、程序缺陷、用户体验、数据质量、代码质量等问题，每发现1项扣1分，扣完为止；</w:t>
            </w:r>
            <w:r w:rsidRPr="001E17A1">
              <w:rPr>
                <w:rFonts w:ascii="宋体" w:hAnsi="宋体" w:cs="宋体" w:hint="eastAsia"/>
                <w:color w:val="000000" w:themeColor="text1"/>
                <w:kern w:val="0"/>
                <w:sz w:val="24"/>
                <w:szCs w:val="24"/>
              </w:rPr>
              <w:br/>
              <w:t>②被使用单位发现并查证的有责质量问题，每次扣2分，扣完为止；</w:t>
            </w:r>
            <w:r w:rsidRPr="001E17A1">
              <w:rPr>
                <w:rFonts w:ascii="宋体" w:hAnsi="宋体" w:cs="宋体" w:hint="eastAsia"/>
                <w:color w:val="000000" w:themeColor="text1"/>
                <w:kern w:val="0"/>
                <w:sz w:val="24"/>
                <w:szCs w:val="24"/>
              </w:rPr>
              <w:br/>
              <w:t>③被使用单位发现并查证的有责其他交付物使用问题，每次扣2分，扣完为止；</w:t>
            </w:r>
            <w:r w:rsidRPr="001E17A1">
              <w:rPr>
                <w:rFonts w:ascii="宋体" w:hAnsi="宋体" w:cs="宋体" w:hint="eastAsia"/>
                <w:color w:val="000000" w:themeColor="text1"/>
                <w:kern w:val="0"/>
                <w:sz w:val="24"/>
                <w:szCs w:val="24"/>
              </w:rPr>
              <w:br/>
            </w:r>
            <w:r w:rsidRPr="001E17A1">
              <w:rPr>
                <w:rFonts w:ascii="宋体" w:hAnsi="宋体" w:cs="宋体" w:hint="eastAsia"/>
                <w:color w:val="000000" w:themeColor="text1"/>
                <w:kern w:val="0"/>
                <w:sz w:val="24"/>
                <w:szCs w:val="24"/>
              </w:rPr>
              <w:lastRenderedPageBreak/>
              <w:t>④由第三方监管机构、测评机构或内部安全核查人员发现的安全隐患，每1个隐患扣1分，扣完为止；</w:t>
            </w:r>
            <w:r w:rsidRPr="001E17A1">
              <w:rPr>
                <w:rFonts w:ascii="宋体" w:hAnsi="宋体" w:cs="宋体" w:hint="eastAsia"/>
                <w:color w:val="000000" w:themeColor="text1"/>
                <w:kern w:val="0"/>
                <w:sz w:val="24"/>
                <w:szCs w:val="24"/>
              </w:rPr>
              <w:br/>
              <w:t>⑤被上级单位或主管单位发现存在安全隐患，每1个隐患扣5分，扣完为止；</w:t>
            </w:r>
            <w:r w:rsidRPr="001E17A1">
              <w:rPr>
                <w:rFonts w:ascii="宋体" w:hAnsi="宋体" w:cs="宋体" w:hint="eastAsia"/>
                <w:color w:val="000000" w:themeColor="text1"/>
                <w:kern w:val="0"/>
                <w:sz w:val="24"/>
                <w:szCs w:val="24"/>
              </w:rPr>
              <w:br/>
              <w:t>⑥服务任务交付验收未通过的，每发生1次扣5分，扣完为止；</w:t>
            </w:r>
            <w:r w:rsidRPr="001E17A1">
              <w:rPr>
                <w:rFonts w:ascii="宋体" w:hAnsi="宋体" w:cs="宋体" w:hint="eastAsia"/>
                <w:color w:val="000000" w:themeColor="text1"/>
                <w:kern w:val="0"/>
                <w:sz w:val="24"/>
                <w:szCs w:val="24"/>
              </w:rPr>
              <w:br/>
              <w:t>⑦要求整改的问题未按时完成整改的，每项每延迟一周扣1分，扣完为止。</w:t>
            </w:r>
          </w:p>
        </w:tc>
      </w:tr>
      <w:tr w:rsidR="008137F8" w:rsidRPr="001E17A1" w14:paraId="27EA849F" w14:textId="77777777">
        <w:trPr>
          <w:trHeight w:val="1032"/>
        </w:trPr>
        <w:tc>
          <w:tcPr>
            <w:tcW w:w="517" w:type="pct"/>
            <w:vMerge/>
            <w:tcBorders>
              <w:top w:val="nil"/>
              <w:left w:val="single" w:sz="4" w:space="0" w:color="auto"/>
              <w:bottom w:val="single" w:sz="4" w:space="0" w:color="auto"/>
              <w:right w:val="single" w:sz="4" w:space="0" w:color="auto"/>
            </w:tcBorders>
            <w:vAlign w:val="center"/>
          </w:tcPr>
          <w:p w14:paraId="7F0CB04B"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33A77A42"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1D7D7258"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交付时效</w:t>
            </w:r>
          </w:p>
        </w:tc>
        <w:tc>
          <w:tcPr>
            <w:tcW w:w="952" w:type="pct"/>
            <w:tcBorders>
              <w:top w:val="nil"/>
              <w:left w:val="nil"/>
              <w:bottom w:val="single" w:sz="4" w:space="0" w:color="auto"/>
              <w:right w:val="single" w:sz="4" w:space="0" w:color="auto"/>
            </w:tcBorders>
            <w:shd w:val="clear" w:color="000000" w:fill="FFFFFF"/>
            <w:vAlign w:val="center"/>
          </w:tcPr>
          <w:p w14:paraId="1762E06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服务单按期交付完成。</w:t>
            </w:r>
          </w:p>
        </w:tc>
        <w:tc>
          <w:tcPr>
            <w:tcW w:w="2167" w:type="pct"/>
            <w:tcBorders>
              <w:top w:val="nil"/>
              <w:left w:val="nil"/>
              <w:bottom w:val="single" w:sz="4" w:space="0" w:color="auto"/>
              <w:right w:val="single" w:sz="4" w:space="0" w:color="auto"/>
            </w:tcBorders>
            <w:vAlign w:val="center"/>
          </w:tcPr>
          <w:p w14:paraId="3A05CB21"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服务任务按时完成交付不扣分；每延期1周扣2分，扣完为止；</w:t>
            </w:r>
          </w:p>
        </w:tc>
      </w:tr>
      <w:tr w:rsidR="008137F8" w:rsidRPr="001E17A1" w14:paraId="4EB4012E" w14:textId="77777777">
        <w:trPr>
          <w:trHeight w:val="4644"/>
        </w:trPr>
        <w:tc>
          <w:tcPr>
            <w:tcW w:w="517" w:type="pct"/>
            <w:vMerge w:val="restart"/>
            <w:tcBorders>
              <w:top w:val="nil"/>
              <w:left w:val="single" w:sz="4" w:space="0" w:color="auto"/>
              <w:bottom w:val="single" w:sz="4" w:space="0" w:color="auto"/>
              <w:right w:val="single" w:sz="4" w:space="0" w:color="auto"/>
            </w:tcBorders>
            <w:vAlign w:val="center"/>
          </w:tcPr>
          <w:p w14:paraId="3D6BF244"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服务过程管理</w:t>
            </w:r>
          </w:p>
        </w:tc>
        <w:tc>
          <w:tcPr>
            <w:tcW w:w="529" w:type="pct"/>
            <w:vMerge w:val="restart"/>
            <w:tcBorders>
              <w:top w:val="nil"/>
              <w:left w:val="single" w:sz="4" w:space="0" w:color="auto"/>
              <w:bottom w:val="single" w:sz="4" w:space="0" w:color="000000"/>
              <w:right w:val="single" w:sz="4" w:space="0" w:color="auto"/>
            </w:tcBorders>
            <w:shd w:val="clear" w:color="000000" w:fill="FFFFFF"/>
            <w:vAlign w:val="center"/>
          </w:tcPr>
          <w:p w14:paraId="2B96D361"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40</w:t>
            </w:r>
          </w:p>
        </w:tc>
        <w:tc>
          <w:tcPr>
            <w:tcW w:w="835" w:type="pct"/>
            <w:tcBorders>
              <w:top w:val="nil"/>
              <w:left w:val="nil"/>
              <w:bottom w:val="single" w:sz="4" w:space="0" w:color="auto"/>
              <w:right w:val="single" w:sz="4" w:space="0" w:color="auto"/>
            </w:tcBorders>
            <w:shd w:val="clear" w:color="000000" w:fill="FFFFFF"/>
            <w:vAlign w:val="center"/>
          </w:tcPr>
          <w:p w14:paraId="31AEFDA7"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人力资源投入</w:t>
            </w:r>
          </w:p>
        </w:tc>
        <w:tc>
          <w:tcPr>
            <w:tcW w:w="952" w:type="pct"/>
            <w:tcBorders>
              <w:top w:val="nil"/>
              <w:left w:val="nil"/>
              <w:bottom w:val="single" w:sz="4" w:space="0" w:color="auto"/>
              <w:right w:val="single" w:sz="4" w:space="0" w:color="auto"/>
            </w:tcBorders>
            <w:shd w:val="clear" w:color="000000" w:fill="FFFFFF"/>
            <w:vAlign w:val="center"/>
          </w:tcPr>
          <w:p w14:paraId="0EA7D81B"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满足服务任务人员要求且保持团队稳定。</w:t>
            </w:r>
          </w:p>
        </w:tc>
        <w:tc>
          <w:tcPr>
            <w:tcW w:w="2167" w:type="pct"/>
            <w:tcBorders>
              <w:top w:val="nil"/>
              <w:left w:val="nil"/>
              <w:bottom w:val="single" w:sz="4" w:space="0" w:color="auto"/>
              <w:right w:val="single" w:sz="4" w:space="0" w:color="auto"/>
            </w:tcBorders>
            <w:vAlign w:val="center"/>
          </w:tcPr>
          <w:p w14:paraId="37D330CB"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①未经批准，实际投入人员与报送人员名单不符的，每发现1人扣2分；</w:t>
            </w:r>
            <w:r w:rsidRPr="001E17A1">
              <w:rPr>
                <w:rFonts w:ascii="宋体" w:hAnsi="宋体" w:cs="宋体" w:hint="eastAsia"/>
                <w:color w:val="000000" w:themeColor="text1"/>
                <w:kern w:val="0"/>
                <w:sz w:val="24"/>
                <w:szCs w:val="24"/>
              </w:rPr>
              <w:br/>
              <w:t>②未经批准，团队重要成员擅自脱岗或未达到考勤率要求的，每发现1人次扣2分；</w:t>
            </w:r>
            <w:r w:rsidRPr="001E17A1">
              <w:rPr>
                <w:rFonts w:ascii="宋体" w:hAnsi="宋体" w:cs="宋体" w:hint="eastAsia"/>
                <w:color w:val="000000" w:themeColor="text1"/>
                <w:kern w:val="0"/>
                <w:sz w:val="24"/>
                <w:szCs w:val="24"/>
              </w:rPr>
              <w:br/>
              <w:t>③未按照要求及时更替技术能力与岗位不相符的人员，并投入技术能力与岗位相符的人员，每出现一次扣2分；</w:t>
            </w:r>
            <w:r w:rsidRPr="001E17A1">
              <w:rPr>
                <w:rFonts w:ascii="宋体" w:hAnsi="宋体" w:cs="宋体" w:hint="eastAsia"/>
                <w:color w:val="000000" w:themeColor="text1"/>
                <w:kern w:val="0"/>
                <w:sz w:val="24"/>
                <w:szCs w:val="24"/>
              </w:rPr>
              <w:br/>
              <w:t>④团队成员流失率或更替率每超10%扣2分（中心要求的更替将另行评估）。</w:t>
            </w:r>
          </w:p>
        </w:tc>
      </w:tr>
      <w:tr w:rsidR="008137F8" w:rsidRPr="001E17A1" w14:paraId="147ECDBF" w14:textId="77777777">
        <w:trPr>
          <w:trHeight w:val="2580"/>
        </w:trPr>
        <w:tc>
          <w:tcPr>
            <w:tcW w:w="517" w:type="pct"/>
            <w:vMerge/>
            <w:tcBorders>
              <w:top w:val="nil"/>
              <w:left w:val="single" w:sz="4" w:space="0" w:color="auto"/>
              <w:bottom w:val="single" w:sz="4" w:space="0" w:color="auto"/>
              <w:right w:val="single" w:sz="4" w:space="0" w:color="auto"/>
            </w:tcBorders>
            <w:vAlign w:val="center"/>
          </w:tcPr>
          <w:p w14:paraId="7B7E76B8"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298ABA8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549DE4C6"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人员行为规范</w:t>
            </w:r>
          </w:p>
        </w:tc>
        <w:tc>
          <w:tcPr>
            <w:tcW w:w="952" w:type="pct"/>
            <w:tcBorders>
              <w:top w:val="nil"/>
              <w:left w:val="nil"/>
              <w:bottom w:val="single" w:sz="4" w:space="0" w:color="auto"/>
              <w:right w:val="single" w:sz="4" w:space="0" w:color="auto"/>
            </w:tcBorders>
            <w:shd w:val="clear" w:color="000000" w:fill="FFFFFF"/>
            <w:vAlign w:val="center"/>
          </w:tcPr>
          <w:p w14:paraId="504F8451"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团队人员完全遵守各类制度规范。</w:t>
            </w:r>
          </w:p>
        </w:tc>
        <w:tc>
          <w:tcPr>
            <w:tcW w:w="2167" w:type="pct"/>
            <w:tcBorders>
              <w:top w:val="nil"/>
              <w:left w:val="nil"/>
              <w:bottom w:val="single" w:sz="4" w:space="0" w:color="auto"/>
              <w:right w:val="single" w:sz="4" w:space="0" w:color="auto"/>
            </w:tcBorders>
            <w:vAlign w:val="center"/>
          </w:tcPr>
          <w:p w14:paraId="6393573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①第三方监管机构飞行检查发现团队成员违反外包服务管理要求的，每发现1次扣1分，扣完为止；</w:t>
            </w:r>
            <w:r w:rsidRPr="001E17A1">
              <w:rPr>
                <w:rFonts w:ascii="宋体" w:hAnsi="宋体" w:cs="宋体" w:hint="eastAsia"/>
                <w:color w:val="000000" w:themeColor="text1"/>
                <w:kern w:val="0"/>
                <w:sz w:val="24"/>
                <w:szCs w:val="24"/>
              </w:rPr>
              <w:br/>
              <w:t>②其他各类内部、外部检查中发现并通报团队成员违反相关规定的，每发现1次扣2分，扣完为止。</w:t>
            </w:r>
          </w:p>
        </w:tc>
      </w:tr>
      <w:tr w:rsidR="008137F8" w:rsidRPr="001E17A1" w14:paraId="6408B108" w14:textId="77777777">
        <w:trPr>
          <w:trHeight w:val="3096"/>
        </w:trPr>
        <w:tc>
          <w:tcPr>
            <w:tcW w:w="517" w:type="pct"/>
            <w:vMerge/>
            <w:tcBorders>
              <w:top w:val="nil"/>
              <w:left w:val="single" w:sz="4" w:space="0" w:color="auto"/>
              <w:bottom w:val="single" w:sz="4" w:space="0" w:color="auto"/>
              <w:right w:val="single" w:sz="4" w:space="0" w:color="auto"/>
            </w:tcBorders>
            <w:vAlign w:val="center"/>
          </w:tcPr>
          <w:p w14:paraId="37E3698F"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06F59FCB"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66D29D17"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服务沟通</w:t>
            </w:r>
          </w:p>
        </w:tc>
        <w:tc>
          <w:tcPr>
            <w:tcW w:w="952" w:type="pct"/>
            <w:tcBorders>
              <w:top w:val="nil"/>
              <w:left w:val="nil"/>
              <w:bottom w:val="single" w:sz="4" w:space="0" w:color="auto"/>
              <w:right w:val="single" w:sz="4" w:space="0" w:color="auto"/>
            </w:tcBorders>
            <w:shd w:val="clear" w:color="000000" w:fill="FFFFFF"/>
            <w:vAlign w:val="center"/>
          </w:tcPr>
          <w:p w14:paraId="66AFE9F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服务沟通及时顺畅、各类报告材料满足要求。</w:t>
            </w:r>
          </w:p>
        </w:tc>
        <w:tc>
          <w:tcPr>
            <w:tcW w:w="2167" w:type="pct"/>
            <w:tcBorders>
              <w:top w:val="nil"/>
              <w:left w:val="nil"/>
              <w:bottom w:val="single" w:sz="4" w:space="0" w:color="auto"/>
              <w:right w:val="single" w:sz="4" w:space="0" w:color="auto"/>
            </w:tcBorders>
            <w:vAlign w:val="center"/>
          </w:tcPr>
          <w:p w14:paraId="69CA3FD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①关键责任人在重要项目会议缺席，每发现一次扣1分，扣完为止；</w:t>
            </w:r>
            <w:r w:rsidRPr="001E17A1">
              <w:rPr>
                <w:rFonts w:ascii="宋体" w:hAnsi="宋体" w:cs="宋体" w:hint="eastAsia"/>
                <w:color w:val="000000" w:themeColor="text1"/>
                <w:kern w:val="0"/>
                <w:sz w:val="24"/>
                <w:szCs w:val="24"/>
              </w:rPr>
              <w:br/>
              <w:t>②服务周报、月报或其他必要材料缺失、拖延或内容不完整，每被投诉1次扣1分，扣完为止；</w:t>
            </w:r>
            <w:r w:rsidRPr="001E17A1">
              <w:rPr>
                <w:rFonts w:ascii="宋体" w:hAnsi="宋体" w:cs="宋体" w:hint="eastAsia"/>
                <w:color w:val="000000" w:themeColor="text1"/>
                <w:kern w:val="0"/>
                <w:sz w:val="24"/>
                <w:szCs w:val="24"/>
              </w:rPr>
              <w:br/>
              <w:t>③团队人员沟通态度问题，每被投诉1次扣1分，扣完为止。</w:t>
            </w:r>
          </w:p>
        </w:tc>
      </w:tr>
      <w:tr w:rsidR="008137F8" w:rsidRPr="001E17A1" w14:paraId="0CA51004" w14:textId="77777777">
        <w:trPr>
          <w:trHeight w:val="2064"/>
        </w:trPr>
        <w:tc>
          <w:tcPr>
            <w:tcW w:w="517" w:type="pct"/>
            <w:vMerge/>
            <w:tcBorders>
              <w:top w:val="nil"/>
              <w:left w:val="single" w:sz="4" w:space="0" w:color="auto"/>
              <w:bottom w:val="single" w:sz="4" w:space="0" w:color="auto"/>
              <w:right w:val="single" w:sz="4" w:space="0" w:color="auto"/>
            </w:tcBorders>
            <w:vAlign w:val="center"/>
          </w:tcPr>
          <w:p w14:paraId="084EAFB7"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2C335735"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095D2859"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问题解决</w:t>
            </w:r>
          </w:p>
        </w:tc>
        <w:tc>
          <w:tcPr>
            <w:tcW w:w="952" w:type="pct"/>
            <w:tcBorders>
              <w:top w:val="nil"/>
              <w:left w:val="nil"/>
              <w:bottom w:val="single" w:sz="4" w:space="0" w:color="auto"/>
              <w:right w:val="single" w:sz="4" w:space="0" w:color="auto"/>
            </w:tcBorders>
            <w:shd w:val="clear" w:color="000000" w:fill="FFFFFF"/>
            <w:vAlign w:val="center"/>
          </w:tcPr>
          <w:p w14:paraId="63F45B1F"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对各类事件、故障和问题及时响应并处置解决，在平台运行服务中告警事件和报障事件及时进行处置且消除影响。</w:t>
            </w:r>
          </w:p>
        </w:tc>
        <w:tc>
          <w:tcPr>
            <w:tcW w:w="2167" w:type="pct"/>
            <w:tcBorders>
              <w:top w:val="nil"/>
              <w:left w:val="nil"/>
              <w:bottom w:val="single" w:sz="4" w:space="0" w:color="auto"/>
              <w:right w:val="single" w:sz="4" w:space="0" w:color="auto"/>
            </w:tcBorders>
            <w:vAlign w:val="center"/>
          </w:tcPr>
          <w:p w14:paraId="4B4A21A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紧急事件、重要事件、故障和问题按要求及时解决，每出现一起事件同时未能按期解决的，扣5分，扣完为止。</w:t>
            </w:r>
          </w:p>
        </w:tc>
      </w:tr>
      <w:tr w:rsidR="008137F8" w:rsidRPr="001E17A1" w14:paraId="2992D5AB" w14:textId="77777777">
        <w:trPr>
          <w:trHeight w:val="2322"/>
        </w:trPr>
        <w:tc>
          <w:tcPr>
            <w:tcW w:w="517" w:type="pct"/>
            <w:vMerge/>
            <w:tcBorders>
              <w:top w:val="nil"/>
              <w:left w:val="single" w:sz="4" w:space="0" w:color="auto"/>
              <w:bottom w:val="single" w:sz="4" w:space="0" w:color="auto"/>
              <w:right w:val="single" w:sz="4" w:space="0" w:color="auto"/>
            </w:tcBorders>
            <w:vAlign w:val="center"/>
          </w:tcPr>
          <w:p w14:paraId="0A964665"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478DC851"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02F6AB66"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安全生产</w:t>
            </w:r>
          </w:p>
        </w:tc>
        <w:tc>
          <w:tcPr>
            <w:tcW w:w="952" w:type="pct"/>
            <w:tcBorders>
              <w:top w:val="nil"/>
              <w:left w:val="nil"/>
              <w:bottom w:val="single" w:sz="4" w:space="0" w:color="auto"/>
              <w:right w:val="single" w:sz="4" w:space="0" w:color="auto"/>
            </w:tcBorders>
            <w:shd w:val="clear" w:color="000000" w:fill="FFFFFF"/>
            <w:vAlign w:val="center"/>
          </w:tcPr>
          <w:p w14:paraId="253312DA"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有效落实系统漏洞扫描、渗透测试、代码审计等信息系统安全自查工作，并对出现的安全风险事件及时制定整改方案并予以修复。</w:t>
            </w:r>
          </w:p>
        </w:tc>
        <w:tc>
          <w:tcPr>
            <w:tcW w:w="2167" w:type="pct"/>
            <w:tcBorders>
              <w:top w:val="nil"/>
              <w:left w:val="nil"/>
              <w:bottom w:val="single" w:sz="4" w:space="0" w:color="auto"/>
              <w:right w:val="single" w:sz="4" w:space="0" w:color="auto"/>
            </w:tcBorders>
            <w:shd w:val="clear" w:color="000000" w:fill="FFFFFF"/>
            <w:vAlign w:val="center"/>
          </w:tcPr>
          <w:p w14:paraId="5216779A"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每被发现一例扣1分；每延迟一周，扣3分；高风险漏洞修复时限为1周，其他修复时限为2周。</w:t>
            </w:r>
          </w:p>
        </w:tc>
      </w:tr>
      <w:tr w:rsidR="008137F8" w:rsidRPr="001E17A1" w14:paraId="0048BBCF" w14:textId="77777777">
        <w:trPr>
          <w:trHeight w:val="2580"/>
        </w:trPr>
        <w:tc>
          <w:tcPr>
            <w:tcW w:w="517" w:type="pct"/>
            <w:vMerge/>
            <w:tcBorders>
              <w:top w:val="nil"/>
              <w:left w:val="single" w:sz="4" w:space="0" w:color="auto"/>
              <w:bottom w:val="single" w:sz="4" w:space="0" w:color="auto"/>
              <w:right w:val="single" w:sz="4" w:space="0" w:color="auto"/>
            </w:tcBorders>
            <w:vAlign w:val="center"/>
          </w:tcPr>
          <w:p w14:paraId="163EDE96"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4B7642B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shd w:val="clear" w:color="000000" w:fill="FFFFFF"/>
            <w:vAlign w:val="center"/>
          </w:tcPr>
          <w:p w14:paraId="382020EC"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文档及备案管理</w:t>
            </w:r>
          </w:p>
        </w:tc>
        <w:tc>
          <w:tcPr>
            <w:tcW w:w="952" w:type="pct"/>
            <w:tcBorders>
              <w:top w:val="nil"/>
              <w:left w:val="nil"/>
              <w:bottom w:val="single" w:sz="4" w:space="0" w:color="auto"/>
              <w:right w:val="single" w:sz="4" w:space="0" w:color="auto"/>
            </w:tcBorders>
            <w:shd w:val="clear" w:color="000000" w:fill="FFFFFF"/>
            <w:vAlign w:val="center"/>
          </w:tcPr>
          <w:p w14:paraId="014F9ECF"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服务任务按相关服务要素单以及服务规范要求完成响应文档，同时服务集成商与供应商的相关材料在中心备案。</w:t>
            </w:r>
          </w:p>
        </w:tc>
        <w:tc>
          <w:tcPr>
            <w:tcW w:w="2167" w:type="pct"/>
            <w:tcBorders>
              <w:top w:val="nil"/>
              <w:left w:val="nil"/>
              <w:bottom w:val="single" w:sz="4" w:space="0" w:color="auto"/>
              <w:right w:val="single" w:sz="4" w:space="0" w:color="auto"/>
            </w:tcBorders>
            <w:shd w:val="clear" w:color="000000" w:fill="FFFFFF"/>
            <w:vAlign w:val="center"/>
          </w:tcPr>
          <w:p w14:paraId="689A5D6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①所提交文档在内容、格式等方面不符合要求的，每发生1次扣2分，扣完为止；每份文档每延期提交1周扣2分，扣完为止</w:t>
            </w:r>
            <w:r w:rsidRPr="001E17A1">
              <w:rPr>
                <w:rFonts w:ascii="宋体" w:hAnsi="宋体" w:cs="宋体" w:hint="eastAsia"/>
                <w:color w:val="000000" w:themeColor="text1"/>
                <w:kern w:val="0"/>
                <w:sz w:val="24"/>
                <w:szCs w:val="24"/>
              </w:rPr>
              <w:br/>
              <w:t>②相关要求材料未向中心备案的，每发生1次扣2分，扣完为止。</w:t>
            </w:r>
          </w:p>
        </w:tc>
      </w:tr>
      <w:tr w:rsidR="008137F8" w:rsidRPr="001E17A1" w14:paraId="59E9E601" w14:textId="77777777">
        <w:trPr>
          <w:trHeight w:val="1548"/>
        </w:trPr>
        <w:tc>
          <w:tcPr>
            <w:tcW w:w="517" w:type="pct"/>
            <w:vMerge w:val="restart"/>
            <w:tcBorders>
              <w:top w:val="nil"/>
              <w:left w:val="single" w:sz="4" w:space="0" w:color="auto"/>
              <w:bottom w:val="single" w:sz="4" w:space="0" w:color="auto"/>
              <w:right w:val="single" w:sz="4" w:space="0" w:color="auto"/>
            </w:tcBorders>
            <w:vAlign w:val="center"/>
          </w:tcPr>
          <w:p w14:paraId="29B622CD"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服务满意度</w:t>
            </w:r>
          </w:p>
        </w:tc>
        <w:tc>
          <w:tcPr>
            <w:tcW w:w="529" w:type="pct"/>
            <w:vMerge w:val="restart"/>
            <w:tcBorders>
              <w:top w:val="nil"/>
              <w:left w:val="single" w:sz="4" w:space="0" w:color="auto"/>
              <w:bottom w:val="single" w:sz="4" w:space="0" w:color="000000"/>
              <w:right w:val="single" w:sz="4" w:space="0" w:color="auto"/>
            </w:tcBorders>
            <w:vAlign w:val="center"/>
          </w:tcPr>
          <w:p w14:paraId="0A21381F"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15</w:t>
            </w:r>
          </w:p>
        </w:tc>
        <w:tc>
          <w:tcPr>
            <w:tcW w:w="835" w:type="pct"/>
            <w:tcBorders>
              <w:top w:val="nil"/>
              <w:left w:val="nil"/>
              <w:bottom w:val="single" w:sz="4" w:space="0" w:color="auto"/>
              <w:right w:val="single" w:sz="4" w:space="0" w:color="auto"/>
            </w:tcBorders>
            <w:vAlign w:val="center"/>
          </w:tcPr>
          <w:p w14:paraId="04F2E749"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服务满意度</w:t>
            </w:r>
          </w:p>
        </w:tc>
        <w:tc>
          <w:tcPr>
            <w:tcW w:w="952" w:type="pct"/>
            <w:tcBorders>
              <w:top w:val="nil"/>
              <w:left w:val="nil"/>
              <w:bottom w:val="single" w:sz="4" w:space="0" w:color="auto"/>
              <w:right w:val="single" w:sz="4" w:space="0" w:color="auto"/>
            </w:tcBorders>
            <w:vAlign w:val="center"/>
          </w:tcPr>
          <w:p w14:paraId="34AE823F"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满意度≥80分</w:t>
            </w:r>
          </w:p>
        </w:tc>
        <w:tc>
          <w:tcPr>
            <w:tcW w:w="2167" w:type="pct"/>
            <w:tcBorders>
              <w:top w:val="nil"/>
              <w:left w:val="nil"/>
              <w:bottom w:val="single" w:sz="4" w:space="0" w:color="auto"/>
              <w:right w:val="single" w:sz="4" w:space="0" w:color="auto"/>
            </w:tcBorders>
            <w:shd w:val="clear" w:color="000000" w:fill="FFFFFF"/>
            <w:vAlign w:val="center"/>
          </w:tcPr>
          <w:p w14:paraId="152C78DD"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①满意度＜60分的，扣10分；</w:t>
            </w:r>
            <w:r w:rsidRPr="001E17A1">
              <w:rPr>
                <w:rFonts w:ascii="宋体" w:hAnsi="宋体" w:cs="宋体" w:hint="eastAsia"/>
                <w:color w:val="000000" w:themeColor="text1"/>
                <w:kern w:val="0"/>
                <w:sz w:val="24"/>
                <w:szCs w:val="24"/>
              </w:rPr>
              <w:br/>
              <w:t>②满意度≥60、＜80分的，扣6分；</w:t>
            </w:r>
            <w:r w:rsidRPr="001E17A1">
              <w:rPr>
                <w:rFonts w:ascii="宋体" w:hAnsi="宋体" w:cs="宋体" w:hint="eastAsia"/>
                <w:color w:val="000000" w:themeColor="text1"/>
                <w:kern w:val="0"/>
                <w:sz w:val="24"/>
                <w:szCs w:val="24"/>
              </w:rPr>
              <w:br/>
              <w:t>③满意度≥80分的，不扣分。</w:t>
            </w:r>
          </w:p>
        </w:tc>
      </w:tr>
      <w:tr w:rsidR="008137F8" w:rsidRPr="001E17A1" w14:paraId="18E78529" w14:textId="77777777">
        <w:trPr>
          <w:trHeight w:val="4128"/>
        </w:trPr>
        <w:tc>
          <w:tcPr>
            <w:tcW w:w="517" w:type="pct"/>
            <w:vMerge/>
            <w:tcBorders>
              <w:top w:val="nil"/>
              <w:left w:val="single" w:sz="4" w:space="0" w:color="auto"/>
              <w:bottom w:val="single" w:sz="4" w:space="0" w:color="auto"/>
              <w:right w:val="single" w:sz="4" w:space="0" w:color="auto"/>
            </w:tcBorders>
            <w:vAlign w:val="center"/>
          </w:tcPr>
          <w:p w14:paraId="05FA45B1"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vMerge/>
            <w:tcBorders>
              <w:top w:val="nil"/>
              <w:left w:val="single" w:sz="4" w:space="0" w:color="auto"/>
              <w:bottom w:val="single" w:sz="4" w:space="0" w:color="000000"/>
              <w:right w:val="single" w:sz="4" w:space="0" w:color="auto"/>
            </w:tcBorders>
            <w:vAlign w:val="center"/>
          </w:tcPr>
          <w:p w14:paraId="7FF55335"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835" w:type="pct"/>
            <w:tcBorders>
              <w:top w:val="nil"/>
              <w:left w:val="nil"/>
              <w:bottom w:val="single" w:sz="4" w:space="0" w:color="auto"/>
              <w:right w:val="single" w:sz="4" w:space="0" w:color="auto"/>
            </w:tcBorders>
            <w:vAlign w:val="center"/>
          </w:tcPr>
          <w:p w14:paraId="3C0A8E52"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有责投诉</w:t>
            </w:r>
          </w:p>
        </w:tc>
        <w:tc>
          <w:tcPr>
            <w:tcW w:w="952" w:type="pct"/>
            <w:tcBorders>
              <w:top w:val="nil"/>
              <w:left w:val="nil"/>
              <w:bottom w:val="single" w:sz="4" w:space="0" w:color="auto"/>
              <w:right w:val="single" w:sz="4" w:space="0" w:color="auto"/>
            </w:tcBorders>
            <w:vAlign w:val="center"/>
          </w:tcPr>
          <w:p w14:paraId="0602B87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在服务周期内不收到投诉或通报的</w:t>
            </w:r>
          </w:p>
        </w:tc>
        <w:tc>
          <w:tcPr>
            <w:tcW w:w="2167" w:type="pct"/>
            <w:tcBorders>
              <w:top w:val="nil"/>
              <w:left w:val="nil"/>
              <w:bottom w:val="single" w:sz="4" w:space="0" w:color="auto"/>
              <w:right w:val="single" w:sz="4" w:space="0" w:color="auto"/>
            </w:tcBorders>
            <w:shd w:val="clear" w:color="000000" w:fill="FFFFFF"/>
            <w:vAlign w:val="center"/>
          </w:tcPr>
          <w:p w14:paraId="41327D9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①中心、各委办单位或第三方监管机构的有责投诉，受到投诉1次扣2分，受到投诉2次及以上该大项不得分；</w:t>
            </w:r>
            <w:r w:rsidRPr="001E17A1">
              <w:rPr>
                <w:rFonts w:ascii="宋体" w:hAnsi="宋体" w:cs="宋体" w:hint="eastAsia"/>
                <w:color w:val="000000" w:themeColor="text1"/>
                <w:kern w:val="0"/>
                <w:sz w:val="24"/>
                <w:szCs w:val="24"/>
              </w:rPr>
              <w:br/>
              <w:t>②上级单位或第三方单位通报存在严重问题的，以及出现被安全主管单位、上级单位、中心、第三方测评机构或审计的系统安全评估和检查中发现或通报的安全问题的，每发生一次扣2分。</w:t>
            </w:r>
          </w:p>
        </w:tc>
      </w:tr>
      <w:tr w:rsidR="008137F8" w:rsidRPr="001E17A1" w14:paraId="49053415" w14:textId="77777777">
        <w:trPr>
          <w:trHeight w:val="3612"/>
        </w:trPr>
        <w:tc>
          <w:tcPr>
            <w:tcW w:w="517" w:type="pct"/>
            <w:vMerge w:val="restart"/>
            <w:tcBorders>
              <w:top w:val="nil"/>
              <w:left w:val="single" w:sz="4" w:space="0" w:color="auto"/>
              <w:bottom w:val="single" w:sz="4" w:space="0" w:color="auto"/>
              <w:right w:val="single" w:sz="4" w:space="0" w:color="auto"/>
            </w:tcBorders>
            <w:vAlign w:val="center"/>
          </w:tcPr>
          <w:p w14:paraId="2B6BCA89"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其他加分扣分项</w:t>
            </w:r>
          </w:p>
        </w:tc>
        <w:tc>
          <w:tcPr>
            <w:tcW w:w="529" w:type="pct"/>
            <w:tcBorders>
              <w:top w:val="nil"/>
              <w:left w:val="nil"/>
              <w:bottom w:val="single" w:sz="4" w:space="0" w:color="auto"/>
              <w:right w:val="single" w:sz="4" w:space="0" w:color="auto"/>
            </w:tcBorders>
            <w:shd w:val="clear" w:color="000000" w:fill="FFFFFF"/>
            <w:vAlign w:val="center"/>
          </w:tcPr>
          <w:p w14:paraId="7ADD4E17"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w:t>
            </w:r>
          </w:p>
        </w:tc>
        <w:tc>
          <w:tcPr>
            <w:tcW w:w="835" w:type="pct"/>
            <w:tcBorders>
              <w:top w:val="nil"/>
              <w:left w:val="nil"/>
              <w:bottom w:val="single" w:sz="4" w:space="0" w:color="auto"/>
              <w:right w:val="single" w:sz="4" w:space="0" w:color="auto"/>
            </w:tcBorders>
            <w:shd w:val="clear" w:color="000000" w:fill="FFFFFF"/>
            <w:vAlign w:val="center"/>
          </w:tcPr>
          <w:p w14:paraId="032942E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重大责任事故</w:t>
            </w:r>
          </w:p>
        </w:tc>
        <w:tc>
          <w:tcPr>
            <w:tcW w:w="952" w:type="pct"/>
            <w:tcBorders>
              <w:top w:val="nil"/>
              <w:left w:val="nil"/>
              <w:bottom w:val="single" w:sz="4" w:space="0" w:color="auto"/>
              <w:right w:val="single" w:sz="4" w:space="0" w:color="auto"/>
            </w:tcBorders>
            <w:shd w:val="clear" w:color="000000" w:fill="FFFFFF"/>
            <w:vAlign w:val="center"/>
          </w:tcPr>
          <w:p w14:paraId="3E3FF50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 xml:space="preserve">　</w:t>
            </w:r>
          </w:p>
        </w:tc>
        <w:tc>
          <w:tcPr>
            <w:tcW w:w="2167" w:type="pct"/>
            <w:tcBorders>
              <w:top w:val="nil"/>
              <w:left w:val="nil"/>
              <w:bottom w:val="single" w:sz="4" w:space="0" w:color="auto"/>
              <w:right w:val="single" w:sz="4" w:space="0" w:color="auto"/>
            </w:tcBorders>
            <w:shd w:val="clear" w:color="000000" w:fill="FFFFFF"/>
            <w:vAlign w:val="center"/>
          </w:tcPr>
          <w:p w14:paraId="61EBB8E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①产生严重不良社会影响或者被业务、行业主管单位及领导通报的重大责任事故，扣50分；</w:t>
            </w:r>
            <w:r w:rsidRPr="001E17A1">
              <w:rPr>
                <w:rFonts w:ascii="宋体" w:hAnsi="宋体" w:cs="宋体" w:hint="eastAsia"/>
                <w:color w:val="000000" w:themeColor="text1"/>
                <w:kern w:val="0"/>
                <w:sz w:val="24"/>
                <w:szCs w:val="24"/>
              </w:rPr>
              <w:br/>
              <w:t>②发生严重数据泄露事件，扣50分；发生较大数据泄露事件，扣20分；</w:t>
            </w:r>
            <w:r w:rsidRPr="001E17A1">
              <w:rPr>
                <w:rFonts w:ascii="宋体" w:hAnsi="宋体" w:cs="宋体" w:hint="eastAsia"/>
                <w:color w:val="000000" w:themeColor="text1"/>
                <w:kern w:val="0"/>
                <w:sz w:val="24"/>
                <w:szCs w:val="24"/>
              </w:rPr>
              <w:br/>
              <w:t>③受到安全攻击致使业务受到严重影响的扣50分，受到安全攻击致使业务受到较大影响的扣20分。</w:t>
            </w:r>
          </w:p>
        </w:tc>
      </w:tr>
      <w:tr w:rsidR="008137F8" w:rsidRPr="001E17A1" w14:paraId="4C5800EF" w14:textId="77777777">
        <w:trPr>
          <w:trHeight w:val="1032"/>
        </w:trPr>
        <w:tc>
          <w:tcPr>
            <w:tcW w:w="517" w:type="pct"/>
            <w:vMerge/>
            <w:tcBorders>
              <w:top w:val="nil"/>
              <w:left w:val="single" w:sz="4" w:space="0" w:color="auto"/>
              <w:bottom w:val="single" w:sz="4" w:space="0" w:color="auto"/>
              <w:right w:val="single" w:sz="4" w:space="0" w:color="auto"/>
            </w:tcBorders>
            <w:vAlign w:val="center"/>
          </w:tcPr>
          <w:p w14:paraId="3D39692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tcBorders>
              <w:top w:val="nil"/>
              <w:left w:val="nil"/>
              <w:bottom w:val="single" w:sz="4" w:space="0" w:color="auto"/>
              <w:right w:val="single" w:sz="4" w:space="0" w:color="auto"/>
            </w:tcBorders>
            <w:shd w:val="clear" w:color="000000" w:fill="FFFFFF"/>
            <w:vAlign w:val="center"/>
          </w:tcPr>
          <w:p w14:paraId="0692B94F"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w:t>
            </w:r>
          </w:p>
        </w:tc>
        <w:tc>
          <w:tcPr>
            <w:tcW w:w="835" w:type="pct"/>
            <w:tcBorders>
              <w:top w:val="nil"/>
              <w:left w:val="nil"/>
              <w:bottom w:val="single" w:sz="4" w:space="0" w:color="auto"/>
              <w:right w:val="single" w:sz="4" w:space="0" w:color="auto"/>
            </w:tcBorders>
            <w:shd w:val="clear" w:color="000000" w:fill="FFFFFF"/>
            <w:vAlign w:val="center"/>
          </w:tcPr>
          <w:p w14:paraId="2A778552"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重点保障服务</w:t>
            </w:r>
          </w:p>
        </w:tc>
        <w:tc>
          <w:tcPr>
            <w:tcW w:w="952" w:type="pct"/>
            <w:tcBorders>
              <w:top w:val="nil"/>
              <w:left w:val="nil"/>
              <w:bottom w:val="single" w:sz="4" w:space="0" w:color="auto"/>
              <w:right w:val="single" w:sz="4" w:space="0" w:color="auto"/>
            </w:tcBorders>
            <w:shd w:val="clear" w:color="000000" w:fill="FFFFFF"/>
            <w:vAlign w:val="center"/>
          </w:tcPr>
          <w:p w14:paraId="162AF3DD"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 xml:space="preserve">　</w:t>
            </w:r>
          </w:p>
        </w:tc>
        <w:tc>
          <w:tcPr>
            <w:tcW w:w="2167" w:type="pct"/>
            <w:tcBorders>
              <w:top w:val="nil"/>
              <w:left w:val="nil"/>
              <w:bottom w:val="single" w:sz="4" w:space="0" w:color="auto"/>
              <w:right w:val="single" w:sz="4" w:space="0" w:color="auto"/>
            </w:tcBorders>
            <w:vAlign w:val="center"/>
          </w:tcPr>
          <w:p w14:paraId="1985D0FC"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能提供重要事件或重点时刻及时保障服务的，每发生1次，加1分,最多加5分</w:t>
            </w:r>
          </w:p>
        </w:tc>
      </w:tr>
      <w:tr w:rsidR="008137F8" w:rsidRPr="001E17A1" w14:paraId="7C9E9443" w14:textId="77777777">
        <w:trPr>
          <w:trHeight w:val="774"/>
        </w:trPr>
        <w:tc>
          <w:tcPr>
            <w:tcW w:w="517" w:type="pct"/>
            <w:vMerge/>
            <w:tcBorders>
              <w:top w:val="nil"/>
              <w:left w:val="single" w:sz="4" w:space="0" w:color="auto"/>
              <w:bottom w:val="single" w:sz="4" w:space="0" w:color="auto"/>
              <w:right w:val="single" w:sz="4" w:space="0" w:color="auto"/>
            </w:tcBorders>
            <w:vAlign w:val="center"/>
          </w:tcPr>
          <w:p w14:paraId="64A2EE23"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tcBorders>
              <w:top w:val="nil"/>
              <w:left w:val="nil"/>
              <w:bottom w:val="single" w:sz="4" w:space="0" w:color="auto"/>
              <w:right w:val="single" w:sz="4" w:space="0" w:color="auto"/>
            </w:tcBorders>
            <w:shd w:val="clear" w:color="000000" w:fill="FFFFFF"/>
            <w:vAlign w:val="center"/>
          </w:tcPr>
          <w:p w14:paraId="77A5D9DE"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w:t>
            </w:r>
          </w:p>
        </w:tc>
        <w:tc>
          <w:tcPr>
            <w:tcW w:w="835" w:type="pct"/>
            <w:tcBorders>
              <w:top w:val="nil"/>
              <w:left w:val="nil"/>
              <w:bottom w:val="single" w:sz="4" w:space="0" w:color="auto"/>
              <w:right w:val="single" w:sz="4" w:space="0" w:color="auto"/>
            </w:tcBorders>
            <w:shd w:val="clear" w:color="000000" w:fill="FFFFFF"/>
            <w:vAlign w:val="center"/>
          </w:tcPr>
          <w:p w14:paraId="49D6658C"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专业培训服务</w:t>
            </w:r>
          </w:p>
        </w:tc>
        <w:tc>
          <w:tcPr>
            <w:tcW w:w="952" w:type="pct"/>
            <w:tcBorders>
              <w:top w:val="nil"/>
              <w:left w:val="nil"/>
              <w:bottom w:val="single" w:sz="4" w:space="0" w:color="auto"/>
              <w:right w:val="single" w:sz="4" w:space="0" w:color="auto"/>
            </w:tcBorders>
            <w:shd w:val="clear" w:color="000000" w:fill="FFFFFF"/>
            <w:vAlign w:val="center"/>
          </w:tcPr>
          <w:p w14:paraId="2A8806B3"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 xml:space="preserve">　</w:t>
            </w:r>
          </w:p>
        </w:tc>
        <w:tc>
          <w:tcPr>
            <w:tcW w:w="2167" w:type="pct"/>
            <w:tcBorders>
              <w:top w:val="nil"/>
              <w:left w:val="nil"/>
              <w:bottom w:val="single" w:sz="4" w:space="0" w:color="auto"/>
              <w:right w:val="single" w:sz="4" w:space="0" w:color="auto"/>
            </w:tcBorders>
            <w:vAlign w:val="center"/>
          </w:tcPr>
          <w:p w14:paraId="0C8D3486"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应业主方要求提供专业培训服务，每次加1分，最多加5分；</w:t>
            </w:r>
          </w:p>
        </w:tc>
      </w:tr>
      <w:tr w:rsidR="008137F8" w:rsidRPr="001E17A1" w14:paraId="446A5DAE" w14:textId="77777777">
        <w:trPr>
          <w:trHeight w:val="1032"/>
        </w:trPr>
        <w:tc>
          <w:tcPr>
            <w:tcW w:w="517" w:type="pct"/>
            <w:vMerge/>
            <w:tcBorders>
              <w:top w:val="nil"/>
              <w:left w:val="single" w:sz="4" w:space="0" w:color="auto"/>
              <w:bottom w:val="single" w:sz="4" w:space="0" w:color="auto"/>
              <w:right w:val="single" w:sz="4" w:space="0" w:color="auto"/>
            </w:tcBorders>
            <w:vAlign w:val="center"/>
          </w:tcPr>
          <w:p w14:paraId="18FA5872"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529" w:type="pct"/>
            <w:tcBorders>
              <w:top w:val="nil"/>
              <w:left w:val="nil"/>
              <w:bottom w:val="single" w:sz="4" w:space="0" w:color="auto"/>
              <w:right w:val="single" w:sz="4" w:space="0" w:color="auto"/>
            </w:tcBorders>
            <w:shd w:val="clear" w:color="000000" w:fill="FFFFFF"/>
            <w:vAlign w:val="center"/>
          </w:tcPr>
          <w:p w14:paraId="46CA8771"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w:t>
            </w:r>
          </w:p>
        </w:tc>
        <w:tc>
          <w:tcPr>
            <w:tcW w:w="835" w:type="pct"/>
            <w:tcBorders>
              <w:top w:val="nil"/>
              <w:left w:val="nil"/>
              <w:bottom w:val="single" w:sz="4" w:space="0" w:color="auto"/>
              <w:right w:val="single" w:sz="4" w:space="0" w:color="auto"/>
            </w:tcBorders>
            <w:shd w:val="clear" w:color="000000" w:fill="FFFFFF"/>
            <w:vAlign w:val="center"/>
          </w:tcPr>
          <w:p w14:paraId="369428EE"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高水平规划方案</w:t>
            </w:r>
          </w:p>
        </w:tc>
        <w:tc>
          <w:tcPr>
            <w:tcW w:w="952" w:type="pct"/>
            <w:tcBorders>
              <w:top w:val="nil"/>
              <w:left w:val="nil"/>
              <w:bottom w:val="single" w:sz="4" w:space="0" w:color="auto"/>
              <w:right w:val="single" w:sz="4" w:space="0" w:color="auto"/>
            </w:tcBorders>
            <w:shd w:val="clear" w:color="000000" w:fill="FFFFFF"/>
            <w:vAlign w:val="center"/>
          </w:tcPr>
          <w:p w14:paraId="1F72342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 xml:space="preserve">　</w:t>
            </w:r>
          </w:p>
        </w:tc>
        <w:tc>
          <w:tcPr>
            <w:tcW w:w="2167" w:type="pct"/>
            <w:tcBorders>
              <w:top w:val="nil"/>
              <w:left w:val="nil"/>
              <w:bottom w:val="single" w:sz="4" w:space="0" w:color="auto"/>
              <w:right w:val="single" w:sz="4" w:space="0" w:color="auto"/>
            </w:tcBorders>
            <w:shd w:val="clear" w:color="000000" w:fill="FFFFFF"/>
            <w:vAlign w:val="center"/>
          </w:tcPr>
          <w:p w14:paraId="337308E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应业主方要求提供高水平规划方案，经评审通过每个方案加1-2分，最多加5分。</w:t>
            </w:r>
          </w:p>
        </w:tc>
      </w:tr>
      <w:tr w:rsidR="008137F8" w:rsidRPr="001E17A1" w14:paraId="106D0BED" w14:textId="77777777">
        <w:trPr>
          <w:trHeight w:val="282"/>
        </w:trPr>
        <w:tc>
          <w:tcPr>
            <w:tcW w:w="1881" w:type="pct"/>
            <w:gridSpan w:val="3"/>
            <w:tcBorders>
              <w:top w:val="single" w:sz="4" w:space="0" w:color="auto"/>
              <w:left w:val="single" w:sz="4" w:space="0" w:color="auto"/>
              <w:bottom w:val="single" w:sz="4" w:space="0" w:color="auto"/>
              <w:right w:val="single" w:sz="4" w:space="0" w:color="000000"/>
            </w:tcBorders>
            <w:vAlign w:val="center"/>
          </w:tcPr>
          <w:p w14:paraId="241C960F" w14:textId="77777777" w:rsidR="008137F8" w:rsidRPr="001E17A1" w:rsidRDefault="00000000">
            <w:pPr>
              <w:widowControl/>
              <w:snapToGrid w:val="0"/>
              <w:spacing w:line="360" w:lineRule="auto"/>
              <w:jc w:val="right"/>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合计:100分</w:t>
            </w:r>
          </w:p>
        </w:tc>
        <w:tc>
          <w:tcPr>
            <w:tcW w:w="3119" w:type="pct"/>
            <w:gridSpan w:val="2"/>
            <w:tcBorders>
              <w:top w:val="single" w:sz="4" w:space="0" w:color="auto"/>
              <w:left w:val="nil"/>
              <w:bottom w:val="single" w:sz="4" w:space="0" w:color="auto"/>
              <w:right w:val="nil"/>
            </w:tcBorders>
            <w:vAlign w:val="center"/>
          </w:tcPr>
          <w:p w14:paraId="0182F31F"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含加分、扣分的总分最高为100分</w:t>
            </w:r>
          </w:p>
        </w:tc>
      </w:tr>
    </w:tbl>
    <w:p w14:paraId="68D2E501" w14:textId="77777777" w:rsidR="008137F8" w:rsidRPr="001E17A1" w:rsidRDefault="008137F8">
      <w:pPr>
        <w:widowControl/>
        <w:tabs>
          <w:tab w:val="left" w:pos="1134"/>
        </w:tabs>
        <w:snapToGrid w:val="0"/>
        <w:spacing w:line="360" w:lineRule="auto"/>
        <w:ind w:firstLineChars="200" w:firstLine="480"/>
        <w:jc w:val="left"/>
        <w:rPr>
          <w:rFonts w:ascii="宋体" w:hAnsi="宋体" w:hint="eastAsia"/>
          <w:color w:val="000000" w:themeColor="text1"/>
          <w:sz w:val="24"/>
          <w:szCs w:val="24"/>
        </w:rPr>
      </w:pPr>
    </w:p>
    <w:p w14:paraId="619564C0" w14:textId="77777777" w:rsidR="008137F8" w:rsidRPr="001E17A1" w:rsidRDefault="00000000">
      <w:pPr>
        <w:pStyle w:val="4"/>
        <w:snapToGrid w:val="0"/>
        <w:spacing w:before="0" w:line="360" w:lineRule="auto"/>
        <w:rPr>
          <w:rFonts w:ascii="宋体" w:eastAsia="宋体" w:hAnsi="宋体" w:hint="eastAsia"/>
          <w:color w:val="000000" w:themeColor="text1"/>
          <w:sz w:val="24"/>
          <w:szCs w:val="24"/>
        </w:rPr>
      </w:pPr>
      <w:r w:rsidRPr="001E17A1">
        <w:rPr>
          <w:rFonts w:ascii="宋体" w:eastAsia="宋体" w:hAnsi="宋体" w:hint="eastAsia"/>
          <w:color w:val="000000" w:themeColor="text1"/>
          <w:sz w:val="24"/>
          <w:szCs w:val="24"/>
        </w:rPr>
        <w:lastRenderedPageBreak/>
        <w:t>服务管理质量评估</w:t>
      </w:r>
    </w:p>
    <w:p w14:paraId="346BC88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服务管理质量评估主要针对中标人的运营服务管理水平进行月度评估，评估内容包括运营管理、现场管理、安全管理和服务满意度等方面。服务管理质量评估分值满分为1</w:t>
      </w:r>
      <w:r w:rsidRPr="001E17A1">
        <w:rPr>
          <w:rFonts w:ascii="宋体" w:hAnsi="宋体"/>
          <w:color w:val="000000" w:themeColor="text1"/>
          <w:sz w:val="24"/>
          <w:szCs w:val="24"/>
        </w:rPr>
        <w:t>00</w:t>
      </w:r>
      <w:r w:rsidRPr="001E17A1">
        <w:rPr>
          <w:rFonts w:ascii="宋体" w:hAnsi="宋体" w:hint="eastAsia"/>
          <w:color w:val="000000" w:themeColor="text1"/>
          <w:sz w:val="24"/>
          <w:szCs w:val="24"/>
        </w:rPr>
        <w:t>分。</w:t>
      </w:r>
    </w:p>
    <w:p w14:paraId="247EFE3C" w14:textId="77777777" w:rsidR="008137F8" w:rsidRPr="001E17A1" w:rsidRDefault="00000000">
      <w:pPr>
        <w:snapToGrid w:val="0"/>
        <w:spacing w:line="360" w:lineRule="auto"/>
        <w:ind w:firstLine="420"/>
        <w:rPr>
          <w:rFonts w:ascii="宋体" w:hAnsi="宋体" w:hint="eastAsia"/>
          <w:color w:val="000000" w:themeColor="text1"/>
          <w:sz w:val="24"/>
          <w:szCs w:val="24"/>
        </w:rPr>
      </w:pPr>
      <w:r w:rsidRPr="001E17A1">
        <w:rPr>
          <w:rFonts w:ascii="宋体" w:hAnsi="宋体" w:hint="eastAsia"/>
          <w:color w:val="000000" w:themeColor="text1"/>
          <w:sz w:val="24"/>
          <w:szCs w:val="24"/>
        </w:rPr>
        <w:t>服务管理质量评估评分标准如下：</w:t>
      </w:r>
    </w:p>
    <w:tbl>
      <w:tblPr>
        <w:tblW w:w="5000" w:type="pct"/>
        <w:tblLook w:val="04A0" w:firstRow="1" w:lastRow="0" w:firstColumn="1" w:lastColumn="0" w:noHBand="0" w:noVBand="1"/>
      </w:tblPr>
      <w:tblGrid>
        <w:gridCol w:w="959"/>
        <w:gridCol w:w="804"/>
        <w:gridCol w:w="1139"/>
        <w:gridCol w:w="2032"/>
        <w:gridCol w:w="3588"/>
      </w:tblGrid>
      <w:tr w:rsidR="008137F8" w:rsidRPr="001E17A1" w14:paraId="5ED0EC09" w14:textId="77777777">
        <w:trPr>
          <w:trHeight w:val="516"/>
        </w:trPr>
        <w:tc>
          <w:tcPr>
            <w:tcW w:w="563" w:type="pct"/>
            <w:tcBorders>
              <w:top w:val="single" w:sz="4" w:space="0" w:color="auto"/>
              <w:left w:val="single" w:sz="4" w:space="0" w:color="auto"/>
              <w:bottom w:val="single" w:sz="4" w:space="0" w:color="auto"/>
              <w:right w:val="single" w:sz="4" w:space="0" w:color="auto"/>
            </w:tcBorders>
            <w:shd w:val="clear" w:color="000000" w:fill="FFFFFF"/>
            <w:vAlign w:val="center"/>
          </w:tcPr>
          <w:p w14:paraId="2A0262BE"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指标分类</w:t>
            </w:r>
          </w:p>
        </w:tc>
        <w:tc>
          <w:tcPr>
            <w:tcW w:w="472" w:type="pct"/>
            <w:tcBorders>
              <w:top w:val="single" w:sz="4" w:space="0" w:color="auto"/>
              <w:left w:val="nil"/>
              <w:bottom w:val="single" w:sz="4" w:space="0" w:color="auto"/>
              <w:right w:val="single" w:sz="4" w:space="0" w:color="auto"/>
            </w:tcBorders>
            <w:shd w:val="clear" w:color="000000" w:fill="FFFFFF"/>
            <w:vAlign w:val="center"/>
          </w:tcPr>
          <w:p w14:paraId="6217F79F"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指标权重</w:t>
            </w:r>
          </w:p>
        </w:tc>
        <w:tc>
          <w:tcPr>
            <w:tcW w:w="668" w:type="pct"/>
            <w:tcBorders>
              <w:top w:val="single" w:sz="4" w:space="0" w:color="auto"/>
              <w:left w:val="nil"/>
              <w:bottom w:val="single" w:sz="4" w:space="0" w:color="auto"/>
              <w:right w:val="single" w:sz="4" w:space="0" w:color="auto"/>
            </w:tcBorders>
            <w:shd w:val="clear" w:color="000000" w:fill="FFFFFF"/>
            <w:vAlign w:val="center"/>
          </w:tcPr>
          <w:p w14:paraId="398624C0"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评价指标</w:t>
            </w:r>
          </w:p>
        </w:tc>
        <w:tc>
          <w:tcPr>
            <w:tcW w:w="1192" w:type="pct"/>
            <w:tcBorders>
              <w:top w:val="single" w:sz="4" w:space="0" w:color="auto"/>
              <w:left w:val="nil"/>
              <w:bottom w:val="single" w:sz="4" w:space="0" w:color="auto"/>
              <w:right w:val="single" w:sz="4" w:space="0" w:color="auto"/>
            </w:tcBorders>
            <w:shd w:val="clear" w:color="000000" w:fill="FFFFFF"/>
            <w:vAlign w:val="center"/>
          </w:tcPr>
          <w:p w14:paraId="069ACE1C"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应达要求</w:t>
            </w:r>
          </w:p>
        </w:tc>
        <w:tc>
          <w:tcPr>
            <w:tcW w:w="2105" w:type="pct"/>
            <w:tcBorders>
              <w:top w:val="single" w:sz="4" w:space="0" w:color="auto"/>
              <w:left w:val="nil"/>
              <w:bottom w:val="single" w:sz="4" w:space="0" w:color="auto"/>
              <w:right w:val="single" w:sz="4" w:space="0" w:color="auto"/>
            </w:tcBorders>
            <w:shd w:val="clear" w:color="000000" w:fill="FFFFFF"/>
            <w:vAlign w:val="center"/>
          </w:tcPr>
          <w:p w14:paraId="4CD8F007" w14:textId="77777777" w:rsidR="008137F8" w:rsidRPr="001E17A1" w:rsidRDefault="00000000">
            <w:pPr>
              <w:widowControl/>
              <w:snapToGrid w:val="0"/>
              <w:spacing w:line="360" w:lineRule="auto"/>
              <w:jc w:val="center"/>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评分标准</w:t>
            </w:r>
          </w:p>
        </w:tc>
      </w:tr>
      <w:tr w:rsidR="008137F8" w:rsidRPr="001E17A1" w14:paraId="352B2DAC" w14:textId="77777777">
        <w:trPr>
          <w:trHeight w:val="2064"/>
        </w:trPr>
        <w:tc>
          <w:tcPr>
            <w:tcW w:w="563" w:type="pct"/>
            <w:tcBorders>
              <w:top w:val="nil"/>
              <w:left w:val="single" w:sz="4" w:space="0" w:color="auto"/>
              <w:bottom w:val="single" w:sz="4" w:space="0" w:color="auto"/>
              <w:right w:val="single" w:sz="4" w:space="0" w:color="auto"/>
            </w:tcBorders>
            <w:shd w:val="clear" w:color="000000" w:fill="FFFFFF"/>
            <w:vAlign w:val="center"/>
          </w:tcPr>
          <w:p w14:paraId="2381A886"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需求管理</w:t>
            </w:r>
          </w:p>
        </w:tc>
        <w:tc>
          <w:tcPr>
            <w:tcW w:w="472" w:type="pct"/>
            <w:tcBorders>
              <w:top w:val="nil"/>
              <w:left w:val="nil"/>
              <w:bottom w:val="single" w:sz="4" w:space="0" w:color="auto"/>
              <w:right w:val="single" w:sz="4" w:space="0" w:color="auto"/>
            </w:tcBorders>
            <w:shd w:val="clear" w:color="000000" w:fill="FFFFFF"/>
            <w:vAlign w:val="center"/>
          </w:tcPr>
          <w:p w14:paraId="44EB4361"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4</w:t>
            </w:r>
          </w:p>
        </w:tc>
        <w:tc>
          <w:tcPr>
            <w:tcW w:w="668" w:type="pct"/>
            <w:tcBorders>
              <w:top w:val="nil"/>
              <w:left w:val="nil"/>
              <w:bottom w:val="single" w:sz="4" w:space="0" w:color="auto"/>
              <w:right w:val="single" w:sz="4" w:space="0" w:color="auto"/>
            </w:tcBorders>
            <w:shd w:val="clear" w:color="000000" w:fill="FFFFFF"/>
            <w:vAlign w:val="center"/>
          </w:tcPr>
          <w:p w14:paraId="02DF499B"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需求响应及时性、准确性</w:t>
            </w:r>
          </w:p>
        </w:tc>
        <w:tc>
          <w:tcPr>
            <w:tcW w:w="1192" w:type="pct"/>
            <w:tcBorders>
              <w:top w:val="nil"/>
              <w:left w:val="nil"/>
              <w:bottom w:val="single" w:sz="4" w:space="0" w:color="auto"/>
              <w:right w:val="single" w:sz="4" w:space="0" w:color="auto"/>
            </w:tcBorders>
            <w:shd w:val="clear" w:color="000000" w:fill="FFFFFF"/>
            <w:vAlign w:val="center"/>
          </w:tcPr>
          <w:p w14:paraId="3986DD13"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建立完善的需求管理流程，快速响应编制需求管理计划，及时并准确落实专项团队响应包括临时任务需求在内的各项任务需求；并做好需求文档的更新和管理。</w:t>
            </w:r>
          </w:p>
        </w:tc>
        <w:tc>
          <w:tcPr>
            <w:tcW w:w="2105" w:type="pct"/>
            <w:tcBorders>
              <w:top w:val="nil"/>
              <w:left w:val="nil"/>
              <w:bottom w:val="single" w:sz="4" w:space="0" w:color="auto"/>
              <w:right w:val="single" w:sz="4" w:space="0" w:color="auto"/>
            </w:tcBorders>
            <w:shd w:val="clear" w:color="000000" w:fill="FFFFFF"/>
            <w:vAlign w:val="center"/>
          </w:tcPr>
          <w:p w14:paraId="1DA0F2EB"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①每延期1周响应（或者完成）扣2分，扣完为止；</w:t>
            </w:r>
            <w:r w:rsidRPr="001E17A1">
              <w:rPr>
                <w:rFonts w:ascii="宋体" w:hAnsi="宋体" w:cs="宋体" w:hint="eastAsia"/>
                <w:color w:val="000000" w:themeColor="text1"/>
                <w:kern w:val="0"/>
                <w:sz w:val="24"/>
                <w:szCs w:val="24"/>
              </w:rPr>
              <w:br/>
              <w:t>②未与中心沟通达成一致，擅自变更需求的，扣2分，扣完为止。</w:t>
            </w:r>
          </w:p>
        </w:tc>
      </w:tr>
      <w:tr w:rsidR="008137F8" w:rsidRPr="001E17A1" w14:paraId="4D87CFD5" w14:textId="77777777">
        <w:trPr>
          <w:trHeight w:val="2838"/>
        </w:trPr>
        <w:tc>
          <w:tcPr>
            <w:tcW w:w="563" w:type="pct"/>
            <w:vMerge w:val="restart"/>
            <w:tcBorders>
              <w:top w:val="nil"/>
              <w:left w:val="single" w:sz="4" w:space="0" w:color="auto"/>
              <w:bottom w:val="single" w:sz="4" w:space="0" w:color="000000"/>
              <w:right w:val="single" w:sz="4" w:space="0" w:color="auto"/>
            </w:tcBorders>
            <w:shd w:val="clear" w:color="000000" w:fill="FFFFFF"/>
            <w:vAlign w:val="center"/>
          </w:tcPr>
          <w:p w14:paraId="2746AB4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服务交付管理</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tcPr>
          <w:p w14:paraId="3F444E71"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20</w:t>
            </w:r>
          </w:p>
        </w:tc>
        <w:tc>
          <w:tcPr>
            <w:tcW w:w="668" w:type="pct"/>
            <w:tcBorders>
              <w:top w:val="nil"/>
              <w:left w:val="nil"/>
              <w:bottom w:val="single" w:sz="4" w:space="0" w:color="auto"/>
              <w:right w:val="single" w:sz="4" w:space="0" w:color="auto"/>
            </w:tcBorders>
            <w:shd w:val="clear" w:color="000000" w:fill="FFFFFF"/>
            <w:vAlign w:val="center"/>
          </w:tcPr>
          <w:p w14:paraId="28788E85"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服务交付及时率</w:t>
            </w:r>
          </w:p>
        </w:tc>
        <w:tc>
          <w:tcPr>
            <w:tcW w:w="1192" w:type="pct"/>
            <w:tcBorders>
              <w:top w:val="nil"/>
              <w:left w:val="nil"/>
              <w:bottom w:val="single" w:sz="4" w:space="0" w:color="auto"/>
              <w:right w:val="single" w:sz="4" w:space="0" w:color="auto"/>
            </w:tcBorders>
            <w:shd w:val="clear" w:color="000000" w:fill="FFFFFF"/>
            <w:vAlign w:val="center"/>
          </w:tcPr>
          <w:p w14:paraId="4253C6C6"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严格管控任务进度，保障各项工作按计划执行、及时交付工作产物，按时、按要求完成服务单的最终交付。</w:t>
            </w:r>
          </w:p>
        </w:tc>
        <w:tc>
          <w:tcPr>
            <w:tcW w:w="2105" w:type="pct"/>
            <w:tcBorders>
              <w:top w:val="nil"/>
              <w:left w:val="nil"/>
              <w:bottom w:val="single" w:sz="4" w:space="0" w:color="auto"/>
              <w:right w:val="single" w:sz="4" w:space="0" w:color="auto"/>
            </w:tcBorders>
            <w:shd w:val="clear" w:color="000000" w:fill="FFFFFF"/>
            <w:vAlign w:val="center"/>
          </w:tcPr>
          <w:p w14:paraId="2268352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①服务单交付每延期1周扣2分，扣完为止；</w:t>
            </w:r>
            <w:r w:rsidRPr="001E17A1">
              <w:rPr>
                <w:rFonts w:ascii="宋体" w:hAnsi="宋体" w:cs="宋体" w:hint="eastAsia"/>
                <w:color w:val="000000" w:themeColor="text1"/>
                <w:kern w:val="0"/>
                <w:sz w:val="24"/>
                <w:szCs w:val="24"/>
              </w:rPr>
              <w:br/>
              <w:t>②需求响应每延期1周扣1分，扣完为止；</w:t>
            </w:r>
            <w:r w:rsidRPr="001E17A1">
              <w:rPr>
                <w:rFonts w:ascii="宋体" w:hAnsi="宋体" w:cs="宋体" w:hint="eastAsia"/>
                <w:color w:val="000000" w:themeColor="text1"/>
                <w:kern w:val="0"/>
                <w:sz w:val="24"/>
                <w:szCs w:val="24"/>
              </w:rPr>
              <w:br/>
              <w:t>③中心交办的其他任务每延期1周扣1分，扣完为止；</w:t>
            </w:r>
            <w:r w:rsidRPr="001E17A1">
              <w:rPr>
                <w:rFonts w:ascii="宋体" w:hAnsi="宋体" w:cs="宋体" w:hint="eastAsia"/>
                <w:color w:val="000000" w:themeColor="text1"/>
                <w:kern w:val="0"/>
                <w:sz w:val="24"/>
                <w:szCs w:val="24"/>
              </w:rPr>
              <w:br/>
              <w:t>④未按时配合第三方监管工作的每延迟1周扣1分，扣完为止；</w:t>
            </w:r>
            <w:r w:rsidRPr="001E17A1">
              <w:rPr>
                <w:rFonts w:ascii="宋体" w:hAnsi="宋体" w:cs="宋体" w:hint="eastAsia"/>
                <w:color w:val="000000" w:themeColor="text1"/>
                <w:kern w:val="0"/>
                <w:sz w:val="24"/>
                <w:szCs w:val="24"/>
              </w:rPr>
              <w:br/>
              <w:t>双方确认的计划调整不扣分。</w:t>
            </w:r>
          </w:p>
        </w:tc>
      </w:tr>
      <w:tr w:rsidR="008137F8" w:rsidRPr="001E17A1" w14:paraId="502BF944" w14:textId="77777777">
        <w:trPr>
          <w:trHeight w:val="2838"/>
        </w:trPr>
        <w:tc>
          <w:tcPr>
            <w:tcW w:w="563" w:type="pct"/>
            <w:vMerge/>
            <w:tcBorders>
              <w:top w:val="nil"/>
              <w:left w:val="single" w:sz="4" w:space="0" w:color="auto"/>
              <w:bottom w:val="single" w:sz="4" w:space="0" w:color="000000"/>
              <w:right w:val="single" w:sz="4" w:space="0" w:color="auto"/>
            </w:tcBorders>
            <w:vAlign w:val="center"/>
          </w:tcPr>
          <w:p w14:paraId="26CD3BB3"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6634EDB1"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54BA3225"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服务交付质量</w:t>
            </w:r>
          </w:p>
        </w:tc>
        <w:tc>
          <w:tcPr>
            <w:tcW w:w="1192" w:type="pct"/>
            <w:tcBorders>
              <w:top w:val="nil"/>
              <w:left w:val="nil"/>
              <w:bottom w:val="single" w:sz="4" w:space="0" w:color="auto"/>
              <w:right w:val="single" w:sz="4" w:space="0" w:color="auto"/>
            </w:tcBorders>
            <w:shd w:val="clear" w:color="000000" w:fill="FFFFFF"/>
            <w:vAlign w:val="center"/>
          </w:tcPr>
          <w:p w14:paraId="5CE94BBC"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服务单交付不出现质量问题，满足需求方要求，符合服务规范。</w:t>
            </w:r>
          </w:p>
        </w:tc>
        <w:tc>
          <w:tcPr>
            <w:tcW w:w="2105" w:type="pct"/>
            <w:tcBorders>
              <w:top w:val="nil"/>
              <w:left w:val="nil"/>
              <w:bottom w:val="single" w:sz="4" w:space="0" w:color="auto"/>
              <w:right w:val="single" w:sz="4" w:space="0" w:color="auto"/>
            </w:tcBorders>
            <w:shd w:val="clear" w:color="000000" w:fill="FFFFFF"/>
            <w:vAlign w:val="center"/>
          </w:tcPr>
          <w:p w14:paraId="72CB32F7"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①服务单交付每发生一起不符合需求方要求的扣2分，扣完为止；</w:t>
            </w:r>
            <w:r w:rsidRPr="001E17A1">
              <w:rPr>
                <w:rFonts w:ascii="宋体" w:hAnsi="宋体" w:cs="宋体" w:hint="eastAsia"/>
                <w:color w:val="000000" w:themeColor="text1"/>
                <w:kern w:val="0"/>
                <w:sz w:val="24"/>
                <w:szCs w:val="24"/>
              </w:rPr>
              <w:br/>
              <w:t>②服务单交付每发生一起不符合服务规范的扣2分，扣完为止；</w:t>
            </w:r>
            <w:r w:rsidRPr="001E17A1">
              <w:rPr>
                <w:rFonts w:ascii="宋体" w:hAnsi="宋体" w:cs="宋体" w:hint="eastAsia"/>
                <w:color w:val="000000" w:themeColor="text1"/>
                <w:kern w:val="0"/>
                <w:sz w:val="24"/>
                <w:szCs w:val="24"/>
              </w:rPr>
              <w:br/>
              <w:t>③被使用单位发现并的除数据质量以外的其他有责交付物使用问题，每次扣2分；</w:t>
            </w:r>
            <w:r w:rsidRPr="001E17A1">
              <w:rPr>
                <w:rFonts w:ascii="宋体" w:hAnsi="宋体" w:cs="宋体" w:hint="eastAsia"/>
                <w:color w:val="000000" w:themeColor="text1"/>
                <w:kern w:val="0"/>
                <w:sz w:val="24"/>
                <w:szCs w:val="24"/>
              </w:rPr>
              <w:br/>
              <w:t>④服务单交付验收未通过的，每次扣5分。</w:t>
            </w:r>
          </w:p>
        </w:tc>
      </w:tr>
      <w:tr w:rsidR="008137F8" w:rsidRPr="001E17A1" w14:paraId="3E248BB7" w14:textId="77777777">
        <w:trPr>
          <w:trHeight w:val="4386"/>
        </w:trPr>
        <w:tc>
          <w:tcPr>
            <w:tcW w:w="563" w:type="pct"/>
            <w:vMerge/>
            <w:tcBorders>
              <w:top w:val="nil"/>
              <w:left w:val="single" w:sz="4" w:space="0" w:color="auto"/>
              <w:bottom w:val="single" w:sz="4" w:space="0" w:color="000000"/>
              <w:right w:val="single" w:sz="4" w:space="0" w:color="auto"/>
            </w:tcBorders>
            <w:vAlign w:val="center"/>
          </w:tcPr>
          <w:p w14:paraId="255FFA66"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486701B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07A7262A"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数据质量</w:t>
            </w:r>
          </w:p>
        </w:tc>
        <w:tc>
          <w:tcPr>
            <w:tcW w:w="1192" w:type="pct"/>
            <w:tcBorders>
              <w:top w:val="nil"/>
              <w:left w:val="nil"/>
              <w:bottom w:val="single" w:sz="4" w:space="0" w:color="auto"/>
              <w:right w:val="single" w:sz="4" w:space="0" w:color="auto"/>
            </w:tcBorders>
            <w:shd w:val="clear" w:color="000000" w:fill="FFFFFF"/>
            <w:vAlign w:val="center"/>
          </w:tcPr>
          <w:p w14:paraId="3661F975"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对湖内数据质量进行全覆盖管理，形成完整的数据质量管理规则和体系，不发生数据质量问题。同时，发生数据质量问题时，应当按照已约定的整改期限进行整改。</w:t>
            </w:r>
          </w:p>
        </w:tc>
        <w:tc>
          <w:tcPr>
            <w:tcW w:w="2105" w:type="pct"/>
            <w:tcBorders>
              <w:top w:val="nil"/>
              <w:left w:val="nil"/>
              <w:bottom w:val="single" w:sz="4" w:space="0" w:color="auto"/>
              <w:right w:val="single" w:sz="4" w:space="0" w:color="auto"/>
            </w:tcBorders>
            <w:shd w:val="clear" w:color="000000" w:fill="FFFFFF"/>
            <w:vAlign w:val="center"/>
          </w:tcPr>
          <w:p w14:paraId="01D926CE"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①未按照约定时间建立数据质量规则的、被发现数据质量检查规则覆盖不完整的，每发现1项，扣2分；</w:t>
            </w:r>
            <w:r w:rsidRPr="001E17A1">
              <w:rPr>
                <w:rFonts w:ascii="宋体" w:hAnsi="宋体" w:cs="宋体" w:hint="eastAsia"/>
                <w:color w:val="000000" w:themeColor="text1"/>
                <w:kern w:val="0"/>
                <w:sz w:val="24"/>
                <w:szCs w:val="24"/>
              </w:rPr>
              <w:br/>
              <w:t>②每发生一起第三方检查发现的湖内数据质量问题时，扣1分；</w:t>
            </w:r>
            <w:r w:rsidRPr="001E17A1">
              <w:rPr>
                <w:rFonts w:ascii="宋体" w:hAnsi="宋体" w:cs="宋体" w:hint="eastAsia"/>
                <w:color w:val="000000" w:themeColor="text1"/>
                <w:kern w:val="0"/>
                <w:sz w:val="24"/>
                <w:szCs w:val="24"/>
              </w:rPr>
              <w:br/>
              <w:t>③每发生一起第三方检查发现的湖内数据质量问题按照要求进行整改的，扣2分；</w:t>
            </w:r>
            <w:r w:rsidRPr="001E17A1">
              <w:rPr>
                <w:rFonts w:ascii="宋体" w:hAnsi="宋体" w:cs="宋体" w:hint="eastAsia"/>
                <w:color w:val="000000" w:themeColor="text1"/>
                <w:kern w:val="0"/>
                <w:sz w:val="24"/>
                <w:szCs w:val="24"/>
              </w:rPr>
              <w:br/>
              <w:t>④被发现代码质量问题，每发现1项扣2分；</w:t>
            </w:r>
            <w:r w:rsidRPr="001E17A1">
              <w:rPr>
                <w:rFonts w:ascii="宋体" w:hAnsi="宋体" w:cs="宋体" w:hint="eastAsia"/>
                <w:color w:val="000000" w:themeColor="text1"/>
                <w:kern w:val="0"/>
                <w:sz w:val="24"/>
                <w:szCs w:val="24"/>
              </w:rPr>
              <w:br/>
              <w:t>⑤被使用单位投诉数据质量问题，每次扣3分；</w:t>
            </w:r>
            <w:r w:rsidRPr="001E17A1">
              <w:rPr>
                <w:rFonts w:ascii="宋体" w:hAnsi="宋体" w:cs="宋体" w:hint="eastAsia"/>
                <w:color w:val="000000" w:themeColor="text1"/>
                <w:kern w:val="0"/>
                <w:sz w:val="24"/>
                <w:szCs w:val="24"/>
              </w:rPr>
              <w:br/>
              <w:t>⑥以上问题应当按要求、按时完成整改，每项每延迟一周扣2分。</w:t>
            </w:r>
          </w:p>
        </w:tc>
      </w:tr>
      <w:tr w:rsidR="008137F8" w:rsidRPr="001E17A1" w14:paraId="79E9FD2E" w14:textId="77777777">
        <w:trPr>
          <w:trHeight w:val="1806"/>
        </w:trPr>
        <w:tc>
          <w:tcPr>
            <w:tcW w:w="563" w:type="pct"/>
            <w:vMerge/>
            <w:tcBorders>
              <w:top w:val="nil"/>
              <w:left w:val="single" w:sz="4" w:space="0" w:color="auto"/>
              <w:bottom w:val="single" w:sz="4" w:space="0" w:color="000000"/>
              <w:right w:val="single" w:sz="4" w:space="0" w:color="auto"/>
            </w:tcBorders>
            <w:vAlign w:val="center"/>
          </w:tcPr>
          <w:p w14:paraId="21C73775"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2E73537E"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F0B504C"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数据安全</w:t>
            </w:r>
          </w:p>
        </w:tc>
        <w:tc>
          <w:tcPr>
            <w:tcW w:w="1192" w:type="pct"/>
            <w:tcBorders>
              <w:top w:val="nil"/>
              <w:left w:val="nil"/>
              <w:bottom w:val="single" w:sz="4" w:space="0" w:color="auto"/>
              <w:right w:val="single" w:sz="4" w:space="0" w:color="auto"/>
            </w:tcBorders>
            <w:shd w:val="clear" w:color="000000" w:fill="FFFFFF"/>
            <w:vAlign w:val="center"/>
          </w:tcPr>
          <w:p w14:paraId="6A9FFC2E"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对湖内数据安全和交付物安全进行全覆盖管理。</w:t>
            </w:r>
          </w:p>
        </w:tc>
        <w:tc>
          <w:tcPr>
            <w:tcW w:w="2105" w:type="pct"/>
            <w:tcBorders>
              <w:top w:val="nil"/>
              <w:left w:val="nil"/>
              <w:bottom w:val="single" w:sz="4" w:space="0" w:color="auto"/>
              <w:right w:val="single" w:sz="4" w:space="0" w:color="auto"/>
            </w:tcBorders>
            <w:shd w:val="clear" w:color="000000" w:fill="FFFFFF"/>
            <w:vAlign w:val="center"/>
          </w:tcPr>
          <w:p w14:paraId="1756DEF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①由第三方监管机构、测评机构或内部安全核查人员发现的数据安全隐患，每1个隐患扣2分；</w:t>
            </w:r>
            <w:r w:rsidRPr="001E17A1">
              <w:rPr>
                <w:rFonts w:ascii="宋体" w:hAnsi="宋体" w:cs="宋体" w:hint="eastAsia"/>
                <w:color w:val="000000" w:themeColor="text1"/>
                <w:kern w:val="0"/>
                <w:sz w:val="24"/>
                <w:szCs w:val="24"/>
              </w:rPr>
              <w:br/>
              <w:t>②被上级单位或主管单位发现存在数据安全隐患，每1个隐患扣</w:t>
            </w:r>
            <w:r w:rsidRPr="001E17A1">
              <w:rPr>
                <w:rFonts w:ascii="宋体" w:hAnsi="宋体" w:cs="宋体" w:hint="eastAsia"/>
                <w:color w:val="000000" w:themeColor="text1"/>
                <w:kern w:val="0"/>
                <w:sz w:val="24"/>
                <w:szCs w:val="24"/>
              </w:rPr>
              <w:lastRenderedPageBreak/>
              <w:t>5分；</w:t>
            </w:r>
          </w:p>
        </w:tc>
      </w:tr>
      <w:tr w:rsidR="008137F8" w:rsidRPr="001E17A1" w14:paraId="074DE404" w14:textId="77777777">
        <w:trPr>
          <w:trHeight w:val="774"/>
        </w:trPr>
        <w:tc>
          <w:tcPr>
            <w:tcW w:w="563" w:type="pct"/>
            <w:vMerge w:val="restart"/>
            <w:tcBorders>
              <w:top w:val="nil"/>
              <w:left w:val="single" w:sz="4" w:space="0" w:color="auto"/>
              <w:bottom w:val="single" w:sz="4" w:space="0" w:color="000000"/>
              <w:right w:val="single" w:sz="4" w:space="0" w:color="auto"/>
            </w:tcBorders>
            <w:shd w:val="clear" w:color="000000" w:fill="FFFFFF"/>
            <w:vAlign w:val="center"/>
          </w:tcPr>
          <w:p w14:paraId="79290E0A"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lastRenderedPageBreak/>
              <w:t>服务可用性及故障管理</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tcPr>
          <w:p w14:paraId="2DEF061F"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20</w:t>
            </w:r>
          </w:p>
        </w:tc>
        <w:tc>
          <w:tcPr>
            <w:tcW w:w="668" w:type="pct"/>
            <w:tcBorders>
              <w:top w:val="nil"/>
              <w:left w:val="nil"/>
              <w:bottom w:val="single" w:sz="4" w:space="0" w:color="auto"/>
              <w:right w:val="single" w:sz="4" w:space="0" w:color="auto"/>
            </w:tcBorders>
            <w:shd w:val="clear" w:color="000000" w:fill="FFFFFF"/>
            <w:vAlign w:val="center"/>
          </w:tcPr>
          <w:p w14:paraId="2A331888"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服务可用性</w:t>
            </w:r>
          </w:p>
        </w:tc>
        <w:tc>
          <w:tcPr>
            <w:tcW w:w="1192" w:type="pct"/>
            <w:tcBorders>
              <w:top w:val="nil"/>
              <w:left w:val="nil"/>
              <w:bottom w:val="single" w:sz="4" w:space="0" w:color="auto"/>
              <w:right w:val="single" w:sz="4" w:space="0" w:color="auto"/>
            </w:tcBorders>
            <w:shd w:val="clear" w:color="000000" w:fill="FFFFFF"/>
            <w:vAlign w:val="center"/>
          </w:tcPr>
          <w:p w14:paraId="7BF636FA"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服务可用性应达99.99%，减少每个月计划外停服时间。</w:t>
            </w:r>
          </w:p>
        </w:tc>
        <w:tc>
          <w:tcPr>
            <w:tcW w:w="2105" w:type="pct"/>
            <w:tcBorders>
              <w:top w:val="nil"/>
              <w:left w:val="nil"/>
              <w:bottom w:val="single" w:sz="4" w:space="0" w:color="auto"/>
              <w:right w:val="single" w:sz="4" w:space="0" w:color="auto"/>
            </w:tcBorders>
            <w:shd w:val="clear" w:color="000000" w:fill="FFFFFF"/>
            <w:vAlign w:val="center"/>
          </w:tcPr>
          <w:p w14:paraId="4CE60C9B"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服务连续性不达99.99%，若每月每降低0.01%，则扣除权重的1%，扣完为止。</w:t>
            </w:r>
          </w:p>
        </w:tc>
      </w:tr>
      <w:tr w:rsidR="008137F8" w:rsidRPr="001E17A1" w14:paraId="3CFC7C58" w14:textId="77777777">
        <w:trPr>
          <w:trHeight w:val="3096"/>
        </w:trPr>
        <w:tc>
          <w:tcPr>
            <w:tcW w:w="563" w:type="pct"/>
            <w:vMerge/>
            <w:tcBorders>
              <w:top w:val="nil"/>
              <w:left w:val="single" w:sz="4" w:space="0" w:color="auto"/>
              <w:bottom w:val="single" w:sz="4" w:space="0" w:color="000000"/>
              <w:right w:val="single" w:sz="4" w:space="0" w:color="auto"/>
            </w:tcBorders>
            <w:vAlign w:val="center"/>
          </w:tcPr>
          <w:p w14:paraId="04A13546"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7F4F8B6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5E316B2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故障发生数</w:t>
            </w:r>
          </w:p>
        </w:tc>
        <w:tc>
          <w:tcPr>
            <w:tcW w:w="1192" w:type="pct"/>
            <w:tcBorders>
              <w:top w:val="nil"/>
              <w:left w:val="nil"/>
              <w:bottom w:val="single" w:sz="4" w:space="0" w:color="auto"/>
              <w:right w:val="single" w:sz="4" w:space="0" w:color="auto"/>
            </w:tcBorders>
            <w:shd w:val="clear" w:color="000000" w:fill="FFFFFF"/>
            <w:vAlign w:val="center"/>
          </w:tcPr>
          <w:p w14:paraId="724E7358"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不发生故障</w:t>
            </w:r>
          </w:p>
        </w:tc>
        <w:tc>
          <w:tcPr>
            <w:tcW w:w="2105" w:type="pct"/>
            <w:tcBorders>
              <w:top w:val="nil"/>
              <w:left w:val="nil"/>
              <w:bottom w:val="single" w:sz="4" w:space="0" w:color="auto"/>
              <w:right w:val="single" w:sz="4" w:space="0" w:color="auto"/>
            </w:tcBorders>
            <w:shd w:val="clear" w:color="000000" w:fill="FFFFFF"/>
            <w:vAlign w:val="center"/>
          </w:tcPr>
          <w:p w14:paraId="22487167"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①服务集成商每发生一起C级故障扣1分，扣完为止；</w:t>
            </w:r>
            <w:r w:rsidRPr="001E17A1">
              <w:rPr>
                <w:rFonts w:ascii="宋体" w:hAnsi="宋体" w:cs="宋体" w:hint="eastAsia"/>
                <w:color w:val="000000" w:themeColor="text1"/>
                <w:kern w:val="0"/>
                <w:sz w:val="24"/>
                <w:szCs w:val="24"/>
              </w:rPr>
              <w:br/>
              <w:t>②服务集成商每发生一起C+级故障扣2分，扣完为止；</w:t>
            </w:r>
            <w:r w:rsidRPr="001E17A1">
              <w:rPr>
                <w:rFonts w:ascii="宋体" w:hAnsi="宋体" w:cs="宋体" w:hint="eastAsia"/>
                <w:color w:val="000000" w:themeColor="text1"/>
                <w:kern w:val="0"/>
                <w:sz w:val="24"/>
                <w:szCs w:val="24"/>
              </w:rPr>
              <w:br/>
              <w:t>③服务集成商每发生一起B2级故障扣4分，扣完为止；</w:t>
            </w:r>
            <w:r w:rsidRPr="001E17A1">
              <w:rPr>
                <w:rFonts w:ascii="宋体" w:hAnsi="宋体" w:cs="宋体" w:hint="eastAsia"/>
                <w:color w:val="000000" w:themeColor="text1"/>
                <w:kern w:val="0"/>
                <w:sz w:val="24"/>
                <w:szCs w:val="24"/>
              </w:rPr>
              <w:br/>
              <w:t>④服务集成商每发生一起B1级故障扣6分，扣完为止；</w:t>
            </w:r>
            <w:r w:rsidRPr="001E17A1">
              <w:rPr>
                <w:rFonts w:ascii="宋体" w:hAnsi="宋体" w:cs="宋体" w:hint="eastAsia"/>
                <w:color w:val="000000" w:themeColor="text1"/>
                <w:kern w:val="0"/>
                <w:sz w:val="24"/>
                <w:szCs w:val="24"/>
              </w:rPr>
              <w:br/>
              <w:t>⑤服务集成商每发生一起A2级故障扣8分，扣完为止；</w:t>
            </w:r>
            <w:r w:rsidRPr="001E17A1">
              <w:rPr>
                <w:rFonts w:ascii="宋体" w:hAnsi="宋体" w:cs="宋体" w:hint="eastAsia"/>
                <w:color w:val="000000" w:themeColor="text1"/>
                <w:kern w:val="0"/>
                <w:sz w:val="24"/>
                <w:szCs w:val="24"/>
              </w:rPr>
              <w:br/>
              <w:t>⑥服务集成商每发生一起A1级故障扣10分，扣完为止。</w:t>
            </w:r>
          </w:p>
        </w:tc>
      </w:tr>
      <w:tr w:rsidR="008137F8" w:rsidRPr="001E17A1" w14:paraId="7D261747" w14:textId="77777777">
        <w:trPr>
          <w:trHeight w:val="1032"/>
        </w:trPr>
        <w:tc>
          <w:tcPr>
            <w:tcW w:w="563" w:type="pct"/>
            <w:vMerge/>
            <w:tcBorders>
              <w:top w:val="nil"/>
              <w:left w:val="single" w:sz="4" w:space="0" w:color="auto"/>
              <w:bottom w:val="single" w:sz="4" w:space="0" w:color="000000"/>
              <w:right w:val="single" w:sz="4" w:space="0" w:color="auto"/>
            </w:tcBorders>
            <w:vAlign w:val="center"/>
          </w:tcPr>
          <w:p w14:paraId="45F0011A"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73107ED8"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B0A62DA"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故障及时恢复数</w:t>
            </w:r>
          </w:p>
        </w:tc>
        <w:tc>
          <w:tcPr>
            <w:tcW w:w="1192" w:type="pct"/>
            <w:tcBorders>
              <w:top w:val="nil"/>
              <w:left w:val="nil"/>
              <w:bottom w:val="single" w:sz="4" w:space="0" w:color="auto"/>
              <w:right w:val="single" w:sz="4" w:space="0" w:color="auto"/>
            </w:tcBorders>
            <w:shd w:val="clear" w:color="000000" w:fill="FFFFFF"/>
            <w:vAlign w:val="center"/>
          </w:tcPr>
          <w:p w14:paraId="551E5AB7"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服务集成商在数据服务（或者平台）出现故障，按时间要求及时恢复服务。</w:t>
            </w:r>
          </w:p>
        </w:tc>
        <w:tc>
          <w:tcPr>
            <w:tcW w:w="2105" w:type="pct"/>
            <w:tcBorders>
              <w:top w:val="nil"/>
              <w:left w:val="nil"/>
              <w:bottom w:val="single" w:sz="4" w:space="0" w:color="auto"/>
              <w:right w:val="single" w:sz="4" w:space="0" w:color="auto"/>
            </w:tcBorders>
            <w:shd w:val="clear" w:color="000000" w:fill="FFFFFF"/>
            <w:vAlign w:val="center"/>
          </w:tcPr>
          <w:p w14:paraId="4F45952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服务集成商的故障及时恢复时间未达到要求，每发生1起扣5分，扣完为止。</w:t>
            </w:r>
          </w:p>
        </w:tc>
      </w:tr>
      <w:tr w:rsidR="008137F8" w:rsidRPr="001E17A1" w14:paraId="123AC3A4" w14:textId="77777777">
        <w:trPr>
          <w:trHeight w:val="774"/>
        </w:trPr>
        <w:tc>
          <w:tcPr>
            <w:tcW w:w="563" w:type="pct"/>
            <w:vMerge/>
            <w:tcBorders>
              <w:top w:val="nil"/>
              <w:left w:val="single" w:sz="4" w:space="0" w:color="auto"/>
              <w:bottom w:val="single" w:sz="4" w:space="0" w:color="000000"/>
              <w:right w:val="single" w:sz="4" w:space="0" w:color="auto"/>
            </w:tcBorders>
            <w:vAlign w:val="center"/>
          </w:tcPr>
          <w:p w14:paraId="3D09A41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090CB66A"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606940E"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故障上报数</w:t>
            </w:r>
          </w:p>
        </w:tc>
        <w:tc>
          <w:tcPr>
            <w:tcW w:w="1192" w:type="pct"/>
            <w:tcBorders>
              <w:top w:val="nil"/>
              <w:left w:val="nil"/>
              <w:bottom w:val="single" w:sz="4" w:space="0" w:color="auto"/>
              <w:right w:val="single" w:sz="4" w:space="0" w:color="auto"/>
            </w:tcBorders>
            <w:shd w:val="clear" w:color="000000" w:fill="FFFFFF"/>
            <w:vAlign w:val="center"/>
          </w:tcPr>
          <w:p w14:paraId="671A89B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严格按照故障上报规范按期上报、如实上报</w:t>
            </w:r>
          </w:p>
        </w:tc>
        <w:tc>
          <w:tcPr>
            <w:tcW w:w="2105" w:type="pct"/>
            <w:tcBorders>
              <w:top w:val="nil"/>
              <w:left w:val="nil"/>
              <w:bottom w:val="single" w:sz="4" w:space="0" w:color="auto"/>
              <w:right w:val="single" w:sz="4" w:space="0" w:color="auto"/>
            </w:tcBorders>
            <w:shd w:val="clear" w:color="000000" w:fill="FFFFFF"/>
            <w:vAlign w:val="center"/>
          </w:tcPr>
          <w:p w14:paraId="1627BE08"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每发生一起从迟报、错报、瞒报事件扣4分，扣完为止</w:t>
            </w:r>
          </w:p>
        </w:tc>
      </w:tr>
      <w:tr w:rsidR="008137F8" w:rsidRPr="001E17A1" w14:paraId="4BC645AE" w14:textId="77777777">
        <w:trPr>
          <w:trHeight w:val="2580"/>
        </w:trPr>
        <w:tc>
          <w:tcPr>
            <w:tcW w:w="563" w:type="pct"/>
            <w:vMerge/>
            <w:tcBorders>
              <w:top w:val="nil"/>
              <w:left w:val="single" w:sz="4" w:space="0" w:color="auto"/>
              <w:bottom w:val="single" w:sz="4" w:space="0" w:color="000000"/>
              <w:right w:val="single" w:sz="4" w:space="0" w:color="auto"/>
            </w:tcBorders>
            <w:vAlign w:val="center"/>
          </w:tcPr>
          <w:p w14:paraId="3C432D7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30E9B3C1"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2A69016"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闭环管理</w:t>
            </w:r>
          </w:p>
        </w:tc>
        <w:tc>
          <w:tcPr>
            <w:tcW w:w="1192" w:type="pct"/>
            <w:tcBorders>
              <w:top w:val="nil"/>
              <w:left w:val="nil"/>
              <w:bottom w:val="single" w:sz="4" w:space="0" w:color="auto"/>
              <w:right w:val="single" w:sz="4" w:space="0" w:color="auto"/>
            </w:tcBorders>
            <w:shd w:val="clear" w:color="000000" w:fill="FFFFFF"/>
            <w:vAlign w:val="center"/>
          </w:tcPr>
          <w:p w14:paraId="6D2E074D"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对于事件和问题执行有效的闭环管理，按要求形成整改方案查证原因并整改落实。形成PDCA闭环管理，不再发生此类故障或事件。</w:t>
            </w:r>
          </w:p>
        </w:tc>
        <w:tc>
          <w:tcPr>
            <w:tcW w:w="2105" w:type="pct"/>
            <w:tcBorders>
              <w:top w:val="nil"/>
              <w:left w:val="nil"/>
              <w:bottom w:val="single" w:sz="4" w:space="0" w:color="auto"/>
              <w:right w:val="single" w:sz="4" w:space="0" w:color="auto"/>
            </w:tcBorders>
            <w:shd w:val="clear" w:color="000000" w:fill="FFFFFF"/>
            <w:vAlign w:val="center"/>
          </w:tcPr>
          <w:p w14:paraId="25FA421E"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①每发生一次事件或者问题未按计划整改闭环的扣1分，扣完为止；</w:t>
            </w:r>
            <w:r w:rsidRPr="001E17A1">
              <w:rPr>
                <w:rFonts w:ascii="宋体" w:hAnsi="宋体" w:cs="宋体" w:hint="eastAsia"/>
                <w:color w:val="000000" w:themeColor="text1"/>
                <w:kern w:val="0"/>
                <w:sz w:val="24"/>
                <w:szCs w:val="24"/>
              </w:rPr>
              <w:br/>
              <w:t>②由于同一个故障点导致的问题或发生同类型问题的，每再发生一次，扣5分，扣完为止。</w:t>
            </w:r>
            <w:r w:rsidRPr="001E17A1">
              <w:rPr>
                <w:rFonts w:ascii="宋体" w:hAnsi="宋体" w:cs="宋体" w:hint="eastAsia"/>
                <w:color w:val="000000" w:themeColor="text1"/>
                <w:kern w:val="0"/>
                <w:sz w:val="24"/>
                <w:szCs w:val="24"/>
              </w:rPr>
              <w:br/>
              <w:t>③整改方案延期提交的，每延期一周，扣3分，扣完为止。</w:t>
            </w:r>
          </w:p>
        </w:tc>
      </w:tr>
      <w:tr w:rsidR="008137F8" w:rsidRPr="001E17A1" w14:paraId="0B6D9B06" w14:textId="77777777">
        <w:trPr>
          <w:trHeight w:val="2064"/>
        </w:trPr>
        <w:tc>
          <w:tcPr>
            <w:tcW w:w="563" w:type="pct"/>
            <w:vMerge w:val="restart"/>
            <w:tcBorders>
              <w:top w:val="nil"/>
              <w:left w:val="single" w:sz="4" w:space="0" w:color="auto"/>
              <w:bottom w:val="single" w:sz="4" w:space="0" w:color="auto"/>
              <w:right w:val="single" w:sz="4" w:space="0" w:color="auto"/>
            </w:tcBorders>
            <w:shd w:val="clear" w:color="000000" w:fill="FFFFFF"/>
            <w:vAlign w:val="center"/>
          </w:tcPr>
          <w:p w14:paraId="121BB863"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安全管理</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tcPr>
          <w:p w14:paraId="4B75620C"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18</w:t>
            </w:r>
          </w:p>
        </w:tc>
        <w:tc>
          <w:tcPr>
            <w:tcW w:w="668" w:type="pct"/>
            <w:tcBorders>
              <w:top w:val="nil"/>
              <w:left w:val="nil"/>
              <w:bottom w:val="single" w:sz="4" w:space="0" w:color="auto"/>
              <w:right w:val="single" w:sz="4" w:space="0" w:color="auto"/>
            </w:tcBorders>
            <w:shd w:val="clear" w:color="000000" w:fill="FFFFFF"/>
            <w:vAlign w:val="center"/>
          </w:tcPr>
          <w:p w14:paraId="0DBB4BEB"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安全攻击事件及数据泄露事件</w:t>
            </w:r>
          </w:p>
        </w:tc>
        <w:tc>
          <w:tcPr>
            <w:tcW w:w="1192" w:type="pct"/>
            <w:tcBorders>
              <w:top w:val="nil"/>
              <w:left w:val="nil"/>
              <w:bottom w:val="single" w:sz="4" w:space="0" w:color="auto"/>
              <w:right w:val="single" w:sz="4" w:space="0" w:color="auto"/>
            </w:tcBorders>
            <w:shd w:val="clear" w:color="000000" w:fill="FFFFFF"/>
            <w:vAlign w:val="center"/>
          </w:tcPr>
          <w:p w14:paraId="273BBE2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不发生安全事件</w:t>
            </w:r>
          </w:p>
        </w:tc>
        <w:tc>
          <w:tcPr>
            <w:tcW w:w="2105" w:type="pct"/>
            <w:tcBorders>
              <w:top w:val="nil"/>
              <w:left w:val="nil"/>
              <w:bottom w:val="single" w:sz="4" w:space="0" w:color="auto"/>
              <w:right w:val="single" w:sz="4" w:space="0" w:color="auto"/>
            </w:tcBorders>
            <w:shd w:val="clear" w:color="000000" w:fill="FFFFFF"/>
            <w:vAlign w:val="center"/>
          </w:tcPr>
          <w:p w14:paraId="70A09BB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①受到安全攻击轻微影响业务运行扣5分；受到安全攻击但业务未受影响扣1分，扣完为止。</w:t>
            </w:r>
            <w:r w:rsidRPr="001E17A1">
              <w:rPr>
                <w:rFonts w:ascii="宋体" w:hAnsi="宋体" w:cs="宋体" w:hint="eastAsia"/>
                <w:color w:val="000000" w:themeColor="text1"/>
                <w:kern w:val="0"/>
                <w:sz w:val="24"/>
                <w:szCs w:val="24"/>
              </w:rPr>
              <w:br/>
              <w:t>②发生一般数据泄露事件，扣5分。具体的安全事件类型以中心或者安全第三方的通报及认定报告为准</w:t>
            </w:r>
          </w:p>
        </w:tc>
      </w:tr>
      <w:tr w:rsidR="008137F8" w:rsidRPr="001E17A1" w14:paraId="6237E8B0" w14:textId="77777777">
        <w:trPr>
          <w:trHeight w:val="3096"/>
        </w:trPr>
        <w:tc>
          <w:tcPr>
            <w:tcW w:w="563" w:type="pct"/>
            <w:vMerge/>
            <w:tcBorders>
              <w:top w:val="nil"/>
              <w:left w:val="single" w:sz="4" w:space="0" w:color="auto"/>
              <w:bottom w:val="single" w:sz="4" w:space="0" w:color="auto"/>
              <w:right w:val="single" w:sz="4" w:space="0" w:color="auto"/>
            </w:tcBorders>
            <w:vAlign w:val="center"/>
          </w:tcPr>
          <w:p w14:paraId="688D7377"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40A1E6D3"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0D0C6704"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网络安全检查</w:t>
            </w:r>
          </w:p>
        </w:tc>
        <w:tc>
          <w:tcPr>
            <w:tcW w:w="1192" w:type="pct"/>
            <w:tcBorders>
              <w:top w:val="nil"/>
              <w:left w:val="nil"/>
              <w:bottom w:val="single" w:sz="4" w:space="0" w:color="auto"/>
              <w:right w:val="single" w:sz="4" w:space="0" w:color="auto"/>
            </w:tcBorders>
            <w:shd w:val="clear" w:color="000000" w:fill="FFFFFF"/>
            <w:vAlign w:val="center"/>
          </w:tcPr>
          <w:p w14:paraId="7518A1D8"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顺利通过各项网络安全检查</w:t>
            </w:r>
          </w:p>
        </w:tc>
        <w:tc>
          <w:tcPr>
            <w:tcW w:w="2105" w:type="pct"/>
            <w:tcBorders>
              <w:top w:val="nil"/>
              <w:left w:val="nil"/>
              <w:bottom w:val="single" w:sz="4" w:space="0" w:color="auto"/>
              <w:right w:val="single" w:sz="4" w:space="0" w:color="auto"/>
            </w:tcBorders>
            <w:shd w:val="clear" w:color="000000" w:fill="FFFFFF"/>
            <w:vAlign w:val="center"/>
          </w:tcPr>
          <w:p w14:paraId="0BDFAFDD"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①被上级单位、安全主管单位安全检查发现漏洞、风险、安全问题的，影响到大数据中心安全检查结果的，每发生1次扣5分；</w:t>
            </w:r>
            <w:r w:rsidRPr="001E17A1">
              <w:rPr>
                <w:rFonts w:ascii="宋体" w:hAnsi="宋体" w:cs="宋体" w:hint="eastAsia"/>
                <w:color w:val="000000" w:themeColor="text1"/>
                <w:kern w:val="0"/>
                <w:sz w:val="24"/>
                <w:szCs w:val="24"/>
              </w:rPr>
              <w:br/>
              <w:t>②倘若安全检查结果较差则扣总分的20-50分</w:t>
            </w:r>
            <w:r w:rsidRPr="001E17A1">
              <w:rPr>
                <w:rFonts w:ascii="宋体" w:hAnsi="宋体" w:cs="宋体" w:hint="eastAsia"/>
                <w:color w:val="000000" w:themeColor="text1"/>
                <w:kern w:val="0"/>
                <w:sz w:val="24"/>
                <w:szCs w:val="24"/>
              </w:rPr>
              <w:br/>
              <w:t>③出现被中心、第三方测评机构或审计的系统安全评估和检查中发现或通报的安全问题的，每发生1次扣2分</w:t>
            </w:r>
          </w:p>
        </w:tc>
      </w:tr>
      <w:tr w:rsidR="008137F8" w:rsidRPr="001E17A1" w14:paraId="7D62E199" w14:textId="77777777">
        <w:trPr>
          <w:trHeight w:val="3354"/>
        </w:trPr>
        <w:tc>
          <w:tcPr>
            <w:tcW w:w="563" w:type="pct"/>
            <w:vMerge/>
            <w:tcBorders>
              <w:top w:val="nil"/>
              <w:left w:val="single" w:sz="4" w:space="0" w:color="auto"/>
              <w:bottom w:val="single" w:sz="4" w:space="0" w:color="auto"/>
              <w:right w:val="single" w:sz="4" w:space="0" w:color="auto"/>
            </w:tcBorders>
            <w:vAlign w:val="center"/>
          </w:tcPr>
          <w:p w14:paraId="63B5F657"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531A70E2"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2A9EF054"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网络安全意识</w:t>
            </w:r>
          </w:p>
        </w:tc>
        <w:tc>
          <w:tcPr>
            <w:tcW w:w="1192" w:type="pct"/>
            <w:tcBorders>
              <w:top w:val="nil"/>
              <w:left w:val="nil"/>
              <w:bottom w:val="single" w:sz="4" w:space="0" w:color="auto"/>
              <w:right w:val="single" w:sz="4" w:space="0" w:color="auto"/>
            </w:tcBorders>
            <w:shd w:val="clear" w:color="000000" w:fill="FFFFFF"/>
            <w:vAlign w:val="center"/>
          </w:tcPr>
          <w:p w14:paraId="57CC907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做好网络安全培训，团队人员应明确知晓网络安全要求，具备网络安全意识。</w:t>
            </w:r>
          </w:p>
        </w:tc>
        <w:tc>
          <w:tcPr>
            <w:tcW w:w="2105" w:type="pct"/>
            <w:tcBorders>
              <w:top w:val="nil"/>
              <w:left w:val="nil"/>
              <w:bottom w:val="single" w:sz="4" w:space="0" w:color="auto"/>
              <w:right w:val="single" w:sz="4" w:space="0" w:color="auto"/>
            </w:tcBorders>
            <w:shd w:val="clear" w:color="000000" w:fill="FFFFFF"/>
            <w:vAlign w:val="center"/>
          </w:tcPr>
          <w:p w14:paraId="7B051745"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登录接口设置123456、root等这种极简单的弱口令、未设置锁屏、随意点开钓鱼邮件、未对重要系统进行安全漏洞扫描、编写没有对参数进行安全过滤的代码等等视为缺乏网络安全意识，每发现1例扣1分，扣完为止。</w:t>
            </w:r>
            <w:r w:rsidRPr="001E17A1">
              <w:rPr>
                <w:rFonts w:ascii="宋体" w:hAnsi="宋体" w:cs="宋体" w:hint="eastAsia"/>
                <w:color w:val="000000" w:themeColor="text1"/>
                <w:kern w:val="0"/>
                <w:sz w:val="24"/>
                <w:szCs w:val="24"/>
              </w:rPr>
              <w:br/>
              <w:t>②每月不定时进行访谈及安全问卷，如访谈过程中安全意识淡薄，考试不及格则扣2分，扣完为止</w:t>
            </w:r>
          </w:p>
        </w:tc>
      </w:tr>
      <w:tr w:rsidR="008137F8" w:rsidRPr="001E17A1" w14:paraId="0F07DB7A" w14:textId="77777777">
        <w:trPr>
          <w:trHeight w:val="1806"/>
        </w:trPr>
        <w:tc>
          <w:tcPr>
            <w:tcW w:w="563" w:type="pct"/>
            <w:vMerge/>
            <w:tcBorders>
              <w:top w:val="nil"/>
              <w:left w:val="single" w:sz="4" w:space="0" w:color="auto"/>
              <w:bottom w:val="single" w:sz="4" w:space="0" w:color="auto"/>
              <w:right w:val="single" w:sz="4" w:space="0" w:color="auto"/>
            </w:tcBorders>
            <w:vAlign w:val="center"/>
          </w:tcPr>
          <w:p w14:paraId="20E3DC47"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7B7B05FA"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3BBEFC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安全生产</w:t>
            </w:r>
          </w:p>
        </w:tc>
        <w:tc>
          <w:tcPr>
            <w:tcW w:w="1192" w:type="pct"/>
            <w:tcBorders>
              <w:top w:val="nil"/>
              <w:left w:val="nil"/>
              <w:bottom w:val="single" w:sz="4" w:space="0" w:color="auto"/>
              <w:right w:val="single" w:sz="4" w:space="0" w:color="auto"/>
            </w:tcBorders>
            <w:shd w:val="clear" w:color="000000" w:fill="FFFFFF"/>
            <w:vAlign w:val="center"/>
          </w:tcPr>
          <w:p w14:paraId="7496267F"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有效落实系统漏洞扫描、渗透测试、代码审计等信息系统安全自查工作，并对出现的安全风险事件及时制定整改方案并予以修复。</w:t>
            </w:r>
          </w:p>
        </w:tc>
        <w:tc>
          <w:tcPr>
            <w:tcW w:w="2105" w:type="pct"/>
            <w:tcBorders>
              <w:top w:val="nil"/>
              <w:left w:val="nil"/>
              <w:bottom w:val="single" w:sz="4" w:space="0" w:color="auto"/>
              <w:right w:val="single" w:sz="4" w:space="0" w:color="auto"/>
            </w:tcBorders>
            <w:shd w:val="clear" w:color="000000" w:fill="FFFFFF"/>
            <w:vAlign w:val="center"/>
          </w:tcPr>
          <w:p w14:paraId="6EEF546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未能及时有效修复的每出现一例扣0.5分；高风险漏洞修复时限为1周，其他修复时限为2周。</w:t>
            </w:r>
          </w:p>
        </w:tc>
      </w:tr>
      <w:tr w:rsidR="008137F8" w:rsidRPr="001E17A1" w14:paraId="5B9FCB3E" w14:textId="77777777">
        <w:trPr>
          <w:trHeight w:val="2322"/>
        </w:trPr>
        <w:tc>
          <w:tcPr>
            <w:tcW w:w="563" w:type="pct"/>
            <w:vMerge w:val="restart"/>
            <w:tcBorders>
              <w:top w:val="nil"/>
              <w:left w:val="single" w:sz="4" w:space="0" w:color="auto"/>
              <w:bottom w:val="single" w:sz="4" w:space="0" w:color="auto"/>
              <w:right w:val="single" w:sz="4" w:space="0" w:color="auto"/>
            </w:tcBorders>
            <w:shd w:val="clear" w:color="000000" w:fill="FFFFFF"/>
            <w:vAlign w:val="center"/>
          </w:tcPr>
          <w:p w14:paraId="56629833"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制度管理</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tcPr>
          <w:p w14:paraId="6E036A75"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6</w:t>
            </w:r>
          </w:p>
        </w:tc>
        <w:tc>
          <w:tcPr>
            <w:tcW w:w="668" w:type="pct"/>
            <w:tcBorders>
              <w:top w:val="nil"/>
              <w:left w:val="nil"/>
              <w:bottom w:val="single" w:sz="4" w:space="0" w:color="auto"/>
              <w:right w:val="single" w:sz="4" w:space="0" w:color="auto"/>
            </w:tcBorders>
            <w:shd w:val="clear" w:color="000000" w:fill="FFFFFF"/>
            <w:vAlign w:val="center"/>
          </w:tcPr>
          <w:p w14:paraId="32FA3871"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运营制度健全性</w:t>
            </w:r>
          </w:p>
        </w:tc>
        <w:tc>
          <w:tcPr>
            <w:tcW w:w="1192" w:type="pct"/>
            <w:tcBorders>
              <w:top w:val="nil"/>
              <w:left w:val="nil"/>
              <w:bottom w:val="single" w:sz="4" w:space="0" w:color="auto"/>
              <w:right w:val="single" w:sz="4" w:space="0" w:color="auto"/>
            </w:tcBorders>
            <w:shd w:val="clear" w:color="000000" w:fill="FFFFFF"/>
            <w:vAlign w:val="center"/>
          </w:tcPr>
          <w:p w14:paraId="6A6CBD92"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应按照招标要求、投标承诺、合同（以及附件）和中心相关制度要求建立运营管理制度：在运营工作上按照实际情况不断更新完善；服务规范应与服务目录保持同步更新。</w:t>
            </w:r>
          </w:p>
        </w:tc>
        <w:tc>
          <w:tcPr>
            <w:tcW w:w="2105" w:type="pct"/>
            <w:tcBorders>
              <w:top w:val="nil"/>
              <w:left w:val="nil"/>
              <w:bottom w:val="single" w:sz="4" w:space="0" w:color="auto"/>
              <w:right w:val="single" w:sz="4" w:space="0" w:color="auto"/>
            </w:tcBorders>
            <w:shd w:val="clear" w:color="000000" w:fill="FFFFFF"/>
            <w:vAlign w:val="center"/>
          </w:tcPr>
          <w:p w14:paraId="257320A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①每缺失一项相关制度扣2分，扣完为止；</w:t>
            </w:r>
            <w:r w:rsidRPr="001E17A1">
              <w:rPr>
                <w:rFonts w:ascii="宋体" w:hAnsi="宋体" w:cs="宋体" w:hint="eastAsia"/>
                <w:color w:val="000000" w:themeColor="text1"/>
                <w:kern w:val="0"/>
                <w:sz w:val="24"/>
                <w:szCs w:val="24"/>
              </w:rPr>
              <w:br/>
              <w:t>②每发现1项制度更新不及时扣1分，扣完为止；</w:t>
            </w:r>
            <w:r w:rsidRPr="001E17A1">
              <w:rPr>
                <w:rFonts w:ascii="宋体" w:hAnsi="宋体" w:cs="宋体" w:hint="eastAsia"/>
                <w:color w:val="000000" w:themeColor="text1"/>
                <w:kern w:val="0"/>
                <w:sz w:val="24"/>
                <w:szCs w:val="24"/>
              </w:rPr>
              <w:br/>
              <w:t>③每发现1项因制度不完善造成执行困难的扣1分，扣完为止。</w:t>
            </w:r>
          </w:p>
        </w:tc>
      </w:tr>
      <w:tr w:rsidR="008137F8" w:rsidRPr="001E17A1" w14:paraId="3194EFBB" w14:textId="77777777">
        <w:trPr>
          <w:trHeight w:val="1032"/>
        </w:trPr>
        <w:tc>
          <w:tcPr>
            <w:tcW w:w="563" w:type="pct"/>
            <w:vMerge/>
            <w:tcBorders>
              <w:top w:val="nil"/>
              <w:left w:val="single" w:sz="4" w:space="0" w:color="auto"/>
              <w:bottom w:val="single" w:sz="4" w:space="0" w:color="auto"/>
              <w:right w:val="single" w:sz="4" w:space="0" w:color="auto"/>
            </w:tcBorders>
            <w:vAlign w:val="center"/>
          </w:tcPr>
          <w:p w14:paraId="73BC0F27"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6773571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502FC89A"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运营制度执行有效性</w:t>
            </w:r>
          </w:p>
        </w:tc>
        <w:tc>
          <w:tcPr>
            <w:tcW w:w="1192" w:type="pct"/>
            <w:tcBorders>
              <w:top w:val="nil"/>
              <w:left w:val="nil"/>
              <w:bottom w:val="single" w:sz="4" w:space="0" w:color="auto"/>
              <w:right w:val="single" w:sz="4" w:space="0" w:color="auto"/>
            </w:tcBorders>
            <w:shd w:val="clear" w:color="000000" w:fill="FFFFFF"/>
            <w:vAlign w:val="center"/>
          </w:tcPr>
          <w:p w14:paraId="4C02377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严格执行运营制度，不发生违反制度的事件。</w:t>
            </w:r>
          </w:p>
        </w:tc>
        <w:tc>
          <w:tcPr>
            <w:tcW w:w="2105" w:type="pct"/>
            <w:tcBorders>
              <w:top w:val="nil"/>
              <w:left w:val="nil"/>
              <w:bottom w:val="single" w:sz="4" w:space="0" w:color="auto"/>
              <w:right w:val="single" w:sz="4" w:space="0" w:color="auto"/>
            </w:tcBorders>
            <w:shd w:val="clear" w:color="000000" w:fill="FFFFFF"/>
            <w:vAlign w:val="center"/>
          </w:tcPr>
          <w:p w14:paraId="1E0E1E1C"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每发生一起违反运营制度的事件扣2分，扣完为止（除按照本考核体系已完成扣分的以外）。</w:t>
            </w:r>
          </w:p>
        </w:tc>
      </w:tr>
      <w:tr w:rsidR="008137F8" w:rsidRPr="001E17A1" w14:paraId="675CCFE0" w14:textId="77777777">
        <w:trPr>
          <w:trHeight w:val="2322"/>
        </w:trPr>
        <w:tc>
          <w:tcPr>
            <w:tcW w:w="563" w:type="pct"/>
            <w:vMerge w:val="restart"/>
            <w:tcBorders>
              <w:top w:val="nil"/>
              <w:left w:val="single" w:sz="4" w:space="0" w:color="auto"/>
              <w:bottom w:val="single" w:sz="4" w:space="0" w:color="auto"/>
              <w:right w:val="single" w:sz="4" w:space="0" w:color="auto"/>
            </w:tcBorders>
            <w:shd w:val="clear" w:color="000000" w:fill="FFFFFF"/>
            <w:vAlign w:val="center"/>
          </w:tcPr>
          <w:p w14:paraId="5D0E594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人员管理</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tcPr>
          <w:p w14:paraId="31A2056D"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13</w:t>
            </w:r>
          </w:p>
        </w:tc>
        <w:tc>
          <w:tcPr>
            <w:tcW w:w="668" w:type="pct"/>
            <w:tcBorders>
              <w:top w:val="nil"/>
              <w:left w:val="nil"/>
              <w:bottom w:val="single" w:sz="4" w:space="0" w:color="auto"/>
              <w:right w:val="single" w:sz="4" w:space="0" w:color="auto"/>
            </w:tcBorders>
            <w:shd w:val="clear" w:color="000000" w:fill="FFFFFF"/>
            <w:vAlign w:val="center"/>
          </w:tcPr>
          <w:p w14:paraId="2792A46C"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人员进退场管理</w:t>
            </w:r>
          </w:p>
        </w:tc>
        <w:tc>
          <w:tcPr>
            <w:tcW w:w="1192" w:type="pct"/>
            <w:tcBorders>
              <w:top w:val="nil"/>
              <w:left w:val="nil"/>
              <w:bottom w:val="single" w:sz="4" w:space="0" w:color="auto"/>
              <w:right w:val="single" w:sz="4" w:space="0" w:color="auto"/>
            </w:tcBorders>
            <w:shd w:val="clear" w:color="000000" w:fill="FFFFFF"/>
            <w:vAlign w:val="center"/>
          </w:tcPr>
          <w:p w14:paraId="0E24229F"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现场管理团队按照中心要求进行管理，严格执行中心管理制度</w:t>
            </w:r>
          </w:p>
        </w:tc>
        <w:tc>
          <w:tcPr>
            <w:tcW w:w="2105" w:type="pct"/>
            <w:tcBorders>
              <w:top w:val="nil"/>
              <w:left w:val="nil"/>
              <w:bottom w:val="single" w:sz="4" w:space="0" w:color="auto"/>
              <w:right w:val="single" w:sz="4" w:space="0" w:color="auto"/>
            </w:tcBorders>
            <w:shd w:val="clear" w:color="000000" w:fill="FFFFFF"/>
            <w:vAlign w:val="center"/>
          </w:tcPr>
          <w:p w14:paraId="280393A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①人员进场、变更、退场等相关流程未按规定执行的，每发现1次扣2分，扣完为止；</w:t>
            </w:r>
            <w:r w:rsidRPr="001E17A1">
              <w:rPr>
                <w:rFonts w:ascii="宋体" w:hAnsi="宋体" w:cs="宋体" w:hint="eastAsia"/>
                <w:color w:val="000000" w:themeColor="text1"/>
                <w:kern w:val="0"/>
                <w:sz w:val="24"/>
                <w:szCs w:val="24"/>
              </w:rPr>
              <w:br/>
              <w:t>②服务集成商应及时在系统上进行投入人员信息更新，如发现与现场投入人员不符的情况，每发现1次扣1分，扣完为止。</w:t>
            </w:r>
          </w:p>
        </w:tc>
      </w:tr>
      <w:tr w:rsidR="008137F8" w:rsidRPr="001E17A1" w14:paraId="4B4360C4" w14:textId="77777777">
        <w:trPr>
          <w:trHeight w:val="2838"/>
        </w:trPr>
        <w:tc>
          <w:tcPr>
            <w:tcW w:w="563" w:type="pct"/>
            <w:vMerge/>
            <w:tcBorders>
              <w:top w:val="nil"/>
              <w:left w:val="single" w:sz="4" w:space="0" w:color="auto"/>
              <w:bottom w:val="single" w:sz="4" w:space="0" w:color="auto"/>
              <w:right w:val="single" w:sz="4" w:space="0" w:color="auto"/>
            </w:tcBorders>
            <w:vAlign w:val="center"/>
          </w:tcPr>
          <w:p w14:paraId="4F98D454"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6F7A1233"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30468CF5"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人员现场管理与考勤</w:t>
            </w:r>
          </w:p>
        </w:tc>
        <w:tc>
          <w:tcPr>
            <w:tcW w:w="1192" w:type="pct"/>
            <w:tcBorders>
              <w:top w:val="nil"/>
              <w:left w:val="nil"/>
              <w:bottom w:val="single" w:sz="4" w:space="0" w:color="auto"/>
              <w:right w:val="single" w:sz="4" w:space="0" w:color="auto"/>
            </w:tcBorders>
            <w:shd w:val="clear" w:color="000000" w:fill="FFFFFF"/>
            <w:vAlign w:val="center"/>
          </w:tcPr>
          <w:p w14:paraId="23EC7E0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整体人员投入及出勤情况应符合投入计划和中心要求</w:t>
            </w:r>
          </w:p>
        </w:tc>
        <w:tc>
          <w:tcPr>
            <w:tcW w:w="2105" w:type="pct"/>
            <w:tcBorders>
              <w:top w:val="nil"/>
              <w:left w:val="nil"/>
              <w:bottom w:val="single" w:sz="4" w:space="0" w:color="auto"/>
              <w:right w:val="single" w:sz="4" w:space="0" w:color="auto"/>
            </w:tcBorders>
            <w:shd w:val="clear" w:color="000000" w:fill="FFFFFF"/>
            <w:vAlign w:val="center"/>
          </w:tcPr>
          <w:p w14:paraId="4F0186CD"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①未严格执行考勤管理制度，每发现1次扣1分；</w:t>
            </w:r>
            <w:r w:rsidRPr="001E17A1">
              <w:rPr>
                <w:rFonts w:ascii="宋体" w:hAnsi="宋体" w:cs="宋体" w:hint="eastAsia"/>
                <w:color w:val="000000" w:themeColor="text1"/>
                <w:kern w:val="0"/>
                <w:sz w:val="24"/>
                <w:szCs w:val="24"/>
              </w:rPr>
              <w:br/>
              <w:t>②未经批准，团队重要成员擅自脱岗或未达到考勤率要求的，每发现1人次扣2分；</w:t>
            </w:r>
            <w:r w:rsidRPr="001E17A1">
              <w:rPr>
                <w:rFonts w:ascii="宋体" w:hAnsi="宋体" w:cs="宋体" w:hint="eastAsia"/>
                <w:color w:val="000000" w:themeColor="text1"/>
                <w:kern w:val="0"/>
                <w:sz w:val="24"/>
                <w:szCs w:val="24"/>
              </w:rPr>
              <w:br/>
              <w:t>③未按照要求及时更替技术能力与岗位不相符的人员，每出现1次扣2分；</w:t>
            </w:r>
            <w:r w:rsidRPr="001E17A1">
              <w:rPr>
                <w:rFonts w:ascii="宋体" w:hAnsi="宋体" w:cs="宋体" w:hint="eastAsia"/>
                <w:color w:val="000000" w:themeColor="text1"/>
                <w:kern w:val="0"/>
                <w:sz w:val="24"/>
                <w:szCs w:val="24"/>
              </w:rPr>
              <w:br/>
              <w:t>④团队成员流失率或更替率每超10%扣2分（中心要求的更替将另行评估）；</w:t>
            </w:r>
          </w:p>
          <w:p w14:paraId="16047A3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⑤无明确的管理团队、核心岗位、组织架构、对应人员等信息的，每发现一次扣2分。</w:t>
            </w:r>
          </w:p>
        </w:tc>
      </w:tr>
      <w:tr w:rsidR="008137F8" w:rsidRPr="001E17A1" w14:paraId="5B1222A3" w14:textId="77777777">
        <w:trPr>
          <w:trHeight w:val="3096"/>
        </w:trPr>
        <w:tc>
          <w:tcPr>
            <w:tcW w:w="563" w:type="pct"/>
            <w:vMerge/>
            <w:tcBorders>
              <w:top w:val="nil"/>
              <w:left w:val="single" w:sz="4" w:space="0" w:color="auto"/>
              <w:bottom w:val="single" w:sz="4" w:space="0" w:color="auto"/>
              <w:right w:val="single" w:sz="4" w:space="0" w:color="auto"/>
            </w:tcBorders>
            <w:vAlign w:val="center"/>
          </w:tcPr>
          <w:p w14:paraId="594B372F"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0185515A"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25FBECD3"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办公秩序与人员行为管理</w:t>
            </w:r>
          </w:p>
        </w:tc>
        <w:tc>
          <w:tcPr>
            <w:tcW w:w="1192" w:type="pct"/>
            <w:tcBorders>
              <w:top w:val="nil"/>
              <w:left w:val="nil"/>
              <w:bottom w:val="single" w:sz="4" w:space="0" w:color="auto"/>
              <w:right w:val="single" w:sz="4" w:space="0" w:color="auto"/>
            </w:tcBorders>
            <w:shd w:val="clear" w:color="000000" w:fill="FFFFFF"/>
            <w:vAlign w:val="center"/>
          </w:tcPr>
          <w:p w14:paraId="643EDE63"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入驻人员严格遵守外包人员及供应商人员管理要求</w:t>
            </w:r>
          </w:p>
        </w:tc>
        <w:tc>
          <w:tcPr>
            <w:tcW w:w="2105" w:type="pct"/>
            <w:tcBorders>
              <w:top w:val="nil"/>
              <w:left w:val="nil"/>
              <w:bottom w:val="single" w:sz="4" w:space="0" w:color="auto"/>
              <w:right w:val="single" w:sz="4" w:space="0" w:color="auto"/>
            </w:tcBorders>
            <w:shd w:val="clear" w:color="000000" w:fill="FFFFFF"/>
            <w:vAlign w:val="center"/>
          </w:tcPr>
          <w:p w14:paraId="7CB58C41"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①未佩戴胸卡者，每发现1次扣1分；</w:t>
            </w:r>
            <w:r w:rsidRPr="001E17A1">
              <w:rPr>
                <w:rFonts w:ascii="宋体" w:hAnsi="宋体" w:cs="宋体" w:hint="eastAsia"/>
                <w:color w:val="000000" w:themeColor="text1"/>
                <w:kern w:val="0"/>
                <w:sz w:val="24"/>
                <w:szCs w:val="24"/>
              </w:rPr>
              <w:br/>
              <w:t>②未经批准，违规使用移动终端、移动介质或进行摄像拍照的，每发现1次扣1分；</w:t>
            </w:r>
            <w:r w:rsidRPr="001E17A1">
              <w:rPr>
                <w:rFonts w:ascii="宋体" w:hAnsi="宋体" w:cs="宋体" w:hint="eastAsia"/>
                <w:color w:val="000000" w:themeColor="text1"/>
                <w:kern w:val="0"/>
                <w:sz w:val="24"/>
                <w:szCs w:val="24"/>
              </w:rPr>
              <w:br/>
              <w:t>③未经中心认可，擅自对场地设施进行变动（包括但不限于增加工位牌、增加摄像设施等），每发现1次扣1分；</w:t>
            </w:r>
            <w:r w:rsidRPr="001E17A1">
              <w:rPr>
                <w:rFonts w:ascii="宋体" w:hAnsi="宋体" w:cs="宋体" w:hint="eastAsia"/>
                <w:color w:val="000000" w:themeColor="text1"/>
                <w:kern w:val="0"/>
                <w:sz w:val="24"/>
                <w:szCs w:val="24"/>
              </w:rPr>
              <w:br/>
              <w:t>④违反其他管理规定视情节严重程度每次扣1-3分。</w:t>
            </w:r>
          </w:p>
        </w:tc>
      </w:tr>
      <w:tr w:rsidR="008137F8" w:rsidRPr="001E17A1" w14:paraId="1297E30C" w14:textId="77777777">
        <w:trPr>
          <w:trHeight w:val="1806"/>
        </w:trPr>
        <w:tc>
          <w:tcPr>
            <w:tcW w:w="563" w:type="pct"/>
            <w:vMerge/>
            <w:tcBorders>
              <w:top w:val="nil"/>
              <w:left w:val="single" w:sz="4" w:space="0" w:color="auto"/>
              <w:bottom w:val="single" w:sz="4" w:space="0" w:color="auto"/>
              <w:right w:val="single" w:sz="4" w:space="0" w:color="auto"/>
            </w:tcBorders>
            <w:vAlign w:val="center"/>
          </w:tcPr>
          <w:p w14:paraId="4BE16C91"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773E2CF3"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7004D6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人员工作积极性和严肃性</w:t>
            </w:r>
          </w:p>
        </w:tc>
        <w:tc>
          <w:tcPr>
            <w:tcW w:w="1192" w:type="pct"/>
            <w:tcBorders>
              <w:top w:val="nil"/>
              <w:left w:val="nil"/>
              <w:bottom w:val="single" w:sz="4" w:space="0" w:color="auto"/>
              <w:right w:val="single" w:sz="4" w:space="0" w:color="auto"/>
            </w:tcBorders>
            <w:shd w:val="clear" w:color="000000" w:fill="FFFFFF"/>
            <w:vAlign w:val="center"/>
          </w:tcPr>
          <w:p w14:paraId="3D09F41B"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服务沟通及时顺畅，满足要求；工作具有严肃性，按照已达成一致流程和工作机制、已发布的规章制度开展工作</w:t>
            </w:r>
          </w:p>
        </w:tc>
        <w:tc>
          <w:tcPr>
            <w:tcW w:w="2105" w:type="pct"/>
            <w:tcBorders>
              <w:top w:val="nil"/>
              <w:left w:val="nil"/>
              <w:bottom w:val="single" w:sz="4" w:space="0" w:color="auto"/>
              <w:right w:val="single" w:sz="4" w:space="0" w:color="auto"/>
            </w:tcBorders>
            <w:shd w:val="clear" w:color="000000" w:fill="FFFFFF"/>
            <w:vAlign w:val="center"/>
          </w:tcPr>
          <w:p w14:paraId="66B2C927"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①关键责任人在未经中心许可的情况下重要项目会议缺席，每发现1次扣3分；</w:t>
            </w:r>
            <w:r w:rsidRPr="001E17A1">
              <w:rPr>
                <w:rFonts w:ascii="宋体" w:hAnsi="宋体" w:cs="宋体" w:hint="eastAsia"/>
                <w:color w:val="000000" w:themeColor="text1"/>
                <w:kern w:val="0"/>
                <w:sz w:val="24"/>
                <w:szCs w:val="24"/>
              </w:rPr>
              <w:br/>
              <w:t>②团队人员沟通态度或工作积极性问题，发生欺上瞒下，故意隐瞒，每被投诉1次扣5分。</w:t>
            </w:r>
          </w:p>
        </w:tc>
      </w:tr>
      <w:tr w:rsidR="008137F8" w:rsidRPr="001E17A1" w14:paraId="67B53AEE" w14:textId="77777777">
        <w:trPr>
          <w:trHeight w:val="1806"/>
        </w:trPr>
        <w:tc>
          <w:tcPr>
            <w:tcW w:w="563" w:type="pct"/>
            <w:vMerge w:val="restart"/>
            <w:tcBorders>
              <w:top w:val="nil"/>
              <w:left w:val="single" w:sz="4" w:space="0" w:color="auto"/>
              <w:bottom w:val="single" w:sz="4" w:space="0" w:color="auto"/>
              <w:right w:val="single" w:sz="4" w:space="0" w:color="auto"/>
            </w:tcBorders>
            <w:shd w:val="clear" w:color="000000" w:fill="FFFFFF"/>
            <w:vAlign w:val="center"/>
          </w:tcPr>
          <w:p w14:paraId="553771C8"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运营生态管理</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tcPr>
          <w:p w14:paraId="37E0EFE3"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6</w:t>
            </w:r>
          </w:p>
        </w:tc>
        <w:tc>
          <w:tcPr>
            <w:tcW w:w="668" w:type="pct"/>
            <w:tcBorders>
              <w:top w:val="nil"/>
              <w:left w:val="nil"/>
              <w:bottom w:val="single" w:sz="4" w:space="0" w:color="auto"/>
              <w:right w:val="single" w:sz="4" w:space="0" w:color="auto"/>
            </w:tcBorders>
            <w:shd w:val="clear" w:color="000000" w:fill="FFFFFF"/>
            <w:vAlign w:val="center"/>
          </w:tcPr>
          <w:p w14:paraId="594A90A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运营管理与良性发展</w:t>
            </w:r>
          </w:p>
        </w:tc>
        <w:tc>
          <w:tcPr>
            <w:tcW w:w="1192" w:type="pct"/>
            <w:tcBorders>
              <w:top w:val="nil"/>
              <w:left w:val="nil"/>
              <w:bottom w:val="single" w:sz="4" w:space="0" w:color="auto"/>
              <w:right w:val="single" w:sz="4" w:space="0" w:color="auto"/>
            </w:tcBorders>
            <w:shd w:val="clear" w:color="000000" w:fill="FFFFFF"/>
            <w:vAlign w:val="center"/>
          </w:tcPr>
          <w:p w14:paraId="5149D70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建立项目运营规范性管理体系，制定相应制度规范，保障在项目内供应商行为的规范性，构建数据运营良性发展生态体系。</w:t>
            </w:r>
          </w:p>
        </w:tc>
        <w:tc>
          <w:tcPr>
            <w:tcW w:w="2105" w:type="pct"/>
            <w:tcBorders>
              <w:top w:val="nil"/>
              <w:left w:val="nil"/>
              <w:bottom w:val="single" w:sz="4" w:space="0" w:color="auto"/>
              <w:right w:val="single" w:sz="4" w:space="0" w:color="auto"/>
            </w:tcBorders>
            <w:shd w:val="clear" w:color="000000" w:fill="FFFFFF"/>
            <w:vAlign w:val="center"/>
          </w:tcPr>
          <w:p w14:paraId="4BAB1B2B" w14:textId="77777777" w:rsidR="008137F8" w:rsidRPr="001E17A1" w:rsidRDefault="00000000">
            <w:pPr>
              <w:pStyle w:val="afe"/>
              <w:widowControl/>
              <w:numPr>
                <w:ilvl w:val="0"/>
                <w:numId w:val="12"/>
              </w:numPr>
              <w:snapToGrid w:val="0"/>
              <w:spacing w:line="360" w:lineRule="auto"/>
              <w:ind w:firstLineChars="0"/>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缺失重要管理制度，考核期内每发现1次扣2分；</w:t>
            </w:r>
            <w:r w:rsidRPr="001E17A1">
              <w:rPr>
                <w:rFonts w:ascii="宋体" w:hAnsi="宋体" w:cs="宋体" w:hint="eastAsia"/>
                <w:color w:val="000000" w:themeColor="text1"/>
                <w:kern w:val="0"/>
                <w:sz w:val="24"/>
                <w:szCs w:val="24"/>
              </w:rPr>
              <w:br/>
              <w:t>②发生供应商对服务集成商的有责投诉，每发生1次扣2分。</w:t>
            </w:r>
          </w:p>
        </w:tc>
      </w:tr>
      <w:tr w:rsidR="008137F8" w:rsidRPr="001E17A1" w14:paraId="25DDE39D" w14:textId="77777777">
        <w:trPr>
          <w:trHeight w:val="1290"/>
        </w:trPr>
        <w:tc>
          <w:tcPr>
            <w:tcW w:w="563" w:type="pct"/>
            <w:vMerge/>
            <w:tcBorders>
              <w:top w:val="nil"/>
              <w:left w:val="single" w:sz="4" w:space="0" w:color="auto"/>
              <w:bottom w:val="single" w:sz="4" w:space="0" w:color="auto"/>
              <w:right w:val="single" w:sz="4" w:space="0" w:color="auto"/>
            </w:tcBorders>
            <w:vAlign w:val="center"/>
          </w:tcPr>
          <w:p w14:paraId="77A1612B"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4A338238"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3F8D83A1"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结算及备案管理</w:t>
            </w:r>
          </w:p>
        </w:tc>
        <w:tc>
          <w:tcPr>
            <w:tcW w:w="1192" w:type="pct"/>
            <w:tcBorders>
              <w:top w:val="nil"/>
              <w:left w:val="nil"/>
              <w:bottom w:val="single" w:sz="4" w:space="0" w:color="auto"/>
              <w:right w:val="single" w:sz="4" w:space="0" w:color="auto"/>
            </w:tcBorders>
            <w:shd w:val="clear" w:color="000000" w:fill="FFFFFF"/>
            <w:vAlign w:val="center"/>
          </w:tcPr>
          <w:p w14:paraId="05B38F44"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服务集成商按相关规范制度要求及时与供应商是</w:t>
            </w:r>
            <w:r w:rsidRPr="001E17A1">
              <w:rPr>
                <w:rFonts w:ascii="宋体" w:hAnsi="宋体" w:cs="宋体" w:hint="eastAsia"/>
                <w:color w:val="000000" w:themeColor="text1"/>
                <w:kern w:val="0"/>
                <w:sz w:val="24"/>
                <w:szCs w:val="24"/>
              </w:rPr>
              <w:lastRenderedPageBreak/>
              <w:t>结算，服务集成商将供应商的相关材料按要求在中心备案。</w:t>
            </w:r>
          </w:p>
        </w:tc>
        <w:tc>
          <w:tcPr>
            <w:tcW w:w="2105" w:type="pct"/>
            <w:tcBorders>
              <w:top w:val="nil"/>
              <w:left w:val="nil"/>
              <w:bottom w:val="single" w:sz="4" w:space="0" w:color="auto"/>
              <w:right w:val="single" w:sz="4" w:space="0" w:color="auto"/>
            </w:tcBorders>
            <w:shd w:val="clear" w:color="000000" w:fill="FFFFFF"/>
            <w:vAlign w:val="center"/>
          </w:tcPr>
          <w:p w14:paraId="63D805AC" w14:textId="77777777" w:rsidR="008137F8" w:rsidRPr="001E17A1" w:rsidRDefault="00000000">
            <w:pPr>
              <w:pStyle w:val="afe"/>
              <w:widowControl/>
              <w:numPr>
                <w:ilvl w:val="0"/>
                <w:numId w:val="13"/>
              </w:numPr>
              <w:snapToGrid w:val="0"/>
              <w:spacing w:line="360" w:lineRule="auto"/>
              <w:ind w:firstLineChars="0"/>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lastRenderedPageBreak/>
              <w:t>在结算过程中，因投标方原因造成延误结算的，每发现1次扣1分，扣完为止；</w:t>
            </w:r>
          </w:p>
          <w:p w14:paraId="6CD6C18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lastRenderedPageBreak/>
              <w:t>②违背相关规范制度要求实施结算的，每发现1次扣3分，扣完为止。</w:t>
            </w:r>
          </w:p>
          <w:p w14:paraId="488A40DA"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③每发现一起材料未备案的扣1分，扣完为止。</w:t>
            </w:r>
          </w:p>
        </w:tc>
      </w:tr>
      <w:tr w:rsidR="008137F8" w:rsidRPr="001E17A1" w14:paraId="4FC9FBAD" w14:textId="77777777">
        <w:trPr>
          <w:trHeight w:val="2322"/>
        </w:trPr>
        <w:tc>
          <w:tcPr>
            <w:tcW w:w="563" w:type="pct"/>
            <w:vMerge w:val="restart"/>
            <w:tcBorders>
              <w:top w:val="nil"/>
              <w:left w:val="single" w:sz="4" w:space="0" w:color="auto"/>
              <w:bottom w:val="single" w:sz="4" w:space="0" w:color="auto"/>
              <w:right w:val="single" w:sz="4" w:space="0" w:color="auto"/>
            </w:tcBorders>
            <w:shd w:val="clear" w:color="000000" w:fill="FFFFFF"/>
            <w:vAlign w:val="center"/>
          </w:tcPr>
          <w:p w14:paraId="79B61C9B"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lastRenderedPageBreak/>
              <w:t>文档管理</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tcPr>
          <w:p w14:paraId="3D69A4B8"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8</w:t>
            </w:r>
          </w:p>
        </w:tc>
        <w:tc>
          <w:tcPr>
            <w:tcW w:w="668" w:type="pct"/>
            <w:tcBorders>
              <w:top w:val="nil"/>
              <w:left w:val="nil"/>
              <w:bottom w:val="single" w:sz="4" w:space="0" w:color="auto"/>
              <w:right w:val="single" w:sz="4" w:space="0" w:color="auto"/>
            </w:tcBorders>
            <w:shd w:val="clear" w:color="000000" w:fill="FFFFFF"/>
            <w:vAlign w:val="center"/>
          </w:tcPr>
          <w:p w14:paraId="506F3DCC"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文档提交完整率</w:t>
            </w:r>
          </w:p>
        </w:tc>
        <w:tc>
          <w:tcPr>
            <w:tcW w:w="1192" w:type="pct"/>
            <w:tcBorders>
              <w:top w:val="nil"/>
              <w:left w:val="nil"/>
              <w:bottom w:val="single" w:sz="4" w:space="0" w:color="auto"/>
              <w:right w:val="single" w:sz="4" w:space="0" w:color="auto"/>
            </w:tcBorders>
            <w:shd w:val="clear" w:color="000000" w:fill="FFFFFF"/>
            <w:vAlign w:val="center"/>
          </w:tcPr>
          <w:p w14:paraId="092EE5DA"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安排团队积极配合并完成相关服务需求调研，形成服务要素单、业务方案和技术方案（按需）等文档，完整提交服务周报、月报以及其他必要材料；完整提供服务单验收材料。</w:t>
            </w:r>
          </w:p>
        </w:tc>
        <w:tc>
          <w:tcPr>
            <w:tcW w:w="2105" w:type="pct"/>
            <w:tcBorders>
              <w:top w:val="nil"/>
              <w:left w:val="nil"/>
              <w:bottom w:val="single" w:sz="4" w:space="0" w:color="auto"/>
              <w:right w:val="single" w:sz="4" w:space="0" w:color="auto"/>
            </w:tcBorders>
            <w:shd w:val="clear" w:color="000000" w:fill="FFFFFF"/>
            <w:vAlign w:val="center"/>
          </w:tcPr>
          <w:p w14:paraId="1D8D7B6F"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提交的文档内容不完整、不规范的，每次扣1分；</w:t>
            </w:r>
          </w:p>
        </w:tc>
      </w:tr>
      <w:tr w:rsidR="008137F8" w:rsidRPr="001E17A1" w14:paraId="39892C84" w14:textId="77777777">
        <w:trPr>
          <w:trHeight w:val="2064"/>
        </w:trPr>
        <w:tc>
          <w:tcPr>
            <w:tcW w:w="563" w:type="pct"/>
            <w:vMerge/>
            <w:tcBorders>
              <w:top w:val="nil"/>
              <w:left w:val="single" w:sz="4" w:space="0" w:color="auto"/>
              <w:bottom w:val="single" w:sz="4" w:space="0" w:color="auto"/>
              <w:right w:val="single" w:sz="4" w:space="0" w:color="auto"/>
            </w:tcBorders>
            <w:vAlign w:val="center"/>
          </w:tcPr>
          <w:p w14:paraId="257AC40A"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000000"/>
              <w:right w:val="single" w:sz="4" w:space="0" w:color="auto"/>
            </w:tcBorders>
            <w:vAlign w:val="center"/>
          </w:tcPr>
          <w:p w14:paraId="106FEE2D"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8BD63DE"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文档提交及时率</w:t>
            </w:r>
          </w:p>
        </w:tc>
        <w:tc>
          <w:tcPr>
            <w:tcW w:w="1192" w:type="pct"/>
            <w:tcBorders>
              <w:top w:val="nil"/>
              <w:left w:val="nil"/>
              <w:bottom w:val="single" w:sz="4" w:space="0" w:color="auto"/>
              <w:right w:val="single" w:sz="4" w:space="0" w:color="auto"/>
            </w:tcBorders>
            <w:shd w:val="clear" w:color="000000" w:fill="FFFFFF"/>
            <w:vAlign w:val="center"/>
          </w:tcPr>
          <w:p w14:paraId="5F4681F6"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安排团队积极配合并完成相关服务需求调研，形成服务要素单、业务方案和技术方案（按需）等文档，且及时提交服务周报、月报以及其他必要材料。</w:t>
            </w:r>
          </w:p>
        </w:tc>
        <w:tc>
          <w:tcPr>
            <w:tcW w:w="2105" w:type="pct"/>
            <w:tcBorders>
              <w:top w:val="nil"/>
              <w:left w:val="nil"/>
              <w:bottom w:val="single" w:sz="4" w:space="0" w:color="auto"/>
              <w:right w:val="single" w:sz="4" w:space="0" w:color="auto"/>
            </w:tcBorders>
            <w:shd w:val="clear" w:color="000000" w:fill="FFFFFF"/>
            <w:vAlign w:val="center"/>
          </w:tcPr>
          <w:p w14:paraId="3E3C2003"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未按时提交文档的，每发生1次扣1分，超过一周的，每延期一周追加扣2分；</w:t>
            </w:r>
          </w:p>
        </w:tc>
      </w:tr>
      <w:tr w:rsidR="008137F8" w:rsidRPr="001E17A1" w14:paraId="46324602" w14:textId="77777777">
        <w:trPr>
          <w:trHeight w:val="2064"/>
        </w:trPr>
        <w:tc>
          <w:tcPr>
            <w:tcW w:w="563" w:type="pct"/>
            <w:tcBorders>
              <w:top w:val="nil"/>
              <w:left w:val="single" w:sz="4" w:space="0" w:color="auto"/>
              <w:bottom w:val="single" w:sz="4" w:space="0" w:color="auto"/>
              <w:right w:val="single" w:sz="4" w:space="0" w:color="auto"/>
            </w:tcBorders>
            <w:shd w:val="clear" w:color="000000" w:fill="FFFFFF"/>
            <w:vAlign w:val="center"/>
          </w:tcPr>
          <w:p w14:paraId="34BC5F32"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投诉管理</w:t>
            </w:r>
          </w:p>
        </w:tc>
        <w:tc>
          <w:tcPr>
            <w:tcW w:w="472" w:type="pct"/>
            <w:tcBorders>
              <w:top w:val="nil"/>
              <w:left w:val="nil"/>
              <w:bottom w:val="single" w:sz="4" w:space="0" w:color="auto"/>
              <w:right w:val="single" w:sz="4" w:space="0" w:color="auto"/>
            </w:tcBorders>
            <w:shd w:val="clear" w:color="000000" w:fill="FFFFFF"/>
            <w:vAlign w:val="center"/>
          </w:tcPr>
          <w:p w14:paraId="4E4C332D"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5</w:t>
            </w:r>
          </w:p>
        </w:tc>
        <w:tc>
          <w:tcPr>
            <w:tcW w:w="668" w:type="pct"/>
            <w:tcBorders>
              <w:top w:val="nil"/>
              <w:left w:val="nil"/>
              <w:bottom w:val="single" w:sz="4" w:space="0" w:color="auto"/>
              <w:right w:val="single" w:sz="4" w:space="0" w:color="auto"/>
            </w:tcBorders>
            <w:shd w:val="clear" w:color="000000" w:fill="FFFFFF"/>
            <w:vAlign w:val="center"/>
          </w:tcPr>
          <w:p w14:paraId="26AA66C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投诉管理</w:t>
            </w:r>
          </w:p>
        </w:tc>
        <w:tc>
          <w:tcPr>
            <w:tcW w:w="1192" w:type="pct"/>
            <w:tcBorders>
              <w:top w:val="nil"/>
              <w:left w:val="nil"/>
              <w:bottom w:val="single" w:sz="4" w:space="0" w:color="auto"/>
              <w:right w:val="single" w:sz="4" w:space="0" w:color="auto"/>
            </w:tcBorders>
            <w:shd w:val="clear" w:color="000000" w:fill="FFFFFF"/>
            <w:vAlign w:val="center"/>
          </w:tcPr>
          <w:p w14:paraId="16347DFC"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不发生有责投诉，不被上级单位或第三方单位通报。</w:t>
            </w:r>
          </w:p>
        </w:tc>
        <w:tc>
          <w:tcPr>
            <w:tcW w:w="2105" w:type="pct"/>
            <w:tcBorders>
              <w:top w:val="nil"/>
              <w:left w:val="nil"/>
              <w:bottom w:val="single" w:sz="4" w:space="0" w:color="auto"/>
              <w:right w:val="single" w:sz="4" w:space="0" w:color="auto"/>
            </w:tcBorders>
            <w:shd w:val="clear" w:color="000000" w:fill="FFFFFF"/>
            <w:vAlign w:val="center"/>
          </w:tcPr>
          <w:p w14:paraId="683D53C9"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①中心、各委办单位或第三方监管机构的有责投诉，受到投诉1次扣2分，受到投诉2次及以上该项不得分；</w:t>
            </w:r>
            <w:r w:rsidRPr="001E17A1">
              <w:rPr>
                <w:rFonts w:ascii="宋体" w:hAnsi="宋体" w:cs="宋体" w:hint="eastAsia"/>
                <w:color w:val="000000" w:themeColor="text1"/>
                <w:kern w:val="0"/>
                <w:sz w:val="24"/>
                <w:szCs w:val="24"/>
              </w:rPr>
              <w:br/>
            </w:r>
            <w:r w:rsidRPr="001E17A1">
              <w:rPr>
                <w:rFonts w:ascii="宋体" w:hAnsi="宋体" w:cs="宋体" w:hint="eastAsia"/>
                <w:color w:val="000000" w:themeColor="text1"/>
                <w:kern w:val="0"/>
                <w:sz w:val="24"/>
                <w:szCs w:val="24"/>
              </w:rPr>
              <w:lastRenderedPageBreak/>
              <w:t>②上级单位或第三方单位通报存在安全问题或其他严重问题的，该项不得分。</w:t>
            </w:r>
          </w:p>
        </w:tc>
      </w:tr>
      <w:tr w:rsidR="008137F8" w:rsidRPr="001E17A1" w14:paraId="02912B99" w14:textId="77777777">
        <w:trPr>
          <w:trHeight w:val="2838"/>
        </w:trPr>
        <w:tc>
          <w:tcPr>
            <w:tcW w:w="563" w:type="pct"/>
            <w:vMerge w:val="restart"/>
            <w:tcBorders>
              <w:top w:val="nil"/>
              <w:left w:val="single" w:sz="4" w:space="0" w:color="auto"/>
              <w:bottom w:val="single" w:sz="4" w:space="0" w:color="auto"/>
              <w:right w:val="single" w:sz="4" w:space="0" w:color="auto"/>
            </w:tcBorders>
            <w:shd w:val="clear" w:color="000000" w:fill="FFFFFF"/>
            <w:vAlign w:val="center"/>
          </w:tcPr>
          <w:p w14:paraId="4A01817C"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lastRenderedPageBreak/>
              <w:t>其他</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tcPr>
          <w:p w14:paraId="4D4B9C94"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N/A</w:t>
            </w:r>
          </w:p>
        </w:tc>
        <w:tc>
          <w:tcPr>
            <w:tcW w:w="668" w:type="pct"/>
            <w:tcBorders>
              <w:top w:val="nil"/>
              <w:left w:val="nil"/>
              <w:bottom w:val="single" w:sz="4" w:space="0" w:color="auto"/>
              <w:right w:val="single" w:sz="4" w:space="0" w:color="auto"/>
            </w:tcBorders>
            <w:shd w:val="clear" w:color="000000" w:fill="FFFFFF"/>
            <w:vAlign w:val="center"/>
          </w:tcPr>
          <w:p w14:paraId="490B9065"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重大责任事故</w:t>
            </w:r>
          </w:p>
        </w:tc>
        <w:tc>
          <w:tcPr>
            <w:tcW w:w="1192" w:type="pct"/>
            <w:tcBorders>
              <w:top w:val="nil"/>
              <w:left w:val="nil"/>
              <w:bottom w:val="single" w:sz="4" w:space="0" w:color="auto"/>
              <w:right w:val="single" w:sz="4" w:space="0" w:color="auto"/>
            </w:tcBorders>
            <w:shd w:val="clear" w:color="000000" w:fill="FFFFFF"/>
            <w:vAlign w:val="center"/>
          </w:tcPr>
          <w:p w14:paraId="5E6DFA2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不发生该类事故</w:t>
            </w:r>
          </w:p>
        </w:tc>
        <w:tc>
          <w:tcPr>
            <w:tcW w:w="2105" w:type="pct"/>
            <w:tcBorders>
              <w:top w:val="nil"/>
              <w:left w:val="nil"/>
              <w:bottom w:val="single" w:sz="4" w:space="0" w:color="auto"/>
              <w:right w:val="single" w:sz="4" w:space="0" w:color="auto"/>
            </w:tcBorders>
            <w:shd w:val="clear" w:color="000000" w:fill="FFFFFF"/>
            <w:vAlign w:val="center"/>
          </w:tcPr>
          <w:p w14:paraId="29B63496"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①产生严重不良社会影响或者被业务、行业主管单位及领导通报的重大责任事故，扣50分；</w:t>
            </w:r>
            <w:r w:rsidRPr="001E17A1">
              <w:rPr>
                <w:rFonts w:ascii="宋体" w:hAnsi="宋体" w:cs="宋体" w:hint="eastAsia"/>
                <w:color w:val="000000" w:themeColor="text1"/>
                <w:kern w:val="0"/>
                <w:sz w:val="24"/>
                <w:szCs w:val="24"/>
              </w:rPr>
              <w:br/>
              <w:t>②发生严重数据泄露事件，扣50分；发生较大数据泄露事件，扣20分；</w:t>
            </w:r>
            <w:r w:rsidRPr="001E17A1">
              <w:rPr>
                <w:rFonts w:ascii="宋体" w:hAnsi="宋体" w:cs="宋体" w:hint="eastAsia"/>
                <w:color w:val="000000" w:themeColor="text1"/>
                <w:kern w:val="0"/>
                <w:sz w:val="24"/>
                <w:szCs w:val="24"/>
              </w:rPr>
              <w:br/>
              <w:t>③受到安全攻击致使业务受到严重影响的扣50分，受到安全攻击致使业务受到较大影响的扣20分。</w:t>
            </w:r>
          </w:p>
        </w:tc>
      </w:tr>
      <w:tr w:rsidR="008137F8" w:rsidRPr="001E17A1" w14:paraId="09E861AF" w14:textId="77777777">
        <w:trPr>
          <w:trHeight w:val="1032"/>
        </w:trPr>
        <w:tc>
          <w:tcPr>
            <w:tcW w:w="563" w:type="pct"/>
            <w:vMerge/>
            <w:tcBorders>
              <w:top w:val="nil"/>
              <w:left w:val="single" w:sz="4" w:space="0" w:color="auto"/>
              <w:bottom w:val="single" w:sz="4" w:space="0" w:color="auto"/>
              <w:right w:val="single" w:sz="4" w:space="0" w:color="auto"/>
            </w:tcBorders>
            <w:vAlign w:val="center"/>
          </w:tcPr>
          <w:p w14:paraId="43648BE2"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auto"/>
              <w:right w:val="single" w:sz="4" w:space="0" w:color="auto"/>
            </w:tcBorders>
            <w:vAlign w:val="center"/>
          </w:tcPr>
          <w:p w14:paraId="5EFD2E47"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494425C4"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重点保障服务</w:t>
            </w:r>
          </w:p>
        </w:tc>
        <w:tc>
          <w:tcPr>
            <w:tcW w:w="1192" w:type="pct"/>
            <w:tcBorders>
              <w:top w:val="nil"/>
              <w:left w:val="nil"/>
              <w:bottom w:val="single" w:sz="4" w:space="0" w:color="auto"/>
              <w:right w:val="single" w:sz="4" w:space="0" w:color="auto"/>
            </w:tcBorders>
            <w:shd w:val="clear" w:color="000000" w:fill="FFFFFF"/>
            <w:vAlign w:val="center"/>
          </w:tcPr>
          <w:p w14:paraId="259D3DE1"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w:t>
            </w:r>
          </w:p>
        </w:tc>
        <w:tc>
          <w:tcPr>
            <w:tcW w:w="2105" w:type="pct"/>
            <w:tcBorders>
              <w:top w:val="nil"/>
              <w:left w:val="nil"/>
              <w:bottom w:val="single" w:sz="4" w:space="0" w:color="auto"/>
              <w:right w:val="single" w:sz="4" w:space="0" w:color="auto"/>
            </w:tcBorders>
            <w:shd w:val="clear" w:color="000000" w:fill="FFFFFF"/>
            <w:vAlign w:val="center"/>
          </w:tcPr>
          <w:p w14:paraId="7141EA2A"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能提供重要事件或重点时刻及时保障服务的，被中心或用户方正式表扬的，每发生1次，加2分,最多加10分。</w:t>
            </w:r>
          </w:p>
        </w:tc>
      </w:tr>
      <w:tr w:rsidR="008137F8" w:rsidRPr="001E17A1" w14:paraId="02FF83EF" w14:textId="77777777">
        <w:trPr>
          <w:trHeight w:val="774"/>
        </w:trPr>
        <w:tc>
          <w:tcPr>
            <w:tcW w:w="563" w:type="pct"/>
            <w:vMerge/>
            <w:tcBorders>
              <w:top w:val="nil"/>
              <w:left w:val="single" w:sz="4" w:space="0" w:color="auto"/>
              <w:bottom w:val="single" w:sz="4" w:space="0" w:color="auto"/>
              <w:right w:val="single" w:sz="4" w:space="0" w:color="auto"/>
            </w:tcBorders>
            <w:vAlign w:val="center"/>
          </w:tcPr>
          <w:p w14:paraId="66A3FEE6"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auto"/>
              <w:right w:val="single" w:sz="4" w:space="0" w:color="auto"/>
            </w:tcBorders>
            <w:vAlign w:val="center"/>
          </w:tcPr>
          <w:p w14:paraId="3F59DB49"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2A2B6850"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专业培训服务</w:t>
            </w:r>
          </w:p>
        </w:tc>
        <w:tc>
          <w:tcPr>
            <w:tcW w:w="1192" w:type="pct"/>
            <w:tcBorders>
              <w:top w:val="nil"/>
              <w:left w:val="nil"/>
              <w:bottom w:val="single" w:sz="4" w:space="0" w:color="auto"/>
              <w:right w:val="single" w:sz="4" w:space="0" w:color="auto"/>
            </w:tcBorders>
            <w:shd w:val="clear" w:color="000000" w:fill="FFFFFF"/>
            <w:vAlign w:val="center"/>
          </w:tcPr>
          <w:p w14:paraId="449B7916"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w:t>
            </w:r>
          </w:p>
        </w:tc>
        <w:tc>
          <w:tcPr>
            <w:tcW w:w="2105" w:type="pct"/>
            <w:tcBorders>
              <w:top w:val="nil"/>
              <w:left w:val="nil"/>
              <w:bottom w:val="single" w:sz="4" w:space="0" w:color="auto"/>
              <w:right w:val="single" w:sz="4" w:space="0" w:color="auto"/>
            </w:tcBorders>
            <w:shd w:val="clear" w:color="000000" w:fill="FFFFFF"/>
            <w:vAlign w:val="center"/>
          </w:tcPr>
          <w:p w14:paraId="34A5F6A0"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应业主方要求提供专业培训服务，反馈满意的，每次加3分，最多加15分。</w:t>
            </w:r>
          </w:p>
        </w:tc>
      </w:tr>
      <w:tr w:rsidR="008137F8" w:rsidRPr="001E17A1" w14:paraId="34979B96" w14:textId="77777777">
        <w:trPr>
          <w:trHeight w:val="1032"/>
        </w:trPr>
        <w:tc>
          <w:tcPr>
            <w:tcW w:w="563" w:type="pct"/>
            <w:vMerge/>
            <w:tcBorders>
              <w:top w:val="nil"/>
              <w:left w:val="single" w:sz="4" w:space="0" w:color="auto"/>
              <w:bottom w:val="single" w:sz="4" w:space="0" w:color="auto"/>
              <w:right w:val="single" w:sz="4" w:space="0" w:color="auto"/>
            </w:tcBorders>
            <w:vAlign w:val="center"/>
          </w:tcPr>
          <w:p w14:paraId="7E1EB9F0"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472" w:type="pct"/>
            <w:vMerge/>
            <w:tcBorders>
              <w:top w:val="nil"/>
              <w:left w:val="single" w:sz="4" w:space="0" w:color="auto"/>
              <w:bottom w:val="single" w:sz="4" w:space="0" w:color="auto"/>
              <w:right w:val="single" w:sz="4" w:space="0" w:color="auto"/>
            </w:tcBorders>
            <w:vAlign w:val="center"/>
          </w:tcPr>
          <w:p w14:paraId="7597A4A4" w14:textId="77777777" w:rsidR="008137F8" w:rsidRPr="001E17A1" w:rsidRDefault="008137F8">
            <w:pPr>
              <w:widowControl/>
              <w:snapToGrid w:val="0"/>
              <w:spacing w:line="360" w:lineRule="auto"/>
              <w:jc w:val="left"/>
              <w:rPr>
                <w:rFonts w:ascii="宋体" w:hAnsi="宋体" w:cs="宋体" w:hint="eastAsia"/>
                <w:color w:val="000000" w:themeColor="text1"/>
                <w:kern w:val="0"/>
                <w:sz w:val="24"/>
                <w:szCs w:val="24"/>
              </w:rPr>
            </w:pPr>
          </w:p>
        </w:tc>
        <w:tc>
          <w:tcPr>
            <w:tcW w:w="668" w:type="pct"/>
            <w:tcBorders>
              <w:top w:val="nil"/>
              <w:left w:val="nil"/>
              <w:bottom w:val="single" w:sz="4" w:space="0" w:color="auto"/>
              <w:right w:val="single" w:sz="4" w:space="0" w:color="auto"/>
            </w:tcBorders>
            <w:shd w:val="clear" w:color="000000" w:fill="FFFFFF"/>
            <w:vAlign w:val="center"/>
          </w:tcPr>
          <w:p w14:paraId="65EE8BBB"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高水平规划方案</w:t>
            </w:r>
          </w:p>
        </w:tc>
        <w:tc>
          <w:tcPr>
            <w:tcW w:w="1192" w:type="pct"/>
            <w:tcBorders>
              <w:top w:val="nil"/>
              <w:left w:val="nil"/>
              <w:bottom w:val="single" w:sz="4" w:space="0" w:color="auto"/>
              <w:right w:val="single" w:sz="4" w:space="0" w:color="auto"/>
            </w:tcBorders>
            <w:shd w:val="clear" w:color="000000" w:fill="FFFFFF"/>
            <w:vAlign w:val="center"/>
          </w:tcPr>
          <w:p w14:paraId="3D10BCC7" w14:textId="77777777" w:rsidR="008137F8" w:rsidRPr="001E17A1" w:rsidRDefault="00000000">
            <w:pPr>
              <w:widowControl/>
              <w:snapToGrid w:val="0"/>
              <w:spacing w:line="360" w:lineRule="auto"/>
              <w:jc w:val="center"/>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w:t>
            </w:r>
          </w:p>
        </w:tc>
        <w:tc>
          <w:tcPr>
            <w:tcW w:w="2105" w:type="pct"/>
            <w:tcBorders>
              <w:top w:val="nil"/>
              <w:left w:val="nil"/>
              <w:bottom w:val="single" w:sz="4" w:space="0" w:color="auto"/>
              <w:right w:val="single" w:sz="4" w:space="0" w:color="auto"/>
            </w:tcBorders>
            <w:shd w:val="clear" w:color="000000" w:fill="FFFFFF"/>
            <w:vAlign w:val="center"/>
          </w:tcPr>
          <w:p w14:paraId="04AC260D" w14:textId="77777777" w:rsidR="008137F8" w:rsidRPr="001E17A1" w:rsidRDefault="00000000">
            <w:pPr>
              <w:widowControl/>
              <w:snapToGrid w:val="0"/>
              <w:spacing w:line="360" w:lineRule="auto"/>
              <w:jc w:val="left"/>
              <w:rPr>
                <w:rFonts w:ascii="宋体" w:hAnsi="宋体" w:cs="宋体" w:hint="eastAsia"/>
                <w:color w:val="000000" w:themeColor="text1"/>
                <w:kern w:val="0"/>
                <w:sz w:val="24"/>
                <w:szCs w:val="24"/>
              </w:rPr>
            </w:pPr>
            <w:r w:rsidRPr="001E17A1">
              <w:rPr>
                <w:rFonts w:ascii="宋体" w:hAnsi="宋体" w:cs="宋体" w:hint="eastAsia"/>
                <w:color w:val="000000" w:themeColor="text1"/>
                <w:kern w:val="0"/>
                <w:sz w:val="24"/>
                <w:szCs w:val="24"/>
              </w:rPr>
              <w:t>应业主方要求提供经认可的高水平规划方案，经评审通过每个方案加3-5分，最多加15分。</w:t>
            </w:r>
          </w:p>
        </w:tc>
      </w:tr>
      <w:tr w:rsidR="008137F8" w:rsidRPr="001E17A1" w14:paraId="32D64231" w14:textId="77777777">
        <w:trPr>
          <w:trHeight w:val="258"/>
        </w:trPr>
        <w:tc>
          <w:tcPr>
            <w:tcW w:w="170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9C36337" w14:textId="77777777" w:rsidR="008137F8" w:rsidRPr="001E17A1" w:rsidRDefault="00000000">
            <w:pPr>
              <w:widowControl/>
              <w:snapToGrid w:val="0"/>
              <w:spacing w:line="360" w:lineRule="auto"/>
              <w:jc w:val="right"/>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合计：100分</w:t>
            </w:r>
          </w:p>
        </w:tc>
        <w:tc>
          <w:tcPr>
            <w:tcW w:w="3297" w:type="pct"/>
            <w:gridSpan w:val="2"/>
            <w:tcBorders>
              <w:top w:val="single" w:sz="4" w:space="0" w:color="auto"/>
              <w:left w:val="nil"/>
              <w:bottom w:val="single" w:sz="4" w:space="0" w:color="auto"/>
              <w:right w:val="single" w:sz="4" w:space="0" w:color="auto"/>
            </w:tcBorders>
            <w:shd w:val="clear" w:color="000000" w:fill="FFFFFF"/>
            <w:vAlign w:val="center"/>
          </w:tcPr>
          <w:p w14:paraId="3B705481" w14:textId="77777777" w:rsidR="008137F8" w:rsidRPr="001E17A1" w:rsidRDefault="00000000">
            <w:pPr>
              <w:widowControl/>
              <w:snapToGrid w:val="0"/>
              <w:spacing w:line="360" w:lineRule="auto"/>
              <w:jc w:val="left"/>
              <w:rPr>
                <w:rFonts w:ascii="宋体" w:hAnsi="宋体" w:cs="宋体" w:hint="eastAsia"/>
                <w:b/>
                <w:bCs/>
                <w:color w:val="000000" w:themeColor="text1"/>
                <w:kern w:val="0"/>
                <w:sz w:val="24"/>
                <w:szCs w:val="24"/>
              </w:rPr>
            </w:pPr>
            <w:r w:rsidRPr="001E17A1">
              <w:rPr>
                <w:rFonts w:ascii="宋体" w:hAnsi="宋体" w:cs="宋体" w:hint="eastAsia"/>
                <w:b/>
                <w:bCs/>
                <w:color w:val="000000" w:themeColor="text1"/>
                <w:kern w:val="0"/>
                <w:sz w:val="24"/>
                <w:szCs w:val="24"/>
              </w:rPr>
              <w:t>含加分、扣分的总分最高为100分</w:t>
            </w:r>
          </w:p>
        </w:tc>
      </w:tr>
    </w:tbl>
    <w:p w14:paraId="66D58DCC" w14:textId="77777777" w:rsidR="008137F8" w:rsidRPr="001E17A1" w:rsidRDefault="008137F8">
      <w:pPr>
        <w:snapToGrid w:val="0"/>
        <w:spacing w:line="360" w:lineRule="auto"/>
        <w:rPr>
          <w:rFonts w:ascii="宋体" w:hAnsi="宋体" w:hint="eastAsia"/>
          <w:color w:val="000000" w:themeColor="text1"/>
          <w:sz w:val="24"/>
          <w:szCs w:val="24"/>
        </w:rPr>
      </w:pPr>
    </w:p>
    <w:p w14:paraId="734C1AD0" w14:textId="77777777" w:rsidR="008137F8" w:rsidRPr="001E17A1" w:rsidRDefault="00000000">
      <w:pPr>
        <w:pStyle w:val="3"/>
        <w:snapToGrid w:val="0"/>
        <w:spacing w:before="0" w:line="360" w:lineRule="auto"/>
        <w:ind w:left="567"/>
        <w:rPr>
          <w:rFonts w:ascii="宋体" w:hAnsi="宋体" w:hint="eastAsia"/>
          <w:color w:val="000000" w:themeColor="text1"/>
          <w:sz w:val="24"/>
          <w:szCs w:val="24"/>
        </w:rPr>
      </w:pPr>
      <w:r w:rsidRPr="001E17A1">
        <w:rPr>
          <w:rFonts w:ascii="宋体" w:hAnsi="宋体" w:hint="eastAsia"/>
          <w:color w:val="000000" w:themeColor="text1"/>
          <w:sz w:val="24"/>
          <w:szCs w:val="24"/>
        </w:rPr>
        <w:t>违约责任</w:t>
      </w:r>
    </w:p>
    <w:p w14:paraId="32EA7FF8" w14:textId="2B623545" w:rsidR="008137F8" w:rsidRPr="001E17A1" w:rsidRDefault="00000000">
      <w:pPr>
        <w:snapToGrid w:val="0"/>
        <w:spacing w:line="360" w:lineRule="auto"/>
        <w:ind w:firstLine="420"/>
        <w:rPr>
          <w:rFonts w:ascii="宋体" w:hAnsi="宋体" w:hint="eastAsia"/>
          <w:b/>
          <w:color w:val="000000" w:themeColor="text1"/>
          <w:sz w:val="24"/>
          <w:szCs w:val="24"/>
        </w:rPr>
      </w:pPr>
      <w:r w:rsidRPr="001E17A1">
        <w:rPr>
          <w:rFonts w:ascii="宋体" w:hAnsi="宋体" w:hint="eastAsia"/>
          <w:b/>
          <w:bCs/>
          <w:color w:val="000000" w:themeColor="text1"/>
          <w:sz w:val="24"/>
          <w:szCs w:val="24"/>
        </w:rPr>
        <w:t>★</w:t>
      </w:r>
      <w:r w:rsidRPr="001E17A1">
        <w:rPr>
          <w:rFonts w:ascii="宋体" w:hAnsi="宋体" w:cs="宋体" w:hint="eastAsia"/>
          <w:b/>
          <w:color w:val="000000" w:themeColor="text1"/>
          <w:kern w:val="0"/>
          <w:sz w:val="24"/>
          <w:szCs w:val="24"/>
        </w:rPr>
        <w:t>投标人应提供无条件响应本项违约责任要求的承诺函。</w:t>
      </w:r>
      <w:r w:rsidR="001E17A1">
        <w:rPr>
          <w:rFonts w:ascii="宋体" w:hAnsi="宋体" w:cs="宋体" w:hint="eastAsia"/>
          <w:b/>
          <w:color w:val="000000" w:themeColor="text1"/>
          <w:kern w:val="0"/>
          <w:sz w:val="24"/>
          <w:szCs w:val="24"/>
        </w:rPr>
        <w:t>（具体格式详见</w:t>
      </w:r>
      <w:r w:rsidR="001E17A1" w:rsidRPr="001E17A1">
        <w:rPr>
          <w:rFonts w:ascii="宋体" w:hAnsi="宋体" w:cs="宋体"/>
          <w:b/>
          <w:color w:val="000000" w:themeColor="text1"/>
          <w:kern w:val="0"/>
          <w:sz w:val="24"/>
          <w:szCs w:val="24"/>
        </w:rPr>
        <w:t>第六章： 投标文件有关格式</w:t>
      </w:r>
      <w:r w:rsidR="001E17A1">
        <w:rPr>
          <w:rFonts w:ascii="宋体" w:hAnsi="宋体" w:cs="宋体" w:hint="eastAsia"/>
          <w:b/>
          <w:color w:val="000000" w:themeColor="text1"/>
          <w:kern w:val="0"/>
          <w:sz w:val="24"/>
          <w:szCs w:val="24"/>
        </w:rPr>
        <w:t>）</w:t>
      </w:r>
    </w:p>
    <w:p w14:paraId="38EB80B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中标人每一个月度的服务管理质量评估分值应不低于8</w:t>
      </w:r>
      <w:r w:rsidRPr="001E17A1">
        <w:rPr>
          <w:rFonts w:ascii="宋体" w:hAnsi="宋体"/>
          <w:color w:val="000000" w:themeColor="text1"/>
          <w:sz w:val="24"/>
          <w:szCs w:val="24"/>
        </w:rPr>
        <w:t>0</w:t>
      </w:r>
      <w:r w:rsidRPr="001E17A1">
        <w:rPr>
          <w:rFonts w:ascii="宋体" w:hAnsi="宋体" w:hint="eastAsia"/>
          <w:color w:val="000000" w:themeColor="text1"/>
          <w:sz w:val="24"/>
          <w:szCs w:val="24"/>
        </w:rPr>
        <w:t>分，否则视为违约，处罚金额见处罚标准。</w:t>
      </w:r>
    </w:p>
    <w:p w14:paraId="5392C11E" w14:textId="77777777" w:rsidR="008137F8" w:rsidRPr="001E17A1" w:rsidRDefault="00000000">
      <w:pPr>
        <w:snapToGrid w:val="0"/>
        <w:spacing w:line="360" w:lineRule="auto"/>
        <w:ind w:firstLine="420"/>
        <w:rPr>
          <w:rFonts w:ascii="宋体" w:hAnsi="宋体" w:hint="eastAsia"/>
          <w:color w:val="000000" w:themeColor="text1"/>
          <w:sz w:val="24"/>
          <w:szCs w:val="24"/>
        </w:rPr>
      </w:pPr>
      <w:r w:rsidRPr="001E17A1">
        <w:rPr>
          <w:rFonts w:ascii="宋体" w:hAnsi="宋体" w:hint="eastAsia"/>
          <w:color w:val="000000" w:themeColor="text1"/>
          <w:sz w:val="24"/>
          <w:szCs w:val="24"/>
        </w:rPr>
        <w:t>月度问题，在验收前完成整改的，可不扣违约金。</w:t>
      </w:r>
    </w:p>
    <w:p w14:paraId="6B3382DD" w14:textId="77777777" w:rsidR="008137F8" w:rsidRPr="001E17A1" w:rsidRDefault="00000000">
      <w:pPr>
        <w:snapToGrid w:val="0"/>
        <w:spacing w:line="360" w:lineRule="auto"/>
        <w:ind w:firstLine="420"/>
        <w:rPr>
          <w:rFonts w:ascii="宋体" w:hAnsi="宋体" w:hint="eastAsia"/>
          <w:color w:val="000000" w:themeColor="text1"/>
          <w:sz w:val="24"/>
          <w:szCs w:val="24"/>
        </w:rPr>
      </w:pPr>
      <w:r w:rsidRPr="001E17A1">
        <w:rPr>
          <w:rFonts w:ascii="宋体" w:hAnsi="宋体" w:hint="eastAsia"/>
          <w:color w:val="000000" w:themeColor="text1"/>
          <w:sz w:val="24"/>
          <w:szCs w:val="24"/>
        </w:rPr>
        <w:t>服务管理质量评估分值&lt;</w:t>
      </w:r>
      <w:r w:rsidRPr="001E17A1">
        <w:rPr>
          <w:rFonts w:ascii="宋体" w:hAnsi="宋体"/>
          <w:color w:val="000000" w:themeColor="text1"/>
          <w:sz w:val="24"/>
          <w:szCs w:val="24"/>
        </w:rPr>
        <w:t>60</w:t>
      </w:r>
      <w:r w:rsidRPr="001E17A1">
        <w:rPr>
          <w:rFonts w:ascii="宋体" w:hAnsi="宋体" w:hint="eastAsia"/>
          <w:color w:val="000000" w:themeColor="text1"/>
          <w:sz w:val="24"/>
          <w:szCs w:val="24"/>
        </w:rPr>
        <w:t>分的视为中标人运营服务能力不合格，项目周期内连续</w:t>
      </w:r>
      <w:r w:rsidRPr="001E17A1">
        <w:rPr>
          <w:rFonts w:ascii="宋体" w:hAnsi="宋体"/>
          <w:color w:val="000000" w:themeColor="text1"/>
          <w:sz w:val="24"/>
          <w:szCs w:val="24"/>
        </w:rPr>
        <w:t>3</w:t>
      </w:r>
      <w:r w:rsidRPr="001E17A1">
        <w:rPr>
          <w:rFonts w:ascii="宋体" w:hAnsi="宋体" w:hint="eastAsia"/>
          <w:color w:val="000000" w:themeColor="text1"/>
          <w:sz w:val="24"/>
          <w:szCs w:val="24"/>
        </w:rPr>
        <w:t>次或累计</w:t>
      </w:r>
      <w:r w:rsidRPr="001E17A1">
        <w:rPr>
          <w:rFonts w:ascii="宋体" w:hAnsi="宋体"/>
          <w:color w:val="000000" w:themeColor="text1"/>
          <w:sz w:val="24"/>
          <w:szCs w:val="24"/>
        </w:rPr>
        <w:t>4</w:t>
      </w:r>
      <w:r w:rsidRPr="001E17A1">
        <w:rPr>
          <w:rFonts w:ascii="宋体" w:hAnsi="宋体" w:hint="eastAsia"/>
          <w:color w:val="000000" w:themeColor="text1"/>
          <w:sz w:val="24"/>
          <w:szCs w:val="24"/>
        </w:rPr>
        <w:t>次服务管理质量评估分值&lt;</w:t>
      </w:r>
      <w:r w:rsidRPr="001E17A1">
        <w:rPr>
          <w:rFonts w:ascii="宋体" w:hAnsi="宋体"/>
          <w:color w:val="000000" w:themeColor="text1"/>
          <w:sz w:val="24"/>
          <w:szCs w:val="24"/>
        </w:rPr>
        <w:t>60</w:t>
      </w:r>
      <w:r w:rsidRPr="001E17A1">
        <w:rPr>
          <w:rFonts w:ascii="宋体" w:hAnsi="宋体" w:hint="eastAsia"/>
          <w:color w:val="000000" w:themeColor="text1"/>
          <w:sz w:val="24"/>
          <w:szCs w:val="24"/>
        </w:rPr>
        <w:t>分的，在扣除违约金基础上，采购方有权提出终止合同，责令中标人退出运营服务。</w:t>
      </w:r>
    </w:p>
    <w:p w14:paraId="24142B4A"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在履行运营服务过程中出现重大事故时，由第三方监管机构界定责任边界和严重程度，采购方将依据事故严重程度计算重大事故违约金，并有权根据合同约定视中标人责任情况采取终止合同、将该中标人报财政部门备案、列入黑名单等措施。</w:t>
      </w:r>
    </w:p>
    <w:p w14:paraId="256C771E"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重大事故违约金按以下方式确定：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4852"/>
        <w:gridCol w:w="2841"/>
      </w:tblGrid>
      <w:tr w:rsidR="008137F8" w:rsidRPr="001E17A1" w14:paraId="33089C21" w14:textId="77777777">
        <w:tc>
          <w:tcPr>
            <w:tcW w:w="486" w:type="pct"/>
          </w:tcPr>
          <w:p w14:paraId="085CF9AA" w14:textId="77777777" w:rsidR="008137F8" w:rsidRPr="001E17A1" w:rsidRDefault="00000000">
            <w:pPr>
              <w:snapToGrid w:val="0"/>
              <w:spacing w:line="360" w:lineRule="auto"/>
              <w:jc w:val="center"/>
              <w:rPr>
                <w:rFonts w:ascii="宋体" w:hAnsi="宋体" w:hint="eastAsia"/>
                <w:b/>
                <w:color w:val="000000" w:themeColor="text1"/>
                <w:sz w:val="24"/>
                <w:szCs w:val="24"/>
              </w:rPr>
            </w:pPr>
            <w:r w:rsidRPr="001E17A1">
              <w:rPr>
                <w:rFonts w:ascii="宋体" w:hAnsi="宋体" w:hint="eastAsia"/>
                <w:b/>
                <w:color w:val="000000" w:themeColor="text1"/>
                <w:sz w:val="24"/>
                <w:szCs w:val="24"/>
              </w:rPr>
              <w:t>序号</w:t>
            </w:r>
          </w:p>
        </w:tc>
        <w:tc>
          <w:tcPr>
            <w:tcW w:w="2847" w:type="pct"/>
          </w:tcPr>
          <w:p w14:paraId="3D1A730C" w14:textId="77777777" w:rsidR="008137F8" w:rsidRPr="001E17A1" w:rsidRDefault="00000000">
            <w:pPr>
              <w:snapToGrid w:val="0"/>
              <w:spacing w:line="360" w:lineRule="auto"/>
              <w:jc w:val="center"/>
              <w:rPr>
                <w:rFonts w:ascii="宋体" w:hAnsi="宋体" w:hint="eastAsia"/>
                <w:b/>
                <w:color w:val="000000" w:themeColor="text1"/>
                <w:sz w:val="24"/>
                <w:szCs w:val="24"/>
              </w:rPr>
            </w:pPr>
            <w:r w:rsidRPr="001E17A1">
              <w:rPr>
                <w:rFonts w:ascii="宋体" w:hAnsi="宋体" w:hint="eastAsia"/>
                <w:b/>
                <w:color w:val="000000" w:themeColor="text1"/>
                <w:sz w:val="24"/>
                <w:szCs w:val="24"/>
              </w:rPr>
              <w:t>问题描述</w:t>
            </w:r>
          </w:p>
        </w:tc>
        <w:tc>
          <w:tcPr>
            <w:tcW w:w="1667" w:type="pct"/>
          </w:tcPr>
          <w:p w14:paraId="36EB019F" w14:textId="77777777" w:rsidR="008137F8" w:rsidRPr="001E17A1" w:rsidRDefault="00000000">
            <w:pPr>
              <w:snapToGrid w:val="0"/>
              <w:spacing w:line="360" w:lineRule="auto"/>
              <w:jc w:val="center"/>
              <w:rPr>
                <w:rFonts w:ascii="宋体" w:hAnsi="宋体" w:hint="eastAsia"/>
                <w:b/>
                <w:color w:val="000000" w:themeColor="text1"/>
                <w:sz w:val="24"/>
                <w:szCs w:val="24"/>
              </w:rPr>
            </w:pPr>
            <w:r w:rsidRPr="001E17A1">
              <w:rPr>
                <w:rFonts w:ascii="宋体" w:hAnsi="宋体" w:hint="eastAsia"/>
                <w:b/>
                <w:color w:val="000000" w:themeColor="text1"/>
                <w:sz w:val="24"/>
                <w:szCs w:val="24"/>
              </w:rPr>
              <w:t>罚款金额</w:t>
            </w:r>
          </w:p>
        </w:tc>
      </w:tr>
      <w:tr w:rsidR="008137F8" w:rsidRPr="001E17A1" w14:paraId="0A73C158" w14:textId="77777777">
        <w:tc>
          <w:tcPr>
            <w:tcW w:w="486" w:type="pct"/>
            <w:vAlign w:val="center"/>
          </w:tcPr>
          <w:p w14:paraId="36E4BCDF"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1</w:t>
            </w:r>
          </w:p>
        </w:tc>
        <w:tc>
          <w:tcPr>
            <w:tcW w:w="2847" w:type="pct"/>
            <w:vAlign w:val="center"/>
          </w:tcPr>
          <w:p w14:paraId="372068A7"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因运营服务的人为失误导致服务中断</w:t>
            </w:r>
          </w:p>
        </w:tc>
        <w:tc>
          <w:tcPr>
            <w:tcW w:w="1667" w:type="pct"/>
            <w:vAlign w:val="center"/>
          </w:tcPr>
          <w:p w14:paraId="5307AFFE"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1</w:t>
            </w:r>
            <w:r w:rsidRPr="001E17A1">
              <w:rPr>
                <w:rFonts w:ascii="宋体" w:hAnsi="宋体" w:hint="eastAsia"/>
                <w:color w:val="000000" w:themeColor="text1"/>
                <w:sz w:val="24"/>
                <w:szCs w:val="24"/>
              </w:rPr>
              <w:t>万元</w:t>
            </w:r>
          </w:p>
        </w:tc>
      </w:tr>
      <w:tr w:rsidR="008137F8" w:rsidRPr="001E17A1" w14:paraId="00100D85" w14:textId="77777777">
        <w:tc>
          <w:tcPr>
            <w:tcW w:w="486" w:type="pct"/>
            <w:vAlign w:val="center"/>
          </w:tcPr>
          <w:p w14:paraId="0AE2386F"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2</w:t>
            </w:r>
          </w:p>
        </w:tc>
        <w:tc>
          <w:tcPr>
            <w:tcW w:w="2847" w:type="pct"/>
            <w:vAlign w:val="center"/>
          </w:tcPr>
          <w:p w14:paraId="6FCA896F"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依据本招标要求未能履行具体条款</w:t>
            </w:r>
          </w:p>
        </w:tc>
        <w:tc>
          <w:tcPr>
            <w:tcW w:w="1667" w:type="pct"/>
            <w:vAlign w:val="center"/>
          </w:tcPr>
          <w:p w14:paraId="7A1B66F3"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2</w:t>
            </w:r>
            <w:r w:rsidRPr="001E17A1">
              <w:rPr>
                <w:rFonts w:ascii="宋体" w:hAnsi="宋体" w:hint="eastAsia"/>
                <w:color w:val="000000" w:themeColor="text1"/>
                <w:sz w:val="24"/>
                <w:szCs w:val="24"/>
              </w:rPr>
              <w:t>万元</w:t>
            </w:r>
          </w:p>
        </w:tc>
      </w:tr>
      <w:tr w:rsidR="008137F8" w:rsidRPr="001E17A1" w14:paraId="21842412" w14:textId="77777777">
        <w:tc>
          <w:tcPr>
            <w:tcW w:w="486" w:type="pct"/>
            <w:vAlign w:val="center"/>
          </w:tcPr>
          <w:p w14:paraId="4372D882"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3</w:t>
            </w:r>
          </w:p>
        </w:tc>
        <w:tc>
          <w:tcPr>
            <w:tcW w:w="2847" w:type="pct"/>
            <w:vAlign w:val="center"/>
          </w:tcPr>
          <w:p w14:paraId="7BBE945D"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因运营服务的责任事故导致服务中断</w:t>
            </w:r>
          </w:p>
        </w:tc>
        <w:tc>
          <w:tcPr>
            <w:tcW w:w="1667" w:type="pct"/>
            <w:vAlign w:val="center"/>
          </w:tcPr>
          <w:p w14:paraId="0920F6BC"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2</w:t>
            </w:r>
            <w:r w:rsidRPr="001E17A1">
              <w:rPr>
                <w:rFonts w:ascii="宋体" w:hAnsi="宋体" w:hint="eastAsia"/>
                <w:color w:val="000000" w:themeColor="text1"/>
                <w:sz w:val="24"/>
                <w:szCs w:val="24"/>
              </w:rPr>
              <w:t>万元</w:t>
            </w:r>
          </w:p>
        </w:tc>
      </w:tr>
      <w:tr w:rsidR="008137F8" w:rsidRPr="001E17A1" w14:paraId="78E650E6" w14:textId="77777777">
        <w:tc>
          <w:tcPr>
            <w:tcW w:w="486" w:type="pct"/>
            <w:vAlign w:val="center"/>
          </w:tcPr>
          <w:p w14:paraId="1954F04F"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4</w:t>
            </w:r>
          </w:p>
        </w:tc>
        <w:tc>
          <w:tcPr>
            <w:tcW w:w="2847" w:type="pct"/>
            <w:vAlign w:val="center"/>
          </w:tcPr>
          <w:p w14:paraId="7723C5DF"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运营管理月度评分合格但得分80分以下</w:t>
            </w:r>
          </w:p>
        </w:tc>
        <w:tc>
          <w:tcPr>
            <w:tcW w:w="1667" w:type="pct"/>
            <w:vAlign w:val="center"/>
          </w:tcPr>
          <w:p w14:paraId="755F4D13"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hint="eastAsia"/>
                <w:color w:val="000000" w:themeColor="text1"/>
                <w:sz w:val="24"/>
                <w:szCs w:val="24"/>
              </w:rPr>
              <w:t>2万元/次</w:t>
            </w:r>
          </w:p>
        </w:tc>
      </w:tr>
      <w:tr w:rsidR="008137F8" w:rsidRPr="001E17A1" w14:paraId="3AAE7BB2" w14:textId="77777777">
        <w:tc>
          <w:tcPr>
            <w:tcW w:w="486" w:type="pct"/>
            <w:vAlign w:val="center"/>
          </w:tcPr>
          <w:p w14:paraId="11155B46"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5</w:t>
            </w:r>
          </w:p>
        </w:tc>
        <w:tc>
          <w:tcPr>
            <w:tcW w:w="2847" w:type="pct"/>
            <w:vAlign w:val="center"/>
          </w:tcPr>
          <w:p w14:paraId="2BD2FE22"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因运营服务的责任事故导致数据丢失</w:t>
            </w:r>
          </w:p>
        </w:tc>
        <w:tc>
          <w:tcPr>
            <w:tcW w:w="1667" w:type="pct"/>
            <w:vAlign w:val="center"/>
          </w:tcPr>
          <w:p w14:paraId="2684FD4A"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5</w:t>
            </w:r>
            <w:r w:rsidRPr="001E17A1">
              <w:rPr>
                <w:rFonts w:ascii="宋体" w:hAnsi="宋体" w:hint="eastAsia"/>
                <w:color w:val="000000" w:themeColor="text1"/>
                <w:sz w:val="24"/>
                <w:szCs w:val="24"/>
              </w:rPr>
              <w:t>万元</w:t>
            </w:r>
          </w:p>
        </w:tc>
      </w:tr>
      <w:tr w:rsidR="008137F8" w:rsidRPr="001E17A1" w14:paraId="2011F48E" w14:textId="77777777">
        <w:tc>
          <w:tcPr>
            <w:tcW w:w="486" w:type="pct"/>
            <w:vAlign w:val="center"/>
          </w:tcPr>
          <w:p w14:paraId="30AE3A51"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6</w:t>
            </w:r>
          </w:p>
        </w:tc>
        <w:tc>
          <w:tcPr>
            <w:tcW w:w="2847" w:type="pct"/>
            <w:vAlign w:val="center"/>
          </w:tcPr>
          <w:p w14:paraId="5C645784"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因运营服务的责任事故导致数据泄露</w:t>
            </w:r>
          </w:p>
        </w:tc>
        <w:tc>
          <w:tcPr>
            <w:tcW w:w="1667" w:type="pct"/>
            <w:vAlign w:val="center"/>
          </w:tcPr>
          <w:p w14:paraId="7B894BD9"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5</w:t>
            </w:r>
            <w:r w:rsidRPr="001E17A1">
              <w:rPr>
                <w:rFonts w:ascii="宋体" w:hAnsi="宋体" w:hint="eastAsia"/>
                <w:color w:val="000000" w:themeColor="text1"/>
                <w:sz w:val="24"/>
                <w:szCs w:val="24"/>
              </w:rPr>
              <w:t>万元</w:t>
            </w:r>
          </w:p>
        </w:tc>
      </w:tr>
      <w:tr w:rsidR="008137F8" w:rsidRPr="001E17A1" w14:paraId="765F3012" w14:textId="77777777">
        <w:tc>
          <w:tcPr>
            <w:tcW w:w="486" w:type="pct"/>
            <w:vAlign w:val="center"/>
          </w:tcPr>
          <w:p w14:paraId="71695098"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hint="eastAsia"/>
                <w:color w:val="000000" w:themeColor="text1"/>
                <w:sz w:val="24"/>
                <w:szCs w:val="24"/>
              </w:rPr>
              <w:t>7</w:t>
            </w:r>
          </w:p>
        </w:tc>
        <w:tc>
          <w:tcPr>
            <w:tcW w:w="2847" w:type="pct"/>
            <w:vAlign w:val="center"/>
          </w:tcPr>
          <w:p w14:paraId="0501B0EE"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因运营服务重大责任事故导致数据无法使用</w:t>
            </w:r>
          </w:p>
        </w:tc>
        <w:tc>
          <w:tcPr>
            <w:tcW w:w="1667" w:type="pct"/>
            <w:vAlign w:val="center"/>
          </w:tcPr>
          <w:p w14:paraId="76F7B690"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color w:val="000000" w:themeColor="text1"/>
                <w:sz w:val="24"/>
                <w:szCs w:val="24"/>
              </w:rPr>
              <w:t>10</w:t>
            </w:r>
            <w:r w:rsidRPr="001E17A1">
              <w:rPr>
                <w:rFonts w:ascii="宋体" w:hAnsi="宋体" w:hint="eastAsia"/>
                <w:color w:val="000000" w:themeColor="text1"/>
                <w:sz w:val="24"/>
                <w:szCs w:val="24"/>
              </w:rPr>
              <w:t>万元</w:t>
            </w:r>
          </w:p>
        </w:tc>
      </w:tr>
      <w:tr w:rsidR="008137F8" w:rsidRPr="001E17A1" w14:paraId="57A99860" w14:textId="77777777">
        <w:tc>
          <w:tcPr>
            <w:tcW w:w="486" w:type="pct"/>
            <w:vAlign w:val="center"/>
          </w:tcPr>
          <w:p w14:paraId="5DE551E9"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hint="eastAsia"/>
                <w:color w:val="000000" w:themeColor="text1"/>
                <w:sz w:val="24"/>
                <w:szCs w:val="24"/>
              </w:rPr>
              <w:t>8</w:t>
            </w:r>
          </w:p>
        </w:tc>
        <w:tc>
          <w:tcPr>
            <w:tcW w:w="2847" w:type="pct"/>
            <w:vAlign w:val="center"/>
          </w:tcPr>
          <w:p w14:paraId="25940B5D"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运营管理月度评分不合格的</w:t>
            </w:r>
          </w:p>
        </w:tc>
        <w:tc>
          <w:tcPr>
            <w:tcW w:w="1667" w:type="pct"/>
            <w:vAlign w:val="center"/>
          </w:tcPr>
          <w:p w14:paraId="06658FB6"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hint="eastAsia"/>
                <w:color w:val="000000" w:themeColor="text1"/>
                <w:sz w:val="24"/>
                <w:szCs w:val="24"/>
              </w:rPr>
              <w:t>10万元/次</w:t>
            </w:r>
          </w:p>
        </w:tc>
      </w:tr>
      <w:tr w:rsidR="008137F8" w:rsidRPr="001E17A1" w14:paraId="51617AE8" w14:textId="77777777">
        <w:tc>
          <w:tcPr>
            <w:tcW w:w="486" w:type="pct"/>
            <w:vAlign w:val="center"/>
          </w:tcPr>
          <w:p w14:paraId="619648F5"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hint="eastAsia"/>
                <w:color w:val="000000" w:themeColor="text1"/>
                <w:sz w:val="24"/>
                <w:szCs w:val="24"/>
              </w:rPr>
              <w:t>9</w:t>
            </w:r>
          </w:p>
        </w:tc>
        <w:tc>
          <w:tcPr>
            <w:tcW w:w="2847" w:type="pct"/>
            <w:vAlign w:val="center"/>
          </w:tcPr>
          <w:p w14:paraId="398CF874" w14:textId="77777777" w:rsidR="008137F8" w:rsidRPr="001E17A1" w:rsidRDefault="00000000">
            <w:pPr>
              <w:snapToGrid w:val="0"/>
              <w:spacing w:line="360" w:lineRule="auto"/>
              <w:jc w:val="left"/>
              <w:rPr>
                <w:rFonts w:ascii="宋体" w:hAnsi="宋体" w:hint="eastAsia"/>
                <w:color w:val="000000" w:themeColor="text1"/>
                <w:sz w:val="24"/>
                <w:szCs w:val="24"/>
              </w:rPr>
            </w:pPr>
            <w:r w:rsidRPr="001E17A1">
              <w:rPr>
                <w:rFonts w:ascii="宋体" w:hAnsi="宋体" w:hint="eastAsia"/>
                <w:color w:val="000000" w:themeColor="text1"/>
                <w:sz w:val="24"/>
                <w:szCs w:val="24"/>
              </w:rPr>
              <w:t>产生直接或间接财政经济损失</w:t>
            </w:r>
          </w:p>
        </w:tc>
        <w:tc>
          <w:tcPr>
            <w:tcW w:w="1667" w:type="pct"/>
            <w:vAlign w:val="center"/>
          </w:tcPr>
          <w:p w14:paraId="5BF55368" w14:textId="77777777" w:rsidR="008137F8" w:rsidRPr="001E17A1" w:rsidRDefault="00000000">
            <w:pPr>
              <w:snapToGrid w:val="0"/>
              <w:spacing w:line="360" w:lineRule="auto"/>
              <w:jc w:val="center"/>
              <w:rPr>
                <w:rFonts w:ascii="宋体" w:hAnsi="宋体" w:hint="eastAsia"/>
                <w:color w:val="000000" w:themeColor="text1"/>
                <w:sz w:val="24"/>
                <w:szCs w:val="24"/>
              </w:rPr>
            </w:pPr>
            <w:r w:rsidRPr="001E17A1">
              <w:rPr>
                <w:rFonts w:ascii="宋体" w:hAnsi="宋体" w:hint="eastAsia"/>
                <w:color w:val="000000" w:themeColor="text1"/>
                <w:sz w:val="24"/>
                <w:szCs w:val="24"/>
              </w:rPr>
              <w:t>实际财政经济损失</w:t>
            </w:r>
          </w:p>
        </w:tc>
      </w:tr>
    </w:tbl>
    <w:p w14:paraId="174AC3CA" w14:textId="77777777" w:rsidR="008137F8" w:rsidRPr="001E17A1" w:rsidRDefault="00000000">
      <w:pPr>
        <w:pStyle w:val="2"/>
        <w:snapToGrid w:val="0"/>
        <w:spacing w:before="0"/>
        <w:ind w:left="0" w:firstLine="0"/>
        <w:rPr>
          <w:rFonts w:ascii="宋体" w:hAnsi="宋体" w:hint="eastAsia"/>
          <w:color w:val="000000" w:themeColor="text1"/>
          <w:sz w:val="24"/>
          <w:szCs w:val="24"/>
        </w:rPr>
      </w:pPr>
      <w:bookmarkStart w:id="32" w:name="_Toc34292066"/>
      <w:bookmarkStart w:id="33" w:name="_Toc20010877"/>
      <w:bookmarkStart w:id="34" w:name="_Toc371617408"/>
      <w:bookmarkStart w:id="35" w:name="_Toc373845881"/>
      <w:bookmarkStart w:id="36" w:name="_Toc20040472"/>
      <w:r w:rsidRPr="001E17A1">
        <w:rPr>
          <w:rFonts w:ascii="宋体" w:hAnsi="宋体" w:hint="eastAsia"/>
          <w:color w:val="000000" w:themeColor="text1"/>
          <w:sz w:val="24"/>
          <w:szCs w:val="24"/>
        </w:rPr>
        <w:t>服务交付质量评估和项目验收</w:t>
      </w:r>
    </w:p>
    <w:p w14:paraId="099BDE9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在服务期内，采购方按先用后付、阶段评估、周期验收的方式对运营服务交付的数量和质量进行评估和验收。</w:t>
      </w:r>
    </w:p>
    <w:p w14:paraId="01B5039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1）服务交付质量评估：原则上每2个月开展1次服务交付质量评估工作，对期间已完成交付的每1个服务单进行服务交付数量和质量的评估。根据中标人期间已完成实际交付的每1个服务单情况，经第三方监管机构审核和评估，明确各服务项有效完成数量、服务交付质量评估分值和质量系数，按照中标服务项单价计算服务费用（该服务单服务费=服务项单价×服务项使用量×质量系数）。</w:t>
      </w:r>
    </w:p>
    <w:p w14:paraId="495EC90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（2）内部验收：按需进行项目阶段性验收和1次内部总项目验收。采购方组织第三方监管机构、专家进行项目内部验收。</w:t>
      </w:r>
    </w:p>
    <w:p w14:paraId="0020950A"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（3）最终验收：内部验收通过后，采购方将内部验收结果报主管部门进行审核。审核通过后即视为项目最终验收通过。</w:t>
      </w:r>
    </w:p>
    <w:bookmarkEnd w:id="32"/>
    <w:bookmarkEnd w:id="33"/>
    <w:bookmarkEnd w:id="34"/>
    <w:bookmarkEnd w:id="35"/>
    <w:bookmarkEnd w:id="36"/>
    <w:p w14:paraId="133DE834" w14:textId="77777777" w:rsidR="008137F8" w:rsidRPr="001E17A1" w:rsidRDefault="00000000">
      <w:pPr>
        <w:pStyle w:val="1"/>
        <w:snapToGrid w:val="0"/>
        <w:spacing w:before="0" w:afterLines="0"/>
        <w:rPr>
          <w:rFonts w:ascii="宋体" w:hAnsi="宋体" w:hint="eastAsia"/>
          <w:color w:val="000000" w:themeColor="text1"/>
          <w:sz w:val="24"/>
          <w:szCs w:val="24"/>
        </w:rPr>
      </w:pPr>
      <w:r w:rsidRPr="001E17A1">
        <w:rPr>
          <w:rFonts w:ascii="宋体" w:hAnsi="宋体" w:hint="eastAsia"/>
          <w:color w:val="000000" w:themeColor="text1"/>
          <w:sz w:val="24"/>
          <w:szCs w:val="24"/>
        </w:rPr>
        <w:t>投标报价</w:t>
      </w:r>
    </w:p>
    <w:p w14:paraId="0BA0DCFC" w14:textId="77777777" w:rsidR="008137F8" w:rsidRPr="001E17A1" w:rsidRDefault="00000000">
      <w:pPr>
        <w:pStyle w:val="2"/>
        <w:snapToGrid w:val="0"/>
        <w:spacing w:before="0"/>
        <w:ind w:left="0" w:firstLine="0"/>
        <w:rPr>
          <w:rFonts w:ascii="宋体" w:hAnsi="宋体" w:hint="eastAsia"/>
          <w:color w:val="000000" w:themeColor="text1"/>
          <w:sz w:val="24"/>
          <w:szCs w:val="24"/>
        </w:rPr>
      </w:pPr>
      <w:bookmarkStart w:id="37" w:name="_Toc29752852"/>
      <w:bookmarkStart w:id="38" w:name="_Toc29752851"/>
      <w:bookmarkStart w:id="39" w:name="_Toc430688917"/>
      <w:bookmarkStart w:id="40" w:name="_Toc34292039"/>
      <w:bookmarkStart w:id="41" w:name="_Toc19802434"/>
      <w:bookmarkStart w:id="42" w:name="_Toc430911020"/>
      <w:bookmarkEnd w:id="37"/>
      <w:bookmarkEnd w:id="38"/>
      <w:r w:rsidRPr="001E17A1">
        <w:rPr>
          <w:rFonts w:ascii="宋体" w:hAnsi="宋体" w:hint="eastAsia"/>
          <w:color w:val="000000" w:themeColor="text1"/>
          <w:sz w:val="24"/>
          <w:szCs w:val="24"/>
        </w:rPr>
        <w:t>投标报价要求</w:t>
      </w:r>
    </w:p>
    <w:p w14:paraId="45638B74"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投标人按数据运营服务内容逐项填报各服务项单价形成《报价分类明细表》。</w:t>
      </w:r>
    </w:p>
    <w:p w14:paraId="02FB1BAE"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w:t>
      </w:r>
      <w:r w:rsidRPr="001E17A1">
        <w:rPr>
          <w:rFonts w:ascii="宋体" w:hAnsi="宋体"/>
          <w:color w:val="000000" w:themeColor="text1"/>
          <w:sz w:val="24"/>
          <w:szCs w:val="24"/>
        </w:rPr>
        <w:t>投标人所填报的自报单价不得超过单价限价</w:t>
      </w:r>
      <w:r w:rsidRPr="001E17A1">
        <w:rPr>
          <w:rFonts w:ascii="宋体" w:hAnsi="宋体" w:hint="eastAsia"/>
          <w:color w:val="000000" w:themeColor="text1"/>
          <w:sz w:val="24"/>
          <w:szCs w:val="24"/>
        </w:rPr>
        <w:t>，</w:t>
      </w:r>
      <w:r w:rsidRPr="001E17A1">
        <w:rPr>
          <w:rFonts w:ascii="宋体" w:hAnsi="宋体"/>
          <w:color w:val="000000" w:themeColor="text1"/>
          <w:sz w:val="24"/>
          <w:szCs w:val="24"/>
        </w:rPr>
        <w:t>否则作无效投标处理</w:t>
      </w:r>
      <w:r w:rsidRPr="001E17A1">
        <w:rPr>
          <w:rFonts w:ascii="宋体" w:hAnsi="宋体" w:hint="eastAsia"/>
          <w:color w:val="000000" w:themeColor="text1"/>
          <w:sz w:val="24"/>
          <w:szCs w:val="24"/>
        </w:rPr>
        <w:t>。</w:t>
      </w:r>
    </w:p>
    <w:p w14:paraId="38164177"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各投标人应详细了解项目实际应用要求、现状与各种可能产生影响的因素制定项目技术和实施方案，充分考虑在项目实施期限内各项工作所必须发生的各类费用及应承担的相关责任后进行报价，根据数据运营服务目录正确填写《</w:t>
      </w:r>
      <w:r w:rsidRPr="001E17A1">
        <w:rPr>
          <w:rFonts w:ascii="宋体" w:hAnsi="宋体"/>
          <w:color w:val="000000" w:themeColor="text1"/>
          <w:sz w:val="24"/>
          <w:szCs w:val="24"/>
        </w:rPr>
        <w:t>报价分类明细表</w:t>
      </w:r>
      <w:r w:rsidRPr="001E17A1">
        <w:rPr>
          <w:rFonts w:ascii="宋体" w:hAnsi="宋体" w:hint="eastAsia"/>
          <w:color w:val="000000" w:themeColor="text1"/>
          <w:sz w:val="24"/>
          <w:szCs w:val="24"/>
        </w:rPr>
        <w:t>》。一旦中标，《</w:t>
      </w:r>
      <w:r w:rsidRPr="001E17A1">
        <w:rPr>
          <w:rFonts w:ascii="宋体" w:hAnsi="宋体"/>
          <w:color w:val="000000" w:themeColor="text1"/>
          <w:sz w:val="24"/>
          <w:szCs w:val="24"/>
        </w:rPr>
        <w:t>报价分类明细表</w:t>
      </w:r>
      <w:r w:rsidRPr="001E17A1">
        <w:rPr>
          <w:rFonts w:ascii="宋体" w:hAnsi="宋体" w:hint="eastAsia"/>
          <w:color w:val="000000" w:themeColor="text1"/>
          <w:sz w:val="24"/>
          <w:szCs w:val="24"/>
        </w:rPr>
        <w:t>》的服务单价即为合同价结算依据。结算时以</w:t>
      </w:r>
      <w:r w:rsidRPr="001E17A1">
        <w:rPr>
          <w:rFonts w:ascii="宋体" w:hAnsi="宋体"/>
          <w:color w:val="000000" w:themeColor="text1"/>
          <w:sz w:val="24"/>
          <w:szCs w:val="24"/>
        </w:rPr>
        <w:t>各项服务内容</w:t>
      </w:r>
      <w:r w:rsidRPr="001E17A1">
        <w:rPr>
          <w:rFonts w:ascii="宋体" w:hAnsi="宋体" w:hint="eastAsia"/>
          <w:color w:val="000000" w:themeColor="text1"/>
          <w:sz w:val="24"/>
          <w:szCs w:val="24"/>
        </w:rPr>
        <w:t>单价*经招标人确认后的实际发生数量进行结算，</w:t>
      </w:r>
      <w:r w:rsidRPr="001E17A1">
        <w:rPr>
          <w:rFonts w:ascii="宋体" w:hAnsi="宋体"/>
          <w:color w:val="000000" w:themeColor="text1"/>
          <w:sz w:val="24"/>
          <w:szCs w:val="24"/>
        </w:rPr>
        <w:t>各</w:t>
      </w:r>
      <w:r w:rsidRPr="001E17A1">
        <w:rPr>
          <w:rFonts w:ascii="宋体" w:hAnsi="宋体" w:hint="eastAsia"/>
          <w:color w:val="000000" w:themeColor="text1"/>
          <w:sz w:val="24"/>
          <w:szCs w:val="24"/>
        </w:rPr>
        <w:t>类工作占合同总比例为：</w:t>
      </w:r>
      <w:r w:rsidRPr="001E17A1">
        <w:rPr>
          <w:rFonts w:ascii="宋体" w:hAnsi="宋体"/>
          <w:color w:val="000000" w:themeColor="text1"/>
          <w:sz w:val="24"/>
          <w:szCs w:val="24"/>
        </w:rPr>
        <w:t>基础服务类50%、应用服务类40%、创新服务类10%</w:t>
      </w:r>
      <w:r w:rsidRPr="001E17A1">
        <w:rPr>
          <w:rFonts w:ascii="宋体" w:hAnsi="宋体" w:hint="eastAsia"/>
          <w:color w:val="000000" w:themeColor="text1"/>
          <w:sz w:val="24"/>
          <w:szCs w:val="24"/>
        </w:rPr>
        <w:t>。以上三</w:t>
      </w:r>
      <w:r w:rsidRPr="001E17A1">
        <w:rPr>
          <w:rFonts w:ascii="宋体" w:hAnsi="宋体"/>
          <w:color w:val="000000" w:themeColor="text1"/>
          <w:sz w:val="24"/>
          <w:szCs w:val="24"/>
        </w:rPr>
        <w:t>类工作</w:t>
      </w:r>
      <w:r w:rsidRPr="001E17A1">
        <w:rPr>
          <w:rFonts w:ascii="宋体" w:hAnsi="宋体" w:hint="eastAsia"/>
          <w:color w:val="000000" w:themeColor="text1"/>
          <w:sz w:val="24"/>
          <w:szCs w:val="24"/>
        </w:rPr>
        <w:t>最终结算金额不超过各类工作比例*合同总价，项目结算总金额不超过合同总价</w:t>
      </w:r>
      <w:r w:rsidRPr="001E17A1">
        <w:rPr>
          <w:rFonts w:ascii="宋体" w:hAnsi="宋体"/>
          <w:color w:val="000000" w:themeColor="text1"/>
          <w:sz w:val="24"/>
          <w:szCs w:val="24"/>
        </w:rPr>
        <w:t>。</w:t>
      </w:r>
    </w:p>
    <w:p w14:paraId="0CA78457"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本项目服务费应是投标人根据项目实际应用要求达到采购需求目标、完成项目所需的所有费用，包括提供数据运营服务所需劳务及各类成本，以及人员开支、系统测试、调校、试运转、培训等服务、有关保险费用、实施相关的措施费、制度流程规范研制费、资料整理编制费、财务费、利润、税金等费用，以及合同明示或暗示的所有责任、义务和一般风险，无论此等义务和风险是否在合同文件中详细指出。若招标文件提出的相关配置或要求中存在不合理或不完整的内容，投标人应在投标文件中进行补充和修正，所产生的费用应纳入到投标价中。服务过程中若发生类似知识产权、软件、专利费等费用，投标人应一并考虑并纳入到投标价中。</w:t>
      </w:r>
    </w:p>
    <w:p w14:paraId="1DC199A1"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t>投标报价服务项内容、最高限价</w:t>
      </w:r>
      <w:bookmarkStart w:id="43" w:name="_Toc20040473"/>
      <w:bookmarkStart w:id="44" w:name="_Toc34292067"/>
      <w:bookmarkStart w:id="45" w:name="_Toc457997424"/>
      <w:bookmarkStart w:id="46" w:name="_Toc420533375"/>
      <w:bookmarkStart w:id="47" w:name="_Toc194070749"/>
      <w:bookmarkStart w:id="48" w:name="_Toc201332010"/>
      <w:bookmarkStart w:id="49" w:name="_Toc521630875"/>
      <w:bookmarkStart w:id="50" w:name="_Toc16087633"/>
      <w:bookmarkStart w:id="51" w:name="_Toc404174650"/>
      <w:bookmarkStart w:id="52" w:name="_Toc20010878"/>
      <w:bookmarkEnd w:id="13"/>
      <w:bookmarkEnd w:id="14"/>
      <w:bookmarkEnd w:id="15"/>
      <w:bookmarkEnd w:id="16"/>
      <w:bookmarkEnd w:id="39"/>
      <w:bookmarkEnd w:id="40"/>
      <w:bookmarkEnd w:id="41"/>
      <w:bookmarkEnd w:id="42"/>
    </w:p>
    <w:p w14:paraId="6849C3B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详见《报价分类明细表格式》</w:t>
      </w:r>
    </w:p>
    <w:p w14:paraId="17702866" w14:textId="77777777" w:rsidR="008137F8" w:rsidRPr="001E17A1" w:rsidRDefault="00000000">
      <w:pPr>
        <w:pStyle w:val="2"/>
        <w:numPr>
          <w:ilvl w:val="1"/>
          <w:numId w:val="0"/>
        </w:numPr>
        <w:snapToGrid w:val="0"/>
        <w:spacing w:before="0"/>
        <w:rPr>
          <w:rFonts w:ascii="宋体" w:hAnsi="宋体" w:cs="仿宋" w:hint="eastAsia"/>
          <w:color w:val="000000" w:themeColor="text1"/>
          <w:sz w:val="24"/>
          <w:szCs w:val="24"/>
        </w:rPr>
      </w:pPr>
      <w:r w:rsidRPr="001E17A1">
        <w:rPr>
          <w:rFonts w:ascii="宋体" w:hAnsi="宋体" w:cs="仿宋" w:hint="eastAsia"/>
          <w:color w:val="000000" w:themeColor="text1"/>
          <w:sz w:val="24"/>
          <w:szCs w:val="24"/>
        </w:rPr>
        <w:t>4.3 过程及验收管理</w:t>
      </w:r>
    </w:p>
    <w:p w14:paraId="51D6B37F" w14:textId="77777777" w:rsidR="008137F8" w:rsidRPr="001E17A1" w:rsidRDefault="00000000">
      <w:pPr>
        <w:pStyle w:val="ab"/>
        <w:snapToGrid w:val="0"/>
        <w:ind w:firstLine="360"/>
        <w:rPr>
          <w:rFonts w:hAnsi="宋体" w:hint="eastAsia"/>
          <w:color w:val="000000" w:themeColor="text1"/>
          <w:spacing w:val="0"/>
          <w:szCs w:val="24"/>
        </w:rPr>
      </w:pPr>
      <w:r w:rsidRPr="001E17A1">
        <w:rPr>
          <w:rFonts w:hAnsi="宋体" w:hint="eastAsia"/>
          <w:color w:val="000000" w:themeColor="text1"/>
          <w:spacing w:val="0"/>
          <w:szCs w:val="24"/>
        </w:rPr>
        <w:t>（1）运营服务管理子平台：需满足数据服务集成商、第三方支撑单位和采购方等不同用户角色的使用要求，通过运营服务管理子平台实现服务单发放流</w:t>
      </w:r>
      <w:r w:rsidRPr="001E17A1">
        <w:rPr>
          <w:rFonts w:hAnsi="宋体" w:hint="eastAsia"/>
          <w:color w:val="000000" w:themeColor="text1"/>
          <w:spacing w:val="0"/>
          <w:szCs w:val="24"/>
        </w:rPr>
        <w:lastRenderedPageBreak/>
        <w:t>程、交付流程、阶段工作量结算、项目过程及验收管理的相关使用需求，相关文档应在运营服务管理子平台进行流转和归档；</w:t>
      </w:r>
    </w:p>
    <w:p w14:paraId="328AFD27" w14:textId="77777777" w:rsidR="008137F8" w:rsidRPr="001E17A1" w:rsidRDefault="00000000">
      <w:pPr>
        <w:pStyle w:val="ab"/>
        <w:snapToGrid w:val="0"/>
        <w:ind w:firstLine="360"/>
        <w:rPr>
          <w:rFonts w:hAnsi="宋体" w:hint="eastAsia"/>
          <w:color w:val="000000" w:themeColor="text1"/>
          <w:spacing w:val="0"/>
          <w:szCs w:val="24"/>
        </w:rPr>
      </w:pPr>
      <w:r w:rsidRPr="001E17A1">
        <w:rPr>
          <w:rFonts w:hAnsi="宋体" w:hint="eastAsia"/>
          <w:color w:val="000000" w:themeColor="text1"/>
          <w:spacing w:val="0"/>
          <w:szCs w:val="24"/>
        </w:rPr>
        <w:t>（2）季度产出量总结报告及数据质量报告：服务期内，每个季度服务结束后，在次月10个工作日内，数据服务商应按照采购方要求按季度提交季度产出量材料及数据质量材料至第三方支撑单位。数据服务集成商应配合第三方支撑单位，自提交报告10个工作日内完成季度产出量总结报告及数据质量报告内容的修改，并协助第三方支撑单位将修改后的季度产出量总结报告及数据质量评估报告提交至采购方，未按时提交以上材料将扣除数据服务集成商及第三方月度服务费3%；</w:t>
      </w:r>
    </w:p>
    <w:p w14:paraId="24B901A9" w14:textId="77777777" w:rsidR="008137F8" w:rsidRPr="001E17A1" w:rsidRDefault="00000000">
      <w:pPr>
        <w:pStyle w:val="ab"/>
        <w:snapToGrid w:val="0"/>
        <w:ind w:firstLine="360"/>
        <w:rPr>
          <w:rFonts w:hAnsi="宋体" w:hint="eastAsia"/>
          <w:color w:val="000000" w:themeColor="text1"/>
          <w:spacing w:val="0"/>
          <w:szCs w:val="24"/>
        </w:rPr>
      </w:pPr>
      <w:r w:rsidRPr="001E17A1">
        <w:rPr>
          <w:rFonts w:hAnsi="宋体" w:hint="eastAsia"/>
          <w:color w:val="000000" w:themeColor="text1"/>
          <w:spacing w:val="0"/>
          <w:szCs w:val="24"/>
        </w:rPr>
        <w:t>（3）阶段工作量验收：在第9个月设工作验收点。数据服务集成商应按照采购方要求，在阶段验收节点后的10个工作日内提交相关材料至第三方支撑单位，并根据第三方支撑单位意见及时修改完善；数据服务集成商应配合第三方支撑单位，自提交材料之日起的15个工作日内完成阶段验收材料内容修改，并协助第三方支撑单位将修改后的阶段验收材料提交至采购方；未按时提交以上材料将扣除数据服务集成商相应服务周期对应服务费3%；</w:t>
      </w:r>
    </w:p>
    <w:p w14:paraId="1CAA36AE" w14:textId="77777777" w:rsidR="008137F8" w:rsidRPr="001E17A1" w:rsidRDefault="00000000">
      <w:pPr>
        <w:pStyle w:val="ab"/>
        <w:snapToGrid w:val="0"/>
        <w:ind w:firstLine="360"/>
        <w:rPr>
          <w:rFonts w:hAnsi="宋体" w:hint="eastAsia"/>
          <w:color w:val="000000" w:themeColor="text1"/>
          <w:spacing w:val="0"/>
          <w:szCs w:val="24"/>
        </w:rPr>
      </w:pPr>
      <w:r w:rsidRPr="001E17A1">
        <w:rPr>
          <w:rFonts w:hAnsi="宋体" w:hint="eastAsia"/>
          <w:color w:val="000000" w:themeColor="text1"/>
          <w:spacing w:val="0"/>
          <w:szCs w:val="24"/>
        </w:rPr>
        <w:t>（4）项目验收：本项目周期完成后应发起项目验收。数据服务集成商应按照采购方要求，在项目工作结束后的20个工作日内提交相关材料至第三方支撑单位；数据服务集成商应配合第三方支撑单位，自提交材料之日起的15个工作日内完成项目结算材料内容修改，并协助第三方支撑单位将修改后的阶段结算材料提交至采购方；未按时提交以上材料将扣除数据服务集成商相应服务周期对应服务费3%。</w:t>
      </w:r>
    </w:p>
    <w:p w14:paraId="4796708A" w14:textId="77777777" w:rsidR="008137F8" w:rsidRPr="001E17A1" w:rsidRDefault="00000000">
      <w:pPr>
        <w:pStyle w:val="2"/>
        <w:numPr>
          <w:ilvl w:val="1"/>
          <w:numId w:val="0"/>
        </w:numPr>
        <w:snapToGrid w:val="0"/>
        <w:spacing w:before="0"/>
        <w:rPr>
          <w:rFonts w:ascii="宋体" w:hAnsi="宋体" w:cs="仿宋" w:hint="eastAsia"/>
          <w:color w:val="000000" w:themeColor="text1"/>
          <w:sz w:val="24"/>
          <w:szCs w:val="24"/>
        </w:rPr>
      </w:pPr>
      <w:r w:rsidRPr="001E17A1">
        <w:rPr>
          <w:rFonts w:ascii="宋体" w:hAnsi="宋体" w:cs="仿宋" w:hint="eastAsia"/>
          <w:color w:val="000000" w:themeColor="text1"/>
          <w:sz w:val="24"/>
          <w:szCs w:val="24"/>
        </w:rPr>
        <w:t>4.4 工作量结算</w:t>
      </w:r>
    </w:p>
    <w:p w14:paraId="56718E87" w14:textId="77777777" w:rsidR="008137F8" w:rsidRPr="001E17A1" w:rsidRDefault="00000000">
      <w:pPr>
        <w:pStyle w:val="ab"/>
        <w:snapToGrid w:val="0"/>
        <w:ind w:firstLine="360"/>
        <w:rPr>
          <w:rFonts w:hAnsi="宋体" w:hint="eastAsia"/>
          <w:color w:val="000000" w:themeColor="text1"/>
          <w:spacing w:val="0"/>
          <w:szCs w:val="24"/>
        </w:rPr>
      </w:pPr>
      <w:r w:rsidRPr="001E17A1">
        <w:rPr>
          <w:rFonts w:hAnsi="宋体" w:hint="eastAsia"/>
          <w:color w:val="000000" w:themeColor="text1"/>
          <w:spacing w:val="0"/>
          <w:szCs w:val="24"/>
        </w:rPr>
        <w:t>（1）阶段工作量达到70%，采购方收到相关月报及第三方季报的情况下，进行第二笔进度款支付，第12个月项目验收通过后进行工作量结算，应经采购方审定，并向上级主管部门进行汇报后支付。</w:t>
      </w:r>
    </w:p>
    <w:p w14:paraId="1A699B09" w14:textId="77777777" w:rsidR="008137F8" w:rsidRPr="001E17A1" w:rsidRDefault="00000000">
      <w:pPr>
        <w:pStyle w:val="ab"/>
        <w:snapToGrid w:val="0"/>
        <w:ind w:firstLine="360"/>
        <w:rPr>
          <w:rFonts w:hAnsi="宋体" w:hint="eastAsia"/>
          <w:color w:val="000000" w:themeColor="text1"/>
          <w:spacing w:val="0"/>
          <w:szCs w:val="24"/>
        </w:rPr>
      </w:pPr>
      <w:r w:rsidRPr="001E17A1">
        <w:rPr>
          <w:rFonts w:hAnsi="宋体" w:hint="eastAsia"/>
          <w:color w:val="000000" w:themeColor="text1"/>
          <w:spacing w:val="0"/>
          <w:szCs w:val="24"/>
        </w:rPr>
        <w:t>（2）项目周期结算，采购方应在阶段工作量结算的基础上，根据上级主管部门审定金额，并结合本项目周期工作完成、绩效达成、服务质量及各类违约情况统筹后进行结算，并作为最终项目付款依据。</w:t>
      </w:r>
    </w:p>
    <w:p w14:paraId="1DC9AFB1" w14:textId="77777777" w:rsidR="008137F8" w:rsidRPr="001E17A1" w:rsidRDefault="00000000">
      <w:pPr>
        <w:pStyle w:val="1"/>
        <w:snapToGrid w:val="0"/>
        <w:spacing w:before="0" w:afterLines="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其它</w:t>
      </w:r>
      <w:bookmarkEnd w:id="43"/>
      <w:bookmarkEnd w:id="44"/>
      <w:bookmarkEnd w:id="45"/>
      <w:bookmarkEnd w:id="46"/>
      <w:bookmarkEnd w:id="47"/>
      <w:bookmarkEnd w:id="48"/>
      <w:bookmarkEnd w:id="49"/>
      <w:bookmarkEnd w:id="50"/>
      <w:bookmarkEnd w:id="51"/>
      <w:bookmarkEnd w:id="52"/>
    </w:p>
    <w:p w14:paraId="43EB4464"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t>投标要求</w:t>
      </w:r>
    </w:p>
    <w:p w14:paraId="6D862DD8"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（1）投标人需介绍自己公司的背景情况和资信状况</w:t>
      </w:r>
      <w:r w:rsidRPr="001E17A1">
        <w:rPr>
          <w:rFonts w:ascii="宋体" w:hAnsi="宋体" w:hint="eastAsia"/>
          <w:color w:val="000000" w:themeColor="text1"/>
          <w:sz w:val="24"/>
          <w:szCs w:val="24"/>
        </w:rPr>
        <w:t>。</w:t>
      </w:r>
    </w:p>
    <w:p w14:paraId="5576232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（2）投标人需介绍自己公司在类似项目的成功案例</w:t>
      </w:r>
      <w:r w:rsidRPr="001E17A1">
        <w:rPr>
          <w:rFonts w:ascii="宋体" w:hAnsi="宋体" w:hint="eastAsia"/>
          <w:color w:val="000000" w:themeColor="text1"/>
          <w:sz w:val="24"/>
          <w:szCs w:val="24"/>
        </w:rPr>
        <w:t>。</w:t>
      </w:r>
    </w:p>
    <w:p w14:paraId="7704D53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hint="eastAsia"/>
          <w:color w:val="000000" w:themeColor="text1"/>
          <w:sz w:val="24"/>
          <w:szCs w:val="24"/>
        </w:rPr>
        <w:t>3</w:t>
      </w:r>
      <w:r w:rsidRPr="001E17A1">
        <w:rPr>
          <w:rFonts w:ascii="宋体" w:hAnsi="宋体"/>
          <w:color w:val="000000" w:themeColor="text1"/>
          <w:sz w:val="24"/>
          <w:szCs w:val="24"/>
        </w:rPr>
        <w:t>）由</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标人原因造成的工期延误，由</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标人赔偿采购方的损失。</w:t>
      </w:r>
    </w:p>
    <w:p w14:paraId="08BEBFA8"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hint="eastAsia"/>
          <w:color w:val="000000" w:themeColor="text1"/>
          <w:sz w:val="24"/>
          <w:szCs w:val="24"/>
        </w:rPr>
        <w:t>4</w:t>
      </w:r>
      <w:r w:rsidRPr="001E17A1">
        <w:rPr>
          <w:rFonts w:ascii="宋体" w:hAnsi="宋体"/>
          <w:color w:val="000000" w:themeColor="text1"/>
          <w:sz w:val="24"/>
          <w:szCs w:val="24"/>
        </w:rPr>
        <w:t>）本技术</w:t>
      </w:r>
      <w:r w:rsidRPr="001E17A1">
        <w:rPr>
          <w:rFonts w:ascii="宋体" w:hAnsi="宋体" w:hint="eastAsia"/>
          <w:color w:val="000000" w:themeColor="text1"/>
          <w:sz w:val="24"/>
          <w:szCs w:val="24"/>
        </w:rPr>
        <w:t>需求</w:t>
      </w:r>
      <w:r w:rsidRPr="001E17A1">
        <w:rPr>
          <w:rFonts w:ascii="宋体" w:hAnsi="宋体"/>
          <w:color w:val="000000" w:themeColor="text1"/>
          <w:sz w:val="24"/>
          <w:szCs w:val="24"/>
        </w:rPr>
        <w:t>书视为保证系统运行所需的基本要求，如有遗漏，投标人</w:t>
      </w:r>
      <w:r w:rsidRPr="001E17A1">
        <w:rPr>
          <w:rFonts w:ascii="宋体" w:hAnsi="宋体" w:hint="eastAsia"/>
          <w:color w:val="000000" w:themeColor="text1"/>
          <w:sz w:val="24"/>
          <w:szCs w:val="24"/>
        </w:rPr>
        <w:t>应</w:t>
      </w:r>
      <w:r w:rsidRPr="001E17A1">
        <w:rPr>
          <w:rFonts w:ascii="宋体" w:hAnsi="宋体"/>
          <w:color w:val="000000" w:themeColor="text1"/>
          <w:sz w:val="24"/>
          <w:szCs w:val="24"/>
        </w:rPr>
        <w:t>予以补充，否则一旦中标将认为</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标人认同遗漏部分并免费提供</w:t>
      </w:r>
      <w:r w:rsidRPr="001E17A1">
        <w:rPr>
          <w:rFonts w:ascii="宋体" w:hAnsi="宋体" w:hint="eastAsia"/>
          <w:color w:val="000000" w:themeColor="text1"/>
          <w:sz w:val="24"/>
          <w:szCs w:val="24"/>
        </w:rPr>
        <w:t>。</w:t>
      </w:r>
    </w:p>
    <w:p w14:paraId="6FEA76E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hint="eastAsia"/>
          <w:color w:val="000000" w:themeColor="text1"/>
          <w:sz w:val="24"/>
          <w:szCs w:val="24"/>
        </w:rPr>
        <w:t>5</w:t>
      </w:r>
      <w:r w:rsidRPr="001E17A1">
        <w:rPr>
          <w:rFonts w:ascii="宋体" w:hAnsi="宋体"/>
          <w:color w:val="000000" w:themeColor="text1"/>
          <w:sz w:val="24"/>
          <w:szCs w:val="24"/>
        </w:rPr>
        <w:t>）投标人确保其技术建议的可行性以及所提供软件的完整性，若出现由于投标人提供的软件不满足要求或其所提供的技术支持和服务不全面而导致系统功能无法实现或不能完全实现，由中标人无偿补足，并负全部责任。</w:t>
      </w:r>
    </w:p>
    <w:p w14:paraId="5FAA9971"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hint="eastAsia"/>
          <w:color w:val="000000" w:themeColor="text1"/>
          <w:sz w:val="24"/>
          <w:szCs w:val="24"/>
        </w:rPr>
        <w:t>6</w:t>
      </w:r>
      <w:r w:rsidRPr="001E17A1">
        <w:rPr>
          <w:rFonts w:ascii="宋体" w:hAnsi="宋体"/>
          <w:color w:val="000000" w:themeColor="text1"/>
          <w:sz w:val="24"/>
          <w:szCs w:val="24"/>
        </w:rPr>
        <w:t>）投标人</w:t>
      </w:r>
      <w:r w:rsidRPr="001E17A1">
        <w:rPr>
          <w:rFonts w:ascii="宋体" w:hAnsi="宋体" w:hint="eastAsia"/>
          <w:color w:val="000000" w:themeColor="text1"/>
          <w:sz w:val="24"/>
          <w:szCs w:val="24"/>
        </w:rPr>
        <w:t>应</w:t>
      </w:r>
      <w:r w:rsidRPr="001E17A1">
        <w:rPr>
          <w:rFonts w:ascii="宋体" w:hAnsi="宋体"/>
          <w:color w:val="000000" w:themeColor="text1"/>
          <w:sz w:val="24"/>
          <w:szCs w:val="24"/>
        </w:rPr>
        <w:t>陈述</w:t>
      </w:r>
      <w:r w:rsidRPr="001E17A1">
        <w:rPr>
          <w:rFonts w:ascii="宋体" w:hAnsi="宋体" w:hint="eastAsia"/>
          <w:color w:val="000000" w:themeColor="text1"/>
          <w:sz w:val="24"/>
          <w:szCs w:val="24"/>
        </w:rPr>
        <w:t>其</w:t>
      </w:r>
      <w:r w:rsidRPr="001E17A1">
        <w:rPr>
          <w:rFonts w:ascii="宋体" w:hAnsi="宋体"/>
          <w:color w:val="000000" w:themeColor="text1"/>
          <w:sz w:val="24"/>
          <w:szCs w:val="24"/>
        </w:rPr>
        <w:t>项目管理模式。</w:t>
      </w:r>
    </w:p>
    <w:p w14:paraId="0D27C622"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w:t>
      </w:r>
      <w:r w:rsidRPr="001E17A1">
        <w:rPr>
          <w:rFonts w:ascii="宋体" w:hAnsi="宋体" w:hint="eastAsia"/>
          <w:color w:val="000000" w:themeColor="text1"/>
          <w:sz w:val="24"/>
          <w:szCs w:val="24"/>
        </w:rPr>
        <w:t>7</w:t>
      </w:r>
      <w:r w:rsidRPr="001E17A1">
        <w:rPr>
          <w:rFonts w:ascii="宋体" w:hAnsi="宋体"/>
          <w:color w:val="000000" w:themeColor="text1"/>
          <w:sz w:val="24"/>
          <w:szCs w:val="24"/>
        </w:rPr>
        <w:t>）投标人应该建立完善</w:t>
      </w:r>
      <w:r w:rsidRPr="001E17A1">
        <w:rPr>
          <w:rFonts w:ascii="宋体" w:hAnsi="宋体" w:hint="eastAsia"/>
          <w:color w:val="000000" w:themeColor="text1"/>
          <w:sz w:val="24"/>
          <w:szCs w:val="24"/>
        </w:rPr>
        <w:t>的</w:t>
      </w:r>
      <w:r w:rsidRPr="001E17A1">
        <w:rPr>
          <w:rFonts w:ascii="宋体" w:hAnsi="宋体"/>
          <w:color w:val="000000" w:themeColor="text1"/>
          <w:sz w:val="24"/>
          <w:szCs w:val="24"/>
        </w:rPr>
        <w:t>技术服务保障体系，形成闭环管理。</w:t>
      </w:r>
    </w:p>
    <w:p w14:paraId="2D89F35D" w14:textId="77777777" w:rsidR="008137F8" w:rsidRPr="001E17A1" w:rsidRDefault="00000000">
      <w:pPr>
        <w:pStyle w:val="2"/>
        <w:snapToGrid w:val="0"/>
        <w:spacing w:before="0"/>
        <w:rPr>
          <w:rFonts w:ascii="宋体" w:hAnsi="宋体" w:hint="eastAsia"/>
          <w:color w:val="000000" w:themeColor="text1"/>
          <w:sz w:val="24"/>
          <w:szCs w:val="24"/>
        </w:rPr>
      </w:pPr>
      <w:bookmarkStart w:id="53" w:name="_Toc34292064"/>
      <w:bookmarkStart w:id="54" w:name="_Toc20010875"/>
      <w:bookmarkStart w:id="55" w:name="_Toc16087631"/>
      <w:bookmarkStart w:id="56" w:name="_Toc20040470"/>
      <w:bookmarkStart w:id="57" w:name="_Toc34292065"/>
      <w:bookmarkStart w:id="58" w:name="_Toc20010876"/>
      <w:bookmarkStart w:id="59" w:name="_Toc20040471"/>
      <w:bookmarkStart w:id="60" w:name="_Toc16087632"/>
      <w:r w:rsidRPr="001E17A1">
        <w:rPr>
          <w:rFonts w:ascii="宋体" w:hAnsi="宋体" w:hint="eastAsia"/>
          <w:color w:val="000000" w:themeColor="text1"/>
          <w:sz w:val="24"/>
          <w:szCs w:val="24"/>
        </w:rPr>
        <w:t>知识产权</w:t>
      </w:r>
      <w:bookmarkEnd w:id="53"/>
      <w:bookmarkEnd w:id="54"/>
      <w:bookmarkEnd w:id="55"/>
      <w:bookmarkEnd w:id="56"/>
      <w:r w:rsidRPr="001E17A1">
        <w:rPr>
          <w:rFonts w:ascii="宋体" w:hAnsi="宋体" w:hint="eastAsia"/>
          <w:color w:val="000000" w:themeColor="text1"/>
          <w:sz w:val="24"/>
          <w:szCs w:val="24"/>
        </w:rPr>
        <w:t>要求</w:t>
      </w:r>
    </w:p>
    <w:p w14:paraId="5DEFB9AB"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本运营服务中形成的知识产权（包含需求分析、系统设计、软件程序、核心技术、数据标准、接口规范、知识库、专有方法、模板、工具包、培训材料、专有数据、技术文档、服务模式、运作模式等，但不限于上述形式）归</w:t>
      </w:r>
      <w:r w:rsidRPr="001E17A1">
        <w:rPr>
          <w:rFonts w:ascii="宋体" w:hAnsi="宋体" w:hint="eastAsia"/>
          <w:color w:val="000000" w:themeColor="text1"/>
          <w:sz w:val="24"/>
          <w:szCs w:val="24"/>
        </w:rPr>
        <w:t>采购方</w:t>
      </w:r>
      <w:r w:rsidRPr="001E17A1">
        <w:rPr>
          <w:rFonts w:ascii="宋体" w:hAnsi="宋体"/>
          <w:color w:val="000000" w:themeColor="text1"/>
          <w:sz w:val="24"/>
          <w:szCs w:val="24"/>
        </w:rPr>
        <w:t>所有。</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标人向采购方交付的信息系统已享有知识产权的，</w:t>
      </w:r>
      <w:r w:rsidRPr="001E17A1">
        <w:rPr>
          <w:rFonts w:ascii="宋体" w:hAnsi="宋体" w:hint="eastAsia"/>
          <w:color w:val="000000" w:themeColor="text1"/>
          <w:sz w:val="24"/>
          <w:szCs w:val="24"/>
        </w:rPr>
        <w:t>中标人应事先申明并保证</w:t>
      </w:r>
      <w:r w:rsidRPr="001E17A1">
        <w:rPr>
          <w:rFonts w:ascii="宋体" w:hAnsi="宋体"/>
          <w:color w:val="000000" w:themeColor="text1"/>
          <w:sz w:val="24"/>
          <w:szCs w:val="24"/>
        </w:rPr>
        <w:t>采购方在许可范围内合理使用。</w:t>
      </w:r>
    </w:p>
    <w:p w14:paraId="32E51D4F"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本运营服务中形成的知识产权的申请权、所有权与利益（包括：专利权、商标权、著作权、商业秘密专有权等，但不限于上述权益的申请权）归</w:t>
      </w:r>
      <w:r w:rsidRPr="001E17A1">
        <w:rPr>
          <w:rFonts w:ascii="宋体" w:hAnsi="宋体" w:hint="eastAsia"/>
          <w:color w:val="000000" w:themeColor="text1"/>
          <w:sz w:val="24"/>
          <w:szCs w:val="24"/>
        </w:rPr>
        <w:t>采购方</w:t>
      </w:r>
      <w:r w:rsidRPr="001E17A1">
        <w:rPr>
          <w:rFonts w:ascii="宋体" w:hAnsi="宋体"/>
          <w:color w:val="000000" w:themeColor="text1"/>
          <w:sz w:val="24"/>
          <w:szCs w:val="24"/>
        </w:rPr>
        <w:t>所有。未经</w:t>
      </w:r>
      <w:r w:rsidRPr="001E17A1">
        <w:rPr>
          <w:rFonts w:ascii="宋体" w:hAnsi="宋体" w:hint="eastAsia"/>
          <w:color w:val="000000" w:themeColor="text1"/>
          <w:sz w:val="24"/>
          <w:szCs w:val="24"/>
        </w:rPr>
        <w:t>采购方</w:t>
      </w:r>
      <w:r w:rsidRPr="001E17A1">
        <w:rPr>
          <w:rFonts w:ascii="宋体" w:hAnsi="宋体"/>
          <w:color w:val="000000" w:themeColor="text1"/>
          <w:sz w:val="24"/>
          <w:szCs w:val="24"/>
        </w:rPr>
        <w:t>书面同意，</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标人及其合作方不得以任何形式</w:t>
      </w:r>
      <w:r w:rsidRPr="001E17A1">
        <w:rPr>
          <w:rFonts w:ascii="宋体" w:hAnsi="宋体" w:hint="eastAsia"/>
          <w:color w:val="000000" w:themeColor="text1"/>
          <w:sz w:val="24"/>
          <w:szCs w:val="24"/>
        </w:rPr>
        <w:t>自行</w:t>
      </w:r>
      <w:r w:rsidRPr="001E17A1">
        <w:rPr>
          <w:rFonts w:ascii="宋体" w:hAnsi="宋体"/>
          <w:color w:val="000000" w:themeColor="text1"/>
          <w:sz w:val="24"/>
          <w:szCs w:val="24"/>
        </w:rPr>
        <w:t>申请。</w:t>
      </w:r>
    </w:p>
    <w:p w14:paraId="17AB78C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标人不得以任何形式侵害本项目中形成的知识产权。未经采购方书面同意，</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标人不得以任何形式提供或出售给</w:t>
      </w:r>
      <w:r w:rsidRPr="001E17A1">
        <w:rPr>
          <w:rFonts w:ascii="宋体" w:hAnsi="宋体" w:hint="eastAsia"/>
          <w:color w:val="000000" w:themeColor="text1"/>
          <w:sz w:val="24"/>
          <w:szCs w:val="24"/>
        </w:rPr>
        <w:t>其他</w:t>
      </w:r>
      <w:r w:rsidRPr="001E17A1">
        <w:rPr>
          <w:rFonts w:ascii="宋体" w:hAnsi="宋体"/>
          <w:color w:val="000000" w:themeColor="text1"/>
          <w:sz w:val="24"/>
          <w:szCs w:val="24"/>
        </w:rPr>
        <w:t>单位使用。若发生侵害行为，</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标人则全额赔付采购方本项目中标金额以及</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标人通过侵害行为获得的全部收益。</w:t>
      </w:r>
    </w:p>
    <w:p w14:paraId="2EFB00E5"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color w:val="000000" w:themeColor="text1"/>
          <w:sz w:val="24"/>
          <w:szCs w:val="24"/>
        </w:rPr>
        <w:t>没有采购方明示的书面同意，</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标人不能作出关于本项目或者其条款的任何新闻公告、媒体宣传或其他形式的公开披露。</w:t>
      </w:r>
    </w:p>
    <w:p w14:paraId="0EEB921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标人提供的产品和服务等不得侵犯任何第三方的知识产权。若发生侵权行为，一切法律责任、后果及损失均由</w:t>
      </w:r>
      <w:r w:rsidRPr="001E17A1">
        <w:rPr>
          <w:rFonts w:ascii="宋体" w:hAnsi="宋体" w:hint="eastAsia"/>
          <w:color w:val="000000" w:themeColor="text1"/>
          <w:sz w:val="24"/>
          <w:szCs w:val="24"/>
        </w:rPr>
        <w:t>中</w:t>
      </w:r>
      <w:r w:rsidRPr="001E17A1">
        <w:rPr>
          <w:rFonts w:ascii="宋体" w:hAnsi="宋体"/>
          <w:color w:val="000000" w:themeColor="text1"/>
          <w:sz w:val="24"/>
          <w:szCs w:val="24"/>
        </w:rPr>
        <w:t>标人承担，采购方不承担任何法律责任及后果，且保留追责权。</w:t>
      </w:r>
    </w:p>
    <w:p w14:paraId="67B5BC42" w14:textId="77777777" w:rsidR="008137F8" w:rsidRPr="001E17A1" w:rsidRDefault="00000000">
      <w:pPr>
        <w:pStyle w:val="2"/>
        <w:snapToGrid w:val="0"/>
        <w:spacing w:befor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保密</w:t>
      </w:r>
      <w:bookmarkEnd w:id="57"/>
      <w:bookmarkEnd w:id="58"/>
      <w:bookmarkEnd w:id="59"/>
      <w:bookmarkEnd w:id="60"/>
      <w:r w:rsidRPr="001E17A1">
        <w:rPr>
          <w:rFonts w:ascii="宋体" w:hAnsi="宋体" w:hint="eastAsia"/>
          <w:color w:val="000000" w:themeColor="text1"/>
          <w:sz w:val="24"/>
          <w:szCs w:val="24"/>
        </w:rPr>
        <w:t>要求</w:t>
      </w:r>
    </w:p>
    <w:p w14:paraId="7BD4FE4D"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因履行本项目而知悉的所有数据、信息和资料（包括但不限于账号信息、图表、文字、计算过程、任何形式的文件、访谈记录、现场实测数据、采购方相关工作程序等）以及因履行本项目而形成的数据、信息和任何形式的工作成果，均是采购方要求保密的信息。未经采购方书面同意，中标人不得对外泄露采购方要求保密的信息，不得用于其他用途，否则中标人需承担由此引起的法律责任和经济责任，包括但不限于直接损失、间接损失、律师费、诉讼费/仲裁费、调查费、公证费等。</w:t>
      </w:r>
    </w:p>
    <w:p w14:paraId="07E19BCA"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对采购方提拱的临时使用账号要保密，不得公开，对组件开发的账号密码需进行加密，避免信息泄露，确保信息安全。未经采购方的同意不得利用采购方的网络及平台进行短信、彩信发送，否则产生的一切后果由中标人负责。</w:t>
      </w:r>
    </w:p>
    <w:p w14:paraId="6B0B37D7"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应采取必要的有效措施保证其参与本项目的人员（包括中标人的聘用人员、借调人员、实习人员等）无论是在职或离职后，以及中标人的合作方无论是合作中或合作终止后，都能够履行本项目约定的保密义务。若中标人人员或合作方违反本条规定，中标人应承担连带责任。</w:t>
      </w:r>
    </w:p>
    <w:p w14:paraId="78D51FAE"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中标人（含中标人参与本项目的人员及合作方）未经采购方书面许可，不得以任何形式自行使用或以任何方式向第三方披露、转让、授权、出售与本项目有关的技术成果、计算机软件、源代码、策划文档、技术诀窍、秘密信息、技术资料和其他文件。中标人不以实施项目为名，侵害本项目各参与单位的技术、商业秘密或者知识产权。</w:t>
      </w:r>
    </w:p>
    <w:p w14:paraId="31A68116"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本招标需求书仅作为中标人投标依据，未经采购方书面许可，不可转发第三方或随意传播。</w:t>
      </w:r>
    </w:p>
    <w:p w14:paraId="70FC0F3C"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以上内容的保密期限自中标人知悉保密信息起至保密信息被合法公开之日止。</w:t>
      </w:r>
    </w:p>
    <w:p w14:paraId="0CA8C7F0" w14:textId="77777777" w:rsidR="008137F8" w:rsidRPr="001E17A1" w:rsidRDefault="00000000">
      <w:pPr>
        <w:pStyle w:val="2"/>
        <w:widowControl/>
        <w:snapToGrid w:val="0"/>
        <w:spacing w:before="0"/>
        <w:ind w:left="0" w:firstLine="0"/>
        <w:jc w:val="left"/>
        <w:rPr>
          <w:rFonts w:ascii="宋体" w:hAnsi="宋体" w:hint="eastAsia"/>
          <w:color w:val="000000" w:themeColor="text1"/>
          <w:sz w:val="24"/>
          <w:szCs w:val="24"/>
        </w:rPr>
      </w:pPr>
      <w:r w:rsidRPr="001E17A1">
        <w:rPr>
          <w:rFonts w:ascii="宋体" w:hAnsi="宋体" w:hint="eastAsia"/>
          <w:color w:val="000000" w:themeColor="text1"/>
          <w:sz w:val="24"/>
          <w:szCs w:val="24"/>
        </w:rPr>
        <w:t>备份与恢复</w:t>
      </w:r>
    </w:p>
    <w:p w14:paraId="39367D07" w14:textId="77777777" w:rsidR="008137F8" w:rsidRPr="001E17A1" w:rsidRDefault="00000000">
      <w:pPr>
        <w:pStyle w:val="afe"/>
        <w:widowControl/>
        <w:numPr>
          <w:ilvl w:val="0"/>
          <w:numId w:val="14"/>
        </w:numPr>
        <w:tabs>
          <w:tab w:val="left" w:pos="1134"/>
        </w:tabs>
        <w:snapToGrid w:val="0"/>
        <w:spacing w:line="360" w:lineRule="auto"/>
        <w:ind w:firstLineChars="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服务提供方必须制定数据备份策略，按需备份关键数据。</w:t>
      </w:r>
    </w:p>
    <w:p w14:paraId="0551F576" w14:textId="77777777" w:rsidR="008137F8" w:rsidRPr="001E17A1" w:rsidRDefault="00000000">
      <w:pPr>
        <w:pStyle w:val="afe"/>
        <w:widowControl/>
        <w:numPr>
          <w:ilvl w:val="0"/>
          <w:numId w:val="14"/>
        </w:numPr>
        <w:tabs>
          <w:tab w:val="left" w:pos="1134"/>
        </w:tabs>
        <w:snapToGrid w:val="0"/>
        <w:spacing w:line="360" w:lineRule="auto"/>
        <w:ind w:firstLineChars="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服务提供方必须制定数据恢复策略，以便发生故障时及时恢复；（具体标准参见</w:t>
      </w:r>
      <w:r w:rsidRPr="001E17A1">
        <w:rPr>
          <w:rFonts w:ascii="宋体" w:hAnsi="宋体" w:cs="宋体"/>
          <w:color w:val="000000" w:themeColor="text1"/>
          <w:sz w:val="24"/>
          <w:szCs w:val="24"/>
        </w:rPr>
        <w:t>3.2.</w:t>
      </w:r>
      <w:r w:rsidRPr="001E17A1">
        <w:rPr>
          <w:rFonts w:ascii="宋体" w:hAnsi="宋体" w:cs="宋体" w:hint="eastAsia"/>
          <w:color w:val="000000" w:themeColor="text1"/>
          <w:sz w:val="24"/>
          <w:szCs w:val="24"/>
        </w:rPr>
        <w:t>2</w:t>
      </w:r>
      <w:r w:rsidRPr="001E17A1">
        <w:rPr>
          <w:rFonts w:ascii="宋体" w:hAnsi="宋体" w:cs="宋体"/>
          <w:color w:val="000000" w:themeColor="text1"/>
          <w:sz w:val="24"/>
          <w:szCs w:val="24"/>
        </w:rPr>
        <w:t>应急服务响应时间</w:t>
      </w:r>
      <w:r w:rsidRPr="001E17A1">
        <w:rPr>
          <w:rFonts w:ascii="宋体" w:hAnsi="宋体" w:hint="eastAsia"/>
          <w:color w:val="000000" w:themeColor="text1"/>
          <w:sz w:val="24"/>
          <w:szCs w:val="24"/>
        </w:rPr>
        <w:t>）。</w:t>
      </w:r>
    </w:p>
    <w:p w14:paraId="52532130" w14:textId="77777777" w:rsidR="008137F8" w:rsidRPr="001E17A1" w:rsidRDefault="00000000">
      <w:pPr>
        <w:pStyle w:val="afe"/>
        <w:widowControl/>
        <w:numPr>
          <w:ilvl w:val="0"/>
          <w:numId w:val="14"/>
        </w:numPr>
        <w:tabs>
          <w:tab w:val="left" w:pos="1134"/>
        </w:tabs>
        <w:snapToGrid w:val="0"/>
        <w:spacing w:line="360" w:lineRule="auto"/>
        <w:ind w:firstLineChars="0"/>
        <w:jc w:val="left"/>
        <w:rPr>
          <w:rFonts w:ascii="宋体" w:hAnsi="宋体" w:hint="eastAsia"/>
          <w:color w:val="000000" w:themeColor="text1"/>
          <w:sz w:val="24"/>
          <w:szCs w:val="24"/>
        </w:rPr>
      </w:pPr>
      <w:r w:rsidRPr="001E17A1">
        <w:rPr>
          <w:rFonts w:ascii="宋体" w:hAnsi="宋体" w:hint="eastAsia"/>
          <w:color w:val="000000" w:themeColor="text1"/>
          <w:sz w:val="24"/>
          <w:szCs w:val="24"/>
        </w:rPr>
        <w:t>服务提供方必须根据实际情况制定相应灾难恢复策略，以便发生灾难时快速恢复。</w:t>
      </w:r>
    </w:p>
    <w:p w14:paraId="11EABC47" w14:textId="77777777" w:rsidR="008137F8" w:rsidRPr="001E17A1" w:rsidRDefault="00000000">
      <w:pPr>
        <w:pStyle w:val="2"/>
        <w:snapToGrid w:val="0"/>
        <w:spacing w:before="0"/>
        <w:ind w:left="0" w:firstLine="0"/>
        <w:rPr>
          <w:rFonts w:ascii="宋体" w:hAnsi="宋体" w:hint="eastAsia"/>
          <w:color w:val="000000" w:themeColor="text1"/>
          <w:sz w:val="24"/>
          <w:szCs w:val="24"/>
        </w:rPr>
      </w:pPr>
      <w:r w:rsidRPr="001E17A1">
        <w:rPr>
          <w:rFonts w:ascii="宋体" w:hAnsi="宋体" w:hint="eastAsia"/>
          <w:color w:val="000000" w:themeColor="text1"/>
          <w:sz w:val="24"/>
          <w:szCs w:val="24"/>
        </w:rPr>
        <w:lastRenderedPageBreak/>
        <w:t>退出机制要求</w:t>
      </w:r>
    </w:p>
    <w:p w14:paraId="4264F082"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发生以下情况，启动退出机制：</w:t>
      </w:r>
    </w:p>
    <w:p w14:paraId="6A40217D" w14:textId="77777777" w:rsidR="008137F8" w:rsidRPr="001E17A1" w:rsidRDefault="00000000">
      <w:pPr>
        <w:numPr>
          <w:ilvl w:val="0"/>
          <w:numId w:val="15"/>
        </w:num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服务期内，如中标人提出退出要求，需至少提前6个月向采购方提出退出申请，经批准后需提供6个月的延续服务。</w:t>
      </w:r>
    </w:p>
    <w:p w14:paraId="380D22F3" w14:textId="77777777" w:rsidR="008137F8" w:rsidRPr="001E17A1" w:rsidRDefault="00000000">
      <w:pPr>
        <w:numPr>
          <w:ilvl w:val="0"/>
          <w:numId w:val="15"/>
        </w:num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服务期满后，若双方不再续约，中标人无条件免费配合各方完成服务交接工作，服务交接期一般延续6个月。</w:t>
      </w:r>
    </w:p>
    <w:p w14:paraId="5F70C713" w14:textId="77777777" w:rsidR="008137F8" w:rsidRPr="001E17A1" w:rsidRDefault="00000000">
      <w:pPr>
        <w:numPr>
          <w:ilvl w:val="0"/>
          <w:numId w:val="15"/>
        </w:numPr>
        <w:snapToGrid w:val="0"/>
        <w:spacing w:line="360" w:lineRule="auto"/>
        <w:rPr>
          <w:rFonts w:ascii="宋体" w:hAnsi="宋体" w:hint="eastAsia"/>
          <w:color w:val="000000" w:themeColor="text1"/>
          <w:sz w:val="24"/>
          <w:szCs w:val="24"/>
        </w:rPr>
      </w:pPr>
      <w:r w:rsidRPr="001E17A1">
        <w:rPr>
          <w:rFonts w:ascii="宋体" w:hAnsi="宋体" w:hint="eastAsia"/>
          <w:color w:val="000000" w:themeColor="text1"/>
          <w:sz w:val="24"/>
          <w:szCs w:val="24"/>
        </w:rPr>
        <w:t>服务期内，若由于中标人服务能力不能满足约定要求，例如：考核分数</w:t>
      </w:r>
      <w:r w:rsidRPr="001E17A1">
        <w:rPr>
          <w:rFonts w:ascii="宋体" w:hAnsi="宋体"/>
          <w:color w:val="000000" w:themeColor="text1"/>
          <w:sz w:val="24"/>
          <w:szCs w:val="24"/>
        </w:rPr>
        <w:t>&lt;60</w:t>
      </w:r>
      <w:r w:rsidRPr="001E17A1">
        <w:rPr>
          <w:rFonts w:ascii="宋体" w:hAnsi="宋体" w:hint="eastAsia"/>
          <w:color w:val="000000" w:themeColor="text1"/>
          <w:sz w:val="24"/>
          <w:szCs w:val="24"/>
        </w:rPr>
        <w:t>分</w:t>
      </w:r>
      <w:r w:rsidRPr="001E17A1">
        <w:rPr>
          <w:rFonts w:ascii="宋体" w:hAnsi="宋体"/>
          <w:color w:val="000000" w:themeColor="text1"/>
          <w:sz w:val="24"/>
          <w:szCs w:val="24"/>
        </w:rPr>
        <w:t>，</w:t>
      </w:r>
      <w:r w:rsidRPr="001E17A1">
        <w:rPr>
          <w:rFonts w:ascii="宋体" w:hAnsi="宋体" w:hint="eastAsia"/>
          <w:color w:val="000000" w:themeColor="text1"/>
          <w:sz w:val="24"/>
          <w:szCs w:val="24"/>
        </w:rPr>
        <w:t>采购方</w:t>
      </w:r>
      <w:r w:rsidRPr="001E17A1">
        <w:rPr>
          <w:rFonts w:ascii="宋体" w:hAnsi="宋体"/>
          <w:color w:val="000000" w:themeColor="text1"/>
          <w:sz w:val="24"/>
          <w:szCs w:val="24"/>
        </w:rPr>
        <w:t>有权终止合同</w:t>
      </w:r>
      <w:r w:rsidRPr="001E17A1">
        <w:rPr>
          <w:rFonts w:ascii="宋体" w:hAnsi="宋体" w:hint="eastAsia"/>
          <w:color w:val="000000" w:themeColor="text1"/>
          <w:sz w:val="24"/>
          <w:szCs w:val="24"/>
        </w:rPr>
        <w:t>，责令其退出，并由中标人向采购方支付违约金，见3.5.2。</w:t>
      </w:r>
    </w:p>
    <w:p w14:paraId="3F28FCFD"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退出机制启动后，中标人无条件协助采购方完成数据运营相关系统的迁移和退出。从系统迁移出的数据，包括但不限于采购方移交给中标人的数据和资料，数据运营系统运行期间产生、收集的数据以及相关文档资料等，中标人不得自行保留，也不得以技术手段恢复相关数据和文档资料。</w:t>
      </w:r>
    </w:p>
    <w:p w14:paraId="030BB845"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bookmarkStart w:id="61" w:name="_Hlk107342121"/>
      <w:r w:rsidRPr="001E17A1">
        <w:rPr>
          <w:rFonts w:ascii="宋体" w:hAnsi="宋体" w:hint="eastAsia"/>
          <w:color w:val="000000" w:themeColor="text1"/>
          <w:sz w:val="24"/>
          <w:szCs w:val="24"/>
        </w:rPr>
        <w:t>如果中标人丧失履约能力、发生资不抵债或进入破产程序，采购人可在任何时候以书面形式通知中标人终止本项目的执行而不给予中标人补偿。该终止本项目将不损害或影响采购人已经采取或将要采取任何行动或补救措施的权利。</w:t>
      </w:r>
    </w:p>
    <w:p w14:paraId="1C7CF887" w14:textId="77777777" w:rsidR="008137F8" w:rsidRPr="001E17A1" w:rsidRDefault="00000000">
      <w:pPr>
        <w:widowControl/>
        <w:tabs>
          <w:tab w:val="left" w:pos="1134"/>
        </w:tabs>
        <w:snapToGrid w:val="0"/>
        <w:spacing w:line="360" w:lineRule="auto"/>
        <w:ind w:firstLineChars="200" w:firstLine="480"/>
        <w:jc w:val="left"/>
        <w:rPr>
          <w:rFonts w:ascii="宋体" w:hAnsi="宋体" w:hint="eastAsia"/>
          <w:color w:val="000000" w:themeColor="text1"/>
          <w:sz w:val="24"/>
          <w:szCs w:val="24"/>
        </w:rPr>
      </w:pPr>
      <w:r w:rsidRPr="001E17A1">
        <w:rPr>
          <w:rFonts w:ascii="宋体" w:hAnsi="宋体" w:hint="eastAsia"/>
          <w:color w:val="000000" w:themeColor="text1"/>
          <w:sz w:val="24"/>
          <w:szCs w:val="24"/>
        </w:rPr>
        <w:t>如遇国家、行业管理部门等机构的有关标准和规定调整的，导致本项目内容须做相应调整时，双方应按照公平、合理的原则共同协商修改本项目对应的合同的相关条款。</w:t>
      </w:r>
      <w:bookmarkEnd w:id="61"/>
    </w:p>
    <w:sectPr w:rsidR="008137F8" w:rsidRPr="001E17A1">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D8073" w14:textId="77777777" w:rsidR="00B55D2B" w:rsidRDefault="00B55D2B">
      <w:r>
        <w:separator/>
      </w:r>
    </w:p>
  </w:endnote>
  <w:endnote w:type="continuationSeparator" w:id="0">
    <w:p w14:paraId="3AECBC01" w14:textId="77777777" w:rsidR="00B55D2B" w:rsidRDefault="00B5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
    <w:altName w:val="汉仪楷体KW"/>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Helvetica">
    <w:panose1 w:val="020B0604020202020204"/>
    <w:charset w:val="00"/>
    <w:family w:val="swiss"/>
    <w:pitch w:val="variable"/>
    <w:sig w:usb0="00000007" w:usb1="00000000" w:usb2="00000000" w:usb3="00000000" w:csb0="00000093" w:csb1="00000000"/>
  </w:font>
  <w:font w:name="仿宋">
    <w:altName w:val="仿宋-简"/>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CEE9" w14:textId="77777777" w:rsidR="008137F8" w:rsidRDefault="00000000">
    <w:pPr>
      <w:pStyle w:val="af"/>
      <w:jc w:val="center"/>
    </w:pPr>
    <w:r>
      <w:fldChar w:fldCharType="begin"/>
    </w:r>
    <w:r>
      <w:instrText>PAGE   \* MERGEFORMAT</w:instrText>
    </w:r>
    <w:r>
      <w:fldChar w:fldCharType="separate"/>
    </w:r>
    <w:r>
      <w:rPr>
        <w:lang w:val="zh-CN"/>
      </w:rPr>
      <w:t>11</w:t>
    </w:r>
    <w:r>
      <w:rPr>
        <w:lang w:val="zh-CN"/>
      </w:rPr>
      <w:fldChar w:fldCharType="end"/>
    </w:r>
  </w:p>
  <w:p w14:paraId="3E39841A" w14:textId="77777777" w:rsidR="008137F8" w:rsidRDefault="008137F8">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FBAE" w14:textId="77777777" w:rsidR="008137F8" w:rsidRDefault="00000000">
    <w:pPr>
      <w:pStyle w:val="af"/>
      <w:jc w:val="center"/>
    </w:pPr>
    <w:r>
      <w:fldChar w:fldCharType="begin"/>
    </w:r>
    <w:r>
      <w:instrText>PAGE   \* MERGEFORMAT</w:instrText>
    </w:r>
    <w:r>
      <w:fldChar w:fldCharType="separate"/>
    </w:r>
    <w:r>
      <w:rPr>
        <w:lang w:val="zh-CN"/>
      </w:rPr>
      <w:t>64</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09256" w14:textId="77777777" w:rsidR="00B55D2B" w:rsidRDefault="00B55D2B">
      <w:r>
        <w:separator/>
      </w:r>
    </w:p>
  </w:footnote>
  <w:footnote w:type="continuationSeparator" w:id="0">
    <w:p w14:paraId="59BBEF4E" w14:textId="77777777" w:rsidR="00B55D2B" w:rsidRDefault="00B55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chineseCountingThousand"/>
      <w:lvlText w:val="第%1章"/>
      <w:lvlJc w:val="left"/>
      <w:pPr>
        <w:tabs>
          <w:tab w:val="left" w:pos="720"/>
        </w:tabs>
        <w:ind w:left="425" w:hanging="425"/>
      </w:pPr>
    </w:lvl>
    <w:lvl w:ilvl="1">
      <w:start w:val="1"/>
      <w:numFmt w:val="decimal"/>
      <w:isLgl/>
      <w:lvlText w:val="%1.%2"/>
      <w:lvlJc w:val="left"/>
      <w:pPr>
        <w:tabs>
          <w:tab w:val="left" w:pos="720"/>
        </w:tabs>
        <w:ind w:left="0" w:firstLine="0"/>
      </w:pPr>
    </w:lvl>
    <w:lvl w:ilvl="2">
      <w:start w:val="1"/>
      <w:numFmt w:val="decimal"/>
      <w:isLgl/>
      <w:lvlText w:val="%1.%2.%3"/>
      <w:lvlJc w:val="left"/>
      <w:pPr>
        <w:tabs>
          <w:tab w:val="left" w:pos="8234"/>
        </w:tabs>
        <w:ind w:left="7514" w:firstLine="0"/>
      </w:pPr>
    </w:lvl>
    <w:lvl w:ilvl="3">
      <w:start w:val="1"/>
      <w:numFmt w:val="decimal"/>
      <w:isLgl/>
      <w:lvlText w:val="%1.%2.%3.%4"/>
      <w:lvlJc w:val="left"/>
      <w:pPr>
        <w:tabs>
          <w:tab w:val="left" w:pos="1080"/>
        </w:tabs>
        <w:ind w:left="0" w:firstLine="0"/>
      </w:pPr>
    </w:lvl>
    <w:lvl w:ilvl="4">
      <w:start w:val="1"/>
      <w:numFmt w:val="decimal"/>
      <w:isLgl/>
      <w:lvlText w:val="%1.%2.%3.%4.%5"/>
      <w:lvlJc w:val="left"/>
      <w:pPr>
        <w:tabs>
          <w:tab w:val="left" w:pos="1440"/>
        </w:tabs>
        <w:ind w:left="0" w:firstLine="0"/>
      </w:pPr>
    </w:lvl>
    <w:lvl w:ilvl="5">
      <w:start w:val="1"/>
      <w:numFmt w:val="decimal"/>
      <w:pStyle w:val="6"/>
      <w:isLgl/>
      <w:lvlText w:val="%1.%2.%3.%4.%5.%6"/>
      <w:lvlJc w:val="left"/>
      <w:pPr>
        <w:tabs>
          <w:tab w:val="left" w:pos="1440"/>
        </w:tabs>
        <w:ind w:left="0" w:firstLine="0"/>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 w15:restartNumberingAfterBreak="0">
    <w:nsid w:val="00000004"/>
    <w:multiLevelType w:val="multilevel"/>
    <w:tmpl w:val="00000004"/>
    <w:lvl w:ilvl="0">
      <w:start w:val="1"/>
      <w:numFmt w:val="decimal"/>
      <w:pStyle w:val="a"/>
      <w:suff w:val="space"/>
      <w:lvlText w:val="第%1章"/>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4)"/>
      <w:lvlJc w:val="left"/>
      <w:pPr>
        <w:ind w:left="0" w:firstLine="0"/>
      </w:pPr>
      <w:rPr>
        <w:rFonts w:hint="eastAsia"/>
      </w:rPr>
    </w:lvl>
    <w:lvl w:ilvl="4">
      <w:start w:val="1"/>
      <w:numFmt w:val="bullet"/>
      <w:suff w:val="space"/>
      <w:lvlText w:val=""/>
      <w:lvlJc w:val="left"/>
      <w:pPr>
        <w:ind w:left="0" w:firstLine="0"/>
      </w:pPr>
      <w:rPr>
        <w:rFonts w:ascii="Wingdings" w:hAnsi="Wingdings" w:hint="default"/>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15:restartNumberingAfterBreak="0">
    <w:nsid w:val="00000006"/>
    <w:multiLevelType w:val="multilevel"/>
    <w:tmpl w:val="00000006"/>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00000008"/>
    <w:multiLevelType w:val="singleLevel"/>
    <w:tmpl w:val="00000008"/>
    <w:lvl w:ilvl="0">
      <w:start w:val="1"/>
      <w:numFmt w:val="decimal"/>
      <w:lvlText w:val="(%1)"/>
      <w:lvlJc w:val="left"/>
      <w:pPr>
        <w:ind w:left="425" w:hanging="425"/>
      </w:pPr>
      <w:rPr>
        <w:rFonts w:hint="default"/>
      </w:rPr>
    </w:lvl>
  </w:abstractNum>
  <w:abstractNum w:abstractNumId="4" w15:restartNumberingAfterBreak="0">
    <w:nsid w:val="00000009"/>
    <w:multiLevelType w:val="multilevel"/>
    <w:tmpl w:val="0000000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0000000B"/>
    <w:multiLevelType w:val="multilevel"/>
    <w:tmpl w:val="0000000B"/>
    <w:lvl w:ilvl="0">
      <w:start w:val="1"/>
      <w:numFmt w:val="decimal"/>
      <w:pStyle w:val="1"/>
      <w:lvlText w:val="%1"/>
      <w:lvlJc w:val="left"/>
      <w:pPr>
        <w:ind w:left="425" w:hanging="425"/>
      </w:pPr>
      <w:rPr>
        <w:rFonts w:hint="default"/>
        <w:lang w:eastAsia="zh-CN"/>
      </w:rPr>
    </w:lvl>
    <w:lvl w:ilvl="1">
      <w:start w:val="1"/>
      <w:numFmt w:val="decimal"/>
      <w:pStyle w:val="2"/>
      <w:lvlText w:val="%1.%2"/>
      <w:lvlJc w:val="left"/>
      <w:pPr>
        <w:ind w:left="567" w:hanging="567"/>
      </w:pPr>
      <w:rPr>
        <w:lang w:val="en-US"/>
      </w:rPr>
    </w:lvl>
    <w:lvl w:ilvl="2">
      <w:start w:val="1"/>
      <w:numFmt w:val="decimal"/>
      <w:pStyle w:val="3"/>
      <w:lvlText w:val="%1.%2.%3"/>
      <w:lvlJc w:val="left"/>
      <w:pPr>
        <w:ind w:left="993" w:hanging="567"/>
      </w:pPr>
    </w:lvl>
    <w:lvl w:ilvl="3">
      <w:start w:val="1"/>
      <w:numFmt w:val="decimal"/>
      <w:pStyle w:val="4"/>
      <w:lvlText w:val="%1.%2.%3.%4"/>
      <w:lvlJc w:val="left"/>
      <w:pPr>
        <w:ind w:left="850"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0000000C"/>
    <w:multiLevelType w:val="multilevel"/>
    <w:tmpl w:val="0000000C"/>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 w15:restartNumberingAfterBreak="0">
    <w:nsid w:val="0000000D"/>
    <w:multiLevelType w:val="multilevel"/>
    <w:tmpl w:val="0000000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 w15:restartNumberingAfterBreak="0">
    <w:nsid w:val="0000000E"/>
    <w:multiLevelType w:val="multilevel"/>
    <w:tmpl w:val="0000000E"/>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07BA2A40"/>
    <w:multiLevelType w:val="multilevel"/>
    <w:tmpl w:val="07BA2A40"/>
    <w:lvl w:ilvl="0">
      <w:start w:val="3"/>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4AC067D"/>
    <w:multiLevelType w:val="multilevel"/>
    <w:tmpl w:val="24AC067D"/>
    <w:lvl w:ilvl="0">
      <w:start w:val="2"/>
      <w:numFmt w:val="decimal"/>
      <w:lvlText w:val="%1)"/>
      <w:lvlJc w:val="left"/>
      <w:pPr>
        <w:ind w:left="780" w:hanging="36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1" w15:restartNumberingAfterBreak="0">
    <w:nsid w:val="3D7161EB"/>
    <w:multiLevelType w:val="multilevel"/>
    <w:tmpl w:val="3D7161EB"/>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3D95486A"/>
    <w:multiLevelType w:val="multilevel"/>
    <w:tmpl w:val="3D95486A"/>
    <w:lvl w:ilvl="0">
      <w:start w:val="1"/>
      <w:numFmt w:val="decimal"/>
      <w:lvlText w:val="%1)"/>
      <w:lvlJc w:val="left"/>
      <w:pPr>
        <w:ind w:left="780" w:hanging="36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3" w15:restartNumberingAfterBreak="0">
    <w:nsid w:val="4BD85164"/>
    <w:multiLevelType w:val="multilevel"/>
    <w:tmpl w:val="4BD85164"/>
    <w:lvl w:ilvl="0">
      <w:start w:val="1"/>
      <w:numFmt w:val="decimal"/>
      <w:lvlText w:val="(%1)"/>
      <w:lvlJc w:val="left"/>
      <w:pPr>
        <w:ind w:left="920" w:hanging="44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4" w15:restartNumberingAfterBreak="0">
    <w:nsid w:val="67AC03C5"/>
    <w:multiLevelType w:val="multilevel"/>
    <w:tmpl w:val="67AC03C5"/>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num w:numId="1" w16cid:durableId="1496993611">
    <w:abstractNumId w:val="5"/>
  </w:num>
  <w:num w:numId="2" w16cid:durableId="2135906438">
    <w:abstractNumId w:val="0"/>
  </w:num>
  <w:num w:numId="3" w16cid:durableId="1952741047">
    <w:abstractNumId w:val="1"/>
  </w:num>
  <w:num w:numId="4" w16cid:durableId="513034650">
    <w:abstractNumId w:val="7"/>
  </w:num>
  <w:num w:numId="5" w16cid:durableId="1514369708">
    <w:abstractNumId w:val="14"/>
  </w:num>
  <w:num w:numId="6" w16cid:durableId="77676485">
    <w:abstractNumId w:val="12"/>
  </w:num>
  <w:num w:numId="7" w16cid:durableId="1475444463">
    <w:abstractNumId w:val="10"/>
  </w:num>
  <w:num w:numId="8" w16cid:durableId="882716601">
    <w:abstractNumId w:val="3"/>
  </w:num>
  <w:num w:numId="9" w16cid:durableId="1826161991">
    <w:abstractNumId w:val="4"/>
  </w:num>
  <w:num w:numId="10" w16cid:durableId="756484324">
    <w:abstractNumId w:val="11"/>
  </w:num>
  <w:num w:numId="11" w16cid:durableId="1929996425">
    <w:abstractNumId w:val="9"/>
  </w:num>
  <w:num w:numId="12" w16cid:durableId="1638994422">
    <w:abstractNumId w:val="8"/>
  </w:num>
  <w:num w:numId="13" w16cid:durableId="860126757">
    <w:abstractNumId w:val="2"/>
  </w:num>
  <w:num w:numId="14" w16cid:durableId="1082138313">
    <w:abstractNumId w:val="13"/>
  </w:num>
  <w:num w:numId="15" w16cid:durableId="1585722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08D"/>
    <w:rsid w:val="000206A3"/>
    <w:rsid w:val="0006687E"/>
    <w:rsid w:val="00077BAE"/>
    <w:rsid w:val="00097B37"/>
    <w:rsid w:val="000D1B29"/>
    <w:rsid w:val="001E17A1"/>
    <w:rsid w:val="001E49C0"/>
    <w:rsid w:val="002966C2"/>
    <w:rsid w:val="002C36C9"/>
    <w:rsid w:val="002F3BD2"/>
    <w:rsid w:val="003079B0"/>
    <w:rsid w:val="00321891"/>
    <w:rsid w:val="00342EFD"/>
    <w:rsid w:val="00382BE8"/>
    <w:rsid w:val="00383FDE"/>
    <w:rsid w:val="003A6DD6"/>
    <w:rsid w:val="004008F1"/>
    <w:rsid w:val="004B60B1"/>
    <w:rsid w:val="004C0034"/>
    <w:rsid w:val="004E7FC6"/>
    <w:rsid w:val="004F16BF"/>
    <w:rsid w:val="005004A4"/>
    <w:rsid w:val="0053685B"/>
    <w:rsid w:val="005627B4"/>
    <w:rsid w:val="00617ABC"/>
    <w:rsid w:val="00634E24"/>
    <w:rsid w:val="00645F91"/>
    <w:rsid w:val="00661EC0"/>
    <w:rsid w:val="006868EE"/>
    <w:rsid w:val="006A5D49"/>
    <w:rsid w:val="00777225"/>
    <w:rsid w:val="00781E45"/>
    <w:rsid w:val="00786A44"/>
    <w:rsid w:val="00792FB4"/>
    <w:rsid w:val="00797A51"/>
    <w:rsid w:val="008137F8"/>
    <w:rsid w:val="00881AD8"/>
    <w:rsid w:val="008C6DA4"/>
    <w:rsid w:val="008C795A"/>
    <w:rsid w:val="008D68E4"/>
    <w:rsid w:val="008F24B9"/>
    <w:rsid w:val="008F608D"/>
    <w:rsid w:val="00926A05"/>
    <w:rsid w:val="0099188C"/>
    <w:rsid w:val="00991BDC"/>
    <w:rsid w:val="009E1733"/>
    <w:rsid w:val="00A04E29"/>
    <w:rsid w:val="00A37535"/>
    <w:rsid w:val="00A6336C"/>
    <w:rsid w:val="00AC3683"/>
    <w:rsid w:val="00B50AF3"/>
    <w:rsid w:val="00B51A2A"/>
    <w:rsid w:val="00B55D2B"/>
    <w:rsid w:val="00B759ED"/>
    <w:rsid w:val="00B77421"/>
    <w:rsid w:val="00B803C7"/>
    <w:rsid w:val="00B8724F"/>
    <w:rsid w:val="00BA6569"/>
    <w:rsid w:val="00C159EB"/>
    <w:rsid w:val="00C20A73"/>
    <w:rsid w:val="00C61745"/>
    <w:rsid w:val="00C7154A"/>
    <w:rsid w:val="00D01924"/>
    <w:rsid w:val="00D23E23"/>
    <w:rsid w:val="00DC2160"/>
    <w:rsid w:val="00E616E5"/>
    <w:rsid w:val="00E642A4"/>
    <w:rsid w:val="00E90B87"/>
    <w:rsid w:val="00FE2EE6"/>
    <w:rsid w:val="00FE655E"/>
    <w:rsid w:val="0EEA58AA"/>
    <w:rsid w:val="0F6F985D"/>
    <w:rsid w:val="16BFD0FB"/>
    <w:rsid w:val="16FE062F"/>
    <w:rsid w:val="17DF56E2"/>
    <w:rsid w:val="17F71708"/>
    <w:rsid w:val="1BBDBB7D"/>
    <w:rsid w:val="1DFF4D59"/>
    <w:rsid w:val="1FEBACE9"/>
    <w:rsid w:val="1FF704B1"/>
    <w:rsid w:val="21B8D0FB"/>
    <w:rsid w:val="23DB6750"/>
    <w:rsid w:val="25FD014C"/>
    <w:rsid w:val="261C3D34"/>
    <w:rsid w:val="28FE9E23"/>
    <w:rsid w:val="2BEEE9CF"/>
    <w:rsid w:val="2DDAA8D8"/>
    <w:rsid w:val="2FF78E67"/>
    <w:rsid w:val="34D85186"/>
    <w:rsid w:val="34EB6392"/>
    <w:rsid w:val="355F3D40"/>
    <w:rsid w:val="357D5971"/>
    <w:rsid w:val="373F423A"/>
    <w:rsid w:val="37B9AE06"/>
    <w:rsid w:val="37BF02DD"/>
    <w:rsid w:val="39741418"/>
    <w:rsid w:val="3B8BA1E2"/>
    <w:rsid w:val="3BD783C1"/>
    <w:rsid w:val="3BEE5DC1"/>
    <w:rsid w:val="3BFFD581"/>
    <w:rsid w:val="3EFBB11E"/>
    <w:rsid w:val="3F3F0637"/>
    <w:rsid w:val="3F7F0551"/>
    <w:rsid w:val="3F9FF759"/>
    <w:rsid w:val="3FE3B24A"/>
    <w:rsid w:val="3FEF08D6"/>
    <w:rsid w:val="3FFBD05B"/>
    <w:rsid w:val="4FE95DCD"/>
    <w:rsid w:val="4FF6978F"/>
    <w:rsid w:val="52BE17B3"/>
    <w:rsid w:val="538FFE25"/>
    <w:rsid w:val="53EFFD4B"/>
    <w:rsid w:val="53FAD997"/>
    <w:rsid w:val="53FBE3B0"/>
    <w:rsid w:val="53FF238A"/>
    <w:rsid w:val="56DC2B4B"/>
    <w:rsid w:val="5B3CBD79"/>
    <w:rsid w:val="5BBEE288"/>
    <w:rsid w:val="5DFF1F4E"/>
    <w:rsid w:val="5E19273D"/>
    <w:rsid w:val="5EFF59ED"/>
    <w:rsid w:val="5F3F57CD"/>
    <w:rsid w:val="5F77C017"/>
    <w:rsid w:val="5F8E223B"/>
    <w:rsid w:val="5F9F5842"/>
    <w:rsid w:val="5FBDABB6"/>
    <w:rsid w:val="5FBEB9D8"/>
    <w:rsid w:val="5FDF8E6E"/>
    <w:rsid w:val="61B7C000"/>
    <w:rsid w:val="61F554B1"/>
    <w:rsid w:val="6474CF2C"/>
    <w:rsid w:val="66FBD2D0"/>
    <w:rsid w:val="68FF4C26"/>
    <w:rsid w:val="6A6915CC"/>
    <w:rsid w:val="6ABF6E52"/>
    <w:rsid w:val="6BA7E77E"/>
    <w:rsid w:val="6BDFD98E"/>
    <w:rsid w:val="6CFF1DFE"/>
    <w:rsid w:val="6CFFC406"/>
    <w:rsid w:val="6DEBB2DF"/>
    <w:rsid w:val="6F70DEE4"/>
    <w:rsid w:val="6FCD5D67"/>
    <w:rsid w:val="6FDE4469"/>
    <w:rsid w:val="6FDFAEF8"/>
    <w:rsid w:val="6FFF2A1A"/>
    <w:rsid w:val="71DF4790"/>
    <w:rsid w:val="71EF7B5E"/>
    <w:rsid w:val="735FB31A"/>
    <w:rsid w:val="73BD1022"/>
    <w:rsid w:val="73BE1D95"/>
    <w:rsid w:val="753BB8B8"/>
    <w:rsid w:val="757D7EB7"/>
    <w:rsid w:val="757F36DE"/>
    <w:rsid w:val="75CDECA0"/>
    <w:rsid w:val="75CF6152"/>
    <w:rsid w:val="76DE5959"/>
    <w:rsid w:val="76F79B43"/>
    <w:rsid w:val="76F9E037"/>
    <w:rsid w:val="776B6019"/>
    <w:rsid w:val="776F18E0"/>
    <w:rsid w:val="7975DB82"/>
    <w:rsid w:val="797AFF65"/>
    <w:rsid w:val="79FF0D63"/>
    <w:rsid w:val="7AF3107B"/>
    <w:rsid w:val="7AF98E0A"/>
    <w:rsid w:val="7B3FB37F"/>
    <w:rsid w:val="7BDB192E"/>
    <w:rsid w:val="7BEF90E7"/>
    <w:rsid w:val="7BFE15CD"/>
    <w:rsid w:val="7C3F7DB9"/>
    <w:rsid w:val="7D768837"/>
    <w:rsid w:val="7DCF5239"/>
    <w:rsid w:val="7DEDE6BC"/>
    <w:rsid w:val="7DF7B280"/>
    <w:rsid w:val="7DFBD4F0"/>
    <w:rsid w:val="7DFF2C0A"/>
    <w:rsid w:val="7DFFCAA0"/>
    <w:rsid w:val="7E5FACCB"/>
    <w:rsid w:val="7EDDF60A"/>
    <w:rsid w:val="7EFFA86F"/>
    <w:rsid w:val="7F2B5B3E"/>
    <w:rsid w:val="7F2F6682"/>
    <w:rsid w:val="7F59D0FF"/>
    <w:rsid w:val="7F5D65A5"/>
    <w:rsid w:val="7F7D3066"/>
    <w:rsid w:val="7F7F276D"/>
    <w:rsid w:val="7F7F9F29"/>
    <w:rsid w:val="7FCF9638"/>
    <w:rsid w:val="7FEF151E"/>
    <w:rsid w:val="7FEF8C64"/>
    <w:rsid w:val="7FF421BE"/>
    <w:rsid w:val="7FF6E290"/>
    <w:rsid w:val="7FF7498F"/>
    <w:rsid w:val="7FF74B7A"/>
    <w:rsid w:val="7FF77CAD"/>
    <w:rsid w:val="7FF7A5E3"/>
    <w:rsid w:val="7FFF8830"/>
    <w:rsid w:val="7FFFF13F"/>
    <w:rsid w:val="8B3AE780"/>
    <w:rsid w:val="8F67E038"/>
    <w:rsid w:val="8FFBF5BE"/>
    <w:rsid w:val="96D7EE24"/>
    <w:rsid w:val="97ED65BA"/>
    <w:rsid w:val="9AFEE484"/>
    <w:rsid w:val="9AFF5E66"/>
    <w:rsid w:val="9DFF098F"/>
    <w:rsid w:val="9ECA2263"/>
    <w:rsid w:val="9FCED466"/>
    <w:rsid w:val="9FFC583F"/>
    <w:rsid w:val="AE7A001A"/>
    <w:rsid w:val="AEE5E0BD"/>
    <w:rsid w:val="AF7E24B4"/>
    <w:rsid w:val="AFB7857C"/>
    <w:rsid w:val="AFF71A8B"/>
    <w:rsid w:val="B2F613EB"/>
    <w:rsid w:val="B5FF7DCB"/>
    <w:rsid w:val="B7E79AF6"/>
    <w:rsid w:val="B7EE3D8F"/>
    <w:rsid w:val="BA5DAF38"/>
    <w:rsid w:val="BBEA8869"/>
    <w:rsid w:val="BBFB8CD0"/>
    <w:rsid w:val="BCEFEA79"/>
    <w:rsid w:val="BD2C5ADA"/>
    <w:rsid w:val="BDDF4CFA"/>
    <w:rsid w:val="BDF6B567"/>
    <w:rsid w:val="BDFDA0EF"/>
    <w:rsid w:val="BEA74A82"/>
    <w:rsid w:val="BEB93357"/>
    <w:rsid w:val="BF570CF9"/>
    <w:rsid w:val="BF7FDF91"/>
    <w:rsid w:val="BFD7EEC8"/>
    <w:rsid w:val="BFE40A3B"/>
    <w:rsid w:val="BFF5364C"/>
    <w:rsid w:val="BFF58B59"/>
    <w:rsid w:val="BFFADF28"/>
    <w:rsid w:val="BFFB567E"/>
    <w:rsid w:val="BFFFE7BB"/>
    <w:rsid w:val="CB59973E"/>
    <w:rsid w:val="CB5F8B23"/>
    <w:rsid w:val="CBE75F8F"/>
    <w:rsid w:val="CCFFD240"/>
    <w:rsid w:val="CDD724EF"/>
    <w:rsid w:val="CF57FE41"/>
    <w:rsid w:val="CF7F841E"/>
    <w:rsid w:val="CFF6046A"/>
    <w:rsid w:val="D2FFF61C"/>
    <w:rsid w:val="D63F8F62"/>
    <w:rsid w:val="D77E31E4"/>
    <w:rsid w:val="D7970892"/>
    <w:rsid w:val="D7E70788"/>
    <w:rsid w:val="D7F7C2D6"/>
    <w:rsid w:val="D7FAA5F1"/>
    <w:rsid w:val="DB7B218C"/>
    <w:rsid w:val="DB8F10E7"/>
    <w:rsid w:val="DBD3F579"/>
    <w:rsid w:val="DBFDC894"/>
    <w:rsid w:val="DCFF6AE3"/>
    <w:rsid w:val="DD73B578"/>
    <w:rsid w:val="DD9B1D9F"/>
    <w:rsid w:val="DDDFA508"/>
    <w:rsid w:val="DE3A53A6"/>
    <w:rsid w:val="DE7BF728"/>
    <w:rsid w:val="DEFD0E77"/>
    <w:rsid w:val="DF7FB4EA"/>
    <w:rsid w:val="DF7FF776"/>
    <w:rsid w:val="DFBE95D5"/>
    <w:rsid w:val="DFEF4A7F"/>
    <w:rsid w:val="DFFEC3FA"/>
    <w:rsid w:val="E3FF72CC"/>
    <w:rsid w:val="E6FD4CE9"/>
    <w:rsid w:val="E7CFB714"/>
    <w:rsid w:val="E7FFCD5A"/>
    <w:rsid w:val="E87F9F45"/>
    <w:rsid w:val="E97DA11A"/>
    <w:rsid w:val="E9DE5D9C"/>
    <w:rsid w:val="EBFB7EA9"/>
    <w:rsid w:val="EDE78A7A"/>
    <w:rsid w:val="EDF763CC"/>
    <w:rsid w:val="EDF76F53"/>
    <w:rsid w:val="EE5BE97F"/>
    <w:rsid w:val="EEFB817E"/>
    <w:rsid w:val="EEFFB961"/>
    <w:rsid w:val="EF4EF796"/>
    <w:rsid w:val="EF7FE39F"/>
    <w:rsid w:val="EF9726C7"/>
    <w:rsid w:val="EFBE9451"/>
    <w:rsid w:val="EFDFA85A"/>
    <w:rsid w:val="EFEF48CE"/>
    <w:rsid w:val="EFFCE62A"/>
    <w:rsid w:val="EFFFE0FF"/>
    <w:rsid w:val="EFFFF99A"/>
    <w:rsid w:val="F377BDD5"/>
    <w:rsid w:val="F3F4D69F"/>
    <w:rsid w:val="F4F6D7E1"/>
    <w:rsid w:val="F59F7E6B"/>
    <w:rsid w:val="F5BF21EA"/>
    <w:rsid w:val="F5F63053"/>
    <w:rsid w:val="F5FF842A"/>
    <w:rsid w:val="F63F654A"/>
    <w:rsid w:val="F6A55D91"/>
    <w:rsid w:val="F6B9748D"/>
    <w:rsid w:val="F6BF284B"/>
    <w:rsid w:val="F6F7A6EF"/>
    <w:rsid w:val="F75D8C0D"/>
    <w:rsid w:val="F7969BED"/>
    <w:rsid w:val="F7B7C21C"/>
    <w:rsid w:val="F7BBF699"/>
    <w:rsid w:val="F7CFF8F4"/>
    <w:rsid w:val="F7DE0A4F"/>
    <w:rsid w:val="F7EF5432"/>
    <w:rsid w:val="F7FB7FDE"/>
    <w:rsid w:val="FAEB1BB3"/>
    <w:rsid w:val="FB4DD574"/>
    <w:rsid w:val="FBD67F17"/>
    <w:rsid w:val="FCBFB110"/>
    <w:rsid w:val="FCDE4EE2"/>
    <w:rsid w:val="FD5D574E"/>
    <w:rsid w:val="FDBFAFE1"/>
    <w:rsid w:val="FDDF4517"/>
    <w:rsid w:val="FDF79932"/>
    <w:rsid w:val="FDF7D58C"/>
    <w:rsid w:val="FDFF445E"/>
    <w:rsid w:val="FE5E82FF"/>
    <w:rsid w:val="FE69E2B4"/>
    <w:rsid w:val="FE761B46"/>
    <w:rsid w:val="FEBD946D"/>
    <w:rsid w:val="FEBFFAAB"/>
    <w:rsid w:val="FEF5417E"/>
    <w:rsid w:val="FEFF2802"/>
    <w:rsid w:val="FEFFE213"/>
    <w:rsid w:val="FF4B1C77"/>
    <w:rsid w:val="FF774C71"/>
    <w:rsid w:val="FF83FE88"/>
    <w:rsid w:val="FFBDA34A"/>
    <w:rsid w:val="FFBF5455"/>
    <w:rsid w:val="FFFA0597"/>
    <w:rsid w:val="FFFAAE6D"/>
    <w:rsid w:val="FFFD428C"/>
    <w:rsid w:val="FFFFC71E"/>
    <w:rsid w:val="FFFFEB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9E744"/>
  <w15:docId w15:val="{18E74D76-5F0B-4642-A6F6-563C334E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Normal Indent" w:qFormat="1"/>
    <w:lsdException w:name="annotation text" w:qFormat="1"/>
    <w:lsdException w:name="header" w:uiPriority="99" w:qFormat="1"/>
    <w:lsdException w:name="footer" w:uiPriority="99" w:qFormat="1"/>
    <w:lsdException w:name="caption" w:uiPriority="5" w:qFormat="1"/>
    <w:lsdException w:name="annotation reference" w:qFormat="1"/>
    <w:lsdException w:name="Title" w:qFormat="1"/>
    <w:lsdException w:name="Default Paragraph Font" w:semiHidden="1" w:uiPriority="1" w:unhideWhenUsed="1"/>
    <w:lsdException w:name="Body Text Indent" w:qFormat="1"/>
    <w:lsdException w:name="Subtitle" w:qFormat="1"/>
    <w:lsdException w:name="Body Text First Indent 2" w:uiPriority="99" w:qFormat="1"/>
    <w:lsdException w:name="Hyperlink" w:uiPriority="99" w:qFormat="1"/>
    <w:lsdException w:name="FollowedHyperlink" w:uiPriority="99" w:qFormat="1"/>
    <w:lsdException w:name="Strong" w:qFormat="1"/>
    <w:lsdException w:name="Emphasis" w:qFormat="1"/>
    <w:lsdException w:name="Document Map"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rFonts w:ascii="Calibri" w:hAnsi="Calibri"/>
      <w:kern w:val="2"/>
      <w:sz w:val="21"/>
      <w:szCs w:val="22"/>
    </w:rPr>
  </w:style>
  <w:style w:type="paragraph" w:styleId="1">
    <w:name w:val="heading 1"/>
    <w:basedOn w:val="a0"/>
    <w:next w:val="a0"/>
    <w:link w:val="10"/>
    <w:qFormat/>
    <w:pPr>
      <w:keepNext/>
      <w:keepLines/>
      <w:numPr>
        <w:numId w:val="1"/>
      </w:numPr>
      <w:spacing w:before="240" w:afterLines="50" w:line="360" w:lineRule="auto"/>
      <w:outlineLvl w:val="0"/>
    </w:pPr>
    <w:rPr>
      <w:rFonts w:ascii="Times New Roman" w:hAnsi="Times New Roman"/>
      <w:b/>
      <w:bCs/>
      <w:kern w:val="44"/>
      <w:sz w:val="28"/>
      <w:szCs w:val="32"/>
    </w:rPr>
  </w:style>
  <w:style w:type="paragraph" w:styleId="2">
    <w:name w:val="heading 2"/>
    <w:basedOn w:val="a0"/>
    <w:next w:val="3"/>
    <w:link w:val="20"/>
    <w:qFormat/>
    <w:pPr>
      <w:keepNext/>
      <w:keepLines/>
      <w:numPr>
        <w:ilvl w:val="1"/>
        <w:numId w:val="1"/>
      </w:numPr>
      <w:tabs>
        <w:tab w:val="left" w:pos="630"/>
        <w:tab w:val="left" w:pos="720"/>
      </w:tabs>
      <w:spacing w:before="240" w:line="360" w:lineRule="auto"/>
      <w:outlineLvl w:val="1"/>
    </w:pPr>
    <w:rPr>
      <w:rFonts w:ascii="Times New Roman" w:hAnsi="Times New Roman"/>
      <w:b/>
      <w:bCs/>
      <w:sz w:val="28"/>
      <w:szCs w:val="32"/>
    </w:rPr>
  </w:style>
  <w:style w:type="paragraph" w:styleId="3">
    <w:name w:val="heading 3"/>
    <w:basedOn w:val="a0"/>
    <w:next w:val="a0"/>
    <w:link w:val="30"/>
    <w:qFormat/>
    <w:pPr>
      <w:keepNext/>
      <w:keepLines/>
      <w:numPr>
        <w:ilvl w:val="2"/>
        <w:numId w:val="1"/>
      </w:numPr>
      <w:tabs>
        <w:tab w:val="left" w:pos="720"/>
        <w:tab w:val="left" w:pos="8234"/>
      </w:tabs>
      <w:adjustRightInd w:val="0"/>
      <w:spacing w:before="240" w:line="416" w:lineRule="atLeast"/>
      <w:textAlignment w:val="baseline"/>
      <w:outlineLvl w:val="2"/>
    </w:pPr>
    <w:rPr>
      <w:rFonts w:ascii="Times New Roman" w:hAnsi="Times New Roman"/>
      <w:b/>
      <w:kern w:val="0"/>
      <w:sz w:val="28"/>
      <w:szCs w:val="32"/>
    </w:rPr>
  </w:style>
  <w:style w:type="paragraph" w:styleId="4">
    <w:name w:val="heading 4"/>
    <w:basedOn w:val="a0"/>
    <w:next w:val="a0"/>
    <w:link w:val="40"/>
    <w:qFormat/>
    <w:pPr>
      <w:keepNext/>
      <w:keepLines/>
      <w:numPr>
        <w:ilvl w:val="3"/>
        <w:numId w:val="1"/>
      </w:numPr>
      <w:tabs>
        <w:tab w:val="left" w:pos="720"/>
        <w:tab w:val="left" w:pos="1080"/>
      </w:tabs>
      <w:adjustRightInd w:val="0"/>
      <w:spacing w:before="120" w:line="376" w:lineRule="atLeast"/>
      <w:textAlignment w:val="baseline"/>
      <w:outlineLvl w:val="3"/>
    </w:pPr>
    <w:rPr>
      <w:rFonts w:ascii="Arial" w:eastAsia="黑体" w:hAnsi="Arial"/>
      <w:b/>
      <w:bCs/>
      <w:kern w:val="0"/>
      <w:sz w:val="28"/>
      <w:szCs w:val="28"/>
    </w:rPr>
  </w:style>
  <w:style w:type="paragraph" w:styleId="5">
    <w:name w:val="heading 5"/>
    <w:basedOn w:val="4"/>
    <w:next w:val="a0"/>
    <w:link w:val="50"/>
    <w:qFormat/>
    <w:pPr>
      <w:numPr>
        <w:ilvl w:val="4"/>
        <w:numId w:val="0"/>
      </w:numPr>
      <w:outlineLvl w:val="4"/>
    </w:pPr>
  </w:style>
  <w:style w:type="paragraph" w:styleId="6">
    <w:name w:val="heading 6"/>
    <w:basedOn w:val="a0"/>
    <w:next w:val="a0"/>
    <w:link w:val="60"/>
    <w:uiPriority w:val="9"/>
    <w:qFormat/>
    <w:pPr>
      <w:keepNext/>
      <w:keepLines/>
      <w:numPr>
        <w:ilvl w:val="5"/>
        <w:numId w:val="2"/>
      </w:numPr>
      <w:adjustRightInd w:val="0"/>
      <w:spacing w:before="240" w:after="64" w:line="320" w:lineRule="atLeast"/>
      <w:textAlignment w:val="baseline"/>
      <w:outlineLvl w:val="5"/>
    </w:pPr>
    <w:rPr>
      <w:rFonts w:ascii="Calibri Light" w:hAnsi="Calibri Light"/>
      <w:b/>
      <w:bCs/>
      <w:kern w:val="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link w:val="a5"/>
    <w:qFormat/>
    <w:pPr>
      <w:ind w:firstLineChars="200" w:firstLine="420"/>
    </w:pPr>
  </w:style>
  <w:style w:type="paragraph" w:styleId="a6">
    <w:name w:val="caption"/>
    <w:basedOn w:val="a0"/>
    <w:next w:val="a0"/>
    <w:uiPriority w:val="5"/>
    <w:qFormat/>
    <w:pPr>
      <w:spacing w:line="360" w:lineRule="auto"/>
      <w:jc w:val="center"/>
    </w:pPr>
    <w:rPr>
      <w:rFonts w:ascii="Times New Roman" w:eastAsia="黑体" w:hAnsi="Times New Roman"/>
      <w:sz w:val="24"/>
      <w:szCs w:val="20"/>
    </w:rPr>
  </w:style>
  <w:style w:type="paragraph" w:styleId="a7">
    <w:name w:val="Document Map"/>
    <w:basedOn w:val="a0"/>
    <w:link w:val="a8"/>
    <w:uiPriority w:val="99"/>
    <w:qFormat/>
    <w:rPr>
      <w:rFonts w:ascii="宋体"/>
      <w:sz w:val="18"/>
      <w:szCs w:val="18"/>
    </w:rPr>
  </w:style>
  <w:style w:type="paragraph" w:styleId="a9">
    <w:name w:val="annotation text"/>
    <w:basedOn w:val="a0"/>
    <w:link w:val="aa"/>
    <w:qFormat/>
    <w:pPr>
      <w:adjustRightInd w:val="0"/>
      <w:spacing w:line="312" w:lineRule="atLeast"/>
      <w:jc w:val="left"/>
      <w:textAlignment w:val="baseline"/>
    </w:pPr>
    <w:rPr>
      <w:rFonts w:ascii="Times New Roman" w:hAnsi="Times New Roman"/>
      <w:kern w:val="0"/>
      <w:szCs w:val="20"/>
    </w:rPr>
  </w:style>
  <w:style w:type="paragraph" w:styleId="ab">
    <w:name w:val="Body Text Indent"/>
    <w:basedOn w:val="a0"/>
    <w:link w:val="ac"/>
    <w:qFormat/>
    <w:pPr>
      <w:spacing w:line="360" w:lineRule="auto"/>
      <w:ind w:leftChars="62" w:left="130" w:firstLineChars="150" w:firstLine="390"/>
    </w:pPr>
    <w:rPr>
      <w:rFonts w:ascii="宋体" w:hAnsi="Times New Roman"/>
      <w:spacing w:val="10"/>
      <w:sz w:val="24"/>
      <w:szCs w:val="20"/>
    </w:rPr>
  </w:style>
  <w:style w:type="paragraph" w:styleId="TOC3">
    <w:name w:val="toc 3"/>
    <w:basedOn w:val="a0"/>
    <w:next w:val="a0"/>
    <w:uiPriority w:val="39"/>
    <w:qFormat/>
    <w:pPr>
      <w:ind w:leftChars="400" w:left="840"/>
    </w:pPr>
  </w:style>
  <w:style w:type="paragraph" w:styleId="ad">
    <w:name w:val="Balloon Text"/>
    <w:basedOn w:val="a0"/>
    <w:link w:val="ae"/>
    <w:uiPriority w:val="99"/>
    <w:qFormat/>
    <w:rPr>
      <w:sz w:val="18"/>
      <w:szCs w:val="18"/>
    </w:rPr>
  </w:style>
  <w:style w:type="paragraph" w:styleId="af">
    <w:name w:val="footer"/>
    <w:basedOn w:val="a0"/>
    <w:link w:val="af0"/>
    <w:uiPriority w:val="99"/>
    <w:qFormat/>
    <w:pPr>
      <w:tabs>
        <w:tab w:val="center" w:pos="4153"/>
        <w:tab w:val="right" w:pos="8306"/>
      </w:tabs>
      <w:snapToGrid w:val="0"/>
      <w:jc w:val="left"/>
    </w:pPr>
    <w:rPr>
      <w:sz w:val="18"/>
      <w:szCs w:val="18"/>
    </w:rPr>
  </w:style>
  <w:style w:type="paragraph" w:styleId="af1">
    <w:name w:val="header"/>
    <w:basedOn w:val="a0"/>
    <w:link w:val="a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uiPriority w:val="39"/>
    <w:qFormat/>
  </w:style>
  <w:style w:type="paragraph" w:styleId="TOC2">
    <w:name w:val="toc 2"/>
    <w:basedOn w:val="a0"/>
    <w:next w:val="a0"/>
    <w:uiPriority w:val="39"/>
    <w:qFormat/>
    <w:pPr>
      <w:ind w:leftChars="200" w:left="420"/>
    </w:pPr>
  </w:style>
  <w:style w:type="paragraph" w:styleId="af3">
    <w:name w:val="Normal (Web)"/>
    <w:basedOn w:val="a0"/>
    <w:qFormat/>
    <w:pPr>
      <w:widowControl/>
      <w:spacing w:before="100" w:beforeAutospacing="1" w:after="100" w:afterAutospacing="1"/>
      <w:jc w:val="left"/>
    </w:pPr>
    <w:rPr>
      <w:rFonts w:ascii="宋体" w:hAnsi="宋体"/>
      <w:kern w:val="0"/>
      <w:sz w:val="24"/>
      <w:szCs w:val="24"/>
    </w:rPr>
  </w:style>
  <w:style w:type="paragraph" w:styleId="af4">
    <w:name w:val="annotation subject"/>
    <w:basedOn w:val="a9"/>
    <w:next w:val="a9"/>
    <w:link w:val="af5"/>
    <w:uiPriority w:val="99"/>
    <w:qFormat/>
    <w:pPr>
      <w:adjustRightInd/>
      <w:spacing w:line="240" w:lineRule="auto"/>
      <w:textAlignment w:val="auto"/>
    </w:pPr>
    <w:rPr>
      <w:rFonts w:ascii="Calibri" w:hAnsi="Calibri"/>
      <w:b/>
      <w:bCs/>
      <w:kern w:val="2"/>
      <w:szCs w:val="22"/>
    </w:rPr>
  </w:style>
  <w:style w:type="paragraph" w:styleId="21">
    <w:name w:val="Body Text First Indent 2"/>
    <w:basedOn w:val="ab"/>
    <w:link w:val="22"/>
    <w:uiPriority w:val="99"/>
    <w:qFormat/>
    <w:pPr>
      <w:spacing w:after="120" w:line="240" w:lineRule="auto"/>
      <w:ind w:leftChars="200" w:left="420" w:firstLineChars="200" w:firstLine="420"/>
    </w:pPr>
    <w:rPr>
      <w:rFonts w:ascii="Calibri" w:hAnsi="Calibri"/>
      <w:spacing w:val="0"/>
      <w:sz w:val="21"/>
      <w:szCs w:val="22"/>
    </w:rPr>
  </w:style>
  <w:style w:type="table" w:styleId="af6">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Theme"/>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qFormat/>
    <w:rPr>
      <w:b/>
      <w:bCs/>
      <w:spacing w:val="0"/>
    </w:rPr>
  </w:style>
  <w:style w:type="character" w:styleId="af9">
    <w:name w:val="FollowedHyperlink"/>
    <w:basedOn w:val="a1"/>
    <w:uiPriority w:val="99"/>
    <w:qFormat/>
    <w:rPr>
      <w:color w:val="800080"/>
      <w:u w:val="single"/>
    </w:rPr>
  </w:style>
  <w:style w:type="character" w:styleId="afa">
    <w:name w:val="Hyperlink"/>
    <w:basedOn w:val="a1"/>
    <w:uiPriority w:val="99"/>
    <w:qFormat/>
    <w:rPr>
      <w:color w:val="0000FF"/>
      <w:u w:val="single"/>
    </w:rPr>
  </w:style>
  <w:style w:type="character" w:styleId="afb">
    <w:name w:val="annotation reference"/>
    <w:qFormat/>
    <w:rPr>
      <w:sz w:val="21"/>
      <w:szCs w:val="21"/>
    </w:rPr>
  </w:style>
  <w:style w:type="paragraph" w:customStyle="1" w:styleId="BodyText">
    <w:name w:val="BodyText"/>
    <w:basedOn w:val="a0"/>
    <w:qFormat/>
    <w:pPr>
      <w:spacing w:after="140" w:line="276" w:lineRule="auto"/>
      <w:textAlignment w:val="baseline"/>
    </w:pPr>
  </w:style>
  <w:style w:type="character" w:customStyle="1" w:styleId="10">
    <w:name w:val="标题 1 字符"/>
    <w:link w:val="1"/>
    <w:qFormat/>
    <w:rPr>
      <w:b/>
      <w:bCs/>
      <w:kern w:val="44"/>
      <w:sz w:val="28"/>
      <w:szCs w:val="32"/>
    </w:rPr>
  </w:style>
  <w:style w:type="character" w:customStyle="1" w:styleId="20">
    <w:name w:val="标题 2 字符"/>
    <w:link w:val="2"/>
    <w:qFormat/>
    <w:rPr>
      <w:b/>
      <w:bCs/>
      <w:kern w:val="2"/>
      <w:sz w:val="28"/>
      <w:szCs w:val="32"/>
    </w:rPr>
  </w:style>
  <w:style w:type="character" w:customStyle="1" w:styleId="30">
    <w:name w:val="标题 3 字符"/>
    <w:link w:val="3"/>
    <w:qFormat/>
    <w:rPr>
      <w:b/>
      <w:sz w:val="28"/>
      <w:szCs w:val="32"/>
    </w:rPr>
  </w:style>
  <w:style w:type="character" w:customStyle="1" w:styleId="40">
    <w:name w:val="标题 4 字符"/>
    <w:link w:val="4"/>
    <w:qFormat/>
    <w:rPr>
      <w:rFonts w:ascii="Arial" w:eastAsia="黑体" w:hAnsi="Arial"/>
      <w:b/>
      <w:bCs/>
      <w:sz w:val="28"/>
      <w:szCs w:val="28"/>
    </w:rPr>
  </w:style>
  <w:style w:type="character" w:customStyle="1" w:styleId="50">
    <w:name w:val="标题 5 字符"/>
    <w:link w:val="5"/>
    <w:qFormat/>
    <w:rPr>
      <w:rFonts w:ascii="Arial" w:eastAsia="黑体" w:hAnsi="Arial"/>
      <w:b/>
      <w:bCs/>
      <w:sz w:val="28"/>
      <w:szCs w:val="28"/>
    </w:rPr>
  </w:style>
  <w:style w:type="character" w:customStyle="1" w:styleId="60">
    <w:name w:val="标题 6 字符"/>
    <w:link w:val="6"/>
    <w:uiPriority w:val="9"/>
    <w:qFormat/>
    <w:rPr>
      <w:rFonts w:ascii="Calibri Light" w:hAnsi="Calibri Light"/>
      <w:b/>
      <w:bCs/>
      <w:sz w:val="24"/>
      <w:szCs w:val="24"/>
    </w:rPr>
  </w:style>
  <w:style w:type="character" w:customStyle="1" w:styleId="a5">
    <w:name w:val="正文缩进 字符"/>
    <w:link w:val="a4"/>
    <w:qFormat/>
    <w:rPr>
      <w:rFonts w:ascii="Calibri" w:hAnsi="Calibri"/>
      <w:kern w:val="2"/>
      <w:sz w:val="21"/>
      <w:szCs w:val="22"/>
    </w:rPr>
  </w:style>
  <w:style w:type="character" w:customStyle="1" w:styleId="a8">
    <w:name w:val="文档结构图 字符"/>
    <w:link w:val="a7"/>
    <w:uiPriority w:val="99"/>
    <w:qFormat/>
    <w:rPr>
      <w:rFonts w:ascii="宋体" w:eastAsia="宋体"/>
      <w:sz w:val="18"/>
      <w:szCs w:val="18"/>
    </w:rPr>
  </w:style>
  <w:style w:type="character" w:customStyle="1" w:styleId="aa">
    <w:name w:val="批注文字 字符"/>
    <w:link w:val="a9"/>
    <w:qFormat/>
    <w:rPr>
      <w:rFonts w:ascii="Times New Roman" w:eastAsia="宋体" w:hAnsi="Times New Roman" w:cs="Times New Roman"/>
      <w:kern w:val="0"/>
      <w:szCs w:val="20"/>
    </w:rPr>
  </w:style>
  <w:style w:type="character" w:customStyle="1" w:styleId="ac">
    <w:name w:val="正文文本缩进 字符"/>
    <w:link w:val="ab"/>
    <w:qFormat/>
    <w:rPr>
      <w:rFonts w:ascii="宋体" w:eastAsia="宋体" w:hAnsi="Times New Roman" w:cs="Times New Roman"/>
      <w:spacing w:val="10"/>
      <w:sz w:val="24"/>
      <w:szCs w:val="20"/>
    </w:rPr>
  </w:style>
  <w:style w:type="character" w:customStyle="1" w:styleId="ae">
    <w:name w:val="批注框文本 字符"/>
    <w:link w:val="ad"/>
    <w:uiPriority w:val="99"/>
    <w:qFormat/>
    <w:rPr>
      <w:sz w:val="18"/>
      <w:szCs w:val="18"/>
    </w:rPr>
  </w:style>
  <w:style w:type="character" w:customStyle="1" w:styleId="af0">
    <w:name w:val="页脚 字符"/>
    <w:link w:val="af"/>
    <w:uiPriority w:val="99"/>
    <w:qFormat/>
    <w:rPr>
      <w:sz w:val="18"/>
      <w:szCs w:val="18"/>
    </w:rPr>
  </w:style>
  <w:style w:type="character" w:customStyle="1" w:styleId="af2">
    <w:name w:val="页眉 字符"/>
    <w:link w:val="af1"/>
    <w:uiPriority w:val="99"/>
    <w:qFormat/>
    <w:rPr>
      <w:sz w:val="18"/>
      <w:szCs w:val="18"/>
    </w:rPr>
  </w:style>
  <w:style w:type="character" w:customStyle="1" w:styleId="af5">
    <w:name w:val="批注主题 字符"/>
    <w:link w:val="af4"/>
    <w:uiPriority w:val="99"/>
    <w:qFormat/>
    <w:rPr>
      <w:rFonts w:ascii="Times New Roman" w:eastAsia="宋体" w:hAnsi="Times New Roman" w:cs="Times New Roman"/>
      <w:b/>
      <w:bCs/>
      <w:kern w:val="0"/>
      <w:szCs w:val="20"/>
    </w:rPr>
  </w:style>
  <w:style w:type="character" w:customStyle="1" w:styleId="22">
    <w:name w:val="正文文本首行缩进 2 字符"/>
    <w:link w:val="21"/>
    <w:uiPriority w:val="99"/>
    <w:qFormat/>
    <w:rPr>
      <w:rFonts w:ascii="Calibri" w:eastAsia="宋体" w:hAnsi="Calibri" w:cs="Times New Roman"/>
      <w:spacing w:val="10"/>
      <w:kern w:val="2"/>
      <w:sz w:val="21"/>
      <w:szCs w:val="22"/>
    </w:rPr>
  </w:style>
  <w:style w:type="paragraph" w:customStyle="1" w:styleId="afc">
    <w:name w:val="！正文"/>
    <w:basedOn w:val="a0"/>
    <w:uiPriority w:val="99"/>
    <w:qFormat/>
    <w:pPr>
      <w:spacing w:line="360" w:lineRule="auto"/>
      <w:ind w:firstLineChars="200" w:firstLine="200"/>
    </w:pPr>
    <w:rPr>
      <w:sz w:val="24"/>
      <w:szCs w:val="21"/>
    </w:rPr>
  </w:style>
  <w:style w:type="paragraph" w:customStyle="1" w:styleId="11">
    <w:name w:val="列表段落1"/>
    <w:basedOn w:val="a0"/>
    <w:link w:val="afd"/>
    <w:qFormat/>
    <w:pPr>
      <w:ind w:firstLineChars="200" w:firstLine="420"/>
    </w:pPr>
    <w:rPr>
      <w:kern w:val="0"/>
      <w:sz w:val="20"/>
      <w:szCs w:val="20"/>
    </w:rPr>
  </w:style>
  <w:style w:type="character" w:customStyle="1" w:styleId="afd">
    <w:name w:val="列表段落 字符"/>
    <w:link w:val="11"/>
    <w:qFormat/>
    <w:rPr>
      <w:rFonts w:ascii="Calibri" w:eastAsia="宋体" w:hAnsi="Calibri" w:cs="Times New Roman"/>
    </w:rPr>
  </w:style>
  <w:style w:type="paragraph" w:customStyle="1" w:styleId="NewNewNew">
    <w:name w:val="正文 New New New"/>
    <w:qFormat/>
    <w:pPr>
      <w:widowControl w:val="0"/>
      <w:jc w:val="both"/>
    </w:pPr>
    <w:rPr>
      <w:kern w:val="2"/>
      <w:sz w:val="21"/>
      <w:szCs w:val="24"/>
    </w:rPr>
  </w:style>
  <w:style w:type="paragraph" w:customStyle="1" w:styleId="TOC11">
    <w:name w:val="TOC 11"/>
    <w:basedOn w:val="a0"/>
    <w:next w:val="a0"/>
    <w:uiPriority w:val="39"/>
    <w:qFormat/>
    <w:pPr>
      <w:adjustRightInd w:val="0"/>
      <w:spacing w:line="312" w:lineRule="atLeast"/>
      <w:textAlignment w:val="baseline"/>
    </w:pPr>
    <w:rPr>
      <w:rFonts w:ascii="Times New Roman" w:hAnsi="Times New Roman"/>
      <w:kern w:val="0"/>
      <w:szCs w:val="20"/>
    </w:rPr>
  </w:style>
  <w:style w:type="paragraph" w:customStyle="1" w:styleId="TOC21">
    <w:name w:val="TOC 21"/>
    <w:basedOn w:val="a0"/>
    <w:next w:val="a0"/>
    <w:uiPriority w:val="39"/>
    <w:qFormat/>
    <w:pPr>
      <w:adjustRightInd w:val="0"/>
      <w:spacing w:line="312" w:lineRule="atLeast"/>
      <w:ind w:leftChars="200" w:left="420"/>
      <w:textAlignment w:val="baseline"/>
    </w:pPr>
    <w:rPr>
      <w:rFonts w:ascii="Times New Roman" w:hAnsi="Times New Roman"/>
      <w:kern w:val="0"/>
      <w:szCs w:val="20"/>
    </w:rPr>
  </w:style>
  <w:style w:type="paragraph" w:customStyle="1" w:styleId="TOC31">
    <w:name w:val="TOC 31"/>
    <w:basedOn w:val="a0"/>
    <w:next w:val="a0"/>
    <w:uiPriority w:val="39"/>
    <w:qFormat/>
    <w:pPr>
      <w:adjustRightInd w:val="0"/>
      <w:spacing w:line="312" w:lineRule="atLeast"/>
      <w:ind w:leftChars="400" w:left="840"/>
      <w:textAlignment w:val="baseline"/>
    </w:pPr>
    <w:rPr>
      <w:rFonts w:ascii="Times New Roman" w:hAnsi="Times New Roman"/>
      <w:kern w:val="0"/>
      <w:szCs w:val="20"/>
    </w:rPr>
  </w:style>
  <w:style w:type="paragraph" w:customStyle="1" w:styleId="23">
    <w:name w:val="列表段落2"/>
    <w:basedOn w:val="a0"/>
    <w:uiPriority w:val="34"/>
    <w:qFormat/>
    <w:pPr>
      <w:ind w:firstLineChars="200" w:firstLine="420"/>
    </w:pPr>
  </w:style>
  <w:style w:type="paragraph" w:customStyle="1" w:styleId="a">
    <w:name w:val="目录"/>
    <w:qFormat/>
    <w:pPr>
      <w:numPr>
        <w:numId w:val="3"/>
      </w:numPr>
      <w:tabs>
        <w:tab w:val="left" w:pos="1080"/>
      </w:tabs>
      <w:ind w:left="227" w:hanging="227"/>
      <w:jc w:val="center"/>
      <w:outlineLvl w:val="0"/>
    </w:pPr>
    <w:rPr>
      <w:rFonts w:ascii="宋体"/>
      <w:color w:val="FF0000"/>
      <w:sz w:val="32"/>
    </w:rPr>
  </w:style>
  <w:style w:type="paragraph" w:customStyle="1" w:styleId="210">
    <w:name w:val="列表段落21"/>
    <w:basedOn w:val="a0"/>
    <w:qFormat/>
    <w:pPr>
      <w:ind w:firstLineChars="200" w:firstLine="420"/>
    </w:pPr>
  </w:style>
  <w:style w:type="paragraph" w:customStyle="1" w:styleId="110">
    <w:name w:val="目录 11"/>
    <w:basedOn w:val="a0"/>
    <w:next w:val="a0"/>
    <w:uiPriority w:val="39"/>
    <w:qFormat/>
    <w:pPr>
      <w:adjustRightInd w:val="0"/>
      <w:spacing w:line="312" w:lineRule="atLeast"/>
      <w:textAlignment w:val="baseline"/>
    </w:pPr>
    <w:rPr>
      <w:rFonts w:ascii="Times New Roman" w:hAnsi="Times New Roman"/>
      <w:kern w:val="0"/>
      <w:szCs w:val="20"/>
    </w:rPr>
  </w:style>
  <w:style w:type="paragraph" w:customStyle="1" w:styleId="211">
    <w:name w:val="目录 21"/>
    <w:basedOn w:val="a0"/>
    <w:next w:val="a0"/>
    <w:uiPriority w:val="39"/>
    <w:qFormat/>
    <w:pPr>
      <w:adjustRightInd w:val="0"/>
      <w:spacing w:line="312" w:lineRule="atLeast"/>
      <w:ind w:leftChars="200" w:left="420"/>
      <w:textAlignment w:val="baseline"/>
    </w:pPr>
    <w:rPr>
      <w:rFonts w:ascii="Times New Roman" w:hAnsi="Times New Roman"/>
      <w:kern w:val="0"/>
      <w:szCs w:val="20"/>
    </w:rPr>
  </w:style>
  <w:style w:type="paragraph" w:customStyle="1" w:styleId="31">
    <w:name w:val="目录 31"/>
    <w:basedOn w:val="a0"/>
    <w:next w:val="a0"/>
    <w:uiPriority w:val="39"/>
    <w:qFormat/>
    <w:pPr>
      <w:adjustRightInd w:val="0"/>
      <w:spacing w:line="312" w:lineRule="atLeast"/>
      <w:ind w:leftChars="400" w:left="840"/>
      <w:textAlignment w:val="baseline"/>
    </w:pPr>
    <w:rPr>
      <w:rFonts w:ascii="Times New Roman" w:hAnsi="Times New Roman"/>
      <w:kern w:val="0"/>
      <w:szCs w:val="20"/>
    </w:rPr>
  </w:style>
  <w:style w:type="paragraph" w:customStyle="1" w:styleId="12">
    <w:name w:val="修订1"/>
    <w:uiPriority w:val="99"/>
    <w:qFormat/>
    <w:rPr>
      <w:rFonts w:ascii="Calibri" w:hAnsi="Calibri"/>
      <w:kern w:val="2"/>
      <w:sz w:val="21"/>
      <w:szCs w:val="22"/>
    </w:rPr>
  </w:style>
  <w:style w:type="paragraph" w:customStyle="1" w:styleId="32">
    <w:name w:val="列表段落3"/>
    <w:basedOn w:val="a0"/>
    <w:qFormat/>
    <w:pPr>
      <w:ind w:firstLineChars="200" w:firstLine="420"/>
    </w:pPr>
  </w:style>
  <w:style w:type="paragraph" w:customStyle="1" w:styleId="15">
    <w:name w:val="缩进_小四号_1.5行距"/>
    <w:basedOn w:val="a0"/>
    <w:link w:val="15Char"/>
    <w:qFormat/>
    <w:pPr>
      <w:spacing w:line="360" w:lineRule="auto"/>
      <w:ind w:firstLineChars="200" w:firstLine="480"/>
    </w:pPr>
    <w:rPr>
      <w:rFonts w:cs="宋体"/>
      <w:sz w:val="24"/>
      <w:szCs w:val="20"/>
    </w:rPr>
  </w:style>
  <w:style w:type="character" w:customStyle="1" w:styleId="15Char">
    <w:name w:val="缩进_小四号_1.5行距 Char"/>
    <w:link w:val="15"/>
    <w:qFormat/>
    <w:rPr>
      <w:rFonts w:ascii="Calibri" w:hAnsi="Calibri" w:cs="宋体"/>
      <w:kern w:val="2"/>
      <w:sz w:val="24"/>
    </w:rPr>
  </w:style>
  <w:style w:type="paragraph" w:customStyle="1" w:styleId="150">
    <w:name w:val="缩进_五号_1.5行距"/>
    <w:basedOn w:val="a0"/>
    <w:qFormat/>
    <w:pPr>
      <w:spacing w:line="360" w:lineRule="auto"/>
      <w:ind w:firstLineChars="200" w:firstLine="420"/>
    </w:pPr>
    <w:rPr>
      <w:rFonts w:cs="宋体"/>
      <w:szCs w:val="20"/>
    </w:rPr>
  </w:style>
  <w:style w:type="paragraph" w:customStyle="1" w:styleId="13">
    <w:name w:val="无间隔1"/>
    <w:uiPriority w:val="3"/>
    <w:qFormat/>
    <w:pPr>
      <w:widowControl w:val="0"/>
      <w:jc w:val="center"/>
    </w:pPr>
    <w:rPr>
      <w:rFonts w:eastAsia="楷体"/>
      <w:kern w:val="2"/>
      <w:sz w:val="24"/>
      <w:szCs w:val="22"/>
    </w:rPr>
  </w:style>
  <w:style w:type="paragraph" w:customStyle="1" w:styleId="00">
    <w:name w:val="00.预算正文"/>
    <w:basedOn w:val="a0"/>
    <w:link w:val="000"/>
    <w:qFormat/>
    <w:pPr>
      <w:widowControl/>
      <w:spacing w:line="360" w:lineRule="auto"/>
      <w:ind w:firstLineChars="200" w:firstLine="560"/>
      <w:jc w:val="left"/>
    </w:pPr>
    <w:rPr>
      <w:rFonts w:ascii="Times New Roman" w:eastAsia="仿宋_GB2312" w:hAnsi="Times New Roman"/>
      <w:kern w:val="0"/>
      <w:sz w:val="28"/>
      <w:szCs w:val="24"/>
    </w:rPr>
  </w:style>
  <w:style w:type="character" w:customStyle="1" w:styleId="000">
    <w:name w:val="00.预算正文 字符"/>
    <w:link w:val="00"/>
    <w:qFormat/>
    <w:rPr>
      <w:rFonts w:eastAsia="仿宋_GB2312"/>
      <w:sz w:val="28"/>
      <w:szCs w:val="24"/>
    </w:rPr>
  </w:style>
  <w:style w:type="paragraph" w:customStyle="1" w:styleId="Style63">
    <w:name w:val="_Style 63"/>
    <w:uiPriority w:val="99"/>
    <w:qFormat/>
    <w:rPr>
      <w:rFonts w:ascii="Calibri" w:hAnsi="Calibri"/>
      <w:kern w:val="2"/>
      <w:sz w:val="21"/>
      <w:szCs w:val="22"/>
    </w:rPr>
  </w:style>
  <w:style w:type="character" w:customStyle="1" w:styleId="font01">
    <w:name w:val="font01"/>
    <w:qFormat/>
    <w:rPr>
      <w:rFonts w:ascii="Times New Roman" w:hAnsi="Times New Roman" w:cs="Times New Roman" w:hint="default"/>
      <w:color w:val="000000"/>
      <w:sz w:val="24"/>
      <w:szCs w:val="24"/>
      <w:u w:val="none"/>
    </w:rPr>
  </w:style>
  <w:style w:type="character" w:customStyle="1" w:styleId="font31">
    <w:name w:val="font31"/>
    <w:qFormat/>
    <w:rPr>
      <w:rFonts w:ascii="宋体" w:eastAsia="宋体" w:hAnsi="宋体" w:cs="宋体" w:hint="eastAsia"/>
      <w:color w:val="000000"/>
      <w:sz w:val="24"/>
      <w:szCs w:val="24"/>
      <w:u w:val="none"/>
    </w:rPr>
  </w:style>
  <w:style w:type="paragraph" w:customStyle="1" w:styleId="24">
    <w:name w:val="正文空2字"/>
    <w:basedOn w:val="a0"/>
    <w:uiPriority w:val="99"/>
    <w:qFormat/>
    <w:pPr>
      <w:snapToGrid w:val="0"/>
      <w:spacing w:line="560" w:lineRule="exact"/>
      <w:ind w:firstLineChars="200" w:firstLine="640"/>
      <w:jc w:val="left"/>
    </w:pPr>
    <w:rPr>
      <w:rFonts w:ascii="仿宋_GB2312" w:eastAsia="仿宋_GB2312" w:hAnsi="仿宋_GB2312" w:cs="仿宋_GB2312"/>
      <w:sz w:val="32"/>
      <w:szCs w:val="32"/>
      <w:lang w:val="zh-TW"/>
    </w:rPr>
  </w:style>
  <w:style w:type="paragraph" w:customStyle="1" w:styleId="25">
    <w:name w:val="修订2"/>
    <w:uiPriority w:val="99"/>
    <w:qFormat/>
    <w:rPr>
      <w:rFonts w:ascii="Calibri" w:hAnsi="Calibri"/>
      <w:kern w:val="2"/>
      <w:sz w:val="21"/>
      <w:szCs w:val="22"/>
    </w:rPr>
  </w:style>
  <w:style w:type="paragraph" w:customStyle="1" w:styleId="33">
    <w:name w:val="修订3"/>
    <w:uiPriority w:val="99"/>
    <w:qFormat/>
    <w:rPr>
      <w:rFonts w:ascii="Calibri" w:hAnsi="Calibri"/>
      <w:kern w:val="2"/>
      <w:sz w:val="21"/>
      <w:szCs w:val="22"/>
    </w:rPr>
  </w:style>
  <w:style w:type="paragraph" w:customStyle="1" w:styleId="41">
    <w:name w:val="修订4"/>
    <w:uiPriority w:val="99"/>
    <w:qFormat/>
    <w:rPr>
      <w:rFonts w:ascii="Calibri" w:hAnsi="Calibri"/>
      <w:kern w:val="2"/>
      <w:sz w:val="21"/>
      <w:szCs w:val="22"/>
    </w:rPr>
  </w:style>
  <w:style w:type="paragraph" w:customStyle="1" w:styleId="51">
    <w:name w:val="修订5"/>
    <w:uiPriority w:val="99"/>
    <w:qFormat/>
    <w:rPr>
      <w:rFonts w:ascii="Calibri" w:hAnsi="Calibri"/>
      <w:kern w:val="2"/>
      <w:sz w:val="21"/>
      <w:szCs w:val="22"/>
    </w:rPr>
  </w:style>
  <w:style w:type="paragraph" w:customStyle="1" w:styleId="msonormal0">
    <w:name w:val="msonormal"/>
    <w:basedOn w:val="a0"/>
    <w:qFormat/>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0"/>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0"/>
    <w:qFormat/>
    <w:pPr>
      <w:widowControl/>
      <w:spacing w:before="100" w:beforeAutospacing="1" w:after="100" w:afterAutospacing="1"/>
      <w:jc w:val="left"/>
    </w:pPr>
    <w:rPr>
      <w:rFonts w:ascii="宋体" w:hAnsi="宋体" w:cs="宋体"/>
      <w:kern w:val="0"/>
      <w:sz w:val="24"/>
      <w:szCs w:val="24"/>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0"/>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14">
    <w:name w:val="未处理的提及1"/>
    <w:basedOn w:val="a1"/>
    <w:uiPriority w:val="99"/>
    <w:qFormat/>
    <w:rPr>
      <w:color w:val="605E5C"/>
      <w:shd w:val="clear" w:color="auto" w:fill="E1DFDD"/>
    </w:rPr>
  </w:style>
  <w:style w:type="paragraph" w:styleId="afe">
    <w:name w:val="List Paragraph"/>
    <w:basedOn w:val="a0"/>
    <w:uiPriority w:val="99"/>
    <w:qFormat/>
    <w:pPr>
      <w:ind w:firstLineChars="200" w:firstLine="420"/>
    </w:pPr>
  </w:style>
  <w:style w:type="paragraph" w:customStyle="1" w:styleId="16">
    <w:name w:val="样式1"/>
    <w:basedOn w:val="a0"/>
    <w:qFormat/>
    <w:pPr>
      <w:jc w:val="center"/>
    </w:pPr>
    <w:rPr>
      <w:rFonts w:ascii="仿宋_GB2312" w:eastAsia="仿宋_GB2312" w:hAnsi="仿宋_GB2312" w:cs="仿宋_GB2312" w:hint="eastAsia"/>
      <w:kern w:val="0"/>
      <w:sz w:val="24"/>
      <w:szCs w:val="24"/>
    </w:rPr>
  </w:style>
  <w:style w:type="character" w:customStyle="1" w:styleId="212">
    <w:name w:val="标题 2 字符1"/>
    <w:qFormat/>
    <w:rPr>
      <w:b/>
      <w:bCs/>
      <w:kern w:val="2"/>
      <w:sz w:val="28"/>
      <w:szCs w:val="32"/>
    </w:rPr>
  </w:style>
  <w:style w:type="paragraph" w:customStyle="1" w:styleId="61">
    <w:name w:val="修订6"/>
    <w:uiPriority w:val="99"/>
    <w:qFormat/>
    <w:rPr>
      <w:rFonts w:ascii="Calibri" w:hAnsi="Calibri"/>
      <w:kern w:val="2"/>
      <w:sz w:val="21"/>
      <w:szCs w:val="22"/>
    </w:rPr>
  </w:style>
  <w:style w:type="paragraph" w:customStyle="1" w:styleId="7">
    <w:name w:val="修订7"/>
    <w:uiPriority w:val="99"/>
    <w:qFormat/>
    <w:rPr>
      <w:rFonts w:ascii="Calibri" w:hAnsi="Calibri"/>
      <w:kern w:val="2"/>
      <w:sz w:val="21"/>
      <w:szCs w:val="22"/>
    </w:rPr>
  </w:style>
  <w:style w:type="paragraph" w:customStyle="1" w:styleId="8">
    <w:name w:val="修订8"/>
    <w:hidden/>
    <w:uiPriority w:val="99"/>
    <w:unhideWhenUsed/>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xmlns:mcd="http://www.wps.cn/android/officeDocument/2013/mofficeCustomData"/>
</mcd: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FA6284C6-E3B8-4839-8888-2F5427577E26}">
  <ds:schemaRefs>
    <ds:schemaRef ds:uri="http://www.wps.cn/android/officeDocument/2013/mofficeCustomData"/>
  </ds:schemaRefs>
</ds:datastoreItem>
</file>

<file path=customXml/itemProps2.xml><?xml version="1.0" encoding="utf-8"?>
<ds:datastoreItem xmlns:ds="http://schemas.openxmlformats.org/officeDocument/2006/customXml" ds:itemID="{5310727A-10A9-4D25-9372-2A645921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68</Pages>
  <Words>6627</Words>
  <Characters>37776</Characters>
  <Application>Microsoft Office Word</Application>
  <DocSecurity>0</DocSecurity>
  <Lines>314</Lines>
  <Paragraphs>88</Paragraphs>
  <ScaleCrop>false</ScaleCrop>
  <Company>Microsoft</Company>
  <LinksUpToDate>false</LinksUpToDate>
  <CharactersWithSpaces>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shgov</dc:creator>
  <cp:lastModifiedBy>H59702@365mmt.com</cp:lastModifiedBy>
  <cp:revision>17</cp:revision>
  <cp:lastPrinted>2025-06-24T15:31:00Z</cp:lastPrinted>
  <dcterms:created xsi:type="dcterms:W3CDTF">2026-07-30T11:18:00Z</dcterms:created>
  <dcterms:modified xsi:type="dcterms:W3CDTF">2026-09-04T07:58:00Z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7AE685B18454353437779A6AFC03ED93_43</vt:lpwstr>
  </property>
</Properties>
</file>