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BC8E">
      <w:pPr>
        <w:spacing w:line="540" w:lineRule="exact"/>
        <w:ind w:firstLine="480" w:firstLineChars="2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一、项目招标范围</w:t>
      </w:r>
    </w:p>
    <w:p w14:paraId="692562A7">
      <w:pPr>
        <w:pStyle w:val="3"/>
        <w:spacing w:before="0" w:after="0" w:line="540" w:lineRule="exact"/>
        <w:ind w:firstLine="480" w:firstLineChars="200"/>
        <w:contextualSpacing/>
        <w:jc w:val="both"/>
        <w:rPr>
          <w:rFonts w:ascii="Times New Roman" w:hAnsi="Times New Roman" w:eastAsia="仿宋_GB2312" w:cs="Times New Roman"/>
          <w:sz w:val="24"/>
          <w:szCs w:val="24"/>
          <w:highlight w:val="none"/>
        </w:rPr>
      </w:pPr>
      <w:r>
        <w:rPr>
          <w:rFonts w:ascii="Times New Roman" w:hAnsi="Times New Roman" w:eastAsia="楷体_GB2312" w:cs="Times New Roman"/>
          <w:b w:val="0"/>
          <w:sz w:val="24"/>
          <w:szCs w:val="24"/>
          <w:highlight w:val="none"/>
        </w:rPr>
        <w:t>（一）项目名称</w:t>
      </w:r>
    </w:p>
    <w:p w14:paraId="4871F593">
      <w:pPr>
        <w:pStyle w:val="3"/>
        <w:spacing w:before="0" w:after="0" w:line="540" w:lineRule="exact"/>
        <w:ind w:firstLine="480" w:firstLineChars="200"/>
        <w:contextualSpacing/>
        <w:jc w:val="both"/>
        <w:rPr>
          <w:rFonts w:ascii="Times New Roman" w:hAnsi="Times New Roman" w:eastAsia="仿宋_GB2312" w:cs="Times New Roman"/>
          <w:sz w:val="24"/>
          <w:szCs w:val="24"/>
          <w:highlight w:val="none"/>
        </w:rPr>
      </w:pPr>
      <w:r>
        <w:rPr>
          <w:rFonts w:hint="eastAsia" w:ascii="Times New Roman" w:hAnsi="Times New Roman" w:eastAsia="仿宋_GB2312" w:cs="Times New Roman"/>
          <w:b w:val="0"/>
          <w:bCs w:val="0"/>
          <w:color w:val="000000"/>
          <w:sz w:val="24"/>
          <w:szCs w:val="24"/>
          <w:highlight w:val="none"/>
        </w:rPr>
        <w:t>长宁公安分局2026年道路告示牌新增及维护项目</w:t>
      </w:r>
    </w:p>
    <w:p w14:paraId="554CEA98">
      <w:pPr>
        <w:spacing w:line="540" w:lineRule="exact"/>
        <w:ind w:firstLine="480" w:firstLineChars="200"/>
        <w:contextualSpacing/>
        <w:jc w:val="left"/>
        <w:rPr>
          <w:rFonts w:ascii="Times New Roman" w:hAnsi="Times New Roman" w:eastAsia="楷体_GB2312" w:cs="Times New Roman"/>
          <w:bCs/>
          <w:sz w:val="24"/>
          <w:szCs w:val="24"/>
          <w:highlight w:val="none"/>
        </w:rPr>
      </w:pPr>
      <w:r>
        <w:rPr>
          <w:rFonts w:ascii="Times New Roman" w:hAnsi="Times New Roman" w:eastAsia="楷体_GB2312" w:cs="Times New Roman"/>
          <w:bCs/>
          <w:sz w:val="24"/>
          <w:szCs w:val="24"/>
          <w:highlight w:val="none"/>
        </w:rPr>
        <w:t>（二）项目概述</w:t>
      </w:r>
    </w:p>
    <w:p w14:paraId="153E5D4D">
      <w:pPr>
        <w:spacing w:line="540" w:lineRule="exact"/>
        <w:ind w:firstLine="480" w:firstLineChars="200"/>
        <w:contextualSpacing/>
        <w:rPr>
          <w:rFonts w:ascii="Times New Roman" w:hAnsi="Times New Roman" w:eastAsia="仿宋_GB2312" w:cs="Times New Roman"/>
          <w:sz w:val="24"/>
          <w:szCs w:val="24"/>
          <w:highlight w:val="none"/>
        </w:rPr>
      </w:pPr>
      <w:bookmarkStart w:id="0" w:name="OLE_LINK3"/>
      <w:r>
        <w:rPr>
          <w:rFonts w:ascii="Times New Roman" w:hAnsi="Times New Roman" w:eastAsia="仿宋_GB2312" w:cs="Times New Roman"/>
          <w:sz w:val="24"/>
          <w:szCs w:val="24"/>
          <w:highlight w:val="none"/>
        </w:rPr>
        <w:t>对道路告示牌进行新增及维护</w:t>
      </w:r>
      <w:bookmarkEnd w:id="0"/>
      <w:r>
        <w:rPr>
          <w:rFonts w:ascii="Times New Roman" w:hAnsi="Times New Roman" w:eastAsia="仿宋_GB2312" w:cs="Times New Roman"/>
          <w:sz w:val="24"/>
          <w:szCs w:val="24"/>
          <w:highlight w:val="none"/>
        </w:rPr>
        <w:t>。</w:t>
      </w:r>
    </w:p>
    <w:p w14:paraId="26ED5D5B">
      <w:pPr>
        <w:spacing w:line="540" w:lineRule="exact"/>
        <w:ind w:firstLine="480" w:firstLineChars="200"/>
        <w:contextualSpacing/>
        <w:jc w:val="left"/>
        <w:rPr>
          <w:rFonts w:ascii="Times New Roman" w:hAnsi="Times New Roman" w:eastAsia="楷体_GB2312" w:cs="Times New Roman"/>
          <w:bCs/>
          <w:sz w:val="24"/>
          <w:szCs w:val="24"/>
          <w:highlight w:val="none"/>
        </w:rPr>
      </w:pPr>
      <w:r>
        <w:rPr>
          <w:rFonts w:ascii="Times New Roman" w:hAnsi="Times New Roman" w:eastAsia="楷体_GB2312" w:cs="Times New Roman"/>
          <w:bCs/>
          <w:sz w:val="24"/>
          <w:szCs w:val="24"/>
          <w:highlight w:val="none"/>
        </w:rPr>
        <w:t>（三）项目资金</w:t>
      </w:r>
    </w:p>
    <w:p w14:paraId="51A68902">
      <w:pPr>
        <w:spacing w:line="540" w:lineRule="exact"/>
        <w:ind w:firstLine="480" w:firstLineChars="200"/>
        <w:contextualSpacing/>
        <w:jc w:val="left"/>
        <w:rPr>
          <w:rFonts w:ascii="Times New Roman" w:hAnsi="Times New Roman" w:eastAsia="仿宋_GB2312" w:cs="Times New Roman"/>
          <w:b/>
          <w:color w:val="FF0000"/>
          <w:kern w:val="44"/>
          <w:sz w:val="24"/>
          <w:szCs w:val="24"/>
          <w:highlight w:val="none"/>
        </w:rPr>
      </w:pPr>
      <w:r>
        <w:rPr>
          <w:rFonts w:ascii="Times New Roman" w:hAnsi="Times New Roman" w:eastAsia="仿宋_GB2312" w:cs="Times New Roman"/>
          <w:sz w:val="24"/>
          <w:szCs w:val="24"/>
          <w:highlight w:val="none"/>
        </w:rPr>
        <w:t>最高限价：290.92万元</w:t>
      </w:r>
    </w:p>
    <w:p w14:paraId="0C7AAFDD">
      <w:pPr>
        <w:spacing w:line="540" w:lineRule="exact"/>
        <w:ind w:firstLine="480" w:firstLineChars="200"/>
        <w:contextualSpacing/>
        <w:rPr>
          <w:rFonts w:ascii="Times New Roman" w:hAnsi="Times New Roman" w:eastAsia="楷体_GB2312" w:cs="Times New Roman"/>
          <w:bCs/>
          <w:sz w:val="24"/>
          <w:szCs w:val="24"/>
          <w:highlight w:val="none"/>
        </w:rPr>
      </w:pPr>
      <w:r>
        <w:rPr>
          <w:rFonts w:ascii="Times New Roman" w:hAnsi="Times New Roman" w:eastAsia="楷体_GB2312" w:cs="Times New Roman"/>
          <w:bCs/>
          <w:kern w:val="44"/>
          <w:sz w:val="24"/>
          <w:szCs w:val="24"/>
          <w:highlight w:val="none"/>
        </w:rPr>
        <w:t>（四）项目需求分析</w:t>
      </w:r>
    </w:p>
    <w:p w14:paraId="3404A813">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违停告知牌、电警抓拍告知牌、严管路段及违停告知牌是道路违停抓拍系统的配套标志，在设置有违停抓拍系统的路段的合理位置设置此类警示、告知标志，目的是提醒、警示司机注意该路段内禁止停车行为，实现为道路交通管理部门提供针对违法停车的违法取证、统计分析、人工审核、违法行为认定处理等功能，提升交警的针对违法停车的违法行为的管理能力。</w:t>
      </w:r>
    </w:p>
    <w:p w14:paraId="6BA797F3">
      <w:pPr>
        <w:spacing w:line="540" w:lineRule="exact"/>
        <w:ind w:firstLine="480" w:firstLineChars="200"/>
        <w:contextualSpacing/>
        <w:rPr>
          <w:rFonts w:ascii="Times New Roman" w:hAnsi="Times New Roman" w:eastAsia="楷体_GB2312" w:cs="Times New Roman"/>
          <w:sz w:val="24"/>
          <w:szCs w:val="24"/>
          <w:highlight w:val="none"/>
        </w:rPr>
      </w:pPr>
      <w:r>
        <w:rPr>
          <w:rFonts w:ascii="Times New Roman" w:hAnsi="Times New Roman" w:eastAsia="楷体_GB2312" w:cs="Times New Roman"/>
          <w:sz w:val="24"/>
          <w:szCs w:val="24"/>
          <w:highlight w:val="none"/>
        </w:rPr>
        <w:t>（五）设施范围、设施量包括</w:t>
      </w:r>
    </w:p>
    <w:p w14:paraId="30AC7405">
      <w:pPr>
        <w:pStyle w:val="2"/>
        <w:spacing w:line="540" w:lineRule="exact"/>
        <w:ind w:firstLine="480" w:firstLineChars="200"/>
        <w:contextualSpacing/>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color w:val="000000"/>
          <w:sz w:val="24"/>
          <w:szCs w:val="24"/>
          <w:highlight w:val="none"/>
        </w:rPr>
        <w:t>根据采购人要求，（1）根据道路管理需求新增、改建或撤除违停告示牌、电警抓拍告知牌、</w:t>
      </w:r>
      <w:r>
        <w:rPr>
          <w:rStyle w:val="6"/>
          <w:rFonts w:ascii="Times New Roman" w:hAnsi="Times New Roman" w:eastAsia="仿宋_GB2312"/>
          <w:b w:val="0"/>
          <w:bCs/>
          <w:sz w:val="24"/>
          <w:szCs w:val="24"/>
          <w:highlight w:val="none"/>
        </w:rPr>
        <w:t>严管路段及违停告示牌</w:t>
      </w:r>
      <w:r>
        <w:rPr>
          <w:rFonts w:ascii="Times New Roman" w:hAnsi="Times New Roman" w:eastAsia="仿宋_GB2312" w:cs="Times New Roman"/>
          <w:b w:val="0"/>
          <w:bCs/>
          <w:color w:val="000000"/>
          <w:sz w:val="24"/>
          <w:szCs w:val="24"/>
          <w:highlight w:val="none"/>
        </w:rPr>
        <w:t>；（2）对</w:t>
      </w:r>
      <w:bookmarkStart w:id="1" w:name="OLE_LINK9"/>
      <w:r>
        <w:rPr>
          <w:rFonts w:ascii="Times New Roman" w:hAnsi="Times New Roman" w:eastAsia="仿宋_GB2312" w:cs="Times New Roman"/>
          <w:b w:val="0"/>
          <w:bCs/>
          <w:color w:val="000000"/>
          <w:sz w:val="24"/>
          <w:szCs w:val="24"/>
          <w:highlight w:val="none"/>
        </w:rPr>
        <w:t>违停告示牌、电警抓拍告知牌、</w:t>
      </w:r>
      <w:r>
        <w:rPr>
          <w:rStyle w:val="6"/>
          <w:rFonts w:ascii="Times New Roman" w:hAnsi="Times New Roman" w:eastAsia="仿宋_GB2312"/>
          <w:b w:val="0"/>
          <w:bCs/>
          <w:sz w:val="24"/>
          <w:szCs w:val="24"/>
          <w:highlight w:val="none"/>
        </w:rPr>
        <w:t>严管路段及违停告示牌</w:t>
      </w:r>
      <w:bookmarkEnd w:id="1"/>
      <w:r>
        <w:rPr>
          <w:rStyle w:val="6"/>
          <w:rFonts w:ascii="Times New Roman" w:hAnsi="Times New Roman" w:eastAsia="仿宋_GB2312"/>
          <w:b w:val="0"/>
          <w:bCs/>
          <w:sz w:val="24"/>
          <w:szCs w:val="24"/>
          <w:highlight w:val="none"/>
        </w:rPr>
        <w:t>进行巡视、</w:t>
      </w:r>
      <w:r>
        <w:rPr>
          <w:rFonts w:ascii="Times New Roman" w:hAnsi="Times New Roman" w:eastAsia="仿宋_GB2312" w:cs="Times New Roman"/>
          <w:b w:val="0"/>
          <w:bCs/>
          <w:color w:val="000000"/>
          <w:sz w:val="24"/>
          <w:szCs w:val="24"/>
          <w:highlight w:val="none"/>
        </w:rPr>
        <w:t>养护； （（3）配合市政道路施工迁移违停告示牌、电警抓拍告知牌、</w:t>
      </w:r>
      <w:r>
        <w:rPr>
          <w:rStyle w:val="6"/>
          <w:rFonts w:ascii="Times New Roman" w:hAnsi="Times New Roman" w:eastAsia="仿宋_GB2312"/>
          <w:b w:val="0"/>
          <w:bCs/>
          <w:sz w:val="24"/>
          <w:szCs w:val="24"/>
          <w:highlight w:val="none"/>
        </w:rPr>
        <w:t>严管路段及违停告示牌</w:t>
      </w:r>
      <w:r>
        <w:rPr>
          <w:rFonts w:ascii="Times New Roman" w:hAnsi="Times New Roman" w:eastAsia="仿宋_GB2312" w:cs="Times New Roman"/>
          <w:b w:val="0"/>
          <w:bCs/>
          <w:color w:val="000000"/>
          <w:sz w:val="24"/>
          <w:szCs w:val="24"/>
          <w:highlight w:val="none"/>
        </w:rPr>
        <w:t>；（4）涉及该项目的其它应急处置等项目。投标人的工作包括所有的涉及标志牌、标志杆的材料、设备、货物和相关的供货及实施安装、施工工程、验收及工程保质服务等。具体工作详见设施量清单以及本招标文件所描述的工程内容和范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2211"/>
        <w:gridCol w:w="1465"/>
        <w:gridCol w:w="696"/>
      </w:tblGrid>
      <w:tr w14:paraId="5BBF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D7F2C9E">
            <w:pPr>
              <w:spacing w:line="540" w:lineRule="exact"/>
              <w:contextualSpacing/>
              <w:jc w:val="center"/>
              <w:rPr>
                <w:rStyle w:val="6"/>
                <w:rFonts w:hint="eastAsia" w:ascii="黑体" w:hAnsi="黑体" w:eastAsia="黑体" w:cs="黑体"/>
                <w:sz w:val="24"/>
                <w:szCs w:val="24"/>
                <w:highlight w:val="none"/>
              </w:rPr>
            </w:pPr>
            <w:bookmarkStart w:id="2" w:name="_Hlk208924713"/>
            <w:r>
              <w:rPr>
                <w:rStyle w:val="6"/>
                <w:rFonts w:hint="eastAsia" w:ascii="黑体" w:hAnsi="黑体" w:eastAsia="黑体" w:cs="黑体"/>
                <w:sz w:val="24"/>
                <w:szCs w:val="24"/>
                <w:highlight w:val="none"/>
              </w:rPr>
              <w:t>实施内容</w:t>
            </w:r>
          </w:p>
        </w:tc>
        <w:tc>
          <w:tcPr>
            <w:tcW w:w="2211" w:type="dxa"/>
            <w:noWrap w:val="0"/>
            <w:vAlign w:val="center"/>
          </w:tcPr>
          <w:p w14:paraId="309420D7">
            <w:pPr>
              <w:spacing w:line="540" w:lineRule="exact"/>
              <w:contextualSpacing/>
              <w:jc w:val="center"/>
              <w:rPr>
                <w:rStyle w:val="6"/>
                <w:rFonts w:hint="eastAsia" w:ascii="黑体" w:hAnsi="黑体" w:eastAsia="黑体" w:cs="黑体"/>
                <w:sz w:val="24"/>
                <w:szCs w:val="24"/>
                <w:highlight w:val="none"/>
              </w:rPr>
            </w:pPr>
            <w:r>
              <w:rPr>
                <w:rStyle w:val="6"/>
                <w:rFonts w:hint="eastAsia" w:ascii="黑体" w:hAnsi="黑体" w:eastAsia="黑体" w:cs="黑体"/>
                <w:sz w:val="24"/>
                <w:szCs w:val="24"/>
                <w:highlight w:val="none"/>
              </w:rPr>
              <w:t>工程明细</w:t>
            </w:r>
          </w:p>
        </w:tc>
        <w:tc>
          <w:tcPr>
            <w:tcW w:w="1465" w:type="dxa"/>
            <w:noWrap w:val="0"/>
            <w:vAlign w:val="center"/>
          </w:tcPr>
          <w:p w14:paraId="579BD174">
            <w:pPr>
              <w:spacing w:line="540" w:lineRule="exact"/>
              <w:contextualSpacing/>
              <w:jc w:val="center"/>
              <w:rPr>
                <w:rStyle w:val="6"/>
                <w:rFonts w:hint="eastAsia" w:ascii="黑体" w:hAnsi="黑体" w:eastAsia="黑体" w:cs="黑体"/>
                <w:sz w:val="24"/>
                <w:szCs w:val="24"/>
                <w:highlight w:val="none"/>
              </w:rPr>
            </w:pPr>
            <w:r>
              <w:rPr>
                <w:rStyle w:val="6"/>
                <w:rFonts w:hint="eastAsia" w:ascii="黑体" w:hAnsi="黑体" w:eastAsia="黑体" w:cs="黑体"/>
                <w:sz w:val="24"/>
                <w:szCs w:val="24"/>
                <w:highlight w:val="none"/>
              </w:rPr>
              <w:t>计量单位</w:t>
            </w:r>
          </w:p>
        </w:tc>
        <w:tc>
          <w:tcPr>
            <w:tcW w:w="0" w:type="auto"/>
            <w:noWrap w:val="0"/>
            <w:vAlign w:val="center"/>
          </w:tcPr>
          <w:p w14:paraId="5694C90D">
            <w:pPr>
              <w:spacing w:line="540" w:lineRule="exact"/>
              <w:contextualSpacing/>
              <w:jc w:val="center"/>
              <w:rPr>
                <w:rStyle w:val="6"/>
                <w:rFonts w:hint="eastAsia" w:ascii="黑体" w:hAnsi="黑体" w:eastAsia="黑体" w:cs="黑体"/>
                <w:sz w:val="24"/>
                <w:szCs w:val="24"/>
                <w:highlight w:val="none"/>
              </w:rPr>
            </w:pPr>
            <w:r>
              <w:rPr>
                <w:rStyle w:val="6"/>
                <w:rFonts w:hint="eastAsia" w:ascii="黑体" w:hAnsi="黑体" w:eastAsia="黑体" w:cs="黑体"/>
                <w:sz w:val="24"/>
                <w:szCs w:val="24"/>
                <w:highlight w:val="none"/>
              </w:rPr>
              <w:t>数量</w:t>
            </w:r>
          </w:p>
        </w:tc>
      </w:tr>
      <w:tr w14:paraId="67F5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B5609B5">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过保违停行告示牌运维项目</w:t>
            </w:r>
          </w:p>
        </w:tc>
        <w:tc>
          <w:tcPr>
            <w:tcW w:w="2211" w:type="dxa"/>
            <w:noWrap w:val="0"/>
            <w:vAlign w:val="center"/>
          </w:tcPr>
          <w:p w14:paraId="16416CB0">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违停告示牌</w:t>
            </w:r>
          </w:p>
        </w:tc>
        <w:tc>
          <w:tcPr>
            <w:tcW w:w="1465" w:type="dxa"/>
            <w:noWrap w:val="0"/>
            <w:vAlign w:val="center"/>
          </w:tcPr>
          <w:p w14:paraId="37F6B384">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块</w:t>
            </w:r>
          </w:p>
        </w:tc>
        <w:tc>
          <w:tcPr>
            <w:tcW w:w="0" w:type="auto"/>
            <w:noWrap w:val="0"/>
            <w:vAlign w:val="center"/>
          </w:tcPr>
          <w:p w14:paraId="2DE8F18A">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910</w:t>
            </w:r>
          </w:p>
        </w:tc>
      </w:tr>
      <w:tr w14:paraId="2403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noWrap w:val="0"/>
            <w:vAlign w:val="center"/>
          </w:tcPr>
          <w:p w14:paraId="5D68F3AB">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电警抓拍告知牌及严管路段告知牌新增</w:t>
            </w:r>
          </w:p>
        </w:tc>
        <w:tc>
          <w:tcPr>
            <w:tcW w:w="2211" w:type="dxa"/>
            <w:noWrap w:val="0"/>
            <w:vAlign w:val="center"/>
          </w:tcPr>
          <w:p w14:paraId="5761FBAB">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电警抓拍告知牌</w:t>
            </w:r>
          </w:p>
        </w:tc>
        <w:tc>
          <w:tcPr>
            <w:tcW w:w="1465" w:type="dxa"/>
            <w:noWrap w:val="0"/>
            <w:vAlign w:val="center"/>
          </w:tcPr>
          <w:p w14:paraId="255856CD">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块</w:t>
            </w:r>
          </w:p>
        </w:tc>
        <w:tc>
          <w:tcPr>
            <w:tcW w:w="0" w:type="auto"/>
            <w:noWrap w:val="0"/>
            <w:vAlign w:val="center"/>
          </w:tcPr>
          <w:p w14:paraId="48E15221">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346</w:t>
            </w:r>
          </w:p>
        </w:tc>
      </w:tr>
      <w:tr w14:paraId="63F1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14:paraId="712F8ECE">
            <w:pPr>
              <w:spacing w:line="540" w:lineRule="exact"/>
              <w:ind w:firstLine="480" w:firstLineChars="200"/>
              <w:contextualSpacing/>
              <w:jc w:val="center"/>
              <w:rPr>
                <w:rStyle w:val="6"/>
                <w:rFonts w:ascii="Times New Roman" w:hAnsi="Times New Roman" w:eastAsia="仿宋_GB2312" w:cs="Times New Roman"/>
                <w:sz w:val="24"/>
                <w:szCs w:val="24"/>
                <w:highlight w:val="none"/>
              </w:rPr>
            </w:pPr>
          </w:p>
        </w:tc>
        <w:tc>
          <w:tcPr>
            <w:tcW w:w="2211" w:type="dxa"/>
            <w:noWrap w:val="0"/>
            <w:vAlign w:val="center"/>
          </w:tcPr>
          <w:p w14:paraId="237FF417">
            <w:pPr>
              <w:spacing w:line="540" w:lineRule="exact"/>
              <w:contextualSpacing/>
              <w:jc w:val="center"/>
              <w:rPr>
                <w:rStyle w:val="6"/>
                <w:rFonts w:ascii="Times New Roman" w:hAnsi="Times New Roman" w:eastAsia="仿宋_GB2312" w:cs="Times New Roman"/>
                <w:sz w:val="24"/>
                <w:szCs w:val="24"/>
                <w:highlight w:val="none"/>
              </w:rPr>
            </w:pPr>
            <w:bookmarkStart w:id="3" w:name="OLE_LINK7"/>
            <w:bookmarkStart w:id="4" w:name="OLE_LINK8"/>
            <w:r>
              <w:rPr>
                <w:rStyle w:val="6"/>
                <w:rFonts w:ascii="Times New Roman" w:hAnsi="Times New Roman" w:eastAsia="仿宋_GB2312"/>
                <w:sz w:val="24"/>
                <w:szCs w:val="24"/>
                <w:highlight w:val="none"/>
              </w:rPr>
              <w:t>严管路段及违停告示牌</w:t>
            </w:r>
            <w:bookmarkEnd w:id="3"/>
            <w:bookmarkEnd w:id="4"/>
          </w:p>
        </w:tc>
        <w:tc>
          <w:tcPr>
            <w:tcW w:w="1465" w:type="dxa"/>
            <w:noWrap w:val="0"/>
            <w:vAlign w:val="center"/>
          </w:tcPr>
          <w:p w14:paraId="6544242F">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块</w:t>
            </w:r>
          </w:p>
        </w:tc>
        <w:tc>
          <w:tcPr>
            <w:tcW w:w="0" w:type="auto"/>
            <w:noWrap w:val="0"/>
            <w:vAlign w:val="center"/>
          </w:tcPr>
          <w:p w14:paraId="13CD3CEB">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116</w:t>
            </w:r>
          </w:p>
        </w:tc>
      </w:tr>
      <w:tr w14:paraId="191B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3B6B1E9">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存量电子警察抓拍告知牌补全</w:t>
            </w:r>
          </w:p>
        </w:tc>
        <w:tc>
          <w:tcPr>
            <w:tcW w:w="2211" w:type="dxa"/>
            <w:noWrap w:val="0"/>
            <w:vAlign w:val="center"/>
          </w:tcPr>
          <w:p w14:paraId="07893A95">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电警抓拍告知牌</w:t>
            </w:r>
          </w:p>
        </w:tc>
        <w:tc>
          <w:tcPr>
            <w:tcW w:w="1465" w:type="dxa"/>
            <w:noWrap w:val="0"/>
            <w:vAlign w:val="center"/>
          </w:tcPr>
          <w:p w14:paraId="76F729C4">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块</w:t>
            </w:r>
          </w:p>
        </w:tc>
        <w:tc>
          <w:tcPr>
            <w:tcW w:w="0" w:type="auto"/>
            <w:noWrap w:val="0"/>
            <w:vAlign w:val="center"/>
          </w:tcPr>
          <w:p w14:paraId="0602EE15">
            <w:pPr>
              <w:spacing w:line="540" w:lineRule="exact"/>
              <w:contextualSpacing/>
              <w:jc w:val="center"/>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1455</w:t>
            </w:r>
          </w:p>
        </w:tc>
      </w:tr>
      <w:bookmarkEnd w:id="2"/>
    </w:tbl>
    <w:p w14:paraId="26D6BD4C">
      <w:pPr>
        <w:spacing w:line="540" w:lineRule="exact"/>
        <w:ind w:firstLine="480" w:firstLineChars="200"/>
        <w:contextualSpacing/>
        <w:rPr>
          <w:rFonts w:ascii="Times New Roman" w:hAnsi="Times New Roman" w:eastAsia="仿宋_GB2312" w:cs="Times New Roman"/>
          <w:b/>
          <w:bCs/>
          <w:sz w:val="24"/>
          <w:szCs w:val="24"/>
          <w:highlight w:val="none"/>
        </w:rPr>
      </w:pPr>
      <w:r>
        <w:rPr>
          <w:rFonts w:ascii="Times New Roman" w:hAnsi="Times New Roman" w:eastAsia="黑体" w:cs="Times New Roman"/>
          <w:sz w:val="24"/>
          <w:szCs w:val="24"/>
          <w:highlight w:val="none"/>
        </w:rPr>
        <w:t>二、警示标志运维工作要求</w:t>
      </w:r>
    </w:p>
    <w:p w14:paraId="3B2E6A42">
      <w:pPr>
        <w:spacing w:line="540" w:lineRule="exact"/>
        <w:ind w:firstLine="480" w:firstLineChars="200"/>
        <w:contextualSpacing/>
        <w:rPr>
          <w:rStyle w:val="6"/>
          <w:rFonts w:ascii="Times New Roman" w:hAnsi="Times New Roman" w:eastAsia="楷体_GB2312" w:cs="Times New Roman"/>
          <w:sz w:val="24"/>
          <w:szCs w:val="24"/>
          <w:highlight w:val="none"/>
        </w:rPr>
      </w:pPr>
      <w:r>
        <w:rPr>
          <w:rStyle w:val="6"/>
          <w:rFonts w:ascii="Times New Roman" w:hAnsi="Times New Roman" w:eastAsia="楷体_GB2312"/>
          <w:sz w:val="24"/>
          <w:szCs w:val="24"/>
          <w:highlight w:val="none"/>
        </w:rPr>
        <w:t>（一）本项目的设施应急维护需满足相关的专项规范标准：</w:t>
      </w:r>
    </w:p>
    <w:p w14:paraId="5D01E37C">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1.</w:t>
      </w:r>
      <w:r>
        <w:rPr>
          <w:rFonts w:ascii="Times New Roman" w:hAnsi="Times New Roman" w:eastAsia="仿宋_GB2312" w:cs="Times New Roman"/>
          <w:color w:val="000000"/>
          <w:kern w:val="0"/>
          <w:sz w:val="24"/>
          <w:szCs w:val="24"/>
          <w:highlight w:val="none"/>
        </w:rPr>
        <w:t>《公路交通标志和标线设置手册》</w:t>
      </w:r>
      <w:r>
        <w:rPr>
          <w:rFonts w:ascii="Times New Roman" w:hAnsi="Times New Roman" w:eastAsia="仿宋_GB2312" w:cs="Times New Roman"/>
          <w:bCs/>
          <w:kern w:val="0"/>
          <w:sz w:val="24"/>
          <w:szCs w:val="24"/>
          <w:highlight w:val="none"/>
        </w:rPr>
        <w:t>（JTG D82-2009）；</w:t>
      </w:r>
    </w:p>
    <w:p w14:paraId="085F7249">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2.</w:t>
      </w:r>
      <w:r>
        <w:rPr>
          <w:rFonts w:ascii="Times New Roman" w:hAnsi="Times New Roman" w:eastAsia="仿宋_GB2312" w:cs="Times New Roman"/>
          <w:color w:val="000000"/>
          <w:kern w:val="0"/>
          <w:sz w:val="24"/>
          <w:szCs w:val="24"/>
          <w:highlight w:val="none"/>
        </w:rPr>
        <w:t>《上海市地基基础设计规范》</w:t>
      </w:r>
      <w:r>
        <w:rPr>
          <w:rFonts w:ascii="Times New Roman" w:hAnsi="Times New Roman" w:eastAsia="仿宋_GB2312" w:cs="Times New Roman"/>
          <w:bCs/>
          <w:kern w:val="0"/>
          <w:sz w:val="24"/>
          <w:szCs w:val="24"/>
          <w:highlight w:val="none"/>
        </w:rPr>
        <w:t>（DGJ08-11-2018）；</w:t>
      </w:r>
    </w:p>
    <w:p w14:paraId="2EF91197">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3.《道路交通标志和标线第1部分：总则》（GB5768.1-2009）；</w:t>
      </w:r>
    </w:p>
    <w:p w14:paraId="54E22B18">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4.《道路交通标志和标线第2部分：道路交通标志》（GB5768.2-2022）；</w:t>
      </w:r>
    </w:p>
    <w:p w14:paraId="369A423E">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5.</w:t>
      </w:r>
      <w:r>
        <w:rPr>
          <w:rFonts w:ascii="Times New Roman" w:hAnsi="Times New Roman" w:eastAsia="仿宋_GB2312" w:cs="Times New Roman"/>
          <w:color w:val="000000"/>
          <w:kern w:val="0"/>
          <w:sz w:val="24"/>
          <w:szCs w:val="24"/>
          <w:highlight w:val="none"/>
        </w:rPr>
        <w:t>《道路交通反光膜》（GB18833－2002）；</w:t>
      </w:r>
    </w:p>
    <w:p w14:paraId="17B4C232">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6.</w:t>
      </w:r>
      <w:r>
        <w:rPr>
          <w:rFonts w:ascii="Times New Roman" w:hAnsi="Times New Roman" w:eastAsia="仿宋_GB2312" w:cs="Times New Roman"/>
          <w:color w:val="000000"/>
          <w:kern w:val="0"/>
          <w:sz w:val="24"/>
          <w:szCs w:val="24"/>
          <w:highlight w:val="none"/>
        </w:rPr>
        <w:t>《道路交通标志板及支撑件》</w:t>
      </w:r>
      <w:r>
        <w:rPr>
          <w:rFonts w:ascii="Times New Roman" w:hAnsi="Times New Roman" w:eastAsia="仿宋_GB2312" w:cs="Times New Roman"/>
          <w:bCs/>
          <w:kern w:val="0"/>
          <w:sz w:val="24"/>
          <w:szCs w:val="24"/>
          <w:highlight w:val="none"/>
        </w:rPr>
        <w:t>（GB/T23827-2021）；</w:t>
      </w:r>
    </w:p>
    <w:p w14:paraId="5F200556">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7.</w:t>
      </w:r>
      <w:r>
        <w:rPr>
          <w:rFonts w:ascii="Times New Roman" w:hAnsi="Times New Roman" w:eastAsia="仿宋_GB2312" w:cs="Times New Roman"/>
          <w:color w:val="000000"/>
          <w:kern w:val="0"/>
          <w:sz w:val="24"/>
          <w:szCs w:val="24"/>
          <w:highlight w:val="none"/>
        </w:rPr>
        <w:t>《交通标志标志板》（JT/T279－2004）；</w:t>
      </w:r>
    </w:p>
    <w:p w14:paraId="6C85EF3F">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8.</w:t>
      </w:r>
      <w:r>
        <w:rPr>
          <w:rFonts w:ascii="Times New Roman" w:hAnsi="Times New Roman" w:eastAsia="仿宋_GB2312" w:cs="Times New Roman"/>
          <w:color w:val="000000"/>
          <w:kern w:val="0"/>
          <w:sz w:val="24"/>
          <w:szCs w:val="24"/>
          <w:highlight w:val="none"/>
        </w:rPr>
        <w:t>《钢结构设计规范》</w:t>
      </w:r>
      <w:r>
        <w:rPr>
          <w:rFonts w:ascii="Times New Roman" w:hAnsi="Times New Roman" w:eastAsia="仿宋_GB2312" w:cs="Times New Roman"/>
          <w:bCs/>
          <w:kern w:val="0"/>
          <w:sz w:val="24"/>
          <w:szCs w:val="24"/>
          <w:highlight w:val="none"/>
        </w:rPr>
        <w:t>（GB50017-2017）；</w:t>
      </w:r>
    </w:p>
    <w:p w14:paraId="1D4EF46C">
      <w:pPr>
        <w:spacing w:line="540" w:lineRule="exact"/>
        <w:ind w:firstLine="480" w:firstLineChars="200"/>
        <w:contextualSpacing/>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9.《钢结构工程施工质量验收标准》</w:t>
      </w:r>
      <w:r>
        <w:rPr>
          <w:rFonts w:ascii="Times New Roman" w:hAnsi="Times New Roman" w:eastAsia="仿宋_GB2312" w:cs="Times New Roman"/>
          <w:bCs/>
          <w:kern w:val="0"/>
          <w:sz w:val="24"/>
          <w:szCs w:val="24"/>
          <w:highlight w:val="none"/>
        </w:rPr>
        <w:t>（GB50205-2020）；</w:t>
      </w:r>
    </w:p>
    <w:p w14:paraId="7D3147DC">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10.《</w:t>
      </w:r>
      <w:r>
        <w:rPr>
          <w:rFonts w:ascii="Times New Roman" w:hAnsi="Times New Roman" w:eastAsia="仿宋_GB2312" w:cs="Times New Roman"/>
          <w:color w:val="000000"/>
          <w:kern w:val="0"/>
          <w:sz w:val="24"/>
          <w:szCs w:val="24"/>
          <w:highlight w:val="none"/>
        </w:rPr>
        <w:t>热喷涂金属和其他无机覆盖层锌、铝及其合金》</w:t>
      </w:r>
      <w:r>
        <w:rPr>
          <w:rFonts w:ascii="Times New Roman" w:hAnsi="Times New Roman" w:eastAsia="仿宋_GB2312" w:cs="Times New Roman"/>
          <w:bCs/>
          <w:kern w:val="0"/>
          <w:sz w:val="24"/>
          <w:szCs w:val="24"/>
          <w:highlight w:val="none"/>
        </w:rPr>
        <w:t>（GB/T9793-2012）；</w:t>
      </w:r>
    </w:p>
    <w:p w14:paraId="06417915">
      <w:pPr>
        <w:spacing w:line="540" w:lineRule="exact"/>
        <w:ind w:firstLine="480" w:firstLineChars="200"/>
        <w:contextualSpacing/>
        <w:rPr>
          <w:rFonts w:ascii="Times New Roman" w:hAnsi="Times New Roman" w:eastAsia="仿宋_GB2312" w:cs="Times New Roman"/>
          <w:bCs/>
          <w:kern w:val="0"/>
          <w:sz w:val="24"/>
          <w:szCs w:val="24"/>
          <w:highlight w:val="none"/>
        </w:rPr>
      </w:pPr>
      <w:r>
        <w:rPr>
          <w:rFonts w:ascii="Times New Roman" w:hAnsi="Times New Roman" w:eastAsia="仿宋_GB2312" w:cs="Times New Roman"/>
          <w:bCs/>
          <w:kern w:val="0"/>
          <w:sz w:val="24"/>
          <w:szCs w:val="24"/>
          <w:highlight w:val="none"/>
        </w:rPr>
        <w:t>11.</w:t>
      </w:r>
      <w:r>
        <w:rPr>
          <w:rFonts w:ascii="Times New Roman" w:hAnsi="Times New Roman" w:eastAsia="仿宋_GB2312" w:cs="Times New Roman"/>
          <w:color w:val="000000"/>
          <w:kern w:val="0"/>
          <w:sz w:val="24"/>
          <w:szCs w:val="24"/>
          <w:highlight w:val="none"/>
        </w:rPr>
        <w:t>《道路交通标志牌与支撑结构标准图集》</w:t>
      </w:r>
      <w:r>
        <w:rPr>
          <w:rFonts w:ascii="Times New Roman" w:hAnsi="Times New Roman" w:eastAsia="仿宋_GB2312" w:cs="Times New Roman"/>
          <w:bCs/>
          <w:kern w:val="0"/>
          <w:sz w:val="24"/>
          <w:szCs w:val="24"/>
          <w:highlight w:val="none"/>
        </w:rPr>
        <w:t>（DBJT 08-122-2016）；</w:t>
      </w:r>
    </w:p>
    <w:p w14:paraId="521B49EF">
      <w:pPr>
        <w:spacing w:line="540" w:lineRule="exact"/>
        <w:ind w:firstLine="480" w:firstLineChars="200"/>
        <w:contextualSpacing/>
        <w:rPr>
          <w:rStyle w:val="6"/>
          <w:rFonts w:ascii="Times New Roman" w:hAnsi="Times New Roman" w:eastAsia="仿宋_GB2312" w:cs="Times New Roman"/>
          <w:sz w:val="24"/>
          <w:szCs w:val="24"/>
          <w:highlight w:val="none"/>
        </w:rPr>
      </w:pPr>
      <w:r>
        <w:rPr>
          <w:rFonts w:ascii="Times New Roman" w:hAnsi="Times New Roman" w:eastAsia="仿宋_GB2312" w:cs="Times New Roman"/>
          <w:bCs/>
          <w:kern w:val="0"/>
          <w:sz w:val="24"/>
          <w:szCs w:val="24"/>
          <w:highlight w:val="none"/>
        </w:rPr>
        <w:t>12.《</w:t>
      </w:r>
      <w:r>
        <w:rPr>
          <w:rFonts w:ascii="Times New Roman" w:hAnsi="Times New Roman" w:eastAsia="仿宋_GB2312" w:cs="Times New Roman"/>
          <w:color w:val="000000"/>
          <w:kern w:val="0"/>
          <w:sz w:val="24"/>
          <w:szCs w:val="24"/>
          <w:highlight w:val="none"/>
        </w:rPr>
        <w:t>公路养护安全作业规程》（JTG H30-2015）；</w:t>
      </w:r>
    </w:p>
    <w:p w14:paraId="28DFA5AB">
      <w:pPr>
        <w:spacing w:line="540" w:lineRule="exact"/>
        <w:ind w:firstLine="480" w:firstLineChars="200"/>
        <w:contextualSpacing/>
        <w:rPr>
          <w:rStyle w:val="6"/>
          <w:rFonts w:hint="eastAsia"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13.《上海市道路交通管理设施施工及验收规程》（DBJ08-232-98）</w:t>
      </w:r>
      <w:r>
        <w:rPr>
          <w:rFonts w:ascii="Times New Roman" w:hAnsi="Times New Roman" w:eastAsia="仿宋_GB2312" w:cs="Times New Roman"/>
          <w:color w:val="000000"/>
          <w:kern w:val="0"/>
          <w:sz w:val="24"/>
          <w:szCs w:val="24"/>
          <w:highlight w:val="none"/>
        </w:rPr>
        <w:t>；</w:t>
      </w:r>
    </w:p>
    <w:p w14:paraId="59917545">
      <w:pPr>
        <w:spacing w:line="540" w:lineRule="exact"/>
        <w:ind w:firstLine="480" w:firstLineChars="200"/>
        <w:contextualSpacing/>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14.《道路交通管理设施设置技术规程》（DBJ08-39-94）</w:t>
      </w:r>
      <w:r>
        <w:rPr>
          <w:rFonts w:ascii="Times New Roman" w:hAnsi="Times New Roman" w:eastAsia="仿宋_GB2312" w:cs="Times New Roman"/>
          <w:color w:val="000000"/>
          <w:kern w:val="0"/>
          <w:sz w:val="24"/>
          <w:szCs w:val="24"/>
          <w:highlight w:val="none"/>
        </w:rPr>
        <w:t>；</w:t>
      </w:r>
    </w:p>
    <w:p w14:paraId="261CFBA9">
      <w:pPr>
        <w:spacing w:line="540" w:lineRule="exact"/>
        <w:ind w:firstLine="480" w:firstLineChars="200"/>
        <w:contextualSpacing/>
        <w:rPr>
          <w:rStyle w:val="6"/>
          <w:rFonts w:hint="eastAsia"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15.其他“国家、行业、地方标准与规范”中涉及的技术要求</w:t>
      </w:r>
      <w:r>
        <w:rPr>
          <w:rFonts w:ascii="Times New Roman" w:hAnsi="Times New Roman" w:eastAsia="仿宋_GB2312" w:cs="Times New Roman"/>
          <w:color w:val="000000"/>
          <w:kern w:val="0"/>
          <w:sz w:val="24"/>
          <w:szCs w:val="24"/>
          <w:highlight w:val="none"/>
        </w:rPr>
        <w:t>；</w:t>
      </w:r>
    </w:p>
    <w:p w14:paraId="631F06BC">
      <w:pPr>
        <w:spacing w:line="540" w:lineRule="exact"/>
        <w:ind w:firstLine="480" w:firstLineChars="200"/>
        <w:contextualSpacing/>
        <w:rPr>
          <w:rStyle w:val="6"/>
          <w:rFonts w:ascii="Times New Roman" w:hAnsi="Times New Roman" w:eastAsia="仿宋_GB2312" w:cs="Times New Roman"/>
          <w:sz w:val="24"/>
          <w:szCs w:val="24"/>
          <w:highlight w:val="none"/>
        </w:rPr>
      </w:pPr>
      <w:r>
        <w:rPr>
          <w:rStyle w:val="6"/>
          <w:rFonts w:ascii="Times New Roman" w:hAnsi="Times New Roman" w:eastAsia="仿宋_GB2312"/>
          <w:sz w:val="24"/>
          <w:szCs w:val="24"/>
          <w:highlight w:val="none"/>
        </w:rPr>
        <w:t>16.以上规范、标准供投标人参考，并不局限于此，但国家及地方相关的强制性条文必须无条件执行。</w:t>
      </w:r>
    </w:p>
    <w:p w14:paraId="1DD76809">
      <w:pPr>
        <w:pStyle w:val="2"/>
        <w:spacing w:line="540" w:lineRule="exact"/>
        <w:ind w:firstLine="480" w:firstLineChars="200"/>
        <w:contextualSpacing/>
        <w:rPr>
          <w:rFonts w:ascii="Times New Roman" w:hAnsi="Times New Roman" w:eastAsia="楷体_GB2312" w:cs="Times New Roman"/>
          <w:b w:val="0"/>
          <w:bCs/>
          <w:sz w:val="24"/>
          <w:szCs w:val="24"/>
          <w:highlight w:val="none"/>
        </w:rPr>
      </w:pPr>
      <w:r>
        <w:rPr>
          <w:rFonts w:ascii="Times New Roman" w:hAnsi="Times New Roman" w:eastAsia="楷体_GB2312" w:cs="Times New Roman"/>
          <w:b w:val="0"/>
          <w:bCs/>
          <w:sz w:val="24"/>
          <w:szCs w:val="24"/>
          <w:highlight w:val="none"/>
        </w:rPr>
        <w:t>（二）本项目的设施设置要求</w:t>
      </w:r>
    </w:p>
    <w:p w14:paraId="4677EA5F">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1、安装位置</w:t>
      </w:r>
    </w:p>
    <w:p w14:paraId="542D85C5">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（1）公路、城市道路（沿线设有公共厕所的，在公共厕所左右30米距离内原则上不设置）；</w:t>
      </w:r>
    </w:p>
    <w:p w14:paraId="5141E693">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（2）记录违法机动车前部或后部，记录机动车前部的，应当能够记录违法车辆前方路况。</w:t>
      </w:r>
    </w:p>
    <w:p w14:paraId="499BCD6C">
      <w:pPr>
        <w:spacing w:line="540" w:lineRule="exact"/>
        <w:ind w:firstLine="480" w:firstLineChars="200"/>
        <w:contextualSpacing/>
        <w:jc w:val="left"/>
        <w:rPr>
          <w:rFonts w:ascii="Times New Roman" w:hAnsi="Times New Roman" w:eastAsia="仿宋_GB2312" w:cs="Times New Roman"/>
          <w:b/>
          <w:sz w:val="24"/>
          <w:szCs w:val="24"/>
          <w:highlight w:val="none"/>
        </w:rPr>
      </w:pPr>
      <w:r>
        <w:rPr>
          <w:rFonts w:ascii="Times New Roman" w:hAnsi="Times New Roman" w:eastAsia="仿宋_GB2312" w:cs="Times New Roman"/>
          <w:bCs/>
          <w:sz w:val="24"/>
          <w:szCs w:val="24"/>
          <w:highlight w:val="none"/>
        </w:rPr>
        <w:t>2、道路条件</w:t>
      </w:r>
    </w:p>
    <w:p w14:paraId="334CBFD5">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未设置禁止停车线的公路、城市道路。</w:t>
      </w:r>
    </w:p>
    <w:p w14:paraId="2F28FECD">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开展违法停车非现场执法的道路应当设置禁止长时停车线或“违停警示牌”。对巡游出租车专用停车泊位、限时长停车位违法停车的执法，应当配备相应的标志牌、标线。上述配套设施按以下标准设置：</w:t>
      </w:r>
    </w:p>
    <w:p w14:paraId="23D10601">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（1）禁止长时停车线：</w:t>
      </w:r>
    </w:p>
    <w:p w14:paraId="03DB73A0">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（2）在适用违法代码10391、10392且未设置禁止停车标线的道路开展违法停车执法时，应当设置“违停警示牌”，具体设置要求如下：</w:t>
      </w:r>
    </w:p>
    <w:p w14:paraId="7751609F">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设置在执法道路一侧的入口处（即出路口位置），路段内原则上不重复设置。沿途单位或住宅区的机动车在其他道路上有进出口的，在执法路段的出口处附近应增设一块“违停警示牌”提示驶出单位或住宅区的机动车驾驶人；</w:t>
      </w:r>
    </w:p>
    <w:p w14:paraId="5F93001C">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2）原则上设置在道路右侧来车方向。双向执法路段，应当在双向车行道右侧分别设置，并确保各来车方向机动车驾驶人易于视认；</w:t>
      </w:r>
    </w:p>
    <w:p w14:paraId="1171ED9D">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3）一般应悬挂于人行道上立杆距地面1.5-2.5米位置。同向三车道以上道路或机动车流量较大、机动车驾驶人视线易被遮挡的，“违停警示牌”可以设置在横杆或龙门架上，或在道路左右两侧各设置一块；</w:t>
      </w:r>
    </w:p>
    <w:p w14:paraId="7CDB7C90">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4）“违停警示牌”内容及式样：</w:t>
      </w:r>
    </w:p>
    <w:p w14:paraId="35EC21E5">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①“违停警示牌”尺寸应当按照《道路交通标志和标线（GB51038-2015）》执行，其中：</w:t>
      </w:r>
    </w:p>
    <w:p w14:paraId="1F408A77">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限速70公里/小时以下的道路，标志规格为“140 cm×100cm”或“80cm×80cm”；</w:t>
      </w:r>
    </w:p>
    <w:p w14:paraId="16A8DA5E">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限速40公里/小时以下的道路，标志规格为 “60cm×60cm”。</w:t>
      </w:r>
    </w:p>
    <w:p w14:paraId="31CD5483">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②“违停警示牌”和辅助标志样式。主标志为黄底、黑边框、黑字（图形），形状为矩形。辅助标志为白底、黑边框、黑字（图形），形状为矩形，安装在紧靠警示牌的下方，宽度与“违停警示牌”一致。</w:t>
      </w:r>
    </w:p>
    <w:p w14:paraId="1FDF5456">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③“违停警示牌”内容。主标志为“监控图标+文字”的形式，文字内容为“禁止违法停车，请立即驶离（本路段）”。（详见“违停警示牌”图例）</w:t>
      </w:r>
    </w:p>
    <w:p w14:paraId="715A6D2D">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④辅助标志内容。需要辅助说明与违停执法相关的事项可以通过辅助标志予以说明，例如：非全路段执法的，辅助说明执法起止位置。道路一侧有经公安交警部门审核通过的道路停车场的（含临时P牌道路停车场），辅助说明“停车泊位除外”。</w:t>
      </w:r>
    </w:p>
    <w:p w14:paraId="627BA9D4">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“违停警示牌”图例：</w:t>
      </w:r>
    </w:p>
    <w:p w14:paraId="385CD8A4">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60×60 80×80 140×100</w:t>
      </w:r>
    </w:p>
    <w:p w14:paraId="5E902AEB">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⑤在设置机动车限时停车位的路段，如需设置监控设备查处违法停车行为的，“违停警示牌”配套辅助标志的内容应相应调整为“泊位停车时段除外”。</w:t>
      </w:r>
    </w:p>
    <w:p w14:paraId="7AC2721F">
      <w:pPr>
        <w:spacing w:line="540" w:lineRule="exact"/>
        <w:ind w:firstLine="480" w:firstLineChars="200"/>
        <w:contextualSpacing/>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⑥在设置禁止停车线（黄实线）的路段，如需在小区、单位出入口等未施划禁止停车线的位置查处违法停车行为的，不用额外设置“违停警示牌”。</w:t>
      </w:r>
    </w:p>
    <w:p w14:paraId="0815C610">
      <w:pPr>
        <w:spacing w:line="540" w:lineRule="exact"/>
        <w:ind w:firstLine="482" w:firstLineChars="200"/>
        <w:contextualSpacing/>
        <w:jc w:val="left"/>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严管路段交通标志样式（严管路段设有电子警察）</w:t>
      </w:r>
    </w:p>
    <w:p w14:paraId="1E96B4C2">
      <w:pPr>
        <w:pStyle w:val="2"/>
        <w:spacing w:line="540" w:lineRule="exact"/>
        <w:ind w:firstLine="480" w:firstLineChars="200"/>
        <w:contextualSpacing/>
        <w:rPr>
          <w:rFonts w:ascii="Times New Roman" w:hAnsi="Times New Roman" w:eastAsia="黑体" w:cs="Times New Roman"/>
          <w:b w:val="0"/>
          <w:bCs/>
          <w:sz w:val="24"/>
          <w:szCs w:val="24"/>
          <w:highlight w:val="none"/>
        </w:rPr>
      </w:pPr>
      <w:r>
        <w:rPr>
          <w:rFonts w:ascii="Times New Roman" w:hAnsi="Times New Roman" w:eastAsia="黑体" w:cs="Times New Roman"/>
          <w:b w:val="0"/>
          <w:bCs/>
          <w:sz w:val="24"/>
          <w:szCs w:val="24"/>
          <w:highlight w:val="none"/>
        </w:rPr>
        <w:t>三、本项目的设施施工技术标准</w:t>
      </w:r>
    </w:p>
    <w:p w14:paraId="7818C535">
      <w:pPr>
        <w:spacing w:line="540" w:lineRule="exact"/>
        <w:ind w:firstLine="480" w:firstLineChars="200"/>
        <w:contextualSpacing/>
        <w:jc w:val="left"/>
        <w:rPr>
          <w:rFonts w:ascii="Times New Roman" w:hAnsi="Times New Roman" w:eastAsia="楷体_GB2312" w:cs="Times New Roman"/>
          <w:bCs/>
          <w:sz w:val="24"/>
          <w:szCs w:val="24"/>
          <w:highlight w:val="none"/>
        </w:rPr>
      </w:pPr>
      <w:r>
        <w:rPr>
          <w:rFonts w:ascii="Times New Roman" w:hAnsi="Times New Roman" w:eastAsia="楷体_GB2312" w:cs="Times New Roman"/>
          <w:bCs/>
          <w:sz w:val="24"/>
          <w:szCs w:val="24"/>
          <w:highlight w:val="none"/>
        </w:rPr>
        <w:t>（一）标志版面制作</w:t>
      </w:r>
    </w:p>
    <w:p w14:paraId="6D22496C">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交通标志版面的制作首先进行铝板、铝滑槽的下料，铝滑槽的钻眼、铆接标志版面，然后对铆接好的标志版面进行清洗，经过太阳的晾晒，最后对版面进行处理；粘贴底膜，字膜排版、刻字、粘贴。包装准备装车，运往工地安装。</w:t>
      </w:r>
    </w:p>
    <w:p w14:paraId="1E637A89">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1.交通标志的形状、图案和颜色严格按照《道路交通标志和标线》（GB5768-2009）及图纸的规定执行，所有标志上的汉字、汉语拼音字母、英文字、阿拉伯数字符合《道路交通标志和标线》规定，不采用其它字体。</w:t>
      </w:r>
    </w:p>
    <w:p w14:paraId="56CC0396">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2.标志的边框外缘应有衬底色。其衬底的颜色和衬底边的宽度均按规定进行制作。</w:t>
      </w:r>
    </w:p>
    <w:p w14:paraId="5DD70995">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3.标志板符合相关规范及图纸的规定进行加固，槽钢在粘贴定向反光膜之前与板面铆接好。</w:t>
      </w:r>
    </w:p>
    <w:p w14:paraId="32FDA449">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4.标志板在剪裁或切割后边缘整齐、方正、没有毛刺，尺寸偏差控制在±5mm以内，表面无明显皱纹、凹痕、变形，每平方米范围内的平整度公差小于1.0mm。</w:t>
      </w:r>
    </w:p>
    <w:p w14:paraId="18D80A84">
      <w:pPr>
        <w:spacing w:line="540" w:lineRule="exact"/>
        <w:ind w:firstLine="480" w:firstLineChars="200"/>
        <w:contextualSpacing/>
        <w:jc w:val="left"/>
        <w:rPr>
          <w:rFonts w:ascii="Times New Roman" w:hAnsi="Times New Roman" w:eastAsia="仿宋_GB2312" w:cs="Times New Roman"/>
          <w:b/>
          <w:sz w:val="24"/>
          <w:szCs w:val="24"/>
          <w:highlight w:val="none"/>
        </w:rPr>
      </w:pPr>
      <w:r>
        <w:rPr>
          <w:rFonts w:ascii="Times New Roman" w:hAnsi="Times New Roman" w:eastAsia="仿宋_GB2312" w:cs="Times New Roman"/>
          <w:bCs/>
          <w:sz w:val="24"/>
          <w:szCs w:val="24"/>
          <w:highlight w:val="none"/>
        </w:rPr>
        <w:t>5.对于大型指路标志，我们尽可能减少分块数量，最多不超过4块。标志板的拼接采用对接，接缝的最大间隙小于1mm，所有接缝用背衬加强，背衬与标志板用铆钉连接，铆钉的间距小于150mm，背衬宽度大于50mm，背衬材料与版面板材相同。</w:t>
      </w:r>
    </w:p>
    <w:p w14:paraId="14C96358">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6.标志板背面采用氧化处理，使其表面变成暗灰色、不反光。</w:t>
      </w:r>
    </w:p>
    <w:p w14:paraId="12520E42">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7.粘贴反光膜时在温度18℃～28℃、湿度小于10%的环境中贴在经过酒精清洁、脱脂、磨面处理的铝板上，不采用手工操作或用溶剂激活粘结剂，在标志表面的最外层涂保护层。贴反光膜不可避免出现接缝时，应用上侧膜压下侧膜，拼接处有3～6mm的重叠部分，以防漏水，贴膜时自一端向另一端延伸，边贴边拆下膜后封层，并用压敏贴膜机压实、平整、无任何皱折、气泡和破损，板面不得有回归反射不均匀及明显的颜色不均匀。将用电脑刻字机刻成的文字，按图纸规定事先放样位置贴于板面，并使其位置准确、紧密、平整、无倾斜、皱折、气泡和破损。</w:t>
      </w:r>
    </w:p>
    <w:p w14:paraId="3E15BACD">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8.制作标志板的铝合金板厚度，按设计图和规范规定制作，标志板的总质量不允许出现对标志结构的力学性能计算不利的情况。</w:t>
      </w:r>
    </w:p>
    <w:p w14:paraId="5991C8EF">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9.标志板外形尺寸，其长度和宽度的允许偏差为0.5%，标志板的4个端面应互相垂直，其不垂直度不应大于±2°。</w:t>
      </w:r>
    </w:p>
    <w:p w14:paraId="78D7936B">
      <w:pPr>
        <w:spacing w:line="540" w:lineRule="exact"/>
        <w:ind w:firstLine="480" w:firstLineChars="200"/>
        <w:contextualSpacing/>
        <w:jc w:val="left"/>
        <w:rPr>
          <w:rFonts w:ascii="Times New Roman" w:hAnsi="Times New Roman" w:eastAsia="楷体_GB2312" w:cs="Times New Roman"/>
          <w:bCs/>
          <w:sz w:val="24"/>
          <w:szCs w:val="24"/>
          <w:highlight w:val="none"/>
        </w:rPr>
      </w:pPr>
      <w:r>
        <w:rPr>
          <w:rFonts w:ascii="Times New Roman" w:hAnsi="Times New Roman" w:eastAsia="楷体_GB2312" w:cs="Times New Roman"/>
          <w:bCs/>
          <w:sz w:val="24"/>
          <w:szCs w:val="24"/>
          <w:highlight w:val="none"/>
        </w:rPr>
        <w:t>（二）储存和运输</w:t>
      </w:r>
    </w:p>
    <w:p w14:paraId="28CA5A7B">
      <w:pPr>
        <w:spacing w:line="540" w:lineRule="exact"/>
        <w:ind w:firstLine="480" w:firstLineChars="200"/>
        <w:contextualSpacing/>
        <w:jc w:val="left"/>
        <w:rPr>
          <w:rFonts w:ascii="Times New Roman" w:hAnsi="Times New Roman" w:eastAsia="仿宋_GB2312" w:cs="Times New Roman"/>
          <w:b/>
          <w:sz w:val="24"/>
          <w:szCs w:val="24"/>
          <w:highlight w:val="none"/>
        </w:rPr>
      </w:pPr>
      <w:r>
        <w:rPr>
          <w:rFonts w:ascii="Times New Roman" w:hAnsi="Times New Roman" w:eastAsia="仿宋_GB2312" w:cs="Times New Roman"/>
          <w:bCs/>
          <w:sz w:val="24"/>
          <w:szCs w:val="24"/>
          <w:highlight w:val="none"/>
        </w:rPr>
        <w:t>标志牌板面制作完毕后，采用包装纸包严，塑料纸隔离，毛毡捆好，装车时采用竖放塞紧，避免在运输过程中板面破损，扭曲。大型指路标志由于在制造、运输过程中困难较大，在图纸要求和监理工程师的指示下，根据板面设计的具体情况，采用适当分割的办法来制造，分别贴反光膜，分别运输、安装。</w:t>
      </w:r>
    </w:p>
    <w:p w14:paraId="3048D3DA">
      <w:pPr>
        <w:spacing w:line="540" w:lineRule="exact"/>
        <w:ind w:firstLine="480" w:firstLineChars="200"/>
        <w:contextualSpacing/>
        <w:jc w:val="left"/>
        <w:rPr>
          <w:rFonts w:ascii="Times New Roman" w:hAnsi="Times New Roman" w:eastAsia="楷体_GB2312" w:cs="Times New Roman"/>
          <w:bCs/>
          <w:sz w:val="24"/>
          <w:szCs w:val="24"/>
          <w:highlight w:val="none"/>
        </w:rPr>
      </w:pPr>
      <w:r>
        <w:rPr>
          <w:rFonts w:ascii="Times New Roman" w:hAnsi="Times New Roman" w:eastAsia="楷体_GB2312" w:cs="Times New Roman"/>
          <w:bCs/>
          <w:sz w:val="24"/>
          <w:szCs w:val="24"/>
          <w:highlight w:val="none"/>
        </w:rPr>
        <w:t>（三）安装</w:t>
      </w:r>
    </w:p>
    <w:p w14:paraId="2BDDC329">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1.交通标志应布置在车辆行驶正面方向最容易看到的地方，指示标志外缘距道路边缘不得小于25cm，标志下缘距路面的高度为220cm；指路标志立柱外缘距道路边缘不得小于50cm，标牌下缘距路面的高度为550cm。</w:t>
      </w:r>
    </w:p>
    <w:p w14:paraId="4BE75E88">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2.标志颜色：指示标志采用蓝底、白图形。</w:t>
      </w:r>
    </w:p>
    <w:p w14:paraId="5ED43E2F">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3.标志安装位置、结构、板面应与设计相符。只有当基础混凝土强度达到设计强度80%以上，方可在其上面进行架设支柱和标志。各种半成品运到现场，全面自检合格，并经监理工程师验收合格后进行安装。将底座法兰盘调整符合要求后，将立柱安装就位。立柱竖直度误差不超过±3mm/m，利用吊车将标志牌安装就位，并使其满足设计要求。路侧式标志应尽量减少标志板面对驾驶人员的眩光，在安装时尽可能与道路中线垂直。</w:t>
      </w:r>
    </w:p>
    <w:p w14:paraId="04AC0C06">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4.路测式标志应尽量减少标志板面对驾驶员的炫光，安装时与路中线垂直或成一定角度：标志为0-45°。</w:t>
      </w:r>
    </w:p>
    <w:p w14:paraId="77A5E723">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5.标志支撑结构应按设计要求制造，在安装前应对各部焊点质量及结构整体性进行检查，试装。</w:t>
      </w:r>
    </w:p>
    <w:p w14:paraId="1251D120">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6.支柱安放于混凝土基础上，支柱之法兰盘与混凝土基础的底法兰盘应水平、密合，地脚螺栓配合妥当，拧紧螺栓后桁架不得倾斜。在平曲线路段，为保护将来安装标志版面与驾驶员视线垂直，应对预埋的法兰盘进行适当调整。</w:t>
      </w:r>
    </w:p>
    <w:p w14:paraId="38EA4A43">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7.标志板在运输、吊装过程中应避免板体和反光膜的损伤。标志板平面翘曲的允许误差为±3mm/m。立柱安装后应与地面垂直，其弯曲度不大于±2mm/m。</w:t>
      </w:r>
    </w:p>
    <w:p w14:paraId="504EEF3F">
      <w:pPr>
        <w:spacing w:line="540" w:lineRule="exact"/>
        <w:ind w:firstLine="480" w:firstLineChars="200"/>
        <w:contextualSpacing/>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8.安装完毕后，清扫板面，请监理工程师检查所有标志，以确定在白天和晚上条件下，标志的外观、视认性、颜色、镜面眩光等是否符合图纸要求。</w:t>
      </w:r>
    </w:p>
    <w:p w14:paraId="2E527034">
      <w:pPr>
        <w:spacing w:line="540" w:lineRule="exact"/>
        <w:ind w:firstLine="480" w:firstLineChars="200"/>
        <w:contextualSpacing/>
        <w:jc w:val="left"/>
        <w:rPr>
          <w:rFonts w:ascii="Times New Roman" w:hAnsi="Times New Roman" w:eastAsia="楷体_GB2312" w:cs="Times New Roman"/>
          <w:bCs/>
          <w:sz w:val="24"/>
          <w:szCs w:val="24"/>
          <w:highlight w:val="none"/>
        </w:rPr>
      </w:pPr>
      <w:r>
        <w:rPr>
          <w:rFonts w:ascii="Times New Roman" w:hAnsi="Times New Roman" w:eastAsia="楷体_GB2312" w:cs="Times New Roman"/>
          <w:bCs/>
          <w:sz w:val="24"/>
          <w:szCs w:val="24"/>
          <w:highlight w:val="none"/>
        </w:rPr>
        <w:t>（四）日常巡视维护</w:t>
      </w:r>
    </w:p>
    <w:p w14:paraId="67135D40">
      <w:pPr>
        <w:pStyle w:val="2"/>
        <w:spacing w:line="540" w:lineRule="exact"/>
        <w:ind w:firstLine="480" w:firstLineChars="200"/>
        <w:contextualSpacing/>
        <w:rPr>
          <w:rFonts w:ascii="Times New Roman" w:hAnsi="Times New Roman" w:eastAsia="仿宋_GB2312" w:cs="Times New Roman"/>
          <w:b w:val="0"/>
          <w:sz w:val="24"/>
          <w:szCs w:val="24"/>
          <w:highlight w:val="none"/>
        </w:rPr>
      </w:pPr>
      <w:r>
        <w:rPr>
          <w:rFonts w:ascii="Times New Roman" w:hAnsi="Times New Roman" w:eastAsia="仿宋_GB2312" w:cs="Times New Roman"/>
          <w:b w:val="0"/>
          <w:sz w:val="24"/>
          <w:szCs w:val="24"/>
          <w:highlight w:val="none"/>
        </w:rPr>
        <w:t>根据业主要求时间，全范围巡视，发现养护范围内的标牌遮挡，损坏，缺失等问题，及时上报处理。</w:t>
      </w:r>
    </w:p>
    <w:p w14:paraId="3CD4C7CD">
      <w:pPr>
        <w:spacing w:line="540" w:lineRule="exact"/>
        <w:ind w:firstLine="480" w:firstLineChars="200"/>
        <w:contextualSpacing/>
        <w:jc w:val="lef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中标人中标后应根据招标单位提供的资料，建立设施基础台账及养护工作台账，格式应按照招标单位规定的格式。中标人应努力提高管理水平科技含量，配合做好</w:t>
      </w:r>
      <w:r>
        <w:rPr>
          <w:rFonts w:ascii="Times New Roman" w:hAnsi="Times New Roman" w:eastAsia="仿宋_GB2312" w:cs="Times New Roman"/>
          <w:sz w:val="24"/>
          <w:szCs w:val="24"/>
          <w:highlight w:val="none"/>
        </w:rPr>
        <w:t>行人交通违法抓拍管理系统的设施应急维护</w:t>
      </w:r>
      <w:r>
        <w:rPr>
          <w:rFonts w:ascii="Times New Roman" w:hAnsi="Times New Roman" w:eastAsia="仿宋_GB2312" w:cs="Times New Roman"/>
          <w:kern w:val="0"/>
          <w:sz w:val="24"/>
          <w:szCs w:val="24"/>
          <w:highlight w:val="none"/>
        </w:rPr>
        <w:t>信息系统的基础资料的收集、维护工作。</w:t>
      </w:r>
    </w:p>
    <w:p w14:paraId="156B3E78">
      <w:pPr>
        <w:spacing w:line="540" w:lineRule="exact"/>
        <w:ind w:firstLine="480" w:firstLineChars="200"/>
        <w:contextualSpacing/>
        <w:jc w:val="lef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行业管理要求编制各类养护设施的日常养护年度及月度计划，编制各类突发事件应急处置预案；负责所养护设施技术档案的补充完善；配合区里做好各项信息系统的数据更新、系统运行维护等工作；按时报送月度及年度养护计划和工作总结等。</w:t>
      </w:r>
    </w:p>
    <w:p w14:paraId="2C8D9885">
      <w:pPr>
        <w:spacing w:line="540" w:lineRule="exact"/>
        <w:ind w:firstLine="480" w:firstLineChars="200"/>
        <w:contextualSpacing/>
        <w:jc w:val="left"/>
        <w:rPr>
          <w:rFonts w:ascii="Times New Roman" w:hAnsi="Times New Roman" w:eastAsia="仿宋_GB2312" w:cs="Times New Roman"/>
          <w:kern w:val="0"/>
          <w:sz w:val="24"/>
          <w:szCs w:val="24"/>
          <w:highlight w:val="none"/>
        </w:rPr>
      </w:pPr>
      <w:r>
        <w:rPr>
          <w:rFonts w:ascii="Times New Roman" w:hAnsi="Times New Roman" w:eastAsia="仿宋_GB2312" w:cs="Times New Roman"/>
          <w:sz w:val="24"/>
          <w:szCs w:val="24"/>
          <w:highlight w:val="none"/>
        </w:rPr>
        <w:t>中标人应积极落实招标方提出的关于。</w:t>
      </w:r>
      <w:r>
        <w:rPr>
          <w:rFonts w:ascii="Times New Roman" w:hAnsi="Times New Roman" w:eastAsia="仿宋_GB2312" w:cs="Times New Roman"/>
          <w:kern w:val="0"/>
          <w:sz w:val="24"/>
          <w:szCs w:val="24"/>
          <w:highlight w:val="none"/>
        </w:rPr>
        <w:t>遇突发事件，中标人必须服从招标单位的指挥和安排；协助调查、解决来信来访，并根据招标方的要求及时处置；协助招标方处理因设施管理、养护不到位或因市政设施缺陷引起的媒体曝光、官司诉讼等事宜，配合甲方做好回复，并承担因此造成的各项赔偿费用；完成招标方布置的为迎接各类检查、活动而开展的各项集中整治工作。</w:t>
      </w:r>
    </w:p>
    <w:p w14:paraId="7F217F3E">
      <w:pPr>
        <w:spacing w:line="540" w:lineRule="exact"/>
        <w:ind w:firstLine="480" w:firstLineChars="200"/>
        <w:contextualSpacing/>
        <w:jc w:val="lef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按照路政行业规范对招标范围内</w:t>
      </w:r>
      <w:r>
        <w:rPr>
          <w:rFonts w:ascii="Times New Roman" w:hAnsi="Times New Roman" w:eastAsia="仿宋_GB2312" w:cs="Times New Roman"/>
          <w:sz w:val="24"/>
          <w:szCs w:val="24"/>
          <w:highlight w:val="none"/>
        </w:rPr>
        <w:t>行人过街提示系统</w:t>
      </w:r>
      <w:r>
        <w:rPr>
          <w:rFonts w:ascii="Times New Roman" w:hAnsi="Times New Roman" w:eastAsia="仿宋_GB2312" w:cs="Times New Roman"/>
          <w:kern w:val="0"/>
          <w:sz w:val="24"/>
          <w:szCs w:val="24"/>
          <w:highlight w:val="none"/>
        </w:rPr>
        <w:t>实施巡视检查，掌握设施动态情况，及时处置设施损坏、养护，每月定期巡视并做好巡视记录，发现有</w:t>
      </w:r>
      <w:r>
        <w:rPr>
          <w:rFonts w:ascii="Times New Roman" w:hAnsi="Times New Roman" w:eastAsia="仿宋_GB2312" w:cs="Times New Roman"/>
          <w:sz w:val="24"/>
          <w:szCs w:val="24"/>
          <w:highlight w:val="none"/>
        </w:rPr>
        <w:t>行人过街提示系统</w:t>
      </w:r>
      <w:r>
        <w:rPr>
          <w:rFonts w:ascii="Times New Roman" w:hAnsi="Times New Roman" w:eastAsia="仿宋_GB2312" w:cs="Times New Roman"/>
          <w:kern w:val="0"/>
          <w:sz w:val="24"/>
          <w:szCs w:val="24"/>
          <w:highlight w:val="none"/>
        </w:rPr>
        <w:t>倾斜、故障、损坏等可能危及行车、行走安全的病害，按有关要求做好记录，必须及时采取养护措施。</w:t>
      </w:r>
    </w:p>
    <w:p w14:paraId="257BD586">
      <w:pPr>
        <w:spacing w:line="540" w:lineRule="exact"/>
        <w:ind w:firstLine="480" w:firstLineChars="200"/>
        <w:contextualSpacing/>
        <w:rPr>
          <w:rFonts w:ascii="Times New Roman" w:hAnsi="Times New Roman" w:eastAsia="仿宋_GB2312" w:cs="Times New Roman"/>
          <w:color w:val="FF0000"/>
          <w:sz w:val="24"/>
          <w:szCs w:val="24"/>
          <w:highlight w:val="none"/>
        </w:rPr>
      </w:pPr>
      <w:r>
        <w:rPr>
          <w:rFonts w:ascii="Times New Roman" w:hAnsi="Times New Roman" w:eastAsia="黑体" w:cs="Times New Roman"/>
          <w:sz w:val="24"/>
          <w:szCs w:val="24"/>
          <w:highlight w:val="none"/>
        </w:rPr>
        <w:t>四、服务内容</w:t>
      </w:r>
      <w:r>
        <w:rPr>
          <w:rFonts w:ascii="Times New Roman" w:hAnsi="Times New Roman" w:eastAsia="仿宋_GB2312" w:cs="Times New Roman"/>
          <w:color w:val="FF0000"/>
          <w:sz w:val="24"/>
          <w:szCs w:val="24"/>
          <w:highlight w:val="none"/>
        </w:rPr>
        <w:t xml:space="preserve">  </w:t>
      </w:r>
    </w:p>
    <w:p w14:paraId="330D9E3E">
      <w:pPr>
        <w:spacing w:line="540" w:lineRule="exact"/>
        <w:ind w:firstLine="480" w:firstLineChars="200"/>
        <w:contextualSpacing/>
        <w:rPr>
          <w:rFonts w:ascii="Times New Roman" w:hAnsi="Times New Roman" w:eastAsia="仿宋_GB2312" w:cs="Times New Roman"/>
          <w:b/>
          <w:bCs/>
          <w:sz w:val="24"/>
          <w:szCs w:val="24"/>
          <w:highlight w:val="none"/>
        </w:rPr>
      </w:pPr>
      <w:r>
        <w:rPr>
          <w:rFonts w:ascii="Times New Roman" w:hAnsi="Times New Roman" w:eastAsia="楷体_GB2312" w:cs="Times New Roman"/>
          <w:sz w:val="24"/>
          <w:szCs w:val="24"/>
          <w:highlight w:val="none"/>
        </w:rPr>
        <w:t>（一）运维服务方式</w:t>
      </w:r>
    </w:p>
    <w:p w14:paraId="7CAD234E">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维护单位须设立专门的服务咨询中心，提供免费的服务热线电话，接受系统故障保修、使用帮助要求、业务和技术咨询、服务投诉等。该服务咨询中心应该7×24小时全天候运行，配备足够的咨询人员或技术工程师，热线电话的拨通率应达到90%以上。在热线电话发生故障情况下，提供其它备份的方便和迅速的联系方式。</w:t>
      </w:r>
    </w:p>
    <w:p w14:paraId="62B3301F">
      <w:pPr>
        <w:spacing w:line="540" w:lineRule="exact"/>
        <w:ind w:firstLine="480" w:firstLineChars="200"/>
        <w:contextualSpacing/>
        <w:rPr>
          <w:rFonts w:ascii="Times New Roman" w:hAnsi="Times New Roman" w:eastAsia="仿宋_GB2312" w:cs="Times New Roman"/>
          <w:b/>
          <w:bCs/>
          <w:sz w:val="24"/>
          <w:szCs w:val="24"/>
          <w:highlight w:val="none"/>
        </w:rPr>
      </w:pPr>
      <w:bookmarkStart w:id="5" w:name="_Toc405822852"/>
      <w:bookmarkStart w:id="6" w:name="_Toc364935992"/>
      <w:r>
        <w:rPr>
          <w:rFonts w:ascii="Times New Roman" w:hAnsi="Times New Roman" w:eastAsia="楷体_GB2312" w:cs="Times New Roman"/>
          <w:sz w:val="24"/>
          <w:szCs w:val="24"/>
          <w:highlight w:val="none"/>
        </w:rPr>
        <w:t>（二）运维服务报告</w:t>
      </w:r>
      <w:bookmarkEnd w:id="5"/>
      <w:bookmarkEnd w:id="6"/>
    </w:p>
    <w:p w14:paraId="79A80DAA">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在整个运维服务周期内，维护单位应与用户单位建立完善的沟通协调机制，维护单位须及时提供运维服务的各种报告。包括重大故障维修报告、每月故障总结报告、每季度的设备和系统管理报告、每季度的系统维护总结报告，有针对性的系统优化方案报告等。</w:t>
      </w:r>
    </w:p>
    <w:p w14:paraId="376CA805">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要求描述项目的主要服务内容，包括具体服务流程、服务内容、服务支撑技术及工具、服务考核指标、服务管理框架，以及应急处理机制等。</w:t>
      </w:r>
    </w:p>
    <w:p w14:paraId="6C1D5DAC">
      <w:pPr>
        <w:spacing w:line="540" w:lineRule="exact"/>
        <w:ind w:firstLine="480" w:firstLineChars="200"/>
        <w:contextualSpacing/>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五、服务承诺</w:t>
      </w:r>
    </w:p>
    <w:p w14:paraId="3681AB84">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运维服务中标单位需做出如下承诺：</w:t>
      </w:r>
    </w:p>
    <w:p w14:paraId="402AE722">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运维工作人员：针对本项目成立专门的运维团队和项目管理机构，负责保障服务期内本项目安全、稳定地运行。我司明确运维团队组织、人员、岗位职责、工作流程等，须建立详细的运维保障体系，并提供方案。</w:t>
      </w:r>
    </w:p>
    <w:p w14:paraId="707ADE4A">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巡检排故工作：维护人员应定时对</w:t>
      </w:r>
      <w:bookmarkStart w:id="7" w:name="OLE_LINK15"/>
      <w:bookmarkStart w:id="8" w:name="OLE_LINK14"/>
      <w:r>
        <w:rPr>
          <w:rFonts w:ascii="Times New Roman" w:hAnsi="Times New Roman" w:eastAsia="仿宋_GB2312" w:cs="Times New Roman"/>
          <w:color w:val="000000"/>
          <w:kern w:val="0"/>
          <w:sz w:val="24"/>
          <w:szCs w:val="24"/>
          <w:highlight w:val="none"/>
        </w:rPr>
        <w:t>违停告示牌、电警抓拍告知牌、</w:t>
      </w:r>
      <w:r>
        <w:rPr>
          <w:rStyle w:val="6"/>
          <w:rFonts w:ascii="Times New Roman" w:hAnsi="Times New Roman" w:eastAsia="仿宋_GB2312"/>
          <w:sz w:val="24"/>
          <w:szCs w:val="24"/>
          <w:highlight w:val="none"/>
        </w:rPr>
        <w:t>严管路段及违停告示牌</w:t>
      </w:r>
      <w:bookmarkEnd w:id="7"/>
      <w:bookmarkEnd w:id="8"/>
      <w:r>
        <w:rPr>
          <w:rStyle w:val="6"/>
          <w:rFonts w:ascii="Times New Roman" w:hAnsi="Times New Roman" w:eastAsia="仿宋_GB2312"/>
          <w:sz w:val="24"/>
          <w:szCs w:val="24"/>
          <w:highlight w:val="none"/>
        </w:rPr>
        <w:t>运行</w:t>
      </w:r>
      <w:r>
        <w:rPr>
          <w:rFonts w:ascii="Times New Roman" w:hAnsi="Times New Roman" w:eastAsia="仿宋_GB2312" w:cs="Times New Roman"/>
          <w:sz w:val="24"/>
          <w:szCs w:val="24"/>
          <w:highlight w:val="none"/>
        </w:rPr>
        <w:t>情况，逐点、逐台、逐项地进行检验，边检边进行记录，并排除发现的病害。</w:t>
      </w:r>
    </w:p>
    <w:p w14:paraId="23205895">
      <w:pPr>
        <w:spacing w:line="540" w:lineRule="exact"/>
        <w:ind w:firstLine="480" w:firstLineChars="200"/>
        <w:contextualSpacing/>
        <w:rPr>
          <w:rStyle w:val="6"/>
          <w:rFonts w:ascii="Times New Roman" w:hAnsi="Times New Roman" w:eastAsia="仿宋_GB2312" w:cs="Times New Roman"/>
          <w:kern w:val="0"/>
          <w:sz w:val="24"/>
          <w:szCs w:val="24"/>
          <w:highlight w:val="none"/>
        </w:rPr>
      </w:pPr>
      <w:r>
        <w:rPr>
          <w:rFonts w:ascii="Times New Roman" w:hAnsi="Times New Roman" w:eastAsia="仿宋_GB2312" w:cs="Times New Roman"/>
          <w:sz w:val="24"/>
          <w:szCs w:val="24"/>
          <w:highlight w:val="none"/>
        </w:rPr>
        <w:t>服务响应要求：服务期内，维护单位须设立7×24小时热线服务电话，受理</w:t>
      </w:r>
      <w:r>
        <w:rPr>
          <w:rFonts w:ascii="Times New Roman" w:hAnsi="Times New Roman" w:eastAsia="仿宋_GB2312" w:cs="Times New Roman"/>
          <w:color w:val="000000"/>
          <w:kern w:val="0"/>
          <w:sz w:val="24"/>
          <w:szCs w:val="24"/>
          <w:highlight w:val="none"/>
        </w:rPr>
        <w:t>违停告示牌、电警抓拍告知牌、</w:t>
      </w:r>
      <w:r>
        <w:rPr>
          <w:rStyle w:val="6"/>
          <w:rFonts w:ascii="Times New Roman" w:hAnsi="Times New Roman" w:eastAsia="仿宋_GB2312"/>
          <w:sz w:val="24"/>
          <w:szCs w:val="24"/>
          <w:highlight w:val="none"/>
        </w:rPr>
        <w:t>严管路段及违停告示牌</w:t>
      </w:r>
      <w:r>
        <w:rPr>
          <w:rFonts w:ascii="Times New Roman" w:hAnsi="Times New Roman" w:eastAsia="仿宋_GB2312" w:cs="Times New Roman"/>
          <w:sz w:val="24"/>
          <w:szCs w:val="24"/>
          <w:highlight w:val="none"/>
        </w:rPr>
        <w:t>病害申告、技术咨询。维护单位在收到申告后，必须按要求及时解决。</w:t>
      </w:r>
    </w:p>
    <w:p w14:paraId="5F1DBD65">
      <w:pPr>
        <w:spacing w:line="540" w:lineRule="exact"/>
        <w:ind w:firstLine="480" w:firstLineChars="200"/>
        <w:contextualSpacing/>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六、重要事项说明</w:t>
      </w:r>
    </w:p>
    <w:p w14:paraId="31C40EC4">
      <w:pPr>
        <w:spacing w:line="540" w:lineRule="exact"/>
        <w:ind w:firstLine="480" w:firstLineChars="200"/>
        <w:contextualSpacing/>
        <w:rPr>
          <w:rFonts w:ascii="Times New Roman" w:hAnsi="Times New Roman" w:eastAsia="仿宋_GB2312" w:cs="Times New Roman"/>
          <w:kern w:val="0"/>
          <w:sz w:val="24"/>
          <w:szCs w:val="24"/>
          <w:highlight w:val="none"/>
        </w:rPr>
      </w:pPr>
      <w:r>
        <w:rPr>
          <w:rFonts w:ascii="Times New Roman" w:hAnsi="Times New Roman" w:eastAsia="仿宋_GB2312" w:cs="Times New Roman"/>
          <w:sz w:val="24"/>
          <w:szCs w:val="24"/>
          <w:highlight w:val="none"/>
        </w:rPr>
        <w:t>（一）</w:t>
      </w:r>
      <w:r>
        <w:rPr>
          <w:rFonts w:ascii="Times New Roman" w:hAnsi="Times New Roman" w:eastAsia="仿宋_GB2312" w:cs="Times New Roman"/>
          <w:kern w:val="0"/>
          <w:sz w:val="24"/>
          <w:szCs w:val="24"/>
          <w:highlight w:val="none"/>
        </w:rPr>
        <w:t>安全生产、文明施工与环境保护要求</w:t>
      </w:r>
    </w:p>
    <w:p w14:paraId="4E8BE660">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为在养护维修作业承包期间确保作业区域周围环境的整洁和交通正常进行。投标人必须按照上海市人民政府和上海市市政工程管理局有关规定结合本项目的特点，在投标书中明确安全生产具体措施。</w:t>
      </w:r>
    </w:p>
    <w:p w14:paraId="41C39BA5">
      <w:pPr>
        <w:spacing w:line="540" w:lineRule="exact"/>
        <w:ind w:firstLine="480" w:firstLineChars="200"/>
        <w:contextualSpacing/>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本项目</w:t>
      </w:r>
      <w:r>
        <w:rPr>
          <w:rFonts w:ascii="Times New Roman" w:hAnsi="Times New Roman" w:eastAsia="仿宋_GB2312" w:cs="Times New Roman"/>
          <w:sz w:val="24"/>
          <w:szCs w:val="24"/>
          <w:highlight w:val="none"/>
        </w:rPr>
        <w:t>施工必须实施文明施工。</w:t>
      </w:r>
    </w:p>
    <w:p w14:paraId="6F558857">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中标人在施工过程中必须严格执行国家与地方政府的环境保护政策、法规和法律，严格遵守上海市有关建设工程文明施工管理的规定，积极主动落实安全文明及环境保护施工的管理和考核等有关工作，严格履行关于现场临设及施工区域企业标识要求。</w:t>
      </w:r>
    </w:p>
    <w:p w14:paraId="2C1ADBB6">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（二）社会职能工作：</w:t>
      </w:r>
    </w:p>
    <w:p w14:paraId="337DD594">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1.遇突发事件或自然灾害，中标人必须服从招标单位的指挥和安排；</w:t>
      </w:r>
    </w:p>
    <w:p w14:paraId="38DA8B25">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2.协助调查、解决来信来访，并根据招标单位的要求认真及时处理；</w:t>
      </w:r>
    </w:p>
    <w:p w14:paraId="36C40428">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3.协助甲方处理对于因中标人的设施管理、养护不到位或因设施缺陷引起的媒体曝光、官司诉讼等事宜，配合甲方积极做好投诉回复，并承担因此造成的各项赔偿费用；</w:t>
      </w:r>
    </w:p>
    <w:p w14:paraId="356A2D9C">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4.完成甲方布置的为迎接各类检查、活动而开展的各项集中整治工作。</w:t>
      </w:r>
    </w:p>
    <w:p w14:paraId="6A4CB260">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5.完成甲方规定的其他任务。</w:t>
      </w:r>
    </w:p>
    <w:p w14:paraId="435519CD">
      <w:pPr>
        <w:spacing w:line="540" w:lineRule="exact"/>
        <w:ind w:firstLine="480" w:firstLineChars="200"/>
        <w:contextualSpacing/>
        <w:rPr>
          <w:rFonts w:ascii="Times New Roman" w:hAnsi="Times New Roman" w:eastAsia="楷体_GB2312" w:cs="Times New Roman"/>
          <w:sz w:val="24"/>
          <w:szCs w:val="24"/>
          <w:highlight w:val="none"/>
        </w:rPr>
      </w:pPr>
      <w:r>
        <w:rPr>
          <w:rFonts w:ascii="Times New Roman" w:hAnsi="Times New Roman" w:eastAsia="楷体_GB2312" w:cs="Times New Roman"/>
          <w:sz w:val="24"/>
          <w:szCs w:val="24"/>
          <w:highlight w:val="none"/>
        </w:rPr>
        <w:t>（三）机械配备</w:t>
      </w:r>
    </w:p>
    <w:p w14:paraId="2AB6A583">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配备必要的巡视设备及以及维护机械设备等。</w:t>
      </w:r>
    </w:p>
    <w:p w14:paraId="44593EA8">
      <w:pPr>
        <w:spacing w:line="540" w:lineRule="exact"/>
        <w:ind w:firstLine="480" w:firstLineChars="200"/>
        <w:contextualSpacing/>
        <w:rPr>
          <w:rFonts w:ascii="Times New Roman" w:hAnsi="Times New Roman" w:eastAsia="楷体_GB2312" w:cs="Times New Roman"/>
          <w:sz w:val="24"/>
          <w:szCs w:val="24"/>
          <w:highlight w:val="none"/>
        </w:rPr>
      </w:pPr>
      <w:r>
        <w:rPr>
          <w:rFonts w:ascii="Times New Roman" w:hAnsi="Times New Roman" w:eastAsia="楷体_GB2312" w:cs="Times New Roman"/>
          <w:sz w:val="24"/>
          <w:szCs w:val="24"/>
          <w:highlight w:val="none"/>
        </w:rPr>
        <w:t>（四）维护承包方式</w:t>
      </w:r>
    </w:p>
    <w:p w14:paraId="5E7FF0F3">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本项目由中标单位（以下简称中标人）总承包，中标人应严格执行上海市人民政府令（第37号）《上海市建设工程承发包管理办法》及沪建建（97）第0175号文《上海市建设工程承发包管理办法若干问题的解释》的通知。中标人应对全部维护作业项目负责，若需要分包，须得到招标人同意，否则不得进行。</w:t>
      </w:r>
    </w:p>
    <w:p w14:paraId="290B7940">
      <w:pPr>
        <w:spacing w:line="540" w:lineRule="exact"/>
        <w:ind w:firstLine="480" w:firstLineChars="200"/>
        <w:contextualSpacing/>
        <w:rPr>
          <w:rFonts w:ascii="Times New Roman" w:hAnsi="Times New Roman" w:eastAsia="楷体_GB2312" w:cs="Times New Roman"/>
          <w:sz w:val="24"/>
          <w:szCs w:val="24"/>
          <w:highlight w:val="none"/>
        </w:rPr>
      </w:pPr>
      <w:r>
        <w:rPr>
          <w:rFonts w:ascii="Times New Roman" w:hAnsi="Times New Roman" w:eastAsia="楷体_GB2312" w:cs="Times New Roman"/>
          <w:sz w:val="24"/>
          <w:szCs w:val="24"/>
          <w:highlight w:val="none"/>
        </w:rPr>
        <w:t>（五）材料供应</w:t>
      </w:r>
    </w:p>
    <w:p w14:paraId="7C3F3749">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本维护作业项目所有材料由中标人自行解决，中标人应采购符合规范及质量满足要求。项目所用材料、成品、半成品均需符合市政养护维修相关技术规程、规范要求。</w:t>
      </w:r>
    </w:p>
    <w:p w14:paraId="36AFC11F">
      <w:pPr>
        <w:spacing w:line="540" w:lineRule="exact"/>
        <w:ind w:firstLine="480" w:firstLineChars="200"/>
        <w:contextualSpacing/>
        <w:rPr>
          <w:rFonts w:ascii="Times New Roman" w:hAnsi="Times New Roman" w:eastAsia="楷体_GB2312" w:cs="Times New Roman"/>
          <w:sz w:val="24"/>
          <w:szCs w:val="24"/>
          <w:highlight w:val="none"/>
        </w:rPr>
      </w:pPr>
      <w:r>
        <w:rPr>
          <w:rFonts w:ascii="Times New Roman" w:hAnsi="Times New Roman" w:eastAsia="楷体_GB2312" w:cs="Times New Roman"/>
          <w:sz w:val="24"/>
          <w:szCs w:val="24"/>
          <w:highlight w:val="none"/>
        </w:rPr>
        <w:t>（六）结算依据与原则</w:t>
      </w:r>
    </w:p>
    <w:p w14:paraId="406E2067">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1.招标文件、招标补充文件、投标文件以及工程签证。</w:t>
      </w:r>
    </w:p>
    <w:p w14:paraId="14B7E905">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eastAsia="zh-CN"/>
        </w:rPr>
        <w:t>本项目</w:t>
      </w:r>
      <w:r>
        <w:rPr>
          <w:rFonts w:ascii="Times New Roman" w:hAnsi="Times New Roman" w:eastAsia="仿宋_GB2312" w:cs="Times New Roman"/>
          <w:sz w:val="24"/>
          <w:szCs w:val="24"/>
          <w:highlight w:val="none"/>
        </w:rPr>
        <w:t>的工程量以及养护作业过程中发生的工作内容变更、工程签证，所涉及到的工程量增减，在施工过程中由投资监理进行审核，在结算时按实结算。</w:t>
      </w:r>
    </w:p>
    <w:p w14:paraId="79D104F7">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3.投标方应根据招标文件要求、采购方的现场实际情况以及自身经验能力，提供具有针对性的设施维护服务的计划、方案、措施、标准、质量保证以及达到管理目标的具体内容，具有可操作性。</w:t>
      </w:r>
    </w:p>
    <w:p w14:paraId="050E100B">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4.投标单位需在投标文件中提供招标文件要求的针对本项目制定的相关技术文件，包括但不限于保证工程质量的主要技术措施及养护措施、主要施工设备设施使用情况、相关类似工程及其他养护项目的业绩情况、安全和文明施工措施及相关保障措施等针对性方案等各项相关管理方案。</w:t>
      </w:r>
    </w:p>
    <w:p w14:paraId="1F39AA4C">
      <w:pPr>
        <w:spacing w:line="540" w:lineRule="exact"/>
        <w:ind w:firstLine="480" w:firstLineChars="200"/>
        <w:contextualSpacing/>
        <w:rPr>
          <w:rFonts w:ascii="Times New Roman" w:hAnsi="Times New Roman" w:eastAsia="楷体_GB2312" w:cs="Times New Roman"/>
          <w:sz w:val="24"/>
          <w:szCs w:val="24"/>
          <w:highlight w:val="none"/>
        </w:rPr>
      </w:pPr>
      <w:r>
        <w:rPr>
          <w:rFonts w:ascii="Times New Roman" w:hAnsi="Times New Roman" w:eastAsia="楷体_GB2312" w:cs="Times New Roman"/>
          <w:sz w:val="24"/>
          <w:szCs w:val="24"/>
          <w:highlight w:val="none"/>
        </w:rPr>
        <w:t>（七）项目服务期限</w:t>
      </w:r>
    </w:p>
    <w:p w14:paraId="6B18449A">
      <w:pPr>
        <w:spacing w:line="540" w:lineRule="exact"/>
        <w:ind w:firstLine="480" w:firstLineChars="200"/>
        <w:contextualSpacing/>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合同签订之日起至</w:t>
      </w:r>
      <w:r>
        <w:rPr>
          <w:rFonts w:hint="eastAsia" w:ascii="Times New Roman" w:hAnsi="Times New Roman" w:eastAsia="仿宋_GB2312" w:cs="Times New Roman"/>
          <w:sz w:val="24"/>
          <w:szCs w:val="24"/>
          <w:highlight w:val="none"/>
          <w:lang w:eastAsia="zh-CN"/>
        </w:rPr>
        <w:t>2027年6月30日</w:t>
      </w:r>
      <w:r>
        <w:rPr>
          <w:rFonts w:ascii="Times New Roman" w:hAnsi="Times New Roman" w:eastAsia="仿宋_GB2312" w:cs="Times New Roman"/>
          <w:sz w:val="24"/>
          <w:szCs w:val="24"/>
          <w:highlight w:val="none"/>
        </w:rPr>
        <w:t>。</w:t>
      </w:r>
    </w:p>
    <w:p w14:paraId="51315C12">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楷体_GB2312" w:cs="Times New Roman"/>
          <w:sz w:val="24"/>
          <w:szCs w:val="24"/>
          <w:highlight w:val="none"/>
        </w:rPr>
        <w:t>（八）特别说明</w:t>
      </w:r>
    </w:p>
    <w:p w14:paraId="7C93ADF7">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1.投标人在投标报价时，需充分考虑到国家调整职工最低工资保障线的情况以及物价上涨等因素。招标人不会因国家调整职工最低工资保障线以及物价上涨等因素而再追加市政设施综合养护服务费用。</w:t>
      </w:r>
    </w:p>
    <w:p w14:paraId="1BA93B63">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2.投标人在投标报价时，需充分考虑到业主单位工作的特殊性，业主方不会因节假日、双休日及非工作时间提供维护保障而追加员工的加班费用。</w:t>
      </w:r>
    </w:p>
    <w:p w14:paraId="639CFE47">
      <w:pPr>
        <w:widowControl/>
        <w:spacing w:line="540" w:lineRule="exact"/>
        <w:ind w:firstLine="480" w:firstLineChars="200"/>
        <w:contextualSpacing/>
        <w:jc w:val="left"/>
        <w:outlineLvl w:val="1"/>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3.</w:t>
      </w:r>
      <w:r>
        <w:rPr>
          <w:rFonts w:ascii="Times New Roman" w:hAnsi="Times New Roman" w:eastAsia="仿宋_GB2312" w:cs="Times New Roman"/>
          <w:sz w:val="24"/>
          <w:szCs w:val="24"/>
          <w:highlight w:val="none"/>
        </w:rPr>
        <w:t>中标单位与采购人应当在中标通知书发出之日起三十日内，按照招标文件确定的事项签订合同。</w:t>
      </w:r>
    </w:p>
    <w:p w14:paraId="56BD700E">
      <w:pPr>
        <w:spacing w:line="540" w:lineRule="exact"/>
        <w:ind w:firstLine="480" w:firstLineChars="200"/>
        <w:contextualSpacing/>
        <w:rPr>
          <w:rFonts w:ascii="Times New Roman" w:hAnsi="Times New Roman" w:eastAsia="仿宋_GB2312" w:cs="Times New Roman"/>
          <w:sz w:val="24"/>
          <w:szCs w:val="24"/>
          <w:highlight w:val="none"/>
        </w:rPr>
      </w:pPr>
      <w:r>
        <w:rPr>
          <w:rFonts w:ascii="Times New Roman" w:hAnsi="Times New Roman" w:eastAsia="仿宋_GB2312" w:cs="Times New Roman"/>
          <w:color w:val="000000"/>
          <w:sz w:val="24"/>
          <w:szCs w:val="24"/>
          <w:highlight w:val="none"/>
        </w:rPr>
        <w:t>4.</w:t>
      </w:r>
      <w:r>
        <w:rPr>
          <w:rFonts w:ascii="Times New Roman" w:hAnsi="Times New Roman" w:eastAsia="仿宋_GB2312" w:cs="Times New Roman"/>
          <w:sz w:val="24"/>
          <w:szCs w:val="24"/>
          <w:highlight w:val="none"/>
        </w:rPr>
        <w:t>如中标单位实际提供服务与投标承诺不一致，服务承诺无法完成，服务被使用方有效投诉，经查实中标单位要承担相应违约责任，并将按《长宁区政府采购供应商诚信档案管理（暂行）办法》规定进行相应记载和处理，同时保留向市、区政府采购管理机构通报的权利。</w:t>
      </w:r>
    </w:p>
    <w:p w14:paraId="7246C182">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E303E"/>
    <w:rsid w:val="767E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3">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customStyle="1" w:styleId="6">
    <w:name w:val="msoins"/>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2026-05-28T01:53:00Z</dcterms:created>
  <dc:creator>追梦人</dc:creator>
  <cp:lastModifiedBy>追梦人</cp:lastModifiedBy>
  <dcterms:modified xsi:type="dcterms:W3CDTF">2026-05-28T01:54:08Z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108F6F895FBD4B218283898F773EA477_11</vt:lpwstr>
  </property>
  <property fmtid="{D5CDD505-2E9C-101B-9397-08002B2CF9AE}" pid="4" name="KSOTemplateDocerSaveRecord">
    <vt:lpwstr>eyJoZGlkIjoiYWRjZDM1ZWE5MTZjMGE4ODJhNTdkNTIwMzQzMzQ0ZmEiLCJ1c2VySWQiOiI0Mzg1NjkyNDAifQ==</vt:lpwstr>
  </property>
</Properties>
</file>