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adjustRightInd w:val="0"/>
        <w:snapToGrid w:val="0"/>
        <w:spacing w:line="360" w:lineRule="auto"/>
        <w:jc w:val="center"/>
        <w:rPr>
          <w:rFonts w:hint="eastAsia" w:ascii="宋体" w:hAnsi="宋体" w:cs="宋体"/>
          <w:b/>
          <w:snapToGrid w:val="0"/>
          <w:kern w:val="0"/>
          <w:szCs w:val="21"/>
          <w:highlight w:val="none"/>
        </w:rPr>
      </w:pPr>
      <w:r>
        <w:rPr>
          <w:rFonts w:hint="eastAsia" w:ascii="宋体" w:hAnsi="宋体" w:cs="宋体"/>
          <w:b/>
          <w:snapToGrid w:val="0"/>
          <w:kern w:val="0"/>
          <w:szCs w:val="21"/>
          <w:highlight w:val="none"/>
        </w:rPr>
        <w:t>上海市中环路浦西段养护维修及运行管理</w:t>
      </w:r>
    </w:p>
    <w:p>
      <w:pPr>
        <w:topLinePunct/>
        <w:adjustRightInd w:val="0"/>
        <w:snapToGrid w:val="0"/>
        <w:spacing w:line="360" w:lineRule="auto"/>
        <w:jc w:val="center"/>
        <w:rPr>
          <w:rFonts w:hint="eastAsia" w:ascii="宋体" w:hAnsi="宋体" w:cs="宋体"/>
          <w:b/>
          <w:snapToGrid w:val="0"/>
          <w:kern w:val="0"/>
          <w:szCs w:val="21"/>
          <w:highlight w:val="none"/>
        </w:rPr>
      </w:pPr>
      <w:r>
        <w:rPr>
          <w:rFonts w:hint="eastAsia" w:ascii="宋体" w:hAnsi="宋体" w:cs="宋体"/>
          <w:b/>
          <w:snapToGrid w:val="0"/>
          <w:kern w:val="0"/>
          <w:szCs w:val="21"/>
          <w:highlight w:val="none"/>
        </w:rPr>
        <w:t>采购需求</w:t>
      </w:r>
    </w:p>
    <w:p>
      <w:pPr>
        <w:topLinePunct/>
        <w:adjustRightInd w:val="0"/>
        <w:snapToGrid w:val="0"/>
        <w:spacing w:line="360" w:lineRule="auto"/>
        <w:rPr>
          <w:rFonts w:hint="eastAsia" w:ascii="宋体" w:hAnsi="宋体" w:cs="宋体"/>
          <w:bCs/>
          <w:snapToGrid w:val="0"/>
          <w:kern w:val="0"/>
          <w:szCs w:val="21"/>
          <w:highlight w:val="none"/>
        </w:rPr>
      </w:pPr>
      <w:bookmarkStart w:id="17" w:name="_GoBack"/>
      <w:bookmarkEnd w:id="17"/>
    </w:p>
    <w:p>
      <w:pPr>
        <w:topLinePunct/>
        <w:adjustRightInd w:val="0"/>
        <w:snapToGrid w:val="0"/>
        <w:spacing w:line="360" w:lineRule="auto"/>
        <w:outlineLvl w:val="0"/>
        <w:rPr>
          <w:rFonts w:hint="eastAsia" w:ascii="宋体" w:hAnsi="宋体" w:cs="宋体"/>
          <w:b/>
          <w:snapToGrid w:val="0"/>
          <w:kern w:val="0"/>
          <w:szCs w:val="21"/>
          <w:highlight w:val="none"/>
        </w:rPr>
      </w:pPr>
      <w:r>
        <w:rPr>
          <w:rFonts w:hint="eastAsia" w:ascii="宋体" w:hAnsi="宋体" w:cs="宋体"/>
          <w:b/>
          <w:snapToGrid w:val="0"/>
          <w:kern w:val="0"/>
          <w:szCs w:val="21"/>
          <w:highlight w:val="none"/>
        </w:rPr>
        <w:t>一、项目概况</w:t>
      </w:r>
    </w:p>
    <w:p>
      <w:pPr>
        <w:topLinePunct/>
        <w:adjustRightInd w:val="0"/>
        <w:snapToGrid w:val="0"/>
        <w:spacing w:line="360" w:lineRule="auto"/>
        <w:ind w:firstLine="420" w:firstLineChars="200"/>
        <w:rPr>
          <w:rFonts w:hint="eastAsia" w:ascii="宋体" w:hAnsi="宋体"/>
          <w:snapToGrid w:val="0"/>
          <w:kern w:val="0"/>
          <w:szCs w:val="21"/>
          <w:highlight w:val="none"/>
        </w:rPr>
      </w:pPr>
      <w:r>
        <w:rPr>
          <w:rFonts w:hint="eastAsia" w:ascii="宋体" w:hAnsi="宋体"/>
          <w:snapToGrid w:val="0"/>
          <w:kern w:val="0"/>
          <w:szCs w:val="21"/>
          <w:highlight w:val="none"/>
        </w:rPr>
        <w:t>1、项目名称：上海市中环路浦西段养护维修及运行管理</w:t>
      </w:r>
    </w:p>
    <w:p>
      <w:pPr>
        <w:topLinePunct/>
        <w:adjustRightInd w:val="0"/>
        <w:snapToGrid w:val="0"/>
        <w:spacing w:line="360" w:lineRule="auto"/>
        <w:ind w:firstLine="420" w:firstLineChars="200"/>
        <w:rPr>
          <w:rFonts w:hint="eastAsia" w:ascii="宋体" w:hAnsi="宋体"/>
          <w:snapToGrid w:val="0"/>
          <w:kern w:val="0"/>
          <w:szCs w:val="21"/>
          <w:highlight w:val="none"/>
        </w:rPr>
      </w:pPr>
      <w:r>
        <w:rPr>
          <w:rFonts w:hint="eastAsia" w:ascii="宋体" w:hAnsi="宋体"/>
          <w:snapToGrid w:val="0"/>
          <w:kern w:val="0"/>
          <w:szCs w:val="21"/>
          <w:highlight w:val="none"/>
        </w:rPr>
        <w:t>2、设施概况：</w:t>
      </w:r>
    </w:p>
    <w:p>
      <w:pPr>
        <w:topLinePunct/>
        <w:adjustRightInd w:val="0"/>
        <w:snapToGri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中环路（浦西段）东起军工路隧道，南至上中路隧道，跨越上海八个区，分别为杨浦、虹口、闸北、宝山、普陀、长宁、闵行、徐汇，主线全长38.47千米，是由28.11千米高架道路、4.59千米地面道路以及5.77千米地道组成的城市快速路，全线包括7座立交、7座地道、1座跨吴淞江桥梁（真北路桥：含非机动桥、人行桥）、3座地面桥梁（虹梅路七号桥、蒲汇塘三号桥、虬江路桥）、上下匝道27处，地面进出口19处。中环路（浦西段）采用“高架+地道+地面”的结构形式，道路等级城市快速路，双向8至12车道，主线设计时速80千米/小时，匝道设计时速40千米/小时，通行净高4.3米。中环路（浦西段）设1处监控中心以及6处养护基地。</w:t>
      </w:r>
    </w:p>
    <w:p>
      <w:pPr>
        <w:numPr>
          <w:ilvl w:val="255"/>
          <w:numId w:val="0"/>
        </w:num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3、招标范围与内容：</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本次采购工作内容为对中环路浦西段开展养护维修及运行管理服务工作，主要内容包括对所有设施设备（含安全保护区范围）开展路面清扫、设施保洁、巡视检查、检测监测、运行管理、更新维护和采购人要求的其他服务工作。</w:t>
      </w:r>
    </w:p>
    <w:p>
      <w:pPr>
        <w:topLinePunct/>
        <w:adjustRightInd w:val="0"/>
        <w:snapToGrid w:val="0"/>
        <w:spacing w:line="360" w:lineRule="auto"/>
        <w:ind w:firstLine="420" w:firstLineChars="200"/>
        <w:rPr>
          <w:rFonts w:hint="eastAsia" w:ascii="宋体" w:hAnsi="宋体" w:cs="宋体"/>
          <w:snapToGrid w:val="0"/>
          <w:kern w:val="0"/>
          <w:szCs w:val="21"/>
          <w:highlight w:val="none"/>
        </w:rPr>
      </w:pPr>
    </w:p>
    <w:p>
      <w:pPr>
        <w:topLinePunct/>
        <w:adjustRightInd w:val="0"/>
        <w:snapToGrid w:val="0"/>
        <w:spacing w:line="360" w:lineRule="auto"/>
        <w:outlineLvl w:val="0"/>
        <w:rPr>
          <w:rFonts w:hint="eastAsia" w:ascii="宋体" w:hAnsi="宋体" w:cs="宋体"/>
          <w:b/>
          <w:snapToGrid w:val="0"/>
          <w:kern w:val="0"/>
          <w:szCs w:val="21"/>
          <w:highlight w:val="none"/>
        </w:rPr>
      </w:pPr>
      <w:r>
        <w:rPr>
          <w:rFonts w:hint="eastAsia" w:ascii="宋体" w:hAnsi="宋体" w:cs="宋体"/>
          <w:b/>
          <w:snapToGrid w:val="0"/>
          <w:kern w:val="0"/>
          <w:szCs w:val="21"/>
          <w:highlight w:val="none"/>
        </w:rPr>
        <w:t>二、技术要求与质量标准</w:t>
      </w:r>
    </w:p>
    <w:p>
      <w:pPr>
        <w:topLinePunct/>
        <w:adjustRightInd w:val="0"/>
        <w:snapToGrid w:val="0"/>
        <w:spacing w:line="360" w:lineRule="auto"/>
        <w:ind w:firstLine="422" w:firstLineChars="200"/>
        <w:rPr>
          <w:rFonts w:hint="eastAsia" w:ascii="宋体" w:hAnsi="宋体" w:cs="宋体"/>
          <w:snapToGrid w:val="0"/>
          <w:kern w:val="0"/>
          <w:szCs w:val="21"/>
          <w:highlight w:val="none"/>
        </w:rPr>
      </w:pPr>
      <w:r>
        <w:rPr>
          <w:rFonts w:hint="eastAsia" w:ascii="宋体" w:hAnsi="宋体" w:cs="宋体"/>
          <w:b/>
          <w:bCs/>
          <w:snapToGrid w:val="0"/>
          <w:kern w:val="0"/>
          <w:szCs w:val="21"/>
          <w:highlight w:val="none"/>
        </w:rPr>
        <w:t>本项目应按以下标准、规范（包括但不限于）开展养护运维作业：</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851"/>
        <w:gridCol w:w="8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tblHeader/>
          <w:jc w:val="center"/>
        </w:trPr>
        <w:tc>
          <w:tcPr>
            <w:tcW w:w="851" w:type="dxa"/>
            <w:vAlign w:val="center"/>
          </w:tcPr>
          <w:p>
            <w:pPr>
              <w:topLinePunct/>
              <w:adjustRightInd w:val="0"/>
              <w:snapToGrid w:val="0"/>
              <w:jc w:val="center"/>
              <w:rPr>
                <w:rFonts w:hint="eastAsia" w:ascii="宋体" w:hAnsi="宋体"/>
                <w:b/>
                <w:bCs/>
                <w:snapToGrid w:val="0"/>
                <w:kern w:val="0"/>
                <w:sz w:val="20"/>
                <w:szCs w:val="20"/>
                <w:highlight w:val="none"/>
              </w:rPr>
            </w:pPr>
            <w:r>
              <w:rPr>
                <w:rFonts w:hint="eastAsia" w:ascii="宋体" w:hAnsi="宋体"/>
                <w:b/>
                <w:bCs/>
                <w:snapToGrid w:val="0"/>
                <w:kern w:val="0"/>
                <w:sz w:val="20"/>
                <w:szCs w:val="20"/>
                <w:highlight w:val="none"/>
              </w:rPr>
              <w:t>序号</w:t>
            </w:r>
          </w:p>
        </w:tc>
        <w:tc>
          <w:tcPr>
            <w:tcW w:w="8216" w:type="dxa"/>
            <w:vAlign w:val="center"/>
          </w:tcPr>
          <w:p>
            <w:pPr>
              <w:topLinePunct/>
              <w:adjustRightInd w:val="0"/>
              <w:snapToGrid w:val="0"/>
              <w:jc w:val="center"/>
              <w:rPr>
                <w:rFonts w:hint="eastAsia" w:ascii="宋体" w:hAnsi="宋体"/>
                <w:b/>
                <w:bCs/>
                <w:snapToGrid w:val="0"/>
                <w:kern w:val="0"/>
                <w:sz w:val="20"/>
                <w:szCs w:val="20"/>
                <w:highlight w:val="none"/>
              </w:rPr>
            </w:pPr>
            <w:r>
              <w:rPr>
                <w:rFonts w:hint="eastAsia" w:ascii="宋体" w:hAnsi="宋体"/>
                <w:b/>
                <w:bCs/>
                <w:snapToGrid w:val="0"/>
                <w:kern w:val="0"/>
                <w:sz w:val="20"/>
                <w:szCs w:val="20"/>
                <w:highlight w:val="none"/>
              </w:rPr>
              <w:t>规范名称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《隧道养护技术规程》（DG/TJ 08-2175-2015）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《城市道路养护技术规程》（DG/TJ 08-92-2013）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《城市高架道路养护技术规范》（DB31/T 678-2012）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《城市桥梁养护技术标准》（CJJ99-2017）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《城市桥梁养护技术规程》（DG/TJ 08-2145-2014）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《城镇道路养护技术规范》（CJJ 36-2016）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《道路桥梁和隧道结构安全保护技术标准》DJ/08-2455-2024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《城市道路养护维修作业安全技术规程》（DG/TJ 08-2183-2015）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《城市道路交通标志、标线、信号设施养护技术标准》（DG/TJ 08-2256-2018）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《城市道路掘路修复技术规程》（DG/TJ 08-2257-2018）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《市政道路机电系统维护技术规程》（DG/TJ 08-2171-2015 J 13116-2015）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《城市道路和桥梁数据采集标准》（DG/TJ 08-2284-2018）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《沥青路面预防养护技术标准》（DG/TJ 08-2176-2024）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《城市地下道路工程设计规范》（CJJ 221-2015）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《道路隧道设计标准》（DG/TJ 08-2033-2017）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《桥梁结构检测技术规程》（DG/TJ 08-2149-2014）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《城市桥梁结构加固技术规程》（CJJ/T 239-2016）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《排水性沥青路面养护技术规程》（DG/TJ 08-2157-2015）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《道路公共服务设施指示标志技术标准》（DG/TJ 08-2228-2017）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《城市综合管廊维护技术规程》（DG/TJ 08-2168-2015）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《公路沥青路面施工及验收规范》（JTG F40-2004）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《城镇道路工程施工及质量验收规范》（CJJ1-2008）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《城市桥梁工程施工及质量验收规范》（CJJ2-2008）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《地下防水工程质量验收规范》（GB50208—2011）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《市政地下工程施工及验收规范》（DGTJ 08-236-2013）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《地下工程防水技术规范》（GB50108-2008）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《地下工程渗漏治理技术规程》（JGJ/T212-2010）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《环境空气质量标准》（GB 3095-2012）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《建筑灭火器配置设计规范》（GB50140-2005）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《自动喷水灭火系统设计规范》（GB50084-2017）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《汽车库、修车库、停车场设计防火规范》（GB 50067-2014）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《自动喷水灭火系统施工及验收规范》（GB50261-2017）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《泡沫灭火系统技术标准》（GB50151-2021）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《火灾自动报警系统设计规范》（GB50116-2013）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《道路视频监控信息系统联网技术标准》（DG/TJ08-2319-2020）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《城镇排水管渠与泵站运行、维护及安全技术规程》（CJJ 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《给水排水管道工程施工及验收规范》（GB 50268—2008）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《钢结构工程施工质量验收标准》（GB 50205—2020）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《混凝土结构工程施工质量验收规范》（GB 50204—2015）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《电气装置安装工程电缆线路施工及验收规范》（GB50168-2018）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《电气装置安装工程接地装置施工及验收规范》（GB 50169-2016）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《电气装置安装工程旋转电机施工及验收规范》（GB50170-2018）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《电气装置安装工程高压电器施工及验收规范》（GB50147-2010）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《电力装置的继电保护和自动装置设计规范》（GB/T50062-2008）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《电力装置电测量仪表装置设计规范》（GB50063-2017）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《数据中心设计规范》（GB50174-2017）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《数据中心基础设施施工及验收规范》（GB50462-2015）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《供配电系统设计规范》（GB50052-2009）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《低压配电设计规范》（GB 50054-2011）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《工业建筑供暖通风与空气调节设计规范》（GB50019-2015）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《通风与空调工程施工质量验收规范》（GB50243-2016）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《城市道路照明设计标准》（CJJ 45-2015）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《建筑照明设计标准》（GB/T 50034-2024）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《突发气象灾害预警信号发布试行办法》（中国气象局气发〔2004〕206号）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《气象灾害预警信号发布与传播办法》（中国气象局令 第16号）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《上海市处置桥梁隧道运行事故应急预案》（2024版）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《城市道路交通工程项目规范》（GB55011-2021）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《道路照明设施运行养护标准》（DG/TJ08-2215-2016）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《建筑与市政工程防水通用规范》（GB55030-2022）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《大型泵站设备设施运行标准》（DG/TJ08-2045-2022）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《城镇排水泵站设计标准》(DGJ 08-22-2018)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《道路照明设施监控系统技术标准》（DG/TJ08-2296-2019）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《系统与软件工程 软件生存周期过程》（GB/T 8566-2022）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《信息处理系统计算机系统配置图符号及约定》（GB/T 14085-1993）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《限高限宽设施和检查卡点技术指南》（交办公路函〔2021〕394号）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《上海市防汛防台应急响应规范》（沪道运安委办〔2022〕41号）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《上海市地下空间突发事件应急预案》（沪地空联〔2023〕1号）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《关于规范上海市道路路网视频监控图像字符叠加格式的通知》（沪交指技〔2017〕20号）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《上海市路政行业专用通信网IP地址管理办法》（原上海市路政局2015年3月）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《城市道路工程设计规范(2016年版)》（CJJ37-2012）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《上海市高速公路和快速路养护维修安全作业指南》（沪道运安（2021）315号）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《上海市道路路网检测专用通信网IP地址调整技术要求》（沪路政划〔2019〕767号）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《视频显示系统工程技术规范》（GB 50464-2008）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《上海市交通委员会处置交通行业突发事件综合应急预案》（</w:t>
            </w:r>
            <w:r>
              <w:rPr>
                <w:rFonts w:ascii="宋体" w:hAnsi="宋体"/>
                <w:snapToGrid w:val="0"/>
                <w:kern w:val="0"/>
                <w:sz w:val="20"/>
                <w:szCs w:val="20"/>
                <w:highlight w:val="none"/>
              </w:rPr>
              <w:t>2024年5月）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《上海市交通委员会防汛防台专项应急预案》（</w:t>
            </w:r>
            <w:r>
              <w:rPr>
                <w:rFonts w:ascii="宋体" w:hAnsi="宋体"/>
                <w:snapToGrid w:val="0"/>
                <w:kern w:val="0"/>
                <w:sz w:val="20"/>
                <w:szCs w:val="20"/>
                <w:highlight w:val="none"/>
              </w:rPr>
              <w:t>2024年5月）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《上海市交通委员会处置气象灾害专项应急预案》（</w:t>
            </w:r>
            <w:r>
              <w:rPr>
                <w:rFonts w:ascii="宋体" w:hAnsi="宋体"/>
                <w:snapToGrid w:val="0"/>
                <w:kern w:val="0"/>
                <w:sz w:val="20"/>
                <w:szCs w:val="20"/>
                <w:highlight w:val="none"/>
              </w:rPr>
              <w:t>2024年5月）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《上海市交通委员会处置地震灾害专项应急预案》（</w:t>
            </w:r>
            <w:r>
              <w:rPr>
                <w:rFonts w:ascii="宋体" w:hAnsi="宋体"/>
                <w:snapToGrid w:val="0"/>
                <w:kern w:val="0"/>
                <w:sz w:val="20"/>
                <w:szCs w:val="20"/>
                <w:highlight w:val="none"/>
              </w:rPr>
              <w:t>2024年5月）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《上海市交通委员会处置突发公共卫生事件专项应急预案》（</w:t>
            </w:r>
            <w:r>
              <w:rPr>
                <w:rFonts w:ascii="宋体" w:hAnsi="宋体"/>
                <w:snapToGrid w:val="0"/>
                <w:kern w:val="0"/>
                <w:sz w:val="20"/>
                <w:szCs w:val="20"/>
                <w:highlight w:val="none"/>
              </w:rPr>
              <w:t>2024年5月）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《上海市交通委员会处置网络安全事件专项应急预案》（</w:t>
            </w:r>
            <w:r>
              <w:rPr>
                <w:rFonts w:ascii="宋体" w:hAnsi="宋体"/>
                <w:snapToGrid w:val="0"/>
                <w:kern w:val="0"/>
                <w:sz w:val="20"/>
                <w:szCs w:val="20"/>
                <w:highlight w:val="none"/>
              </w:rPr>
              <w:t>2024年5月）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《上海市交通委员会处置断电、断网事件专项应急预案》（沪交安〔</w:t>
            </w:r>
            <w:r>
              <w:rPr>
                <w:rFonts w:ascii="宋体" w:hAnsi="宋体"/>
                <w:snapToGrid w:val="0"/>
                <w:kern w:val="0"/>
                <w:sz w:val="20"/>
                <w:szCs w:val="20"/>
                <w:highlight w:val="none"/>
              </w:rPr>
              <w:t>2021〕1001号）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《上海市交通委员会处置本市交通建设工程突发事故专项应急预案》（</w:t>
            </w:r>
            <w:r>
              <w:rPr>
                <w:rFonts w:ascii="宋体" w:hAnsi="宋体"/>
                <w:snapToGrid w:val="0"/>
                <w:kern w:val="0"/>
                <w:sz w:val="20"/>
                <w:szCs w:val="20"/>
                <w:highlight w:val="none"/>
              </w:rPr>
              <w:t>2024年5月）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《“进博会”展馆周边交通保障专项应急预案》（</w:t>
            </w:r>
            <w:r>
              <w:rPr>
                <w:rFonts w:ascii="宋体" w:hAnsi="宋体"/>
                <w:snapToGrid w:val="0"/>
                <w:kern w:val="0"/>
                <w:sz w:val="20"/>
                <w:szCs w:val="20"/>
                <w:highlight w:val="none"/>
              </w:rPr>
              <w:t>2024年5月）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highlight w:val="none"/>
              </w:rPr>
            </w:pPr>
          </w:p>
        </w:tc>
        <w:tc>
          <w:tcPr>
            <w:tcW w:w="8216" w:type="dxa"/>
            <w:vAlign w:val="center"/>
          </w:tcPr>
          <w:p>
            <w:pPr>
              <w:topLinePunct/>
              <w:adjustRightInd w:val="0"/>
              <w:snapToGrid w:val="0"/>
              <w:rPr>
                <w:rFonts w:hint="eastAsia" w:ascii="宋体" w:hAnsi="宋体"/>
                <w:snapToGrid w:val="0"/>
                <w:kern w:val="0"/>
                <w:sz w:val="20"/>
                <w:szCs w:val="20"/>
                <w:highlight w:val="none"/>
              </w:rPr>
            </w:pPr>
            <w:r>
              <w:rPr>
                <w:rFonts w:hint="eastAsia" w:ascii="宋体" w:hAnsi="宋体"/>
                <w:snapToGrid w:val="0"/>
                <w:kern w:val="0"/>
                <w:sz w:val="20"/>
                <w:szCs w:val="20"/>
                <w:highlight w:val="none"/>
              </w:rPr>
              <w:t>其他国家或上海市相关的管养标准、养护技术要求、规范等</w:t>
            </w:r>
          </w:p>
        </w:tc>
      </w:tr>
    </w:tbl>
    <w:p>
      <w:pPr>
        <w:topLinePunct/>
        <w:adjustRightInd w:val="0"/>
        <w:snapToGrid w:val="0"/>
        <w:spacing w:before="240"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以上技术规范、标准供中标人参考，但并不局限于此，如合同执行中有新规范、标准颁布或更新，则按新规范、标准执行，但国家及地方相关的强制性条文必须无条件执行。</w:t>
      </w:r>
    </w:p>
    <w:p>
      <w:pPr>
        <w:topLinePunct/>
        <w:adjustRightInd w:val="0"/>
        <w:snapToGrid w:val="0"/>
        <w:spacing w:line="360" w:lineRule="auto"/>
        <w:ind w:firstLine="420" w:firstLineChars="200"/>
        <w:rPr>
          <w:rFonts w:hint="eastAsia" w:ascii="宋体" w:hAnsi="宋体" w:cs="宋体"/>
          <w:snapToGrid w:val="0"/>
          <w:kern w:val="0"/>
          <w:szCs w:val="21"/>
          <w:highlight w:val="none"/>
        </w:rPr>
      </w:pPr>
    </w:p>
    <w:p>
      <w:pPr>
        <w:topLinePunct/>
        <w:adjustRightInd w:val="0"/>
        <w:snapToGrid w:val="0"/>
        <w:spacing w:line="360" w:lineRule="auto"/>
        <w:outlineLvl w:val="0"/>
        <w:rPr>
          <w:rFonts w:hint="eastAsia" w:ascii="宋体" w:hAnsi="宋体" w:cs="宋体"/>
          <w:b/>
          <w:snapToGrid w:val="0"/>
          <w:kern w:val="0"/>
          <w:szCs w:val="21"/>
          <w:highlight w:val="none"/>
        </w:rPr>
      </w:pPr>
      <w:r>
        <w:rPr>
          <w:rFonts w:hint="eastAsia" w:ascii="宋体" w:hAnsi="宋体" w:cs="宋体"/>
          <w:b/>
          <w:snapToGrid w:val="0"/>
          <w:kern w:val="0"/>
          <w:szCs w:val="21"/>
          <w:highlight w:val="none"/>
        </w:rPr>
        <w:t>三、项目管理基本要求</w:t>
      </w:r>
    </w:p>
    <w:p>
      <w:pPr>
        <w:tabs>
          <w:tab w:val="left" w:pos="7200"/>
        </w:tabs>
        <w:topLinePunct/>
        <w:adjustRightInd w:val="0"/>
        <w:snapToGrid w:val="0"/>
        <w:spacing w:line="360" w:lineRule="auto"/>
        <w:ind w:firstLine="420" w:firstLineChars="200"/>
        <w:rPr>
          <w:rFonts w:hint="eastAsia" w:ascii="宋体" w:hAnsi="宋体" w:cs="宋体"/>
          <w:bCs/>
          <w:snapToGrid w:val="0"/>
          <w:kern w:val="0"/>
          <w:szCs w:val="21"/>
          <w:highlight w:val="none"/>
        </w:rPr>
      </w:pPr>
      <w:r>
        <w:rPr>
          <w:rFonts w:hint="eastAsia" w:ascii="宋体" w:hAnsi="宋体" w:cs="宋体"/>
          <w:bCs/>
          <w:snapToGrid w:val="0"/>
          <w:kern w:val="0"/>
          <w:szCs w:val="21"/>
          <w:highlight w:val="none"/>
        </w:rPr>
        <w:t>1、中标人应严格按投标文件中填写的《对外分包服务情况表》来开展分包管理工作，原则上不得随意进行调整或变更。</w:t>
      </w:r>
    </w:p>
    <w:p>
      <w:pPr>
        <w:tabs>
          <w:tab w:val="left" w:pos="7200"/>
        </w:tabs>
        <w:topLinePunct/>
        <w:adjustRightInd w:val="0"/>
        <w:snapToGrid w:val="0"/>
        <w:spacing w:line="360" w:lineRule="auto"/>
        <w:ind w:firstLine="420" w:firstLineChars="200"/>
        <w:rPr>
          <w:rFonts w:hint="eastAsia" w:ascii="宋体" w:hAnsi="宋体" w:cs="宋体"/>
          <w:bCs/>
          <w:snapToGrid w:val="0"/>
          <w:kern w:val="0"/>
          <w:szCs w:val="21"/>
          <w:highlight w:val="none"/>
        </w:rPr>
      </w:pPr>
      <w:r>
        <w:rPr>
          <w:rFonts w:ascii="宋体" w:hAnsi="宋体" w:cs="宋体"/>
          <w:bCs/>
          <w:snapToGrid w:val="0"/>
          <w:kern w:val="0"/>
          <w:szCs w:val="21"/>
          <w:highlight w:val="none"/>
        </w:rPr>
        <w:t>2</w:t>
      </w:r>
      <w:r>
        <w:rPr>
          <w:rFonts w:hint="eastAsia" w:ascii="宋体" w:hAnsi="宋体" w:cs="宋体"/>
          <w:bCs/>
          <w:snapToGrid w:val="0"/>
          <w:kern w:val="0"/>
          <w:szCs w:val="21"/>
          <w:highlight w:val="none"/>
        </w:rPr>
        <w:t>、中标人不得对《招标需求》中规定的“允许分包的内容”以外的任何工作进行分包。一旦发生上述情形，一律按违约进行处理。</w:t>
      </w:r>
    </w:p>
    <w:p>
      <w:pPr>
        <w:tabs>
          <w:tab w:val="left" w:pos="7200"/>
        </w:tabs>
        <w:topLinePunct/>
        <w:adjustRightInd w:val="0"/>
        <w:snapToGrid w:val="0"/>
        <w:spacing w:line="360" w:lineRule="auto"/>
        <w:ind w:firstLine="420" w:firstLineChars="200"/>
        <w:rPr>
          <w:rFonts w:hint="eastAsia" w:ascii="宋体" w:hAnsi="宋体" w:cs="宋体"/>
          <w:bCs/>
          <w:snapToGrid w:val="0"/>
          <w:kern w:val="0"/>
          <w:szCs w:val="21"/>
          <w:highlight w:val="none"/>
        </w:rPr>
      </w:pPr>
      <w:r>
        <w:rPr>
          <w:rFonts w:hint="eastAsia" w:ascii="宋体" w:hAnsi="宋体" w:cs="宋体"/>
          <w:bCs/>
          <w:snapToGrid w:val="0"/>
          <w:kern w:val="0"/>
          <w:szCs w:val="21"/>
          <w:highlight w:val="none"/>
        </w:rPr>
        <w:t>3、中标人应将所有服务于本项目的分包合同到采购人处登记备案。如实际存在分包行为但不登记备案或使用虚假合同进行登记备案的，采购人将按违约对中标人进行处理。</w:t>
      </w:r>
    </w:p>
    <w:p>
      <w:pPr>
        <w:tabs>
          <w:tab w:val="left" w:pos="7200"/>
        </w:tabs>
        <w:topLinePunct/>
        <w:adjustRightInd w:val="0"/>
        <w:snapToGrid w:val="0"/>
        <w:spacing w:line="360" w:lineRule="auto"/>
        <w:ind w:firstLine="420" w:firstLineChars="200"/>
        <w:rPr>
          <w:rFonts w:hint="eastAsia" w:ascii="宋体" w:hAnsi="宋体" w:cs="宋体"/>
          <w:bCs/>
          <w:snapToGrid w:val="0"/>
          <w:kern w:val="0"/>
          <w:szCs w:val="21"/>
          <w:highlight w:val="none"/>
        </w:rPr>
      </w:pPr>
      <w:r>
        <w:rPr>
          <w:rFonts w:hint="eastAsia" w:ascii="宋体" w:hAnsi="宋体" w:cs="宋体"/>
          <w:bCs/>
          <w:snapToGrid w:val="0"/>
          <w:kern w:val="0"/>
          <w:szCs w:val="21"/>
          <w:highlight w:val="none"/>
        </w:rPr>
        <w:t>4、中标人应积极支持、配合本项目范围内涉及的附属设施日常养护内容，包括市管高架绿化、景观灯光等设施日常养护以及沉降观测等相关工作，按照采购人要求统筹落实二次围封安全文明施工管理。</w:t>
      </w:r>
    </w:p>
    <w:p>
      <w:pPr>
        <w:topLinePunct/>
        <w:adjustRightInd w:val="0"/>
        <w:snapToGrid w:val="0"/>
        <w:spacing w:line="360" w:lineRule="auto"/>
        <w:ind w:firstLine="420" w:firstLineChars="200"/>
        <w:rPr>
          <w:rFonts w:hint="eastAsia" w:ascii="宋体" w:hAnsi="宋体" w:cs="宋体"/>
          <w:snapToGrid w:val="0"/>
          <w:kern w:val="0"/>
          <w:szCs w:val="21"/>
          <w:highlight w:val="none"/>
        </w:rPr>
      </w:pPr>
    </w:p>
    <w:p>
      <w:pPr>
        <w:topLinePunct/>
        <w:adjustRightInd w:val="0"/>
        <w:snapToGrid w:val="0"/>
        <w:spacing w:line="360" w:lineRule="auto"/>
        <w:outlineLvl w:val="0"/>
        <w:rPr>
          <w:rFonts w:hint="eastAsia" w:ascii="宋体" w:hAnsi="宋体" w:cs="宋体"/>
          <w:b/>
          <w:snapToGrid w:val="0"/>
          <w:kern w:val="0"/>
          <w:szCs w:val="21"/>
          <w:highlight w:val="none"/>
        </w:rPr>
      </w:pPr>
      <w:r>
        <w:rPr>
          <w:rFonts w:hint="eastAsia" w:ascii="宋体" w:hAnsi="宋体" w:cs="宋体"/>
          <w:b/>
          <w:snapToGrid w:val="0"/>
          <w:kern w:val="0"/>
          <w:szCs w:val="21"/>
          <w:highlight w:val="none"/>
        </w:rPr>
        <w:t>四、主要人员、设备和养护基地配置基本要求</w:t>
      </w:r>
    </w:p>
    <w:p>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highlight w:val="none"/>
        </w:rPr>
      </w:pPr>
      <w:bookmarkStart w:id="0" w:name="_Hlk90815076"/>
      <w:r>
        <w:rPr>
          <w:rFonts w:hint="eastAsia" w:ascii="宋体" w:hAnsi="宋体" w:cs="宋体"/>
          <w:b/>
          <w:snapToGrid w:val="0"/>
          <w:kern w:val="0"/>
          <w:szCs w:val="21"/>
          <w:highlight w:val="none"/>
        </w:rPr>
        <w:t>（一）主要管理、技术人员配置基本要求</w:t>
      </w:r>
    </w:p>
    <w:bookmarkEnd w:id="0"/>
    <w:p>
      <w:pPr>
        <w:tabs>
          <w:tab w:val="left" w:pos="7200"/>
        </w:tabs>
        <w:topLinePunct/>
        <w:adjustRightInd w:val="0"/>
        <w:snapToGrid w:val="0"/>
        <w:spacing w:line="360" w:lineRule="auto"/>
        <w:ind w:firstLine="420" w:firstLineChars="200"/>
        <w:rPr>
          <w:rFonts w:hint="eastAsia" w:ascii="宋体" w:hAnsi="宋体" w:cs="宋体"/>
          <w:bCs/>
          <w:snapToGrid w:val="0"/>
          <w:kern w:val="0"/>
          <w:szCs w:val="21"/>
          <w:highlight w:val="none"/>
        </w:rPr>
      </w:pPr>
      <w:bookmarkStart w:id="1" w:name="_Hlk90815067"/>
      <w:r>
        <w:rPr>
          <w:rFonts w:hint="eastAsia" w:ascii="宋体" w:hAnsi="宋体" w:cs="宋体"/>
          <w:bCs/>
          <w:snapToGrid w:val="0"/>
          <w:kern w:val="0"/>
          <w:szCs w:val="21"/>
          <w:highlight w:val="none"/>
        </w:rPr>
        <w:t>1、以下表格所列为最低要求，投标人应根据本项目实际需求合理配置管理、技术和一线作业人员。</w:t>
      </w:r>
      <w:bookmarkEnd w:id="1"/>
    </w:p>
    <w:p>
      <w:pPr>
        <w:topLinePunct/>
        <w:adjustRightInd w:val="0"/>
        <w:snapToGrid w:val="0"/>
        <w:spacing w:line="360" w:lineRule="auto"/>
        <w:ind w:firstLine="420" w:firstLineChars="200"/>
        <w:jc w:val="center"/>
        <w:rPr>
          <w:rFonts w:hint="eastAsia" w:ascii="宋体" w:hAnsi="宋体" w:cs="宋体"/>
          <w:snapToGrid w:val="0"/>
          <w:kern w:val="0"/>
          <w:szCs w:val="21"/>
          <w:highlight w:val="none"/>
        </w:rPr>
      </w:pPr>
      <w:r>
        <w:rPr>
          <w:rFonts w:hint="eastAsia" w:ascii="宋体" w:hAnsi="宋体" w:cs="宋体"/>
          <w:snapToGrid w:val="0"/>
          <w:kern w:val="0"/>
          <w:szCs w:val="21"/>
          <w:highlight w:val="none"/>
        </w:rPr>
        <w:t>“上海市中环路浦西段养护维修及运行管理项目”要求：</w:t>
      </w:r>
    </w:p>
    <w:tbl>
      <w:tblPr>
        <w:tblStyle w:val="88"/>
        <w:tblW w:w="10201" w:type="dxa"/>
        <w:jc w:val="center"/>
        <w:tblLayout w:type="fixed"/>
        <w:tblCellMar>
          <w:top w:w="0" w:type="dxa"/>
          <w:left w:w="85" w:type="dxa"/>
          <w:bottom w:w="0" w:type="dxa"/>
          <w:right w:w="85" w:type="dxa"/>
        </w:tblCellMar>
      </w:tblPr>
      <w:tblGrid>
        <w:gridCol w:w="704"/>
        <w:gridCol w:w="2410"/>
        <w:gridCol w:w="7087"/>
      </w:tblGrid>
      <w:tr>
        <w:tblPrEx>
          <w:tblCellMar>
            <w:top w:w="0" w:type="dxa"/>
            <w:left w:w="85" w:type="dxa"/>
            <w:bottom w:w="0" w:type="dxa"/>
            <w:right w:w="85" w:type="dxa"/>
          </w:tblCellMar>
        </w:tblPrEx>
        <w:trPr>
          <w:trHeight w:val="454" w:hRule="atLeast"/>
          <w:tblHeader/>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highlight w:val="none"/>
              </w:rPr>
            </w:pPr>
            <w:r>
              <w:rPr>
                <w:rFonts w:ascii="宋体" w:hAnsi="宋体" w:cs="Arial"/>
                <w:kern w:val="0"/>
                <w:sz w:val="20"/>
                <w:szCs w:val="20"/>
                <w:highlight w:val="none"/>
              </w:rPr>
              <w:t>序号</w:t>
            </w:r>
          </w:p>
        </w:tc>
        <w:tc>
          <w:tcPr>
            <w:tcW w:w="2410"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highlight w:val="none"/>
              </w:rPr>
            </w:pPr>
            <w:r>
              <w:rPr>
                <w:rFonts w:ascii="宋体" w:hAnsi="宋体" w:cs="Arial"/>
                <w:kern w:val="0"/>
                <w:sz w:val="20"/>
                <w:szCs w:val="20"/>
                <w:highlight w:val="none"/>
              </w:rPr>
              <w:t>岗位名称</w:t>
            </w:r>
          </w:p>
        </w:tc>
        <w:tc>
          <w:tcPr>
            <w:tcW w:w="7087"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宋体"/>
                <w:kern w:val="0"/>
                <w:sz w:val="20"/>
                <w:szCs w:val="20"/>
                <w:highlight w:val="none"/>
              </w:rPr>
            </w:pPr>
            <w:r>
              <w:rPr>
                <w:rFonts w:hint="eastAsia" w:ascii="宋体" w:hAnsi="宋体" w:cs="宋体"/>
                <w:kern w:val="0"/>
                <w:sz w:val="20"/>
                <w:szCs w:val="20"/>
                <w:highlight w:val="none"/>
              </w:rPr>
              <w:t>要求</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highlight w:val="none"/>
              </w:rPr>
            </w:pPr>
            <w:r>
              <w:rPr>
                <w:rFonts w:ascii="宋体" w:hAnsi="宋体" w:cs="Arial"/>
                <w:kern w:val="0"/>
                <w:sz w:val="20"/>
                <w:szCs w:val="20"/>
                <w:highlight w:val="none"/>
              </w:rPr>
              <w:t>1</w:t>
            </w:r>
          </w:p>
        </w:tc>
        <w:tc>
          <w:tcPr>
            <w:tcW w:w="24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项目经理（1人）</w:t>
            </w:r>
          </w:p>
        </w:tc>
        <w:tc>
          <w:tcPr>
            <w:tcW w:w="7087" w:type="dxa"/>
            <w:tcBorders>
              <w:top w:val="nil"/>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全面负责本项目的养护维修及运行管理工作，需具有：1、城市快速路养护维修和运行管理经验；2、市政类、土建类或机电类专业本科及以上学历；</w:t>
            </w:r>
            <w:r>
              <w:rPr>
                <w:rFonts w:hint="eastAsia" w:ascii="宋体" w:hAnsi="宋体" w:cs="Arial"/>
                <w:b/>
                <w:bCs/>
                <w:kern w:val="0"/>
                <w:sz w:val="20"/>
                <w:szCs w:val="20"/>
                <w:highlight w:val="none"/>
              </w:rPr>
              <w:t>★3、一级建造师执业资格</w:t>
            </w:r>
            <w:r>
              <w:rPr>
                <w:rFonts w:hint="eastAsia" w:ascii="宋体" w:hAnsi="宋体" w:cs="Arial"/>
                <w:b/>
                <w:bCs/>
                <w:kern w:val="0"/>
                <w:sz w:val="20"/>
                <w:szCs w:val="20"/>
                <w:highlight w:val="none"/>
                <w:lang w:eastAsia="zh-CN"/>
              </w:rPr>
              <w:t>（</w:t>
            </w:r>
            <w:r>
              <w:rPr>
                <w:rFonts w:hint="eastAsia" w:ascii="宋体" w:hAnsi="宋体" w:cs="Arial"/>
                <w:b/>
                <w:bCs/>
                <w:kern w:val="0"/>
                <w:sz w:val="20"/>
                <w:szCs w:val="20"/>
                <w:highlight w:val="none"/>
              </w:rPr>
              <w:t>市政公用工程或机电工程</w:t>
            </w:r>
            <w:r>
              <w:rPr>
                <w:rFonts w:hint="eastAsia" w:ascii="宋体" w:hAnsi="宋体" w:cs="Arial"/>
                <w:b/>
                <w:bCs/>
                <w:kern w:val="0"/>
                <w:sz w:val="20"/>
                <w:szCs w:val="20"/>
                <w:highlight w:val="none"/>
                <w:lang w:eastAsia="zh-CN"/>
              </w:rPr>
              <w:t>）</w:t>
            </w:r>
            <w:r>
              <w:rPr>
                <w:rFonts w:hint="eastAsia" w:ascii="宋体" w:hAnsi="宋体" w:cs="Arial"/>
                <w:b/>
                <w:bCs/>
                <w:kern w:val="0"/>
                <w:sz w:val="20"/>
                <w:szCs w:val="20"/>
                <w:highlight w:val="none"/>
              </w:rPr>
              <w:t>或高级工程师及以上职称（专业为市政类、机电类或土建类）。</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kern w:val="0"/>
                <w:sz w:val="20"/>
                <w:szCs w:val="20"/>
                <w:highlight w:val="none"/>
              </w:rPr>
            </w:pPr>
            <w:r>
              <w:rPr>
                <w:rFonts w:ascii="宋体" w:hAnsi="宋体"/>
                <w:kern w:val="0"/>
                <w:sz w:val="20"/>
                <w:szCs w:val="20"/>
                <w:highlight w:val="none"/>
              </w:rPr>
              <w:t>2</w:t>
            </w:r>
          </w:p>
        </w:tc>
        <w:tc>
          <w:tcPr>
            <w:tcW w:w="24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技术负责人（1人）</w:t>
            </w:r>
          </w:p>
        </w:tc>
        <w:tc>
          <w:tcPr>
            <w:tcW w:w="7087" w:type="dxa"/>
            <w:tcBorders>
              <w:top w:val="nil"/>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负责养护运维专业技术方案的制定和专业技术问题的处理解决等：1、市政类、土建类或机电类专业本科及以上学历；2、高级工程师（专业为市政类、机电类或土建类）及以上职称。</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highlight w:val="none"/>
              </w:rPr>
            </w:pPr>
            <w:r>
              <w:rPr>
                <w:rFonts w:hint="eastAsia" w:ascii="宋体" w:hAnsi="宋体" w:cs="Arial"/>
                <w:kern w:val="0"/>
                <w:sz w:val="20"/>
                <w:szCs w:val="20"/>
                <w:highlight w:val="none"/>
              </w:rPr>
              <w:t>3</w:t>
            </w:r>
          </w:p>
        </w:tc>
        <w:tc>
          <w:tcPr>
            <w:tcW w:w="24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土建专业负责人（1人）</w:t>
            </w:r>
          </w:p>
        </w:tc>
        <w:tc>
          <w:tcPr>
            <w:tcW w:w="7087" w:type="dxa"/>
            <w:tcBorders>
              <w:top w:val="nil"/>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负责本项目设施土建结构的维护维修管理工作，需</w:t>
            </w:r>
            <w:r>
              <w:rPr>
                <w:rFonts w:hint="eastAsia" w:ascii="宋体" w:hAnsi="宋体" w:cs="Arial"/>
                <w:kern w:val="0"/>
                <w:sz w:val="20"/>
                <w:szCs w:val="20"/>
                <w:highlight w:val="none"/>
              </w:rPr>
              <w:t>具有：1、</w:t>
            </w:r>
            <w:r>
              <w:rPr>
                <w:rFonts w:hint="eastAsia" w:ascii="宋体" w:hAnsi="宋体" w:cs="Arial"/>
                <w:kern w:val="0"/>
                <w:sz w:val="20"/>
                <w:szCs w:val="20"/>
                <w:highlight w:val="none"/>
                <w:lang w:val="en-US" w:eastAsia="zh-CN"/>
              </w:rPr>
              <w:t>市政类或</w:t>
            </w:r>
            <w:r>
              <w:rPr>
                <w:rFonts w:hint="eastAsia" w:ascii="宋体" w:hAnsi="宋体" w:cs="Arial"/>
                <w:kern w:val="0"/>
                <w:sz w:val="20"/>
                <w:szCs w:val="20"/>
                <w:highlight w:val="none"/>
              </w:rPr>
              <w:t>土建类专业专科及以上学历；2、</w:t>
            </w:r>
            <w:r>
              <w:rPr>
                <w:rFonts w:hint="eastAsia" w:ascii="宋体" w:hAnsi="宋体" w:cs="Arial"/>
                <w:kern w:val="0"/>
                <w:sz w:val="20"/>
                <w:szCs w:val="20"/>
                <w:highlight w:val="none"/>
                <w:lang w:val="en-US" w:eastAsia="zh-CN"/>
              </w:rPr>
              <w:t>市政类或</w:t>
            </w:r>
            <w:r>
              <w:rPr>
                <w:rFonts w:hint="eastAsia" w:ascii="宋体" w:hAnsi="宋体" w:cs="Arial"/>
                <w:kern w:val="0"/>
                <w:sz w:val="20"/>
                <w:szCs w:val="20"/>
                <w:highlight w:val="none"/>
              </w:rPr>
              <w:t>土建</w:t>
            </w:r>
            <w:r>
              <w:rPr>
                <w:rFonts w:hint="eastAsia" w:ascii="宋体" w:hAnsi="宋体" w:cs="Arial"/>
                <w:kern w:val="0"/>
                <w:sz w:val="20"/>
                <w:szCs w:val="20"/>
                <w:highlight w:val="none"/>
              </w:rPr>
              <w:t>类专业工程师及以上职称。</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highlight w:val="none"/>
              </w:rPr>
            </w:pPr>
            <w:r>
              <w:rPr>
                <w:rFonts w:hint="eastAsia" w:ascii="宋体" w:hAnsi="宋体" w:cs="Arial"/>
                <w:kern w:val="0"/>
                <w:sz w:val="20"/>
                <w:szCs w:val="20"/>
                <w:highlight w:val="none"/>
              </w:rPr>
              <w:t>4</w:t>
            </w:r>
          </w:p>
        </w:tc>
        <w:tc>
          <w:tcPr>
            <w:tcW w:w="24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桥梁专业工程师（1人）</w:t>
            </w:r>
          </w:p>
        </w:tc>
        <w:tc>
          <w:tcPr>
            <w:tcW w:w="7087" w:type="dxa"/>
            <w:tcBorders>
              <w:top w:val="nil"/>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负责本项目桥梁结构巡视检查和维修处置方案的制定工作，需具有：1、桥梁类专业专科及以上学历；2、工程师（专业为市政类或土建类）及以上职称。</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5</w:t>
            </w:r>
          </w:p>
        </w:tc>
        <w:tc>
          <w:tcPr>
            <w:tcW w:w="24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土建专管（至少2人）</w:t>
            </w:r>
          </w:p>
        </w:tc>
        <w:tc>
          <w:tcPr>
            <w:tcW w:w="7087" w:type="dxa"/>
            <w:tcBorders>
              <w:top w:val="nil"/>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负责本项目设施土建结构的日常养护维修和保洁工作，需具有：土建类专业学历背景。</w:t>
            </w:r>
          </w:p>
        </w:tc>
      </w:tr>
      <w:tr>
        <w:tblPrEx>
          <w:tblCellMar>
            <w:top w:w="0" w:type="dxa"/>
            <w:left w:w="85" w:type="dxa"/>
            <w:bottom w:w="0" w:type="dxa"/>
            <w:right w:w="85"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highlight w:val="none"/>
              </w:rPr>
            </w:pPr>
            <w:r>
              <w:rPr>
                <w:rFonts w:hint="eastAsia" w:ascii="宋体" w:hAnsi="宋体" w:cs="Arial"/>
                <w:kern w:val="0"/>
                <w:sz w:val="20"/>
                <w:szCs w:val="20"/>
                <w:highlight w:val="none"/>
              </w:rPr>
              <w:t>6</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机电专业负责人（1人）</w:t>
            </w:r>
          </w:p>
        </w:tc>
        <w:tc>
          <w:tcPr>
            <w:tcW w:w="708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负责本项目机电设施设备的养护维修运行管理工作，需具有：1、机电类专业专科及以上学历；2、机电类专业工程师及以上职称。</w:t>
            </w:r>
          </w:p>
        </w:tc>
      </w:tr>
      <w:tr>
        <w:tblPrEx>
          <w:tblCellMar>
            <w:top w:w="0" w:type="dxa"/>
            <w:left w:w="85" w:type="dxa"/>
            <w:bottom w:w="0" w:type="dxa"/>
            <w:right w:w="85"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highlight w:val="none"/>
              </w:rPr>
            </w:pPr>
            <w:r>
              <w:rPr>
                <w:rFonts w:hint="eastAsia" w:ascii="宋体" w:hAnsi="宋体" w:cs="Arial"/>
                <w:kern w:val="0"/>
                <w:sz w:val="20"/>
                <w:szCs w:val="20"/>
                <w:highlight w:val="none"/>
              </w:rPr>
              <w:t>7</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机电专管（至少1人）</w:t>
            </w:r>
          </w:p>
        </w:tc>
        <w:tc>
          <w:tcPr>
            <w:tcW w:w="708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负责本项目机电设施设备的日常养护管理工作，需具有：机电类专业学历背景。</w:t>
            </w:r>
          </w:p>
        </w:tc>
      </w:tr>
      <w:tr>
        <w:tblPrEx>
          <w:tblCellMar>
            <w:top w:w="0" w:type="dxa"/>
            <w:left w:w="85" w:type="dxa"/>
            <w:bottom w:w="0" w:type="dxa"/>
            <w:right w:w="85"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highlight w:val="none"/>
              </w:rPr>
            </w:pPr>
            <w:r>
              <w:rPr>
                <w:rFonts w:hint="eastAsia" w:ascii="宋体" w:hAnsi="宋体" w:cs="Arial"/>
                <w:kern w:val="0"/>
                <w:sz w:val="20"/>
                <w:szCs w:val="20"/>
                <w:highlight w:val="none"/>
              </w:rPr>
              <w:t>8</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专职安全员（2人）</w:t>
            </w:r>
          </w:p>
        </w:tc>
        <w:tc>
          <w:tcPr>
            <w:tcW w:w="708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负责本项目的安全管理工作，需具有：交通或建设主管部门颁发的交安C证或建安C证。</w:t>
            </w:r>
          </w:p>
        </w:tc>
      </w:tr>
      <w:tr>
        <w:tblPrEx>
          <w:tblCellMar>
            <w:top w:w="0" w:type="dxa"/>
            <w:left w:w="85" w:type="dxa"/>
            <w:bottom w:w="0" w:type="dxa"/>
            <w:right w:w="85"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highlight w:val="none"/>
              </w:rPr>
            </w:pPr>
            <w:r>
              <w:rPr>
                <w:rFonts w:hint="eastAsia" w:ascii="宋体" w:hAnsi="宋体" w:cs="Arial"/>
                <w:kern w:val="0"/>
                <w:sz w:val="20"/>
                <w:szCs w:val="20"/>
                <w:highlight w:val="none"/>
              </w:rPr>
              <w:t>9</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总值班长（1人）</w:t>
            </w:r>
          </w:p>
        </w:tc>
        <w:tc>
          <w:tcPr>
            <w:tcW w:w="708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负责本项目总体运行管理和应急突发事件的指挥处置等工作，需具有：1、土建类、机电类或管理类专业专科及以上学历；2、高速公路或高架快速路养护运行管理经验。</w:t>
            </w:r>
          </w:p>
        </w:tc>
      </w:tr>
      <w:tr>
        <w:tblPrEx>
          <w:tblCellMar>
            <w:top w:w="0" w:type="dxa"/>
            <w:left w:w="85" w:type="dxa"/>
            <w:bottom w:w="0" w:type="dxa"/>
            <w:right w:w="85"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highlight w:val="none"/>
              </w:rPr>
            </w:pPr>
            <w:r>
              <w:rPr>
                <w:rFonts w:hint="eastAsia" w:ascii="宋体" w:hAnsi="宋体" w:cs="Arial"/>
                <w:kern w:val="0"/>
                <w:sz w:val="20"/>
                <w:szCs w:val="20"/>
                <w:highlight w:val="none"/>
              </w:rPr>
              <w:t>10</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值班长（至少4人）</w:t>
            </w:r>
          </w:p>
        </w:tc>
        <w:tc>
          <w:tcPr>
            <w:tcW w:w="708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负责本项目监控中心24小时日常运行管理，需具有：承诺从事过高速公路或高架快速路养护运维工作。</w:t>
            </w:r>
          </w:p>
        </w:tc>
      </w:tr>
      <w:tr>
        <w:tblPrEx>
          <w:tblCellMar>
            <w:top w:w="0" w:type="dxa"/>
            <w:left w:w="85" w:type="dxa"/>
            <w:bottom w:w="0" w:type="dxa"/>
            <w:right w:w="85"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highlight w:val="none"/>
              </w:rPr>
            </w:pPr>
            <w:r>
              <w:rPr>
                <w:rFonts w:hint="eastAsia" w:ascii="宋体" w:hAnsi="宋体" w:cs="Arial"/>
                <w:kern w:val="0"/>
                <w:sz w:val="20"/>
                <w:szCs w:val="20"/>
                <w:highlight w:val="none"/>
              </w:rPr>
              <w:t>11</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资料员（1人）</w:t>
            </w:r>
          </w:p>
        </w:tc>
        <w:tc>
          <w:tcPr>
            <w:tcW w:w="708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负责本项目的资料收集、归类、整理。</w:t>
            </w:r>
          </w:p>
        </w:tc>
      </w:tr>
      <w:tr>
        <w:tblPrEx>
          <w:tblCellMar>
            <w:top w:w="0" w:type="dxa"/>
            <w:left w:w="85" w:type="dxa"/>
            <w:bottom w:w="0" w:type="dxa"/>
            <w:right w:w="85"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highlight w:val="none"/>
              </w:rPr>
            </w:pPr>
            <w:r>
              <w:rPr>
                <w:rFonts w:hint="eastAsia" w:ascii="宋体" w:hAnsi="宋体" w:cs="Arial"/>
                <w:kern w:val="0"/>
                <w:sz w:val="20"/>
                <w:szCs w:val="20"/>
                <w:highlight w:val="none"/>
              </w:rPr>
              <w:t>12</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信息化管理员（1人）</w:t>
            </w:r>
          </w:p>
        </w:tc>
        <w:tc>
          <w:tcPr>
            <w:tcW w:w="708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负责本项目设施日常养护运维信息化的管理设施，配合云路中心等信息化平台的建设运行和数据资源分析，需具有一定文字功底和工程类专业专科及以上学历；必要时须常驻采购人处办公。</w:t>
            </w:r>
          </w:p>
        </w:tc>
      </w:tr>
      <w:tr>
        <w:tblPrEx>
          <w:tblCellMar>
            <w:top w:w="0" w:type="dxa"/>
            <w:left w:w="85" w:type="dxa"/>
            <w:bottom w:w="0" w:type="dxa"/>
            <w:right w:w="85"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highlight w:val="none"/>
              </w:rPr>
            </w:pPr>
            <w:r>
              <w:rPr>
                <w:rFonts w:hint="eastAsia" w:ascii="宋体" w:hAnsi="宋体" w:cs="Arial"/>
                <w:kern w:val="0"/>
                <w:sz w:val="20"/>
                <w:szCs w:val="20"/>
                <w:highlight w:val="none"/>
              </w:rPr>
              <w:t>13</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养护和运行专职管理人员（2人）</w:t>
            </w:r>
          </w:p>
        </w:tc>
        <w:tc>
          <w:tcPr>
            <w:tcW w:w="708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具有城市快速路养护运维经验。</w:t>
            </w:r>
          </w:p>
        </w:tc>
      </w:tr>
      <w:tr>
        <w:tblPrEx>
          <w:tblCellMar>
            <w:top w:w="0" w:type="dxa"/>
            <w:left w:w="85" w:type="dxa"/>
            <w:bottom w:w="0" w:type="dxa"/>
            <w:right w:w="85"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highlight w:val="none"/>
              </w:rPr>
            </w:pPr>
            <w:r>
              <w:rPr>
                <w:rFonts w:hint="eastAsia" w:ascii="宋体" w:hAnsi="宋体" w:cs="Arial"/>
                <w:kern w:val="0"/>
                <w:sz w:val="20"/>
                <w:szCs w:val="20"/>
                <w:highlight w:val="none"/>
              </w:rPr>
              <w:t>14</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道路或桥梁养护工（至少8人）</w:t>
            </w:r>
          </w:p>
        </w:tc>
        <w:tc>
          <w:tcPr>
            <w:tcW w:w="708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中级工及以上</w:t>
            </w:r>
          </w:p>
        </w:tc>
      </w:tr>
      <w:tr>
        <w:tblPrEx>
          <w:tblCellMar>
            <w:top w:w="0" w:type="dxa"/>
            <w:left w:w="85" w:type="dxa"/>
            <w:bottom w:w="0" w:type="dxa"/>
            <w:right w:w="85"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highlight w:val="none"/>
              </w:rPr>
            </w:pPr>
            <w:r>
              <w:rPr>
                <w:rFonts w:hint="eastAsia" w:ascii="宋体" w:hAnsi="宋体" w:cs="Arial"/>
                <w:kern w:val="0"/>
                <w:sz w:val="20"/>
                <w:szCs w:val="20"/>
                <w:highlight w:val="none"/>
              </w:rPr>
              <w:t>15</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电工（至少4人）</w:t>
            </w:r>
          </w:p>
        </w:tc>
        <w:tc>
          <w:tcPr>
            <w:tcW w:w="708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Arial"/>
                <w:kern w:val="0"/>
                <w:sz w:val="20"/>
                <w:szCs w:val="20"/>
                <w:highlight w:val="none"/>
              </w:rPr>
            </w:pPr>
            <w:r>
              <w:rPr>
                <w:rFonts w:hint="eastAsia" w:ascii="宋体" w:hAnsi="宋体" w:cs="Arial"/>
                <w:kern w:val="0"/>
                <w:sz w:val="20"/>
                <w:szCs w:val="20"/>
                <w:highlight w:val="none"/>
              </w:rPr>
              <w:t>具有电工上岗资格证（作业类别：高压）电工2人，其它电工2人</w:t>
            </w:r>
          </w:p>
        </w:tc>
      </w:tr>
    </w:tbl>
    <w:p>
      <w:pPr>
        <w:topLinePunct/>
        <w:adjustRightInd w:val="0"/>
        <w:snapToGrid w:val="0"/>
        <w:spacing w:before="240" w:line="360" w:lineRule="auto"/>
        <w:ind w:firstLine="422" w:firstLineChars="200"/>
        <w:rPr>
          <w:rFonts w:hint="eastAsia" w:ascii="宋体" w:hAnsi="宋体" w:cs="宋体"/>
          <w:b/>
          <w:bCs/>
          <w:snapToGrid w:val="0"/>
          <w:kern w:val="0"/>
          <w:szCs w:val="21"/>
          <w:highlight w:val="none"/>
        </w:rPr>
      </w:pPr>
      <w:r>
        <w:rPr>
          <w:rFonts w:hint="eastAsia" w:ascii="宋体" w:hAnsi="宋体" w:cs="宋体"/>
          <w:b/>
          <w:bCs/>
          <w:snapToGrid w:val="0"/>
          <w:kern w:val="0"/>
          <w:szCs w:val="21"/>
          <w:highlight w:val="none"/>
        </w:rPr>
        <w:t>★中标人须配置项目经理一名，并配置技术负责人、土建专业负责人、桥梁专业工程师和专职安全员至少各一名。上述人员必须是本单位员工，需出具开标日前三个月内任意一个月投标人企业为上述人员缴纳社会保险的证明。</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2、未经采购人同意，中标人不得调换或撤离上述人员。如采购人认为有必要，可要求中标人对上述人员中的部分人员做出更好的调整。</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3、所有根据国家或上海法律、法规、规范要求的特种设备车辆操作人员均必须持证上岗。</w:t>
      </w:r>
    </w:p>
    <w:p>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highlight w:val="none"/>
        </w:rPr>
      </w:pPr>
      <w:r>
        <w:rPr>
          <w:rFonts w:hint="eastAsia" w:ascii="宋体" w:hAnsi="宋体" w:cs="宋体"/>
          <w:b/>
          <w:snapToGrid w:val="0"/>
          <w:kern w:val="0"/>
          <w:szCs w:val="21"/>
          <w:highlight w:val="none"/>
        </w:rPr>
        <w:t>（二）设备配置基本要求</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1、采购人提供的车辆及设备：</w:t>
      </w:r>
    </w:p>
    <w:tbl>
      <w:tblPr>
        <w:tblStyle w:val="88"/>
        <w:tblW w:w="8784" w:type="dxa"/>
        <w:jc w:val="center"/>
        <w:tblLayout w:type="fixed"/>
        <w:tblCellMar>
          <w:top w:w="0" w:type="dxa"/>
          <w:left w:w="85" w:type="dxa"/>
          <w:bottom w:w="0" w:type="dxa"/>
          <w:right w:w="85" w:type="dxa"/>
        </w:tblCellMar>
      </w:tblPr>
      <w:tblGrid>
        <w:gridCol w:w="746"/>
        <w:gridCol w:w="1550"/>
        <w:gridCol w:w="2661"/>
        <w:gridCol w:w="1895"/>
        <w:gridCol w:w="1932"/>
      </w:tblGrid>
      <w:tr>
        <w:tblPrEx>
          <w:tblCellMar>
            <w:top w:w="0" w:type="dxa"/>
            <w:left w:w="85" w:type="dxa"/>
            <w:bottom w:w="0" w:type="dxa"/>
            <w:right w:w="85" w:type="dxa"/>
          </w:tblCellMar>
        </w:tblPrEx>
        <w:trPr>
          <w:trHeight w:val="510" w:hRule="atLeas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b/>
                <w:bCs/>
                <w:color w:val="000000"/>
                <w:szCs w:val="21"/>
                <w:highlight w:val="none"/>
              </w:rPr>
            </w:pPr>
            <w:r>
              <w:rPr>
                <w:rFonts w:hint="eastAsia" w:ascii="宋体" w:hAnsi="宋体" w:cs="宋体"/>
                <w:b/>
                <w:bCs/>
                <w:color w:val="000000"/>
                <w:kern w:val="0"/>
                <w:szCs w:val="21"/>
                <w:highlight w:val="none"/>
              </w:rPr>
              <w:t>序号</w:t>
            </w:r>
          </w:p>
        </w:tc>
        <w:tc>
          <w:tcPr>
            <w:tcW w:w="1550"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b/>
                <w:bCs/>
                <w:color w:val="000000"/>
                <w:szCs w:val="21"/>
                <w:highlight w:val="none"/>
              </w:rPr>
            </w:pPr>
            <w:r>
              <w:rPr>
                <w:rFonts w:hint="eastAsia" w:ascii="宋体" w:hAnsi="宋体" w:cs="宋体"/>
                <w:b/>
                <w:bCs/>
                <w:color w:val="000000"/>
                <w:kern w:val="0"/>
                <w:szCs w:val="21"/>
                <w:highlight w:val="none"/>
              </w:rPr>
              <w:t>车牌号</w:t>
            </w:r>
          </w:p>
        </w:tc>
        <w:tc>
          <w:tcPr>
            <w:tcW w:w="2661"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b/>
                <w:bCs/>
                <w:color w:val="000000"/>
                <w:szCs w:val="21"/>
                <w:highlight w:val="none"/>
              </w:rPr>
            </w:pPr>
            <w:r>
              <w:rPr>
                <w:rFonts w:hint="eastAsia" w:ascii="宋体" w:hAnsi="宋体" w:cs="宋体"/>
                <w:b/>
                <w:bCs/>
                <w:color w:val="000000"/>
                <w:kern w:val="0"/>
                <w:szCs w:val="21"/>
                <w:highlight w:val="none"/>
              </w:rPr>
              <w:t>品牌型号</w:t>
            </w:r>
          </w:p>
        </w:tc>
        <w:tc>
          <w:tcPr>
            <w:tcW w:w="1895"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b/>
                <w:bCs/>
                <w:color w:val="000000"/>
                <w:szCs w:val="21"/>
                <w:highlight w:val="none"/>
              </w:rPr>
            </w:pPr>
            <w:r>
              <w:rPr>
                <w:rFonts w:hint="eastAsia" w:ascii="宋体" w:hAnsi="宋体" w:cs="宋体"/>
                <w:b/>
                <w:bCs/>
                <w:color w:val="000000"/>
                <w:kern w:val="0"/>
                <w:szCs w:val="21"/>
                <w:highlight w:val="none"/>
              </w:rPr>
              <w:t>车辆类型</w:t>
            </w:r>
          </w:p>
        </w:tc>
        <w:tc>
          <w:tcPr>
            <w:tcW w:w="1932" w:type="dxa"/>
            <w:tcBorders>
              <w:top w:val="single" w:color="000000" w:sz="4" w:space="0"/>
              <w:left w:val="single" w:color="000000" w:sz="4" w:space="0"/>
              <w:bottom w:val="single" w:color="000000" w:sz="4" w:space="0"/>
              <w:right w:val="single" w:color="000000" w:sz="4" w:space="0"/>
            </w:tcBorders>
            <w:noWrap/>
            <w:vAlign w:val="center"/>
          </w:tcPr>
          <w:p>
            <w:pPr>
              <w:topLinePunct/>
              <w:adjustRightInd w:val="0"/>
              <w:snapToGrid w:val="0"/>
              <w:jc w:val="center"/>
              <w:textAlignment w:val="center"/>
              <w:rPr>
                <w:rFonts w:hint="eastAsia" w:ascii="宋体" w:hAnsi="宋体" w:cs="宋体"/>
                <w:b/>
                <w:bCs/>
                <w:color w:val="000000"/>
                <w:szCs w:val="21"/>
                <w:highlight w:val="none"/>
              </w:rPr>
            </w:pPr>
            <w:r>
              <w:rPr>
                <w:rFonts w:hint="eastAsia" w:ascii="宋体" w:hAnsi="宋体" w:cs="宋体"/>
                <w:b/>
                <w:bCs/>
                <w:color w:val="000000"/>
                <w:kern w:val="0"/>
                <w:szCs w:val="21"/>
                <w:highlight w:val="none"/>
              </w:rPr>
              <w:t>备注</w:t>
            </w:r>
          </w:p>
        </w:tc>
      </w:tr>
      <w:tr>
        <w:tblPrEx>
          <w:tblCellMar>
            <w:top w:w="0" w:type="dxa"/>
            <w:left w:w="85" w:type="dxa"/>
            <w:bottom w:w="0" w:type="dxa"/>
            <w:right w:w="85" w:type="dxa"/>
          </w:tblCellMar>
        </w:tblPrEx>
        <w:trPr>
          <w:trHeight w:val="510" w:hRule="atLeas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snapToGrid w:val="0"/>
                <w:color w:val="000000"/>
                <w:kern w:val="0"/>
                <w:szCs w:val="21"/>
                <w:highlight w:val="none"/>
              </w:rPr>
            </w:pPr>
            <w:r>
              <w:rPr>
                <w:rFonts w:hint="eastAsia" w:ascii="宋体" w:hAnsi="宋体" w:cs="宋体"/>
                <w:snapToGrid w:val="0"/>
                <w:color w:val="000000"/>
                <w:kern w:val="0"/>
                <w:szCs w:val="21"/>
                <w:highlight w:val="none"/>
              </w:rPr>
              <w:t>1</w:t>
            </w:r>
          </w:p>
        </w:tc>
        <w:tc>
          <w:tcPr>
            <w:tcW w:w="1550"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snapToGrid w:val="0"/>
                <w:color w:val="000000"/>
                <w:kern w:val="0"/>
                <w:szCs w:val="21"/>
                <w:highlight w:val="none"/>
              </w:rPr>
            </w:pPr>
            <w:r>
              <w:rPr>
                <w:rFonts w:hint="eastAsia" w:ascii="宋体" w:hAnsi="宋体" w:cs="宋体"/>
                <w:snapToGrid w:val="0"/>
                <w:color w:val="000000"/>
                <w:kern w:val="0"/>
                <w:szCs w:val="21"/>
                <w:highlight w:val="none"/>
              </w:rPr>
              <w:t>沪D40621</w:t>
            </w:r>
          </w:p>
        </w:tc>
        <w:tc>
          <w:tcPr>
            <w:tcW w:w="2661"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snapToGrid w:val="0"/>
                <w:color w:val="000000"/>
                <w:kern w:val="0"/>
                <w:szCs w:val="21"/>
                <w:highlight w:val="none"/>
              </w:rPr>
            </w:pPr>
            <w:r>
              <w:rPr>
                <w:rFonts w:hint="eastAsia" w:ascii="宋体" w:hAnsi="宋体" w:cs="宋体"/>
                <w:snapToGrid w:val="0"/>
                <w:color w:val="000000"/>
                <w:kern w:val="0"/>
                <w:szCs w:val="21"/>
                <w:highlight w:val="none"/>
              </w:rPr>
              <w:t>畅达牌NJ5160TQX</w:t>
            </w:r>
          </w:p>
        </w:tc>
        <w:tc>
          <w:tcPr>
            <w:tcW w:w="1895"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snapToGrid w:val="0"/>
                <w:color w:val="000000"/>
                <w:kern w:val="0"/>
                <w:szCs w:val="21"/>
                <w:highlight w:val="none"/>
              </w:rPr>
            </w:pPr>
            <w:r>
              <w:rPr>
                <w:rFonts w:hint="eastAsia" w:ascii="宋体" w:hAnsi="宋体" w:cs="宋体"/>
                <w:snapToGrid w:val="0"/>
                <w:color w:val="000000"/>
                <w:kern w:val="0"/>
                <w:szCs w:val="21"/>
                <w:highlight w:val="none"/>
              </w:rPr>
              <w:t>发电水泵车</w:t>
            </w:r>
          </w:p>
        </w:tc>
        <w:tc>
          <w:tcPr>
            <w:tcW w:w="1932" w:type="dxa"/>
            <w:tcBorders>
              <w:top w:val="single" w:color="000000" w:sz="4" w:space="0"/>
              <w:left w:val="single" w:color="000000" w:sz="4" w:space="0"/>
              <w:bottom w:val="single" w:color="000000" w:sz="4" w:space="0"/>
              <w:right w:val="single" w:color="000000" w:sz="4" w:space="0"/>
            </w:tcBorders>
            <w:noWrap/>
            <w:vAlign w:val="center"/>
          </w:tcPr>
          <w:p>
            <w:pPr>
              <w:topLinePunct/>
              <w:adjustRightInd w:val="0"/>
              <w:snapToGrid w:val="0"/>
              <w:jc w:val="center"/>
              <w:rPr>
                <w:rFonts w:ascii="Arial" w:hAnsi="Arial" w:cs="Arial"/>
                <w:snapToGrid w:val="0"/>
                <w:color w:val="000000"/>
                <w:kern w:val="0"/>
                <w:szCs w:val="21"/>
                <w:highlight w:val="none"/>
              </w:rPr>
            </w:pPr>
          </w:p>
        </w:tc>
      </w:tr>
      <w:tr>
        <w:tblPrEx>
          <w:tblCellMar>
            <w:top w:w="0" w:type="dxa"/>
            <w:left w:w="85" w:type="dxa"/>
            <w:bottom w:w="0" w:type="dxa"/>
            <w:right w:w="85" w:type="dxa"/>
          </w:tblCellMar>
        </w:tblPrEx>
        <w:trPr>
          <w:trHeight w:val="510" w:hRule="atLeas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snapToGrid w:val="0"/>
                <w:color w:val="000000"/>
                <w:kern w:val="0"/>
                <w:szCs w:val="21"/>
                <w:highlight w:val="none"/>
              </w:rPr>
            </w:pPr>
            <w:r>
              <w:rPr>
                <w:rFonts w:hint="eastAsia" w:ascii="宋体" w:hAnsi="宋体" w:cs="宋体"/>
                <w:snapToGrid w:val="0"/>
                <w:color w:val="000000"/>
                <w:kern w:val="0"/>
                <w:szCs w:val="21"/>
                <w:highlight w:val="none"/>
              </w:rPr>
              <w:t>2</w:t>
            </w:r>
          </w:p>
        </w:tc>
        <w:tc>
          <w:tcPr>
            <w:tcW w:w="1550"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snapToGrid w:val="0"/>
                <w:color w:val="000000"/>
                <w:kern w:val="0"/>
                <w:szCs w:val="21"/>
                <w:highlight w:val="none"/>
              </w:rPr>
            </w:pPr>
            <w:r>
              <w:rPr>
                <w:rFonts w:hint="eastAsia" w:ascii="宋体" w:hAnsi="宋体" w:cs="宋体"/>
                <w:snapToGrid w:val="0"/>
                <w:color w:val="000000"/>
                <w:kern w:val="0"/>
                <w:szCs w:val="21"/>
                <w:highlight w:val="none"/>
              </w:rPr>
              <w:t>沪D45505</w:t>
            </w:r>
          </w:p>
        </w:tc>
        <w:tc>
          <w:tcPr>
            <w:tcW w:w="2661"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snapToGrid w:val="0"/>
                <w:color w:val="000000"/>
                <w:kern w:val="0"/>
                <w:szCs w:val="21"/>
                <w:highlight w:val="none"/>
              </w:rPr>
            </w:pPr>
            <w:r>
              <w:rPr>
                <w:rFonts w:hint="eastAsia" w:ascii="宋体" w:hAnsi="宋体" w:cs="宋体"/>
                <w:snapToGrid w:val="0"/>
                <w:color w:val="000000"/>
                <w:kern w:val="0"/>
                <w:szCs w:val="21"/>
                <w:highlight w:val="none"/>
              </w:rPr>
              <w:t>森远牌AD5163TCX</w:t>
            </w:r>
          </w:p>
        </w:tc>
        <w:tc>
          <w:tcPr>
            <w:tcW w:w="1895"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snapToGrid w:val="0"/>
                <w:color w:val="000000"/>
                <w:kern w:val="0"/>
                <w:szCs w:val="21"/>
                <w:highlight w:val="none"/>
              </w:rPr>
            </w:pPr>
            <w:r>
              <w:rPr>
                <w:rFonts w:hint="eastAsia" w:ascii="宋体" w:hAnsi="宋体" w:cs="宋体"/>
                <w:snapToGrid w:val="0"/>
                <w:color w:val="000000"/>
                <w:kern w:val="0"/>
                <w:szCs w:val="21"/>
                <w:highlight w:val="none"/>
              </w:rPr>
              <w:t>除雪撒布车</w:t>
            </w:r>
          </w:p>
        </w:tc>
        <w:tc>
          <w:tcPr>
            <w:tcW w:w="1932" w:type="dxa"/>
            <w:tcBorders>
              <w:top w:val="single" w:color="000000" w:sz="4" w:space="0"/>
              <w:left w:val="single" w:color="000000" w:sz="4" w:space="0"/>
              <w:bottom w:val="single" w:color="000000" w:sz="4" w:space="0"/>
              <w:right w:val="single" w:color="000000" w:sz="4" w:space="0"/>
            </w:tcBorders>
            <w:noWrap/>
            <w:vAlign w:val="center"/>
          </w:tcPr>
          <w:p>
            <w:pPr>
              <w:topLinePunct/>
              <w:adjustRightInd w:val="0"/>
              <w:snapToGrid w:val="0"/>
              <w:jc w:val="center"/>
              <w:rPr>
                <w:rFonts w:hint="eastAsia" w:ascii="宋体" w:hAnsi="宋体" w:cs="宋体"/>
                <w:snapToGrid w:val="0"/>
                <w:color w:val="000000"/>
                <w:kern w:val="0"/>
                <w:szCs w:val="21"/>
                <w:highlight w:val="none"/>
              </w:rPr>
            </w:pPr>
          </w:p>
        </w:tc>
      </w:tr>
      <w:tr>
        <w:tblPrEx>
          <w:tblCellMar>
            <w:top w:w="0" w:type="dxa"/>
            <w:left w:w="85" w:type="dxa"/>
            <w:bottom w:w="0" w:type="dxa"/>
            <w:right w:w="85" w:type="dxa"/>
          </w:tblCellMar>
        </w:tblPrEx>
        <w:trPr>
          <w:trHeight w:val="510" w:hRule="atLeas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snapToGrid w:val="0"/>
                <w:color w:val="000000"/>
                <w:kern w:val="0"/>
                <w:szCs w:val="21"/>
                <w:highlight w:val="none"/>
              </w:rPr>
            </w:pPr>
            <w:r>
              <w:rPr>
                <w:rFonts w:hint="eastAsia" w:ascii="宋体" w:hAnsi="宋体" w:cs="宋体"/>
                <w:snapToGrid w:val="0"/>
                <w:color w:val="000000"/>
                <w:kern w:val="0"/>
                <w:szCs w:val="21"/>
                <w:highlight w:val="none"/>
              </w:rPr>
              <w:t>3</w:t>
            </w:r>
          </w:p>
        </w:tc>
        <w:tc>
          <w:tcPr>
            <w:tcW w:w="1550"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snapToGrid w:val="0"/>
                <w:color w:val="000000"/>
                <w:kern w:val="0"/>
                <w:szCs w:val="21"/>
                <w:highlight w:val="none"/>
              </w:rPr>
            </w:pPr>
            <w:r>
              <w:rPr>
                <w:rFonts w:hint="eastAsia" w:ascii="宋体" w:hAnsi="宋体" w:cs="宋体"/>
                <w:snapToGrid w:val="0"/>
                <w:color w:val="000000"/>
                <w:kern w:val="0"/>
                <w:szCs w:val="21"/>
                <w:highlight w:val="none"/>
              </w:rPr>
              <w:t>沪D45566</w:t>
            </w:r>
          </w:p>
        </w:tc>
        <w:tc>
          <w:tcPr>
            <w:tcW w:w="2661"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snapToGrid w:val="0"/>
                <w:color w:val="000000"/>
                <w:kern w:val="0"/>
                <w:szCs w:val="21"/>
                <w:highlight w:val="none"/>
              </w:rPr>
            </w:pPr>
            <w:r>
              <w:rPr>
                <w:rFonts w:hint="eastAsia" w:ascii="宋体" w:hAnsi="宋体" w:cs="宋体"/>
                <w:snapToGrid w:val="0"/>
                <w:color w:val="000000"/>
                <w:kern w:val="0"/>
                <w:szCs w:val="21"/>
                <w:highlight w:val="none"/>
              </w:rPr>
              <w:t>森远牌AD5163TCX</w:t>
            </w:r>
          </w:p>
        </w:tc>
        <w:tc>
          <w:tcPr>
            <w:tcW w:w="1895"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snapToGrid w:val="0"/>
                <w:color w:val="000000"/>
                <w:kern w:val="0"/>
                <w:szCs w:val="21"/>
                <w:highlight w:val="none"/>
              </w:rPr>
            </w:pPr>
            <w:r>
              <w:rPr>
                <w:rFonts w:hint="eastAsia" w:ascii="宋体" w:hAnsi="宋体" w:cs="宋体"/>
                <w:snapToGrid w:val="0"/>
                <w:color w:val="000000"/>
                <w:kern w:val="0"/>
                <w:szCs w:val="21"/>
                <w:highlight w:val="none"/>
              </w:rPr>
              <w:t>除雪撒布车</w:t>
            </w:r>
          </w:p>
        </w:tc>
        <w:tc>
          <w:tcPr>
            <w:tcW w:w="1932" w:type="dxa"/>
            <w:tcBorders>
              <w:top w:val="single" w:color="000000" w:sz="4" w:space="0"/>
              <w:left w:val="single" w:color="000000" w:sz="4" w:space="0"/>
              <w:bottom w:val="single" w:color="000000" w:sz="4" w:space="0"/>
              <w:right w:val="single" w:color="000000" w:sz="4" w:space="0"/>
            </w:tcBorders>
            <w:noWrap/>
            <w:vAlign w:val="center"/>
          </w:tcPr>
          <w:p>
            <w:pPr>
              <w:topLinePunct/>
              <w:adjustRightInd w:val="0"/>
              <w:snapToGrid w:val="0"/>
              <w:jc w:val="center"/>
              <w:rPr>
                <w:rFonts w:hint="eastAsia" w:ascii="宋体" w:hAnsi="宋体" w:cs="宋体"/>
                <w:snapToGrid w:val="0"/>
                <w:color w:val="000000"/>
                <w:kern w:val="0"/>
                <w:szCs w:val="21"/>
                <w:highlight w:val="none"/>
              </w:rPr>
            </w:pPr>
          </w:p>
        </w:tc>
      </w:tr>
      <w:tr>
        <w:tblPrEx>
          <w:tblCellMar>
            <w:top w:w="0" w:type="dxa"/>
            <w:left w:w="85" w:type="dxa"/>
            <w:bottom w:w="0" w:type="dxa"/>
            <w:right w:w="85" w:type="dxa"/>
          </w:tblCellMar>
        </w:tblPrEx>
        <w:trPr>
          <w:trHeight w:val="510" w:hRule="atLeas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snapToGrid w:val="0"/>
                <w:color w:val="000000"/>
                <w:kern w:val="0"/>
                <w:szCs w:val="21"/>
                <w:highlight w:val="none"/>
              </w:rPr>
            </w:pPr>
            <w:r>
              <w:rPr>
                <w:rFonts w:hint="eastAsia" w:ascii="宋体" w:hAnsi="宋体" w:cs="宋体"/>
                <w:snapToGrid w:val="0"/>
                <w:color w:val="000000"/>
                <w:kern w:val="0"/>
                <w:szCs w:val="21"/>
                <w:highlight w:val="none"/>
              </w:rPr>
              <w:t>4</w:t>
            </w:r>
          </w:p>
        </w:tc>
        <w:tc>
          <w:tcPr>
            <w:tcW w:w="1550"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snapToGrid w:val="0"/>
                <w:color w:val="000000"/>
                <w:kern w:val="0"/>
                <w:szCs w:val="21"/>
                <w:highlight w:val="none"/>
              </w:rPr>
            </w:pPr>
            <w:r>
              <w:rPr>
                <w:rFonts w:hint="eastAsia" w:ascii="宋体" w:hAnsi="宋体" w:cs="宋体"/>
                <w:snapToGrid w:val="0"/>
                <w:color w:val="000000"/>
                <w:kern w:val="0"/>
                <w:szCs w:val="21"/>
                <w:highlight w:val="none"/>
              </w:rPr>
              <w:t>沪</w:t>
            </w:r>
            <w:r>
              <w:rPr>
                <w:rFonts w:ascii="宋体" w:hAnsi="宋体" w:cs="宋体"/>
                <w:snapToGrid w:val="0"/>
                <w:color w:val="000000"/>
                <w:kern w:val="0"/>
                <w:szCs w:val="21"/>
                <w:highlight w:val="none"/>
              </w:rPr>
              <w:t>BE0363</w:t>
            </w:r>
          </w:p>
        </w:tc>
        <w:tc>
          <w:tcPr>
            <w:tcW w:w="2661"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snapToGrid w:val="0"/>
                <w:color w:val="000000"/>
                <w:kern w:val="0"/>
                <w:szCs w:val="21"/>
                <w:highlight w:val="none"/>
              </w:rPr>
            </w:pPr>
          </w:p>
        </w:tc>
        <w:tc>
          <w:tcPr>
            <w:tcW w:w="1895" w:type="dxa"/>
            <w:tcBorders>
              <w:top w:val="single" w:color="000000" w:sz="4" w:space="0"/>
              <w:left w:val="single" w:color="000000" w:sz="4" w:space="0"/>
              <w:bottom w:val="single" w:color="000000" w:sz="4" w:space="0"/>
              <w:right w:val="single" w:color="000000" w:sz="4" w:space="0"/>
            </w:tcBorders>
            <w:vAlign w:val="center"/>
          </w:tcPr>
          <w:p>
            <w:pPr>
              <w:topLinePunct/>
              <w:adjustRightInd w:val="0"/>
              <w:snapToGrid w:val="0"/>
              <w:jc w:val="center"/>
              <w:textAlignment w:val="center"/>
              <w:rPr>
                <w:rFonts w:hint="eastAsia" w:ascii="宋体" w:hAnsi="宋体" w:cs="宋体"/>
                <w:snapToGrid w:val="0"/>
                <w:color w:val="000000"/>
                <w:kern w:val="0"/>
                <w:szCs w:val="21"/>
                <w:highlight w:val="none"/>
              </w:rPr>
            </w:pPr>
          </w:p>
        </w:tc>
        <w:tc>
          <w:tcPr>
            <w:tcW w:w="1932" w:type="dxa"/>
            <w:tcBorders>
              <w:top w:val="single" w:color="000000" w:sz="4" w:space="0"/>
              <w:left w:val="single" w:color="000000" w:sz="4" w:space="0"/>
              <w:bottom w:val="single" w:color="000000" w:sz="4" w:space="0"/>
              <w:right w:val="single" w:color="000000" w:sz="4" w:space="0"/>
            </w:tcBorders>
            <w:noWrap/>
            <w:vAlign w:val="center"/>
          </w:tcPr>
          <w:p>
            <w:pPr>
              <w:topLinePunct/>
              <w:adjustRightInd w:val="0"/>
              <w:snapToGrid w:val="0"/>
              <w:jc w:val="center"/>
              <w:rPr>
                <w:rFonts w:hint="eastAsia" w:ascii="宋体" w:hAnsi="宋体" w:cs="宋体"/>
                <w:snapToGrid w:val="0"/>
                <w:color w:val="000000"/>
                <w:kern w:val="0"/>
                <w:szCs w:val="21"/>
                <w:highlight w:val="none"/>
              </w:rPr>
            </w:pPr>
          </w:p>
        </w:tc>
      </w:tr>
    </w:tbl>
    <w:p>
      <w:pPr>
        <w:topLinePunct/>
        <w:adjustRightInd w:val="0"/>
        <w:snapToGrid w:val="0"/>
        <w:spacing w:line="360" w:lineRule="auto"/>
        <w:ind w:left="420" w:leftChars="200"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（1）上述机械设备、作业车辆必须用于日常养护运维，不得挪作它用，一经发现，采购人有权进行相应处罚；</w:t>
      </w:r>
    </w:p>
    <w:p>
      <w:pPr>
        <w:topLinePunct/>
        <w:adjustRightInd w:val="0"/>
        <w:snapToGrid w:val="0"/>
        <w:spacing w:line="360" w:lineRule="auto"/>
        <w:ind w:left="420" w:leftChars="200"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（2）中标供应商需对采购人提供的上述机械设备、作业车辆进行维护保养，确保这些机械设备、作业车辆性能优良、使用正常；</w:t>
      </w:r>
    </w:p>
    <w:p>
      <w:pPr>
        <w:topLinePunct/>
        <w:adjustRightInd w:val="0"/>
        <w:snapToGrid w:val="0"/>
        <w:spacing w:line="360" w:lineRule="auto"/>
        <w:ind w:left="420" w:leftChars="200"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（3）对于采购人提供的上述机械设备、作业车辆，各投标人应在投标报价中充分考量其使用过程中产生的运维成本，包括但不限于燃料动力消耗、维保检修费用、耗材更换支出及人工操作成本等相关费用。</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2、为做好本项目服务工作，中标人应至少配置以下用于养护运维作业的车辆及机械设备（不包括采购人提供的车辆及设备）。</w:t>
      </w:r>
    </w:p>
    <w:p>
      <w:pPr>
        <w:topLinePunct/>
        <w:adjustRightInd w:val="0"/>
        <w:snapToGrid w:val="0"/>
        <w:spacing w:line="360" w:lineRule="auto"/>
        <w:ind w:firstLine="420" w:firstLineChars="200"/>
        <w:jc w:val="center"/>
        <w:rPr>
          <w:rFonts w:hint="eastAsia" w:ascii="宋体" w:hAnsi="宋体" w:cs="宋体"/>
          <w:snapToGrid w:val="0"/>
          <w:kern w:val="0"/>
          <w:szCs w:val="21"/>
          <w:highlight w:val="none"/>
        </w:rPr>
      </w:pPr>
      <w:r>
        <w:rPr>
          <w:rFonts w:hint="eastAsia" w:ascii="宋体" w:hAnsi="宋体" w:cs="宋体"/>
          <w:snapToGrid w:val="0"/>
          <w:kern w:val="0"/>
          <w:szCs w:val="21"/>
          <w:highlight w:val="none"/>
        </w:rPr>
        <w:t>“上海市中环路浦西段养护维修及运行管理项目”要求：</w:t>
      </w:r>
    </w:p>
    <w:tbl>
      <w:tblPr>
        <w:tblStyle w:val="88"/>
        <w:tblW w:w="8642" w:type="dxa"/>
        <w:jc w:val="center"/>
        <w:tblLayout w:type="fixed"/>
        <w:tblCellMar>
          <w:top w:w="0" w:type="dxa"/>
          <w:left w:w="85" w:type="dxa"/>
          <w:bottom w:w="0" w:type="dxa"/>
          <w:right w:w="85" w:type="dxa"/>
        </w:tblCellMar>
      </w:tblPr>
      <w:tblGrid>
        <w:gridCol w:w="846"/>
        <w:gridCol w:w="2410"/>
        <w:gridCol w:w="992"/>
        <w:gridCol w:w="1559"/>
        <w:gridCol w:w="2835"/>
      </w:tblGrid>
      <w:tr>
        <w:tblPrEx>
          <w:tblCellMar>
            <w:top w:w="0" w:type="dxa"/>
            <w:left w:w="85" w:type="dxa"/>
            <w:bottom w:w="0" w:type="dxa"/>
            <w:right w:w="85" w:type="dxa"/>
          </w:tblCellMar>
        </w:tblPrEx>
        <w:trPr>
          <w:trHeight w:val="501" w:hRule="atLeast"/>
          <w:tblHeader/>
          <w:jc w:val="center"/>
        </w:trPr>
        <w:tc>
          <w:tcPr>
            <w:tcW w:w="84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b/>
                <w:bCs/>
                <w:kern w:val="0"/>
                <w:sz w:val="20"/>
                <w:szCs w:val="20"/>
                <w:highlight w:val="none"/>
              </w:rPr>
            </w:pPr>
            <w:r>
              <w:rPr>
                <w:rFonts w:hint="eastAsia" w:ascii="宋体" w:hAnsi="宋体" w:cs="宋体"/>
                <w:b/>
                <w:bCs/>
                <w:kern w:val="0"/>
                <w:sz w:val="20"/>
                <w:szCs w:val="20"/>
                <w:highlight w:val="none"/>
              </w:rPr>
              <w:t>序号</w:t>
            </w:r>
          </w:p>
        </w:tc>
        <w:tc>
          <w:tcPr>
            <w:tcW w:w="2410"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s="宋体"/>
                <w:b/>
                <w:bCs/>
                <w:kern w:val="0"/>
                <w:sz w:val="20"/>
                <w:szCs w:val="20"/>
                <w:highlight w:val="none"/>
              </w:rPr>
            </w:pPr>
            <w:r>
              <w:rPr>
                <w:rFonts w:hint="eastAsia" w:ascii="宋体" w:hAnsi="宋体" w:cs="宋体"/>
                <w:b/>
                <w:bCs/>
                <w:kern w:val="0"/>
                <w:sz w:val="20"/>
                <w:szCs w:val="20"/>
                <w:highlight w:val="none"/>
              </w:rPr>
              <w:t>设备名称</w:t>
            </w:r>
          </w:p>
        </w:tc>
        <w:tc>
          <w:tcPr>
            <w:tcW w:w="992"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s="宋体"/>
                <w:b/>
                <w:bCs/>
                <w:kern w:val="0"/>
                <w:sz w:val="20"/>
                <w:szCs w:val="20"/>
                <w:highlight w:val="none"/>
              </w:rPr>
            </w:pPr>
            <w:r>
              <w:rPr>
                <w:rFonts w:hint="eastAsia" w:ascii="宋体" w:hAnsi="宋体" w:cs="宋体"/>
                <w:b/>
                <w:bCs/>
                <w:kern w:val="0"/>
                <w:sz w:val="20"/>
                <w:szCs w:val="20"/>
                <w:highlight w:val="none"/>
              </w:rPr>
              <w:t>数量</w:t>
            </w:r>
          </w:p>
        </w:tc>
        <w:tc>
          <w:tcPr>
            <w:tcW w:w="1559"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s="宋体"/>
                <w:b/>
                <w:bCs/>
                <w:kern w:val="0"/>
                <w:sz w:val="20"/>
                <w:szCs w:val="20"/>
                <w:highlight w:val="none"/>
              </w:rPr>
            </w:pPr>
            <w:r>
              <w:rPr>
                <w:rFonts w:hint="eastAsia" w:ascii="宋体" w:hAnsi="宋体" w:cs="宋体"/>
                <w:b/>
                <w:bCs/>
                <w:kern w:val="0"/>
                <w:sz w:val="20"/>
                <w:szCs w:val="20"/>
                <w:highlight w:val="none"/>
              </w:rPr>
              <w:t>用途</w:t>
            </w:r>
          </w:p>
        </w:tc>
        <w:tc>
          <w:tcPr>
            <w:tcW w:w="2835"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b/>
                <w:bCs/>
                <w:kern w:val="0"/>
                <w:sz w:val="20"/>
                <w:szCs w:val="20"/>
                <w:highlight w:val="none"/>
              </w:rPr>
            </w:pPr>
            <w:r>
              <w:rPr>
                <w:rFonts w:hint="eastAsia" w:ascii="宋体" w:hAnsi="宋体" w:cs="宋体"/>
                <w:b/>
                <w:bCs/>
                <w:kern w:val="0"/>
                <w:sz w:val="20"/>
                <w:szCs w:val="20"/>
                <w:highlight w:val="none"/>
              </w:rPr>
              <w:t>备注</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1</w:t>
            </w:r>
          </w:p>
        </w:tc>
        <w:tc>
          <w:tcPr>
            <w:tcW w:w="2410"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路面清扫车</w:t>
            </w:r>
          </w:p>
        </w:tc>
        <w:tc>
          <w:tcPr>
            <w:tcW w:w="992"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10</w:t>
            </w:r>
          </w:p>
        </w:tc>
        <w:tc>
          <w:tcPr>
            <w:tcW w:w="1559"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清扫路面</w:t>
            </w:r>
          </w:p>
        </w:tc>
        <w:tc>
          <w:tcPr>
            <w:tcW w:w="2835"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自有或租赁，车龄均不得超过6年</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2</w:t>
            </w:r>
          </w:p>
        </w:tc>
        <w:tc>
          <w:tcPr>
            <w:tcW w:w="2410"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清洗冲水车</w:t>
            </w:r>
          </w:p>
        </w:tc>
        <w:tc>
          <w:tcPr>
            <w:tcW w:w="992"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5</w:t>
            </w:r>
          </w:p>
        </w:tc>
        <w:tc>
          <w:tcPr>
            <w:tcW w:w="1559"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冲洗路面</w:t>
            </w:r>
          </w:p>
        </w:tc>
        <w:tc>
          <w:tcPr>
            <w:tcW w:w="2835"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自有或租赁，车龄均不得超过6年</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3</w:t>
            </w:r>
          </w:p>
        </w:tc>
        <w:tc>
          <w:tcPr>
            <w:tcW w:w="2410"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登高作业车</w:t>
            </w:r>
          </w:p>
        </w:tc>
        <w:tc>
          <w:tcPr>
            <w:tcW w:w="992"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5</w:t>
            </w:r>
          </w:p>
        </w:tc>
        <w:tc>
          <w:tcPr>
            <w:tcW w:w="1559"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设备维修</w:t>
            </w:r>
          </w:p>
        </w:tc>
        <w:tc>
          <w:tcPr>
            <w:tcW w:w="2835"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自有或租赁</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4</w:t>
            </w:r>
          </w:p>
        </w:tc>
        <w:tc>
          <w:tcPr>
            <w:tcW w:w="2410"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牵引清障车</w:t>
            </w:r>
          </w:p>
        </w:tc>
        <w:tc>
          <w:tcPr>
            <w:tcW w:w="992"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10</w:t>
            </w:r>
          </w:p>
        </w:tc>
        <w:tc>
          <w:tcPr>
            <w:tcW w:w="1559"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用于故障车辆牵引</w:t>
            </w:r>
          </w:p>
        </w:tc>
        <w:tc>
          <w:tcPr>
            <w:tcW w:w="2835"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自有或租赁或分包，其中重型牵引车不少于3辆，需满足限高要求</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5</w:t>
            </w:r>
          </w:p>
        </w:tc>
        <w:tc>
          <w:tcPr>
            <w:tcW w:w="2410"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封道车（和封道设备）</w:t>
            </w:r>
          </w:p>
        </w:tc>
        <w:tc>
          <w:tcPr>
            <w:tcW w:w="992"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10</w:t>
            </w:r>
          </w:p>
        </w:tc>
        <w:tc>
          <w:tcPr>
            <w:tcW w:w="1559"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占道养护、施工安全防护</w:t>
            </w:r>
          </w:p>
        </w:tc>
        <w:tc>
          <w:tcPr>
            <w:tcW w:w="2835"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自有或租赁，车龄均不得超过6年</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6</w:t>
            </w:r>
          </w:p>
        </w:tc>
        <w:tc>
          <w:tcPr>
            <w:tcW w:w="2410"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抢险汽吊车</w:t>
            </w:r>
          </w:p>
        </w:tc>
        <w:tc>
          <w:tcPr>
            <w:tcW w:w="992" w:type="dxa"/>
            <w:tcBorders>
              <w:top w:val="nil"/>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2</w:t>
            </w:r>
          </w:p>
        </w:tc>
        <w:tc>
          <w:tcPr>
            <w:tcW w:w="1559"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抢险</w:t>
            </w:r>
          </w:p>
        </w:tc>
        <w:tc>
          <w:tcPr>
            <w:tcW w:w="2835"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自有或租赁</w:t>
            </w:r>
          </w:p>
        </w:tc>
      </w:tr>
      <w:tr>
        <w:tblPrEx>
          <w:tblCellMar>
            <w:top w:w="0" w:type="dxa"/>
            <w:left w:w="85" w:type="dxa"/>
            <w:bottom w:w="0" w:type="dxa"/>
            <w:right w:w="85" w:type="dxa"/>
          </w:tblCellMar>
        </w:tblPrEx>
        <w:trPr>
          <w:trHeight w:val="50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7</w:t>
            </w:r>
          </w:p>
        </w:tc>
        <w:tc>
          <w:tcPr>
            <w:tcW w:w="2410"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巡视车</w:t>
            </w:r>
          </w:p>
        </w:tc>
        <w:tc>
          <w:tcPr>
            <w:tcW w:w="992"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3</w:t>
            </w:r>
          </w:p>
        </w:tc>
        <w:tc>
          <w:tcPr>
            <w:tcW w:w="1559"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巡视</w:t>
            </w:r>
          </w:p>
        </w:tc>
        <w:tc>
          <w:tcPr>
            <w:tcW w:w="2835"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自有或租赁</w:t>
            </w:r>
          </w:p>
        </w:tc>
      </w:tr>
      <w:tr>
        <w:tblPrEx>
          <w:tblCellMar>
            <w:top w:w="0" w:type="dxa"/>
            <w:left w:w="85" w:type="dxa"/>
            <w:bottom w:w="0" w:type="dxa"/>
            <w:right w:w="85" w:type="dxa"/>
          </w:tblCellMar>
        </w:tblPrEx>
        <w:trPr>
          <w:trHeight w:val="50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8</w:t>
            </w:r>
          </w:p>
        </w:tc>
        <w:tc>
          <w:tcPr>
            <w:tcW w:w="2410"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安全防撞车</w:t>
            </w:r>
          </w:p>
        </w:tc>
        <w:tc>
          <w:tcPr>
            <w:tcW w:w="992"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2</w:t>
            </w:r>
          </w:p>
        </w:tc>
        <w:tc>
          <w:tcPr>
            <w:tcW w:w="1559"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占道养护、施工安全防护</w:t>
            </w:r>
          </w:p>
        </w:tc>
        <w:tc>
          <w:tcPr>
            <w:tcW w:w="2835"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自有或租赁</w:t>
            </w:r>
          </w:p>
        </w:tc>
      </w:tr>
      <w:tr>
        <w:tblPrEx>
          <w:tblCellMar>
            <w:top w:w="0" w:type="dxa"/>
            <w:left w:w="85" w:type="dxa"/>
            <w:bottom w:w="0" w:type="dxa"/>
            <w:right w:w="85" w:type="dxa"/>
          </w:tblCellMar>
        </w:tblPrEx>
        <w:trPr>
          <w:trHeight w:val="50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9</w:t>
            </w:r>
          </w:p>
        </w:tc>
        <w:tc>
          <w:tcPr>
            <w:tcW w:w="2410"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路面铣刨机</w:t>
            </w:r>
          </w:p>
        </w:tc>
        <w:tc>
          <w:tcPr>
            <w:tcW w:w="992"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1</w:t>
            </w:r>
          </w:p>
        </w:tc>
        <w:tc>
          <w:tcPr>
            <w:tcW w:w="1559"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路面维修</w:t>
            </w:r>
          </w:p>
        </w:tc>
        <w:tc>
          <w:tcPr>
            <w:tcW w:w="2835"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自有或租赁</w:t>
            </w:r>
          </w:p>
        </w:tc>
      </w:tr>
      <w:tr>
        <w:tblPrEx>
          <w:tblCellMar>
            <w:top w:w="0" w:type="dxa"/>
            <w:left w:w="85" w:type="dxa"/>
            <w:bottom w:w="0" w:type="dxa"/>
            <w:right w:w="85" w:type="dxa"/>
          </w:tblCellMar>
        </w:tblPrEx>
        <w:trPr>
          <w:trHeight w:val="50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10</w:t>
            </w:r>
          </w:p>
        </w:tc>
        <w:tc>
          <w:tcPr>
            <w:tcW w:w="2410"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摊铺机</w:t>
            </w:r>
          </w:p>
        </w:tc>
        <w:tc>
          <w:tcPr>
            <w:tcW w:w="992"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1</w:t>
            </w:r>
          </w:p>
        </w:tc>
        <w:tc>
          <w:tcPr>
            <w:tcW w:w="1559"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路面维修</w:t>
            </w:r>
          </w:p>
        </w:tc>
        <w:tc>
          <w:tcPr>
            <w:tcW w:w="2835"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自有或租赁</w:t>
            </w:r>
          </w:p>
        </w:tc>
      </w:tr>
      <w:tr>
        <w:tblPrEx>
          <w:tblCellMar>
            <w:top w:w="0" w:type="dxa"/>
            <w:left w:w="85" w:type="dxa"/>
            <w:bottom w:w="0" w:type="dxa"/>
            <w:right w:w="85" w:type="dxa"/>
          </w:tblCellMar>
        </w:tblPrEx>
        <w:trPr>
          <w:trHeight w:val="50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11</w:t>
            </w:r>
          </w:p>
        </w:tc>
        <w:tc>
          <w:tcPr>
            <w:tcW w:w="2410"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压路机</w:t>
            </w:r>
          </w:p>
        </w:tc>
        <w:tc>
          <w:tcPr>
            <w:tcW w:w="992"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1</w:t>
            </w:r>
          </w:p>
        </w:tc>
        <w:tc>
          <w:tcPr>
            <w:tcW w:w="1559"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路面维修</w:t>
            </w:r>
          </w:p>
        </w:tc>
        <w:tc>
          <w:tcPr>
            <w:tcW w:w="2835"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自有或租赁</w:t>
            </w:r>
          </w:p>
        </w:tc>
      </w:tr>
      <w:tr>
        <w:tblPrEx>
          <w:tblCellMar>
            <w:top w:w="0" w:type="dxa"/>
            <w:left w:w="85" w:type="dxa"/>
            <w:bottom w:w="0" w:type="dxa"/>
            <w:right w:w="85" w:type="dxa"/>
          </w:tblCellMar>
        </w:tblPrEx>
        <w:trPr>
          <w:trHeight w:val="50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12</w:t>
            </w:r>
          </w:p>
        </w:tc>
        <w:tc>
          <w:tcPr>
            <w:tcW w:w="2410"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路面切割机</w:t>
            </w:r>
          </w:p>
        </w:tc>
        <w:tc>
          <w:tcPr>
            <w:tcW w:w="992"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1</w:t>
            </w:r>
          </w:p>
        </w:tc>
        <w:tc>
          <w:tcPr>
            <w:tcW w:w="1559"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路面维修</w:t>
            </w:r>
          </w:p>
        </w:tc>
        <w:tc>
          <w:tcPr>
            <w:tcW w:w="2835"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自有或租赁</w:t>
            </w:r>
          </w:p>
        </w:tc>
      </w:tr>
      <w:tr>
        <w:tblPrEx>
          <w:tblCellMar>
            <w:top w:w="0" w:type="dxa"/>
            <w:left w:w="85" w:type="dxa"/>
            <w:bottom w:w="0" w:type="dxa"/>
            <w:right w:w="85" w:type="dxa"/>
          </w:tblCellMar>
        </w:tblPrEx>
        <w:trPr>
          <w:trHeight w:val="50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13</w:t>
            </w:r>
          </w:p>
        </w:tc>
        <w:tc>
          <w:tcPr>
            <w:tcW w:w="2410"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灌缝机</w:t>
            </w:r>
          </w:p>
        </w:tc>
        <w:tc>
          <w:tcPr>
            <w:tcW w:w="992"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1</w:t>
            </w:r>
          </w:p>
        </w:tc>
        <w:tc>
          <w:tcPr>
            <w:tcW w:w="1559"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路面维修</w:t>
            </w:r>
          </w:p>
        </w:tc>
        <w:tc>
          <w:tcPr>
            <w:tcW w:w="2835"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自有或租赁</w:t>
            </w:r>
          </w:p>
        </w:tc>
      </w:tr>
      <w:tr>
        <w:tblPrEx>
          <w:tblCellMar>
            <w:top w:w="0" w:type="dxa"/>
            <w:left w:w="85" w:type="dxa"/>
            <w:bottom w:w="0" w:type="dxa"/>
            <w:right w:w="85" w:type="dxa"/>
          </w:tblCellMar>
        </w:tblPrEx>
        <w:trPr>
          <w:trHeight w:val="50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14</w:t>
            </w:r>
          </w:p>
        </w:tc>
        <w:tc>
          <w:tcPr>
            <w:tcW w:w="2410"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综合养护作业车</w:t>
            </w:r>
          </w:p>
        </w:tc>
        <w:tc>
          <w:tcPr>
            <w:tcW w:w="992"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2</w:t>
            </w:r>
          </w:p>
        </w:tc>
        <w:tc>
          <w:tcPr>
            <w:tcW w:w="1559"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综合养护</w:t>
            </w:r>
          </w:p>
        </w:tc>
        <w:tc>
          <w:tcPr>
            <w:tcW w:w="2835"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highlight w:val="none"/>
              </w:rPr>
            </w:pPr>
            <w:r>
              <w:rPr>
                <w:rFonts w:hint="eastAsia" w:ascii="宋体" w:hAnsi="宋体"/>
                <w:kern w:val="0"/>
                <w:sz w:val="20"/>
                <w:szCs w:val="20"/>
                <w:highlight w:val="none"/>
              </w:rPr>
              <w:t>自有或租赁</w:t>
            </w:r>
          </w:p>
        </w:tc>
      </w:tr>
    </w:tbl>
    <w:p>
      <w:pPr>
        <w:topLinePunct/>
        <w:adjustRightInd w:val="0"/>
        <w:snapToGrid w:val="0"/>
        <w:spacing w:line="360" w:lineRule="auto"/>
        <w:ind w:firstLine="420" w:firstLineChars="200"/>
        <w:rPr>
          <w:rFonts w:hint="eastAsia" w:ascii="宋体" w:hAnsi="宋体" w:cs="宋体"/>
          <w:snapToGrid w:val="0"/>
          <w:kern w:val="0"/>
          <w:szCs w:val="21"/>
          <w:highlight w:val="none"/>
        </w:rPr>
      </w:pPr>
      <w:bookmarkStart w:id="2" w:name="_Hlk90817084"/>
      <w:r>
        <w:rPr>
          <w:rFonts w:hint="eastAsia" w:ascii="宋体" w:hAnsi="宋体" w:cs="宋体"/>
          <w:snapToGrid w:val="0"/>
          <w:kern w:val="0"/>
          <w:szCs w:val="21"/>
          <w:highlight w:val="none"/>
        </w:rPr>
        <w:t>3、上述设备中车辆的尾气排放标准必须符合国家和上海市的有关标准。</w:t>
      </w:r>
      <w:r>
        <w:rPr>
          <w:rFonts w:hint="eastAsia" w:ascii="宋体" w:hAnsi="宋体"/>
          <w:b/>
          <w:bCs/>
          <w:highlight w:val="none"/>
        </w:rPr>
        <w:t>路面清扫车、清洗冲水车和封道车（和封道设备）的车龄不得超过6年。</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4、</w:t>
      </w:r>
      <w:bookmarkStart w:id="3" w:name="_Hlk151490152"/>
      <w:r>
        <w:rPr>
          <w:rFonts w:hint="eastAsia" w:ascii="宋体" w:hAnsi="宋体" w:cs="宋体"/>
          <w:snapToGrid w:val="0"/>
          <w:kern w:val="0"/>
          <w:szCs w:val="21"/>
          <w:highlight w:val="none"/>
        </w:rPr>
        <w:t>上述机械设备或作业车辆应由中标人自行配置，且应满足上述需求表中的数量和配置要求。自有机械设备、车辆须提供车辆行驶证或购买发票或拟采购合同（签订日期应在投标截止日之前）等证明材料（关键页一定要清晰可辨认）；已租赁的机械设备、车辆须提供租赁合同等证明材料（关键页一定要清晰可辨认）；拟分包的车辆应配有对应的《分包意向协议书》。</w:t>
      </w:r>
    </w:p>
    <w:bookmarkEnd w:id="3"/>
    <w:p>
      <w:pPr>
        <w:topLinePunct/>
        <w:adjustRightInd w:val="0"/>
        <w:snapToGrid w:val="0"/>
        <w:spacing w:line="360" w:lineRule="auto"/>
        <w:ind w:firstLine="420" w:firstLineChars="200"/>
        <w:rPr>
          <w:rFonts w:hint="eastAsia" w:ascii="宋体" w:hAnsi="宋体" w:cs="宋体"/>
          <w:snapToGrid w:val="0"/>
          <w:kern w:val="0"/>
          <w:szCs w:val="21"/>
          <w:highlight w:val="none"/>
        </w:rPr>
      </w:pPr>
      <w:bookmarkStart w:id="4" w:name="_Hlk151490159"/>
      <w:r>
        <w:rPr>
          <w:rFonts w:hint="eastAsia" w:ascii="宋体" w:hAnsi="宋体" w:cs="宋体"/>
          <w:snapToGrid w:val="0"/>
          <w:kern w:val="0"/>
          <w:szCs w:val="21"/>
          <w:highlight w:val="none"/>
        </w:rPr>
        <w:t>5、投标人在投标阶段若无自有机械设备、作业车辆的，须</w:t>
      </w:r>
      <w:r>
        <w:rPr>
          <w:rFonts w:hint="eastAsia" w:ascii="宋体" w:hAnsi="宋体" w:cs="宋体"/>
          <w:b/>
          <w:bCs/>
          <w:i/>
          <w:iCs/>
          <w:snapToGrid w:val="0"/>
          <w:kern w:val="0"/>
          <w:szCs w:val="21"/>
          <w:highlight w:val="none"/>
        </w:rPr>
        <w:t>承诺</w:t>
      </w:r>
      <w:r>
        <w:rPr>
          <w:rFonts w:hint="eastAsia" w:ascii="宋体" w:hAnsi="宋体" w:cs="宋体"/>
          <w:snapToGrid w:val="0"/>
          <w:kern w:val="0"/>
          <w:szCs w:val="21"/>
          <w:highlight w:val="none"/>
        </w:rPr>
        <w:t>中标后15天内解决满足本项目需求所有机械设备、作业车辆。</w:t>
      </w:r>
    </w:p>
    <w:bookmarkEnd w:id="4"/>
    <w:p>
      <w:pPr>
        <w:topLinePunct/>
        <w:adjustRightInd w:val="0"/>
        <w:snapToGrid w:val="0"/>
        <w:spacing w:line="360" w:lineRule="auto"/>
        <w:ind w:firstLine="420" w:firstLineChars="200"/>
        <w:rPr>
          <w:rFonts w:hint="eastAsia" w:ascii="宋体" w:hAnsi="宋体" w:cs="宋体"/>
          <w:snapToGrid w:val="0"/>
          <w:kern w:val="0"/>
          <w:szCs w:val="21"/>
          <w:highlight w:val="none"/>
        </w:rPr>
      </w:pPr>
      <w:bookmarkStart w:id="5" w:name="_Hlk151490172"/>
      <w:r>
        <w:rPr>
          <w:rFonts w:hint="eastAsia" w:ascii="宋体" w:hAnsi="宋体" w:cs="宋体"/>
          <w:snapToGrid w:val="0"/>
          <w:kern w:val="0"/>
          <w:szCs w:val="21"/>
          <w:highlight w:val="none"/>
        </w:rPr>
        <w:t>6、投标人应</w:t>
      </w:r>
      <w:r>
        <w:rPr>
          <w:rFonts w:hint="eastAsia" w:ascii="宋体" w:hAnsi="宋体" w:cs="宋体"/>
          <w:b/>
          <w:bCs/>
          <w:i/>
          <w:iCs/>
          <w:snapToGrid w:val="0"/>
          <w:kern w:val="0"/>
          <w:szCs w:val="21"/>
          <w:highlight w:val="none"/>
        </w:rPr>
        <w:t>承诺</w:t>
      </w:r>
      <w:r>
        <w:rPr>
          <w:rFonts w:hint="eastAsia" w:ascii="宋体" w:hAnsi="宋体" w:cs="宋体"/>
          <w:snapToGrid w:val="0"/>
          <w:kern w:val="0"/>
          <w:szCs w:val="21"/>
          <w:highlight w:val="none"/>
        </w:rPr>
        <w:t>一旦中标，将根据实际情况进一步提升日常养护工作的智能化水平，配置一定数量的智能巡查检测设备、日常巡查车辆须安装智能前端感知设备，所有一线养护作业车辆须安装GPS定位系统，并接入采购人的养护在线监管平台。</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中标人还应在用于本设施政府购买牵引服务的牵引车上安装GPS定位系统，GPS轨迹数据应直接接入养护在线监管平台。</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7、上述机械设备或作业车辆必须为本设施专用。中标人还应配备一定数量的针对突发事件或自然灾害的应急处置设备，若因突发事件或</w:t>
      </w:r>
      <w:bookmarkStart w:id="6" w:name="_Hlk90300767"/>
      <w:r>
        <w:rPr>
          <w:rFonts w:hint="eastAsia" w:ascii="宋体" w:hAnsi="宋体" w:cs="宋体"/>
          <w:snapToGrid w:val="0"/>
          <w:kern w:val="0"/>
          <w:szCs w:val="21"/>
          <w:highlight w:val="none"/>
        </w:rPr>
        <w:t>采购人要求需临时增加养护作业车辆设备</w:t>
      </w:r>
      <w:bookmarkEnd w:id="6"/>
      <w:r>
        <w:rPr>
          <w:rFonts w:hint="eastAsia" w:ascii="宋体" w:hAnsi="宋体" w:cs="宋体"/>
          <w:snapToGrid w:val="0"/>
          <w:kern w:val="0"/>
          <w:szCs w:val="21"/>
          <w:highlight w:val="none"/>
        </w:rPr>
        <w:t>的，中标人应予以无条件落实。</w:t>
      </w:r>
    </w:p>
    <w:bookmarkEnd w:id="2"/>
    <w:bookmarkEnd w:id="5"/>
    <w:p>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highlight w:val="none"/>
        </w:rPr>
      </w:pPr>
      <w:r>
        <w:rPr>
          <w:rFonts w:hint="eastAsia" w:ascii="宋体" w:hAnsi="宋体" w:cs="宋体"/>
          <w:b/>
          <w:snapToGrid w:val="0"/>
          <w:kern w:val="0"/>
          <w:szCs w:val="21"/>
          <w:highlight w:val="none"/>
        </w:rPr>
        <w:t>（三）养护基地配置基本要求</w:t>
      </w:r>
    </w:p>
    <w:p>
      <w:pPr>
        <w:topLinePunct/>
        <w:adjustRightInd w:val="0"/>
        <w:snapToGrid w:val="0"/>
        <w:spacing w:line="360" w:lineRule="auto"/>
        <w:ind w:firstLine="420" w:firstLineChars="200"/>
        <w:rPr>
          <w:rFonts w:hint="eastAsia" w:ascii="宋体" w:hAnsi="宋体" w:cs="宋体"/>
          <w:snapToGrid w:val="0"/>
          <w:kern w:val="0"/>
          <w:szCs w:val="21"/>
          <w:highlight w:val="none"/>
        </w:rPr>
      </w:pPr>
      <w:bookmarkStart w:id="7" w:name="_Hlk148275403"/>
      <w:r>
        <w:rPr>
          <w:rFonts w:hint="eastAsia" w:ascii="宋体" w:hAnsi="宋体" w:cs="宋体"/>
          <w:snapToGrid w:val="0"/>
          <w:kern w:val="0"/>
          <w:szCs w:val="21"/>
          <w:highlight w:val="none"/>
        </w:rPr>
        <w:t>1、采购人将为本项目提供以下管理用房：</w:t>
      </w:r>
    </w:p>
    <w:tbl>
      <w:tblPr>
        <w:tblStyle w:val="88"/>
        <w:tblW w:w="9067" w:type="dxa"/>
        <w:jc w:val="center"/>
        <w:tblLayout w:type="fixed"/>
        <w:tblCellMar>
          <w:top w:w="0" w:type="dxa"/>
          <w:left w:w="85" w:type="dxa"/>
          <w:bottom w:w="0" w:type="dxa"/>
          <w:right w:w="85" w:type="dxa"/>
        </w:tblCellMar>
      </w:tblPr>
      <w:tblGrid>
        <w:gridCol w:w="2122"/>
        <w:gridCol w:w="2268"/>
        <w:gridCol w:w="4677"/>
      </w:tblGrid>
      <w:tr>
        <w:tblPrEx>
          <w:tblCellMar>
            <w:top w:w="0" w:type="dxa"/>
            <w:left w:w="85" w:type="dxa"/>
            <w:bottom w:w="0" w:type="dxa"/>
            <w:right w:w="85" w:type="dxa"/>
          </w:tblCellMar>
        </w:tblPrEx>
        <w:trPr>
          <w:cantSplit/>
          <w:trHeight w:val="539" w:hRule="atLeast"/>
          <w:jc w:val="center"/>
        </w:trPr>
        <w:tc>
          <w:tcPr>
            <w:tcW w:w="212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sz w:val="20"/>
                <w:szCs w:val="20"/>
                <w:highlight w:val="none"/>
              </w:rPr>
            </w:pPr>
            <w:r>
              <w:rPr>
                <w:rFonts w:hint="eastAsia" w:ascii="宋体" w:hAnsi="宋体" w:cs="宋体"/>
                <w:sz w:val="20"/>
                <w:szCs w:val="20"/>
                <w:highlight w:val="none"/>
              </w:rPr>
              <w:t>基地名称</w:t>
            </w:r>
          </w:p>
        </w:tc>
        <w:tc>
          <w:tcPr>
            <w:tcW w:w="226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
                <w:bCs/>
                <w:sz w:val="20"/>
                <w:szCs w:val="20"/>
                <w:highlight w:val="none"/>
              </w:rPr>
            </w:pPr>
            <w:r>
              <w:rPr>
                <w:rFonts w:hint="eastAsia" w:ascii="宋体" w:hAnsi="宋体" w:cs="宋体"/>
                <w:sz w:val="20"/>
                <w:szCs w:val="20"/>
                <w:highlight w:val="none"/>
              </w:rPr>
              <w:t>地址</w:t>
            </w:r>
          </w:p>
        </w:tc>
        <w:tc>
          <w:tcPr>
            <w:tcW w:w="467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
                <w:bCs/>
                <w:sz w:val="20"/>
                <w:szCs w:val="20"/>
                <w:highlight w:val="none"/>
              </w:rPr>
            </w:pPr>
            <w:r>
              <w:rPr>
                <w:rFonts w:hint="eastAsia" w:ascii="宋体" w:hAnsi="宋体" w:cs="宋体"/>
                <w:sz w:val="20"/>
                <w:szCs w:val="20"/>
                <w:highlight w:val="none"/>
              </w:rPr>
              <w:t>面积</w:t>
            </w:r>
          </w:p>
        </w:tc>
      </w:tr>
      <w:tr>
        <w:tblPrEx>
          <w:tblCellMar>
            <w:top w:w="0" w:type="dxa"/>
            <w:left w:w="85" w:type="dxa"/>
            <w:bottom w:w="0" w:type="dxa"/>
            <w:right w:w="85" w:type="dxa"/>
          </w:tblCellMar>
        </w:tblPrEx>
        <w:trPr>
          <w:cantSplit/>
          <w:trHeight w:val="539" w:hRule="atLeast"/>
          <w:jc w:val="center"/>
        </w:trPr>
        <w:tc>
          <w:tcPr>
            <w:tcW w:w="212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rPr>
              <w:t>北虹路监控中心</w:t>
            </w:r>
          </w:p>
        </w:tc>
        <w:tc>
          <w:tcPr>
            <w:tcW w:w="226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sz w:val="20"/>
                <w:szCs w:val="20"/>
                <w:highlight w:val="none"/>
              </w:rPr>
            </w:pPr>
            <w:r>
              <w:rPr>
                <w:rFonts w:hint="eastAsia" w:ascii="宋体" w:hAnsi="宋体"/>
                <w:sz w:val="20"/>
                <w:szCs w:val="20"/>
                <w:highlight w:val="none"/>
              </w:rPr>
              <w:t>虹古路427弄28号</w:t>
            </w:r>
          </w:p>
        </w:tc>
        <w:tc>
          <w:tcPr>
            <w:tcW w:w="4677" w:type="dxa"/>
            <w:tcBorders>
              <w:top w:val="single" w:color="auto" w:sz="4" w:space="0"/>
              <w:left w:val="nil"/>
              <w:bottom w:val="single" w:color="auto" w:sz="4" w:space="0"/>
              <w:right w:val="single" w:color="auto" w:sz="4" w:space="0"/>
            </w:tcBorders>
            <w:vAlign w:val="center"/>
          </w:tcPr>
          <w:p>
            <w:pPr>
              <w:jc w:val="center"/>
              <w:rPr>
                <w:rFonts w:hint="eastAsia" w:ascii="宋体" w:hAnsi="宋体" w:cs="宋体"/>
                <w:sz w:val="20"/>
                <w:szCs w:val="20"/>
                <w:highlight w:val="none"/>
              </w:rPr>
            </w:pPr>
            <w:r>
              <w:rPr>
                <w:rFonts w:hint="eastAsia" w:ascii="宋体" w:hAnsi="宋体" w:cs="宋体"/>
                <w:sz w:val="20"/>
                <w:szCs w:val="20"/>
                <w:highlight w:val="none"/>
              </w:rPr>
              <w:t>占地面积：8</w:t>
            </w:r>
            <w:r>
              <w:rPr>
                <w:rFonts w:ascii="宋体" w:hAnsi="宋体" w:cs="宋体"/>
                <w:sz w:val="20"/>
                <w:szCs w:val="20"/>
                <w:highlight w:val="none"/>
              </w:rPr>
              <w:t>000m</w:t>
            </w:r>
            <w:r>
              <w:rPr>
                <w:rFonts w:ascii="宋体" w:hAnsi="宋体" w:cs="宋体"/>
                <w:sz w:val="20"/>
                <w:szCs w:val="20"/>
                <w:highlight w:val="none"/>
                <w:vertAlign w:val="superscript"/>
              </w:rPr>
              <w:t>2</w:t>
            </w:r>
            <w:r>
              <w:rPr>
                <w:rFonts w:hint="eastAsia" w:ascii="宋体" w:hAnsi="宋体" w:cs="宋体"/>
                <w:sz w:val="20"/>
                <w:szCs w:val="20"/>
                <w:highlight w:val="none"/>
              </w:rPr>
              <w:t>；建筑面积：1364㎡</w:t>
            </w:r>
          </w:p>
          <w:p>
            <w:pPr>
              <w:widowControl/>
              <w:jc w:val="center"/>
              <w:rPr>
                <w:rFonts w:hint="eastAsia" w:ascii="宋体" w:hAnsi="宋体" w:cs="宋体"/>
                <w:sz w:val="20"/>
                <w:szCs w:val="20"/>
                <w:highlight w:val="none"/>
              </w:rPr>
            </w:pPr>
            <w:r>
              <w:rPr>
                <w:rFonts w:ascii="宋体" w:hAnsi="宋体" w:cs="宋体"/>
                <w:sz w:val="20"/>
                <w:szCs w:val="20"/>
                <w:highlight w:val="none"/>
              </w:rPr>
              <w:t>布置情况：B1层</w:t>
            </w:r>
            <w:r>
              <w:rPr>
                <w:rFonts w:hint="eastAsia" w:ascii="宋体" w:hAnsi="宋体" w:cs="宋体"/>
                <w:sz w:val="20"/>
                <w:szCs w:val="20"/>
                <w:highlight w:val="none"/>
              </w:rPr>
              <w:t>4间，1层</w:t>
            </w:r>
            <w:r>
              <w:rPr>
                <w:rFonts w:ascii="宋体" w:hAnsi="宋体" w:cs="宋体"/>
                <w:sz w:val="20"/>
                <w:szCs w:val="20"/>
                <w:highlight w:val="none"/>
              </w:rPr>
              <w:t>8</w:t>
            </w:r>
            <w:r>
              <w:rPr>
                <w:rFonts w:hint="eastAsia" w:ascii="宋体" w:hAnsi="宋体" w:cs="宋体"/>
                <w:sz w:val="20"/>
                <w:szCs w:val="20"/>
                <w:highlight w:val="none"/>
              </w:rPr>
              <w:t>间</w:t>
            </w:r>
          </w:p>
        </w:tc>
      </w:tr>
      <w:tr>
        <w:tblPrEx>
          <w:tblCellMar>
            <w:top w:w="0" w:type="dxa"/>
            <w:left w:w="85" w:type="dxa"/>
            <w:bottom w:w="0" w:type="dxa"/>
            <w:right w:w="85" w:type="dxa"/>
          </w:tblCellMar>
        </w:tblPrEx>
        <w:trPr>
          <w:cantSplit/>
          <w:trHeight w:val="539" w:hRule="atLeast"/>
          <w:jc w:val="center"/>
        </w:trPr>
        <w:tc>
          <w:tcPr>
            <w:tcW w:w="212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rPr>
              <w:t>周家嘴路基地（桥孔）</w:t>
            </w:r>
          </w:p>
        </w:tc>
        <w:tc>
          <w:tcPr>
            <w:tcW w:w="226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sz w:val="20"/>
                <w:szCs w:val="20"/>
                <w:highlight w:val="none"/>
              </w:rPr>
            </w:pPr>
            <w:r>
              <w:rPr>
                <w:rFonts w:hint="eastAsia" w:ascii="宋体" w:hAnsi="宋体"/>
                <w:sz w:val="20"/>
                <w:szCs w:val="20"/>
                <w:highlight w:val="none"/>
              </w:rPr>
              <w:t>军工路300号甲</w:t>
            </w:r>
          </w:p>
        </w:tc>
        <w:tc>
          <w:tcPr>
            <w:tcW w:w="4677" w:type="dxa"/>
            <w:tcBorders>
              <w:top w:val="single" w:color="auto" w:sz="4" w:space="0"/>
              <w:left w:val="nil"/>
              <w:bottom w:val="single" w:color="auto" w:sz="4" w:space="0"/>
              <w:right w:val="single" w:color="auto" w:sz="4" w:space="0"/>
            </w:tcBorders>
            <w:vAlign w:val="center"/>
          </w:tcPr>
          <w:p>
            <w:pPr>
              <w:jc w:val="center"/>
              <w:rPr>
                <w:rFonts w:hint="eastAsia" w:ascii="宋体" w:hAnsi="宋体" w:cs="宋体"/>
                <w:sz w:val="20"/>
                <w:szCs w:val="20"/>
                <w:highlight w:val="none"/>
              </w:rPr>
            </w:pPr>
            <w:r>
              <w:rPr>
                <w:rFonts w:hint="eastAsia" w:ascii="宋体" w:hAnsi="宋体" w:cs="宋体"/>
                <w:sz w:val="20"/>
                <w:szCs w:val="20"/>
                <w:highlight w:val="none"/>
              </w:rPr>
              <w:t>占地面积：3</w:t>
            </w:r>
            <w:r>
              <w:rPr>
                <w:rFonts w:ascii="宋体" w:hAnsi="宋体" w:cs="宋体"/>
                <w:sz w:val="20"/>
                <w:szCs w:val="20"/>
                <w:highlight w:val="none"/>
              </w:rPr>
              <w:t>500m</w:t>
            </w:r>
            <w:r>
              <w:rPr>
                <w:rFonts w:ascii="宋体" w:hAnsi="宋体" w:cs="宋体"/>
                <w:sz w:val="20"/>
                <w:szCs w:val="20"/>
                <w:highlight w:val="none"/>
                <w:vertAlign w:val="superscript"/>
              </w:rPr>
              <w:t>2</w:t>
            </w:r>
            <w:r>
              <w:rPr>
                <w:rFonts w:hint="eastAsia" w:ascii="宋体" w:hAnsi="宋体" w:cs="宋体"/>
                <w:sz w:val="20"/>
                <w:szCs w:val="20"/>
                <w:highlight w:val="none"/>
              </w:rPr>
              <w:t>；建筑面积：463.5㎡</w:t>
            </w:r>
          </w:p>
          <w:p>
            <w:pPr>
              <w:widowControl/>
              <w:jc w:val="center"/>
              <w:rPr>
                <w:rFonts w:hint="eastAsia" w:ascii="宋体" w:hAnsi="宋体" w:cs="宋体"/>
                <w:sz w:val="20"/>
                <w:szCs w:val="20"/>
                <w:highlight w:val="none"/>
              </w:rPr>
            </w:pPr>
            <w:r>
              <w:rPr>
                <w:rFonts w:ascii="宋体" w:hAnsi="宋体" w:cs="宋体"/>
                <w:sz w:val="20"/>
                <w:szCs w:val="20"/>
                <w:highlight w:val="none"/>
              </w:rPr>
              <w:t>布置情况：</w:t>
            </w:r>
            <w:r>
              <w:rPr>
                <w:rFonts w:hint="eastAsia" w:ascii="宋体" w:hAnsi="宋体" w:cs="宋体"/>
                <w:sz w:val="20"/>
                <w:szCs w:val="20"/>
                <w:highlight w:val="none"/>
              </w:rPr>
              <w:t>1层15间</w:t>
            </w:r>
          </w:p>
        </w:tc>
      </w:tr>
      <w:tr>
        <w:tblPrEx>
          <w:tblCellMar>
            <w:top w:w="0" w:type="dxa"/>
            <w:left w:w="85" w:type="dxa"/>
            <w:bottom w:w="0" w:type="dxa"/>
            <w:right w:w="85" w:type="dxa"/>
          </w:tblCellMar>
        </w:tblPrEx>
        <w:trPr>
          <w:cantSplit/>
          <w:trHeight w:val="539" w:hRule="atLeast"/>
          <w:jc w:val="center"/>
        </w:trPr>
        <w:tc>
          <w:tcPr>
            <w:tcW w:w="212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rPr>
              <w:t>梅川路基地（桥孔）</w:t>
            </w:r>
          </w:p>
        </w:tc>
        <w:tc>
          <w:tcPr>
            <w:tcW w:w="2268" w:type="dxa"/>
            <w:tcBorders>
              <w:top w:val="nil"/>
              <w:left w:val="nil"/>
              <w:bottom w:val="single" w:color="auto" w:sz="4" w:space="0"/>
              <w:right w:val="single" w:color="auto" w:sz="4" w:space="0"/>
            </w:tcBorders>
            <w:vAlign w:val="center"/>
          </w:tcPr>
          <w:p>
            <w:pPr>
              <w:jc w:val="center"/>
              <w:rPr>
                <w:rFonts w:hint="eastAsia" w:ascii="宋体" w:hAnsi="宋体"/>
                <w:sz w:val="20"/>
                <w:szCs w:val="20"/>
                <w:highlight w:val="none"/>
              </w:rPr>
            </w:pPr>
            <w:r>
              <w:rPr>
                <w:rFonts w:hint="eastAsia" w:ascii="宋体" w:hAnsi="宋体"/>
                <w:sz w:val="20"/>
                <w:szCs w:val="20"/>
                <w:highlight w:val="none"/>
              </w:rPr>
              <w:t>真北路1265号</w:t>
            </w:r>
          </w:p>
        </w:tc>
        <w:tc>
          <w:tcPr>
            <w:tcW w:w="4677" w:type="dxa"/>
            <w:tcBorders>
              <w:top w:val="nil"/>
              <w:left w:val="nil"/>
              <w:bottom w:val="single" w:color="auto" w:sz="4" w:space="0"/>
              <w:right w:val="single" w:color="auto" w:sz="4" w:space="0"/>
            </w:tcBorders>
            <w:vAlign w:val="center"/>
          </w:tcPr>
          <w:p>
            <w:pPr>
              <w:jc w:val="center"/>
              <w:rPr>
                <w:rFonts w:hint="eastAsia" w:ascii="宋体" w:hAnsi="宋体" w:cs="宋体"/>
                <w:sz w:val="20"/>
                <w:szCs w:val="20"/>
                <w:highlight w:val="none"/>
              </w:rPr>
            </w:pPr>
            <w:r>
              <w:rPr>
                <w:rFonts w:hint="eastAsia" w:ascii="宋体" w:hAnsi="宋体" w:cs="宋体"/>
                <w:sz w:val="20"/>
                <w:szCs w:val="20"/>
                <w:highlight w:val="none"/>
              </w:rPr>
              <w:t>占地面积：3300</w:t>
            </w:r>
            <w:r>
              <w:rPr>
                <w:rFonts w:ascii="宋体" w:hAnsi="宋体" w:cs="宋体"/>
                <w:sz w:val="20"/>
                <w:szCs w:val="20"/>
                <w:highlight w:val="none"/>
              </w:rPr>
              <w:t>m</w:t>
            </w:r>
            <w:r>
              <w:rPr>
                <w:rFonts w:ascii="宋体" w:hAnsi="宋体" w:cs="宋体"/>
                <w:sz w:val="20"/>
                <w:szCs w:val="20"/>
                <w:highlight w:val="none"/>
                <w:vertAlign w:val="superscript"/>
              </w:rPr>
              <w:t>2</w:t>
            </w:r>
            <w:r>
              <w:rPr>
                <w:rFonts w:hint="eastAsia" w:ascii="宋体" w:hAnsi="宋体" w:cs="宋体"/>
                <w:sz w:val="20"/>
                <w:szCs w:val="20"/>
                <w:highlight w:val="none"/>
              </w:rPr>
              <w:t>；建筑面积：618㎡</w:t>
            </w:r>
          </w:p>
          <w:p>
            <w:pPr>
              <w:jc w:val="center"/>
              <w:rPr>
                <w:rFonts w:hint="eastAsia" w:ascii="宋体" w:hAnsi="宋体" w:cs="宋体"/>
                <w:sz w:val="20"/>
                <w:szCs w:val="20"/>
                <w:highlight w:val="none"/>
              </w:rPr>
            </w:pPr>
            <w:r>
              <w:rPr>
                <w:rFonts w:ascii="宋体" w:hAnsi="宋体" w:cs="宋体"/>
                <w:sz w:val="20"/>
                <w:szCs w:val="20"/>
                <w:highlight w:val="none"/>
              </w:rPr>
              <w:t>布置情况：</w:t>
            </w:r>
            <w:r>
              <w:rPr>
                <w:rFonts w:hint="eastAsia" w:ascii="宋体" w:hAnsi="宋体" w:cs="宋体"/>
                <w:sz w:val="20"/>
                <w:szCs w:val="20"/>
                <w:highlight w:val="none"/>
              </w:rPr>
              <w:t>1层</w:t>
            </w:r>
            <w:r>
              <w:rPr>
                <w:rFonts w:ascii="宋体" w:hAnsi="宋体" w:cs="宋体"/>
                <w:sz w:val="20"/>
                <w:szCs w:val="20"/>
                <w:highlight w:val="none"/>
              </w:rPr>
              <w:t>22</w:t>
            </w:r>
            <w:r>
              <w:rPr>
                <w:rFonts w:hint="eastAsia" w:ascii="宋体" w:hAnsi="宋体" w:cs="宋体"/>
                <w:sz w:val="20"/>
                <w:szCs w:val="20"/>
                <w:highlight w:val="none"/>
              </w:rPr>
              <w:t>间</w:t>
            </w:r>
          </w:p>
        </w:tc>
      </w:tr>
      <w:tr>
        <w:tblPrEx>
          <w:tblCellMar>
            <w:top w:w="0" w:type="dxa"/>
            <w:left w:w="85" w:type="dxa"/>
            <w:bottom w:w="0" w:type="dxa"/>
            <w:right w:w="85" w:type="dxa"/>
          </w:tblCellMar>
        </w:tblPrEx>
        <w:trPr>
          <w:cantSplit/>
          <w:trHeight w:val="539" w:hRule="atLeast"/>
          <w:jc w:val="center"/>
        </w:trPr>
        <w:tc>
          <w:tcPr>
            <w:tcW w:w="212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0"/>
                <w:szCs w:val="20"/>
                <w:highlight w:val="none"/>
                <w:lang w:bidi="ar"/>
              </w:rPr>
            </w:pPr>
            <w:r>
              <w:rPr>
                <w:rFonts w:hint="eastAsia" w:ascii="宋体" w:hAnsi="宋体" w:cs="宋体"/>
                <w:sz w:val="20"/>
                <w:szCs w:val="20"/>
                <w:highlight w:val="none"/>
              </w:rPr>
              <w:t>中山北二路基地（桥孔）</w:t>
            </w:r>
          </w:p>
        </w:tc>
        <w:tc>
          <w:tcPr>
            <w:tcW w:w="2268" w:type="dxa"/>
            <w:tcBorders>
              <w:top w:val="single" w:color="auto" w:sz="4" w:space="0"/>
              <w:left w:val="nil"/>
              <w:bottom w:val="single" w:color="auto" w:sz="4" w:space="0"/>
              <w:right w:val="single" w:color="auto" w:sz="4" w:space="0"/>
            </w:tcBorders>
            <w:vAlign w:val="center"/>
          </w:tcPr>
          <w:p>
            <w:pPr>
              <w:jc w:val="center"/>
              <w:rPr>
                <w:rFonts w:hint="eastAsia" w:ascii="宋体" w:hAnsi="宋体" w:cs="宋体"/>
                <w:sz w:val="20"/>
                <w:szCs w:val="20"/>
                <w:highlight w:val="none"/>
                <w:lang w:bidi="ar"/>
              </w:rPr>
            </w:pPr>
            <w:r>
              <w:rPr>
                <w:rFonts w:hint="eastAsia" w:ascii="宋体" w:hAnsi="宋体"/>
                <w:sz w:val="20"/>
                <w:szCs w:val="20"/>
                <w:highlight w:val="none"/>
              </w:rPr>
              <w:t>中山北二路1976号</w:t>
            </w:r>
          </w:p>
        </w:tc>
        <w:tc>
          <w:tcPr>
            <w:tcW w:w="4677" w:type="dxa"/>
            <w:tcBorders>
              <w:top w:val="single" w:color="auto" w:sz="4" w:space="0"/>
              <w:left w:val="nil"/>
              <w:bottom w:val="single" w:color="auto" w:sz="4" w:space="0"/>
              <w:right w:val="single" w:color="auto" w:sz="4" w:space="0"/>
            </w:tcBorders>
            <w:vAlign w:val="center"/>
          </w:tcPr>
          <w:p>
            <w:pPr>
              <w:jc w:val="center"/>
              <w:rPr>
                <w:rFonts w:hint="eastAsia" w:ascii="宋体" w:hAnsi="宋体" w:cs="宋体"/>
                <w:sz w:val="20"/>
                <w:szCs w:val="20"/>
                <w:highlight w:val="none"/>
              </w:rPr>
            </w:pPr>
            <w:r>
              <w:rPr>
                <w:rFonts w:hint="eastAsia" w:ascii="宋体" w:hAnsi="宋体" w:cs="宋体"/>
                <w:sz w:val="20"/>
                <w:szCs w:val="20"/>
                <w:highlight w:val="none"/>
              </w:rPr>
              <w:t>占地面积：1300</w:t>
            </w:r>
            <w:r>
              <w:rPr>
                <w:rFonts w:ascii="宋体" w:hAnsi="宋体" w:cs="宋体"/>
                <w:sz w:val="20"/>
                <w:szCs w:val="20"/>
                <w:highlight w:val="none"/>
              </w:rPr>
              <w:t>m</w:t>
            </w:r>
            <w:r>
              <w:rPr>
                <w:rFonts w:ascii="宋体" w:hAnsi="宋体" w:cs="宋体"/>
                <w:sz w:val="20"/>
                <w:szCs w:val="20"/>
                <w:highlight w:val="none"/>
                <w:vertAlign w:val="superscript"/>
              </w:rPr>
              <w:t>2</w:t>
            </w:r>
            <w:r>
              <w:rPr>
                <w:rFonts w:hint="eastAsia" w:ascii="宋体" w:hAnsi="宋体" w:cs="宋体"/>
                <w:sz w:val="20"/>
                <w:szCs w:val="20"/>
                <w:highlight w:val="none"/>
              </w:rPr>
              <w:t>；建筑面积：217.3㎡</w:t>
            </w:r>
          </w:p>
          <w:p>
            <w:pPr>
              <w:jc w:val="center"/>
              <w:rPr>
                <w:rFonts w:hint="eastAsia" w:ascii="宋体" w:hAnsi="宋体" w:cs="宋体"/>
                <w:sz w:val="20"/>
                <w:szCs w:val="20"/>
                <w:highlight w:val="none"/>
                <w:lang w:bidi="ar"/>
              </w:rPr>
            </w:pPr>
            <w:r>
              <w:rPr>
                <w:rFonts w:ascii="宋体" w:hAnsi="宋体" w:cs="宋体"/>
                <w:sz w:val="20"/>
                <w:szCs w:val="20"/>
                <w:highlight w:val="none"/>
              </w:rPr>
              <w:t>布置情况：</w:t>
            </w:r>
            <w:r>
              <w:rPr>
                <w:rFonts w:hint="eastAsia" w:ascii="宋体" w:hAnsi="宋体" w:cs="宋体"/>
                <w:sz w:val="20"/>
                <w:szCs w:val="20"/>
                <w:highlight w:val="none"/>
              </w:rPr>
              <w:t>1层</w:t>
            </w:r>
            <w:r>
              <w:rPr>
                <w:rFonts w:ascii="宋体" w:hAnsi="宋体" w:cs="宋体"/>
                <w:sz w:val="20"/>
                <w:szCs w:val="20"/>
                <w:highlight w:val="none"/>
              </w:rPr>
              <w:t>4</w:t>
            </w:r>
            <w:r>
              <w:rPr>
                <w:rFonts w:hint="eastAsia" w:ascii="宋体" w:hAnsi="宋体" w:cs="宋体"/>
                <w:sz w:val="20"/>
                <w:szCs w:val="20"/>
                <w:highlight w:val="none"/>
              </w:rPr>
              <w:t>间</w:t>
            </w:r>
          </w:p>
        </w:tc>
      </w:tr>
      <w:tr>
        <w:tblPrEx>
          <w:tblCellMar>
            <w:top w:w="0" w:type="dxa"/>
            <w:left w:w="85" w:type="dxa"/>
            <w:bottom w:w="0" w:type="dxa"/>
            <w:right w:w="85" w:type="dxa"/>
          </w:tblCellMar>
        </w:tblPrEx>
        <w:trPr>
          <w:cantSplit/>
          <w:trHeight w:val="539" w:hRule="atLeast"/>
          <w:jc w:val="center"/>
        </w:trPr>
        <w:tc>
          <w:tcPr>
            <w:tcW w:w="212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0"/>
                <w:szCs w:val="20"/>
                <w:highlight w:val="none"/>
                <w:lang w:bidi="ar"/>
              </w:rPr>
            </w:pPr>
            <w:r>
              <w:rPr>
                <w:rFonts w:hint="eastAsia" w:ascii="宋体" w:hAnsi="宋体" w:cs="宋体"/>
                <w:sz w:val="20"/>
                <w:szCs w:val="20"/>
                <w:highlight w:val="none"/>
              </w:rPr>
              <w:t>云岭西路基地（桥孔）</w:t>
            </w:r>
          </w:p>
        </w:tc>
        <w:tc>
          <w:tcPr>
            <w:tcW w:w="2268" w:type="dxa"/>
            <w:tcBorders>
              <w:top w:val="single" w:color="auto" w:sz="4" w:space="0"/>
              <w:left w:val="nil"/>
              <w:bottom w:val="single" w:color="auto" w:sz="4" w:space="0"/>
              <w:right w:val="single" w:color="auto" w:sz="4" w:space="0"/>
            </w:tcBorders>
            <w:vAlign w:val="center"/>
          </w:tcPr>
          <w:p>
            <w:pPr>
              <w:jc w:val="center"/>
              <w:rPr>
                <w:rFonts w:hint="eastAsia" w:ascii="宋体" w:hAnsi="宋体" w:cs="宋体"/>
                <w:sz w:val="20"/>
                <w:szCs w:val="20"/>
                <w:highlight w:val="none"/>
                <w:lang w:bidi="ar"/>
              </w:rPr>
            </w:pPr>
            <w:r>
              <w:rPr>
                <w:rFonts w:hint="eastAsia" w:ascii="宋体" w:hAnsi="宋体"/>
                <w:sz w:val="20"/>
                <w:szCs w:val="20"/>
                <w:highlight w:val="none"/>
              </w:rPr>
              <w:t>云岭西路28号</w:t>
            </w:r>
          </w:p>
        </w:tc>
        <w:tc>
          <w:tcPr>
            <w:tcW w:w="4677" w:type="dxa"/>
            <w:tcBorders>
              <w:top w:val="single" w:color="auto" w:sz="4" w:space="0"/>
              <w:left w:val="nil"/>
              <w:bottom w:val="single" w:color="auto" w:sz="4" w:space="0"/>
              <w:right w:val="single" w:color="auto" w:sz="4" w:space="0"/>
            </w:tcBorders>
            <w:vAlign w:val="center"/>
          </w:tcPr>
          <w:p>
            <w:pPr>
              <w:jc w:val="center"/>
              <w:rPr>
                <w:rFonts w:hint="eastAsia" w:ascii="宋体" w:hAnsi="宋体" w:cs="宋体"/>
                <w:sz w:val="20"/>
                <w:szCs w:val="20"/>
                <w:highlight w:val="none"/>
              </w:rPr>
            </w:pPr>
            <w:r>
              <w:rPr>
                <w:rFonts w:hint="eastAsia" w:ascii="宋体" w:hAnsi="宋体" w:cs="宋体"/>
                <w:sz w:val="20"/>
                <w:szCs w:val="20"/>
                <w:highlight w:val="none"/>
              </w:rPr>
              <w:t>占地面积：</w:t>
            </w:r>
            <w:r>
              <w:rPr>
                <w:rFonts w:ascii="宋体" w:hAnsi="宋体" w:cs="宋体"/>
                <w:sz w:val="20"/>
                <w:szCs w:val="20"/>
                <w:highlight w:val="none"/>
              </w:rPr>
              <w:t>3000m</w:t>
            </w:r>
            <w:r>
              <w:rPr>
                <w:rFonts w:ascii="宋体" w:hAnsi="宋体" w:cs="宋体"/>
                <w:sz w:val="20"/>
                <w:szCs w:val="20"/>
                <w:highlight w:val="none"/>
                <w:vertAlign w:val="superscript"/>
              </w:rPr>
              <w:t>2</w:t>
            </w:r>
            <w:r>
              <w:rPr>
                <w:rFonts w:hint="eastAsia" w:ascii="宋体" w:hAnsi="宋体" w:cs="宋体"/>
                <w:sz w:val="20"/>
                <w:szCs w:val="20"/>
                <w:highlight w:val="none"/>
              </w:rPr>
              <w:t>；建筑面积：219.6㎡</w:t>
            </w:r>
          </w:p>
          <w:p>
            <w:pPr>
              <w:jc w:val="center"/>
              <w:rPr>
                <w:rFonts w:hint="eastAsia" w:ascii="宋体" w:hAnsi="宋体" w:cs="宋体"/>
                <w:sz w:val="20"/>
                <w:szCs w:val="20"/>
                <w:highlight w:val="none"/>
                <w:lang w:bidi="ar"/>
              </w:rPr>
            </w:pPr>
            <w:r>
              <w:rPr>
                <w:rFonts w:ascii="宋体" w:hAnsi="宋体" w:cs="宋体"/>
                <w:sz w:val="20"/>
                <w:szCs w:val="20"/>
                <w:highlight w:val="none"/>
              </w:rPr>
              <w:t>布置情况：</w:t>
            </w:r>
            <w:r>
              <w:rPr>
                <w:rFonts w:hint="eastAsia" w:ascii="宋体" w:hAnsi="宋体" w:cs="宋体"/>
                <w:sz w:val="20"/>
                <w:szCs w:val="20"/>
                <w:highlight w:val="none"/>
              </w:rPr>
              <w:t>1层</w:t>
            </w:r>
            <w:r>
              <w:rPr>
                <w:rFonts w:ascii="宋体" w:hAnsi="宋体" w:cs="宋体"/>
                <w:sz w:val="20"/>
                <w:szCs w:val="20"/>
                <w:highlight w:val="none"/>
              </w:rPr>
              <w:t>18</w:t>
            </w:r>
            <w:r>
              <w:rPr>
                <w:rFonts w:hint="eastAsia" w:ascii="宋体" w:hAnsi="宋体" w:cs="宋体"/>
                <w:sz w:val="20"/>
                <w:szCs w:val="20"/>
                <w:highlight w:val="none"/>
              </w:rPr>
              <w:t>间</w:t>
            </w:r>
          </w:p>
        </w:tc>
      </w:tr>
      <w:tr>
        <w:tblPrEx>
          <w:tblCellMar>
            <w:top w:w="0" w:type="dxa"/>
            <w:left w:w="85" w:type="dxa"/>
            <w:bottom w:w="0" w:type="dxa"/>
            <w:right w:w="85" w:type="dxa"/>
          </w:tblCellMar>
        </w:tblPrEx>
        <w:trPr>
          <w:cantSplit/>
          <w:trHeight w:val="539" w:hRule="atLeast"/>
          <w:jc w:val="center"/>
        </w:trPr>
        <w:tc>
          <w:tcPr>
            <w:tcW w:w="212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0"/>
                <w:szCs w:val="20"/>
                <w:highlight w:val="none"/>
                <w:lang w:bidi="ar"/>
              </w:rPr>
            </w:pPr>
            <w:r>
              <w:rPr>
                <w:rFonts w:hint="eastAsia" w:ascii="宋体" w:hAnsi="宋体" w:cs="宋体"/>
                <w:sz w:val="20"/>
                <w:szCs w:val="20"/>
                <w:highlight w:val="none"/>
              </w:rPr>
              <w:t>广中路基地</w:t>
            </w:r>
          </w:p>
        </w:tc>
        <w:tc>
          <w:tcPr>
            <w:tcW w:w="2268" w:type="dxa"/>
            <w:tcBorders>
              <w:top w:val="single" w:color="auto" w:sz="4" w:space="0"/>
              <w:left w:val="nil"/>
              <w:bottom w:val="single" w:color="auto" w:sz="4" w:space="0"/>
              <w:right w:val="single" w:color="auto" w:sz="4" w:space="0"/>
            </w:tcBorders>
            <w:vAlign w:val="center"/>
          </w:tcPr>
          <w:p>
            <w:pPr>
              <w:jc w:val="center"/>
              <w:rPr>
                <w:rFonts w:hint="eastAsia" w:ascii="宋体" w:hAnsi="宋体" w:cs="宋体"/>
                <w:sz w:val="20"/>
                <w:szCs w:val="20"/>
                <w:highlight w:val="none"/>
                <w:lang w:bidi="ar"/>
              </w:rPr>
            </w:pPr>
            <w:r>
              <w:rPr>
                <w:rFonts w:hint="eastAsia" w:ascii="宋体" w:hAnsi="宋体"/>
                <w:sz w:val="20"/>
                <w:szCs w:val="20"/>
                <w:highlight w:val="none"/>
              </w:rPr>
              <w:t>广中路409号</w:t>
            </w:r>
          </w:p>
        </w:tc>
        <w:tc>
          <w:tcPr>
            <w:tcW w:w="4677" w:type="dxa"/>
            <w:tcBorders>
              <w:top w:val="single" w:color="auto" w:sz="4" w:space="0"/>
              <w:left w:val="nil"/>
              <w:bottom w:val="single" w:color="auto" w:sz="4" w:space="0"/>
              <w:right w:val="single" w:color="auto" w:sz="4" w:space="0"/>
            </w:tcBorders>
            <w:vAlign w:val="center"/>
          </w:tcPr>
          <w:p>
            <w:pPr>
              <w:jc w:val="center"/>
              <w:rPr>
                <w:rFonts w:hint="eastAsia" w:ascii="宋体" w:hAnsi="宋体" w:cs="宋体"/>
                <w:sz w:val="20"/>
                <w:szCs w:val="20"/>
                <w:highlight w:val="none"/>
                <w:lang w:bidi="ar"/>
              </w:rPr>
            </w:pPr>
            <w:r>
              <w:rPr>
                <w:rFonts w:hint="eastAsia" w:ascii="宋体" w:hAnsi="宋体" w:cs="宋体"/>
                <w:sz w:val="20"/>
                <w:szCs w:val="20"/>
                <w:highlight w:val="none"/>
              </w:rPr>
              <w:t>占地面积</w:t>
            </w:r>
            <w:r>
              <w:rPr>
                <w:rFonts w:ascii="宋体" w:hAnsi="宋体" w:cs="宋体"/>
                <w:sz w:val="20"/>
                <w:szCs w:val="20"/>
                <w:highlight w:val="none"/>
              </w:rPr>
              <w:t>1800</w:t>
            </w:r>
            <w:r>
              <w:rPr>
                <w:rFonts w:hint="eastAsia" w:ascii="宋体" w:hAnsi="宋体" w:cs="宋体"/>
                <w:sz w:val="20"/>
                <w:szCs w:val="20"/>
                <w:highlight w:val="none"/>
              </w:rPr>
              <w:t>㎡</w:t>
            </w:r>
            <w:r>
              <w:rPr>
                <w:rFonts w:ascii="宋体" w:hAnsi="宋体" w:cs="宋体"/>
                <w:sz w:val="20"/>
                <w:szCs w:val="20"/>
                <w:highlight w:val="none"/>
              </w:rPr>
              <w:t>；建筑面积：</w:t>
            </w:r>
            <w:r>
              <w:rPr>
                <w:rFonts w:hint="eastAsia" w:ascii="宋体" w:hAnsi="宋体" w:cs="宋体"/>
                <w:sz w:val="20"/>
                <w:szCs w:val="20"/>
                <w:highlight w:val="none"/>
              </w:rPr>
              <w:t>452.5㎡</w:t>
            </w:r>
          </w:p>
        </w:tc>
      </w:tr>
      <w:tr>
        <w:tblPrEx>
          <w:tblCellMar>
            <w:top w:w="0" w:type="dxa"/>
            <w:left w:w="85" w:type="dxa"/>
            <w:bottom w:w="0" w:type="dxa"/>
            <w:right w:w="85" w:type="dxa"/>
          </w:tblCellMar>
        </w:tblPrEx>
        <w:trPr>
          <w:cantSplit/>
          <w:trHeight w:val="539" w:hRule="atLeast"/>
          <w:jc w:val="center"/>
        </w:trPr>
        <w:tc>
          <w:tcPr>
            <w:tcW w:w="212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sz w:val="20"/>
                <w:szCs w:val="20"/>
                <w:highlight w:val="none"/>
                <w:lang w:bidi="ar"/>
              </w:rPr>
            </w:pPr>
            <w:r>
              <w:rPr>
                <w:rFonts w:hint="eastAsia" w:ascii="宋体" w:hAnsi="宋体" w:cs="宋体"/>
                <w:sz w:val="20"/>
                <w:szCs w:val="20"/>
                <w:highlight w:val="none"/>
              </w:rPr>
              <w:t>上中西路基地</w:t>
            </w:r>
          </w:p>
        </w:tc>
        <w:tc>
          <w:tcPr>
            <w:tcW w:w="2268" w:type="dxa"/>
            <w:tcBorders>
              <w:top w:val="single" w:color="auto" w:sz="4" w:space="0"/>
              <w:left w:val="nil"/>
              <w:bottom w:val="single" w:color="auto" w:sz="4" w:space="0"/>
              <w:right w:val="single" w:color="auto" w:sz="4" w:space="0"/>
            </w:tcBorders>
            <w:vAlign w:val="center"/>
          </w:tcPr>
          <w:p>
            <w:pPr>
              <w:jc w:val="center"/>
              <w:rPr>
                <w:rFonts w:hint="eastAsia" w:ascii="宋体" w:hAnsi="宋体" w:cs="宋体"/>
                <w:sz w:val="20"/>
                <w:szCs w:val="20"/>
                <w:highlight w:val="none"/>
              </w:rPr>
            </w:pPr>
            <w:r>
              <w:rPr>
                <w:rFonts w:hint="eastAsia" w:ascii="宋体" w:hAnsi="宋体"/>
                <w:sz w:val="20"/>
                <w:szCs w:val="20"/>
                <w:highlight w:val="none"/>
              </w:rPr>
              <w:t>上中西路517号</w:t>
            </w:r>
          </w:p>
        </w:tc>
        <w:tc>
          <w:tcPr>
            <w:tcW w:w="4677" w:type="dxa"/>
            <w:tcBorders>
              <w:top w:val="single" w:color="auto" w:sz="4" w:space="0"/>
              <w:left w:val="nil"/>
              <w:bottom w:val="single" w:color="auto" w:sz="4" w:space="0"/>
              <w:right w:val="single" w:color="auto" w:sz="4" w:space="0"/>
            </w:tcBorders>
            <w:vAlign w:val="center"/>
          </w:tcPr>
          <w:p>
            <w:pPr>
              <w:jc w:val="center"/>
              <w:rPr>
                <w:rFonts w:hint="eastAsia" w:ascii="宋体" w:hAnsi="宋体" w:cs="宋体"/>
                <w:sz w:val="20"/>
                <w:szCs w:val="20"/>
                <w:highlight w:val="none"/>
                <w:lang w:bidi="ar"/>
              </w:rPr>
            </w:pPr>
            <w:r>
              <w:rPr>
                <w:rFonts w:hint="eastAsia" w:ascii="宋体" w:hAnsi="宋体" w:cs="宋体"/>
                <w:sz w:val="20"/>
                <w:szCs w:val="20"/>
                <w:highlight w:val="none"/>
              </w:rPr>
              <w:t>占地面积3300㎡；建筑面积：915㎡</w:t>
            </w:r>
          </w:p>
        </w:tc>
      </w:tr>
    </w:tbl>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2、养护基地要求：</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1）管理用房、道班房等养护基地应保持环境整洁和设施设备的使用安全。做到各项规章制度上墙，张贴各类警示标识、标志；配置好消防排水器材，做到安全用气、用电、用水；消防通道应全天候保持畅通，严禁发生堆物、私拉乱接线缆等行为。室外环境应保持良好整洁，做到场地平整，无污水、垃圾等。车辆及机械设备应整齐有序停放在固定区域，各种养护运维材料应堆放在专用仓库或场地，满足存放要求。</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（2）若因养护运维工作需要或采购人认为有必要需另行增加管理用房、道班房等养护基地的，中标人必须予以增加，并作出明确</w:t>
      </w:r>
      <w:r>
        <w:rPr>
          <w:rFonts w:hint="eastAsia" w:ascii="宋体" w:hAnsi="宋体" w:cs="宋体"/>
          <w:b/>
          <w:bCs/>
          <w:i/>
          <w:iCs/>
          <w:snapToGrid w:val="0"/>
          <w:kern w:val="0"/>
          <w:szCs w:val="21"/>
          <w:highlight w:val="none"/>
        </w:rPr>
        <w:t>承诺</w:t>
      </w:r>
      <w:r>
        <w:rPr>
          <w:rFonts w:hint="eastAsia" w:ascii="宋体" w:hAnsi="宋体" w:cs="宋体"/>
          <w:snapToGrid w:val="0"/>
          <w:kern w:val="0"/>
          <w:szCs w:val="21"/>
          <w:highlight w:val="none"/>
        </w:rPr>
        <w:t>。中标人应规范合理使用管理用房、道班房等养护基地，并进行经常性养护维修，确保房屋建筑结构安全和外观整洁、干净、完好。</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szCs w:val="21"/>
          <w:highlight w:val="none"/>
        </w:rPr>
        <w:t>（3）未经采购人书面同意，中标人不得将采购人提供的管理用房、道班房等养护基地改变用途或者移作他用。</w:t>
      </w:r>
    </w:p>
    <w:bookmarkEnd w:id="7"/>
    <w:p>
      <w:pPr>
        <w:topLinePunct/>
        <w:adjustRightInd w:val="0"/>
        <w:snapToGrid w:val="0"/>
        <w:spacing w:line="360" w:lineRule="auto"/>
        <w:ind w:firstLine="420" w:firstLineChars="200"/>
        <w:rPr>
          <w:rFonts w:hint="eastAsia" w:ascii="宋体" w:hAnsi="宋体" w:cs="宋体"/>
          <w:snapToGrid w:val="0"/>
          <w:kern w:val="0"/>
          <w:szCs w:val="21"/>
          <w:highlight w:val="none"/>
        </w:rPr>
      </w:pPr>
      <w:bookmarkStart w:id="8" w:name="_Hlk90538879"/>
    </w:p>
    <w:p>
      <w:pPr>
        <w:topLinePunct/>
        <w:adjustRightInd w:val="0"/>
        <w:snapToGrid w:val="0"/>
        <w:spacing w:line="360" w:lineRule="auto"/>
        <w:outlineLvl w:val="0"/>
        <w:rPr>
          <w:rFonts w:hint="eastAsia" w:ascii="宋体" w:hAnsi="宋体" w:cs="宋体"/>
          <w:b/>
          <w:snapToGrid w:val="0"/>
          <w:kern w:val="0"/>
          <w:szCs w:val="21"/>
          <w:highlight w:val="none"/>
        </w:rPr>
      </w:pPr>
      <w:r>
        <w:rPr>
          <w:rFonts w:hint="eastAsia" w:ascii="宋体" w:hAnsi="宋体" w:cs="宋体"/>
          <w:b/>
          <w:snapToGrid w:val="0"/>
          <w:kern w:val="0"/>
          <w:szCs w:val="21"/>
          <w:highlight w:val="none"/>
        </w:rPr>
        <w:t>五、养护运维工作基本要求</w:t>
      </w:r>
    </w:p>
    <w:p>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highlight w:val="none"/>
        </w:rPr>
      </w:pPr>
      <w:r>
        <w:rPr>
          <w:rFonts w:hint="eastAsia" w:ascii="宋体" w:hAnsi="宋体" w:cs="宋体"/>
          <w:b/>
          <w:snapToGrid w:val="0"/>
          <w:kern w:val="0"/>
          <w:szCs w:val="21"/>
          <w:highlight w:val="none"/>
        </w:rPr>
        <w:t>（一）总体要求</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1、中标人应根据相关技术规范、标准和本招标文件要求对设施及其附属设施进行经常性、及时性、周期性和预防性的维修保养，确保本设施的结构和运行安全、整洁干净和所有设施设备完好无损。</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2、中标人应严格规范养护维修及运行管理作业行为，制定养护运维工作大纲、操作手册，及时编制和严格落实年度养护运维工作计划。</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3、对于新接管设施，中标人应及时进行现场设施量排摸、清点，并制定详细的设施设备量清单表；同时，配合采购人开展有关移交接管手续办理。对于临时移交出去的设施，中标人应配合采购人做好移交工作，并开展经常性养护巡查，确保设施完好无损。</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4、中标人应严格按本招标文件的要求，配置养护管理、技术、一线作业人员和车辆机械设备，并加强人员培训和做好养护车辆机械设备的保养维修工作；同时，中标人应储备好应急队伍和车辆设备。</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5、中标人应严格按有关规定做好养护台账、设施信息更新、年度运行状况分析、养护工作资料的收集、整理、汇编、上报等工作，并提升智慧化管理工作水平。</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6、全生命周期管理要求</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中标人应贯彻落实全生命周期管养理念，主动推进道路设施智慧管养和一体化管理平台的建立完善，重视数字化技术、设备运用和数据资产的积累与应用，做好基于数据的科学决策，完善预防性养护标准要求和配套评价体系、决策依据等。同时，中标人还应积极落实采购人制定的中长期养护规划方案，统筹考虑日常运维和维修整治工程有机结合，构建与全生命周期管养相配套的资金配置，实现养护资金投入效益最优化。</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运行保障方面，中标人应注重大数据分析，合理优化应急保障力量，进而提升道路有效通行时长；养护维修方面，中标人应以提高设施服役性能为目标，动态调整资源配置，进行主动式养护和预防性养护，并将过程中的经验做法与发现的共性问题总结反馈给采购人，形成综合效益最优的闭环管理。</w:t>
      </w:r>
    </w:p>
    <w:p>
      <w:pPr>
        <w:topLinePunct/>
        <w:adjustRightInd w:val="0"/>
        <w:snapToGrid w:val="0"/>
        <w:spacing w:line="360" w:lineRule="auto"/>
        <w:ind w:firstLine="420" w:firstLineChars="200"/>
        <w:rPr>
          <w:rFonts w:hint="default" w:ascii="宋体" w:hAnsi="宋体" w:eastAsia="宋体" w:cs="宋体"/>
          <w:snapToGrid w:val="0"/>
          <w:kern w:val="0"/>
          <w:szCs w:val="21"/>
          <w:highlight w:val="none"/>
          <w:lang w:val="en-US" w:eastAsia="zh-CN"/>
        </w:rPr>
      </w:pPr>
      <w:r>
        <w:rPr>
          <w:rFonts w:hint="eastAsia" w:ascii="宋体" w:hAnsi="宋体" w:cs="宋体"/>
          <w:snapToGrid w:val="0"/>
          <w:kern w:val="0"/>
          <w:szCs w:val="21"/>
          <w:highlight w:val="none"/>
        </w:rPr>
        <w:t>7、本项目</w:t>
      </w:r>
      <w:r>
        <w:rPr>
          <w:rFonts w:hint="eastAsia" w:ascii="宋体" w:hAnsi="宋体" w:cs="宋体"/>
          <w:snapToGrid w:val="0"/>
          <w:kern w:val="0"/>
          <w:szCs w:val="21"/>
          <w:highlight w:val="none"/>
          <w:lang w:val="en-US" w:eastAsia="zh-CN"/>
        </w:rPr>
        <w:t>设定</w:t>
      </w:r>
      <w:r>
        <w:rPr>
          <w:rFonts w:hint="eastAsia" w:ascii="宋体" w:hAnsi="宋体" w:cs="宋体"/>
          <w:snapToGrid w:val="0"/>
          <w:kern w:val="0"/>
          <w:szCs w:val="21"/>
          <w:highlight w:val="none"/>
        </w:rPr>
        <w:t>暂列金</w:t>
      </w:r>
      <w:r>
        <w:rPr>
          <w:rFonts w:hint="eastAsia" w:ascii="宋体" w:hAnsi="宋体" w:cs="宋体"/>
          <w:snapToGrid w:val="0"/>
          <w:kern w:val="0"/>
          <w:szCs w:val="21"/>
          <w:highlight w:val="none"/>
          <w:lang w:eastAsia="zh-CN"/>
        </w:rPr>
        <w:t>额</w:t>
      </w:r>
      <w:r>
        <w:rPr>
          <w:rFonts w:hint="eastAsia" w:ascii="宋体" w:hAnsi="宋体" w:cs="宋体"/>
          <w:snapToGrid w:val="0"/>
          <w:kern w:val="0"/>
          <w:szCs w:val="21"/>
          <w:highlight w:val="none"/>
        </w:rPr>
        <w:t>140万元/年，</w:t>
      </w:r>
      <w:r>
        <w:rPr>
          <w:rFonts w:hint="eastAsia" w:ascii="宋体" w:hAnsi="宋体" w:cs="宋体"/>
          <w:snapToGrid w:val="0"/>
          <w:color w:val="auto"/>
          <w:kern w:val="0"/>
          <w:szCs w:val="21"/>
          <w:highlight w:val="none"/>
          <w:lang w:val="en-US" w:eastAsia="zh-CN"/>
        </w:rPr>
        <w:t>可能涉及的</w:t>
      </w:r>
      <w:r>
        <w:rPr>
          <w:rFonts w:hint="eastAsia" w:ascii="宋体" w:hAnsi="宋体" w:cs="宋体"/>
          <w:snapToGrid w:val="0"/>
          <w:kern w:val="0"/>
          <w:szCs w:val="21"/>
          <w:highlight w:val="none"/>
        </w:rPr>
        <w:t>主要工作内容</w:t>
      </w:r>
      <w:r>
        <w:rPr>
          <w:rFonts w:hint="eastAsia" w:ascii="宋体" w:hAnsi="宋体" w:cs="宋体"/>
          <w:snapToGrid w:val="0"/>
          <w:kern w:val="0"/>
          <w:szCs w:val="21"/>
          <w:highlight w:val="none"/>
          <w:lang w:val="en-US" w:eastAsia="zh-CN"/>
        </w:rPr>
        <w:t>包括</w:t>
      </w:r>
      <w:r>
        <w:rPr>
          <w:rFonts w:hint="eastAsia" w:ascii="宋体" w:hAnsi="宋体" w:cs="宋体"/>
          <w:snapToGrid w:val="0"/>
          <w:kern w:val="0"/>
          <w:szCs w:val="21"/>
          <w:highlight w:val="none"/>
        </w:rPr>
        <w:t>：（1）按照《城市桥梁养护技术标准》等规范要求，对1/3全线设施进行常规定期检查（检测）（暨每3年对中环浦西段进行一次全覆盖检查（检测））；（2）每一年度根据养护单位自检报告，对其余2/3高架桥梁和7座地道土建设施中存在较大安全隐患或关键性结构类型节点区段，进行抽查性检查。（3）每一年度综合检查检测结果、地面道路路况检测结果、沉降监测和其他土建及附属设施检查检测结果、机电检查检测结果、各类内页资料等数据形成履约验收评价。</w:t>
      </w:r>
      <w:r>
        <w:rPr>
          <w:rFonts w:hint="eastAsia" w:ascii="宋体" w:hAnsi="宋体" w:cs="宋体"/>
          <w:snapToGrid w:val="0"/>
          <w:kern w:val="0"/>
          <w:szCs w:val="21"/>
          <w:highlight w:val="none"/>
          <w:lang w:val="en-US" w:eastAsia="zh-CN"/>
        </w:rPr>
        <w:t>根据暂列金额使用规定，中标单位应在接到采购人、监理人通知后方可开展，并应将具体工作方案报经采购人认可后按相关规定委托实施</w:t>
      </w:r>
      <w:r>
        <w:rPr>
          <w:rFonts w:hint="eastAsia" w:ascii="宋体" w:hAnsi="宋体" w:cs="宋体"/>
          <w:snapToGrid w:val="0"/>
          <w:kern w:val="0"/>
          <w:szCs w:val="21"/>
          <w:highlight w:val="none"/>
        </w:rPr>
        <w:t>。</w:t>
      </w:r>
    </w:p>
    <w:p>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highlight w:val="none"/>
        </w:rPr>
      </w:pPr>
      <w:r>
        <w:rPr>
          <w:rFonts w:hint="eastAsia" w:ascii="宋体" w:hAnsi="宋体" w:cs="宋体"/>
          <w:b/>
          <w:snapToGrid w:val="0"/>
          <w:kern w:val="0"/>
          <w:szCs w:val="21"/>
          <w:highlight w:val="none"/>
        </w:rPr>
        <w:t>（二）日常养护工作基本要求</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1、日常巡视巡查</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（1）每日进行设施巡查，发现病害或问题应及时采取有效措施进行处理，确保设施外观整洁、路面坚实平整、纵横坡顺适、排水顺畅，结构完好无损、机电设备正常工作。</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（2）每月对设施及其附属设施进行不少于1次的经常性结构安全检查，确保设施的各部件保持在</w:t>
      </w:r>
      <w:r>
        <w:rPr>
          <w:rFonts w:hint="eastAsia" w:ascii="宋体" w:hAnsi="宋体" w:cs="宋体"/>
          <w:snapToGrid w:val="0"/>
          <w:kern w:val="0"/>
          <w:szCs w:val="21"/>
          <w:highlight w:val="none"/>
        </w:rPr>
        <w:t>良好的技术状况。每天全线全覆盖巡视2次，并做好巡视记录。</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3）经采购人批准的在设施管理区域内（含安全保护区）开展的其他施工作业行为，中标人负有监管职能，应收集并分析第三方作业单位上报的保护区监测报表，发现数据有异常的应立即上报采购人；同时，每周至少巡视2次，必要时应全天候巡视，做好巡视记录，并将有关情况及时上报采购人。</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2、日常清扫保洁</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（1）可采用机械或人工方式对所有设施设备进行清扫保洁。</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（2）频率质量要求</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路容类设施应按上海市道路运输事业发展中心《关于提高市属道路日常养护标准（路容类）的通知》（沪道运事养〔2019〕2号）要求及相关养护规范、标准和管理规定执行，其他设施按有关规范要求执行。必要时，采购人有权要求中标人提高养护保洁频次。</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设施保洁质量必须符合有关规范标准。</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3、日常养护维修</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1）中标人应严格按照相关标准、规范做好设施的日常保养和小修理工作。对于尚在工程缺陷责任期内的设施，中标人应负责除因工程缺陷或质量问题外的所有养护维修工作；对于工程缺陷或质量问题影响设施结构或运行安全的情况，中标人也应及时采取相应措施避免安全生产事故的发生，并告知采购人及原建设单位和施工总包单位。</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（2）如果有本应属于小修理内容的病害或缺陷，由于中标人拖延修理或修理不当等原因，导致该小修理内容造成重大安全责任事故或转变为专项维修的，由此造成的一切后果均由中标人承担。</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（3）所有养护维修工作必须严格按相关标准、规范及许可手续要求执行，并做好安全管理工作。所有养护维修工作应符合相关质量验收规范和质量考核标准。</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4）桥面应及时清扫、保持整洁，桥面铺装坚实平整、纵横坡顺适、排水顺畅，无开裂、破损、跳车以及漏水现象；及时清除伸缩装置内沉积物，确保其无阻塞、开裂现象；泄水孔应保持结构完好，及时疏通，无破损和堵塞。保持支座各部分完整清洁，位置正确，无错位、变形、破损、脱空现象。及时清除墩台表面杂物，保持其表面整洁；墩台及基础无滑动、倾斜、下沉，基础下无冲刷现象，台背填土无沉降或挤压隆起。混凝土构件结构完好无破损，无混凝土剥落、钢筋锈胀现象。桥孔应无建筑垃圾，无违章搭建和堆物，无擅自占用。栏杆和防撞墙应结构完好，边缘顺直，无积尘；桥上相关标志系统齐全完好；桥名牌保持整洁，无残缺和裂纹，桥名规范、醒目。</w:t>
      </w:r>
    </w:p>
    <w:p>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highlight w:val="none"/>
        </w:rPr>
      </w:pPr>
      <w:r>
        <w:rPr>
          <w:rFonts w:hint="eastAsia" w:ascii="宋体" w:hAnsi="宋体" w:cs="宋体"/>
          <w:b/>
          <w:snapToGrid w:val="0"/>
          <w:kern w:val="0"/>
          <w:szCs w:val="21"/>
          <w:highlight w:val="none"/>
        </w:rPr>
        <w:t>（三）运行管理工作要求</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1、中标人须对管养范围内的所有设施进行预防性、经常性、周期性和及时性的养护管理，根据设施的实际状况制定养护计划，及时修复被损设施。协同采购人及其它相关部门迅速处置应急事件，制定相应的应急预案，除发生不可抗力事件，其它任何情况下必须保持设施处于良好的技术状态，实现管养路段各类设施安全良好、规范齐全、运行状况良好。</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2、中标人须安排经常性巡查，并由经过专业培训的城市道路桥梁管理人员或养护技术人员负责，以目测为主，每日一次对管养范围内的所有设施进行全覆盖巡视检查，确保路况路貌良好，并及时记录，定期存档，提出处理意见。巡查过程中发现设施明显损坏，影响车辆和人行安全，应及时采取相应养护措施，并立即上报，特殊情况可设专人看护。</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3、中标人须根据《城市桥梁、隧道安全保护区域技术标准》（沪建交〔2010〕511号）要求做好管养范围内设施安全保护区域的巡查，一旦发现存在可能影响设施结构安全、没有合法手续开展的施工作业任务，必须立即上报采购人及路政执法部门、并采取必要应急措施予以制止和维护好现场，待采购人处理；若未及时发现或发现了不及时上报，采购人将根据相关规定或考核办法进行惩罚。</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4、中标人须保证设施设备的完整良好运行，一旦发现非法增设、悬挂设施（管线等），特别是影响高架桥梁结构安全影响的各类设施，必须立即上报采购人、并采取必要应急措施予以制止和维护好现场，待采购人处理；若未及时发现或发现了不及时上报，采购人将根据相关规定或考核办法进行惩罚。</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ascii="宋体" w:hAnsi="宋体" w:cs="宋体"/>
          <w:snapToGrid w:val="0"/>
          <w:kern w:val="0"/>
          <w:szCs w:val="21"/>
          <w:highlight w:val="none"/>
        </w:rPr>
        <w:t>5</w:t>
      </w:r>
      <w:r>
        <w:rPr>
          <w:rFonts w:hint="eastAsia" w:ascii="宋体" w:hAnsi="宋体" w:cs="宋体"/>
          <w:snapToGrid w:val="0"/>
          <w:kern w:val="0"/>
          <w:szCs w:val="21"/>
          <w:highlight w:val="none"/>
        </w:rPr>
        <w:t>、中标人须做好施救除障工作，确保道路交通安全有序运行，投标人应配置必需的牵引车辆；做好牵引车辆布点及救援方案,牵引处置时间应符合市交委的有关社会承诺规定；加强在道路管段内的巡逻力度，及时发现或根据指令处置车辆抛锚、交通事故等道路突发情况。</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ascii="宋体" w:hAnsi="宋体" w:cs="宋体"/>
          <w:snapToGrid w:val="0"/>
          <w:kern w:val="0"/>
          <w:szCs w:val="21"/>
          <w:highlight w:val="none"/>
        </w:rPr>
        <w:t>6</w:t>
      </w:r>
      <w:r>
        <w:rPr>
          <w:rFonts w:hint="eastAsia" w:ascii="宋体" w:hAnsi="宋体" w:cs="宋体"/>
          <w:snapToGrid w:val="0"/>
          <w:kern w:val="0"/>
          <w:szCs w:val="21"/>
          <w:highlight w:val="none"/>
        </w:rPr>
        <w:t>、中标人应当协助采购人及时完成信访投诉、热线工单及其它新闻媒体报道事件的前期调查排摸和处置工作。</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ascii="宋体" w:hAnsi="宋体" w:cs="宋体"/>
          <w:snapToGrid w:val="0"/>
          <w:kern w:val="0"/>
          <w:szCs w:val="21"/>
          <w:highlight w:val="none"/>
        </w:rPr>
        <w:t>7</w:t>
      </w:r>
      <w:r>
        <w:rPr>
          <w:rFonts w:hint="eastAsia" w:ascii="宋体" w:hAnsi="宋体" w:cs="宋体"/>
          <w:snapToGrid w:val="0"/>
          <w:kern w:val="0"/>
          <w:szCs w:val="21"/>
          <w:highlight w:val="none"/>
        </w:rPr>
        <w:t>、完成采购人布置的其他工作任务。</w:t>
      </w:r>
    </w:p>
    <w:p>
      <w:pPr>
        <w:numPr>
          <w:ilvl w:val="255"/>
          <w:numId w:val="0"/>
        </w:numPr>
        <w:tabs>
          <w:tab w:val="left" w:pos="7200"/>
        </w:tabs>
        <w:topLinePunct/>
        <w:adjustRightInd w:val="0"/>
        <w:snapToGrid w:val="0"/>
        <w:spacing w:line="360" w:lineRule="auto"/>
        <w:ind w:firstLine="422" w:firstLineChars="200"/>
        <w:rPr>
          <w:rFonts w:hint="eastAsia" w:ascii="宋体" w:hAnsi="宋体" w:cs="宋体"/>
          <w:b/>
          <w:snapToGrid w:val="0"/>
          <w:kern w:val="0"/>
          <w:szCs w:val="21"/>
          <w:highlight w:val="none"/>
        </w:rPr>
      </w:pPr>
      <w:r>
        <w:rPr>
          <w:rFonts w:hint="eastAsia" w:ascii="宋体" w:hAnsi="宋体" w:cs="宋体"/>
          <w:b/>
          <w:snapToGrid w:val="0"/>
          <w:kern w:val="0"/>
          <w:szCs w:val="21"/>
          <w:highlight w:val="none"/>
        </w:rPr>
        <w:t>（四）信息化管理要求</w:t>
      </w:r>
    </w:p>
    <w:p>
      <w:pPr>
        <w:topLinePunct/>
        <w:adjustRightInd w:val="0"/>
        <w:snapToGrid w:val="0"/>
        <w:spacing w:line="360" w:lineRule="auto"/>
        <w:ind w:firstLine="420" w:firstLineChars="200"/>
        <w:rPr>
          <w:rFonts w:hint="eastAsia" w:ascii="宋体" w:hAnsi="宋体" w:cs="宋体"/>
          <w:bCs/>
          <w:snapToGrid w:val="0"/>
          <w:kern w:val="0"/>
          <w:szCs w:val="21"/>
          <w:highlight w:val="none"/>
        </w:rPr>
      </w:pPr>
      <w:r>
        <w:rPr>
          <w:rFonts w:hint="eastAsia" w:ascii="宋体" w:hAnsi="宋体" w:cs="宋体"/>
          <w:bCs/>
          <w:snapToGrid w:val="0"/>
          <w:kern w:val="0"/>
          <w:szCs w:val="21"/>
          <w:highlight w:val="none"/>
        </w:rPr>
        <w:t>中标人必须应用</w:t>
      </w:r>
      <w:r>
        <w:rPr>
          <w:rFonts w:ascii="宋体" w:hAnsi="宋体" w:cs="宋体"/>
          <w:bCs/>
          <w:snapToGrid w:val="0"/>
          <w:kern w:val="0"/>
          <w:szCs w:val="21"/>
          <w:highlight w:val="none"/>
        </w:rPr>
        <w:t>CIMS城市基础设施管理系统（以下简称“养护在线监管平台”）、上海市高架桥隧管理系统等相关业务管理系统做好日常养护管理工作，加强信息化手段在设施管理中的应用，努力提升设施资产数字化、日常养护信息化管理水平，规范数据操作流程、管理行为等。</w:t>
      </w:r>
    </w:p>
    <w:p>
      <w:pPr>
        <w:topLinePunct/>
        <w:adjustRightInd w:val="0"/>
        <w:snapToGrid w:val="0"/>
        <w:spacing w:line="360" w:lineRule="auto"/>
        <w:ind w:firstLine="420" w:firstLineChars="200"/>
        <w:rPr>
          <w:rFonts w:hint="eastAsia" w:ascii="宋体" w:hAnsi="宋体" w:cs="宋体"/>
          <w:bCs/>
          <w:snapToGrid w:val="0"/>
          <w:kern w:val="0"/>
          <w:szCs w:val="21"/>
          <w:highlight w:val="none"/>
        </w:rPr>
      </w:pPr>
      <w:r>
        <w:rPr>
          <w:rFonts w:ascii="宋体" w:hAnsi="宋体" w:cs="宋体"/>
          <w:bCs/>
          <w:snapToGrid w:val="0"/>
          <w:kern w:val="0"/>
          <w:szCs w:val="21"/>
          <w:highlight w:val="none"/>
        </w:rPr>
        <w:t>1、设施资产数字化管理</w:t>
      </w:r>
    </w:p>
    <w:p>
      <w:pPr>
        <w:topLinePunct/>
        <w:adjustRightInd w:val="0"/>
        <w:snapToGrid w:val="0"/>
        <w:spacing w:line="360" w:lineRule="auto"/>
        <w:ind w:firstLine="420" w:firstLineChars="200"/>
        <w:rPr>
          <w:rFonts w:hint="eastAsia" w:ascii="宋体" w:hAnsi="宋体" w:cs="宋体"/>
          <w:bCs/>
          <w:snapToGrid w:val="0"/>
          <w:kern w:val="0"/>
          <w:szCs w:val="21"/>
          <w:highlight w:val="none"/>
        </w:rPr>
      </w:pPr>
      <w:r>
        <w:rPr>
          <w:rFonts w:hint="eastAsia" w:ascii="宋体" w:hAnsi="宋体" w:cs="宋体"/>
          <w:bCs/>
          <w:snapToGrid w:val="0"/>
          <w:kern w:val="0"/>
          <w:szCs w:val="21"/>
          <w:highlight w:val="none"/>
        </w:rPr>
        <w:t>（</w:t>
      </w:r>
      <w:r>
        <w:rPr>
          <w:rFonts w:ascii="宋体" w:hAnsi="宋体" w:cs="宋体"/>
          <w:bCs/>
          <w:snapToGrid w:val="0"/>
          <w:kern w:val="0"/>
          <w:szCs w:val="21"/>
          <w:highlight w:val="none"/>
        </w:rPr>
        <w:t>1）针对未建立数字化模型的设施，应对设施的基础情况进行全方位排查，并进行</w:t>
      </w:r>
      <w:r>
        <w:rPr>
          <w:rFonts w:hint="eastAsia" w:ascii="宋体" w:hAnsi="宋体" w:cs="宋体"/>
          <w:bCs/>
          <w:snapToGrid w:val="0"/>
          <w:kern w:val="0"/>
          <w:szCs w:val="21"/>
          <w:highlight w:val="none"/>
        </w:rPr>
        <w:t>周边地形测绘（含保护区范围），并录入设施相关数据，包括但不限于设施的基础数据（基本信息、建设档案、设施设备台账等）、历年养护维修数据等，将传统纸质档案转换成结构化数字模型。</w:t>
      </w:r>
    </w:p>
    <w:p>
      <w:pPr>
        <w:topLinePunct/>
        <w:adjustRightInd w:val="0"/>
        <w:snapToGrid w:val="0"/>
        <w:spacing w:line="360" w:lineRule="auto"/>
        <w:ind w:firstLine="420" w:firstLineChars="200"/>
        <w:rPr>
          <w:rFonts w:hint="eastAsia" w:ascii="宋体" w:hAnsi="宋体" w:cs="宋体"/>
          <w:bCs/>
          <w:snapToGrid w:val="0"/>
          <w:kern w:val="0"/>
          <w:szCs w:val="21"/>
          <w:highlight w:val="none"/>
        </w:rPr>
      </w:pPr>
      <w:r>
        <w:rPr>
          <w:rFonts w:hint="eastAsia" w:ascii="宋体" w:hAnsi="宋体" w:cs="宋体"/>
          <w:bCs/>
          <w:snapToGrid w:val="0"/>
          <w:kern w:val="0"/>
          <w:szCs w:val="21"/>
          <w:highlight w:val="none"/>
        </w:rPr>
        <w:t>（</w:t>
      </w:r>
      <w:r>
        <w:rPr>
          <w:rFonts w:ascii="宋体" w:hAnsi="宋体" w:cs="宋体"/>
          <w:bCs/>
          <w:snapToGrid w:val="0"/>
          <w:kern w:val="0"/>
          <w:szCs w:val="21"/>
          <w:highlight w:val="none"/>
        </w:rPr>
        <w:t>2）针对已建立数字化模型的设施，应对维修中移交的资产及时进行内容补充及更新，包括设施设备更新数据、检查检测数据、养护维修数据、运行管理数据等多项内容。</w:t>
      </w:r>
    </w:p>
    <w:p>
      <w:pPr>
        <w:topLinePunct/>
        <w:adjustRightInd w:val="0"/>
        <w:snapToGrid w:val="0"/>
        <w:spacing w:line="360" w:lineRule="auto"/>
        <w:ind w:firstLine="420" w:firstLineChars="200"/>
        <w:rPr>
          <w:rFonts w:hint="eastAsia" w:ascii="宋体" w:hAnsi="宋体" w:cs="宋体"/>
          <w:bCs/>
          <w:snapToGrid w:val="0"/>
          <w:kern w:val="0"/>
          <w:szCs w:val="21"/>
          <w:highlight w:val="none"/>
        </w:rPr>
      </w:pPr>
      <w:r>
        <w:rPr>
          <w:rFonts w:hint="eastAsia" w:ascii="宋体" w:hAnsi="宋体" w:cs="宋体"/>
          <w:bCs/>
          <w:snapToGrid w:val="0"/>
          <w:kern w:val="0"/>
          <w:szCs w:val="21"/>
          <w:highlight w:val="none"/>
        </w:rPr>
        <w:t>（</w:t>
      </w:r>
      <w:r>
        <w:rPr>
          <w:rFonts w:ascii="宋体" w:hAnsi="宋体" w:cs="宋体"/>
          <w:bCs/>
          <w:snapToGrid w:val="0"/>
          <w:kern w:val="0"/>
          <w:szCs w:val="21"/>
          <w:highlight w:val="none"/>
        </w:rPr>
        <w:t>3）应及时做好养护在线监管系统、上海市高架桥隧管理系统中设施基础数据的维护及更新工作。</w:t>
      </w:r>
    </w:p>
    <w:p>
      <w:pPr>
        <w:topLinePunct/>
        <w:adjustRightInd w:val="0"/>
        <w:snapToGrid w:val="0"/>
        <w:spacing w:line="360" w:lineRule="auto"/>
        <w:ind w:firstLine="420" w:firstLineChars="200"/>
        <w:rPr>
          <w:rFonts w:hint="eastAsia" w:ascii="宋体" w:hAnsi="宋体" w:cs="宋体"/>
          <w:bCs/>
          <w:snapToGrid w:val="0"/>
          <w:kern w:val="0"/>
          <w:szCs w:val="21"/>
          <w:highlight w:val="none"/>
        </w:rPr>
      </w:pPr>
      <w:r>
        <w:rPr>
          <w:rFonts w:ascii="宋体" w:hAnsi="宋体" w:cs="宋体"/>
          <w:bCs/>
          <w:snapToGrid w:val="0"/>
          <w:kern w:val="0"/>
          <w:szCs w:val="21"/>
          <w:highlight w:val="none"/>
        </w:rPr>
        <w:t>2、日常养护信息化管理</w:t>
      </w:r>
    </w:p>
    <w:p>
      <w:pPr>
        <w:topLinePunct/>
        <w:adjustRightInd w:val="0"/>
        <w:snapToGrid w:val="0"/>
        <w:spacing w:line="360" w:lineRule="auto"/>
        <w:ind w:firstLine="420" w:firstLineChars="200"/>
        <w:rPr>
          <w:rFonts w:hint="eastAsia" w:ascii="宋体" w:hAnsi="宋体" w:cs="宋体"/>
          <w:bCs/>
          <w:snapToGrid w:val="0"/>
          <w:kern w:val="0"/>
          <w:szCs w:val="21"/>
          <w:highlight w:val="none"/>
        </w:rPr>
      </w:pPr>
      <w:r>
        <w:rPr>
          <w:rFonts w:hint="eastAsia" w:ascii="宋体" w:hAnsi="宋体" w:cs="宋体"/>
          <w:bCs/>
          <w:snapToGrid w:val="0"/>
          <w:kern w:val="0"/>
          <w:szCs w:val="21"/>
          <w:highlight w:val="none"/>
        </w:rPr>
        <w:t>（</w:t>
      </w:r>
      <w:r>
        <w:rPr>
          <w:rFonts w:ascii="宋体" w:hAnsi="宋体" w:cs="宋体"/>
          <w:bCs/>
          <w:snapToGrid w:val="0"/>
          <w:kern w:val="0"/>
          <w:szCs w:val="21"/>
          <w:highlight w:val="none"/>
        </w:rPr>
        <w:t>1）应配备人员及手持式设备，每日将巡查发现的病害上报至养护在线监管平台的小程序，熟悉城市道路养护业务流程，及时将病害处置流程进行闭环。</w:t>
      </w:r>
    </w:p>
    <w:p>
      <w:pPr>
        <w:topLinePunct/>
        <w:adjustRightInd w:val="0"/>
        <w:snapToGrid w:val="0"/>
        <w:spacing w:line="360" w:lineRule="auto"/>
        <w:ind w:firstLine="420" w:firstLineChars="200"/>
        <w:rPr>
          <w:rFonts w:hint="eastAsia" w:ascii="宋体" w:hAnsi="宋体" w:cs="宋体"/>
          <w:bCs/>
          <w:snapToGrid w:val="0"/>
          <w:kern w:val="0"/>
          <w:szCs w:val="21"/>
          <w:highlight w:val="none"/>
        </w:rPr>
      </w:pPr>
      <w:r>
        <w:rPr>
          <w:rFonts w:hint="eastAsia" w:ascii="宋体" w:hAnsi="宋体" w:cs="宋体"/>
          <w:bCs/>
          <w:snapToGrid w:val="0"/>
          <w:kern w:val="0"/>
          <w:szCs w:val="21"/>
          <w:highlight w:val="none"/>
        </w:rPr>
        <w:t>（</w:t>
      </w:r>
      <w:r>
        <w:rPr>
          <w:rFonts w:ascii="宋体" w:hAnsi="宋体" w:cs="宋体"/>
          <w:bCs/>
          <w:snapToGrid w:val="0"/>
          <w:kern w:val="0"/>
          <w:szCs w:val="21"/>
          <w:highlight w:val="none"/>
        </w:rPr>
        <w:t>2）应在为本项目设施配置的清扫车</w:t>
      </w:r>
      <w:r>
        <w:rPr>
          <w:rFonts w:hint="eastAsia" w:ascii="宋体" w:hAnsi="宋体" w:cs="宋体"/>
          <w:bCs/>
          <w:snapToGrid w:val="0"/>
          <w:kern w:val="0"/>
          <w:szCs w:val="21"/>
          <w:highlight w:val="none"/>
        </w:rPr>
        <w:t>、</w:t>
      </w:r>
      <w:r>
        <w:rPr>
          <w:rFonts w:ascii="宋体" w:hAnsi="宋体" w:cs="宋体"/>
          <w:bCs/>
          <w:snapToGrid w:val="0"/>
          <w:kern w:val="0"/>
          <w:szCs w:val="21"/>
          <w:highlight w:val="none"/>
        </w:rPr>
        <w:t>巡视车和</w:t>
      </w:r>
      <w:r>
        <w:rPr>
          <w:rFonts w:hint="eastAsia" w:ascii="宋体" w:hAnsi="宋体" w:cs="宋体"/>
          <w:bCs/>
          <w:snapToGrid w:val="0"/>
          <w:kern w:val="0"/>
          <w:szCs w:val="21"/>
          <w:highlight w:val="none"/>
        </w:rPr>
        <w:t>牵引车</w:t>
      </w:r>
      <w:r>
        <w:rPr>
          <w:rFonts w:ascii="宋体" w:hAnsi="宋体" w:cs="宋体"/>
          <w:bCs/>
          <w:snapToGrid w:val="0"/>
          <w:kern w:val="0"/>
          <w:szCs w:val="21"/>
          <w:highlight w:val="none"/>
        </w:rPr>
        <w:t>上安装GPS定位系统，GPS轨迹数据应</w:t>
      </w:r>
      <w:r>
        <w:rPr>
          <w:rFonts w:hint="eastAsia" w:ascii="宋体" w:hAnsi="宋体" w:cs="宋体"/>
          <w:bCs/>
          <w:snapToGrid w:val="0"/>
          <w:kern w:val="0"/>
          <w:szCs w:val="21"/>
          <w:highlight w:val="none"/>
        </w:rPr>
        <w:t>按采购人要求</w:t>
      </w:r>
      <w:r>
        <w:rPr>
          <w:rFonts w:ascii="宋体" w:hAnsi="宋体" w:cs="宋体"/>
          <w:bCs/>
          <w:snapToGrid w:val="0"/>
          <w:kern w:val="0"/>
          <w:szCs w:val="21"/>
          <w:highlight w:val="none"/>
        </w:rPr>
        <w:t>直接接入养护在线监管平台；应在养护巡视车上安装路域病害智能前端感知设备，检测的病害数据直接接入养护在线监管平台。</w:t>
      </w:r>
    </w:p>
    <w:p>
      <w:pPr>
        <w:topLinePunct/>
        <w:adjustRightInd w:val="0"/>
        <w:snapToGrid w:val="0"/>
        <w:spacing w:line="360" w:lineRule="auto"/>
        <w:ind w:firstLine="420" w:firstLineChars="200"/>
        <w:rPr>
          <w:rFonts w:hint="eastAsia" w:ascii="宋体" w:hAnsi="宋体" w:cs="宋体"/>
          <w:bCs/>
          <w:snapToGrid w:val="0"/>
          <w:kern w:val="0"/>
          <w:szCs w:val="21"/>
          <w:highlight w:val="none"/>
        </w:rPr>
      </w:pPr>
      <w:r>
        <w:rPr>
          <w:rFonts w:hint="eastAsia" w:ascii="宋体" w:hAnsi="宋体" w:cs="宋体"/>
          <w:bCs/>
          <w:snapToGrid w:val="0"/>
          <w:kern w:val="0"/>
          <w:szCs w:val="21"/>
          <w:highlight w:val="none"/>
        </w:rPr>
        <w:t>（</w:t>
      </w:r>
      <w:r>
        <w:rPr>
          <w:rFonts w:ascii="宋体" w:hAnsi="宋体" w:cs="宋体"/>
          <w:bCs/>
          <w:snapToGrid w:val="0"/>
          <w:kern w:val="0"/>
          <w:szCs w:val="21"/>
          <w:highlight w:val="none"/>
        </w:rPr>
        <w:t>3）根据</w:t>
      </w:r>
      <w:r>
        <w:rPr>
          <w:rFonts w:hint="eastAsia" w:ascii="宋体" w:hAnsi="宋体" w:cs="宋体"/>
          <w:bCs/>
          <w:snapToGrid w:val="0"/>
          <w:kern w:val="0"/>
          <w:szCs w:val="21"/>
          <w:highlight w:val="none"/>
        </w:rPr>
        <w:t>主体设施</w:t>
      </w:r>
      <w:r>
        <w:rPr>
          <w:rFonts w:ascii="宋体" w:hAnsi="宋体" w:cs="宋体"/>
          <w:bCs/>
          <w:snapToGrid w:val="0"/>
          <w:kern w:val="0"/>
          <w:szCs w:val="21"/>
          <w:highlight w:val="none"/>
        </w:rPr>
        <w:t>日常巡查要求，巡视车无法到达的地方需配合人工巡查，并用水印相机做好巡视记录，将巡视记录及时上传至平台；根据</w:t>
      </w:r>
      <w:r>
        <w:rPr>
          <w:rFonts w:hint="eastAsia" w:ascii="宋体" w:hAnsi="宋体" w:cs="宋体"/>
          <w:bCs/>
          <w:snapToGrid w:val="0"/>
          <w:kern w:val="0"/>
          <w:szCs w:val="21"/>
          <w:highlight w:val="none"/>
        </w:rPr>
        <w:t>主体设施</w:t>
      </w:r>
      <w:r>
        <w:rPr>
          <w:rFonts w:ascii="宋体" w:hAnsi="宋体" w:cs="宋体"/>
          <w:bCs/>
          <w:snapToGrid w:val="0"/>
          <w:kern w:val="0"/>
          <w:szCs w:val="21"/>
          <w:highlight w:val="none"/>
        </w:rPr>
        <w:t>经常性巡查要求，做好NFC电子巡更工作。NFC电子标签需按规定位置安装，严禁弄虚作假、伪造巡查事实等行为。</w:t>
      </w:r>
    </w:p>
    <w:p>
      <w:pPr>
        <w:topLinePunct/>
        <w:adjustRightInd w:val="0"/>
        <w:snapToGrid w:val="0"/>
        <w:spacing w:line="360" w:lineRule="auto"/>
        <w:ind w:firstLine="420" w:firstLineChars="200"/>
        <w:rPr>
          <w:rFonts w:hint="eastAsia" w:ascii="宋体" w:hAnsi="宋体" w:cs="宋体"/>
          <w:bCs/>
          <w:snapToGrid w:val="0"/>
          <w:kern w:val="0"/>
          <w:szCs w:val="21"/>
          <w:highlight w:val="none"/>
        </w:rPr>
      </w:pPr>
      <w:r>
        <w:rPr>
          <w:rFonts w:hint="eastAsia" w:ascii="宋体" w:hAnsi="宋体" w:cs="宋体"/>
          <w:bCs/>
          <w:snapToGrid w:val="0"/>
          <w:kern w:val="0"/>
          <w:szCs w:val="21"/>
          <w:highlight w:val="none"/>
        </w:rPr>
        <w:t>（</w:t>
      </w:r>
      <w:r>
        <w:rPr>
          <w:rFonts w:ascii="宋体" w:hAnsi="宋体" w:cs="宋体"/>
          <w:bCs/>
          <w:snapToGrid w:val="0"/>
          <w:kern w:val="0"/>
          <w:szCs w:val="21"/>
          <w:highlight w:val="none"/>
        </w:rPr>
        <w:t>4）应按要求提前将每日养护作业计划、次日将作业执行情况上报至养护在线监管平台；按时按要求将定期检测报告、养护过程管理资料、安全管理资料等各类设施养护运维内业资料上传至业务管理平台，确保信息真实、完整、准确。</w:t>
      </w:r>
    </w:p>
    <w:p>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highlight w:val="none"/>
        </w:rPr>
      </w:pPr>
      <w:r>
        <w:rPr>
          <w:rFonts w:hint="eastAsia" w:ascii="宋体" w:hAnsi="宋体" w:cs="宋体"/>
          <w:b/>
          <w:snapToGrid w:val="0"/>
          <w:kern w:val="0"/>
          <w:szCs w:val="21"/>
          <w:highlight w:val="none"/>
        </w:rPr>
        <w:t>（五）应急管理工作要求</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1、应急值守</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中标人应建立24小时应急值守制度，安排专职人员，监测、收集各类信息；一旦发生突发性事件或灾害性天气等紧急事件，及时启动应急预案，接受采购人的统一指挥、统一管理，完成好应急抢险和交通保障工作。</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2、应急信息上报</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中标人应严格按照《上海交通行业生产安全突发事件信息报送规定》（沪交行规〔2022〕3号）相关要求向有关主管部门和采购人上报各类信息，遵循“快报事实、慎报原因”的原则，严格执行信息首报、续报和终报制度，不得瞒报、谎报和拖延不报。同时，须保留好现场事件信息及处置情况资料。</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3、牵引施救除障</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中标人应及时牵引影响道路通行的故障车辆，保持道路安全畅通；应按有关管理部门和采购人要求配置数量足够、符合要求的牵引车辆和设备，明确牵引车辆位置布点、救援路径方案、牵引处置时间等内容。</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4、应急预案要求</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（1）应急预案</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 xml:space="preserve">养护运维作业应急预案应做到流程清晰明了、职能岗位明确、组织架构层次分明、处置措施恰当、应急救援保障方案详实高效，本项目的应急预案应包括但不限于：防汛防台应急预案、雨雪冰冻天应急预案、高温暴雨天应急预案、抗震救灾应急预案、节日交通高峰应急预案、设施抢修应急预案、重大交通事故应急预案、设施火灾应急预案、超限车辆误入应急预案、人员意外伤亡事故应急预案等。中标人应将所有的应急预案汇编整合在一起，在合同签订后1个月内提交到采购人处登记备案；同时，应将应急处置流程图上墙。 </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（2）应急预案要素</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应急预案必须具备的要素包括但不限于应急预案组织指挥体系和各自职责、应急预案启动和终止流程、应急预案通讯网等内容。</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5、应急演练要求</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按照政府管理部门及采购人的要求，进行必要的应急演练，并做好应急演练资料的整理工作。</w:t>
      </w:r>
    </w:p>
    <w:p>
      <w:pPr>
        <w:tabs>
          <w:tab w:val="left" w:pos="7200"/>
        </w:tabs>
        <w:topLinePunct/>
        <w:adjustRightInd w:val="0"/>
        <w:snapToGrid w:val="0"/>
        <w:spacing w:line="360" w:lineRule="auto"/>
        <w:ind w:firstLine="422" w:firstLineChars="200"/>
        <w:outlineLvl w:val="1"/>
        <w:rPr>
          <w:rFonts w:hint="eastAsia" w:ascii="宋体" w:hAnsi="宋体" w:cs="宋体"/>
          <w:bCs/>
          <w:snapToGrid w:val="0"/>
          <w:kern w:val="0"/>
          <w:szCs w:val="21"/>
          <w:highlight w:val="none"/>
        </w:rPr>
      </w:pPr>
      <w:r>
        <w:rPr>
          <w:rFonts w:hint="eastAsia" w:ascii="宋体" w:hAnsi="宋体" w:cs="宋体"/>
          <w:b/>
          <w:snapToGrid w:val="0"/>
          <w:kern w:val="0"/>
          <w:szCs w:val="21"/>
          <w:highlight w:val="none"/>
        </w:rPr>
        <w:t>（六）检查检测工作要求</w:t>
      </w:r>
    </w:p>
    <w:p>
      <w:pPr>
        <w:topLinePunct/>
        <w:adjustRightInd w:val="0"/>
        <w:snapToGrid w:val="0"/>
        <w:spacing w:line="360" w:lineRule="auto"/>
        <w:ind w:firstLine="420" w:firstLineChars="200"/>
        <w:rPr>
          <w:rFonts w:hint="eastAsia" w:ascii="宋体" w:hAnsi="宋体" w:cs="宋体"/>
          <w:b/>
          <w:snapToGrid w:val="0"/>
          <w:kern w:val="0"/>
          <w:szCs w:val="21"/>
          <w:highlight w:val="none"/>
        </w:rPr>
      </w:pPr>
      <w:r>
        <w:rPr>
          <w:rFonts w:hint="eastAsia" w:ascii="宋体" w:hAnsi="宋体" w:cs="宋体"/>
          <w:snapToGrid w:val="0"/>
          <w:kern w:val="0"/>
          <w:szCs w:val="21"/>
          <w:highlight w:val="none"/>
        </w:rPr>
        <w:t>中标人应按照国家及上海有关法律、法规、规范及采购人要求对设施设备进行必要的检测，包括经常性检查、定期检查、特殊检查等。若有需要，中标人应委托具有资质的第三方检测监测单位开展相应工作，并出具正式报告。采购人有权根据养护运维工作需要增加检测项目和提高检测频率，中标人应无条件响应，相关费用应包含在其投标报价中。</w:t>
      </w:r>
    </w:p>
    <w:p>
      <w:pPr>
        <w:tabs>
          <w:tab w:val="left" w:pos="7200"/>
        </w:tabs>
        <w:topLinePunct/>
        <w:adjustRightInd w:val="0"/>
        <w:snapToGrid w:val="0"/>
        <w:spacing w:line="360" w:lineRule="auto"/>
        <w:ind w:firstLine="422" w:firstLineChars="200"/>
        <w:rPr>
          <w:rFonts w:hint="eastAsia" w:ascii="宋体" w:hAnsi="宋体" w:cs="宋体"/>
          <w:b/>
          <w:snapToGrid w:val="0"/>
          <w:kern w:val="0"/>
          <w:szCs w:val="21"/>
          <w:highlight w:val="none"/>
        </w:rPr>
      </w:pPr>
      <w:r>
        <w:rPr>
          <w:rFonts w:hint="eastAsia" w:ascii="宋体" w:hAnsi="宋体" w:cs="宋体"/>
          <w:b/>
          <w:snapToGrid w:val="0"/>
          <w:kern w:val="0"/>
          <w:szCs w:val="21"/>
          <w:highlight w:val="none"/>
        </w:rPr>
        <w:t>（七）资料、数据编制和管理要求</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1、中标人应做好设施设备量的排查、清点、记录和更新工作，并收集整理好所有设施设备的基础资料和数据，包括但不限于建设过程中的有关报审批复文件（如环评报告和批复、规划土地批复等）、设计图纸、验收文件、机电设备的型号、品牌、生产厂家、使用年限等。</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2、中标人应在合同签订后1个月内向采购人提交设施养护维修及运行管理工作大纲和手册，并报备各类人员、机械设备等资料；年度养护工作完成后，应在1个月内向采购人提交养护维修及运行管理年度总结报告和设施年度运行状况报告。上述资料格式、内容由采购人统一制定。</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3、中标人应根据采购人提供的基础资料，通过调查建立设施设备量清单及养护工作台账，有条件时应建立设施养护维修数据信息管理系统，并与采购人的管理系统做好对接，实时上报养护维修情况和数据；中标人应及时上报设施状况及设施量变化情况，并协助做好采购人的数据信息管理系统的建设完善工作。</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4、中标人应配备专职的内业资料员，收集、整理、编制以及上报各类养护运维作业资料，要求及时准确完整地反映中标人的全部养护运维作业实施过程及管理状况。</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5、中标人应严格落实采购人在招标文件中提出的有关设施设备量清单表更新完善、资产数字化、地形测绘等数据信息管理工作。必要时，应委托专业单位开展上述工作。</w:t>
      </w:r>
    </w:p>
    <w:p>
      <w:pPr>
        <w:topLinePunct/>
        <w:adjustRightInd w:val="0"/>
        <w:snapToGrid w:val="0"/>
        <w:spacing w:line="360" w:lineRule="auto"/>
        <w:ind w:firstLine="420" w:firstLineChars="200"/>
        <w:rPr>
          <w:rFonts w:hint="eastAsia" w:ascii="宋体" w:hAnsi="宋体" w:cs="宋体"/>
          <w:snapToGrid w:val="0"/>
          <w:kern w:val="0"/>
          <w:szCs w:val="21"/>
          <w:highlight w:val="none"/>
        </w:rPr>
      </w:pPr>
    </w:p>
    <w:p>
      <w:pPr>
        <w:topLinePunct/>
        <w:adjustRightInd w:val="0"/>
        <w:snapToGrid w:val="0"/>
        <w:spacing w:line="360" w:lineRule="auto"/>
        <w:outlineLvl w:val="0"/>
        <w:rPr>
          <w:rFonts w:hint="eastAsia" w:ascii="宋体" w:hAnsi="宋体" w:cs="宋体"/>
          <w:b/>
          <w:snapToGrid w:val="0"/>
          <w:kern w:val="0"/>
          <w:szCs w:val="21"/>
          <w:highlight w:val="none"/>
        </w:rPr>
      </w:pPr>
      <w:r>
        <w:rPr>
          <w:rFonts w:hint="eastAsia" w:ascii="宋体" w:hAnsi="宋体" w:cs="宋体"/>
          <w:b/>
          <w:snapToGrid w:val="0"/>
          <w:kern w:val="0"/>
          <w:szCs w:val="21"/>
          <w:highlight w:val="none"/>
        </w:rPr>
        <w:t>六、考核与奖惩要求</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1、采购人按照《上海市道路运输事业发展中心市管城市道路日常养护运维工作考核管理办法（试行）》（见附件一）对中标人进行考核，市管城市道路日常养护运维考核包括月（季）度考核和年度考核两部分组成，主要考核设施规范化管理成效和养护运维目标计划完成情况。</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2、采购人有权对月度考核不通过的中标人进行一定范围内的通报，年度有连续两个月月度考核不合格、或累计三个月月度考核不合格、或季度考核不合格，记为年度考核不合格。</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3、月度考核中对设施设备养护未完成、养护质量不符合要求、设施和运行管理不到位、资料提交不及时或不完整、媒体舆情曝光批评等情况在日常运维经费中进行单项扣款。</w:t>
      </w:r>
    </w:p>
    <w:p>
      <w:pPr>
        <w:topLinePunct/>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4、考核办法仅供参考，以采购人最终发布的通知或文件为准。</w:t>
      </w:r>
    </w:p>
    <w:p>
      <w:pPr>
        <w:topLinePunct/>
        <w:adjustRightInd w:val="0"/>
        <w:snapToGrid w:val="0"/>
        <w:spacing w:line="360" w:lineRule="auto"/>
        <w:ind w:firstLine="420" w:firstLineChars="200"/>
        <w:rPr>
          <w:rFonts w:hint="eastAsia" w:ascii="宋体" w:hAnsi="宋体" w:eastAsia="宋体" w:cs="宋体"/>
          <w:snapToGrid w:val="0"/>
          <w:kern w:val="0"/>
          <w:szCs w:val="21"/>
          <w:highlight w:val="none"/>
          <w:lang w:val="en-US" w:eastAsia="zh-CN"/>
        </w:rPr>
      </w:pPr>
      <w:r>
        <w:rPr>
          <w:rFonts w:hint="eastAsia" w:ascii="宋体" w:hAnsi="宋体" w:cs="宋体"/>
          <w:snapToGrid w:val="0"/>
          <w:kern w:val="0"/>
          <w:szCs w:val="21"/>
          <w:highlight w:val="none"/>
        </w:rPr>
        <w:t>5、考核办法的解释权归采购人，采购人有权根据实际情况进行调整。</w:t>
      </w:r>
      <w:r>
        <w:rPr>
          <w:rFonts w:hint="eastAsia" w:ascii="宋体" w:hAnsi="宋体" w:cs="宋体"/>
          <w:snapToGrid w:val="0"/>
          <w:kern w:val="0"/>
          <w:szCs w:val="21"/>
          <w:highlight w:val="none"/>
          <w:lang w:val="en-US" w:eastAsia="zh-CN"/>
        </w:rPr>
        <w:t xml:space="preserve"> </w:t>
      </w:r>
    </w:p>
    <w:p>
      <w:pPr>
        <w:topLinePunct/>
        <w:adjustRightInd w:val="0"/>
        <w:snapToGrid w:val="0"/>
        <w:spacing w:line="360" w:lineRule="auto"/>
        <w:rPr>
          <w:rFonts w:hint="eastAsia" w:ascii="宋体" w:hAnsi="宋体"/>
          <w:snapToGrid w:val="0"/>
          <w:kern w:val="0"/>
          <w:szCs w:val="21"/>
          <w:highlight w:val="none"/>
        </w:rPr>
      </w:pPr>
      <w:r>
        <w:rPr>
          <w:rFonts w:ascii="宋体" w:hAnsi="宋体"/>
          <w:snapToGrid w:val="0"/>
          <w:kern w:val="0"/>
          <w:szCs w:val="21"/>
          <w:highlight w:val="none"/>
        </w:rPr>
        <w:br w:type="page"/>
      </w:r>
    </w:p>
    <w:p>
      <w:pPr>
        <w:topLinePunct/>
        <w:adjustRightInd w:val="0"/>
        <w:snapToGrid w:val="0"/>
        <w:spacing w:line="360" w:lineRule="auto"/>
        <w:outlineLvl w:val="0"/>
        <w:rPr>
          <w:rFonts w:hint="eastAsia" w:ascii="宋体" w:hAnsi="宋体" w:cs="宋体"/>
          <w:b/>
          <w:snapToGrid w:val="0"/>
          <w:kern w:val="0"/>
          <w:szCs w:val="21"/>
          <w:highlight w:val="none"/>
        </w:rPr>
      </w:pPr>
      <w:r>
        <w:rPr>
          <w:rFonts w:hint="eastAsia" w:ascii="宋体" w:hAnsi="宋体" w:cs="宋体"/>
          <w:b/>
          <w:snapToGrid w:val="0"/>
          <w:kern w:val="0"/>
          <w:szCs w:val="21"/>
          <w:highlight w:val="none"/>
        </w:rPr>
        <w:t>附件一：考核办法</w:t>
      </w:r>
    </w:p>
    <w:bookmarkEnd w:id="8"/>
    <w:p>
      <w:pPr>
        <w:topLinePunct/>
        <w:adjustRightInd w:val="0"/>
        <w:snapToGrid w:val="0"/>
        <w:spacing w:line="360" w:lineRule="auto"/>
        <w:jc w:val="left"/>
        <w:rPr>
          <w:rFonts w:hint="eastAsia" w:ascii="宋体" w:hAnsi="宋体"/>
          <w:bCs/>
          <w:snapToGrid w:val="0"/>
          <w:kern w:val="0"/>
          <w:szCs w:val="21"/>
          <w:highlight w:val="none"/>
        </w:rPr>
      </w:pPr>
    </w:p>
    <w:p>
      <w:pPr>
        <w:spacing w:line="600" w:lineRule="exact"/>
        <w:jc w:val="center"/>
        <w:rPr>
          <w:rFonts w:ascii="Times New Roman" w:hAnsi="Times New Roman" w:eastAsia="华文中宋"/>
          <w:b/>
          <w:sz w:val="36"/>
          <w:szCs w:val="36"/>
          <w:highlight w:val="none"/>
        </w:rPr>
      </w:pPr>
      <w:r>
        <w:rPr>
          <w:rFonts w:hint="eastAsia" w:ascii="Times New Roman" w:hAnsi="Times New Roman" w:eastAsia="华文中宋"/>
          <w:b/>
          <w:sz w:val="36"/>
          <w:szCs w:val="36"/>
          <w:highlight w:val="none"/>
        </w:rPr>
        <w:t>上海市道路运输事业发展中心</w:t>
      </w:r>
      <w:bookmarkStart w:id="9" w:name="_Hlk89870992"/>
      <w:r>
        <w:rPr>
          <w:rFonts w:hint="eastAsia" w:ascii="Times New Roman" w:hAnsi="Times New Roman" w:eastAsia="华文中宋"/>
          <w:b/>
          <w:sz w:val="36"/>
          <w:szCs w:val="36"/>
          <w:highlight w:val="none"/>
        </w:rPr>
        <w:t>市管城市道路</w:t>
      </w:r>
      <w:bookmarkEnd w:id="9"/>
    </w:p>
    <w:p>
      <w:pPr>
        <w:spacing w:line="600" w:lineRule="exact"/>
        <w:jc w:val="center"/>
        <w:rPr>
          <w:rFonts w:ascii="Times New Roman" w:hAnsi="Times New Roman" w:eastAsia="华文中宋"/>
          <w:b/>
          <w:sz w:val="36"/>
          <w:szCs w:val="36"/>
          <w:highlight w:val="none"/>
        </w:rPr>
      </w:pPr>
      <w:r>
        <w:rPr>
          <w:rFonts w:hint="eastAsia" w:ascii="Times New Roman" w:hAnsi="Times New Roman" w:eastAsia="华文中宋"/>
          <w:b/>
          <w:sz w:val="36"/>
          <w:szCs w:val="36"/>
          <w:highlight w:val="none"/>
        </w:rPr>
        <w:t>日常养护运维工作考核管理办法（试行）</w:t>
      </w:r>
    </w:p>
    <w:p>
      <w:pPr>
        <w:rPr>
          <w:rFonts w:ascii="Times New Roman" w:hAnsi="Times New Roman"/>
          <w:szCs w:val="21"/>
          <w:highlight w:val="none"/>
        </w:rPr>
      </w:pPr>
    </w:p>
    <w:p>
      <w:pPr>
        <w:spacing w:line="560" w:lineRule="exact"/>
        <w:ind w:firstLine="560" w:firstLineChars="200"/>
        <w:rPr>
          <w:rFonts w:ascii="宋体" w:hAnsi="Times New Roman" w:eastAsia="仿宋_GB2312" w:cs="宋体"/>
          <w:sz w:val="28"/>
          <w:szCs w:val="28"/>
          <w:highlight w:val="none"/>
        </w:rPr>
      </w:pPr>
      <w:r>
        <w:rPr>
          <w:rFonts w:ascii="Times New Roman" w:hAnsi="Times New Roman" w:eastAsia="仿宋_GB2312"/>
          <w:sz w:val="28"/>
          <w:szCs w:val="28"/>
          <w:highlight w:val="none"/>
        </w:rPr>
        <w:t>为</w:t>
      </w:r>
      <w:r>
        <w:rPr>
          <w:rFonts w:hint="eastAsia" w:ascii="Times New Roman" w:hAnsi="Times New Roman" w:eastAsia="仿宋_GB2312"/>
          <w:sz w:val="28"/>
          <w:szCs w:val="28"/>
          <w:highlight w:val="none"/>
        </w:rPr>
        <w:t>建立健全市管城市道路养护考核管理机制，进一步推动市管城市道路精细化、数字化、科学化管养，全面提升道路设施服务水平和品质，确保结构安全、运行安全。根据《城市道路管理条例》、《上海市城市道路管理条例》、《上海市黄浦江大桥管理办法》、《财政部关于进一步加强政府采购需求和履约验收管理的指导意见》及有关规范标准等文件，结合实际情况，特制定本办法。</w:t>
      </w:r>
    </w:p>
    <w:p>
      <w:pPr>
        <w:numPr>
          <w:ilvl w:val="0"/>
          <w:numId w:val="4"/>
        </w:numPr>
        <w:spacing w:before="120" w:beforeLines="50" w:line="560" w:lineRule="exact"/>
        <w:ind w:left="843" w:hanging="843" w:hangingChars="300"/>
        <w:jc w:val="center"/>
        <w:rPr>
          <w:rFonts w:hint="eastAsia" w:ascii="黑体" w:hAnsi="黑体" w:eastAsia="黑体"/>
          <w:b/>
          <w:sz w:val="28"/>
          <w:szCs w:val="28"/>
          <w:highlight w:val="none"/>
        </w:rPr>
      </w:pPr>
      <w:r>
        <w:rPr>
          <w:rFonts w:hint="eastAsia" w:ascii="黑体" w:hAnsi="黑体" w:eastAsia="黑体"/>
          <w:b/>
          <w:sz w:val="28"/>
          <w:szCs w:val="28"/>
          <w:highlight w:val="none"/>
        </w:rPr>
        <w:t>总则</w:t>
      </w:r>
    </w:p>
    <w:p>
      <w:pPr>
        <w:numPr>
          <w:ilvl w:val="0"/>
          <w:numId w:val="5"/>
        </w:numPr>
        <w:spacing w:line="600" w:lineRule="exact"/>
        <w:rPr>
          <w:rFonts w:ascii="Times New Roman" w:hAnsi="Times New Roman" w:eastAsia="楷体_GB2312"/>
          <w:b/>
          <w:sz w:val="28"/>
          <w:szCs w:val="28"/>
          <w:highlight w:val="none"/>
        </w:rPr>
      </w:pPr>
      <w:bookmarkStart w:id="10" w:name="_Hlk161301422"/>
      <w:r>
        <w:rPr>
          <w:rFonts w:hint="eastAsia" w:ascii="Times New Roman" w:hAnsi="Times New Roman" w:eastAsia="楷体_GB2312"/>
          <w:b/>
          <w:sz w:val="28"/>
          <w:szCs w:val="28"/>
          <w:highlight w:val="none"/>
        </w:rPr>
        <w:t>适用范围</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上海市道路运输事业发展中心（以下简称“市道运中心”）直接管理的市管城市道路及其附属设施。</w:t>
      </w:r>
    </w:p>
    <w:p>
      <w:pPr>
        <w:numPr>
          <w:ilvl w:val="0"/>
          <w:numId w:val="5"/>
        </w:numPr>
        <w:spacing w:line="600" w:lineRule="exact"/>
        <w:rPr>
          <w:rFonts w:ascii="Times New Roman" w:hAnsi="Times New Roman" w:eastAsia="楷体_GB2312"/>
          <w:b/>
          <w:sz w:val="28"/>
          <w:szCs w:val="28"/>
          <w:highlight w:val="none"/>
        </w:rPr>
      </w:pPr>
      <w:r>
        <w:rPr>
          <w:rFonts w:ascii="Times New Roman" w:hAnsi="Times New Roman" w:eastAsia="楷体_GB2312"/>
          <w:b/>
          <w:sz w:val="28"/>
          <w:szCs w:val="28"/>
          <w:highlight w:val="none"/>
        </w:rPr>
        <w:t>考核对象</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承担市管城市快速路、桥隧、地道及其附属设施日常养护运维工作的各中标单位（以下简称“养护单位”）。</w:t>
      </w:r>
    </w:p>
    <w:p>
      <w:pPr>
        <w:numPr>
          <w:ilvl w:val="0"/>
          <w:numId w:val="5"/>
        </w:numPr>
        <w:spacing w:line="600" w:lineRule="exact"/>
        <w:rPr>
          <w:rFonts w:ascii="Times New Roman" w:hAnsi="Times New Roman" w:eastAsia="楷体_GB2312"/>
          <w:b/>
          <w:sz w:val="28"/>
          <w:szCs w:val="28"/>
          <w:highlight w:val="none"/>
        </w:rPr>
      </w:pPr>
      <w:r>
        <w:rPr>
          <w:rFonts w:hint="eastAsia" w:ascii="Times New Roman" w:hAnsi="Times New Roman" w:eastAsia="楷体_GB2312"/>
          <w:b/>
          <w:sz w:val="28"/>
          <w:szCs w:val="28"/>
          <w:highlight w:val="none"/>
        </w:rPr>
        <w:t>考核原则</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科学合理、客观公正、公平公开、优胜劣汰。</w:t>
      </w:r>
    </w:p>
    <w:bookmarkEnd w:id="10"/>
    <w:p>
      <w:pPr>
        <w:numPr>
          <w:ilvl w:val="0"/>
          <w:numId w:val="4"/>
        </w:numPr>
        <w:spacing w:before="120" w:beforeLines="50" w:line="560" w:lineRule="exact"/>
        <w:ind w:left="0" w:firstLine="0"/>
        <w:jc w:val="center"/>
        <w:rPr>
          <w:rFonts w:hint="eastAsia" w:ascii="黑体" w:hAnsi="黑体" w:eastAsia="黑体"/>
          <w:b/>
          <w:sz w:val="28"/>
          <w:szCs w:val="28"/>
          <w:highlight w:val="none"/>
        </w:rPr>
      </w:pPr>
      <w:r>
        <w:rPr>
          <w:rFonts w:hint="eastAsia" w:ascii="黑体" w:hAnsi="黑体" w:eastAsia="黑体"/>
          <w:b/>
          <w:sz w:val="28"/>
          <w:szCs w:val="28"/>
          <w:highlight w:val="none"/>
        </w:rPr>
        <w:t>考核内容</w:t>
      </w:r>
    </w:p>
    <w:p>
      <w:pPr>
        <w:numPr>
          <w:ilvl w:val="0"/>
          <w:numId w:val="5"/>
        </w:numPr>
        <w:spacing w:line="600" w:lineRule="exact"/>
        <w:rPr>
          <w:rFonts w:ascii="Times New Roman" w:hAnsi="Times New Roman" w:eastAsia="楷体_GB2312"/>
          <w:b/>
          <w:sz w:val="28"/>
          <w:szCs w:val="28"/>
          <w:highlight w:val="none"/>
        </w:rPr>
      </w:pPr>
      <w:r>
        <w:rPr>
          <w:rFonts w:hint="eastAsia" w:ascii="Times New Roman" w:hAnsi="Times New Roman" w:eastAsia="楷体_GB2312"/>
          <w:b/>
          <w:sz w:val="28"/>
          <w:szCs w:val="28"/>
          <w:highlight w:val="none"/>
        </w:rPr>
        <w:t>考核方式</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市管城市快速路、桥隧、地道及其附属设施日常养护运维</w:t>
      </w:r>
      <w:r>
        <w:rPr>
          <w:rFonts w:ascii="Times New Roman" w:hAnsi="Times New Roman" w:eastAsia="仿宋_GB2312"/>
          <w:sz w:val="28"/>
          <w:szCs w:val="28"/>
          <w:highlight w:val="none"/>
        </w:rPr>
        <w:t>考核</w:t>
      </w:r>
      <w:r>
        <w:rPr>
          <w:rFonts w:hint="eastAsia" w:ascii="Times New Roman" w:hAnsi="Times New Roman" w:eastAsia="仿宋_GB2312"/>
          <w:sz w:val="28"/>
          <w:szCs w:val="28"/>
          <w:highlight w:val="none"/>
        </w:rPr>
        <w:t>包括月度、季度和年度考核，主要考核养护单位是否根据合同约定和有关要求完成所有养护运维工作内容及完成质量、设施结构及运行安全状况、职责履行情况等，采用综合评价打分制形式。</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所有考核评分保留两位小数并向下取整。</w:t>
      </w:r>
    </w:p>
    <w:p>
      <w:pPr>
        <w:numPr>
          <w:ilvl w:val="0"/>
          <w:numId w:val="5"/>
        </w:numPr>
        <w:spacing w:line="600" w:lineRule="exact"/>
        <w:rPr>
          <w:rFonts w:ascii="Times New Roman" w:hAnsi="Times New Roman" w:eastAsia="楷体_GB2312"/>
          <w:b/>
          <w:sz w:val="28"/>
          <w:szCs w:val="28"/>
          <w:highlight w:val="none"/>
        </w:rPr>
      </w:pPr>
      <w:r>
        <w:rPr>
          <w:rFonts w:ascii="Times New Roman" w:hAnsi="Times New Roman" w:eastAsia="楷体_GB2312"/>
          <w:b/>
          <w:sz w:val="28"/>
          <w:szCs w:val="28"/>
          <w:highlight w:val="none"/>
        </w:rPr>
        <w:t>月度考核</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每月开展一次，适用于主体设施养护运维的项目。月度考核由定量、定性和专项考核三个部分组成。其中，定量考核是指对各项养护运维工作完成率进行考核，定性考核是指对养护运维工作开展过程及完成质量进行考核，专项考核是针对本项目设施特点单独列举的考核内容（具体详见附件）。通过各部分累加后得到月度考核评分，满分为1</w:t>
      </w:r>
      <w:r>
        <w:rPr>
          <w:rFonts w:ascii="Times New Roman" w:hAnsi="Times New Roman" w:eastAsia="仿宋_GB2312"/>
          <w:sz w:val="28"/>
          <w:szCs w:val="28"/>
          <w:highlight w:val="none"/>
        </w:rPr>
        <w:t>00</w:t>
      </w:r>
      <w:r>
        <w:rPr>
          <w:rFonts w:hint="eastAsia" w:ascii="Times New Roman" w:hAnsi="Times New Roman" w:eastAsia="仿宋_GB2312"/>
          <w:sz w:val="28"/>
          <w:szCs w:val="28"/>
          <w:highlight w:val="none"/>
        </w:rPr>
        <w:t>分，计算方式如下：</w:t>
      </w:r>
    </w:p>
    <w:p>
      <w:pPr>
        <w:adjustRightInd w:val="0"/>
        <w:snapToGrid w:val="0"/>
        <w:spacing w:line="560" w:lineRule="exact"/>
        <w:ind w:firstLine="562" w:firstLineChars="200"/>
        <w:rPr>
          <w:rFonts w:ascii="Times New Roman" w:hAnsi="Times New Roman" w:eastAsia="仿宋_GB2312"/>
          <w:sz w:val="28"/>
          <w:szCs w:val="28"/>
          <w:highlight w:val="none"/>
        </w:rPr>
      </w:pPr>
      <w:r>
        <w:rPr>
          <w:rFonts w:hint="eastAsia" w:ascii="Times New Roman" w:hAnsi="Times New Roman" w:eastAsia="仿宋_GB2312"/>
          <w:b/>
          <w:bCs/>
          <w:sz w:val="28"/>
          <w:szCs w:val="28"/>
          <w:highlight w:val="none"/>
        </w:rPr>
        <w:t>主体设施月度考核评分</w:t>
      </w:r>
      <w:r>
        <w:rPr>
          <w:rFonts w:hint="eastAsia" w:ascii="Times New Roman" w:hAnsi="Times New Roman" w:eastAsia="仿宋_GB2312"/>
          <w:sz w:val="28"/>
          <w:szCs w:val="28"/>
          <w:highlight w:val="none"/>
        </w:rPr>
        <w:t>=定量考核（6</w:t>
      </w:r>
      <w:r>
        <w:rPr>
          <w:rFonts w:ascii="Times New Roman" w:hAnsi="Times New Roman" w:eastAsia="仿宋_GB2312"/>
          <w:sz w:val="28"/>
          <w:szCs w:val="28"/>
          <w:highlight w:val="none"/>
        </w:rPr>
        <w:t>0</w:t>
      </w:r>
      <w:r>
        <w:rPr>
          <w:rFonts w:hint="eastAsia" w:ascii="Times New Roman" w:hAnsi="Times New Roman" w:eastAsia="仿宋_GB2312"/>
          <w:sz w:val="28"/>
          <w:szCs w:val="28"/>
          <w:highlight w:val="none"/>
        </w:rPr>
        <w:t>分）+定性考核（4</w:t>
      </w:r>
      <w:r>
        <w:rPr>
          <w:rFonts w:ascii="Times New Roman" w:hAnsi="Times New Roman" w:eastAsia="仿宋_GB2312"/>
          <w:sz w:val="28"/>
          <w:szCs w:val="28"/>
          <w:highlight w:val="none"/>
        </w:rPr>
        <w:t>0</w:t>
      </w:r>
      <w:r>
        <w:rPr>
          <w:rFonts w:hint="eastAsia" w:ascii="Times New Roman" w:hAnsi="Times New Roman" w:eastAsia="仿宋_GB2312"/>
          <w:sz w:val="28"/>
          <w:szCs w:val="28"/>
          <w:highlight w:val="none"/>
        </w:rPr>
        <w:t>分）+专项考核</w:t>
      </w:r>
    </w:p>
    <w:p>
      <w:pPr>
        <w:numPr>
          <w:ilvl w:val="0"/>
          <w:numId w:val="5"/>
        </w:numPr>
        <w:spacing w:line="600" w:lineRule="exact"/>
        <w:rPr>
          <w:rFonts w:ascii="Times New Roman" w:hAnsi="Times New Roman" w:eastAsia="楷体_GB2312"/>
          <w:b/>
          <w:sz w:val="28"/>
          <w:szCs w:val="28"/>
          <w:highlight w:val="none"/>
        </w:rPr>
      </w:pPr>
      <w:r>
        <w:rPr>
          <w:rFonts w:ascii="Times New Roman" w:hAnsi="Times New Roman" w:eastAsia="楷体_GB2312"/>
          <w:b/>
          <w:sz w:val="28"/>
          <w:szCs w:val="28"/>
          <w:highlight w:val="none"/>
        </w:rPr>
        <w:t>季度考核</w:t>
      </w:r>
    </w:p>
    <w:p>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每季开展一次，一般为3、6、9、1</w:t>
      </w:r>
      <w:r>
        <w:rPr>
          <w:rFonts w:ascii="Times New Roman" w:hAnsi="Times New Roman" w:eastAsia="仿宋_GB2312"/>
          <w:sz w:val="28"/>
          <w:szCs w:val="28"/>
          <w:highlight w:val="none"/>
        </w:rPr>
        <w:t>1</w:t>
      </w:r>
      <w:r>
        <w:rPr>
          <w:rFonts w:hint="eastAsia" w:ascii="Times New Roman" w:hAnsi="Times New Roman" w:eastAsia="仿宋_GB2312"/>
          <w:sz w:val="28"/>
          <w:szCs w:val="28"/>
          <w:highlight w:val="none"/>
        </w:rPr>
        <w:t>月，适用于下部涂装保洁、道路绿化、景观灯光养护运行等项目。季度考核由季度定量、定性和专项考核三个分部组成。其中，定量考核是指对各项养护工作完成率进行考核，定性考核是指对养护工作开展过程及完成质量进行考核，专项考核是针对本项目设施特点单独列举的考核内容（具体详见附录）。通过累加后得到季度考核评分，满分为1</w:t>
      </w:r>
      <w:r>
        <w:rPr>
          <w:rFonts w:ascii="Times New Roman" w:hAnsi="Times New Roman" w:eastAsia="仿宋_GB2312"/>
          <w:sz w:val="28"/>
          <w:szCs w:val="28"/>
          <w:highlight w:val="none"/>
        </w:rPr>
        <w:t>00</w:t>
      </w:r>
      <w:r>
        <w:rPr>
          <w:rFonts w:hint="eastAsia" w:ascii="Times New Roman" w:hAnsi="Times New Roman" w:eastAsia="仿宋_GB2312"/>
          <w:sz w:val="28"/>
          <w:szCs w:val="28"/>
          <w:highlight w:val="none"/>
        </w:rPr>
        <w:t>分，计算方式如下：</w:t>
      </w:r>
    </w:p>
    <w:p>
      <w:pPr>
        <w:adjustRightInd w:val="0"/>
        <w:snapToGrid w:val="0"/>
        <w:spacing w:line="560" w:lineRule="exact"/>
        <w:ind w:firstLine="562" w:firstLineChars="200"/>
        <w:rPr>
          <w:rFonts w:ascii="Times New Roman" w:hAnsi="Times New Roman" w:eastAsia="仿宋_GB2312"/>
          <w:sz w:val="28"/>
          <w:szCs w:val="28"/>
          <w:highlight w:val="none"/>
        </w:rPr>
      </w:pPr>
      <w:r>
        <w:rPr>
          <w:rFonts w:hint="eastAsia" w:ascii="Times New Roman" w:hAnsi="Times New Roman" w:eastAsia="仿宋_GB2312"/>
          <w:b/>
          <w:bCs/>
          <w:sz w:val="28"/>
          <w:szCs w:val="28"/>
          <w:highlight w:val="none"/>
        </w:rPr>
        <w:t>下部涂装保洁/道路绿化/景观灯光月度考核评分</w:t>
      </w:r>
      <w:r>
        <w:rPr>
          <w:rFonts w:hint="eastAsia" w:ascii="Times New Roman" w:hAnsi="Times New Roman" w:eastAsia="仿宋_GB2312"/>
          <w:sz w:val="28"/>
          <w:szCs w:val="28"/>
          <w:highlight w:val="none"/>
        </w:rPr>
        <w:t>=定量考核（</w:t>
      </w:r>
      <w:r>
        <w:rPr>
          <w:rFonts w:ascii="Times New Roman" w:hAnsi="Times New Roman" w:eastAsia="仿宋_GB2312"/>
          <w:sz w:val="28"/>
          <w:szCs w:val="28"/>
          <w:highlight w:val="none"/>
        </w:rPr>
        <w:t>60</w:t>
      </w:r>
      <w:r>
        <w:rPr>
          <w:rFonts w:hint="eastAsia" w:ascii="Times New Roman" w:hAnsi="Times New Roman" w:eastAsia="仿宋_GB2312"/>
          <w:sz w:val="28"/>
          <w:szCs w:val="28"/>
          <w:highlight w:val="none"/>
        </w:rPr>
        <w:t>分）+定性考核（</w:t>
      </w:r>
      <w:r>
        <w:rPr>
          <w:rFonts w:ascii="Times New Roman" w:hAnsi="Times New Roman" w:eastAsia="仿宋_GB2312"/>
          <w:sz w:val="28"/>
          <w:szCs w:val="28"/>
          <w:highlight w:val="none"/>
        </w:rPr>
        <w:t>40</w:t>
      </w:r>
      <w:r>
        <w:rPr>
          <w:rFonts w:hint="eastAsia" w:ascii="Times New Roman" w:hAnsi="Times New Roman" w:eastAsia="仿宋_GB2312"/>
          <w:sz w:val="28"/>
          <w:szCs w:val="28"/>
          <w:highlight w:val="none"/>
        </w:rPr>
        <w:t>分）+专项考核</w:t>
      </w:r>
    </w:p>
    <w:p>
      <w:pPr>
        <w:numPr>
          <w:ilvl w:val="0"/>
          <w:numId w:val="5"/>
        </w:numPr>
        <w:spacing w:line="600" w:lineRule="exact"/>
        <w:rPr>
          <w:rFonts w:ascii="Times New Roman" w:hAnsi="Times New Roman" w:eastAsia="楷体_GB2312"/>
          <w:b/>
          <w:sz w:val="28"/>
          <w:szCs w:val="28"/>
          <w:highlight w:val="none"/>
        </w:rPr>
      </w:pPr>
      <w:r>
        <w:rPr>
          <w:rFonts w:ascii="Times New Roman" w:hAnsi="Times New Roman" w:eastAsia="楷体_GB2312"/>
          <w:b/>
          <w:sz w:val="28"/>
          <w:szCs w:val="28"/>
          <w:highlight w:val="none"/>
        </w:rPr>
        <w:t>年度考核</w:t>
      </w:r>
    </w:p>
    <w:p>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年度考核评分由月度考核或季度考核的算术平均值和年度检测得分（如有）组成，满分为1</w:t>
      </w:r>
      <w:r>
        <w:rPr>
          <w:rFonts w:ascii="Times New Roman" w:hAnsi="Times New Roman" w:eastAsia="仿宋_GB2312"/>
          <w:sz w:val="28"/>
          <w:szCs w:val="28"/>
          <w:highlight w:val="none"/>
        </w:rPr>
        <w:t>00</w:t>
      </w:r>
      <w:r>
        <w:rPr>
          <w:rFonts w:hint="eastAsia" w:ascii="Times New Roman" w:hAnsi="Times New Roman" w:eastAsia="仿宋_GB2312"/>
          <w:sz w:val="28"/>
          <w:szCs w:val="28"/>
          <w:highlight w:val="none"/>
        </w:rPr>
        <w:t>分。其中，年度检测得分主要是指由市道运中心委托第三方单位出具的有关检测报告计算出来的得分。</w:t>
      </w:r>
    </w:p>
    <w:p>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根据上述原则，各设施年度考核评分情况分别为：主体设施年度考核评分为月度考核算数平均值和年度检测得分之和，下部涂装保洁/道路绿化/景观灯光年度考核评分为季度考核算数平均值。</w:t>
      </w:r>
    </w:p>
    <w:p>
      <w:pPr>
        <w:numPr>
          <w:ilvl w:val="0"/>
          <w:numId w:val="5"/>
        </w:numPr>
        <w:spacing w:line="600" w:lineRule="exact"/>
        <w:rPr>
          <w:rFonts w:ascii="Times New Roman" w:hAnsi="Times New Roman" w:eastAsia="楷体_GB2312"/>
          <w:b/>
          <w:sz w:val="28"/>
          <w:szCs w:val="28"/>
          <w:highlight w:val="none"/>
        </w:rPr>
      </w:pPr>
      <w:r>
        <w:rPr>
          <w:rFonts w:ascii="Times New Roman" w:hAnsi="Times New Roman" w:eastAsia="楷体_GB2312"/>
          <w:b/>
          <w:sz w:val="28"/>
          <w:szCs w:val="28"/>
          <w:highlight w:val="none"/>
        </w:rPr>
        <w:t>考核组织</w:t>
      </w:r>
    </w:p>
    <w:p>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市道运中心城市道路科（以下简称“城道科”）负责牵头组织开展市管城市道路日常养护运维考核的具体工作，包括但不限于考评资料准备、组建考核工作小组、组织开展具体考核工作、汇总分析考评情况、编制考评报告等。</w:t>
      </w:r>
    </w:p>
    <w:p>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考评小组成员由市道运中心城道科、计划财务科、科技信息科和养护监理单位等组成，必要时将邀请上海市政府采购中心、上级单位主管部门和行业专家一并参加考评。</w:t>
      </w:r>
    </w:p>
    <w:p>
      <w:pPr>
        <w:numPr>
          <w:ilvl w:val="0"/>
          <w:numId w:val="5"/>
        </w:numPr>
        <w:spacing w:line="600" w:lineRule="exact"/>
        <w:rPr>
          <w:rFonts w:ascii="Times New Roman" w:hAnsi="Times New Roman" w:eastAsia="楷体_GB2312"/>
          <w:b/>
          <w:sz w:val="28"/>
          <w:szCs w:val="28"/>
          <w:highlight w:val="none"/>
        </w:rPr>
      </w:pPr>
      <w:r>
        <w:rPr>
          <w:rFonts w:hint="eastAsia" w:ascii="Times New Roman" w:hAnsi="Times New Roman" w:eastAsia="楷体_GB2312"/>
          <w:b/>
          <w:sz w:val="28"/>
          <w:szCs w:val="28"/>
          <w:highlight w:val="none"/>
        </w:rPr>
        <w:t>考核报告</w:t>
      </w:r>
    </w:p>
    <w:p>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月度、季度考核工作完成后，考评小组负责汇总整理月度、季度考评工作具体情况，对各设施考评情况进行研究分析后，正式编制月度、季度考评报告。年度考评工作完成后，考评小组负责汇总整理年度考评工作具体情况，并编制年度考评报告。上述报告将分送各相关单位。</w:t>
      </w:r>
    </w:p>
    <w:p>
      <w:pPr>
        <w:numPr>
          <w:ilvl w:val="0"/>
          <w:numId w:val="5"/>
        </w:numPr>
        <w:spacing w:line="600" w:lineRule="exact"/>
        <w:rPr>
          <w:rFonts w:ascii="Times New Roman" w:hAnsi="Times New Roman" w:eastAsia="楷体_GB2312"/>
          <w:b/>
          <w:sz w:val="28"/>
          <w:szCs w:val="28"/>
          <w:highlight w:val="none"/>
        </w:rPr>
      </w:pPr>
      <w:r>
        <w:rPr>
          <w:rFonts w:hint="eastAsia" w:ascii="Times New Roman" w:hAnsi="Times New Roman" w:eastAsia="楷体_GB2312"/>
          <w:b/>
          <w:sz w:val="28"/>
          <w:szCs w:val="28"/>
          <w:highlight w:val="none"/>
        </w:rPr>
        <w:t>考核标准</w:t>
      </w:r>
    </w:p>
    <w:p>
      <w:pPr>
        <w:adjustRightInd w:val="0"/>
        <w:snapToGrid w:val="0"/>
        <w:spacing w:line="560" w:lineRule="exact"/>
        <w:ind w:firstLine="562" w:firstLineChars="200"/>
        <w:rPr>
          <w:rFonts w:ascii="Times New Roman" w:hAnsi="Times New Roman" w:eastAsia="仿宋_GB2312"/>
          <w:sz w:val="28"/>
          <w:szCs w:val="28"/>
          <w:highlight w:val="none"/>
        </w:rPr>
      </w:pPr>
      <w:r>
        <w:rPr>
          <w:rFonts w:hint="eastAsia" w:ascii="Times New Roman" w:hAnsi="Times New Roman" w:eastAsia="楷体_GB2312"/>
          <w:b/>
          <w:bCs/>
          <w:sz w:val="28"/>
          <w:szCs w:val="28"/>
          <w:highlight w:val="none"/>
        </w:rPr>
        <w:t>月度、季度考核：</w:t>
      </w:r>
      <w:r>
        <w:rPr>
          <w:rFonts w:hint="eastAsia" w:ascii="Times New Roman" w:hAnsi="Times New Roman" w:eastAsia="仿宋_GB2312"/>
          <w:sz w:val="28"/>
          <w:szCs w:val="28"/>
          <w:highlight w:val="none"/>
        </w:rPr>
        <w:t>考核评分8</w:t>
      </w:r>
      <w:r>
        <w:rPr>
          <w:rFonts w:ascii="Times New Roman" w:hAnsi="Times New Roman" w:eastAsia="仿宋_GB2312"/>
          <w:sz w:val="28"/>
          <w:szCs w:val="28"/>
          <w:highlight w:val="none"/>
        </w:rPr>
        <w:t>5</w:t>
      </w:r>
      <w:r>
        <w:rPr>
          <w:rFonts w:hint="eastAsia" w:ascii="Times New Roman" w:hAnsi="Times New Roman" w:eastAsia="仿宋_GB2312"/>
          <w:sz w:val="28"/>
          <w:szCs w:val="28"/>
          <w:highlight w:val="none"/>
        </w:rPr>
        <w:t>分及以上为合格，8</w:t>
      </w:r>
      <w:r>
        <w:rPr>
          <w:rFonts w:ascii="Times New Roman" w:hAnsi="Times New Roman" w:eastAsia="仿宋_GB2312"/>
          <w:sz w:val="28"/>
          <w:szCs w:val="28"/>
          <w:highlight w:val="none"/>
        </w:rPr>
        <w:t>5</w:t>
      </w:r>
      <w:r>
        <w:rPr>
          <w:rFonts w:hint="eastAsia" w:ascii="Times New Roman" w:hAnsi="Times New Roman" w:eastAsia="仿宋_GB2312"/>
          <w:sz w:val="28"/>
          <w:szCs w:val="28"/>
          <w:highlight w:val="none"/>
        </w:rPr>
        <w:t>分以下为不合格。</w:t>
      </w:r>
    </w:p>
    <w:p>
      <w:pPr>
        <w:adjustRightInd w:val="0"/>
        <w:snapToGrid w:val="0"/>
        <w:spacing w:line="560" w:lineRule="exact"/>
        <w:ind w:firstLine="562" w:firstLineChars="200"/>
        <w:rPr>
          <w:rFonts w:ascii="Times New Roman" w:hAnsi="Times New Roman" w:eastAsia="仿宋_GB2312"/>
          <w:sz w:val="28"/>
          <w:szCs w:val="28"/>
          <w:highlight w:val="none"/>
        </w:rPr>
      </w:pPr>
      <w:r>
        <w:rPr>
          <w:rFonts w:ascii="Times New Roman" w:hAnsi="Times New Roman" w:eastAsia="楷体_GB2312"/>
          <w:b/>
          <w:bCs/>
          <w:sz w:val="28"/>
          <w:szCs w:val="28"/>
          <w:highlight w:val="none"/>
        </w:rPr>
        <w:t>年度考核：</w:t>
      </w:r>
      <w:r>
        <w:rPr>
          <w:rFonts w:hint="eastAsia" w:ascii="Times New Roman" w:hAnsi="Times New Roman" w:eastAsia="仿宋_GB2312"/>
          <w:sz w:val="28"/>
          <w:szCs w:val="28"/>
          <w:highlight w:val="none"/>
        </w:rPr>
        <w:t>年度考核评分95分及以上为优秀；90分及以上为良好；85分及以上，且无连续两个月月度考核不合格、无累计三个月月度考核不合格，或无季度考核不合格，则该年度考核结果为合格，其余为不合格。</w:t>
      </w:r>
    </w:p>
    <w:p>
      <w:pPr>
        <w:numPr>
          <w:ilvl w:val="0"/>
          <w:numId w:val="4"/>
        </w:numPr>
        <w:spacing w:before="120" w:beforeLines="50" w:line="560" w:lineRule="exact"/>
        <w:ind w:left="0" w:firstLine="0"/>
        <w:jc w:val="center"/>
        <w:rPr>
          <w:rFonts w:hint="eastAsia" w:ascii="黑体" w:hAnsi="黑体" w:eastAsia="黑体"/>
          <w:b/>
          <w:sz w:val="28"/>
          <w:szCs w:val="28"/>
          <w:highlight w:val="none"/>
        </w:rPr>
      </w:pPr>
      <w:r>
        <w:rPr>
          <w:rFonts w:hint="eastAsia" w:ascii="黑体" w:hAnsi="黑体" w:eastAsia="黑体"/>
          <w:b/>
          <w:sz w:val="28"/>
          <w:szCs w:val="28"/>
          <w:highlight w:val="none"/>
        </w:rPr>
        <w:t>考核奖惩</w:t>
      </w:r>
    </w:p>
    <w:p>
      <w:pPr>
        <w:numPr>
          <w:ilvl w:val="0"/>
          <w:numId w:val="5"/>
        </w:numPr>
        <w:spacing w:line="600" w:lineRule="exact"/>
        <w:rPr>
          <w:rFonts w:ascii="Times New Roman" w:hAnsi="Times New Roman" w:eastAsia="楷体_GB2312"/>
          <w:b/>
          <w:sz w:val="28"/>
          <w:szCs w:val="28"/>
          <w:highlight w:val="none"/>
        </w:rPr>
      </w:pPr>
      <w:r>
        <w:rPr>
          <w:rFonts w:hint="eastAsia" w:ascii="Times New Roman" w:hAnsi="Times New Roman" w:eastAsia="楷体_GB2312"/>
          <w:b/>
          <w:sz w:val="28"/>
          <w:szCs w:val="28"/>
          <w:highlight w:val="none"/>
        </w:rPr>
        <w:t>奖励措施</w:t>
      </w:r>
    </w:p>
    <w:p>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年度考核评分结果优秀的设施在年度报告中通报表扬，并纳入推优范围，在市级、行业优秀称号、先进等各类评比中优先提名推荐。</w:t>
      </w:r>
    </w:p>
    <w:p>
      <w:pPr>
        <w:numPr>
          <w:ilvl w:val="0"/>
          <w:numId w:val="5"/>
        </w:numPr>
        <w:spacing w:line="600" w:lineRule="exact"/>
        <w:rPr>
          <w:rFonts w:ascii="Times New Roman" w:hAnsi="Times New Roman" w:eastAsia="楷体_GB2312"/>
          <w:b/>
          <w:sz w:val="28"/>
          <w:szCs w:val="28"/>
          <w:highlight w:val="none"/>
        </w:rPr>
      </w:pPr>
      <w:r>
        <w:rPr>
          <w:rFonts w:ascii="Times New Roman" w:hAnsi="Times New Roman" w:eastAsia="楷体_GB2312"/>
          <w:b/>
          <w:sz w:val="28"/>
          <w:szCs w:val="28"/>
          <w:highlight w:val="none"/>
        </w:rPr>
        <w:t>考核扣款</w:t>
      </w:r>
    </w:p>
    <w:p>
      <w:pPr>
        <w:adjustRightInd w:val="0"/>
        <w:snapToGrid w:val="0"/>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月</w:t>
      </w:r>
      <w:r>
        <w:rPr>
          <w:rFonts w:hint="eastAsia" w:ascii="Times New Roman" w:hAnsi="Times New Roman" w:eastAsia="仿宋_GB2312"/>
          <w:sz w:val="28"/>
          <w:szCs w:val="28"/>
          <w:highlight w:val="none"/>
        </w:rPr>
        <w:t>度、季度考核结果不合格，则按比例扣减该设施项目当月或季度日常养护运维经费，计算方式如下：</w:t>
      </w:r>
    </w:p>
    <w:p>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扣减金额=（1-当月或季度考核评分/</w:t>
      </w:r>
      <w:r>
        <w:rPr>
          <w:rFonts w:hint="eastAsia" w:ascii="Times New Roman" w:hAnsi="Times New Roman" w:eastAsia="仿宋_GB2312"/>
          <w:color w:val="000000"/>
          <w:sz w:val="28"/>
          <w:szCs w:val="28"/>
          <w:highlight w:val="none"/>
        </w:rPr>
        <w:t>85</w:t>
      </w:r>
      <w:r>
        <w:rPr>
          <w:rFonts w:hint="eastAsia" w:ascii="Times New Roman" w:hAnsi="Times New Roman" w:eastAsia="仿宋_GB2312"/>
          <w:sz w:val="28"/>
          <w:szCs w:val="28"/>
          <w:highlight w:val="none"/>
        </w:rPr>
        <w:t>）*当月或季度日常养护运维经费。</w:t>
      </w:r>
    </w:p>
    <w:p>
      <w:pPr>
        <w:numPr>
          <w:ilvl w:val="0"/>
          <w:numId w:val="5"/>
        </w:numPr>
        <w:spacing w:line="600" w:lineRule="exact"/>
        <w:ind w:left="0" w:firstLine="0"/>
        <w:rPr>
          <w:rFonts w:ascii="Times New Roman" w:hAnsi="Times New Roman" w:eastAsia="楷体_GB2312"/>
          <w:b/>
          <w:sz w:val="28"/>
          <w:szCs w:val="28"/>
          <w:highlight w:val="none"/>
        </w:rPr>
      </w:pPr>
      <w:r>
        <w:rPr>
          <w:rFonts w:hint="eastAsia" w:ascii="Times New Roman" w:hAnsi="Times New Roman" w:eastAsia="楷体_GB2312"/>
          <w:b/>
          <w:sz w:val="28"/>
          <w:szCs w:val="28"/>
          <w:highlight w:val="none"/>
        </w:rPr>
        <w:t>履约管理</w:t>
      </w:r>
    </w:p>
    <w:p>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年度考核结果不合格，则视为违约，将扣减该设施项目当年度日常养护运维经费的3%。养护服务期限为3年的设施，年度考核结果在服务期限内连续或累计2年不合格的，则其养护单位3年内不得参与该设施的养护采购项目竞标。</w:t>
      </w:r>
    </w:p>
    <w:p>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在同类设施的年度考核评分中排名末位的设施，其养护单位之后3年内如若参与本设施养护采购项目竞标的，将予以扣除一定分数，具体以招标文件规定为准。</w:t>
      </w:r>
    </w:p>
    <w:p>
      <w:pPr>
        <w:numPr>
          <w:ilvl w:val="0"/>
          <w:numId w:val="5"/>
        </w:numPr>
        <w:spacing w:line="600" w:lineRule="exact"/>
        <w:ind w:left="0" w:firstLine="0"/>
        <w:rPr>
          <w:rFonts w:ascii="Times New Roman" w:hAnsi="Times New Roman" w:eastAsia="楷体_GB2312"/>
          <w:b/>
          <w:sz w:val="28"/>
          <w:szCs w:val="28"/>
          <w:highlight w:val="none"/>
        </w:rPr>
      </w:pPr>
      <w:r>
        <w:rPr>
          <w:rFonts w:hint="eastAsia" w:ascii="Times New Roman" w:hAnsi="Times New Roman" w:eastAsia="楷体_GB2312"/>
          <w:b/>
          <w:sz w:val="28"/>
          <w:szCs w:val="28"/>
          <w:highlight w:val="none"/>
        </w:rPr>
        <w:t>退出机制</w:t>
      </w:r>
    </w:p>
    <w:p>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养护单位出现下列行为之一或在服务期限为3年的设施中前2次年度考核结果不合格的，市道运中心有权提前终止合同，并重新启动招投标。同时，该养护单位应立即整改并承担所有相关费用、责任和经济赔偿。</w:t>
      </w:r>
    </w:p>
    <w:p>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1、忽视制度管理，缺少两项及以上制度。包括安全生产责任制度、检查制度、特种作业管理制度、动火管理制度、安措经费使用管理制度、安全交底制度、带班制度、事故报告与处理制度、安全考核奖罚制度等；</w:t>
      </w:r>
    </w:p>
    <w:p>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2、违法违规</w:t>
      </w:r>
      <w:r>
        <w:rPr>
          <w:rFonts w:ascii="Times New Roman" w:hAnsi="Times New Roman" w:eastAsia="仿宋_GB2312"/>
          <w:sz w:val="28"/>
          <w:szCs w:val="28"/>
          <w:highlight w:val="none"/>
        </w:rPr>
        <w:t>，影响</w:t>
      </w:r>
      <w:r>
        <w:rPr>
          <w:rFonts w:hint="eastAsia" w:ascii="Times New Roman" w:hAnsi="Times New Roman" w:eastAsia="仿宋_GB2312"/>
          <w:sz w:val="28"/>
          <w:szCs w:val="28"/>
          <w:highlight w:val="none"/>
        </w:rPr>
        <w:t>设施结构和运行安全、社会稳定</w:t>
      </w:r>
      <w:r>
        <w:rPr>
          <w:rFonts w:ascii="Times New Roman" w:hAnsi="Times New Roman" w:eastAsia="仿宋_GB2312"/>
          <w:sz w:val="28"/>
          <w:szCs w:val="28"/>
          <w:highlight w:val="none"/>
        </w:rPr>
        <w:t>的情况。如违法分包、转包、恶意拖欠工人工资、养护资质资格变动不符合招标要求</w:t>
      </w:r>
      <w:r>
        <w:rPr>
          <w:rFonts w:hint="eastAsia" w:ascii="Times New Roman" w:hAnsi="Times New Roman" w:eastAsia="仿宋_GB2312"/>
          <w:sz w:val="28"/>
          <w:szCs w:val="28"/>
          <w:highlight w:val="none"/>
        </w:rPr>
        <w:t>、利用设施开展经营性行为</w:t>
      </w:r>
      <w:r>
        <w:rPr>
          <w:rFonts w:ascii="Times New Roman" w:hAnsi="Times New Roman" w:eastAsia="仿宋_GB2312"/>
          <w:sz w:val="28"/>
          <w:szCs w:val="28"/>
          <w:highlight w:val="none"/>
        </w:rPr>
        <w:t>等；</w:t>
      </w:r>
    </w:p>
    <w:p>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3、</w:t>
      </w:r>
      <w:r>
        <w:rPr>
          <w:rFonts w:ascii="Times New Roman" w:hAnsi="Times New Roman" w:eastAsia="仿宋_GB2312"/>
          <w:sz w:val="28"/>
          <w:szCs w:val="28"/>
          <w:highlight w:val="none"/>
        </w:rPr>
        <w:t>发生重大安全责任事故或者严重质量问题</w:t>
      </w:r>
      <w:r>
        <w:rPr>
          <w:rFonts w:hint="eastAsia" w:ascii="Times New Roman" w:hAnsi="Times New Roman" w:eastAsia="仿宋_GB2312"/>
          <w:sz w:val="28"/>
          <w:szCs w:val="28"/>
          <w:highlight w:val="none"/>
        </w:rPr>
        <w:t>、重大节假日或活动保障不力，</w:t>
      </w:r>
      <w:r>
        <w:rPr>
          <w:rFonts w:ascii="Times New Roman" w:hAnsi="Times New Roman" w:eastAsia="仿宋_GB2312"/>
          <w:sz w:val="28"/>
          <w:szCs w:val="28"/>
          <w:highlight w:val="none"/>
        </w:rPr>
        <w:t>造成不良社会影响的。</w:t>
      </w:r>
    </w:p>
    <w:p>
      <w:pPr>
        <w:numPr>
          <w:ilvl w:val="0"/>
          <w:numId w:val="4"/>
        </w:numPr>
        <w:spacing w:before="120" w:beforeLines="50" w:line="560" w:lineRule="exact"/>
        <w:ind w:left="0" w:firstLine="0"/>
        <w:jc w:val="center"/>
        <w:rPr>
          <w:rFonts w:hint="eastAsia" w:ascii="黑体" w:hAnsi="黑体" w:eastAsia="黑体"/>
          <w:b/>
          <w:sz w:val="28"/>
          <w:szCs w:val="28"/>
          <w:highlight w:val="none"/>
        </w:rPr>
      </w:pPr>
      <w:r>
        <w:rPr>
          <w:rFonts w:ascii="黑体" w:hAnsi="黑体" w:eastAsia="黑体"/>
          <w:b/>
          <w:sz w:val="28"/>
          <w:szCs w:val="28"/>
          <w:highlight w:val="none"/>
        </w:rPr>
        <w:t>公示及通报</w:t>
      </w:r>
    </w:p>
    <w:p>
      <w:pPr>
        <w:numPr>
          <w:ilvl w:val="0"/>
          <w:numId w:val="5"/>
        </w:numPr>
        <w:spacing w:line="600" w:lineRule="exact"/>
        <w:ind w:left="0" w:firstLine="0"/>
        <w:rPr>
          <w:rFonts w:ascii="Times New Roman" w:hAnsi="Times New Roman" w:eastAsia="楷体_GB2312"/>
          <w:b/>
          <w:sz w:val="28"/>
          <w:szCs w:val="28"/>
          <w:highlight w:val="none"/>
        </w:rPr>
      </w:pPr>
      <w:r>
        <w:rPr>
          <w:rFonts w:hint="eastAsia" w:ascii="Times New Roman" w:hAnsi="Times New Roman" w:eastAsia="楷体_GB2312"/>
          <w:b/>
          <w:sz w:val="28"/>
          <w:szCs w:val="28"/>
          <w:highlight w:val="none"/>
        </w:rPr>
        <w:t xml:space="preserve">结果公示 </w:t>
      </w:r>
    </w:p>
    <w:p>
      <w:pPr>
        <w:adjustRightInd w:val="0"/>
        <w:snapToGrid w:val="0"/>
        <w:spacing w:line="560" w:lineRule="exact"/>
        <w:ind w:firstLine="562" w:firstLineChars="200"/>
        <w:rPr>
          <w:rFonts w:ascii="Times New Roman" w:hAnsi="Times New Roman" w:eastAsia="楷体_GB2312"/>
          <w:b/>
          <w:bCs/>
          <w:sz w:val="28"/>
          <w:szCs w:val="28"/>
          <w:highlight w:val="none"/>
        </w:rPr>
      </w:pPr>
      <w:r>
        <w:rPr>
          <w:rFonts w:ascii="Times New Roman" w:hAnsi="Times New Roman" w:eastAsia="楷体_GB2312"/>
          <w:b/>
          <w:bCs/>
          <w:sz w:val="28"/>
          <w:szCs w:val="28"/>
          <w:highlight w:val="none"/>
        </w:rPr>
        <w:t>月</w:t>
      </w:r>
      <w:r>
        <w:rPr>
          <w:rFonts w:hint="eastAsia" w:ascii="Times New Roman" w:hAnsi="Times New Roman" w:eastAsia="楷体_GB2312"/>
          <w:b/>
          <w:bCs/>
          <w:sz w:val="28"/>
          <w:szCs w:val="28"/>
          <w:highlight w:val="none"/>
        </w:rPr>
        <w:t>度考核：</w:t>
      </w:r>
      <w:r>
        <w:rPr>
          <w:rFonts w:hint="eastAsia" w:ascii="Times New Roman" w:hAnsi="Times New Roman" w:eastAsia="仿宋_GB2312"/>
          <w:sz w:val="28"/>
          <w:szCs w:val="28"/>
          <w:highlight w:val="none"/>
        </w:rPr>
        <w:t>次月11日，由养护在线监管系统出具定量指标分数；次月11至15日，由中心设施负责人考评定性指标分数，同时养护单位对定量考核结果有异议的可进行申诉；次月1</w:t>
      </w:r>
      <w:r>
        <w:rPr>
          <w:rFonts w:ascii="Times New Roman" w:hAnsi="Times New Roman" w:eastAsia="仿宋_GB2312"/>
          <w:sz w:val="28"/>
          <w:szCs w:val="28"/>
          <w:highlight w:val="none"/>
        </w:rPr>
        <w:t>5</w:t>
      </w:r>
      <w:r>
        <w:rPr>
          <w:rFonts w:hint="eastAsia" w:ascii="Times New Roman" w:hAnsi="Times New Roman" w:eastAsia="仿宋_GB2312"/>
          <w:sz w:val="28"/>
          <w:szCs w:val="28"/>
          <w:highlight w:val="none"/>
        </w:rPr>
        <w:t>至2</w:t>
      </w:r>
      <w:r>
        <w:rPr>
          <w:rFonts w:ascii="Times New Roman" w:hAnsi="Times New Roman" w:eastAsia="仿宋_GB2312"/>
          <w:sz w:val="28"/>
          <w:szCs w:val="28"/>
          <w:highlight w:val="none"/>
        </w:rPr>
        <w:t>0</w:t>
      </w:r>
      <w:r>
        <w:rPr>
          <w:rFonts w:hint="eastAsia" w:ascii="Times New Roman" w:hAnsi="Times New Roman" w:eastAsia="仿宋_GB2312"/>
          <w:sz w:val="28"/>
          <w:szCs w:val="28"/>
          <w:highlight w:val="none"/>
        </w:rPr>
        <w:t>日，由部门复核总分；一般于次月2</w:t>
      </w:r>
      <w:r>
        <w:rPr>
          <w:rFonts w:ascii="Times New Roman" w:hAnsi="Times New Roman" w:eastAsia="仿宋_GB2312"/>
          <w:sz w:val="28"/>
          <w:szCs w:val="28"/>
          <w:highlight w:val="none"/>
        </w:rPr>
        <w:t>5</w:t>
      </w:r>
      <w:r>
        <w:rPr>
          <w:rFonts w:hint="eastAsia" w:ascii="Times New Roman" w:hAnsi="Times New Roman" w:eastAsia="仿宋_GB2312"/>
          <w:sz w:val="28"/>
          <w:szCs w:val="28"/>
          <w:highlight w:val="none"/>
        </w:rPr>
        <w:t>日，形成正式分数并上传云路。</w:t>
      </w:r>
    </w:p>
    <w:p>
      <w:pPr>
        <w:adjustRightInd w:val="0"/>
        <w:snapToGrid w:val="0"/>
        <w:spacing w:line="560" w:lineRule="exact"/>
        <w:ind w:firstLine="562" w:firstLineChars="200"/>
        <w:rPr>
          <w:rFonts w:ascii="Times New Roman" w:hAnsi="Times New Roman"/>
          <w:szCs w:val="21"/>
          <w:highlight w:val="none"/>
        </w:rPr>
      </w:pPr>
      <w:r>
        <w:rPr>
          <w:rFonts w:hint="eastAsia" w:ascii="Times New Roman" w:hAnsi="Times New Roman" w:eastAsia="楷体_GB2312"/>
          <w:b/>
          <w:bCs/>
          <w:sz w:val="28"/>
          <w:szCs w:val="28"/>
          <w:highlight w:val="none"/>
        </w:rPr>
        <w:t>季度考核：</w:t>
      </w:r>
      <w:r>
        <w:rPr>
          <w:rFonts w:hint="eastAsia" w:ascii="Times New Roman" w:hAnsi="Times New Roman" w:eastAsia="仿宋_GB2312"/>
          <w:sz w:val="28"/>
          <w:szCs w:val="28"/>
          <w:highlight w:val="none"/>
        </w:rPr>
        <w:t>一般于次月2</w:t>
      </w:r>
      <w:r>
        <w:rPr>
          <w:rFonts w:ascii="Times New Roman" w:hAnsi="Times New Roman" w:eastAsia="仿宋_GB2312"/>
          <w:sz w:val="28"/>
          <w:szCs w:val="28"/>
          <w:highlight w:val="none"/>
        </w:rPr>
        <w:t>5</w:t>
      </w:r>
      <w:r>
        <w:rPr>
          <w:rFonts w:hint="eastAsia" w:ascii="Times New Roman" w:hAnsi="Times New Roman" w:eastAsia="仿宋_GB2312"/>
          <w:sz w:val="28"/>
          <w:szCs w:val="28"/>
          <w:highlight w:val="none"/>
        </w:rPr>
        <w:t>日后形成结果报告并公示，公示期为五个工作日。各相关单位如对结果持有异议可在公示期内以书面形式向城道科申请复核。</w:t>
      </w:r>
    </w:p>
    <w:p>
      <w:pPr>
        <w:adjustRightInd w:val="0"/>
        <w:snapToGrid w:val="0"/>
        <w:spacing w:line="560" w:lineRule="exact"/>
        <w:ind w:firstLine="562" w:firstLineChars="200"/>
        <w:rPr>
          <w:rFonts w:ascii="Times New Roman" w:hAnsi="Times New Roman" w:eastAsia="仿宋_GB2312"/>
          <w:sz w:val="28"/>
          <w:szCs w:val="28"/>
          <w:highlight w:val="none"/>
        </w:rPr>
      </w:pPr>
      <w:r>
        <w:rPr>
          <w:rFonts w:ascii="Times New Roman" w:hAnsi="Times New Roman" w:eastAsia="楷体_GB2312"/>
          <w:b/>
          <w:bCs/>
          <w:sz w:val="28"/>
          <w:szCs w:val="28"/>
          <w:highlight w:val="none"/>
        </w:rPr>
        <w:t>年度考核</w:t>
      </w:r>
      <w:r>
        <w:rPr>
          <w:rFonts w:hint="eastAsia" w:ascii="Times New Roman" w:hAnsi="Times New Roman" w:eastAsia="楷体_GB2312"/>
          <w:b/>
          <w:bCs/>
          <w:sz w:val="28"/>
          <w:szCs w:val="28"/>
          <w:highlight w:val="none"/>
        </w:rPr>
        <w:t>：</w:t>
      </w:r>
      <w:r>
        <w:rPr>
          <w:rFonts w:hint="eastAsia" w:ascii="Times New Roman" w:hAnsi="Times New Roman" w:eastAsia="仿宋_GB2312"/>
          <w:sz w:val="28"/>
          <w:szCs w:val="28"/>
          <w:highlight w:val="none"/>
        </w:rPr>
        <w:t>一般于次年春节后的两周内形成结果报告并公示，公示期为五个工作日。各相关单位如对结果持有异议可在公示期内以书面形式向城道科申请复核。其中，年度检测得分由科技信息科负责复核。</w:t>
      </w:r>
    </w:p>
    <w:p>
      <w:pPr>
        <w:adjustRightInd w:val="0"/>
        <w:snapToGrid w:val="0"/>
        <w:spacing w:line="560" w:lineRule="exact"/>
        <w:ind w:firstLine="562" w:firstLineChars="200"/>
        <w:rPr>
          <w:rFonts w:ascii="Times New Roman" w:hAnsi="Times New Roman" w:eastAsia="仿宋_GB2312"/>
          <w:szCs w:val="21"/>
          <w:highlight w:val="none"/>
        </w:rPr>
      </w:pPr>
      <w:r>
        <w:rPr>
          <w:rFonts w:hint="eastAsia" w:ascii="Times New Roman" w:hAnsi="Times New Roman" w:eastAsia="楷体_GB2312"/>
          <w:b/>
          <w:bCs/>
          <w:sz w:val="28"/>
          <w:szCs w:val="28"/>
          <w:highlight w:val="none"/>
        </w:rPr>
        <w:t>结果复核：</w:t>
      </w:r>
      <w:r>
        <w:rPr>
          <w:rFonts w:hint="eastAsia" w:ascii="Times New Roman" w:hAnsi="Times New Roman" w:eastAsia="仿宋_GB2312"/>
          <w:sz w:val="28"/>
          <w:szCs w:val="28"/>
          <w:highlight w:val="none"/>
        </w:rPr>
        <w:t>内容包括是否有漏评、错统情况；打分是否超出规定阈值；各小项得分合成后是否准确等。超出上述规定事项范围的申请不予受理。</w:t>
      </w:r>
    </w:p>
    <w:p>
      <w:pPr>
        <w:numPr>
          <w:ilvl w:val="0"/>
          <w:numId w:val="5"/>
        </w:numPr>
        <w:spacing w:line="600" w:lineRule="exact"/>
        <w:ind w:left="0" w:firstLine="0"/>
        <w:rPr>
          <w:rFonts w:ascii="Times New Roman" w:hAnsi="Times New Roman" w:eastAsia="楷体_GB2312"/>
          <w:b/>
          <w:sz w:val="28"/>
          <w:szCs w:val="28"/>
          <w:highlight w:val="none"/>
        </w:rPr>
      </w:pPr>
      <w:r>
        <w:rPr>
          <w:rFonts w:hint="eastAsia" w:ascii="Times New Roman" w:hAnsi="Times New Roman" w:eastAsia="楷体_GB2312"/>
          <w:b/>
          <w:sz w:val="28"/>
          <w:szCs w:val="28"/>
          <w:highlight w:val="none"/>
        </w:rPr>
        <w:t xml:space="preserve">结果通报 </w:t>
      </w:r>
    </w:p>
    <w:p>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公示期结束后，各类考核结果予以行业通报，年度考核报告同步抄送上级主管部门。</w:t>
      </w:r>
    </w:p>
    <w:p>
      <w:pPr>
        <w:numPr>
          <w:ilvl w:val="0"/>
          <w:numId w:val="4"/>
        </w:numPr>
        <w:spacing w:before="120" w:beforeLines="50" w:line="560" w:lineRule="exact"/>
        <w:ind w:left="0" w:firstLine="0"/>
        <w:jc w:val="center"/>
        <w:rPr>
          <w:rFonts w:hint="eastAsia" w:ascii="黑体" w:hAnsi="黑体" w:eastAsia="黑体"/>
          <w:b/>
          <w:sz w:val="28"/>
          <w:szCs w:val="28"/>
          <w:highlight w:val="none"/>
        </w:rPr>
      </w:pPr>
      <w:r>
        <w:rPr>
          <w:rFonts w:hint="eastAsia" w:ascii="黑体" w:hAnsi="黑体" w:eastAsia="黑体"/>
          <w:b/>
          <w:sz w:val="28"/>
          <w:szCs w:val="28"/>
          <w:highlight w:val="none"/>
        </w:rPr>
        <w:t>附则</w:t>
      </w:r>
    </w:p>
    <w:p>
      <w:pPr>
        <w:spacing w:line="500" w:lineRule="exact"/>
        <w:rPr>
          <w:rFonts w:ascii="Times New Roman" w:hAnsi="Times New Roman" w:eastAsia="仿宋_GB2312"/>
          <w:sz w:val="28"/>
          <w:szCs w:val="28"/>
          <w:highlight w:val="none"/>
        </w:rPr>
      </w:pPr>
      <w:r>
        <w:rPr>
          <w:rFonts w:ascii="Times New Roman" w:hAnsi="Times New Roman" w:eastAsia="楷体_GB2312"/>
          <w:b/>
          <w:sz w:val="28"/>
          <w:szCs w:val="28"/>
          <w:highlight w:val="none"/>
        </w:rPr>
        <w:t>第</w:t>
      </w:r>
      <w:r>
        <w:rPr>
          <w:rFonts w:hint="eastAsia" w:ascii="Times New Roman" w:hAnsi="Times New Roman" w:eastAsia="楷体_GB2312"/>
          <w:b/>
          <w:sz w:val="28"/>
          <w:szCs w:val="28"/>
          <w:highlight w:val="none"/>
        </w:rPr>
        <w:t>十七</w:t>
      </w:r>
      <w:r>
        <w:rPr>
          <w:rFonts w:ascii="Times New Roman" w:hAnsi="Times New Roman" w:eastAsia="楷体_GB2312"/>
          <w:b/>
          <w:sz w:val="28"/>
          <w:szCs w:val="28"/>
          <w:highlight w:val="none"/>
        </w:rPr>
        <w:t>条</w:t>
      </w:r>
      <w:r>
        <w:rPr>
          <w:rFonts w:ascii="仿宋_GB2312" w:hAnsi="宋体" w:eastAsia="仿宋_GB2312"/>
          <w:b/>
          <w:sz w:val="28"/>
          <w:szCs w:val="28"/>
          <w:highlight w:val="none"/>
        </w:rPr>
        <w:t xml:space="preserve"> </w:t>
      </w:r>
      <w:r>
        <w:rPr>
          <w:rFonts w:ascii="Times New Roman" w:hAnsi="Times New Roman" w:eastAsia="仿宋_GB2312"/>
          <w:sz w:val="28"/>
          <w:szCs w:val="28"/>
          <w:highlight w:val="none"/>
        </w:rPr>
        <w:t>本办法由上海市道路运输事业发展中心负责解释。</w:t>
      </w:r>
    </w:p>
    <w:p>
      <w:pPr>
        <w:widowControl/>
        <w:spacing w:line="500" w:lineRule="exact"/>
        <w:rPr>
          <w:rFonts w:ascii="Times New Roman" w:hAnsi="Times New Roman" w:eastAsia="仿宋_GB2312"/>
          <w:sz w:val="28"/>
          <w:szCs w:val="28"/>
          <w:highlight w:val="none"/>
        </w:rPr>
      </w:pPr>
      <w:r>
        <w:rPr>
          <w:rFonts w:ascii="Times New Roman" w:hAnsi="Times New Roman" w:eastAsia="楷体_GB2312"/>
          <w:b/>
          <w:sz w:val="28"/>
          <w:szCs w:val="28"/>
          <w:highlight w:val="none"/>
        </w:rPr>
        <w:t>第十</w:t>
      </w:r>
      <w:r>
        <w:rPr>
          <w:rFonts w:hint="eastAsia" w:ascii="Times New Roman" w:hAnsi="Times New Roman" w:eastAsia="楷体_GB2312"/>
          <w:b/>
          <w:sz w:val="28"/>
          <w:szCs w:val="28"/>
          <w:highlight w:val="none"/>
        </w:rPr>
        <w:t>八</w:t>
      </w:r>
      <w:r>
        <w:rPr>
          <w:rFonts w:ascii="Times New Roman" w:hAnsi="Times New Roman" w:eastAsia="楷体_GB2312"/>
          <w:b/>
          <w:sz w:val="28"/>
          <w:szCs w:val="28"/>
          <w:highlight w:val="none"/>
        </w:rPr>
        <w:t xml:space="preserve">条 </w:t>
      </w:r>
      <w:r>
        <w:rPr>
          <w:rFonts w:ascii="Times New Roman" w:hAnsi="Times New Roman" w:eastAsia="仿宋_GB2312"/>
          <w:sz w:val="28"/>
          <w:szCs w:val="28"/>
          <w:highlight w:val="none"/>
        </w:rPr>
        <w:t>本办法自 2024 年 10 月 1 日起试行。</w:t>
      </w:r>
    </w:p>
    <w:p>
      <w:pPr>
        <w:widowControl/>
        <w:spacing w:line="500" w:lineRule="exact"/>
        <w:rPr>
          <w:rFonts w:hint="eastAsia" w:ascii="仿宋_GB2312" w:hAnsi="仿宋_GB2312" w:eastAsia="仿宋_GB2312"/>
          <w:sz w:val="24"/>
          <w:highlight w:val="none"/>
        </w:rPr>
      </w:pPr>
    </w:p>
    <w:p>
      <w:pPr>
        <w:widowControl/>
        <w:spacing w:line="500" w:lineRule="exact"/>
        <w:rPr>
          <w:rFonts w:hint="eastAsia" w:ascii="仿宋_GB2312" w:hAnsi="仿宋_GB2312" w:eastAsia="仿宋_GB2312"/>
          <w:sz w:val="24"/>
          <w:highlight w:val="none"/>
        </w:rPr>
      </w:pPr>
      <w:r>
        <w:rPr>
          <w:rFonts w:hint="eastAsia" w:ascii="仿宋_GB2312" w:hAnsi="仿宋_GB2312" w:eastAsia="仿宋_GB2312"/>
          <w:sz w:val="24"/>
          <w:highlight w:val="none"/>
        </w:rPr>
        <w:br w:type="page"/>
      </w:r>
    </w:p>
    <w:p>
      <w:pPr>
        <w:topLinePunct/>
        <w:adjustRightInd w:val="0"/>
        <w:snapToGrid w:val="0"/>
        <w:spacing w:line="480" w:lineRule="auto"/>
        <w:jc w:val="center"/>
        <w:rPr>
          <w:rFonts w:hint="eastAsia" w:ascii="黑体" w:hAnsi="黑体" w:eastAsia="黑体"/>
          <w:sz w:val="32"/>
          <w:szCs w:val="40"/>
          <w:highlight w:val="none"/>
        </w:rPr>
      </w:pPr>
      <w:r>
        <w:rPr>
          <w:rFonts w:hint="eastAsia" w:ascii="黑体" w:hAnsi="黑体" w:eastAsia="黑体"/>
          <w:sz w:val="32"/>
          <w:szCs w:val="40"/>
          <w:highlight w:val="none"/>
        </w:rPr>
        <w:t>附件目录</w:t>
      </w:r>
    </w:p>
    <w:p>
      <w:pPr>
        <w:topLinePunct/>
        <w:adjustRightInd w:val="0"/>
        <w:snapToGrid w:val="0"/>
        <w:spacing w:line="480" w:lineRule="auto"/>
        <w:rPr>
          <w:rFonts w:ascii="仿宋_GB2312" w:eastAsia="仿宋_GB2312"/>
          <w:sz w:val="28"/>
          <w:szCs w:val="36"/>
          <w:highlight w:val="none"/>
        </w:rPr>
      </w:pPr>
      <w:r>
        <w:rPr>
          <w:rFonts w:hint="eastAsia" w:ascii="仿宋_GB2312" w:eastAsia="仿宋_GB2312"/>
          <w:sz w:val="28"/>
          <w:szCs w:val="36"/>
          <w:highlight w:val="none"/>
        </w:rPr>
        <w:t>一、考核依据</w:t>
      </w:r>
    </w:p>
    <w:p>
      <w:pPr>
        <w:topLinePunct/>
        <w:adjustRightInd w:val="0"/>
        <w:snapToGrid w:val="0"/>
        <w:spacing w:line="480" w:lineRule="auto"/>
        <w:rPr>
          <w:rFonts w:ascii="仿宋_GB2312" w:eastAsia="仿宋_GB2312"/>
          <w:sz w:val="28"/>
          <w:szCs w:val="36"/>
          <w:highlight w:val="none"/>
        </w:rPr>
      </w:pPr>
      <w:r>
        <w:rPr>
          <w:rFonts w:hint="eastAsia" w:ascii="仿宋_GB2312" w:eastAsia="仿宋_GB2312"/>
          <w:sz w:val="28"/>
          <w:szCs w:val="36"/>
          <w:highlight w:val="none"/>
        </w:rPr>
        <w:t>二、市管城市道路主体设施养护运维月度考核评分细则（修订）</w:t>
      </w:r>
    </w:p>
    <w:p>
      <w:pPr>
        <w:topLinePunct/>
        <w:adjustRightInd w:val="0"/>
        <w:snapToGrid w:val="0"/>
        <w:spacing w:line="480" w:lineRule="auto"/>
        <w:rPr>
          <w:rFonts w:ascii="仿宋_GB2312" w:eastAsia="仿宋_GB2312"/>
          <w:sz w:val="28"/>
          <w:szCs w:val="36"/>
          <w:highlight w:val="none"/>
        </w:rPr>
      </w:pPr>
      <w:r>
        <w:rPr>
          <w:rFonts w:hint="eastAsia" w:ascii="仿宋_GB2312" w:eastAsia="仿宋_GB2312"/>
          <w:sz w:val="28"/>
          <w:szCs w:val="36"/>
          <w:highlight w:val="none"/>
        </w:rPr>
        <w:t>三、市管设施下部涂装保洁工作考核评分细则（略）</w:t>
      </w:r>
    </w:p>
    <w:p>
      <w:pPr>
        <w:topLinePunct/>
        <w:adjustRightInd w:val="0"/>
        <w:snapToGrid w:val="0"/>
        <w:spacing w:line="480" w:lineRule="auto"/>
        <w:rPr>
          <w:rFonts w:ascii="仿宋_GB2312" w:eastAsia="仿宋_GB2312"/>
          <w:sz w:val="28"/>
          <w:szCs w:val="36"/>
          <w:highlight w:val="none"/>
        </w:rPr>
      </w:pPr>
      <w:r>
        <w:rPr>
          <w:rFonts w:hint="eastAsia" w:ascii="仿宋_GB2312" w:eastAsia="仿宋_GB2312"/>
          <w:sz w:val="28"/>
          <w:szCs w:val="36"/>
          <w:highlight w:val="none"/>
        </w:rPr>
        <w:t>四、市管城市道路绿化养护工作考核评分细则（略）</w:t>
      </w:r>
    </w:p>
    <w:p>
      <w:pPr>
        <w:topLinePunct/>
        <w:adjustRightInd w:val="0"/>
        <w:snapToGrid w:val="0"/>
        <w:spacing w:line="480" w:lineRule="auto"/>
        <w:rPr>
          <w:rFonts w:ascii="仿宋_GB2312" w:eastAsia="仿宋_GB2312"/>
          <w:sz w:val="28"/>
          <w:szCs w:val="36"/>
          <w:highlight w:val="none"/>
        </w:rPr>
      </w:pPr>
      <w:r>
        <w:rPr>
          <w:rFonts w:hint="eastAsia" w:ascii="仿宋_GB2312" w:eastAsia="仿宋_GB2312"/>
          <w:sz w:val="28"/>
          <w:szCs w:val="36"/>
          <w:highlight w:val="none"/>
        </w:rPr>
        <w:t>五、市管城市道路景观灯光养护运维考核评分细则（略）</w:t>
      </w:r>
    </w:p>
    <w:p>
      <w:pPr>
        <w:topLinePunct/>
        <w:adjustRightInd w:val="0"/>
        <w:snapToGrid w:val="0"/>
        <w:spacing w:line="360" w:lineRule="auto"/>
        <w:rPr>
          <w:rFonts w:ascii="Times New Roman" w:hAnsi="Times New Roman"/>
          <w:b/>
          <w:bCs/>
          <w:sz w:val="32"/>
          <w:szCs w:val="32"/>
          <w:highlight w:val="none"/>
        </w:rPr>
      </w:pPr>
      <w:r>
        <w:rPr>
          <w:rFonts w:ascii="Times New Roman" w:hAnsi="Times New Roman"/>
          <w:b/>
          <w:bCs/>
          <w:sz w:val="32"/>
          <w:szCs w:val="32"/>
          <w:highlight w:val="none"/>
        </w:rPr>
        <w:br w:type="page"/>
      </w:r>
    </w:p>
    <w:p>
      <w:pPr>
        <w:topLinePunct/>
        <w:adjustRightInd w:val="0"/>
        <w:snapToGrid w:val="0"/>
        <w:spacing w:line="360" w:lineRule="auto"/>
        <w:rPr>
          <w:rFonts w:hint="eastAsia" w:ascii="黑体" w:hAnsi="黑体" w:eastAsia="黑体"/>
          <w:bCs/>
          <w:kern w:val="0"/>
          <w:sz w:val="28"/>
          <w:szCs w:val="28"/>
          <w:highlight w:val="none"/>
        </w:rPr>
      </w:pPr>
      <w:r>
        <w:rPr>
          <w:rFonts w:hint="eastAsia" w:ascii="黑体" w:hAnsi="黑体" w:eastAsia="黑体"/>
          <w:bCs/>
          <w:kern w:val="0"/>
          <w:sz w:val="28"/>
          <w:szCs w:val="28"/>
          <w:highlight w:val="none"/>
        </w:rPr>
        <w:t>附件一：</w:t>
      </w:r>
    </w:p>
    <w:p>
      <w:pPr>
        <w:topLinePunct/>
        <w:adjustRightInd w:val="0"/>
        <w:snapToGrid w:val="0"/>
        <w:spacing w:line="360" w:lineRule="auto"/>
        <w:jc w:val="center"/>
        <w:rPr>
          <w:rFonts w:hint="eastAsia" w:ascii="Times New Roman" w:hAnsi="华文中宋" w:eastAsia="华文中宋"/>
          <w:b/>
          <w:kern w:val="0"/>
          <w:sz w:val="32"/>
          <w:szCs w:val="32"/>
          <w:highlight w:val="none"/>
        </w:rPr>
      </w:pPr>
      <w:r>
        <w:rPr>
          <w:rFonts w:hint="eastAsia" w:ascii="Times New Roman" w:hAnsi="华文中宋" w:eastAsia="华文中宋"/>
          <w:b/>
          <w:kern w:val="0"/>
          <w:sz w:val="32"/>
          <w:szCs w:val="32"/>
          <w:highlight w:val="none"/>
        </w:rPr>
        <w:t>考核依据</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7"/>
        <w:gridCol w:w="7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编号</w:t>
            </w:r>
          </w:p>
        </w:tc>
        <w:tc>
          <w:tcPr>
            <w:tcW w:w="7303"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规范名称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1</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《城镇道路养护技术规范》（CJJ36）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2</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《城市桥梁养护技术标准》（CJJ99）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3</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《隧道养护技术规程》（DG/TJ08-2175）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4</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《城市高架道路养护技术规范》（DB31/T 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5</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《城市道路养护技术规程》（DG/TJ08-92）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6</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《城市桥梁养护技术规程》（DG/TJ08-2145）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7</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《城市综合管廊维护技术规程》（DG/TJ08-2168）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8</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《桥梁结构检测技术规程》（DG/TJ08-2149）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9</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《城市桥梁结构加固技术规程》（CJJ/T 239）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10</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《城市道路工程施工与质量验收规范》（CJJ1）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11</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《城市桥梁工程施工与质量验收规范》（CJJ2）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12</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《城市道路和桥梁数据采集标准》（DG/TJ08-2284）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13</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《城市道路养护维修作业安全技术规程》（DG/TJ08-2183）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14</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《上海市市政道路机电系统维护技术规程》（DG/TJ 08-2171）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15</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《城市道路交通标志、标线、信号设施养护技术标准》（DG/TJ08-2256）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16</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《道路声屏障结构技术规范》（DG/TJ08-2086）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17</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《斜拉桥养护技术规程》（SZ-09）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18</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《卢浦大桥养护技术规程》（市建交委2009行业标准）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19</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《城市桥梁、隧道安全保护区域技术标准》（</w:t>
            </w:r>
            <w:r>
              <w:rPr>
                <w:rFonts w:hint="eastAsia" w:ascii="仿宋_GB2312" w:hAnsi="宋体" w:eastAsia="仿宋_GB2312" w:cs="宋体"/>
                <w:szCs w:val="21"/>
                <w:highlight w:val="none"/>
              </w:rPr>
              <w:t>沪建交〔2010〕511号</w:t>
            </w:r>
            <w:r>
              <w:rPr>
                <w:rFonts w:hint="eastAsia" w:ascii="仿宋_GB2312" w:hAnsi="宋体" w:eastAsia="仿宋_GB2312"/>
                <w:color w:val="000000"/>
                <w:kern w:val="0"/>
                <w:sz w:val="20"/>
                <w:szCs w:val="2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20</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《上海城市桥梁限载标准》（SZ-C-E02）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21</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《桥梁结构健康监测系统设计与实施标准》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22</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s="宋体"/>
                <w:szCs w:val="21"/>
                <w:highlight w:val="none"/>
              </w:rPr>
              <w:t>上海市防汛防台应急响应规范（沪道运安委办〔2022〕41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23</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s="宋体"/>
                <w:szCs w:val="21"/>
                <w:highlight w:val="none"/>
              </w:rPr>
              <w:t>《城市道路工程设计规范》(CJJ37-2012)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24</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olor w:val="000000"/>
                <w:kern w:val="0"/>
                <w:sz w:val="20"/>
                <w:szCs w:val="20"/>
                <w:highlight w:val="none"/>
              </w:rPr>
              <w:t>《</w:t>
            </w:r>
            <w:r>
              <w:rPr>
                <w:rFonts w:hint="eastAsia" w:ascii="仿宋_GB2312" w:hAnsi="宋体" w:eastAsia="仿宋_GB2312" w:cs="宋体"/>
                <w:szCs w:val="21"/>
                <w:highlight w:val="none"/>
              </w:rPr>
              <w:t>城镇排水管渠与泵站运行、维护及安全技术规程</w:t>
            </w:r>
            <w:r>
              <w:rPr>
                <w:rFonts w:hint="eastAsia" w:ascii="仿宋_GB2312" w:hAnsi="宋体" w:eastAsia="仿宋_GB2312"/>
                <w:color w:val="000000"/>
                <w:kern w:val="0"/>
                <w:sz w:val="20"/>
                <w:szCs w:val="20"/>
                <w:highlight w:val="none"/>
              </w:rPr>
              <w:t>》（</w:t>
            </w:r>
            <w:r>
              <w:rPr>
                <w:rFonts w:hint="eastAsia" w:ascii="仿宋_GB2312" w:hAnsi="宋体" w:eastAsia="仿宋_GB2312" w:cs="宋体"/>
                <w:szCs w:val="21"/>
                <w:highlight w:val="none"/>
              </w:rPr>
              <w:t>CJJ 68—2016</w:t>
            </w:r>
            <w:r>
              <w:rPr>
                <w:rFonts w:hint="eastAsia" w:ascii="仿宋_GB2312" w:hAnsi="宋体" w:eastAsia="仿宋_GB2312"/>
                <w:color w:val="000000"/>
                <w:kern w:val="0"/>
                <w:sz w:val="20"/>
                <w:szCs w:val="2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25</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s="宋体"/>
                <w:szCs w:val="21"/>
                <w:highlight w:val="none"/>
              </w:rPr>
              <w:t>道路照明设施运行养护标准（DG/TJ08-2215-2016）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highlight w:val="none"/>
                <w:lang w:eastAsia="ja-JP"/>
              </w:rPr>
            </w:pPr>
            <w:r>
              <w:rPr>
                <w:rFonts w:hint="eastAsia" w:ascii="仿宋_GB2312" w:hAnsi="宋体" w:eastAsia="仿宋_GB2312"/>
                <w:color w:val="000000"/>
                <w:kern w:val="0"/>
                <w:sz w:val="20"/>
                <w:szCs w:val="20"/>
                <w:highlight w:val="none"/>
                <w:lang w:eastAsia="ja-JP"/>
              </w:rPr>
              <w:t>26</w:t>
            </w:r>
          </w:p>
        </w:tc>
        <w:tc>
          <w:tcPr>
            <w:tcW w:w="7303" w:type="dxa"/>
            <w:vAlign w:val="center"/>
          </w:tcPr>
          <w:p>
            <w:pPr>
              <w:topLinePunct/>
              <w:adjustRightInd w:val="0"/>
              <w:rPr>
                <w:rFonts w:hint="eastAsia" w:ascii="仿宋_GB2312" w:hAnsi="宋体" w:eastAsia="仿宋_GB2312"/>
                <w:color w:val="000000"/>
                <w:kern w:val="0"/>
                <w:sz w:val="20"/>
                <w:szCs w:val="20"/>
                <w:highlight w:val="none"/>
              </w:rPr>
            </w:pPr>
            <w:r>
              <w:rPr>
                <w:rFonts w:hint="eastAsia" w:ascii="仿宋_GB2312" w:hAnsi="宋体" w:eastAsia="仿宋_GB2312" w:cs="宋体"/>
                <w:szCs w:val="21"/>
                <w:highlight w:val="none"/>
              </w:rPr>
              <w:t>道路隧道养护运行评价技术标准（DG/TJ08-2425-2023）</w:t>
            </w:r>
          </w:p>
        </w:tc>
      </w:tr>
    </w:tbl>
    <w:p>
      <w:pPr>
        <w:topLinePunct/>
        <w:adjustRightInd w:val="0"/>
        <w:snapToGrid w:val="0"/>
        <w:jc w:val="left"/>
        <w:rPr>
          <w:rFonts w:ascii="Times New Roman" w:hAnsi="Times New Roman"/>
          <w:b/>
          <w:bCs/>
          <w:sz w:val="32"/>
          <w:szCs w:val="32"/>
          <w:highlight w:val="none"/>
        </w:rPr>
      </w:pPr>
      <w:r>
        <w:rPr>
          <w:rFonts w:ascii="Times New Roman" w:hAnsi="Times New Roman"/>
          <w:b/>
          <w:bCs/>
          <w:sz w:val="32"/>
          <w:szCs w:val="32"/>
          <w:highlight w:val="none"/>
        </w:rPr>
        <w:br w:type="page"/>
      </w:r>
    </w:p>
    <w:p>
      <w:pPr>
        <w:topLinePunct/>
        <w:adjustRightInd w:val="0"/>
        <w:snapToGrid w:val="0"/>
        <w:jc w:val="left"/>
        <w:rPr>
          <w:rFonts w:hint="eastAsia" w:ascii="黑体" w:hAnsi="黑体" w:eastAsia="黑体"/>
          <w:bCs/>
          <w:kern w:val="0"/>
          <w:sz w:val="28"/>
          <w:szCs w:val="28"/>
          <w:highlight w:val="none"/>
        </w:rPr>
      </w:pPr>
      <w:r>
        <w:rPr>
          <w:rFonts w:hint="eastAsia" w:ascii="黑体" w:hAnsi="黑体" w:eastAsia="黑体"/>
          <w:bCs/>
          <w:kern w:val="0"/>
          <w:sz w:val="28"/>
          <w:szCs w:val="28"/>
          <w:highlight w:val="none"/>
        </w:rPr>
        <w:t>附件二：</w:t>
      </w:r>
    </w:p>
    <w:p>
      <w:pPr>
        <w:spacing w:line="600" w:lineRule="exact"/>
        <w:jc w:val="center"/>
        <w:rPr>
          <w:rFonts w:ascii="Times New Roman" w:hAnsi="Times New Roman" w:eastAsia="华文中宋"/>
          <w:b/>
          <w:sz w:val="36"/>
          <w:szCs w:val="36"/>
          <w:highlight w:val="none"/>
        </w:rPr>
      </w:pPr>
      <w:r>
        <w:rPr>
          <w:rFonts w:ascii="Times New Roman" w:hAnsi="Times New Roman" w:eastAsia="华文中宋"/>
          <w:b/>
          <w:sz w:val="36"/>
          <w:szCs w:val="36"/>
          <w:highlight w:val="none"/>
        </w:rPr>
        <w:t>市管城市道路主体设施养护运维</w:t>
      </w:r>
    </w:p>
    <w:p>
      <w:pPr>
        <w:spacing w:line="600" w:lineRule="exact"/>
        <w:jc w:val="center"/>
        <w:rPr>
          <w:rFonts w:ascii="Times New Roman" w:hAnsi="Times New Roman" w:eastAsia="华文中宋"/>
          <w:b/>
          <w:sz w:val="36"/>
          <w:szCs w:val="36"/>
          <w:highlight w:val="none"/>
        </w:rPr>
      </w:pPr>
      <w:r>
        <w:rPr>
          <w:rFonts w:hint="eastAsia" w:ascii="Times New Roman" w:hAnsi="Times New Roman" w:eastAsia="华文中宋"/>
          <w:b/>
          <w:sz w:val="36"/>
          <w:szCs w:val="36"/>
          <w:highlight w:val="none"/>
        </w:rPr>
        <w:t>月度</w:t>
      </w:r>
      <w:r>
        <w:rPr>
          <w:rFonts w:ascii="Times New Roman" w:hAnsi="Times New Roman" w:eastAsia="华文中宋"/>
          <w:b/>
          <w:sz w:val="36"/>
          <w:szCs w:val="36"/>
          <w:highlight w:val="none"/>
        </w:rPr>
        <w:t>考核评分细则</w:t>
      </w:r>
      <w:r>
        <w:rPr>
          <w:rFonts w:hint="eastAsia" w:ascii="Times New Roman" w:hAnsi="Times New Roman" w:eastAsia="华文中宋"/>
          <w:b/>
          <w:sz w:val="36"/>
          <w:szCs w:val="36"/>
          <w:highlight w:val="none"/>
        </w:rPr>
        <w:t>（修订）</w:t>
      </w:r>
    </w:p>
    <w:p>
      <w:pPr>
        <w:spacing w:line="560" w:lineRule="exact"/>
        <w:jc w:val="center"/>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城市道路科202</w:t>
      </w:r>
      <w:r>
        <w:rPr>
          <w:rFonts w:ascii="Times New Roman" w:hAnsi="Times New Roman" w:eastAsia="仿宋_GB2312"/>
          <w:sz w:val="28"/>
          <w:szCs w:val="28"/>
          <w:highlight w:val="none"/>
        </w:rPr>
        <w:t>5</w:t>
      </w:r>
      <w:r>
        <w:rPr>
          <w:rFonts w:hint="eastAsia" w:ascii="Times New Roman" w:hAnsi="Times New Roman" w:eastAsia="仿宋_GB2312"/>
          <w:sz w:val="28"/>
          <w:szCs w:val="28"/>
          <w:highlight w:val="none"/>
        </w:rPr>
        <w:t>年</w:t>
      </w:r>
      <w:r>
        <w:rPr>
          <w:rFonts w:ascii="Times New Roman" w:hAnsi="Times New Roman" w:eastAsia="仿宋_GB2312"/>
          <w:sz w:val="28"/>
          <w:szCs w:val="28"/>
          <w:highlight w:val="none"/>
        </w:rPr>
        <w:t>10</w:t>
      </w:r>
      <w:r>
        <w:rPr>
          <w:rFonts w:hint="eastAsia" w:ascii="Times New Roman" w:hAnsi="Times New Roman" w:eastAsia="仿宋_GB2312"/>
          <w:sz w:val="28"/>
          <w:szCs w:val="28"/>
          <w:highlight w:val="none"/>
        </w:rPr>
        <w:t>月</w:t>
      </w:r>
    </w:p>
    <w:p>
      <w:pPr>
        <w:spacing w:line="560" w:lineRule="exact"/>
        <w:jc w:val="center"/>
        <w:rPr>
          <w:rFonts w:ascii="Times New Roman" w:hAnsi="Times New Roman" w:eastAsia="仿宋_GB2312"/>
          <w:sz w:val="32"/>
          <w:szCs w:val="32"/>
          <w:highlight w:val="none"/>
        </w:rPr>
      </w:pP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为进一步完善市管城市道路日常养护运维考核办法，提高城市道路养护运维质量，保证考核评分工作规范化和可操作性，根据《上海市道路运输事业发展中心市管城市道路日常养护运维工作考核管理办法（试行）》，结合城市道路、桥梁、隧道（含地道及下立交）技术规范以及检查考核工作实践，制定《市管城市道路主体设施养护运维</w:t>
      </w:r>
      <w:r>
        <w:rPr>
          <w:rFonts w:hint="eastAsia" w:ascii="Times New Roman" w:hAnsi="Times New Roman" w:eastAsia="仿宋_GB2312"/>
          <w:sz w:val="28"/>
          <w:szCs w:val="28"/>
          <w:highlight w:val="none"/>
        </w:rPr>
        <w:t>月度</w:t>
      </w:r>
      <w:r>
        <w:rPr>
          <w:rFonts w:ascii="Times New Roman" w:hAnsi="Times New Roman" w:eastAsia="仿宋_GB2312"/>
          <w:sz w:val="28"/>
          <w:szCs w:val="28"/>
          <w:highlight w:val="none"/>
        </w:rPr>
        <w:t>考核评分细则》（以下简称“评分细则”）如下。</w:t>
      </w:r>
    </w:p>
    <w:p>
      <w:pPr>
        <w:spacing w:line="600" w:lineRule="exact"/>
        <w:ind w:firstLine="562" w:firstLineChars="200"/>
        <w:rPr>
          <w:rFonts w:ascii="Times New Roman" w:hAnsi="Times New Roman" w:eastAsia="黑体"/>
          <w:b/>
          <w:sz w:val="28"/>
          <w:szCs w:val="28"/>
          <w:highlight w:val="none"/>
        </w:rPr>
      </w:pPr>
      <w:r>
        <w:rPr>
          <w:rFonts w:ascii="Times New Roman" w:hAnsi="Times New Roman" w:eastAsia="黑体"/>
          <w:b/>
          <w:sz w:val="28"/>
          <w:szCs w:val="28"/>
          <w:highlight w:val="none"/>
        </w:rPr>
        <w:t>一、定量考核（60分）</w:t>
      </w:r>
    </w:p>
    <w:p>
      <w:pPr>
        <w:spacing w:line="600" w:lineRule="exact"/>
        <w:ind w:firstLine="562" w:firstLineChars="200"/>
        <w:rPr>
          <w:rFonts w:ascii="Times New Roman" w:hAnsi="Times New Roman" w:eastAsia="楷体_GB2312"/>
          <w:b/>
          <w:sz w:val="28"/>
          <w:szCs w:val="28"/>
          <w:highlight w:val="none"/>
        </w:rPr>
      </w:pPr>
      <w:r>
        <w:rPr>
          <w:rFonts w:ascii="Times New Roman" w:hAnsi="Times New Roman" w:eastAsia="楷体_GB2312"/>
          <w:b/>
          <w:sz w:val="28"/>
          <w:szCs w:val="28"/>
          <w:highlight w:val="none"/>
        </w:rPr>
        <w:t>（一）清扫覆盖率</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满分10分。养护单位应每天对管养设施全覆盖清扫。</w:t>
      </w:r>
      <w:r>
        <w:rPr>
          <w:rFonts w:hint="eastAsia" w:ascii="Times New Roman" w:hAnsi="Times New Roman" w:eastAsia="仿宋_GB2312"/>
          <w:sz w:val="28"/>
          <w:szCs w:val="28"/>
          <w:highlight w:val="none"/>
        </w:rPr>
        <w:t>满足</w:t>
      </w:r>
      <w:r>
        <w:rPr>
          <w:rFonts w:ascii="Times New Roman" w:hAnsi="Times New Roman" w:eastAsia="仿宋_GB2312"/>
          <w:sz w:val="28"/>
          <w:szCs w:val="28"/>
          <w:highlight w:val="none"/>
        </w:rPr>
        <w:t>清扫时间、范围、频次等要求</w:t>
      </w:r>
      <w:r>
        <w:rPr>
          <w:rFonts w:hint="eastAsia" w:ascii="Times New Roman" w:hAnsi="Times New Roman" w:eastAsia="仿宋_GB2312"/>
          <w:sz w:val="28"/>
          <w:szCs w:val="28"/>
          <w:highlight w:val="none"/>
        </w:rPr>
        <w:t>，清扫</w:t>
      </w:r>
      <w:r>
        <w:rPr>
          <w:rFonts w:ascii="Times New Roman" w:hAnsi="Times New Roman" w:eastAsia="仿宋_GB2312"/>
          <w:sz w:val="28"/>
          <w:szCs w:val="28"/>
          <w:highlight w:val="none"/>
        </w:rPr>
        <w:t>覆盖率</w:t>
      </w:r>
      <w:r>
        <w:rPr>
          <w:rFonts w:hint="eastAsia" w:ascii="Times New Roman" w:hAnsi="Times New Roman" w:eastAsia="仿宋_GB2312"/>
          <w:sz w:val="28"/>
          <w:szCs w:val="28"/>
          <w:highlight w:val="none"/>
        </w:rPr>
        <w:t>应</w:t>
      </w:r>
      <w:r>
        <w:rPr>
          <w:rFonts w:ascii="Times New Roman" w:hAnsi="Times New Roman" w:eastAsia="仿宋_GB2312"/>
          <w:sz w:val="28"/>
          <w:szCs w:val="28"/>
          <w:highlight w:val="none"/>
        </w:rPr>
        <w:t>达到规定作业里程的100%</w:t>
      </w:r>
      <w:r>
        <w:rPr>
          <w:rFonts w:hint="eastAsia" w:ascii="Times New Roman" w:hAnsi="Times New Roman" w:eastAsia="仿宋_GB2312"/>
          <w:sz w:val="28"/>
          <w:szCs w:val="28"/>
          <w:highlight w:val="none"/>
        </w:rPr>
        <w:t>，</w:t>
      </w:r>
      <w:r>
        <w:rPr>
          <w:rFonts w:ascii="Times New Roman" w:hAnsi="Times New Roman" w:eastAsia="仿宋_GB2312"/>
          <w:sz w:val="28"/>
          <w:szCs w:val="28"/>
          <w:highlight w:val="none"/>
        </w:rPr>
        <w:t>清扫车GPS路线覆盖率</w:t>
      </w:r>
      <w:r>
        <w:rPr>
          <w:rFonts w:hint="eastAsia" w:ascii="Times New Roman" w:hAnsi="Times New Roman" w:eastAsia="仿宋_GB2312"/>
          <w:sz w:val="28"/>
          <w:szCs w:val="28"/>
          <w:highlight w:val="none"/>
        </w:rPr>
        <w:t>达到</w:t>
      </w:r>
      <w:r>
        <w:rPr>
          <w:rFonts w:ascii="Times New Roman" w:hAnsi="Times New Roman" w:eastAsia="仿宋_GB2312"/>
          <w:sz w:val="28"/>
          <w:szCs w:val="28"/>
          <w:highlight w:val="none"/>
        </w:rPr>
        <w:t>90%以上。针对苏州河沿线桥梁，</w:t>
      </w:r>
      <w:r>
        <w:rPr>
          <w:rFonts w:hint="eastAsia" w:ascii="Times New Roman" w:hAnsi="Times New Roman" w:eastAsia="仿宋_GB2312"/>
          <w:sz w:val="28"/>
          <w:szCs w:val="28"/>
          <w:highlight w:val="none"/>
        </w:rPr>
        <w:t>利用水印相机对</w:t>
      </w:r>
      <w:r>
        <w:rPr>
          <w:rFonts w:ascii="Times New Roman" w:hAnsi="Times New Roman" w:eastAsia="仿宋_GB2312"/>
          <w:sz w:val="28"/>
          <w:szCs w:val="28"/>
          <w:highlight w:val="none"/>
        </w:rPr>
        <w:t>作业前、后</w:t>
      </w:r>
      <w:r>
        <w:rPr>
          <w:rFonts w:hint="eastAsia" w:ascii="Times New Roman" w:hAnsi="Times New Roman" w:eastAsia="仿宋_GB2312"/>
          <w:sz w:val="28"/>
          <w:szCs w:val="28"/>
          <w:highlight w:val="none"/>
        </w:rPr>
        <w:t>进行</w:t>
      </w:r>
      <w:r>
        <w:rPr>
          <w:rFonts w:ascii="Times New Roman" w:hAnsi="Times New Roman" w:eastAsia="仿宋_GB2312"/>
          <w:sz w:val="28"/>
          <w:szCs w:val="28"/>
          <w:highlight w:val="none"/>
        </w:rPr>
        <w:t>拍照打卡</w:t>
      </w:r>
      <w:r>
        <w:rPr>
          <w:rFonts w:hint="eastAsia" w:ascii="Times New Roman" w:hAnsi="Times New Roman" w:eastAsia="仿宋_GB2312"/>
          <w:sz w:val="28"/>
          <w:szCs w:val="28"/>
          <w:highlight w:val="none"/>
        </w:rPr>
        <w:t>，打卡</w:t>
      </w:r>
      <w:r>
        <w:rPr>
          <w:rFonts w:ascii="Times New Roman" w:hAnsi="Times New Roman" w:eastAsia="仿宋_GB2312"/>
          <w:sz w:val="28"/>
          <w:szCs w:val="28"/>
          <w:highlight w:val="none"/>
        </w:rPr>
        <w:t>率应达到100%。不合格的扣1分/天，扣完为止。如遇暴雨天、台风天等特殊天气，需进行说明，由监理单位进行审核。</w:t>
      </w:r>
    </w:p>
    <w:p>
      <w:pPr>
        <w:spacing w:line="600" w:lineRule="exact"/>
        <w:ind w:firstLine="562" w:firstLineChars="200"/>
        <w:rPr>
          <w:rFonts w:ascii="Times New Roman" w:hAnsi="Times New Roman" w:eastAsia="楷体_GB2312"/>
          <w:b/>
          <w:sz w:val="28"/>
          <w:szCs w:val="28"/>
          <w:highlight w:val="none"/>
        </w:rPr>
      </w:pPr>
      <w:r>
        <w:rPr>
          <w:rFonts w:ascii="Times New Roman" w:hAnsi="Times New Roman" w:eastAsia="楷体_GB2312"/>
          <w:b/>
          <w:sz w:val="28"/>
          <w:szCs w:val="28"/>
          <w:highlight w:val="none"/>
        </w:rPr>
        <w:t>（二）巡查覆盖率</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满分10分。养护单位应每天对管养设施进行全覆盖巡查。鼓励使用智能病害检测设备，人工与智能设备相结合。要求道路巡查覆盖率达到规定作业里程的100%，GPS巡查数据覆盖率达到规定作业里程的90%以上。针对苏州河沿线桥梁，要求</w:t>
      </w:r>
      <w:r>
        <w:rPr>
          <w:rFonts w:hint="eastAsia" w:ascii="Times New Roman" w:hAnsi="Times New Roman" w:eastAsia="仿宋_GB2312"/>
          <w:sz w:val="28"/>
          <w:szCs w:val="28"/>
          <w:highlight w:val="none"/>
        </w:rPr>
        <w:t>利用水印相机对</w:t>
      </w:r>
      <w:r>
        <w:rPr>
          <w:rFonts w:ascii="Times New Roman" w:hAnsi="Times New Roman" w:eastAsia="仿宋_GB2312"/>
          <w:sz w:val="28"/>
          <w:szCs w:val="28"/>
          <w:highlight w:val="none"/>
        </w:rPr>
        <w:t>桥头</w:t>
      </w:r>
      <w:r>
        <w:rPr>
          <w:rFonts w:hint="eastAsia" w:ascii="Times New Roman" w:hAnsi="Times New Roman" w:eastAsia="仿宋_GB2312"/>
          <w:sz w:val="28"/>
          <w:szCs w:val="28"/>
          <w:highlight w:val="none"/>
        </w:rPr>
        <w:t>、</w:t>
      </w:r>
      <w:r>
        <w:rPr>
          <w:rFonts w:ascii="Times New Roman" w:hAnsi="Times New Roman" w:eastAsia="仿宋_GB2312"/>
          <w:sz w:val="28"/>
          <w:szCs w:val="28"/>
          <w:highlight w:val="none"/>
        </w:rPr>
        <w:t>桥尾</w:t>
      </w:r>
      <w:r>
        <w:rPr>
          <w:rFonts w:hint="eastAsia" w:ascii="Times New Roman" w:hAnsi="Times New Roman" w:eastAsia="仿宋_GB2312"/>
          <w:sz w:val="28"/>
          <w:szCs w:val="28"/>
          <w:highlight w:val="none"/>
        </w:rPr>
        <w:t>进行</w:t>
      </w:r>
      <w:r>
        <w:rPr>
          <w:rFonts w:ascii="Times New Roman" w:hAnsi="Times New Roman" w:eastAsia="仿宋_GB2312"/>
          <w:sz w:val="28"/>
          <w:szCs w:val="28"/>
          <w:highlight w:val="none"/>
        </w:rPr>
        <w:t>拍照打卡，打卡率应达到100%。</w:t>
      </w:r>
      <w:r>
        <w:rPr>
          <w:rFonts w:hint="eastAsia" w:ascii="Times New Roman" w:hAnsi="Times New Roman" w:eastAsia="仿宋_GB2312"/>
          <w:sz w:val="28"/>
          <w:szCs w:val="28"/>
          <w:highlight w:val="none"/>
        </w:rPr>
        <w:t>针对设施经常性巡查要求</w:t>
      </w:r>
      <w:r>
        <w:rPr>
          <w:rFonts w:ascii="Times New Roman" w:hAnsi="Times New Roman" w:eastAsia="仿宋_GB2312"/>
          <w:sz w:val="28"/>
          <w:szCs w:val="28"/>
          <w:highlight w:val="none"/>
        </w:rPr>
        <w:t>，桥梁、隧道NFC电子标签系统打卡率</w:t>
      </w:r>
      <w:r>
        <w:rPr>
          <w:rFonts w:hint="eastAsia" w:ascii="Times New Roman" w:hAnsi="Times New Roman" w:eastAsia="仿宋_GB2312"/>
          <w:sz w:val="28"/>
          <w:szCs w:val="28"/>
          <w:highlight w:val="none"/>
        </w:rPr>
        <w:t>应</w:t>
      </w:r>
      <w:r>
        <w:rPr>
          <w:rFonts w:ascii="Times New Roman" w:hAnsi="Times New Roman" w:eastAsia="仿宋_GB2312"/>
          <w:sz w:val="28"/>
          <w:szCs w:val="28"/>
          <w:highlight w:val="none"/>
        </w:rPr>
        <w:t>达到设施量的100%。道路巡查覆盖率不合格的扣1分/天，桥梁、隧道巡查覆盖率不合格的扣1分/座次/天，扣完为止。</w:t>
      </w:r>
    </w:p>
    <w:p>
      <w:pPr>
        <w:spacing w:line="600" w:lineRule="exact"/>
        <w:ind w:firstLine="562" w:firstLineChars="200"/>
        <w:rPr>
          <w:rFonts w:ascii="Times New Roman" w:hAnsi="Times New Roman" w:eastAsia="楷体_GB2312"/>
          <w:b/>
          <w:sz w:val="28"/>
          <w:szCs w:val="28"/>
          <w:highlight w:val="none"/>
        </w:rPr>
      </w:pPr>
      <w:r>
        <w:rPr>
          <w:rFonts w:ascii="Times New Roman" w:hAnsi="Times New Roman" w:eastAsia="楷体_GB2312"/>
          <w:b/>
          <w:sz w:val="28"/>
          <w:szCs w:val="28"/>
          <w:highlight w:val="none"/>
        </w:rPr>
        <w:t>（三）病害处置率</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满分20分，其中基础分17分，排名分3分。养护单位应每日进行日常巡查，发现的病害应及时录入至养护在线监管系统，</w:t>
      </w:r>
      <w:r>
        <w:rPr>
          <w:rFonts w:hint="eastAsia" w:ascii="Times New Roman" w:hAnsi="Times New Roman" w:eastAsia="仿宋_GB2312"/>
          <w:sz w:val="28"/>
          <w:szCs w:val="28"/>
          <w:highlight w:val="none"/>
        </w:rPr>
        <w:t>并由监理单位复核其处置情况，</w:t>
      </w:r>
      <w:r>
        <w:rPr>
          <w:rFonts w:ascii="Times New Roman" w:hAnsi="Times New Roman" w:eastAsia="仿宋_GB2312"/>
          <w:sz w:val="28"/>
          <w:szCs w:val="28"/>
          <w:highlight w:val="none"/>
        </w:rPr>
        <w:t>在</w:t>
      </w:r>
      <w:r>
        <w:rPr>
          <w:rFonts w:hint="eastAsia" w:ascii="Times New Roman" w:hAnsi="Times New Roman" w:eastAsia="仿宋_GB2312"/>
          <w:sz w:val="28"/>
          <w:szCs w:val="28"/>
          <w:highlight w:val="none"/>
        </w:rPr>
        <w:t>规定</w:t>
      </w:r>
      <w:r>
        <w:rPr>
          <w:rFonts w:ascii="Times New Roman" w:hAnsi="Times New Roman" w:eastAsia="仿宋_GB2312"/>
          <w:sz w:val="28"/>
          <w:szCs w:val="28"/>
          <w:highlight w:val="none"/>
        </w:rPr>
        <w:t>的处置时限内完成闭环。</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1、基础分</w:t>
      </w:r>
      <w:r>
        <w:rPr>
          <w:rFonts w:hint="eastAsia" w:ascii="Times New Roman" w:hAnsi="Times New Roman" w:eastAsia="仿宋_GB2312"/>
          <w:sz w:val="28"/>
          <w:szCs w:val="28"/>
          <w:highlight w:val="none"/>
        </w:rPr>
        <w:t>（17分）</w:t>
      </w:r>
    </w:p>
    <w:p>
      <w:pPr>
        <w:spacing w:line="560" w:lineRule="exact"/>
        <w:ind w:firstLine="560" w:firstLineChars="200"/>
        <w:rPr>
          <w:rFonts w:ascii="Times New Roman" w:hAnsi="Times New Roman" w:eastAsia="仿宋_GB2312"/>
          <w:sz w:val="28"/>
          <w:szCs w:val="28"/>
          <w:highlight w:val="none"/>
        </w:rPr>
      </w:pPr>
      <w:r>
        <w:rPr>
          <w:rFonts w:hint="eastAsia" w:eastAsia="仿宋_GB2312" w:cs="Calibri"/>
          <w:sz w:val="28"/>
          <w:szCs w:val="28"/>
          <w:highlight w:val="none"/>
        </w:rPr>
        <w:t>（1）</w:t>
      </w:r>
      <w:r>
        <w:rPr>
          <w:rFonts w:ascii="Times New Roman" w:hAnsi="Times New Roman" w:eastAsia="仿宋_GB2312"/>
          <w:sz w:val="28"/>
          <w:szCs w:val="28"/>
          <w:highlight w:val="none"/>
        </w:rPr>
        <w:t>每月上报养护在线监管系统的病害数量应达到相应标准，</w:t>
      </w:r>
      <w:r>
        <w:rPr>
          <w:rFonts w:hint="eastAsia" w:ascii="Times New Roman" w:hAnsi="Times New Roman" w:eastAsia="仿宋_GB2312"/>
          <w:sz w:val="28"/>
          <w:szCs w:val="28"/>
          <w:highlight w:val="none"/>
        </w:rPr>
        <w:t>高架快速路、越江大桥</w:t>
      </w:r>
      <w:r>
        <w:rPr>
          <w:rFonts w:ascii="Times New Roman" w:hAnsi="Times New Roman" w:eastAsia="仿宋_GB2312"/>
          <w:sz w:val="28"/>
          <w:szCs w:val="28"/>
          <w:highlight w:val="none"/>
        </w:rPr>
        <w:t>上报</w:t>
      </w:r>
      <w:r>
        <w:rPr>
          <w:rFonts w:hint="eastAsia" w:ascii="Times New Roman" w:hAnsi="Times New Roman" w:eastAsia="仿宋_GB2312"/>
          <w:sz w:val="28"/>
          <w:szCs w:val="28"/>
          <w:highlight w:val="none"/>
        </w:rPr>
        <w:t>数量</w:t>
      </w:r>
      <w:r>
        <w:rPr>
          <w:rFonts w:ascii="Times New Roman" w:hAnsi="Times New Roman" w:eastAsia="仿宋_GB2312"/>
          <w:sz w:val="28"/>
          <w:szCs w:val="28"/>
          <w:highlight w:val="none"/>
        </w:rPr>
        <w:t>不少于150个/月</w:t>
      </w:r>
      <w:r>
        <w:rPr>
          <w:rFonts w:hint="eastAsia" w:ascii="Times New Roman" w:hAnsi="Times New Roman" w:eastAsia="仿宋_GB2312"/>
          <w:sz w:val="28"/>
          <w:szCs w:val="28"/>
          <w:highlight w:val="none"/>
        </w:rPr>
        <w:t>（同济路高架不少于3</w:t>
      </w:r>
      <w:r>
        <w:rPr>
          <w:rFonts w:ascii="Times New Roman" w:hAnsi="Times New Roman" w:eastAsia="仿宋_GB2312"/>
          <w:sz w:val="28"/>
          <w:szCs w:val="28"/>
          <w:highlight w:val="none"/>
        </w:rPr>
        <w:t>0</w:t>
      </w:r>
      <w:r>
        <w:rPr>
          <w:rFonts w:hint="eastAsia" w:ascii="Times New Roman" w:hAnsi="Times New Roman" w:eastAsia="仿宋_GB2312"/>
          <w:sz w:val="28"/>
          <w:szCs w:val="28"/>
          <w:highlight w:val="none"/>
        </w:rPr>
        <w:t>个/月）</w:t>
      </w:r>
      <w:r>
        <w:rPr>
          <w:rFonts w:ascii="Times New Roman" w:hAnsi="Times New Roman" w:eastAsia="仿宋_GB2312"/>
          <w:sz w:val="28"/>
          <w:szCs w:val="28"/>
          <w:highlight w:val="none"/>
        </w:rPr>
        <w:t>，其中隧道、市管桥梁上报</w:t>
      </w:r>
      <w:r>
        <w:rPr>
          <w:rFonts w:hint="eastAsia" w:ascii="Times New Roman" w:hAnsi="Times New Roman" w:eastAsia="仿宋_GB2312"/>
          <w:sz w:val="28"/>
          <w:szCs w:val="28"/>
          <w:highlight w:val="none"/>
        </w:rPr>
        <w:t>数量</w:t>
      </w:r>
      <w:r>
        <w:rPr>
          <w:rFonts w:ascii="Times New Roman" w:hAnsi="Times New Roman" w:eastAsia="仿宋_GB2312"/>
          <w:sz w:val="28"/>
          <w:szCs w:val="28"/>
          <w:highlight w:val="none"/>
        </w:rPr>
        <w:t>不少于80个/月</w:t>
      </w:r>
      <w:r>
        <w:rPr>
          <w:rFonts w:hint="eastAsia" w:ascii="Times New Roman" w:hAnsi="Times New Roman" w:eastAsia="仿宋_GB2312"/>
          <w:sz w:val="28"/>
          <w:szCs w:val="28"/>
          <w:highlight w:val="none"/>
        </w:rPr>
        <w:t>（</w:t>
      </w:r>
      <w:bookmarkStart w:id="11" w:name="OLE_LINK5"/>
      <w:bookmarkStart w:id="12" w:name="OLE_LINK6"/>
      <w:r>
        <w:rPr>
          <w:rFonts w:hint="eastAsia" w:ascii="Times New Roman" w:hAnsi="Times New Roman" w:eastAsia="仿宋_GB2312"/>
          <w:sz w:val="28"/>
          <w:szCs w:val="28"/>
          <w:highlight w:val="none"/>
        </w:rPr>
        <w:t>隆昌路下立交不少于3</w:t>
      </w:r>
      <w:r>
        <w:rPr>
          <w:rFonts w:ascii="Times New Roman" w:hAnsi="Times New Roman" w:eastAsia="仿宋_GB2312"/>
          <w:sz w:val="28"/>
          <w:szCs w:val="28"/>
          <w:highlight w:val="none"/>
        </w:rPr>
        <w:t>0</w:t>
      </w:r>
      <w:r>
        <w:rPr>
          <w:rFonts w:hint="eastAsia" w:ascii="Times New Roman" w:hAnsi="Times New Roman" w:eastAsia="仿宋_GB2312"/>
          <w:sz w:val="28"/>
          <w:szCs w:val="28"/>
          <w:highlight w:val="none"/>
        </w:rPr>
        <w:t>个/月</w:t>
      </w:r>
      <w:bookmarkEnd w:id="11"/>
      <w:bookmarkEnd w:id="12"/>
      <w:r>
        <w:rPr>
          <w:rFonts w:hint="eastAsia" w:ascii="Times New Roman" w:hAnsi="Times New Roman" w:eastAsia="仿宋_GB2312"/>
          <w:sz w:val="28"/>
          <w:szCs w:val="28"/>
          <w:highlight w:val="none"/>
        </w:rPr>
        <w:t>）。</w:t>
      </w:r>
      <w:r>
        <w:rPr>
          <w:rFonts w:ascii="Times New Roman" w:hAnsi="Times New Roman" w:eastAsia="仿宋_GB2312"/>
          <w:sz w:val="28"/>
          <w:szCs w:val="28"/>
          <w:highlight w:val="none"/>
        </w:rPr>
        <w:t>未达到月度上报养护在线监管系统病害数量</w:t>
      </w:r>
      <w:r>
        <w:rPr>
          <w:rFonts w:hint="eastAsia" w:ascii="Times New Roman" w:hAnsi="Times New Roman" w:eastAsia="仿宋_GB2312"/>
          <w:sz w:val="28"/>
          <w:szCs w:val="28"/>
          <w:highlight w:val="none"/>
        </w:rPr>
        <w:t>的扣3分。</w:t>
      </w:r>
    </w:p>
    <w:p>
      <w:pPr>
        <w:spacing w:line="560" w:lineRule="exact"/>
        <w:ind w:firstLine="560" w:firstLineChars="200"/>
        <w:rPr>
          <w:rFonts w:ascii="Times New Roman" w:hAnsi="Times New Roman" w:eastAsia="仿宋_GB2312"/>
          <w:sz w:val="28"/>
          <w:szCs w:val="28"/>
          <w:highlight w:val="none"/>
        </w:rPr>
      </w:pPr>
      <w:r>
        <w:rPr>
          <w:rFonts w:hint="eastAsia" w:eastAsia="仿宋_GB2312" w:cs="Calibri"/>
          <w:sz w:val="28"/>
          <w:szCs w:val="28"/>
          <w:highlight w:val="none"/>
        </w:rPr>
        <w:t>（2）</w:t>
      </w:r>
      <w:r>
        <w:rPr>
          <w:rFonts w:ascii="Times New Roman" w:hAnsi="Times New Roman" w:eastAsia="仿宋_GB2312"/>
          <w:sz w:val="28"/>
          <w:szCs w:val="28"/>
          <w:highlight w:val="none"/>
        </w:rPr>
        <w:t>病害按规定要求已处置完成</w:t>
      </w:r>
      <w:r>
        <w:rPr>
          <w:rFonts w:hint="eastAsia" w:ascii="Times New Roman" w:hAnsi="Times New Roman" w:eastAsia="仿宋_GB2312"/>
          <w:sz w:val="28"/>
          <w:szCs w:val="28"/>
          <w:highlight w:val="none"/>
        </w:rPr>
        <w:t>，高架快速路、越江大桥</w:t>
      </w:r>
      <w:r>
        <w:rPr>
          <w:rFonts w:ascii="Times New Roman" w:hAnsi="Times New Roman" w:eastAsia="仿宋_GB2312"/>
          <w:sz w:val="28"/>
          <w:szCs w:val="28"/>
          <w:highlight w:val="none"/>
        </w:rPr>
        <w:t>上报数量不少于200个/月（</w:t>
      </w:r>
      <w:r>
        <w:rPr>
          <w:rFonts w:hint="eastAsia" w:ascii="Times New Roman" w:hAnsi="Times New Roman" w:eastAsia="仿宋_GB2312"/>
          <w:sz w:val="28"/>
          <w:szCs w:val="28"/>
          <w:highlight w:val="none"/>
        </w:rPr>
        <w:t>同济路高架不少于</w:t>
      </w:r>
      <w:r>
        <w:rPr>
          <w:rFonts w:ascii="Times New Roman" w:hAnsi="Times New Roman" w:eastAsia="仿宋_GB2312"/>
          <w:sz w:val="28"/>
          <w:szCs w:val="28"/>
          <w:highlight w:val="none"/>
        </w:rPr>
        <w:t>50</w:t>
      </w:r>
      <w:r>
        <w:rPr>
          <w:rFonts w:hint="eastAsia" w:ascii="Times New Roman" w:hAnsi="Times New Roman" w:eastAsia="仿宋_GB2312"/>
          <w:sz w:val="28"/>
          <w:szCs w:val="28"/>
          <w:highlight w:val="none"/>
        </w:rPr>
        <w:t>个/月，</w:t>
      </w:r>
      <w:r>
        <w:rPr>
          <w:rFonts w:ascii="Times New Roman" w:hAnsi="Times New Roman" w:eastAsia="仿宋_GB2312"/>
          <w:sz w:val="28"/>
          <w:szCs w:val="28"/>
          <w:highlight w:val="none"/>
        </w:rPr>
        <w:t>含业主、监理上报病害），隧道、市管桥梁处置数量不少于100个/月（</w:t>
      </w:r>
      <w:r>
        <w:rPr>
          <w:rFonts w:hint="eastAsia" w:ascii="Times New Roman" w:hAnsi="Times New Roman" w:eastAsia="仿宋_GB2312"/>
          <w:sz w:val="28"/>
          <w:szCs w:val="28"/>
          <w:highlight w:val="none"/>
        </w:rPr>
        <w:t>隆昌路下立交不少于</w:t>
      </w:r>
      <w:r>
        <w:rPr>
          <w:rFonts w:ascii="Times New Roman" w:hAnsi="Times New Roman" w:eastAsia="仿宋_GB2312"/>
          <w:sz w:val="28"/>
          <w:szCs w:val="28"/>
          <w:highlight w:val="none"/>
        </w:rPr>
        <w:t>50</w:t>
      </w:r>
      <w:r>
        <w:rPr>
          <w:rFonts w:hint="eastAsia" w:ascii="Times New Roman" w:hAnsi="Times New Roman" w:eastAsia="仿宋_GB2312"/>
          <w:sz w:val="28"/>
          <w:szCs w:val="28"/>
          <w:highlight w:val="none"/>
        </w:rPr>
        <w:t>个/月，</w:t>
      </w:r>
      <w:r>
        <w:rPr>
          <w:rFonts w:ascii="Times New Roman" w:hAnsi="Times New Roman" w:eastAsia="仿宋_GB2312"/>
          <w:sz w:val="28"/>
          <w:szCs w:val="28"/>
          <w:highlight w:val="none"/>
        </w:rPr>
        <w:t>含业主、监理上报病害）</w:t>
      </w:r>
      <w:r>
        <w:rPr>
          <w:rFonts w:hint="eastAsia" w:ascii="Times New Roman" w:hAnsi="Times New Roman" w:eastAsia="仿宋_GB2312"/>
          <w:sz w:val="28"/>
          <w:szCs w:val="28"/>
          <w:highlight w:val="none"/>
        </w:rPr>
        <w:t>，</w:t>
      </w:r>
      <w:r>
        <w:rPr>
          <w:rFonts w:ascii="Times New Roman" w:hAnsi="Times New Roman" w:eastAsia="仿宋_GB2312"/>
          <w:sz w:val="28"/>
          <w:szCs w:val="28"/>
          <w:highlight w:val="none"/>
        </w:rPr>
        <w:t>未按规定要求处置完成的扣2分。</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（3）</w:t>
      </w:r>
      <w:r>
        <w:rPr>
          <w:rFonts w:ascii="Times New Roman" w:hAnsi="Times New Roman" w:eastAsia="仿宋_GB2312"/>
          <w:sz w:val="28"/>
          <w:szCs w:val="28"/>
          <w:highlight w:val="none"/>
        </w:rPr>
        <w:t>病害处置率应达到100%，每降低1%扣1分，</w:t>
      </w:r>
      <w:r>
        <w:rPr>
          <w:rFonts w:hint="eastAsia" w:ascii="Times New Roman" w:hAnsi="Times New Roman" w:eastAsia="仿宋_GB2312"/>
          <w:sz w:val="28"/>
          <w:szCs w:val="28"/>
          <w:highlight w:val="none"/>
        </w:rPr>
        <w:t>月度基础分</w:t>
      </w:r>
      <w:r>
        <w:rPr>
          <w:rFonts w:ascii="Times New Roman" w:hAnsi="Times New Roman" w:eastAsia="仿宋_GB2312"/>
          <w:sz w:val="28"/>
          <w:szCs w:val="28"/>
          <w:highlight w:val="none"/>
        </w:rPr>
        <w:t>扣完为止。应处置病害总数是指病害修复截止时间在考核时间内的所有病害总和</w:t>
      </w:r>
      <w:r>
        <w:rPr>
          <w:rFonts w:hint="eastAsia" w:ascii="Times New Roman" w:hAnsi="Times New Roman" w:eastAsia="仿宋_GB2312"/>
          <w:sz w:val="28"/>
          <w:szCs w:val="28"/>
          <w:highlight w:val="none"/>
        </w:rPr>
        <w:t>，</w:t>
      </w:r>
      <w:r>
        <w:rPr>
          <w:rFonts w:ascii="Times New Roman" w:hAnsi="Times New Roman" w:eastAsia="仿宋_GB2312"/>
          <w:sz w:val="28"/>
          <w:szCs w:val="28"/>
          <w:highlight w:val="none"/>
        </w:rPr>
        <w:t>已处置病害数是指病害修复截止时间在考核时间内已完成的病害的总和。病害处置时限要求为：普通病害（轻/中度/未做等级划分说明）不超过10天，重度病害不超过7天，危险病害不超过1天。若因特殊原因出现逾期情况，需进行说明，由监理单位进行审核。</w:t>
      </w:r>
    </w:p>
    <w:p>
      <w:pPr>
        <w:spacing w:line="480" w:lineRule="auto"/>
        <w:ind w:firstLine="320"/>
        <w:jc w:val="center"/>
        <w:rPr>
          <w:rFonts w:ascii="Times New Roman" w:hAnsi="Times New Roman" w:eastAsia="仿宋_GB2312"/>
          <w:sz w:val="32"/>
          <w:szCs w:val="32"/>
          <w:highlight w:val="none"/>
        </w:rPr>
      </w:pPr>
      <w:r>
        <w:rPr>
          <w:rFonts w:ascii="Times New Roman" w:hAnsi="Times New Roman" w:eastAsia="仿宋_GB2312"/>
          <w:sz w:val="28"/>
          <w:szCs w:val="28"/>
          <w:highlight w:val="none"/>
        </w:rPr>
        <w:t>病害处置率 =</w:t>
      </w:r>
      <w:r>
        <w:rPr>
          <w:rFonts w:ascii="Times New Roman" w:hAnsi="Times New Roman"/>
          <w:sz w:val="28"/>
          <w:szCs w:val="28"/>
          <w:highlight w:val="none"/>
        </w:rPr>
        <w:t xml:space="preserve"> </w:t>
      </w:r>
      <m:oMath>
        <m:f>
          <m:fPr>
            <m:ctrlPr>
              <w:rPr>
                <w:rFonts w:ascii="Cambria Math" w:hAnsi="Cambria Math" w:eastAsia="仿宋_GB2312"/>
                <w:sz w:val="32"/>
                <w:szCs w:val="32"/>
                <w:highlight w:val="none"/>
              </w:rPr>
            </m:ctrlPr>
          </m:fPr>
          <m:num>
            <m:r>
              <m:rPr>
                <m:sty m:val="p"/>
              </m:rPr>
              <w:rPr>
                <w:rFonts w:ascii="Cambria Math" w:hAnsi="Cambria Math" w:eastAsia="仿宋_GB2312"/>
                <w:sz w:val="32"/>
                <w:szCs w:val="32"/>
                <w:highlight w:val="none"/>
              </w:rPr>
              <m:t>已处置病害数</m:t>
            </m:r>
            <m:ctrlPr>
              <w:rPr>
                <w:rFonts w:ascii="Cambria Math" w:hAnsi="Cambria Math" w:eastAsia="仿宋_GB2312"/>
                <w:sz w:val="32"/>
                <w:szCs w:val="32"/>
                <w:highlight w:val="none"/>
              </w:rPr>
            </m:ctrlPr>
          </m:num>
          <m:den>
            <m:r>
              <m:rPr>
                <m:sty m:val="p"/>
              </m:rPr>
              <w:rPr>
                <w:rFonts w:ascii="Cambria Math" w:hAnsi="Cambria Math" w:eastAsia="仿宋_GB2312"/>
                <w:sz w:val="32"/>
                <w:szCs w:val="32"/>
                <w:highlight w:val="none"/>
              </w:rPr>
              <m:t>应处置病害总数</m:t>
            </m:r>
            <m:ctrlPr>
              <w:rPr>
                <w:rFonts w:ascii="Cambria Math" w:hAnsi="Cambria Math" w:eastAsia="仿宋_GB2312"/>
                <w:sz w:val="32"/>
                <w:szCs w:val="32"/>
                <w:highlight w:val="none"/>
              </w:rPr>
            </m:ctrlPr>
          </m:den>
        </m:f>
      </m:oMath>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2、排名</w:t>
      </w:r>
      <w:r>
        <w:rPr>
          <w:rFonts w:hint="eastAsia" w:ascii="Times New Roman" w:hAnsi="Times New Roman" w:eastAsia="仿宋_GB2312"/>
          <w:sz w:val="28"/>
          <w:szCs w:val="28"/>
          <w:highlight w:val="none"/>
        </w:rPr>
        <w:t>分（3分）</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根据</w:t>
      </w:r>
      <w:r>
        <w:rPr>
          <w:rFonts w:hint="eastAsia" w:ascii="Times New Roman" w:hAnsi="Times New Roman" w:eastAsia="仿宋_GB2312"/>
          <w:sz w:val="28"/>
          <w:szCs w:val="28"/>
          <w:highlight w:val="none"/>
        </w:rPr>
        <w:t>病害处置率</w:t>
      </w:r>
      <w:r>
        <w:rPr>
          <w:rFonts w:ascii="Times New Roman" w:hAnsi="Times New Roman" w:eastAsia="仿宋_GB2312"/>
          <w:sz w:val="28"/>
          <w:szCs w:val="28"/>
          <w:highlight w:val="none"/>
        </w:rPr>
        <w:t>进行月度排名</w:t>
      </w:r>
      <w:r>
        <w:rPr>
          <w:rFonts w:hint="eastAsia" w:ascii="Times New Roman" w:hAnsi="Times New Roman" w:eastAsia="仿宋_GB2312"/>
          <w:sz w:val="28"/>
          <w:szCs w:val="28"/>
          <w:highlight w:val="none"/>
        </w:rPr>
        <w:t>，即考核时间内</w:t>
      </w:r>
      <w:r>
        <w:rPr>
          <w:rFonts w:ascii="Times New Roman" w:hAnsi="Times New Roman" w:eastAsia="仿宋_GB2312"/>
          <w:sz w:val="28"/>
          <w:szCs w:val="28"/>
          <w:highlight w:val="none"/>
        </w:rPr>
        <w:t>平均处置病害完成数量（病害处置数量/里程数），</w:t>
      </w:r>
      <w:r>
        <w:rPr>
          <w:rFonts w:hint="eastAsia" w:ascii="Times New Roman" w:hAnsi="Times New Roman" w:eastAsia="仿宋_GB2312"/>
          <w:sz w:val="28"/>
          <w:szCs w:val="28"/>
          <w:highlight w:val="none"/>
        </w:rPr>
        <w:t>其中，保洁类病害数量不纳入统计。分成快速路、隧道地道、桥梁三个板块，按合同进行排名，</w:t>
      </w:r>
      <w:r>
        <w:rPr>
          <w:rFonts w:ascii="Times New Roman" w:hAnsi="Times New Roman" w:eastAsia="仿宋_GB2312"/>
          <w:sz w:val="28"/>
          <w:szCs w:val="28"/>
          <w:highlight w:val="none"/>
        </w:rPr>
        <w:t>排名</w:t>
      </w:r>
      <w:r>
        <w:rPr>
          <w:rFonts w:hint="eastAsia" w:ascii="Times New Roman" w:hAnsi="Times New Roman" w:eastAsia="仿宋_GB2312"/>
          <w:sz w:val="28"/>
          <w:szCs w:val="28"/>
          <w:highlight w:val="none"/>
        </w:rPr>
        <w:t>第一名得3分，第二名得2分，第三名得1分，其余名次不得分</w:t>
      </w:r>
      <w:r>
        <w:rPr>
          <w:rFonts w:ascii="Times New Roman" w:hAnsi="Times New Roman" w:eastAsia="仿宋_GB2312"/>
          <w:sz w:val="28"/>
          <w:szCs w:val="28"/>
          <w:highlight w:val="none"/>
        </w:rPr>
        <w:t>。</w:t>
      </w:r>
    </w:p>
    <w:p>
      <w:pPr>
        <w:spacing w:line="600" w:lineRule="exact"/>
        <w:ind w:firstLine="562" w:firstLineChars="200"/>
        <w:rPr>
          <w:rFonts w:ascii="Times New Roman" w:hAnsi="Times New Roman" w:eastAsia="楷体_GB2312"/>
          <w:b/>
          <w:sz w:val="28"/>
          <w:szCs w:val="28"/>
          <w:highlight w:val="none"/>
        </w:rPr>
      </w:pPr>
      <w:r>
        <w:rPr>
          <w:rFonts w:ascii="Times New Roman" w:hAnsi="Times New Roman" w:eastAsia="楷体_GB2312"/>
          <w:b/>
          <w:sz w:val="28"/>
          <w:szCs w:val="28"/>
          <w:highlight w:val="none"/>
        </w:rPr>
        <w:t>（四）计划执行率</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满分10分。养护单位应每日报送养护作业计划，次日填写实际完成情况，由监理单位进行审核，结果为已完成或未完成。对考核时间内的每日计划完成情况进行统计，月度计划执行率应达到100%，每降低1%扣1分，扣完为止。若因特殊原因出现未完成情况，需进行说明，由监理单位进行审核。</w:t>
      </w:r>
    </w:p>
    <w:p>
      <w:pPr>
        <w:spacing w:after="120" w:afterLines="50" w:line="600" w:lineRule="exact"/>
        <w:ind w:firstLine="240"/>
        <w:jc w:val="center"/>
        <w:rPr>
          <w:rFonts w:ascii="Times New Roman" w:hAnsi="Times New Roman" w:eastAsia="仿宋_GB2312"/>
          <w:sz w:val="32"/>
          <w:szCs w:val="32"/>
          <w:highlight w:val="none"/>
        </w:rPr>
      </w:pPr>
      <w:r>
        <w:rPr>
          <w:rFonts w:ascii="Times New Roman" w:hAnsi="Times New Roman" w:eastAsia="仿宋_GB2312"/>
          <w:sz w:val="24"/>
          <w:highlight w:val="none"/>
        </w:rPr>
        <w:t xml:space="preserve">计划执行率 = </w:t>
      </w:r>
      <m:oMath>
        <m:f>
          <m:fPr>
            <m:ctrlPr>
              <w:rPr>
                <w:rFonts w:ascii="Cambria Math" w:hAnsi="Cambria Math" w:eastAsia="仿宋_GB2312"/>
                <w:sz w:val="32"/>
                <w:szCs w:val="32"/>
                <w:highlight w:val="none"/>
              </w:rPr>
            </m:ctrlPr>
          </m:fPr>
          <m:num>
            <m:r>
              <m:rPr>
                <m:sty m:val="p"/>
              </m:rPr>
              <w:rPr>
                <w:rFonts w:hint="eastAsia" w:ascii="Cambria Math" w:hAnsi="Cambria Math" w:eastAsia="仿宋_GB2312"/>
                <w:sz w:val="32"/>
                <w:szCs w:val="32"/>
                <w:highlight w:val="none"/>
              </w:rPr>
              <m:t>每日作业计划执行率（每项作业计划执行率总和</m:t>
            </m:r>
            <m:r>
              <m:rPr>
                <m:sty m:val="p"/>
              </m:rPr>
              <w:rPr>
                <w:rFonts w:ascii="Cambria Math" w:hAnsi="Cambria Math" w:eastAsia="仿宋_GB2312"/>
                <w:sz w:val="32"/>
                <w:szCs w:val="32"/>
                <w:highlight w:val="none"/>
              </w:rPr>
              <m:t>/</m:t>
            </m:r>
            <m:r>
              <m:rPr>
                <m:sty m:val="p"/>
              </m:rPr>
              <w:rPr>
                <w:rFonts w:hint="eastAsia" w:ascii="Cambria Math" w:hAnsi="Cambria Math" w:eastAsia="仿宋_GB2312"/>
                <w:sz w:val="32"/>
                <w:szCs w:val="32"/>
                <w:highlight w:val="none"/>
              </w:rPr>
              <m:t>作业总项数）总和</m:t>
            </m:r>
            <m:ctrlPr>
              <w:rPr>
                <w:rFonts w:ascii="Cambria Math" w:hAnsi="Cambria Math" w:eastAsia="仿宋_GB2312"/>
                <w:sz w:val="32"/>
                <w:szCs w:val="32"/>
                <w:highlight w:val="none"/>
              </w:rPr>
            </m:ctrlPr>
          </m:num>
          <m:den>
            <m:r>
              <m:rPr>
                <m:sty m:val="p"/>
              </m:rPr>
              <w:rPr>
                <w:rFonts w:ascii="Cambria Math" w:hAnsi="Cambria Math" w:eastAsia="仿宋_GB2312"/>
                <w:sz w:val="32"/>
                <w:szCs w:val="32"/>
                <w:highlight w:val="none"/>
              </w:rPr>
              <m:t>养护作业计划天数</m:t>
            </m:r>
            <m:ctrlPr>
              <w:rPr>
                <w:rFonts w:ascii="Cambria Math" w:hAnsi="Cambria Math" w:eastAsia="仿宋_GB2312"/>
                <w:sz w:val="32"/>
                <w:szCs w:val="32"/>
                <w:highlight w:val="none"/>
              </w:rPr>
            </m:ctrlPr>
          </m:den>
        </m:f>
      </m:oMath>
    </w:p>
    <w:p>
      <w:pPr>
        <w:spacing w:line="600" w:lineRule="exact"/>
        <w:ind w:firstLine="562" w:firstLineChars="200"/>
        <w:rPr>
          <w:rFonts w:ascii="Times New Roman" w:hAnsi="Times New Roman" w:eastAsia="楷体_GB2312"/>
          <w:b/>
          <w:sz w:val="28"/>
          <w:szCs w:val="28"/>
          <w:highlight w:val="none"/>
        </w:rPr>
      </w:pPr>
      <w:r>
        <w:rPr>
          <w:rFonts w:ascii="Times New Roman" w:hAnsi="Times New Roman" w:eastAsia="楷体_GB2312"/>
          <w:b/>
          <w:sz w:val="28"/>
          <w:szCs w:val="28"/>
          <w:highlight w:val="none"/>
        </w:rPr>
        <w:t>（五）内业提交情况</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满分10分。养护单位应安排专职人员负责养护信息化系统管理工作，要求</w:t>
      </w:r>
      <w:r>
        <w:rPr>
          <w:rFonts w:hint="eastAsia" w:ascii="Times New Roman" w:hAnsi="Times New Roman" w:eastAsia="仿宋_GB2312"/>
          <w:sz w:val="28"/>
          <w:szCs w:val="28"/>
          <w:highlight w:val="none"/>
        </w:rPr>
        <w:t>在</w:t>
      </w:r>
      <w:r>
        <w:rPr>
          <w:rFonts w:ascii="Times New Roman" w:hAnsi="Times New Roman" w:eastAsia="仿宋_GB2312"/>
          <w:sz w:val="28"/>
          <w:szCs w:val="28"/>
          <w:highlight w:val="none"/>
        </w:rPr>
        <w:t>信息化平台</w:t>
      </w:r>
      <w:r>
        <w:rPr>
          <w:rFonts w:hint="eastAsia" w:ascii="Times New Roman" w:hAnsi="Times New Roman" w:eastAsia="仿宋_GB2312"/>
          <w:sz w:val="28"/>
          <w:szCs w:val="28"/>
          <w:highlight w:val="none"/>
        </w:rPr>
        <w:t>上</w:t>
      </w:r>
      <w:r>
        <w:rPr>
          <w:rFonts w:ascii="Times New Roman" w:hAnsi="Times New Roman" w:eastAsia="仿宋_GB2312"/>
          <w:sz w:val="28"/>
          <w:szCs w:val="28"/>
          <w:highlight w:val="none"/>
        </w:rPr>
        <w:t>按时</w:t>
      </w:r>
      <w:r>
        <w:rPr>
          <w:rFonts w:hint="eastAsia" w:ascii="Times New Roman" w:hAnsi="Times New Roman" w:eastAsia="仿宋_GB2312"/>
          <w:sz w:val="28"/>
          <w:szCs w:val="28"/>
          <w:highlight w:val="none"/>
        </w:rPr>
        <w:t>提交</w:t>
      </w:r>
      <w:r>
        <w:rPr>
          <w:rFonts w:ascii="Times New Roman" w:hAnsi="Times New Roman" w:eastAsia="仿宋_GB2312"/>
          <w:sz w:val="28"/>
          <w:szCs w:val="28"/>
          <w:highlight w:val="none"/>
        </w:rPr>
        <w:t>年度、月度内业资料，主要内业资料目录详见附</w:t>
      </w:r>
      <w:r>
        <w:rPr>
          <w:rFonts w:hint="eastAsia" w:ascii="Times New Roman" w:hAnsi="Times New Roman" w:eastAsia="仿宋_GB2312"/>
          <w:sz w:val="28"/>
          <w:szCs w:val="28"/>
          <w:highlight w:val="none"/>
        </w:rPr>
        <w:t>表一</w:t>
      </w:r>
      <w:r>
        <w:rPr>
          <w:rFonts w:ascii="Times New Roman" w:hAnsi="Times New Roman" w:eastAsia="仿宋_GB2312"/>
          <w:sz w:val="28"/>
          <w:szCs w:val="28"/>
          <w:highlight w:val="none"/>
        </w:rPr>
        <w:t>，若未提交</w:t>
      </w:r>
      <w:r>
        <w:rPr>
          <w:rFonts w:hint="eastAsia" w:ascii="Times New Roman" w:hAnsi="Times New Roman" w:eastAsia="仿宋_GB2312"/>
          <w:sz w:val="28"/>
          <w:szCs w:val="28"/>
          <w:highlight w:val="none"/>
        </w:rPr>
        <w:t>每项扣1分</w:t>
      </w:r>
      <w:r>
        <w:rPr>
          <w:rFonts w:ascii="Times New Roman" w:hAnsi="Times New Roman" w:eastAsia="仿宋_GB2312"/>
          <w:sz w:val="28"/>
          <w:szCs w:val="28"/>
          <w:highlight w:val="none"/>
        </w:rPr>
        <w:t>，</w:t>
      </w:r>
      <w:r>
        <w:rPr>
          <w:rFonts w:hint="eastAsia" w:ascii="Times New Roman" w:hAnsi="Times New Roman" w:eastAsia="仿宋_GB2312"/>
          <w:sz w:val="28"/>
          <w:szCs w:val="28"/>
          <w:highlight w:val="none"/>
        </w:rPr>
        <w:t>若提交材料内容不符要求酌情予以扣分，每项最多扣1分，上述</w:t>
      </w:r>
      <w:r>
        <w:rPr>
          <w:rFonts w:ascii="Times New Roman" w:hAnsi="Times New Roman" w:eastAsia="仿宋_GB2312"/>
          <w:sz w:val="28"/>
          <w:szCs w:val="28"/>
          <w:highlight w:val="none"/>
        </w:rPr>
        <w:t>扣完为止。</w:t>
      </w:r>
    </w:p>
    <w:p>
      <w:pPr>
        <w:spacing w:line="600" w:lineRule="exact"/>
        <w:ind w:firstLine="562" w:firstLineChars="200"/>
        <w:rPr>
          <w:rFonts w:ascii="Times New Roman" w:hAnsi="Times New Roman" w:eastAsia="黑体"/>
          <w:b/>
          <w:sz w:val="28"/>
          <w:szCs w:val="28"/>
          <w:highlight w:val="none"/>
        </w:rPr>
      </w:pPr>
      <w:r>
        <w:rPr>
          <w:rFonts w:ascii="Times New Roman" w:hAnsi="Times New Roman" w:eastAsia="黑体"/>
          <w:b/>
          <w:sz w:val="28"/>
          <w:szCs w:val="28"/>
          <w:highlight w:val="none"/>
        </w:rPr>
        <w:t>二、定性考核（40分）</w:t>
      </w:r>
    </w:p>
    <w:p>
      <w:pPr>
        <w:spacing w:line="600" w:lineRule="exact"/>
        <w:ind w:firstLine="562" w:firstLineChars="200"/>
        <w:rPr>
          <w:rFonts w:ascii="Times New Roman" w:hAnsi="Times New Roman" w:eastAsia="楷体_GB2312"/>
          <w:b/>
          <w:sz w:val="28"/>
          <w:szCs w:val="28"/>
          <w:highlight w:val="none"/>
        </w:rPr>
      </w:pPr>
      <w:r>
        <w:rPr>
          <w:rFonts w:ascii="Times New Roman" w:hAnsi="Times New Roman" w:eastAsia="楷体_GB2312"/>
          <w:b/>
          <w:sz w:val="28"/>
          <w:szCs w:val="28"/>
          <w:highlight w:val="none"/>
        </w:rPr>
        <w:t>（一）清洁程度</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满分15分。所有设施设备应保持良好的清洁程度，每处不合格扣1分，扣完为止。具体要求如下：</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1</w:t>
      </w:r>
      <w:r>
        <w:rPr>
          <w:rFonts w:hint="eastAsia" w:ascii="Times New Roman" w:hAnsi="Times New Roman" w:eastAsia="仿宋_GB2312"/>
          <w:sz w:val="28"/>
          <w:szCs w:val="28"/>
          <w:highlight w:val="none"/>
        </w:rPr>
        <w:t>、</w:t>
      </w:r>
      <w:r>
        <w:rPr>
          <w:rFonts w:ascii="Times New Roman" w:hAnsi="Times New Roman" w:eastAsia="仿宋_GB2312"/>
          <w:sz w:val="28"/>
          <w:szCs w:val="28"/>
          <w:highlight w:val="none"/>
        </w:rPr>
        <w:t>道路：</w:t>
      </w:r>
      <w:r>
        <w:rPr>
          <w:rFonts w:hint="eastAsia" w:ascii="Times New Roman" w:hAnsi="Times New Roman" w:eastAsia="仿宋_GB2312"/>
          <w:sz w:val="28"/>
          <w:szCs w:val="28"/>
          <w:highlight w:val="none"/>
        </w:rPr>
        <w:t xml:space="preserve">车行道内无垃圾杂物，如有每处扣1分； </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2</w:t>
      </w:r>
      <w:r>
        <w:rPr>
          <w:rFonts w:hint="eastAsia" w:ascii="Times New Roman" w:hAnsi="Times New Roman" w:eastAsia="仿宋_GB2312"/>
          <w:sz w:val="28"/>
          <w:szCs w:val="28"/>
          <w:highlight w:val="none"/>
        </w:rPr>
        <w:t>、</w:t>
      </w:r>
      <w:r>
        <w:rPr>
          <w:rFonts w:ascii="Times New Roman" w:hAnsi="Times New Roman" w:eastAsia="仿宋_GB2312"/>
          <w:sz w:val="28"/>
          <w:szCs w:val="28"/>
          <w:highlight w:val="none"/>
        </w:rPr>
        <w:t>桥梁：设施无明显污垢、无明显积尘、油漆鲜明，包括但不限于：隔离设施、伸缩缝、龙门架、声屏障、防撞墙、桥铭牌（中环高架除外）、限载牌、防眩板、扶手、栏杆等，每发现3处扣1分。</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3</w:t>
      </w:r>
      <w:r>
        <w:rPr>
          <w:rFonts w:hint="eastAsia" w:ascii="Times New Roman" w:hAnsi="Times New Roman" w:eastAsia="仿宋_GB2312"/>
          <w:sz w:val="28"/>
          <w:szCs w:val="28"/>
          <w:highlight w:val="none"/>
        </w:rPr>
        <w:t>、</w:t>
      </w:r>
      <w:r>
        <w:rPr>
          <w:rFonts w:ascii="Times New Roman" w:hAnsi="Times New Roman" w:eastAsia="仿宋_GB2312"/>
          <w:sz w:val="28"/>
          <w:szCs w:val="28"/>
          <w:highlight w:val="none"/>
        </w:rPr>
        <w:t>隧道：设施无明显污垢、无明显灰尘、无垃圾杂物，包括但不限于：龙门架、横截沟、防撞墙、声屏障、反光隔离柱、各类板材（搪瓷板、防火板）、栏杆、人防门、应急电话牌、电箱盖、景观灯、监控室、变电所、泵房等，每发现3处扣1分。</w:t>
      </w:r>
    </w:p>
    <w:p>
      <w:pPr>
        <w:spacing w:line="600" w:lineRule="exact"/>
        <w:ind w:firstLine="562" w:firstLineChars="200"/>
        <w:rPr>
          <w:rFonts w:ascii="Times New Roman" w:hAnsi="Times New Roman" w:eastAsia="楷体_GB2312"/>
          <w:b/>
          <w:sz w:val="28"/>
          <w:szCs w:val="28"/>
          <w:highlight w:val="none"/>
        </w:rPr>
      </w:pPr>
      <w:r>
        <w:rPr>
          <w:rFonts w:ascii="Times New Roman" w:hAnsi="Times New Roman" w:eastAsia="楷体_GB2312"/>
          <w:b/>
          <w:sz w:val="28"/>
          <w:szCs w:val="28"/>
          <w:highlight w:val="none"/>
        </w:rPr>
        <w:t>（二）病害情况</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满分15分。城市道路养护应及时消除路面、桥梁、隧道、其他设施等病害，保证道路通行安全。若因特殊原因出现未处治情况，需进行说明，由监理单位进行审核。根据《城镇道路养护技术规范》（CJJ36）、《城市桥梁养护技术标准》（CJJ99）、《隧道养护技术规程》（DG/TJ08-2175）和各设施养护的实际情况，具体评分细则如下：</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1</w:t>
      </w:r>
      <w:r>
        <w:rPr>
          <w:rFonts w:hint="eastAsia" w:ascii="Times New Roman" w:hAnsi="Times New Roman" w:eastAsia="仿宋_GB2312"/>
          <w:sz w:val="28"/>
          <w:szCs w:val="28"/>
          <w:highlight w:val="none"/>
        </w:rPr>
        <w:t>、</w:t>
      </w:r>
      <w:r>
        <w:rPr>
          <w:rFonts w:ascii="Times New Roman" w:hAnsi="Times New Roman" w:eastAsia="仿宋_GB2312"/>
          <w:sz w:val="28"/>
          <w:szCs w:val="28"/>
          <w:highlight w:val="none"/>
        </w:rPr>
        <w:t>道路：路面无明显裂缝、无坑槽、无局部变形，灌缝与修补平整、边缘整齐、无二次损坏，每处不合格扣1分，扣完为止；</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2</w:t>
      </w:r>
      <w:r>
        <w:rPr>
          <w:rFonts w:hint="eastAsia" w:ascii="Times New Roman" w:hAnsi="Times New Roman" w:eastAsia="仿宋_GB2312"/>
          <w:sz w:val="28"/>
          <w:szCs w:val="28"/>
          <w:highlight w:val="none"/>
        </w:rPr>
        <w:t>、</w:t>
      </w:r>
      <w:r>
        <w:rPr>
          <w:rFonts w:ascii="Times New Roman" w:hAnsi="Times New Roman" w:eastAsia="仿宋_GB2312"/>
          <w:sz w:val="28"/>
          <w:szCs w:val="28"/>
          <w:highlight w:val="none"/>
        </w:rPr>
        <w:t>桥梁：主体结构完好，混凝土构件无明显开裂、无明显剥落、无缺损、无松动、不露筋、无锈蚀，钢构件无缺损、无松动、面漆鲜明无剥落、无锈蚀；声屏障、伸缩缝等附属设施完好无损，排水设施畅通，强弱电设备完好，每处不合格扣1分，扣完为止；</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3</w:t>
      </w:r>
      <w:r>
        <w:rPr>
          <w:rFonts w:hint="eastAsia" w:ascii="Times New Roman" w:hAnsi="Times New Roman" w:eastAsia="仿宋_GB2312"/>
          <w:sz w:val="28"/>
          <w:szCs w:val="28"/>
          <w:highlight w:val="none"/>
        </w:rPr>
        <w:t>、</w:t>
      </w:r>
      <w:r>
        <w:rPr>
          <w:rFonts w:ascii="Times New Roman" w:hAnsi="Times New Roman" w:eastAsia="仿宋_GB2312"/>
          <w:sz w:val="28"/>
          <w:szCs w:val="28"/>
          <w:highlight w:val="none"/>
        </w:rPr>
        <w:t>隧道：主体结构完好，混凝土构件无明显开裂剥落、无缺损、无松动、不露筋、无锈蚀；钢结构设施无缺损、无松动、面漆鲜明无剥落、无锈蚀；机电设施完好，各类设备运行正常，无损坏，每处不合格扣1分，扣完为止。</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4</w:t>
      </w:r>
      <w:r>
        <w:rPr>
          <w:rFonts w:hint="eastAsia" w:ascii="Times New Roman" w:hAnsi="Times New Roman" w:eastAsia="仿宋_GB2312"/>
          <w:sz w:val="28"/>
          <w:szCs w:val="28"/>
          <w:highlight w:val="none"/>
        </w:rPr>
        <w:t>、</w:t>
      </w:r>
      <w:r>
        <w:rPr>
          <w:rFonts w:ascii="Times New Roman" w:hAnsi="Times New Roman" w:eastAsia="仿宋_GB2312"/>
          <w:sz w:val="28"/>
          <w:szCs w:val="28"/>
          <w:highlight w:val="none"/>
        </w:rPr>
        <w:t>其他设施：参照对应附件中外场检查分别对下部保洁、绿化、景观灯光等养护要求，每处不合格扣0.5分，扣完为止。</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打分表详见附表二。</w:t>
      </w:r>
    </w:p>
    <w:p>
      <w:pPr>
        <w:spacing w:line="600" w:lineRule="exact"/>
        <w:ind w:firstLine="562" w:firstLineChars="200"/>
        <w:rPr>
          <w:rFonts w:ascii="Times New Roman" w:hAnsi="Times New Roman" w:eastAsia="楷体_GB2312"/>
          <w:b/>
          <w:sz w:val="28"/>
          <w:szCs w:val="28"/>
          <w:highlight w:val="none"/>
        </w:rPr>
      </w:pPr>
      <w:r>
        <w:rPr>
          <w:rFonts w:ascii="Times New Roman" w:hAnsi="Times New Roman" w:eastAsia="楷体_GB2312"/>
          <w:b/>
          <w:sz w:val="28"/>
          <w:szCs w:val="28"/>
          <w:highlight w:val="none"/>
        </w:rPr>
        <w:t>（三）安全</w:t>
      </w:r>
      <w:r>
        <w:rPr>
          <w:rFonts w:hint="eastAsia" w:ascii="Times New Roman" w:hAnsi="Times New Roman" w:eastAsia="楷体_GB2312"/>
          <w:b/>
          <w:sz w:val="28"/>
          <w:szCs w:val="28"/>
          <w:highlight w:val="none"/>
        </w:rPr>
        <w:t>管理</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满分10分。针对日常养护工作中安全工作方面的具体要求如下：</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1、道路养护现场安全标准化落实情况（5分）</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养护单位日常养护中应严格按照《道路交通标志和标线 第4部分：作业区》（GB 5768.4-2017）、《城市道路养护维修作业安全技术规程》（DG/TJ 08-2183-2015）、《上海市高速公路和快速路养护维修安全作业指南》（沪道运安〔2021〕315号）等相关规范落实安全防范措施。设施负责人或监理单位每月对现场养护安全标准化落实情况进行检查，总分5分，扣完为止。检查考核表详见附表三。</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2、市道运中心安全应急系统填报（1分）</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恶劣天气发生预警信息，需要填报应急物资人员出动情况信息时，养护单位应该规定时间内填报相关信息，未及时填报每次扣0.5分，总分1分，扣完为止。</w:t>
      </w:r>
    </w:p>
    <w:p>
      <w:pPr>
        <w:spacing w:line="560" w:lineRule="exact"/>
        <w:ind w:firstLine="560" w:firstLineChars="200"/>
        <w:rPr>
          <w:rFonts w:ascii="Times New Roman" w:hAnsi="Times New Roman" w:eastAsia="仿宋_GB2312"/>
          <w:sz w:val="28"/>
          <w:szCs w:val="28"/>
          <w:highlight w:val="none"/>
        </w:rPr>
      </w:pPr>
      <w:bookmarkStart w:id="13" w:name="OLE_LINK1"/>
      <w:bookmarkStart w:id="14" w:name="OLE_LINK2"/>
      <w:r>
        <w:rPr>
          <w:rFonts w:hint="eastAsia" w:ascii="Times New Roman" w:hAnsi="Times New Roman" w:eastAsia="仿宋_GB2312"/>
          <w:sz w:val="28"/>
          <w:szCs w:val="28"/>
          <w:highlight w:val="none"/>
        </w:rPr>
        <w:t>3、安全文件宣贯及学习，安全内业资料（2分）</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养护单位对于中心下发的安全文件要对全体人员及时进行宣贯，并组织学习，并形成记录。安全内业资料需按《上海市道路运输事业发展中心安全管理工作基础台账》“沪道运事安（2020）12号”进行编制归档，文件宣贯少一份扣0.5分，内业资料不符合基础台账要求扣0.5分，总分2分，扣完为止。</w:t>
      </w:r>
    </w:p>
    <w:bookmarkEnd w:id="13"/>
    <w:bookmarkEnd w:id="14"/>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4</w:t>
      </w:r>
      <w:r>
        <w:rPr>
          <w:rFonts w:hint="eastAsia" w:ascii="Times New Roman" w:hAnsi="Times New Roman" w:eastAsia="仿宋_GB2312"/>
          <w:sz w:val="28"/>
          <w:szCs w:val="28"/>
          <w:highlight w:val="none"/>
        </w:rPr>
        <w:t>、养护基地管理（2分）</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养护单位日常养护做好管理中心及应急基地的管理。使用桥下空间的需符合《上海市道路桥梁桥下空间内设施设置准则》；设施负责人或监理单位每月对现场养护安全标准化落实情况进行检查，总分2分，扣完为止。检查考核表详见附表四。</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5、安全生产事故</w:t>
      </w:r>
    </w:p>
    <w:p>
      <w:pPr>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养护单位要确保主体设施、附属设施运行安全，无安全隐患。日常养护项目、专项整治项目、养护基地不得发生安全生产事故。发生单次有责事故造成1人及以上死亡的扣10分，单次有责事故扣5分；总分10分，扣完为止。</w:t>
      </w:r>
    </w:p>
    <w:p>
      <w:pPr>
        <w:spacing w:line="600" w:lineRule="exact"/>
        <w:ind w:firstLine="562" w:firstLineChars="200"/>
        <w:rPr>
          <w:rFonts w:ascii="Times New Roman" w:hAnsi="Times New Roman" w:eastAsia="黑体"/>
          <w:b/>
          <w:sz w:val="28"/>
          <w:szCs w:val="28"/>
          <w:highlight w:val="none"/>
        </w:rPr>
      </w:pPr>
      <w:r>
        <w:rPr>
          <w:rFonts w:ascii="Times New Roman" w:hAnsi="Times New Roman" w:eastAsia="黑体"/>
          <w:b/>
          <w:sz w:val="28"/>
          <w:szCs w:val="28"/>
          <w:highlight w:val="none"/>
        </w:rPr>
        <w:t>三、专项评分</w:t>
      </w:r>
    </w:p>
    <w:p>
      <w:pPr>
        <w:spacing w:line="600" w:lineRule="exact"/>
        <w:ind w:firstLine="562" w:firstLineChars="200"/>
        <w:rPr>
          <w:rFonts w:ascii="Times New Roman" w:hAnsi="Times New Roman" w:eastAsia="楷体_GB2312"/>
          <w:b/>
          <w:sz w:val="28"/>
          <w:szCs w:val="28"/>
          <w:highlight w:val="none"/>
        </w:rPr>
      </w:pPr>
      <w:r>
        <w:rPr>
          <w:rFonts w:ascii="Times New Roman" w:hAnsi="Times New Roman" w:eastAsia="楷体_GB2312"/>
          <w:b/>
          <w:sz w:val="28"/>
          <w:szCs w:val="28"/>
          <w:highlight w:val="none"/>
        </w:rPr>
        <w:t>（一）专项扣分</w:t>
      </w:r>
    </w:p>
    <w:p>
      <w:pPr>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发生下列情况之一的，在月度考核的基础上另行扣除专项分数</w:t>
      </w:r>
      <w:r>
        <w:rPr>
          <w:rFonts w:hint="eastAsia" w:ascii="Times New Roman" w:hAnsi="Times New Roman" w:eastAsia="仿宋_GB2312"/>
          <w:sz w:val="28"/>
          <w:szCs w:val="28"/>
          <w:highlight w:val="none"/>
        </w:rPr>
        <w:t>，详见下表。</w:t>
      </w:r>
    </w:p>
    <w:p>
      <w:pPr>
        <w:spacing w:before="120" w:beforeLines="50" w:line="600" w:lineRule="exact"/>
        <w:ind w:firstLine="220"/>
        <w:jc w:val="center"/>
        <w:rPr>
          <w:rFonts w:ascii="Times New Roman" w:hAnsi="Times New Roman" w:eastAsia="黑体"/>
          <w:sz w:val="22"/>
          <w:szCs w:val="22"/>
          <w:highlight w:val="none"/>
        </w:rPr>
      </w:pPr>
      <w:r>
        <w:rPr>
          <w:rFonts w:ascii="Times New Roman" w:hAnsi="Times New Roman" w:eastAsia="黑体"/>
          <w:sz w:val="22"/>
          <w:szCs w:val="22"/>
          <w:highlight w:val="none"/>
        </w:rPr>
        <w:t>表</w:t>
      </w:r>
      <w:r>
        <w:rPr>
          <w:rFonts w:ascii="Times New Roman" w:hAnsi="Times New Roman" w:eastAsia="黑体"/>
          <w:sz w:val="22"/>
          <w:szCs w:val="22"/>
          <w:highlight w:val="none"/>
        </w:rPr>
        <w:fldChar w:fldCharType="begin"/>
      </w:r>
      <w:r>
        <w:rPr>
          <w:rFonts w:ascii="Times New Roman" w:hAnsi="Times New Roman" w:eastAsia="黑体"/>
          <w:sz w:val="22"/>
          <w:szCs w:val="22"/>
          <w:highlight w:val="none"/>
        </w:rPr>
        <w:instrText xml:space="preserve"> SEQ 表 \* ARABIC </w:instrText>
      </w:r>
      <w:r>
        <w:rPr>
          <w:rFonts w:ascii="Times New Roman" w:hAnsi="Times New Roman" w:eastAsia="黑体"/>
          <w:sz w:val="22"/>
          <w:szCs w:val="22"/>
          <w:highlight w:val="none"/>
        </w:rPr>
        <w:fldChar w:fldCharType="separate"/>
      </w:r>
      <w:r>
        <w:rPr>
          <w:rFonts w:ascii="Times New Roman" w:hAnsi="Times New Roman" w:eastAsia="黑体"/>
          <w:sz w:val="22"/>
          <w:szCs w:val="22"/>
          <w:highlight w:val="none"/>
        </w:rPr>
        <w:t>1</w:t>
      </w:r>
      <w:r>
        <w:rPr>
          <w:rFonts w:ascii="Times New Roman" w:hAnsi="Times New Roman" w:eastAsia="黑体"/>
          <w:sz w:val="22"/>
          <w:szCs w:val="22"/>
          <w:highlight w:val="none"/>
        </w:rPr>
        <w:fldChar w:fldCharType="end"/>
      </w:r>
      <w:r>
        <w:rPr>
          <w:rFonts w:ascii="Times New Roman" w:hAnsi="Times New Roman" w:eastAsia="黑体"/>
          <w:sz w:val="22"/>
          <w:szCs w:val="22"/>
          <w:highlight w:val="none"/>
        </w:rPr>
        <w:t xml:space="preserve"> 主体设施养护运维月度考核专项扣分表</w:t>
      </w:r>
    </w:p>
    <w:tbl>
      <w:tblPr>
        <w:tblStyle w:val="89"/>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384"/>
        <w:gridCol w:w="5137"/>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vAlign w:val="center"/>
          </w:tcPr>
          <w:p>
            <w:pPr>
              <w:adjustRightInd w:val="0"/>
              <w:snapToGrid w:val="0"/>
              <w:jc w:val="center"/>
              <w:rPr>
                <w:rFonts w:ascii="Times New Roman" w:hAnsi="Times New Roman" w:eastAsia="仿宋_GB2312"/>
                <w:b/>
                <w:bCs/>
                <w:kern w:val="0"/>
                <w:szCs w:val="21"/>
                <w:highlight w:val="none"/>
              </w:rPr>
            </w:pPr>
            <w:r>
              <w:rPr>
                <w:rFonts w:ascii="Times New Roman" w:hAnsi="Times New Roman" w:eastAsia="仿宋_GB2312"/>
                <w:b/>
                <w:bCs/>
                <w:kern w:val="0"/>
                <w:szCs w:val="21"/>
                <w:highlight w:val="none"/>
              </w:rPr>
              <w:t>序号</w:t>
            </w:r>
          </w:p>
        </w:tc>
        <w:tc>
          <w:tcPr>
            <w:tcW w:w="1384" w:type="dxa"/>
            <w:vAlign w:val="center"/>
          </w:tcPr>
          <w:p>
            <w:pPr>
              <w:adjustRightInd w:val="0"/>
              <w:snapToGrid w:val="0"/>
              <w:jc w:val="center"/>
              <w:rPr>
                <w:rFonts w:ascii="Times New Roman" w:hAnsi="Times New Roman" w:eastAsia="仿宋_GB2312"/>
                <w:b/>
                <w:bCs/>
                <w:kern w:val="0"/>
                <w:szCs w:val="21"/>
                <w:highlight w:val="none"/>
              </w:rPr>
            </w:pPr>
            <w:r>
              <w:rPr>
                <w:rFonts w:ascii="Times New Roman" w:hAnsi="Times New Roman" w:eastAsia="仿宋_GB2312"/>
                <w:b/>
                <w:bCs/>
                <w:kern w:val="0"/>
                <w:szCs w:val="21"/>
                <w:highlight w:val="none"/>
              </w:rPr>
              <w:t>分类</w:t>
            </w:r>
          </w:p>
        </w:tc>
        <w:tc>
          <w:tcPr>
            <w:tcW w:w="5137" w:type="dxa"/>
            <w:vAlign w:val="center"/>
          </w:tcPr>
          <w:p>
            <w:pPr>
              <w:adjustRightInd w:val="0"/>
              <w:snapToGrid w:val="0"/>
              <w:jc w:val="center"/>
              <w:rPr>
                <w:rFonts w:ascii="Times New Roman" w:hAnsi="Times New Roman" w:eastAsia="仿宋_GB2312"/>
                <w:b/>
                <w:bCs/>
                <w:kern w:val="0"/>
                <w:szCs w:val="21"/>
                <w:highlight w:val="none"/>
              </w:rPr>
            </w:pPr>
            <w:r>
              <w:rPr>
                <w:rFonts w:ascii="Times New Roman" w:hAnsi="Times New Roman" w:eastAsia="仿宋_GB2312"/>
                <w:b/>
                <w:bCs/>
                <w:kern w:val="0"/>
                <w:szCs w:val="21"/>
                <w:highlight w:val="none"/>
              </w:rPr>
              <w:t>扣分事由</w:t>
            </w:r>
          </w:p>
        </w:tc>
        <w:tc>
          <w:tcPr>
            <w:tcW w:w="1842" w:type="dxa"/>
            <w:vAlign w:val="center"/>
          </w:tcPr>
          <w:p>
            <w:pPr>
              <w:adjustRightInd w:val="0"/>
              <w:snapToGrid w:val="0"/>
              <w:jc w:val="center"/>
              <w:rPr>
                <w:rFonts w:ascii="Times New Roman" w:hAnsi="Times New Roman" w:eastAsia="仿宋_GB2312"/>
                <w:b/>
                <w:bCs/>
                <w:kern w:val="0"/>
                <w:szCs w:val="21"/>
                <w:highlight w:val="none"/>
              </w:rPr>
            </w:pPr>
            <w:r>
              <w:rPr>
                <w:rFonts w:ascii="Times New Roman" w:hAnsi="Times New Roman" w:eastAsia="仿宋_GB2312"/>
                <w:b/>
                <w:bCs/>
                <w:kern w:val="0"/>
                <w:szCs w:val="21"/>
                <w:highlight w:val="none"/>
              </w:rPr>
              <w:t>扣分准则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vAlign w:val="center"/>
          </w:tcPr>
          <w:p>
            <w:pPr>
              <w:adjustRightInd w:val="0"/>
              <w:snapToGrid w:val="0"/>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1</w:t>
            </w:r>
          </w:p>
        </w:tc>
        <w:tc>
          <w:tcPr>
            <w:tcW w:w="1384" w:type="dxa"/>
            <w:vMerge w:val="restart"/>
            <w:vAlign w:val="center"/>
          </w:tcPr>
          <w:p>
            <w:pPr>
              <w:adjustRightInd w:val="0"/>
              <w:snapToGrid w:val="0"/>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管理要求</w:t>
            </w:r>
          </w:p>
          <w:p>
            <w:pPr>
              <w:adjustRightInd w:val="0"/>
              <w:snapToGrid w:val="0"/>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执行</w:t>
            </w:r>
          </w:p>
        </w:tc>
        <w:tc>
          <w:tcPr>
            <w:tcW w:w="5137" w:type="dxa"/>
            <w:vAlign w:val="center"/>
          </w:tcPr>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社会舆论和信访投诉：</w:t>
            </w:r>
          </w:p>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未在规定时间内及时妥善处理人民来信、来电、来访等诉求工单和社会投诉，每次扣2分；</w:t>
            </w:r>
          </w:p>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行业、业主、上级部门点名批评或书面通报，每次扣3分；</w:t>
            </w:r>
          </w:p>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有责并被社会新闻媒体公开负面报道或造成严重舆情影响，每次扣5分。</w:t>
            </w:r>
          </w:p>
        </w:tc>
        <w:tc>
          <w:tcPr>
            <w:tcW w:w="1842" w:type="dxa"/>
            <w:vAlign w:val="center"/>
          </w:tcPr>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每次扣2~5分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vAlign w:val="center"/>
          </w:tcPr>
          <w:p>
            <w:pPr>
              <w:adjustRightInd w:val="0"/>
              <w:snapToGrid w:val="0"/>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2</w:t>
            </w:r>
          </w:p>
        </w:tc>
        <w:tc>
          <w:tcPr>
            <w:tcW w:w="1384" w:type="dxa"/>
            <w:vMerge w:val="continue"/>
            <w:vAlign w:val="center"/>
          </w:tcPr>
          <w:p>
            <w:pPr>
              <w:adjustRightInd w:val="0"/>
              <w:snapToGrid w:val="0"/>
              <w:jc w:val="center"/>
              <w:rPr>
                <w:rFonts w:ascii="Times New Roman" w:hAnsi="Times New Roman" w:eastAsia="仿宋_GB2312"/>
                <w:kern w:val="0"/>
                <w:szCs w:val="21"/>
                <w:highlight w:val="none"/>
              </w:rPr>
            </w:pPr>
          </w:p>
        </w:tc>
        <w:tc>
          <w:tcPr>
            <w:tcW w:w="5137" w:type="dxa"/>
            <w:vAlign w:val="center"/>
          </w:tcPr>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人员车辆和设施资源管理：</w:t>
            </w:r>
          </w:p>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项目管理人员、车辆设备和材料未按招标文件所规定的数量、规格配置到位，每次每项扣1分；</w:t>
            </w:r>
          </w:p>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擅自出租、出借、挪用设施设备和违规使用或侵占附属设施、应标资源，造成恶劣影响，每次扣5分。</w:t>
            </w:r>
          </w:p>
        </w:tc>
        <w:tc>
          <w:tcPr>
            <w:tcW w:w="1842" w:type="dxa"/>
            <w:vAlign w:val="center"/>
          </w:tcPr>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每次扣1~5分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vAlign w:val="center"/>
          </w:tcPr>
          <w:p>
            <w:pPr>
              <w:adjustRightInd w:val="0"/>
              <w:snapToGrid w:val="0"/>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3</w:t>
            </w:r>
          </w:p>
        </w:tc>
        <w:tc>
          <w:tcPr>
            <w:tcW w:w="1384" w:type="dxa"/>
            <w:vMerge w:val="continue"/>
            <w:vAlign w:val="center"/>
          </w:tcPr>
          <w:p>
            <w:pPr>
              <w:adjustRightInd w:val="0"/>
              <w:snapToGrid w:val="0"/>
              <w:jc w:val="center"/>
              <w:rPr>
                <w:rFonts w:ascii="Times New Roman" w:hAnsi="Times New Roman" w:eastAsia="仿宋_GB2312"/>
                <w:kern w:val="0"/>
                <w:szCs w:val="21"/>
                <w:highlight w:val="none"/>
              </w:rPr>
            </w:pPr>
          </w:p>
        </w:tc>
        <w:tc>
          <w:tcPr>
            <w:tcW w:w="5137" w:type="dxa"/>
            <w:vAlign w:val="center"/>
          </w:tcPr>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重要条款响应：</w:t>
            </w:r>
          </w:p>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在网签合同生成后的15日内（国家法定节假日除外），未提交软件版投标报价文件，每次扣2分；</w:t>
            </w:r>
          </w:p>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未严格按照养护资金监管相关管理办法及要求提供相关依据、配合实施请款工作，每次扣2分。</w:t>
            </w:r>
          </w:p>
        </w:tc>
        <w:tc>
          <w:tcPr>
            <w:tcW w:w="1842" w:type="dxa"/>
            <w:vAlign w:val="center"/>
          </w:tcPr>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每次扣2分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vAlign w:val="center"/>
          </w:tcPr>
          <w:p>
            <w:pPr>
              <w:adjustRightInd w:val="0"/>
              <w:snapToGrid w:val="0"/>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4</w:t>
            </w:r>
          </w:p>
        </w:tc>
        <w:tc>
          <w:tcPr>
            <w:tcW w:w="1384" w:type="dxa"/>
            <w:vMerge w:val="continue"/>
            <w:vAlign w:val="center"/>
          </w:tcPr>
          <w:p>
            <w:pPr>
              <w:adjustRightInd w:val="0"/>
              <w:snapToGrid w:val="0"/>
              <w:jc w:val="center"/>
              <w:rPr>
                <w:rFonts w:ascii="Times New Roman" w:hAnsi="Times New Roman" w:eastAsia="仿宋_GB2312"/>
                <w:kern w:val="0"/>
                <w:szCs w:val="21"/>
                <w:highlight w:val="none"/>
              </w:rPr>
            </w:pPr>
          </w:p>
        </w:tc>
        <w:tc>
          <w:tcPr>
            <w:tcW w:w="5137" w:type="dxa"/>
            <w:vAlign w:val="center"/>
          </w:tcPr>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智慧化工作推进：</w:t>
            </w:r>
          </w:p>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未配置智能巡检设备或智能巡检设备未处于良好运行状态的，每次扣1分；</w:t>
            </w:r>
          </w:p>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未按要求响应落实智慧化、信息化管理工作，由云路或中心发现未按要求报送数据、附件，每次扣2分。</w:t>
            </w:r>
          </w:p>
        </w:tc>
        <w:tc>
          <w:tcPr>
            <w:tcW w:w="1842" w:type="dxa"/>
            <w:vAlign w:val="center"/>
          </w:tcPr>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每次扣1~2分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vAlign w:val="center"/>
          </w:tcPr>
          <w:p>
            <w:pPr>
              <w:adjustRightInd w:val="0"/>
              <w:snapToGrid w:val="0"/>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5</w:t>
            </w:r>
          </w:p>
        </w:tc>
        <w:tc>
          <w:tcPr>
            <w:tcW w:w="1384" w:type="dxa"/>
            <w:vAlign w:val="center"/>
          </w:tcPr>
          <w:p>
            <w:pPr>
              <w:adjustRightInd w:val="0"/>
              <w:snapToGrid w:val="0"/>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养护作业</w:t>
            </w:r>
          </w:p>
        </w:tc>
        <w:tc>
          <w:tcPr>
            <w:tcW w:w="5137" w:type="dxa"/>
            <w:vAlign w:val="center"/>
          </w:tcPr>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对市道运中心委托的第三方单位（专业检测、专业网格化巡查等）发现的问题、病害或缺陷，未及时整改或采取措施，每次扣1分；</w:t>
            </w:r>
          </w:p>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未针对各类检测报告中指出的问题进行有效处置，造成设施病害缺陷加剧、人员财产损失或影响正常通行，每次扣3分。</w:t>
            </w:r>
          </w:p>
        </w:tc>
        <w:tc>
          <w:tcPr>
            <w:tcW w:w="1842" w:type="dxa"/>
            <w:vAlign w:val="center"/>
          </w:tcPr>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每次扣1~3分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vAlign w:val="center"/>
          </w:tcPr>
          <w:p>
            <w:pPr>
              <w:adjustRightInd w:val="0"/>
              <w:snapToGrid w:val="0"/>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6</w:t>
            </w:r>
          </w:p>
        </w:tc>
        <w:tc>
          <w:tcPr>
            <w:tcW w:w="1384" w:type="dxa"/>
            <w:vAlign w:val="center"/>
          </w:tcPr>
          <w:p>
            <w:pPr>
              <w:adjustRightInd w:val="0"/>
              <w:snapToGrid w:val="0"/>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运维保障</w:t>
            </w:r>
          </w:p>
        </w:tc>
        <w:tc>
          <w:tcPr>
            <w:tcW w:w="5137" w:type="dxa"/>
            <w:vAlign w:val="center"/>
          </w:tcPr>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未能按时、保质保量完成重大任务或指令要求，每次扣3分；</w:t>
            </w:r>
          </w:p>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风险隐患、险情或重大事件存在不报、瞒报、误报、处置不力，造成设施人员财产损失或严重影响交通运行，每次扣3分。</w:t>
            </w:r>
          </w:p>
        </w:tc>
        <w:tc>
          <w:tcPr>
            <w:tcW w:w="1842" w:type="dxa"/>
            <w:vAlign w:val="center"/>
          </w:tcPr>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每次扣3分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vAlign w:val="center"/>
          </w:tcPr>
          <w:p>
            <w:pPr>
              <w:adjustRightInd w:val="0"/>
              <w:snapToGrid w:val="0"/>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7</w:t>
            </w:r>
          </w:p>
        </w:tc>
        <w:tc>
          <w:tcPr>
            <w:tcW w:w="1384" w:type="dxa"/>
            <w:vAlign w:val="center"/>
          </w:tcPr>
          <w:p>
            <w:pPr>
              <w:adjustRightInd w:val="0"/>
              <w:snapToGrid w:val="0"/>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安全生产和应急处置</w:t>
            </w:r>
          </w:p>
        </w:tc>
        <w:tc>
          <w:tcPr>
            <w:tcW w:w="5137" w:type="dxa"/>
            <w:vAlign w:val="center"/>
          </w:tcPr>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因养护运维作业质量不达标，影响设施运行安全或交通运行、受到行业主管部门严肃批评问责或引起社会舆论反响等，每次扣3分；</w:t>
            </w:r>
          </w:p>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因养护运维管理或作业行为的缺失、违规，造成设施人员财产损失或导致第三方发生安全事故、引起次生灾害，每次扣5分；</w:t>
            </w:r>
          </w:p>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发生有责生产安全事故，造成人员死亡、重伤或致使设施出现重大结构安全隐患，每次扣10分。</w:t>
            </w:r>
          </w:p>
        </w:tc>
        <w:tc>
          <w:tcPr>
            <w:tcW w:w="1842" w:type="dxa"/>
            <w:vAlign w:val="center"/>
          </w:tcPr>
          <w:p>
            <w:pPr>
              <w:adjustRightInd w:val="0"/>
              <w:snapToGrid w:val="0"/>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每次扣3~10分</w:t>
            </w:r>
          </w:p>
        </w:tc>
      </w:tr>
    </w:tbl>
    <w:p>
      <w:pPr>
        <w:spacing w:line="600" w:lineRule="exact"/>
        <w:jc w:val="left"/>
        <w:rPr>
          <w:rFonts w:ascii="Times New Roman" w:hAnsi="Times New Roman"/>
          <w:sz w:val="20"/>
          <w:szCs w:val="20"/>
          <w:highlight w:val="none"/>
        </w:rPr>
      </w:pPr>
    </w:p>
    <w:p>
      <w:pPr>
        <w:spacing w:line="600" w:lineRule="exact"/>
        <w:ind w:firstLine="562" w:firstLineChars="200"/>
        <w:rPr>
          <w:rFonts w:ascii="Times New Roman" w:hAnsi="Times New Roman" w:eastAsia="楷体_GB2312"/>
          <w:b/>
          <w:sz w:val="28"/>
          <w:szCs w:val="28"/>
          <w:highlight w:val="none"/>
        </w:rPr>
      </w:pPr>
      <w:r>
        <w:rPr>
          <w:rFonts w:ascii="Times New Roman" w:hAnsi="Times New Roman" w:eastAsia="楷体_GB2312"/>
          <w:b/>
          <w:sz w:val="28"/>
          <w:szCs w:val="28"/>
          <w:highlight w:val="none"/>
        </w:rPr>
        <w:t>（二）专项加分</w:t>
      </w:r>
    </w:p>
    <w:p>
      <w:pPr>
        <w:spacing w:line="560" w:lineRule="exact"/>
        <w:ind w:firstLine="560" w:firstLineChars="200"/>
        <w:rPr>
          <w:rFonts w:ascii="Times New Roman" w:hAnsi="Times New Roman" w:eastAsia="仿宋_GB2312"/>
          <w:color w:val="FF0000"/>
          <w:sz w:val="28"/>
          <w:szCs w:val="28"/>
          <w:highlight w:val="none"/>
        </w:rPr>
      </w:pPr>
      <w:r>
        <w:rPr>
          <w:rFonts w:ascii="Times New Roman" w:hAnsi="Times New Roman" w:eastAsia="仿宋_GB2312"/>
          <w:sz w:val="28"/>
          <w:szCs w:val="28"/>
          <w:highlight w:val="none"/>
        </w:rPr>
        <w:t>发生下列情况之一的，在月度考核（满分100分）的基础上进行加分，上限为10分。养护单位应在当月月底前主动提供所有加分事项的书面支持文件作为依据，经考评小组认可后方能计入月度加分</w:t>
      </w:r>
      <w:r>
        <w:rPr>
          <w:rFonts w:hint="eastAsia" w:ascii="Times New Roman" w:hAnsi="Times New Roman" w:eastAsia="仿宋_GB2312"/>
          <w:sz w:val="28"/>
          <w:szCs w:val="28"/>
          <w:highlight w:val="none"/>
        </w:rPr>
        <w:t>，详见下表。</w:t>
      </w:r>
    </w:p>
    <w:p>
      <w:pPr>
        <w:spacing w:before="120" w:beforeLines="50" w:line="600" w:lineRule="exact"/>
        <w:ind w:firstLine="220"/>
        <w:jc w:val="center"/>
        <w:rPr>
          <w:rFonts w:ascii="Times New Roman" w:hAnsi="Times New Roman" w:eastAsia="黑体"/>
          <w:sz w:val="22"/>
          <w:szCs w:val="22"/>
          <w:highlight w:val="none"/>
        </w:rPr>
      </w:pPr>
      <w:r>
        <w:rPr>
          <w:rFonts w:ascii="Times New Roman" w:hAnsi="Times New Roman" w:eastAsia="黑体"/>
          <w:sz w:val="22"/>
          <w:szCs w:val="22"/>
          <w:highlight w:val="none"/>
        </w:rPr>
        <w:t xml:space="preserve">表 </w:t>
      </w:r>
      <w:r>
        <w:rPr>
          <w:rFonts w:ascii="Times New Roman" w:hAnsi="Times New Roman" w:eastAsia="黑体"/>
          <w:sz w:val="22"/>
          <w:szCs w:val="22"/>
          <w:highlight w:val="none"/>
        </w:rPr>
        <w:fldChar w:fldCharType="begin"/>
      </w:r>
      <w:r>
        <w:rPr>
          <w:rFonts w:ascii="Times New Roman" w:hAnsi="Times New Roman" w:eastAsia="黑体"/>
          <w:sz w:val="22"/>
          <w:szCs w:val="22"/>
          <w:highlight w:val="none"/>
        </w:rPr>
        <w:instrText xml:space="preserve"> SEQ 表 \* ARABIC </w:instrText>
      </w:r>
      <w:r>
        <w:rPr>
          <w:rFonts w:ascii="Times New Roman" w:hAnsi="Times New Roman" w:eastAsia="黑体"/>
          <w:sz w:val="22"/>
          <w:szCs w:val="22"/>
          <w:highlight w:val="none"/>
        </w:rPr>
        <w:fldChar w:fldCharType="separate"/>
      </w:r>
      <w:r>
        <w:rPr>
          <w:rFonts w:ascii="Times New Roman" w:hAnsi="Times New Roman" w:eastAsia="黑体"/>
          <w:sz w:val="22"/>
          <w:szCs w:val="22"/>
          <w:highlight w:val="none"/>
        </w:rPr>
        <w:t>2</w:t>
      </w:r>
      <w:r>
        <w:rPr>
          <w:rFonts w:ascii="Times New Roman" w:hAnsi="Times New Roman" w:eastAsia="黑体"/>
          <w:sz w:val="22"/>
          <w:szCs w:val="22"/>
          <w:highlight w:val="none"/>
        </w:rPr>
        <w:fldChar w:fldCharType="end"/>
      </w:r>
      <w:r>
        <w:rPr>
          <w:rFonts w:ascii="Times New Roman" w:hAnsi="Times New Roman" w:eastAsia="黑体"/>
          <w:sz w:val="22"/>
          <w:szCs w:val="22"/>
          <w:highlight w:val="none"/>
        </w:rPr>
        <w:t xml:space="preserve"> 主体设施养护运维月度考核专项加分表</w:t>
      </w:r>
    </w:p>
    <w:tbl>
      <w:tblPr>
        <w:tblStyle w:val="89"/>
        <w:tblW w:w="86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1298"/>
        <w:gridCol w:w="4657"/>
        <w:gridCol w:w="2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pPr>
              <w:jc w:val="center"/>
              <w:rPr>
                <w:rFonts w:ascii="Times New Roman" w:hAnsi="Times New Roman" w:eastAsia="仿宋_GB2312"/>
                <w:b/>
                <w:bCs/>
                <w:kern w:val="0"/>
                <w:szCs w:val="21"/>
                <w:highlight w:val="none"/>
              </w:rPr>
            </w:pPr>
            <w:r>
              <w:rPr>
                <w:rFonts w:ascii="Times New Roman" w:hAnsi="Times New Roman" w:eastAsia="仿宋_GB2312"/>
                <w:b/>
                <w:bCs/>
                <w:kern w:val="0"/>
                <w:szCs w:val="21"/>
                <w:highlight w:val="none"/>
              </w:rPr>
              <w:t>序号</w:t>
            </w:r>
          </w:p>
        </w:tc>
        <w:tc>
          <w:tcPr>
            <w:tcW w:w="1298" w:type="dxa"/>
            <w:vAlign w:val="center"/>
          </w:tcPr>
          <w:p>
            <w:pPr>
              <w:jc w:val="center"/>
              <w:rPr>
                <w:rFonts w:ascii="Times New Roman" w:hAnsi="Times New Roman" w:eastAsia="仿宋_GB2312"/>
                <w:b/>
                <w:bCs/>
                <w:kern w:val="0"/>
                <w:szCs w:val="21"/>
                <w:highlight w:val="none"/>
              </w:rPr>
            </w:pPr>
            <w:r>
              <w:rPr>
                <w:rFonts w:ascii="Times New Roman" w:hAnsi="Times New Roman" w:eastAsia="仿宋_GB2312"/>
                <w:b/>
                <w:bCs/>
                <w:kern w:val="0"/>
                <w:szCs w:val="21"/>
                <w:highlight w:val="none"/>
              </w:rPr>
              <w:t>分类</w:t>
            </w:r>
          </w:p>
        </w:tc>
        <w:tc>
          <w:tcPr>
            <w:tcW w:w="4657" w:type="dxa"/>
            <w:vAlign w:val="center"/>
          </w:tcPr>
          <w:p>
            <w:pPr>
              <w:jc w:val="center"/>
              <w:rPr>
                <w:rFonts w:ascii="Times New Roman" w:hAnsi="Times New Roman" w:eastAsia="仿宋_GB2312"/>
                <w:b/>
                <w:bCs/>
                <w:kern w:val="0"/>
                <w:szCs w:val="21"/>
                <w:highlight w:val="none"/>
              </w:rPr>
            </w:pPr>
            <w:r>
              <w:rPr>
                <w:rFonts w:ascii="Times New Roman" w:hAnsi="Times New Roman" w:eastAsia="仿宋_GB2312"/>
                <w:b/>
                <w:bCs/>
                <w:kern w:val="0"/>
                <w:szCs w:val="21"/>
                <w:highlight w:val="none"/>
              </w:rPr>
              <w:t>加分事由</w:t>
            </w:r>
          </w:p>
        </w:tc>
        <w:tc>
          <w:tcPr>
            <w:tcW w:w="2045" w:type="dxa"/>
            <w:vAlign w:val="center"/>
          </w:tcPr>
          <w:p>
            <w:pPr>
              <w:jc w:val="center"/>
              <w:rPr>
                <w:rFonts w:ascii="Times New Roman" w:hAnsi="Times New Roman" w:eastAsia="仿宋_GB2312"/>
                <w:b/>
                <w:bCs/>
                <w:kern w:val="0"/>
                <w:szCs w:val="21"/>
                <w:highlight w:val="none"/>
              </w:rPr>
            </w:pPr>
            <w:r>
              <w:rPr>
                <w:rFonts w:ascii="Times New Roman" w:hAnsi="Times New Roman" w:eastAsia="仿宋_GB2312"/>
                <w:b/>
                <w:bCs/>
                <w:kern w:val="0"/>
                <w:szCs w:val="21"/>
                <w:highlight w:val="none"/>
              </w:rPr>
              <w:t>加分准则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1</w:t>
            </w:r>
          </w:p>
        </w:tc>
        <w:tc>
          <w:tcPr>
            <w:tcW w:w="1298" w:type="dxa"/>
            <w:vMerge w:val="restart"/>
            <w:vAlign w:val="center"/>
          </w:tcPr>
          <w:p>
            <w:pPr>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宣传与公众服务</w:t>
            </w:r>
          </w:p>
        </w:tc>
        <w:tc>
          <w:tcPr>
            <w:tcW w:w="4657"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通讯稿被上海市道运中心微信公众号或其它新闻媒介采纳发布。</w:t>
            </w:r>
          </w:p>
        </w:tc>
        <w:tc>
          <w:tcPr>
            <w:tcW w:w="2045"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每次加2分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2</w:t>
            </w:r>
          </w:p>
        </w:tc>
        <w:tc>
          <w:tcPr>
            <w:tcW w:w="1298" w:type="dxa"/>
            <w:vMerge w:val="continue"/>
            <w:vAlign w:val="center"/>
          </w:tcPr>
          <w:p>
            <w:pPr>
              <w:jc w:val="center"/>
              <w:rPr>
                <w:rFonts w:ascii="Times New Roman" w:hAnsi="Times New Roman" w:eastAsia="仿宋_GB2312"/>
                <w:kern w:val="0"/>
                <w:szCs w:val="21"/>
                <w:highlight w:val="none"/>
              </w:rPr>
            </w:pPr>
          </w:p>
        </w:tc>
        <w:tc>
          <w:tcPr>
            <w:tcW w:w="4657"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妥善处理人民来信、来电、来访等诉求工单和社会投诉，被录用至热线处置工单优秀案例。</w:t>
            </w:r>
          </w:p>
        </w:tc>
        <w:tc>
          <w:tcPr>
            <w:tcW w:w="2045"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每次加2分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3</w:t>
            </w:r>
          </w:p>
        </w:tc>
        <w:tc>
          <w:tcPr>
            <w:tcW w:w="1298" w:type="dxa"/>
            <w:vMerge w:val="restart"/>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行业示范带头作用</w:t>
            </w:r>
          </w:p>
        </w:tc>
        <w:tc>
          <w:tcPr>
            <w:tcW w:w="4657"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当月在各类专项评比中获奖。</w:t>
            </w:r>
          </w:p>
        </w:tc>
        <w:tc>
          <w:tcPr>
            <w:tcW w:w="2045"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一等奖每项加3分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二等奖每项加2分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三等奖每项加1分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4</w:t>
            </w:r>
          </w:p>
        </w:tc>
        <w:tc>
          <w:tcPr>
            <w:tcW w:w="1298" w:type="dxa"/>
            <w:vMerge w:val="continue"/>
            <w:vAlign w:val="center"/>
          </w:tcPr>
          <w:p>
            <w:pPr>
              <w:jc w:val="left"/>
              <w:rPr>
                <w:rFonts w:ascii="Times New Roman" w:hAnsi="Times New Roman" w:eastAsia="仿宋_GB2312"/>
                <w:kern w:val="0"/>
                <w:szCs w:val="21"/>
                <w:highlight w:val="none"/>
              </w:rPr>
            </w:pPr>
          </w:p>
        </w:tc>
        <w:tc>
          <w:tcPr>
            <w:tcW w:w="4657"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养护设施获得市级或行业级奖项。</w:t>
            </w:r>
          </w:p>
        </w:tc>
        <w:tc>
          <w:tcPr>
            <w:tcW w:w="2045"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市级每项加5分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行业级每项加3分</w:t>
            </w:r>
          </w:p>
        </w:tc>
      </w:tr>
    </w:tbl>
    <w:p>
      <w:pPr>
        <w:spacing w:line="600" w:lineRule="exact"/>
        <w:jc w:val="left"/>
        <w:rPr>
          <w:rFonts w:ascii="Times New Roman" w:hAnsi="Times New Roman"/>
          <w:szCs w:val="21"/>
          <w:highlight w:val="none"/>
        </w:rPr>
      </w:pPr>
    </w:p>
    <w:p>
      <w:pPr>
        <w:widowControl/>
        <w:spacing w:after="180" w:line="259" w:lineRule="auto"/>
        <w:jc w:val="left"/>
        <w:rPr>
          <w:rFonts w:ascii="Times New Roman" w:hAnsi="Times New Roman"/>
          <w:szCs w:val="21"/>
          <w:highlight w:val="none"/>
        </w:rPr>
      </w:pPr>
      <w:r>
        <w:rPr>
          <w:rFonts w:ascii="Times New Roman" w:hAnsi="Times New Roman"/>
          <w:szCs w:val="21"/>
          <w:highlight w:val="none"/>
        </w:rPr>
        <w:br w:type="page"/>
      </w:r>
    </w:p>
    <w:p>
      <w:pPr>
        <w:jc w:val="left"/>
        <w:rPr>
          <w:rFonts w:ascii="Times New Roman" w:hAnsi="Times New Roman" w:eastAsia="华文中宋"/>
          <w:b/>
          <w:sz w:val="28"/>
          <w:szCs w:val="28"/>
          <w:highlight w:val="none"/>
        </w:rPr>
      </w:pPr>
      <w:r>
        <w:rPr>
          <w:rFonts w:ascii="Times New Roman" w:hAnsi="Times New Roman" w:eastAsia="华文中宋"/>
          <w:b/>
          <w:sz w:val="28"/>
          <w:szCs w:val="28"/>
          <w:highlight w:val="none"/>
        </w:rPr>
        <w:t>附</w:t>
      </w:r>
      <w:r>
        <w:rPr>
          <w:rFonts w:hint="eastAsia" w:ascii="Times New Roman" w:hAnsi="Times New Roman" w:eastAsia="华文中宋"/>
          <w:b/>
          <w:sz w:val="28"/>
          <w:szCs w:val="28"/>
          <w:highlight w:val="none"/>
        </w:rPr>
        <w:t>表一</w:t>
      </w:r>
      <w:r>
        <w:rPr>
          <w:rFonts w:ascii="Times New Roman" w:hAnsi="Times New Roman" w:eastAsia="华文中宋"/>
          <w:b/>
          <w:sz w:val="28"/>
          <w:szCs w:val="28"/>
          <w:highlight w:val="none"/>
        </w:rPr>
        <w:t>：</w:t>
      </w:r>
    </w:p>
    <w:p>
      <w:pPr>
        <w:spacing w:after="120" w:afterLines="50" w:line="600" w:lineRule="exact"/>
        <w:jc w:val="center"/>
        <w:rPr>
          <w:rFonts w:ascii="Times New Roman" w:hAnsi="Times New Roman" w:eastAsia="华文中宋"/>
          <w:b/>
          <w:sz w:val="32"/>
          <w:szCs w:val="32"/>
          <w:highlight w:val="none"/>
        </w:rPr>
      </w:pPr>
      <w:r>
        <w:rPr>
          <w:rFonts w:ascii="Times New Roman" w:hAnsi="Times New Roman" w:eastAsia="华文中宋"/>
          <w:b/>
          <w:sz w:val="32"/>
          <w:szCs w:val="32"/>
          <w:highlight w:val="none"/>
        </w:rPr>
        <w:t>市管城市道路主体设施养护运维</w:t>
      </w:r>
      <w:r>
        <w:rPr>
          <w:rFonts w:ascii="Times New Roman" w:hAnsi="Times New Roman" w:eastAsia="华文中宋"/>
          <w:b/>
          <w:color w:val="000000"/>
          <w:sz w:val="32"/>
          <w:szCs w:val="32"/>
          <w:highlight w:val="none"/>
        </w:rPr>
        <w:t>主要</w:t>
      </w:r>
      <w:r>
        <w:rPr>
          <w:rFonts w:ascii="Times New Roman" w:hAnsi="Times New Roman" w:eastAsia="华文中宋"/>
          <w:b/>
          <w:sz w:val="32"/>
          <w:szCs w:val="32"/>
          <w:highlight w:val="none"/>
        </w:rPr>
        <w:t>内业资料清单</w:t>
      </w:r>
    </w:p>
    <w:tbl>
      <w:tblPr>
        <w:tblStyle w:val="88"/>
        <w:tblW w:w="8180" w:type="dxa"/>
        <w:jc w:val="center"/>
        <w:tblLayout w:type="fixed"/>
        <w:tblCellMar>
          <w:top w:w="0" w:type="dxa"/>
          <w:left w:w="108" w:type="dxa"/>
          <w:bottom w:w="0" w:type="dxa"/>
          <w:right w:w="108" w:type="dxa"/>
        </w:tblCellMar>
      </w:tblPr>
      <w:tblGrid>
        <w:gridCol w:w="766"/>
        <w:gridCol w:w="1976"/>
        <w:gridCol w:w="1843"/>
        <w:gridCol w:w="1078"/>
        <w:gridCol w:w="1747"/>
        <w:gridCol w:w="770"/>
      </w:tblGrid>
      <w:tr>
        <w:tblPrEx>
          <w:tblCellMar>
            <w:top w:w="0" w:type="dxa"/>
            <w:left w:w="108" w:type="dxa"/>
            <w:bottom w:w="0" w:type="dxa"/>
            <w:right w:w="108" w:type="dxa"/>
          </w:tblCellMar>
        </w:tblPrEx>
        <w:trPr>
          <w:trHeight w:val="567" w:hRule="atLeast"/>
          <w:tblHeader/>
          <w:jc w:val="center"/>
        </w:trPr>
        <w:tc>
          <w:tcPr>
            <w:tcW w:w="8180" w:type="dxa"/>
            <w:gridSpan w:val="6"/>
            <w:tcBorders>
              <w:top w:val="single" w:color="000000" w:sz="8" w:space="0"/>
              <w:left w:val="single" w:color="000000" w:sz="8" w:space="0"/>
              <w:bottom w:val="single" w:color="000000" w:sz="8" w:space="0"/>
              <w:right w:val="single" w:color="000000" w:sz="8" w:space="0"/>
            </w:tcBorders>
            <w:vAlign w:val="center"/>
          </w:tcPr>
          <w:p>
            <w:pPr>
              <w:widowControl/>
              <w:ind w:firstLine="211"/>
              <w:jc w:val="center"/>
              <w:textAlignment w:val="center"/>
              <w:rPr>
                <w:rFonts w:ascii="Times New Roman" w:hAnsi="Times New Roman" w:eastAsia="仿宋_GB2312"/>
                <w:b/>
                <w:bCs/>
                <w:kern w:val="0"/>
                <w:szCs w:val="21"/>
                <w:highlight w:val="none"/>
              </w:rPr>
            </w:pPr>
            <w:r>
              <w:rPr>
                <w:rFonts w:hint="eastAsia" w:ascii="Times New Roman" w:hAnsi="Times New Roman" w:eastAsia="仿宋_GB2312"/>
                <w:b/>
                <w:bCs/>
                <w:kern w:val="0"/>
                <w:szCs w:val="21"/>
                <w:highlight w:val="none"/>
              </w:rPr>
              <w:t>高架/市管桥梁/附属设施养护运维主要内业资料清单</w:t>
            </w:r>
          </w:p>
        </w:tc>
      </w:tr>
      <w:tr>
        <w:tblPrEx>
          <w:tblCellMar>
            <w:top w:w="0" w:type="dxa"/>
            <w:left w:w="108" w:type="dxa"/>
            <w:bottom w:w="0" w:type="dxa"/>
            <w:right w:w="108" w:type="dxa"/>
          </w:tblCellMar>
        </w:tblPrEx>
        <w:trPr>
          <w:trHeight w:val="567" w:hRule="atLeast"/>
          <w:tblHeader/>
          <w:jc w:val="center"/>
        </w:trPr>
        <w:tc>
          <w:tcPr>
            <w:tcW w:w="766"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序号</w:t>
            </w:r>
          </w:p>
        </w:tc>
        <w:tc>
          <w:tcPr>
            <w:tcW w:w="1976"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审核文件</w:t>
            </w:r>
          </w:p>
        </w:tc>
        <w:tc>
          <w:tcPr>
            <w:tcW w:w="1843"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支持文件</w:t>
            </w:r>
          </w:p>
        </w:tc>
        <w:tc>
          <w:tcPr>
            <w:tcW w:w="1078"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提交时间</w:t>
            </w:r>
          </w:p>
        </w:tc>
        <w:tc>
          <w:tcPr>
            <w:tcW w:w="1747"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时间说明</w:t>
            </w:r>
          </w:p>
        </w:tc>
        <w:tc>
          <w:tcPr>
            <w:tcW w:w="770"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备注</w:t>
            </w:r>
          </w:p>
        </w:tc>
      </w:tr>
      <w:tr>
        <w:tblPrEx>
          <w:tblCellMar>
            <w:top w:w="0" w:type="dxa"/>
            <w:left w:w="108" w:type="dxa"/>
            <w:bottom w:w="0" w:type="dxa"/>
            <w:right w:w="108" w:type="dxa"/>
          </w:tblCellMar>
        </w:tblPrEx>
        <w:trPr>
          <w:trHeight w:val="567" w:hRule="atLeast"/>
          <w:jc w:val="center"/>
        </w:trPr>
        <w:tc>
          <w:tcPr>
            <w:tcW w:w="81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一、项目管理基本资料</w:t>
            </w: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w:t>
            </w:r>
          </w:p>
        </w:tc>
        <w:tc>
          <w:tcPr>
            <w:tcW w:w="1976"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年度运行养护大纲（计划）方案</w:t>
            </w:r>
          </w:p>
        </w:tc>
        <w:tc>
          <w:tcPr>
            <w:tcW w:w="1843"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078"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747"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770"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2</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占路、掘路封道意见书</w:t>
            </w:r>
          </w:p>
        </w:tc>
        <w:tc>
          <w:tcPr>
            <w:tcW w:w="1843"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3</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项目经理任命书</w:t>
            </w:r>
          </w:p>
        </w:tc>
        <w:tc>
          <w:tcPr>
            <w:tcW w:w="1843"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4</w:t>
            </w:r>
          </w:p>
        </w:tc>
        <w:tc>
          <w:tcPr>
            <w:tcW w:w="1976" w:type="dxa"/>
            <w:vMerge w:val="restart"/>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分包单位情况</w:t>
            </w:r>
          </w:p>
        </w:tc>
        <w:tc>
          <w:tcPr>
            <w:tcW w:w="184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汇总表</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5</w:t>
            </w:r>
          </w:p>
        </w:tc>
        <w:tc>
          <w:tcPr>
            <w:tcW w:w="1976"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84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资格报审、合同</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6</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养护机械设备台账及相关合格证</w:t>
            </w:r>
          </w:p>
        </w:tc>
        <w:tc>
          <w:tcPr>
            <w:tcW w:w="184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清扫车、巡视车、洒水车、登高车、吊车等</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kern w:val="0"/>
                <w:szCs w:val="21"/>
                <w:highlight w:val="none"/>
                <w:lang w:bidi="ar"/>
              </w:rPr>
            </w:pPr>
            <w:r>
              <w:rPr>
                <w:rFonts w:ascii="Times New Roman" w:hAnsi="Times New Roman" w:eastAsia="仿宋_GB2312"/>
                <w:color w:val="000000"/>
                <w:kern w:val="0"/>
                <w:szCs w:val="21"/>
                <w:highlight w:val="none"/>
                <w:lang w:bidi="ar"/>
              </w:rPr>
              <w:t>7</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kern w:val="0"/>
                <w:szCs w:val="21"/>
                <w:highlight w:val="none"/>
                <w:lang w:bidi="ar"/>
              </w:rPr>
            </w:pPr>
            <w:r>
              <w:rPr>
                <w:rFonts w:ascii="Times New Roman" w:hAnsi="Times New Roman" w:eastAsia="仿宋_GB2312"/>
                <w:color w:val="000000"/>
                <w:kern w:val="0"/>
                <w:szCs w:val="21"/>
                <w:highlight w:val="none"/>
                <w:lang w:bidi="ar"/>
              </w:rPr>
              <w:t>主要材料供应单位汇总台帐</w:t>
            </w:r>
          </w:p>
        </w:tc>
        <w:tc>
          <w:tcPr>
            <w:tcW w:w="184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Times New Roman" w:hAnsi="Times New Roman" w:eastAsia="仿宋_GB2312"/>
                <w:color w:val="000000"/>
                <w:kern w:val="0"/>
                <w:szCs w:val="21"/>
                <w:highlight w:val="none"/>
                <w:lang w:bidi="ar"/>
              </w:rPr>
            </w:pPr>
            <w:r>
              <w:rPr>
                <w:rFonts w:ascii="Times New Roman" w:hAnsi="Times New Roman" w:eastAsia="仿宋_GB2312"/>
                <w:color w:val="000000"/>
                <w:kern w:val="0"/>
                <w:szCs w:val="21"/>
                <w:highlight w:val="none"/>
                <w:lang w:bidi="ar"/>
              </w:rPr>
              <w:t>涂料、防眩屏、声屏障、聚合物砂浆等</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kern w:val="0"/>
                <w:szCs w:val="21"/>
                <w:highlight w:val="none"/>
                <w:lang w:bidi="ar"/>
              </w:rPr>
            </w:pPr>
            <w:r>
              <w:rPr>
                <w:rFonts w:ascii="Times New Roman" w:hAnsi="Times New Roman" w:eastAsia="仿宋_GB2312"/>
                <w:color w:val="000000"/>
                <w:kern w:val="0"/>
                <w:szCs w:val="21"/>
                <w:highlight w:val="none"/>
                <w:lang w:bidi="ar"/>
              </w:rPr>
              <w:t>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kern w:val="0"/>
                <w:szCs w:val="21"/>
                <w:highlight w:val="none"/>
                <w:lang w:bidi="ar"/>
              </w:rPr>
            </w:pPr>
            <w:r>
              <w:rPr>
                <w:rFonts w:ascii="Times New Roman" w:hAnsi="Times New Roman" w:eastAsia="仿宋_GB2312"/>
                <w:color w:val="000000"/>
                <w:kern w:val="0"/>
                <w:szCs w:val="21"/>
                <w:highlight w:val="none"/>
                <w:lang w:bidi="ar"/>
              </w:rPr>
              <w:t>月初15日前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8</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年度日常养护工作计划</w:t>
            </w:r>
          </w:p>
        </w:tc>
        <w:tc>
          <w:tcPr>
            <w:tcW w:w="184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年度</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9</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年度日常养护综合报告</w:t>
            </w:r>
          </w:p>
        </w:tc>
        <w:tc>
          <w:tcPr>
            <w:tcW w:w="1843"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12月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10</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设施量汇总清单</w:t>
            </w:r>
          </w:p>
        </w:tc>
        <w:tc>
          <w:tcPr>
            <w:tcW w:w="1843"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12月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81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二、养护过程管理资料</w:t>
            </w: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业主、监理指令回复记录</w:t>
            </w:r>
          </w:p>
        </w:tc>
        <w:tc>
          <w:tcPr>
            <w:tcW w:w="1843"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078"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w:t>
            </w:r>
          </w:p>
        </w:tc>
        <w:tc>
          <w:tcPr>
            <w:tcW w:w="1747"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70"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2</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月度日常养护工作计划</w:t>
            </w:r>
          </w:p>
        </w:tc>
        <w:tc>
          <w:tcPr>
            <w:tcW w:w="1843"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3</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月度养护运行工作小结</w:t>
            </w:r>
          </w:p>
        </w:tc>
        <w:tc>
          <w:tcPr>
            <w:tcW w:w="1843"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4</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媒体曝光、人民来信投诉处理月度汇总</w:t>
            </w:r>
          </w:p>
        </w:tc>
        <w:tc>
          <w:tcPr>
            <w:tcW w:w="1843"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5</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经常性检查记录</w:t>
            </w:r>
          </w:p>
        </w:tc>
        <w:tc>
          <w:tcPr>
            <w:tcW w:w="1843"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szCs w:val="21"/>
                <w:highlight w:val="none"/>
              </w:rPr>
            </w:pP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szCs w:val="21"/>
                <w:highlight w:val="none"/>
              </w:rPr>
            </w:pPr>
          </w:p>
        </w:tc>
      </w:tr>
      <w:tr>
        <w:tblPrEx>
          <w:tblCellMar>
            <w:top w:w="0" w:type="dxa"/>
            <w:left w:w="108" w:type="dxa"/>
            <w:bottom w:w="0" w:type="dxa"/>
            <w:right w:w="108" w:type="dxa"/>
          </w:tblCellMar>
        </w:tblPrEx>
        <w:trPr>
          <w:trHeight w:val="567" w:hRule="atLeast"/>
          <w:jc w:val="center"/>
        </w:trPr>
        <w:tc>
          <w:tcPr>
            <w:tcW w:w="81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三、安全管理资料</w:t>
            </w: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应急预案</w:t>
            </w:r>
          </w:p>
        </w:tc>
        <w:tc>
          <w:tcPr>
            <w:tcW w:w="184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应急预案（含各类）</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2</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应急演练方案及后评估</w:t>
            </w:r>
          </w:p>
        </w:tc>
        <w:tc>
          <w:tcPr>
            <w:tcW w:w="184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应急演练方案（含各类）</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3月、6月、9月、12月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szCs w:val="21"/>
                <w:highlight w:val="none"/>
              </w:rPr>
            </w:pPr>
          </w:p>
        </w:tc>
      </w:tr>
      <w:tr>
        <w:tblPrEx>
          <w:tblCellMar>
            <w:top w:w="0" w:type="dxa"/>
            <w:left w:w="108" w:type="dxa"/>
            <w:bottom w:w="0" w:type="dxa"/>
            <w:right w:w="108" w:type="dxa"/>
          </w:tblCellMar>
        </w:tblPrEx>
        <w:trPr>
          <w:trHeight w:val="567" w:hRule="atLeast"/>
          <w:jc w:val="center"/>
        </w:trPr>
        <w:tc>
          <w:tcPr>
            <w:tcW w:w="81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四、专项资料</w:t>
            </w: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w:t>
            </w:r>
          </w:p>
        </w:tc>
        <w:tc>
          <w:tcPr>
            <w:tcW w:w="1976" w:type="dxa"/>
            <w:vMerge w:val="restart"/>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专项资料</w:t>
            </w:r>
          </w:p>
        </w:tc>
        <w:tc>
          <w:tcPr>
            <w:tcW w:w="184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专项计划汇总表（运中心批复）</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2</w:t>
            </w:r>
          </w:p>
        </w:tc>
        <w:tc>
          <w:tcPr>
            <w:tcW w:w="1976"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84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专项方案（含设计）</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3</w:t>
            </w:r>
          </w:p>
        </w:tc>
        <w:tc>
          <w:tcPr>
            <w:tcW w:w="1976"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84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财务监理审核意见</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70" w:type="dxa"/>
            <w:tcBorders>
              <w:top w:val="nil"/>
              <w:left w:val="single" w:color="000000" w:sz="8" w:space="0"/>
              <w:bottom w:val="single" w:color="000000" w:sz="8" w:space="0"/>
              <w:right w:val="single" w:color="000000" w:sz="8" w:space="0"/>
            </w:tcBorders>
            <w:vAlign w:val="center"/>
          </w:tcPr>
          <w:p>
            <w:pPr>
              <w:ind w:firstLine="220"/>
              <w:jc w:val="center"/>
              <w:rPr>
                <w:rFonts w:ascii="Times New Roman" w:hAnsi="Times New Roman"/>
                <w:color w:val="000000"/>
                <w:szCs w:val="21"/>
                <w:highlight w:val="none"/>
              </w:rPr>
            </w:pPr>
          </w:p>
        </w:tc>
      </w:tr>
    </w:tbl>
    <w:p>
      <w:pPr>
        <w:spacing w:line="600" w:lineRule="exact"/>
        <w:ind w:firstLine="360"/>
        <w:jc w:val="center"/>
        <w:rPr>
          <w:rFonts w:ascii="Times New Roman" w:hAnsi="Times New Roman" w:eastAsia="华文中宋"/>
          <w:b/>
          <w:sz w:val="36"/>
          <w:szCs w:val="36"/>
          <w:highlight w:val="none"/>
        </w:rPr>
      </w:pPr>
    </w:p>
    <w:tbl>
      <w:tblPr>
        <w:tblStyle w:val="88"/>
        <w:tblW w:w="8280" w:type="dxa"/>
        <w:jc w:val="center"/>
        <w:tblLayout w:type="fixed"/>
        <w:tblCellMar>
          <w:top w:w="0" w:type="dxa"/>
          <w:left w:w="108" w:type="dxa"/>
          <w:bottom w:w="0" w:type="dxa"/>
          <w:right w:w="108" w:type="dxa"/>
        </w:tblCellMar>
      </w:tblPr>
      <w:tblGrid>
        <w:gridCol w:w="718"/>
        <w:gridCol w:w="2099"/>
        <w:gridCol w:w="1921"/>
        <w:gridCol w:w="1179"/>
        <w:gridCol w:w="1639"/>
        <w:gridCol w:w="724"/>
      </w:tblGrid>
      <w:tr>
        <w:tblPrEx>
          <w:tblCellMar>
            <w:top w:w="0" w:type="dxa"/>
            <w:left w:w="108" w:type="dxa"/>
            <w:bottom w:w="0" w:type="dxa"/>
            <w:right w:w="108" w:type="dxa"/>
          </w:tblCellMar>
        </w:tblPrEx>
        <w:trPr>
          <w:trHeight w:val="567" w:hRule="atLeast"/>
          <w:tblHeader/>
          <w:jc w:val="center"/>
        </w:trPr>
        <w:tc>
          <w:tcPr>
            <w:tcW w:w="8280" w:type="dxa"/>
            <w:gridSpan w:val="6"/>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kern w:val="0"/>
                <w:szCs w:val="21"/>
                <w:highlight w:val="none"/>
                <w:lang w:bidi="ar"/>
              </w:rPr>
            </w:pPr>
            <w:r>
              <w:rPr>
                <w:rFonts w:hint="eastAsia" w:ascii="Times New Roman" w:hAnsi="Times New Roman" w:eastAsia="仿宋_GB2312"/>
                <w:b/>
                <w:bCs/>
                <w:kern w:val="0"/>
                <w:szCs w:val="21"/>
                <w:highlight w:val="none"/>
              </w:rPr>
              <w:t>越江大桥设施养护运维主要内业资料清单</w:t>
            </w:r>
          </w:p>
        </w:tc>
      </w:tr>
      <w:tr>
        <w:tblPrEx>
          <w:tblCellMar>
            <w:top w:w="0" w:type="dxa"/>
            <w:left w:w="108" w:type="dxa"/>
            <w:bottom w:w="0" w:type="dxa"/>
            <w:right w:w="108" w:type="dxa"/>
          </w:tblCellMar>
        </w:tblPrEx>
        <w:trPr>
          <w:trHeight w:val="567" w:hRule="atLeast"/>
          <w:tblHeader/>
          <w:jc w:val="center"/>
        </w:trPr>
        <w:tc>
          <w:tcPr>
            <w:tcW w:w="718"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序号</w:t>
            </w:r>
          </w:p>
        </w:tc>
        <w:tc>
          <w:tcPr>
            <w:tcW w:w="209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审核文件</w:t>
            </w:r>
          </w:p>
        </w:tc>
        <w:tc>
          <w:tcPr>
            <w:tcW w:w="192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支持文件</w:t>
            </w:r>
          </w:p>
        </w:tc>
        <w:tc>
          <w:tcPr>
            <w:tcW w:w="117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提交时间</w:t>
            </w:r>
          </w:p>
        </w:tc>
        <w:tc>
          <w:tcPr>
            <w:tcW w:w="163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时间说明</w:t>
            </w:r>
          </w:p>
        </w:tc>
        <w:tc>
          <w:tcPr>
            <w:tcW w:w="724"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备注</w:t>
            </w:r>
          </w:p>
        </w:tc>
      </w:tr>
      <w:tr>
        <w:tblPrEx>
          <w:tblCellMar>
            <w:top w:w="0" w:type="dxa"/>
            <w:left w:w="108" w:type="dxa"/>
            <w:bottom w:w="0" w:type="dxa"/>
            <w:right w:w="108" w:type="dxa"/>
          </w:tblCellMar>
        </w:tblPrEx>
        <w:trPr>
          <w:trHeight w:val="567" w:hRule="atLeast"/>
          <w:jc w:val="center"/>
        </w:trPr>
        <w:tc>
          <w:tcPr>
            <w:tcW w:w="82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一、项目管理基本资料</w:t>
            </w: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w:t>
            </w:r>
          </w:p>
        </w:tc>
        <w:tc>
          <w:tcPr>
            <w:tcW w:w="209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年度运行养护大纲（计划）方案</w:t>
            </w:r>
          </w:p>
        </w:tc>
        <w:tc>
          <w:tcPr>
            <w:tcW w:w="1921"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17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63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724"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2</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占路、掘路封道意见书</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3</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项目经理任命书</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4</w:t>
            </w:r>
          </w:p>
        </w:tc>
        <w:tc>
          <w:tcPr>
            <w:tcW w:w="2099" w:type="dxa"/>
            <w:vMerge w:val="restart"/>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分包单位情况</w:t>
            </w: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汇总表</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5</w:t>
            </w:r>
          </w:p>
        </w:tc>
        <w:tc>
          <w:tcPr>
            <w:tcW w:w="2099"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资格报审、合同</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6</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养护机械设备台账及相关合格证</w:t>
            </w:r>
          </w:p>
        </w:tc>
        <w:tc>
          <w:tcPr>
            <w:tcW w:w="1921"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清扫车、巡视车、洒水车、登高车、吊车等</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kern w:val="0"/>
                <w:szCs w:val="21"/>
                <w:highlight w:val="none"/>
                <w:lang w:bidi="ar"/>
              </w:rPr>
            </w:pPr>
            <w:r>
              <w:rPr>
                <w:rFonts w:ascii="Times New Roman" w:hAnsi="Times New Roman" w:eastAsia="仿宋_GB2312"/>
                <w:color w:val="000000"/>
                <w:kern w:val="0"/>
                <w:szCs w:val="21"/>
                <w:highlight w:val="none"/>
                <w:lang w:bidi="ar"/>
              </w:rPr>
              <w:t>7</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kern w:val="0"/>
                <w:szCs w:val="21"/>
                <w:highlight w:val="none"/>
                <w:lang w:bidi="ar"/>
              </w:rPr>
            </w:pPr>
            <w:r>
              <w:rPr>
                <w:rFonts w:ascii="Times New Roman" w:hAnsi="Times New Roman" w:eastAsia="仿宋_GB2312"/>
                <w:color w:val="000000"/>
                <w:kern w:val="0"/>
                <w:szCs w:val="21"/>
                <w:highlight w:val="none"/>
                <w:lang w:bidi="ar"/>
              </w:rPr>
              <w:t>主要材料供应单位汇总台帐</w:t>
            </w:r>
          </w:p>
        </w:tc>
        <w:tc>
          <w:tcPr>
            <w:tcW w:w="1921"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涂料、防眩屏、声屏障、聚合物砂浆等</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kern w:val="0"/>
                <w:szCs w:val="21"/>
                <w:highlight w:val="none"/>
                <w:lang w:bidi="ar"/>
              </w:rPr>
            </w:pPr>
            <w:r>
              <w:rPr>
                <w:rFonts w:ascii="Times New Roman" w:hAnsi="Times New Roman" w:eastAsia="仿宋_GB2312"/>
                <w:color w:val="000000"/>
                <w:kern w:val="0"/>
                <w:szCs w:val="21"/>
                <w:highlight w:val="none"/>
                <w:lang w:bidi="ar"/>
              </w:rPr>
              <w:t>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kern w:val="0"/>
                <w:szCs w:val="21"/>
                <w:highlight w:val="none"/>
                <w:lang w:bidi="ar"/>
              </w:rPr>
            </w:pPr>
            <w:r>
              <w:rPr>
                <w:rFonts w:ascii="Times New Roman" w:hAnsi="Times New Roman" w:eastAsia="仿宋_GB2312"/>
                <w:color w:val="000000"/>
                <w:kern w:val="0"/>
                <w:szCs w:val="21"/>
                <w:highlight w:val="none"/>
                <w:lang w:bidi="ar"/>
              </w:rPr>
              <w:t>月初15日前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8</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年度日常养护工作计划</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9</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年度日常养护综合报告</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12月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10</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设施量汇总清单</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12月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82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二、养护过程管理资料</w:t>
            </w: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w:t>
            </w:r>
          </w:p>
        </w:tc>
        <w:tc>
          <w:tcPr>
            <w:tcW w:w="209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大桥、隧道维修运营设施状况统计表</w:t>
            </w:r>
          </w:p>
        </w:tc>
        <w:tc>
          <w:tcPr>
            <w:tcW w:w="1921"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17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w:t>
            </w:r>
          </w:p>
        </w:tc>
        <w:tc>
          <w:tcPr>
            <w:tcW w:w="163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24"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2</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业主、监理指令回复记录</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3</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月度日常养护、运行工作计划</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4</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媒体曝光、人民来信投诉处理月度汇总</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5</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经常性检查记录</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szCs w:val="21"/>
                <w:highlight w:val="none"/>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szCs w:val="21"/>
                <w:highlight w:val="none"/>
              </w:rPr>
            </w:pPr>
          </w:p>
        </w:tc>
      </w:tr>
      <w:tr>
        <w:tblPrEx>
          <w:tblCellMar>
            <w:top w:w="0" w:type="dxa"/>
            <w:left w:w="108" w:type="dxa"/>
            <w:bottom w:w="0" w:type="dxa"/>
            <w:right w:w="108" w:type="dxa"/>
          </w:tblCellMar>
        </w:tblPrEx>
        <w:trPr>
          <w:trHeight w:val="567" w:hRule="atLeast"/>
          <w:jc w:val="center"/>
        </w:trPr>
        <w:tc>
          <w:tcPr>
            <w:tcW w:w="82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三、安全管理资料</w:t>
            </w: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应急预案</w:t>
            </w: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应急预案（含各类）</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2</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应急演练方案及后评估</w:t>
            </w: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应急演练方案（含各类）</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3月、6月、9月、12月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szCs w:val="21"/>
                <w:highlight w:val="none"/>
              </w:rPr>
            </w:pPr>
          </w:p>
        </w:tc>
      </w:tr>
      <w:tr>
        <w:tblPrEx>
          <w:tblCellMar>
            <w:top w:w="0" w:type="dxa"/>
            <w:left w:w="108" w:type="dxa"/>
            <w:bottom w:w="0" w:type="dxa"/>
            <w:right w:w="108" w:type="dxa"/>
          </w:tblCellMar>
        </w:tblPrEx>
        <w:trPr>
          <w:trHeight w:val="567" w:hRule="atLeast"/>
          <w:jc w:val="center"/>
        </w:trPr>
        <w:tc>
          <w:tcPr>
            <w:tcW w:w="82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四、检查检测资料</w:t>
            </w: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w:t>
            </w:r>
          </w:p>
        </w:tc>
        <w:tc>
          <w:tcPr>
            <w:tcW w:w="2099" w:type="dxa"/>
            <w:vMerge w:val="restart"/>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检查检测</w:t>
            </w: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防雷检测</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5月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2</w:t>
            </w:r>
          </w:p>
        </w:tc>
        <w:tc>
          <w:tcPr>
            <w:tcW w:w="2099"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高压安全用绝缘具检测</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10月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3</w:t>
            </w:r>
          </w:p>
        </w:tc>
        <w:tc>
          <w:tcPr>
            <w:tcW w:w="2099"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电气试验/继电保护检测</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10月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4</w:t>
            </w:r>
          </w:p>
        </w:tc>
        <w:tc>
          <w:tcPr>
            <w:tcW w:w="2099"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szCs w:val="21"/>
                <w:highlight w:val="none"/>
              </w:rPr>
            </w:pP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特种设备检测</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10月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highlight w:val="none"/>
              </w:rPr>
            </w:pPr>
            <w:r>
              <w:rPr>
                <w:rFonts w:ascii="Times New Roman" w:hAnsi="Times New Roman" w:eastAsia="仿宋_GB2312"/>
                <w:color w:val="000000"/>
                <w:kern w:val="0"/>
                <w:szCs w:val="21"/>
                <w:highlight w:val="none"/>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szCs w:val="21"/>
                <w:highlight w:val="none"/>
              </w:rPr>
            </w:pPr>
          </w:p>
        </w:tc>
      </w:tr>
      <w:tr>
        <w:tblPrEx>
          <w:tblCellMar>
            <w:top w:w="0" w:type="dxa"/>
            <w:left w:w="108" w:type="dxa"/>
            <w:bottom w:w="0" w:type="dxa"/>
            <w:right w:w="108" w:type="dxa"/>
          </w:tblCellMar>
        </w:tblPrEx>
        <w:trPr>
          <w:trHeight w:val="567" w:hRule="atLeast"/>
          <w:jc w:val="center"/>
        </w:trPr>
        <w:tc>
          <w:tcPr>
            <w:tcW w:w="82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五、专项资料</w:t>
            </w: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w:t>
            </w:r>
          </w:p>
        </w:tc>
        <w:tc>
          <w:tcPr>
            <w:tcW w:w="2099" w:type="dxa"/>
            <w:vMerge w:val="restart"/>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专项资料</w:t>
            </w: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专项计划汇总表</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2</w:t>
            </w:r>
          </w:p>
        </w:tc>
        <w:tc>
          <w:tcPr>
            <w:tcW w:w="2099"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专项方案（含设计）</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3</w:t>
            </w:r>
          </w:p>
        </w:tc>
        <w:tc>
          <w:tcPr>
            <w:tcW w:w="2099"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财务监理审核意见</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color w:val="000000"/>
                <w:szCs w:val="21"/>
                <w:highlight w:val="none"/>
              </w:rPr>
            </w:pPr>
          </w:p>
        </w:tc>
      </w:tr>
    </w:tbl>
    <w:p>
      <w:pPr>
        <w:spacing w:line="600" w:lineRule="exact"/>
        <w:ind w:firstLine="360"/>
        <w:jc w:val="center"/>
        <w:rPr>
          <w:rFonts w:ascii="Times New Roman" w:hAnsi="Times New Roman" w:eastAsia="华文中宋"/>
          <w:b/>
          <w:sz w:val="36"/>
          <w:szCs w:val="36"/>
          <w:highlight w:val="none"/>
        </w:rPr>
      </w:pPr>
    </w:p>
    <w:p>
      <w:pPr>
        <w:spacing w:line="600" w:lineRule="exact"/>
        <w:ind w:firstLine="360"/>
        <w:jc w:val="center"/>
        <w:rPr>
          <w:rFonts w:ascii="Times New Roman" w:hAnsi="Times New Roman" w:eastAsia="华文中宋"/>
          <w:b/>
          <w:sz w:val="36"/>
          <w:szCs w:val="36"/>
          <w:highlight w:val="none"/>
        </w:rPr>
      </w:pPr>
    </w:p>
    <w:tbl>
      <w:tblPr>
        <w:tblStyle w:val="88"/>
        <w:tblW w:w="8300" w:type="dxa"/>
        <w:jc w:val="center"/>
        <w:tblLayout w:type="autofit"/>
        <w:tblCellMar>
          <w:top w:w="0" w:type="dxa"/>
          <w:left w:w="108" w:type="dxa"/>
          <w:bottom w:w="0" w:type="dxa"/>
          <w:right w:w="108" w:type="dxa"/>
        </w:tblCellMar>
      </w:tblPr>
      <w:tblGrid>
        <w:gridCol w:w="685"/>
        <w:gridCol w:w="2140"/>
        <w:gridCol w:w="1902"/>
        <w:gridCol w:w="1323"/>
        <w:gridCol w:w="1561"/>
        <w:gridCol w:w="689"/>
      </w:tblGrid>
      <w:tr>
        <w:tblPrEx>
          <w:tblCellMar>
            <w:top w:w="0" w:type="dxa"/>
            <w:left w:w="108" w:type="dxa"/>
            <w:bottom w:w="0" w:type="dxa"/>
            <w:right w:w="108" w:type="dxa"/>
          </w:tblCellMar>
        </w:tblPrEx>
        <w:trPr>
          <w:trHeight w:val="567" w:hRule="atLeast"/>
          <w:tblHeader/>
          <w:jc w:val="center"/>
        </w:trPr>
        <w:tc>
          <w:tcPr>
            <w:tcW w:w="8300" w:type="dxa"/>
            <w:gridSpan w:val="6"/>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kern w:val="0"/>
                <w:szCs w:val="21"/>
                <w:highlight w:val="none"/>
                <w:lang w:bidi="ar"/>
              </w:rPr>
            </w:pPr>
            <w:r>
              <w:rPr>
                <w:rFonts w:hint="eastAsia" w:ascii="Times New Roman" w:hAnsi="Times New Roman" w:eastAsia="仿宋_GB2312"/>
                <w:b/>
                <w:bCs/>
                <w:kern w:val="0"/>
                <w:szCs w:val="21"/>
                <w:highlight w:val="none"/>
              </w:rPr>
              <w:t>隧/地道设施养护运维主要内业资料清单</w:t>
            </w:r>
          </w:p>
        </w:tc>
      </w:tr>
      <w:tr>
        <w:tblPrEx>
          <w:tblCellMar>
            <w:top w:w="0" w:type="dxa"/>
            <w:left w:w="108" w:type="dxa"/>
            <w:bottom w:w="0" w:type="dxa"/>
            <w:right w:w="108" w:type="dxa"/>
          </w:tblCellMar>
        </w:tblPrEx>
        <w:trPr>
          <w:trHeight w:val="567" w:hRule="atLeast"/>
          <w:tblHeader/>
          <w:jc w:val="center"/>
        </w:trPr>
        <w:tc>
          <w:tcPr>
            <w:tcW w:w="685"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序号</w:t>
            </w:r>
          </w:p>
        </w:tc>
        <w:tc>
          <w:tcPr>
            <w:tcW w:w="2140"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审核文件</w:t>
            </w:r>
          </w:p>
        </w:tc>
        <w:tc>
          <w:tcPr>
            <w:tcW w:w="1902"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支持文件</w:t>
            </w:r>
          </w:p>
        </w:tc>
        <w:tc>
          <w:tcPr>
            <w:tcW w:w="1323"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提交时间</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养护单位拟提交时间</w:t>
            </w:r>
          </w:p>
        </w:tc>
        <w:tc>
          <w:tcPr>
            <w:tcW w:w="68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highlight w:val="none"/>
              </w:rPr>
            </w:pPr>
            <w:r>
              <w:rPr>
                <w:rFonts w:ascii="Times New Roman" w:hAnsi="Times New Roman" w:eastAsia="仿宋_GB2312"/>
                <w:b/>
                <w:bCs/>
                <w:color w:val="000000"/>
                <w:kern w:val="0"/>
                <w:szCs w:val="21"/>
                <w:highlight w:val="none"/>
                <w:lang w:bidi="ar"/>
              </w:rPr>
              <w:t>备注</w:t>
            </w:r>
          </w:p>
        </w:tc>
      </w:tr>
      <w:tr>
        <w:tblPrEx>
          <w:tblCellMar>
            <w:top w:w="0" w:type="dxa"/>
            <w:left w:w="108" w:type="dxa"/>
            <w:bottom w:w="0" w:type="dxa"/>
            <w:right w:w="108" w:type="dxa"/>
          </w:tblCellMar>
        </w:tblPrEx>
        <w:trPr>
          <w:trHeight w:val="567" w:hRule="atLeast"/>
          <w:jc w:val="center"/>
        </w:trPr>
        <w:tc>
          <w:tcPr>
            <w:tcW w:w="830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一、项目管理基本资料</w:t>
            </w: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w:t>
            </w:r>
          </w:p>
        </w:tc>
        <w:tc>
          <w:tcPr>
            <w:tcW w:w="2140"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年度运行养护大纲（计划）方案</w:t>
            </w:r>
          </w:p>
        </w:tc>
        <w:tc>
          <w:tcPr>
            <w:tcW w:w="1902"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323"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689"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2</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占路、掘路封道意见书</w:t>
            </w:r>
          </w:p>
        </w:tc>
        <w:tc>
          <w:tcPr>
            <w:tcW w:w="1902"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3</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项目经理任命书</w:t>
            </w:r>
          </w:p>
        </w:tc>
        <w:tc>
          <w:tcPr>
            <w:tcW w:w="1902"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4</w:t>
            </w:r>
          </w:p>
        </w:tc>
        <w:tc>
          <w:tcPr>
            <w:tcW w:w="2140" w:type="dxa"/>
            <w:vMerge w:val="restart"/>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分包单位情况</w:t>
            </w:r>
          </w:p>
        </w:tc>
        <w:tc>
          <w:tcPr>
            <w:tcW w:w="190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汇总表</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5</w:t>
            </w:r>
          </w:p>
        </w:tc>
        <w:tc>
          <w:tcPr>
            <w:tcW w:w="2140"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0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资格报审、合同</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6</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养护机械设备台账及相关合格证</w:t>
            </w:r>
          </w:p>
        </w:tc>
        <w:tc>
          <w:tcPr>
            <w:tcW w:w="1902"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清扫车、巡视车、洒水车、登高车、吊车等</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7</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主要材料供应单位汇总台帐</w:t>
            </w:r>
          </w:p>
        </w:tc>
        <w:tc>
          <w:tcPr>
            <w:tcW w:w="1902"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涂料、装饰板、聚合物砂浆等</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8</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年度日常养护工作计划</w:t>
            </w:r>
          </w:p>
        </w:tc>
        <w:tc>
          <w:tcPr>
            <w:tcW w:w="190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年度</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月初15日前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9</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年度日常养护综合报告</w:t>
            </w:r>
          </w:p>
        </w:tc>
        <w:tc>
          <w:tcPr>
            <w:tcW w:w="1902"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10</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设施量汇总清单</w:t>
            </w:r>
          </w:p>
        </w:tc>
        <w:tc>
          <w:tcPr>
            <w:tcW w:w="1902"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830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二、养护过程管理资料</w:t>
            </w: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w:t>
            </w:r>
          </w:p>
        </w:tc>
        <w:tc>
          <w:tcPr>
            <w:tcW w:w="2140"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大桥、隧道维修运营设施状况统计表</w:t>
            </w:r>
          </w:p>
        </w:tc>
        <w:tc>
          <w:tcPr>
            <w:tcW w:w="1902"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323"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2</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业主、监理指令回复记录</w:t>
            </w:r>
          </w:p>
        </w:tc>
        <w:tc>
          <w:tcPr>
            <w:tcW w:w="1902"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3</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月度日常养护、运行工作计划</w:t>
            </w:r>
          </w:p>
        </w:tc>
        <w:tc>
          <w:tcPr>
            <w:tcW w:w="1902"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4</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媒体曝光、人民来信投诉处理月度汇总</w:t>
            </w:r>
          </w:p>
        </w:tc>
        <w:tc>
          <w:tcPr>
            <w:tcW w:w="1902"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5</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经常性检查记录</w:t>
            </w:r>
          </w:p>
        </w:tc>
        <w:tc>
          <w:tcPr>
            <w:tcW w:w="1902"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830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三、安全管理资料</w:t>
            </w: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w:t>
            </w:r>
          </w:p>
        </w:tc>
        <w:tc>
          <w:tcPr>
            <w:tcW w:w="2140"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应急预案</w:t>
            </w:r>
          </w:p>
        </w:tc>
        <w:tc>
          <w:tcPr>
            <w:tcW w:w="1902"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应急预案（含各类）</w:t>
            </w:r>
          </w:p>
        </w:tc>
        <w:tc>
          <w:tcPr>
            <w:tcW w:w="1323"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2</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应急演练方案及后评估</w:t>
            </w:r>
          </w:p>
        </w:tc>
        <w:tc>
          <w:tcPr>
            <w:tcW w:w="190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应急演练方案（含各类）</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3月、6月、9月、12月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830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四、检查检测资料</w:t>
            </w: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w:t>
            </w:r>
          </w:p>
        </w:tc>
        <w:tc>
          <w:tcPr>
            <w:tcW w:w="2140" w:type="dxa"/>
            <w:vMerge w:val="restart"/>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检查检测</w:t>
            </w:r>
          </w:p>
        </w:tc>
        <w:tc>
          <w:tcPr>
            <w:tcW w:w="1902" w:type="dxa"/>
            <w:tcBorders>
              <w:top w:val="single" w:color="000000" w:sz="8" w:space="0"/>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路面抗滑性能检测</w:t>
            </w:r>
          </w:p>
        </w:tc>
        <w:tc>
          <w:tcPr>
            <w:tcW w:w="1323"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2</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隧道渗漏水检测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3</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CO检测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4</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废水检测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5</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排水管道CCTV检测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6</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特种设备强制检测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7</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机电设备强制检测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8</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照度检测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6</w:t>
            </w:r>
            <w:r>
              <w:rPr>
                <w:rFonts w:hint="eastAsia" w:ascii="Times New Roman" w:hAnsi="Times New Roman" w:eastAsia="仿宋_GB2312"/>
                <w:color w:val="000000"/>
                <w:kern w:val="0"/>
                <w:szCs w:val="21"/>
                <w:highlight w:val="none"/>
                <w:lang w:bidi="ar"/>
              </w:rPr>
              <w:t>月、</w:t>
            </w:r>
            <w:r>
              <w:rPr>
                <w:rFonts w:ascii="Times New Roman" w:hAnsi="Times New Roman" w:eastAsia="仿宋_GB2312"/>
                <w:color w:val="000000"/>
                <w:kern w:val="0"/>
                <w:szCs w:val="21"/>
                <w:highlight w:val="none"/>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9</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消防设施系统检测与评估</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10</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重大电气设备系统防雷检测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6月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11</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标志标线检测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12</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高压安全用绝缘具检测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6</w:t>
            </w:r>
            <w:r>
              <w:rPr>
                <w:rFonts w:hint="eastAsia" w:ascii="Times New Roman" w:hAnsi="Times New Roman" w:eastAsia="仿宋_GB2312"/>
                <w:color w:val="000000"/>
                <w:kern w:val="0"/>
                <w:szCs w:val="21"/>
                <w:highlight w:val="none"/>
                <w:lang w:bidi="ar"/>
              </w:rPr>
              <w:t>月、</w:t>
            </w:r>
            <w:r>
              <w:rPr>
                <w:rFonts w:ascii="Times New Roman" w:hAnsi="Times New Roman" w:eastAsia="仿宋_GB2312"/>
                <w:color w:val="000000"/>
                <w:kern w:val="0"/>
                <w:szCs w:val="21"/>
                <w:highlight w:val="none"/>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13</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年度定期检查（按规范要求）</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830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五、专项资料</w:t>
            </w: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w:t>
            </w:r>
          </w:p>
        </w:tc>
        <w:tc>
          <w:tcPr>
            <w:tcW w:w="2140" w:type="dxa"/>
            <w:vMerge w:val="restart"/>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专项资料</w:t>
            </w:r>
          </w:p>
        </w:tc>
        <w:tc>
          <w:tcPr>
            <w:tcW w:w="190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专项计划汇总表（运中心批复）</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11月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2</w:t>
            </w:r>
          </w:p>
        </w:tc>
        <w:tc>
          <w:tcPr>
            <w:tcW w:w="2140"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0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专项方案（含设计）</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11月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3</w:t>
            </w:r>
          </w:p>
        </w:tc>
        <w:tc>
          <w:tcPr>
            <w:tcW w:w="2140"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0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财务监理审核意见</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11月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4</w:t>
            </w:r>
          </w:p>
        </w:tc>
        <w:tc>
          <w:tcPr>
            <w:tcW w:w="2140"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highlight w:val="none"/>
              </w:rPr>
            </w:pPr>
          </w:p>
        </w:tc>
        <w:tc>
          <w:tcPr>
            <w:tcW w:w="190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竣工结算报告</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11月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highlight w:val="none"/>
              </w:rPr>
            </w:pPr>
            <w:r>
              <w:rPr>
                <w:rFonts w:ascii="Times New Roman" w:hAnsi="Times New Roman" w:eastAsia="仿宋_GB2312"/>
                <w:color w:val="000000"/>
                <w:kern w:val="0"/>
                <w:szCs w:val="21"/>
                <w:highlight w:val="none"/>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color w:val="000000"/>
                <w:sz w:val="22"/>
                <w:szCs w:val="22"/>
                <w:highlight w:val="none"/>
              </w:rPr>
            </w:pPr>
          </w:p>
        </w:tc>
      </w:tr>
    </w:tbl>
    <w:p>
      <w:pPr>
        <w:spacing w:line="600" w:lineRule="exact"/>
        <w:ind w:firstLine="360"/>
        <w:jc w:val="center"/>
        <w:rPr>
          <w:rFonts w:ascii="Times New Roman" w:hAnsi="Times New Roman" w:eastAsia="华文中宋"/>
          <w:b/>
          <w:sz w:val="36"/>
          <w:szCs w:val="36"/>
          <w:highlight w:val="none"/>
        </w:rPr>
      </w:pPr>
    </w:p>
    <w:p>
      <w:pPr>
        <w:spacing w:line="600" w:lineRule="exact"/>
        <w:jc w:val="left"/>
        <w:rPr>
          <w:rFonts w:ascii="Times New Roman" w:hAnsi="Times New Roman" w:eastAsia="黑体"/>
          <w:szCs w:val="21"/>
          <w:highlight w:val="none"/>
        </w:rPr>
      </w:pPr>
      <w:r>
        <w:rPr>
          <w:rFonts w:ascii="Times New Roman" w:hAnsi="Times New Roman" w:eastAsia="黑体"/>
          <w:szCs w:val="21"/>
          <w:highlight w:val="none"/>
        </w:rPr>
        <w:br w:type="page"/>
      </w:r>
    </w:p>
    <w:p>
      <w:pPr>
        <w:jc w:val="left"/>
        <w:rPr>
          <w:rFonts w:ascii="Times New Roman" w:hAnsi="Times New Roman"/>
          <w:sz w:val="18"/>
          <w:szCs w:val="18"/>
          <w:highlight w:val="none"/>
        </w:rPr>
      </w:pPr>
      <w:bookmarkStart w:id="15" w:name="OLE_LINK3"/>
      <w:bookmarkStart w:id="16" w:name="OLE_LINK4"/>
      <w:r>
        <w:rPr>
          <w:rFonts w:ascii="Times New Roman" w:hAnsi="Times New Roman" w:eastAsia="华文中宋"/>
          <w:b/>
          <w:sz w:val="28"/>
          <w:szCs w:val="28"/>
          <w:highlight w:val="none"/>
        </w:rPr>
        <w:t>附</w:t>
      </w:r>
      <w:r>
        <w:rPr>
          <w:rFonts w:hint="eastAsia" w:ascii="Times New Roman" w:hAnsi="Times New Roman" w:eastAsia="华文中宋"/>
          <w:b/>
          <w:sz w:val="28"/>
          <w:szCs w:val="28"/>
          <w:highlight w:val="none"/>
        </w:rPr>
        <w:t>表二</w:t>
      </w:r>
      <w:r>
        <w:rPr>
          <w:rFonts w:ascii="Times New Roman" w:hAnsi="Times New Roman" w:eastAsia="华文中宋"/>
          <w:b/>
          <w:sz w:val="28"/>
          <w:szCs w:val="28"/>
          <w:highlight w:val="none"/>
        </w:rPr>
        <w:t>：</w:t>
      </w:r>
    </w:p>
    <w:tbl>
      <w:tblPr>
        <w:tblStyle w:val="89"/>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1"/>
        <w:gridCol w:w="702"/>
        <w:gridCol w:w="6345"/>
        <w:gridCol w:w="851"/>
        <w:gridCol w:w="708"/>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9776" w:type="dxa"/>
            <w:gridSpan w:val="6"/>
            <w:vAlign w:val="center"/>
          </w:tcPr>
          <w:p>
            <w:pPr>
              <w:ind w:firstLine="211"/>
              <w:jc w:val="center"/>
              <w:rPr>
                <w:rFonts w:ascii="Times New Roman" w:hAnsi="Times New Roman" w:eastAsia="仿宋_GB2312"/>
                <w:b/>
                <w:bCs/>
                <w:kern w:val="0"/>
                <w:szCs w:val="21"/>
                <w:highlight w:val="none"/>
              </w:rPr>
            </w:pPr>
            <w:r>
              <w:rPr>
                <w:rFonts w:ascii="Times New Roman" w:hAnsi="Times New Roman" w:eastAsia="仿宋_GB2312"/>
                <w:b/>
                <w:bCs/>
                <w:kern w:val="0"/>
                <w:szCs w:val="21"/>
                <w:highlight w:val="none"/>
              </w:rPr>
              <w:t>市管城市道路主体设施养护运维月度定性考核评分表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blHeader/>
          <w:jc w:val="center"/>
        </w:trPr>
        <w:tc>
          <w:tcPr>
            <w:tcW w:w="7508" w:type="dxa"/>
            <w:gridSpan w:val="3"/>
            <w:vMerge w:val="restar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 xml:space="preserve">考核设施：                            </w:t>
            </w:r>
          </w:p>
        </w:tc>
        <w:tc>
          <w:tcPr>
            <w:tcW w:w="2268" w:type="dxa"/>
            <w:gridSpan w:val="3"/>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检查日期：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blHeader/>
          <w:jc w:val="center"/>
        </w:trPr>
        <w:tc>
          <w:tcPr>
            <w:tcW w:w="7508" w:type="dxa"/>
            <w:gridSpan w:val="3"/>
            <w:vMerge w:val="continue"/>
            <w:vAlign w:val="center"/>
          </w:tcPr>
          <w:p>
            <w:pPr>
              <w:jc w:val="left"/>
              <w:rPr>
                <w:rFonts w:ascii="Times New Roman" w:hAnsi="Times New Roman" w:eastAsia="仿宋_GB2312"/>
                <w:kern w:val="0"/>
                <w:szCs w:val="21"/>
                <w:highlight w:val="none"/>
              </w:rPr>
            </w:pPr>
          </w:p>
        </w:tc>
        <w:tc>
          <w:tcPr>
            <w:tcW w:w="2268" w:type="dxa"/>
            <w:gridSpan w:val="3"/>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检查人员：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blHeader/>
          <w:jc w:val="center"/>
        </w:trPr>
        <w:tc>
          <w:tcPr>
            <w:tcW w:w="461"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序号</w:t>
            </w:r>
          </w:p>
        </w:tc>
        <w:tc>
          <w:tcPr>
            <w:tcW w:w="70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项目</w:t>
            </w:r>
          </w:p>
        </w:tc>
        <w:tc>
          <w:tcPr>
            <w:tcW w:w="6345"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评分标准</w:t>
            </w:r>
          </w:p>
        </w:tc>
        <w:tc>
          <w:tcPr>
            <w:tcW w:w="851"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标准分</w:t>
            </w:r>
          </w:p>
        </w:tc>
        <w:tc>
          <w:tcPr>
            <w:tcW w:w="708"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考核得分</w:t>
            </w:r>
          </w:p>
        </w:tc>
        <w:tc>
          <w:tcPr>
            <w:tcW w:w="709"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检查记录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7" w:hRule="atLeast"/>
          <w:jc w:val="center"/>
        </w:trPr>
        <w:tc>
          <w:tcPr>
            <w:tcW w:w="461"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1</w:t>
            </w:r>
          </w:p>
        </w:tc>
        <w:tc>
          <w:tcPr>
            <w:tcW w:w="70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清洁程度</w:t>
            </w:r>
          </w:p>
        </w:tc>
        <w:tc>
          <w:tcPr>
            <w:tcW w:w="6345"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1</w:t>
            </w:r>
            <w:r>
              <w:rPr>
                <w:rFonts w:hint="eastAsia" w:ascii="Times New Roman" w:hAnsi="Times New Roman" w:eastAsia="仿宋_GB2312"/>
                <w:kern w:val="0"/>
                <w:szCs w:val="21"/>
                <w:highlight w:val="none"/>
              </w:rPr>
              <w:t>、</w:t>
            </w:r>
            <w:r>
              <w:rPr>
                <w:rFonts w:ascii="Times New Roman" w:hAnsi="Times New Roman" w:eastAsia="仿宋_GB2312"/>
                <w:kern w:val="0"/>
                <w:szCs w:val="21"/>
                <w:highlight w:val="none"/>
              </w:rPr>
              <w:t>道路：</w:t>
            </w:r>
            <w:r>
              <w:rPr>
                <w:rFonts w:hint="eastAsia" w:ascii="Times New Roman" w:hAnsi="Times New Roman" w:eastAsia="仿宋_GB2312"/>
                <w:kern w:val="0"/>
                <w:szCs w:val="21"/>
                <w:highlight w:val="none"/>
              </w:rPr>
              <w:t>车行道内无垃圾杂物，如有每处扣1分；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2</w:t>
            </w:r>
            <w:r>
              <w:rPr>
                <w:rFonts w:hint="eastAsia" w:ascii="Times New Roman" w:hAnsi="Times New Roman" w:eastAsia="仿宋_GB2312"/>
                <w:kern w:val="0"/>
                <w:szCs w:val="21"/>
                <w:highlight w:val="none"/>
              </w:rPr>
              <w:t>、</w:t>
            </w:r>
            <w:r>
              <w:rPr>
                <w:rFonts w:ascii="Times New Roman" w:hAnsi="Times New Roman" w:eastAsia="仿宋_GB2312"/>
                <w:kern w:val="0"/>
                <w:szCs w:val="21"/>
                <w:highlight w:val="none"/>
              </w:rPr>
              <w:t>桥梁：附属设施无明显污垢、无明显积尘、油漆鲜明，包括：隔离设施、伸缩缝、龙门架、声屏障、防撞墙、桥名牌（中环高架除外）、限载牌、防眩板、扶手、栏杆等；</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3</w:t>
            </w:r>
            <w:r>
              <w:rPr>
                <w:rFonts w:hint="eastAsia" w:ascii="Times New Roman" w:hAnsi="Times New Roman" w:eastAsia="仿宋_GB2312"/>
                <w:kern w:val="0"/>
                <w:szCs w:val="21"/>
                <w:highlight w:val="none"/>
              </w:rPr>
              <w:t>、</w:t>
            </w:r>
            <w:r>
              <w:rPr>
                <w:rFonts w:ascii="Times New Roman" w:hAnsi="Times New Roman" w:eastAsia="仿宋_GB2312"/>
                <w:kern w:val="0"/>
                <w:szCs w:val="21"/>
                <w:highlight w:val="none"/>
              </w:rPr>
              <w:t>隧道：设施无明显污垢、无明显灰尘、无垃圾杂物，包括：龙门架、横截沟、防撞墙、声屏障、反光隔离柱、搪瓷板、防火板、栏杆、人防门、应急电话牌、电箱盖、景观灯、监控室、变电所、泵房等。</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每处不合格扣1分。</w:t>
            </w:r>
          </w:p>
        </w:tc>
        <w:tc>
          <w:tcPr>
            <w:tcW w:w="851"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15</w:t>
            </w:r>
          </w:p>
        </w:tc>
        <w:tc>
          <w:tcPr>
            <w:tcW w:w="708" w:type="dxa"/>
            <w:vAlign w:val="center"/>
          </w:tcPr>
          <w:p>
            <w:pPr>
              <w:jc w:val="left"/>
              <w:rPr>
                <w:rFonts w:ascii="Times New Roman" w:hAnsi="Times New Roman" w:eastAsia="仿宋_GB2312"/>
                <w:kern w:val="0"/>
                <w:szCs w:val="21"/>
                <w:highlight w:val="none"/>
              </w:rPr>
            </w:pPr>
          </w:p>
        </w:tc>
        <w:tc>
          <w:tcPr>
            <w:tcW w:w="709"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1" w:hRule="atLeast"/>
          <w:jc w:val="center"/>
        </w:trPr>
        <w:tc>
          <w:tcPr>
            <w:tcW w:w="461"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2</w:t>
            </w:r>
          </w:p>
        </w:tc>
        <w:tc>
          <w:tcPr>
            <w:tcW w:w="70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病害情况</w:t>
            </w:r>
          </w:p>
        </w:tc>
        <w:tc>
          <w:tcPr>
            <w:tcW w:w="6345"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1</w:t>
            </w:r>
            <w:r>
              <w:rPr>
                <w:rFonts w:hint="eastAsia" w:ascii="Times New Roman" w:hAnsi="Times New Roman" w:eastAsia="仿宋_GB2312"/>
                <w:kern w:val="0"/>
                <w:szCs w:val="21"/>
                <w:highlight w:val="none"/>
              </w:rPr>
              <w:t>、</w:t>
            </w:r>
            <w:r>
              <w:rPr>
                <w:rFonts w:ascii="Times New Roman" w:hAnsi="Times New Roman" w:eastAsia="仿宋_GB2312"/>
                <w:kern w:val="0"/>
                <w:szCs w:val="21"/>
                <w:highlight w:val="none"/>
              </w:rPr>
              <w:t>道路：路面无裂缝、无坑槽、无局部变形。灌缝与补坑平整、边缘整齐、无二次损坏，每处不合格扣1分；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2</w:t>
            </w:r>
            <w:r>
              <w:rPr>
                <w:rFonts w:hint="eastAsia" w:ascii="Times New Roman" w:hAnsi="Times New Roman" w:eastAsia="仿宋_GB2312"/>
                <w:kern w:val="0"/>
                <w:szCs w:val="21"/>
                <w:highlight w:val="none"/>
              </w:rPr>
              <w:t>、</w:t>
            </w:r>
            <w:r>
              <w:rPr>
                <w:rFonts w:ascii="Times New Roman" w:hAnsi="Times New Roman" w:eastAsia="仿宋_GB2312"/>
                <w:kern w:val="0"/>
                <w:szCs w:val="21"/>
                <w:highlight w:val="none"/>
              </w:rPr>
              <w:t>桥梁：主体结构完好，混凝土构件无明显开裂、无明显剥落、无缺损、无松动、不露筋、无锈蚀，钢构件无缺损、无松动、面漆鲜明无剥落、无锈蚀；附属设施完好，隔离设施、伸缩缝、龙门架、声屏障、防撞墙、桥名牌（中环高架除外）、限载牌、防眩板、扶手、栏杆等无缺损、无松动，排水设施畅通，人行扶梯结构完好，强弱电设备完好，每处不合格扣1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3</w:t>
            </w:r>
            <w:r>
              <w:rPr>
                <w:rFonts w:hint="eastAsia" w:ascii="Times New Roman" w:hAnsi="Times New Roman" w:eastAsia="仿宋_GB2312"/>
                <w:kern w:val="0"/>
                <w:szCs w:val="21"/>
                <w:highlight w:val="none"/>
              </w:rPr>
              <w:t>、</w:t>
            </w:r>
            <w:r>
              <w:rPr>
                <w:rFonts w:ascii="Times New Roman" w:hAnsi="Times New Roman" w:eastAsia="仿宋_GB2312"/>
                <w:kern w:val="0"/>
                <w:szCs w:val="21"/>
                <w:highlight w:val="none"/>
              </w:rPr>
              <w:t>隧道：主体结构完好，混凝土构件无明显开裂、无明显剥落、无缺损、无松动、不露筋、无锈蚀，钢结构无缺损、无松动、面漆鲜明无剥落、无锈蚀；机电设施完好，各类机电设备运行正常，无损坏，每处不合格扣1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4</w:t>
            </w:r>
            <w:r>
              <w:rPr>
                <w:rFonts w:hint="eastAsia" w:ascii="Times New Roman" w:hAnsi="Times New Roman" w:eastAsia="仿宋_GB2312"/>
                <w:kern w:val="0"/>
                <w:szCs w:val="21"/>
                <w:highlight w:val="none"/>
              </w:rPr>
              <w:t>、</w:t>
            </w:r>
            <w:r>
              <w:rPr>
                <w:rFonts w:ascii="Times New Roman" w:hAnsi="Times New Roman" w:eastAsia="仿宋_GB2312"/>
                <w:kern w:val="0"/>
                <w:szCs w:val="21"/>
                <w:highlight w:val="none"/>
              </w:rPr>
              <w:t>其他设施：参照附录七、附录十一、附录十五中外场检查分别对下部保洁、绿化养护、灯光养护的要求，每处不合格扣0.5分。</w:t>
            </w:r>
          </w:p>
        </w:tc>
        <w:tc>
          <w:tcPr>
            <w:tcW w:w="851"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15</w:t>
            </w:r>
          </w:p>
        </w:tc>
        <w:tc>
          <w:tcPr>
            <w:tcW w:w="708" w:type="dxa"/>
            <w:vAlign w:val="center"/>
          </w:tcPr>
          <w:p>
            <w:pPr>
              <w:jc w:val="left"/>
              <w:rPr>
                <w:rFonts w:ascii="Times New Roman" w:hAnsi="Times New Roman" w:eastAsia="仿宋_GB2312"/>
                <w:kern w:val="0"/>
                <w:szCs w:val="21"/>
                <w:highlight w:val="none"/>
              </w:rPr>
            </w:pPr>
          </w:p>
        </w:tc>
        <w:tc>
          <w:tcPr>
            <w:tcW w:w="709"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jc w:val="center"/>
        </w:trPr>
        <w:tc>
          <w:tcPr>
            <w:tcW w:w="461"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3</w:t>
            </w:r>
          </w:p>
        </w:tc>
        <w:tc>
          <w:tcPr>
            <w:tcW w:w="70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安全</w:t>
            </w:r>
            <w:r>
              <w:rPr>
                <w:rFonts w:hint="eastAsia" w:ascii="Times New Roman" w:hAnsi="Times New Roman" w:eastAsia="仿宋_GB2312"/>
                <w:kern w:val="0"/>
                <w:szCs w:val="21"/>
                <w:highlight w:val="none"/>
              </w:rPr>
              <w:t>管理</w:t>
            </w:r>
          </w:p>
        </w:tc>
        <w:tc>
          <w:tcPr>
            <w:tcW w:w="6345"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1、道路养护现场安全标准化落实情况（5分）</w:t>
            </w:r>
          </w:p>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养护单位日常养护中应严格按照《道路交通标志和标线 第4部分：作业区》（GB 5768.4-2017）、《城市道路养护维修作业安全技术规程》（DG/TJ 08-2183-2015）、《上海市高速公路和快速路养护维修安全作业指南》（沪道运安〔2021〕315号）等相关规范落实安全防范措施。设施负责人或监理单位每月对现场养护安全标准化落实情况进行检查，总分5分，扣完为止。检查考核表详见附表三。</w:t>
            </w:r>
          </w:p>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2、市道运中心安全应急系统填报（1分）</w:t>
            </w:r>
          </w:p>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恶劣天气发生预警信息，需要填报应急物资人员出动情况信息时，养护单位应该规定时间内填报相关信息，未及时填报每次扣0.5分，总分1分，扣完为止。</w:t>
            </w:r>
          </w:p>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3、安全文件宣贯及学习，安全内业资料（2分）</w:t>
            </w:r>
          </w:p>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养护单位对于中心下发的安全文件要对全体人员及时进行宣贯，并组织学习，并形成记录。安全内业资料需按《上海市道路运输事业发展中心安全管理工作基础台账》“沪道运事安（2020）12号”进行编制归档，文件宣贯少一份扣0.5分，内业资料不符合基础台账要求扣0.5分，总分2分，扣完为止。</w:t>
            </w:r>
          </w:p>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4、养护基地管理（2分）</w:t>
            </w:r>
          </w:p>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养护单位日常养护做好管理中心及应急基地的管理。使用桥下空间的需符合《上海市道路桥梁桥下空间内设施设置准则》；设施负责人或监理单位每月对现场养护安全标准化落实情况进行检查，总分2分，扣完为止。检查考核表详见附表四。</w:t>
            </w:r>
          </w:p>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5、安全生产事故</w:t>
            </w:r>
          </w:p>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养护单位要确保主体设施、附属设施运行安全，无安全隐患。日常养护项目、专项整治项目、养护基地不得发生安全生产事故。发生单次有责事故造成1人及以上死亡的扣10分，单次有责事故扣5分；总分10分，扣完为止。</w:t>
            </w:r>
          </w:p>
        </w:tc>
        <w:tc>
          <w:tcPr>
            <w:tcW w:w="851"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10</w:t>
            </w:r>
          </w:p>
        </w:tc>
        <w:tc>
          <w:tcPr>
            <w:tcW w:w="708" w:type="dxa"/>
            <w:tcBorders>
              <w:bottom w:val="single" w:color="auto" w:sz="4" w:space="0"/>
            </w:tcBorders>
            <w:vAlign w:val="center"/>
          </w:tcPr>
          <w:p>
            <w:pPr>
              <w:jc w:val="left"/>
              <w:rPr>
                <w:rFonts w:ascii="Times New Roman" w:hAnsi="Times New Roman" w:eastAsia="仿宋_GB2312"/>
                <w:kern w:val="0"/>
                <w:szCs w:val="21"/>
                <w:highlight w:val="none"/>
              </w:rPr>
            </w:pPr>
          </w:p>
        </w:tc>
        <w:tc>
          <w:tcPr>
            <w:tcW w:w="709" w:type="dxa"/>
            <w:tcBorders>
              <w:bottom w:val="single" w:color="auto" w:sz="4" w:space="0"/>
            </w:tcBorders>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63" w:type="dxa"/>
            <w:gridSpan w:val="2"/>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设施月度</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定性得分</w:t>
            </w:r>
          </w:p>
        </w:tc>
        <w:tc>
          <w:tcPr>
            <w:tcW w:w="6345"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（1）~（3）得分总和</w:t>
            </w:r>
          </w:p>
        </w:tc>
        <w:tc>
          <w:tcPr>
            <w:tcW w:w="851"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40</w:t>
            </w:r>
          </w:p>
        </w:tc>
        <w:tc>
          <w:tcPr>
            <w:tcW w:w="708" w:type="dxa"/>
            <w:tcBorders>
              <w:bottom w:val="single" w:color="auto" w:sz="4" w:space="0"/>
            </w:tcBorders>
            <w:vAlign w:val="center"/>
          </w:tcPr>
          <w:p>
            <w:pPr>
              <w:jc w:val="left"/>
              <w:rPr>
                <w:rFonts w:ascii="Times New Roman" w:hAnsi="Times New Roman" w:eastAsia="仿宋_GB2312"/>
                <w:kern w:val="0"/>
                <w:szCs w:val="21"/>
                <w:highlight w:val="none"/>
              </w:rPr>
            </w:pPr>
          </w:p>
        </w:tc>
        <w:tc>
          <w:tcPr>
            <w:tcW w:w="709" w:type="dxa"/>
            <w:tcBorders>
              <w:bottom w:val="single" w:color="auto" w:sz="4" w:space="0"/>
            </w:tcBorders>
            <w:vAlign w:val="center"/>
          </w:tcPr>
          <w:p>
            <w:pPr>
              <w:jc w:val="left"/>
              <w:rPr>
                <w:rFonts w:ascii="Times New Roman" w:hAnsi="Times New Roman" w:eastAsia="仿宋_GB2312"/>
                <w:kern w:val="0"/>
                <w:szCs w:val="21"/>
                <w:highlight w:val="none"/>
              </w:rPr>
            </w:pPr>
          </w:p>
        </w:tc>
      </w:tr>
      <w:bookmarkEnd w:id="15"/>
      <w:bookmarkEnd w:id="16"/>
    </w:tbl>
    <w:p>
      <w:pPr>
        <w:spacing w:line="600" w:lineRule="exact"/>
        <w:jc w:val="left"/>
        <w:rPr>
          <w:rFonts w:ascii="Times New Roman" w:hAnsi="Times New Roman"/>
          <w:szCs w:val="21"/>
          <w:highlight w:val="none"/>
        </w:rPr>
      </w:pPr>
      <w:r>
        <w:rPr>
          <w:rFonts w:ascii="Times New Roman" w:hAnsi="Times New Roman"/>
          <w:szCs w:val="21"/>
          <w:highlight w:val="none"/>
        </w:rPr>
        <w:br w:type="page"/>
      </w:r>
    </w:p>
    <w:p>
      <w:pPr>
        <w:spacing w:line="600" w:lineRule="exact"/>
        <w:jc w:val="left"/>
        <w:rPr>
          <w:rFonts w:ascii="Times New Roman" w:hAnsi="Times New Roman" w:eastAsia="华文中宋"/>
          <w:b/>
          <w:sz w:val="28"/>
          <w:szCs w:val="28"/>
          <w:highlight w:val="none"/>
        </w:rPr>
      </w:pPr>
      <w:r>
        <w:rPr>
          <w:rFonts w:hint="eastAsia" w:ascii="Times New Roman" w:hAnsi="Times New Roman" w:eastAsia="华文中宋"/>
          <w:b/>
          <w:sz w:val="28"/>
          <w:szCs w:val="28"/>
          <w:highlight w:val="none"/>
        </w:rPr>
        <w:t>附表三：</w:t>
      </w:r>
    </w:p>
    <w:p>
      <w:pPr>
        <w:spacing w:line="600" w:lineRule="exact"/>
        <w:ind w:right="720" w:firstLine="210" w:firstLineChars="100"/>
        <w:jc w:val="left"/>
        <w:rPr>
          <w:rFonts w:hint="eastAsia" w:ascii="仿宋" w:hAnsi="仿宋" w:eastAsia="仿宋" w:cs="Arial Unicode MS"/>
          <w:color w:val="000000"/>
          <w:kern w:val="0"/>
          <w:szCs w:val="21"/>
          <w:highlight w:val="none"/>
        </w:rPr>
      </w:pPr>
      <w:r>
        <w:rPr>
          <w:rFonts w:hint="eastAsia" w:ascii="仿宋" w:hAnsi="仿宋" w:eastAsia="仿宋" w:cs="Arial Unicode MS"/>
          <w:color w:val="000000"/>
          <w:kern w:val="0"/>
          <w:szCs w:val="21"/>
          <w:highlight w:val="none"/>
        </w:rPr>
        <w:t xml:space="preserve">项目名称：                 </w:t>
      </w:r>
      <w:r>
        <w:rPr>
          <w:rFonts w:ascii="仿宋" w:hAnsi="仿宋" w:eastAsia="仿宋" w:cs="Arial Unicode MS"/>
          <w:color w:val="000000"/>
          <w:kern w:val="0"/>
          <w:szCs w:val="21"/>
          <w:highlight w:val="none"/>
        </w:rPr>
        <w:t xml:space="preserve">                  </w:t>
      </w:r>
      <w:r>
        <w:rPr>
          <w:rFonts w:hint="eastAsia" w:ascii="仿宋" w:hAnsi="仿宋" w:eastAsia="仿宋" w:cs="Arial Unicode MS"/>
          <w:color w:val="000000"/>
          <w:kern w:val="0"/>
          <w:szCs w:val="21"/>
          <w:highlight w:val="none"/>
        </w:rPr>
        <w:t xml:space="preserve">    养护单位：                   </w:t>
      </w:r>
    </w:p>
    <w:tbl>
      <w:tblPr>
        <w:tblStyle w:val="88"/>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4320"/>
        <w:gridCol w:w="780"/>
        <w:gridCol w:w="880"/>
        <w:gridCol w:w="76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9620" w:type="dxa"/>
            <w:gridSpan w:val="7"/>
            <w:vAlign w:val="center"/>
          </w:tcPr>
          <w:p>
            <w:pPr>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道路养护现场安全标准化检查表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1080" w:type="dxa"/>
            <w:vMerge w:val="restart"/>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检查项目</w:t>
            </w:r>
          </w:p>
        </w:tc>
        <w:tc>
          <w:tcPr>
            <w:tcW w:w="1080" w:type="dxa"/>
            <w:vMerge w:val="restart"/>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检查内容</w:t>
            </w:r>
          </w:p>
        </w:tc>
        <w:tc>
          <w:tcPr>
            <w:tcW w:w="4320" w:type="dxa"/>
            <w:vMerge w:val="restart"/>
            <w:vAlign w:val="center"/>
          </w:tcPr>
          <w:p>
            <w:pPr>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现场检查扣分标准</w:t>
            </w:r>
          </w:p>
        </w:tc>
        <w:tc>
          <w:tcPr>
            <w:tcW w:w="780" w:type="dxa"/>
            <w:vMerge w:val="restart"/>
            <w:vAlign w:val="center"/>
          </w:tcPr>
          <w:p>
            <w:pPr>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标准分</w:t>
            </w:r>
          </w:p>
        </w:tc>
        <w:tc>
          <w:tcPr>
            <w:tcW w:w="2360" w:type="dxa"/>
            <w:gridSpan w:val="3"/>
            <w:vAlign w:val="center"/>
          </w:tcPr>
          <w:p>
            <w:pPr>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jc w:val="center"/>
        </w:trPr>
        <w:tc>
          <w:tcPr>
            <w:tcW w:w="0" w:type="auto"/>
            <w:vMerge w:val="continue"/>
            <w:vAlign w:val="center"/>
          </w:tcPr>
          <w:p>
            <w:pPr>
              <w:jc w:val="left"/>
              <w:rPr>
                <w:rFonts w:ascii="Times New Roman" w:hAnsi="Times New Roman" w:eastAsia="仿宋_GB2312"/>
                <w:kern w:val="0"/>
                <w:szCs w:val="21"/>
                <w:highlight w:val="none"/>
              </w:rPr>
            </w:pPr>
          </w:p>
        </w:tc>
        <w:tc>
          <w:tcPr>
            <w:tcW w:w="0" w:type="auto"/>
            <w:vMerge w:val="continue"/>
            <w:vAlign w:val="center"/>
          </w:tcPr>
          <w:p>
            <w:pPr>
              <w:jc w:val="left"/>
              <w:rPr>
                <w:rFonts w:ascii="Times New Roman" w:hAnsi="Times New Roman" w:eastAsia="仿宋_GB2312"/>
                <w:kern w:val="0"/>
                <w:szCs w:val="21"/>
                <w:highlight w:val="none"/>
              </w:rPr>
            </w:pPr>
          </w:p>
        </w:tc>
        <w:tc>
          <w:tcPr>
            <w:tcW w:w="0" w:type="auto"/>
            <w:vMerge w:val="continue"/>
            <w:vAlign w:val="center"/>
          </w:tcPr>
          <w:p>
            <w:pPr>
              <w:jc w:val="left"/>
              <w:rPr>
                <w:rFonts w:ascii="Times New Roman" w:hAnsi="Times New Roman" w:eastAsia="仿宋_GB2312"/>
                <w:kern w:val="0"/>
                <w:szCs w:val="21"/>
                <w:highlight w:val="none"/>
              </w:rPr>
            </w:pPr>
          </w:p>
        </w:tc>
        <w:tc>
          <w:tcPr>
            <w:tcW w:w="0" w:type="auto"/>
            <w:vMerge w:val="continue"/>
            <w:vAlign w:val="center"/>
          </w:tcPr>
          <w:p>
            <w:pPr>
              <w:jc w:val="left"/>
              <w:rPr>
                <w:rFonts w:ascii="Times New Roman" w:hAnsi="Times New Roman" w:eastAsia="仿宋_GB2312"/>
                <w:kern w:val="0"/>
                <w:szCs w:val="21"/>
                <w:highlight w:val="none"/>
              </w:rPr>
            </w:pPr>
          </w:p>
        </w:tc>
        <w:tc>
          <w:tcPr>
            <w:tcW w:w="8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扣分情况</w:t>
            </w:r>
          </w:p>
        </w:tc>
        <w:tc>
          <w:tcPr>
            <w:tcW w:w="76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扣分</w:t>
            </w:r>
          </w:p>
        </w:tc>
        <w:tc>
          <w:tcPr>
            <w:tcW w:w="7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1080" w:type="dxa"/>
            <w:vMerge w:val="restart"/>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制度管理</w:t>
            </w:r>
          </w:p>
        </w:tc>
        <w:tc>
          <w:tcPr>
            <w:tcW w:w="10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制度建立</w:t>
            </w: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1、安全生产责任制度、检查制度、特种作业管理制度、动火管理制度、安措经费使用管理制度、安全交底制度、带班制度、事故报告与处理制度、安全考核奖罚制度等。每缺一项扣0.5分。</w:t>
            </w:r>
          </w:p>
        </w:tc>
        <w:tc>
          <w:tcPr>
            <w:tcW w:w="780" w:type="dxa"/>
            <w:vMerge w:val="restart"/>
            <w:vAlign w:val="center"/>
          </w:tcPr>
          <w:p>
            <w:pPr>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2</w:t>
            </w: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0" w:type="auto"/>
            <w:vMerge w:val="continue"/>
            <w:vAlign w:val="center"/>
          </w:tcPr>
          <w:p>
            <w:pPr>
              <w:jc w:val="left"/>
              <w:rPr>
                <w:rFonts w:ascii="Times New Roman" w:hAnsi="Times New Roman" w:eastAsia="仿宋_GB2312"/>
                <w:kern w:val="0"/>
                <w:szCs w:val="21"/>
                <w:highlight w:val="none"/>
              </w:rPr>
            </w:pPr>
          </w:p>
        </w:tc>
        <w:tc>
          <w:tcPr>
            <w:tcW w:w="10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资质、资格</w:t>
            </w: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2、企业总包、分包资质不符规定，考评为不合格。养护企业无安全许可证的“三类”人员必须参加“贯标”培训，每缺一类人员扣0.5分。</w:t>
            </w:r>
          </w:p>
        </w:tc>
        <w:tc>
          <w:tcPr>
            <w:tcW w:w="780" w:type="dxa"/>
            <w:vMerge w:val="continue"/>
            <w:vAlign w:val="center"/>
          </w:tcPr>
          <w:p>
            <w:pPr>
              <w:jc w:val="left"/>
              <w:rPr>
                <w:rFonts w:ascii="Times New Roman" w:hAnsi="Times New Roman" w:eastAsia="仿宋_GB2312"/>
                <w:kern w:val="0"/>
                <w:szCs w:val="21"/>
                <w:highlight w:val="none"/>
              </w:rPr>
            </w:pP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0" w:type="auto"/>
            <w:vMerge w:val="continue"/>
            <w:vAlign w:val="center"/>
          </w:tcPr>
          <w:p>
            <w:pPr>
              <w:jc w:val="left"/>
              <w:rPr>
                <w:rFonts w:ascii="Times New Roman" w:hAnsi="Times New Roman" w:eastAsia="仿宋_GB2312"/>
                <w:kern w:val="0"/>
                <w:szCs w:val="21"/>
                <w:highlight w:val="none"/>
              </w:rPr>
            </w:pPr>
          </w:p>
        </w:tc>
        <w:tc>
          <w:tcPr>
            <w:tcW w:w="10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危险源控制</w:t>
            </w: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4、安全专项方案未辨识、审核的；每项扣0.5分；未按应急预案要求落实应急物资储备和演练的，危险品及有毒有害物品管理规定的每项扣0.5分。</w:t>
            </w:r>
          </w:p>
        </w:tc>
        <w:tc>
          <w:tcPr>
            <w:tcW w:w="780" w:type="dxa"/>
            <w:vMerge w:val="continue"/>
            <w:vAlign w:val="center"/>
          </w:tcPr>
          <w:p>
            <w:pPr>
              <w:jc w:val="left"/>
              <w:rPr>
                <w:rFonts w:ascii="Times New Roman" w:hAnsi="Times New Roman" w:eastAsia="仿宋_GB2312"/>
                <w:kern w:val="0"/>
                <w:szCs w:val="21"/>
                <w:highlight w:val="none"/>
              </w:rPr>
            </w:pP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0" w:type="auto"/>
            <w:vMerge w:val="continue"/>
            <w:vAlign w:val="center"/>
          </w:tcPr>
          <w:p>
            <w:pPr>
              <w:jc w:val="left"/>
              <w:rPr>
                <w:rFonts w:ascii="Times New Roman" w:hAnsi="Times New Roman" w:eastAsia="仿宋_GB2312"/>
                <w:kern w:val="0"/>
                <w:szCs w:val="21"/>
                <w:highlight w:val="none"/>
              </w:rPr>
            </w:pPr>
          </w:p>
        </w:tc>
        <w:tc>
          <w:tcPr>
            <w:tcW w:w="10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安全经费</w:t>
            </w: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5、未制定专项计划、建立专项台账、未审批、未专款专用的；每项扣0.5分。</w:t>
            </w:r>
          </w:p>
        </w:tc>
        <w:tc>
          <w:tcPr>
            <w:tcW w:w="780" w:type="dxa"/>
            <w:vMerge w:val="continue"/>
            <w:vAlign w:val="center"/>
          </w:tcPr>
          <w:p>
            <w:pPr>
              <w:jc w:val="left"/>
              <w:rPr>
                <w:rFonts w:ascii="Times New Roman" w:hAnsi="Times New Roman" w:eastAsia="仿宋_GB2312"/>
                <w:kern w:val="0"/>
                <w:szCs w:val="21"/>
                <w:highlight w:val="none"/>
              </w:rPr>
            </w:pP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0" w:type="auto"/>
            <w:vMerge w:val="continue"/>
            <w:vAlign w:val="center"/>
          </w:tcPr>
          <w:p>
            <w:pPr>
              <w:jc w:val="left"/>
              <w:rPr>
                <w:rFonts w:ascii="Times New Roman" w:hAnsi="Times New Roman" w:eastAsia="仿宋_GB2312"/>
                <w:kern w:val="0"/>
                <w:szCs w:val="21"/>
                <w:highlight w:val="none"/>
              </w:rPr>
            </w:pPr>
          </w:p>
        </w:tc>
        <w:tc>
          <w:tcPr>
            <w:tcW w:w="10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从业人员  维权</w:t>
            </w: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6、无用工手续；未按规定办理相关保险；未按标准发放劳动防护用品的；每项扣0.5分。</w:t>
            </w:r>
          </w:p>
        </w:tc>
        <w:tc>
          <w:tcPr>
            <w:tcW w:w="780" w:type="dxa"/>
            <w:vMerge w:val="continue"/>
            <w:vAlign w:val="center"/>
          </w:tcPr>
          <w:p>
            <w:pPr>
              <w:jc w:val="left"/>
              <w:rPr>
                <w:rFonts w:ascii="Times New Roman" w:hAnsi="Times New Roman" w:eastAsia="仿宋_GB2312"/>
                <w:kern w:val="0"/>
                <w:szCs w:val="21"/>
                <w:highlight w:val="none"/>
              </w:rPr>
            </w:pP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080" w:type="dxa"/>
            <w:vMerge w:val="restart"/>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现场管理</w:t>
            </w:r>
          </w:p>
        </w:tc>
        <w:tc>
          <w:tcPr>
            <w:tcW w:w="10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安全教育  交底</w:t>
            </w: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1、未进行三级教育、安全贯标培训的；未根据各工种的特点进行上岗安全交底、交底无书面记录的；每项扣0.5分。</w:t>
            </w:r>
          </w:p>
        </w:tc>
        <w:tc>
          <w:tcPr>
            <w:tcW w:w="780" w:type="dxa"/>
            <w:vMerge w:val="restart"/>
            <w:vAlign w:val="center"/>
          </w:tcPr>
          <w:p>
            <w:pPr>
              <w:ind w:firstLine="210" w:firstLineChars="100"/>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3</w:t>
            </w: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7" w:hRule="atLeast"/>
          <w:jc w:val="center"/>
        </w:trPr>
        <w:tc>
          <w:tcPr>
            <w:tcW w:w="1080" w:type="dxa"/>
            <w:vMerge w:val="continue"/>
            <w:vAlign w:val="center"/>
          </w:tcPr>
          <w:p>
            <w:pPr>
              <w:jc w:val="left"/>
              <w:rPr>
                <w:rFonts w:ascii="Times New Roman" w:hAnsi="Times New Roman" w:eastAsia="仿宋_GB2312"/>
                <w:kern w:val="0"/>
                <w:szCs w:val="21"/>
                <w:highlight w:val="none"/>
              </w:rPr>
            </w:pPr>
          </w:p>
        </w:tc>
        <w:tc>
          <w:tcPr>
            <w:tcW w:w="10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作业           控制与              防护</w:t>
            </w: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2、未按规范标准（专项方案）布设和撤除安全作业控制区的；各类施工（交通）标志、标牌制作不符规范标准等；安全围护设施的设置不符规范标准要求或缺失；车辆、机具违反进出现场、停放要求的；每项扣0.5分。</w:t>
            </w:r>
          </w:p>
        </w:tc>
        <w:tc>
          <w:tcPr>
            <w:tcW w:w="780" w:type="dxa"/>
            <w:vMerge w:val="continue"/>
            <w:noWrap/>
            <w:vAlign w:val="center"/>
          </w:tcPr>
          <w:p>
            <w:pPr>
              <w:jc w:val="left"/>
              <w:rPr>
                <w:rFonts w:ascii="Times New Roman" w:hAnsi="Times New Roman" w:eastAsia="仿宋_GB2312"/>
                <w:kern w:val="0"/>
                <w:szCs w:val="21"/>
                <w:highlight w:val="none"/>
              </w:rPr>
            </w:pP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80" w:type="dxa"/>
            <w:vMerge w:val="continue"/>
            <w:vAlign w:val="center"/>
          </w:tcPr>
          <w:p>
            <w:pPr>
              <w:jc w:val="left"/>
              <w:rPr>
                <w:rFonts w:ascii="Times New Roman" w:hAnsi="Times New Roman" w:eastAsia="仿宋_GB2312"/>
                <w:kern w:val="0"/>
                <w:szCs w:val="21"/>
                <w:highlight w:val="none"/>
              </w:rPr>
            </w:pPr>
          </w:p>
        </w:tc>
        <w:tc>
          <w:tcPr>
            <w:tcW w:w="10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人员配备</w:t>
            </w: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3、安全员不到位；班组未按要求配置安全协管员的；每项扣1分；相关人员无安全证书、资料不全的；每项扣0.5分；</w:t>
            </w:r>
          </w:p>
        </w:tc>
        <w:tc>
          <w:tcPr>
            <w:tcW w:w="780" w:type="dxa"/>
            <w:vMerge w:val="continue"/>
            <w:noWrap/>
            <w:vAlign w:val="center"/>
          </w:tcPr>
          <w:p>
            <w:pPr>
              <w:jc w:val="left"/>
              <w:rPr>
                <w:rFonts w:ascii="Times New Roman" w:hAnsi="Times New Roman" w:eastAsia="仿宋_GB2312"/>
                <w:kern w:val="0"/>
                <w:szCs w:val="21"/>
                <w:highlight w:val="none"/>
              </w:rPr>
            </w:pP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10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检查项目</w:t>
            </w:r>
          </w:p>
        </w:tc>
        <w:tc>
          <w:tcPr>
            <w:tcW w:w="10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检查内容</w:t>
            </w: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现场检查扣分标准</w:t>
            </w:r>
          </w:p>
        </w:tc>
        <w:tc>
          <w:tcPr>
            <w:tcW w:w="780" w:type="dxa"/>
            <w:noWrap/>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标准分</w:t>
            </w:r>
          </w:p>
        </w:tc>
        <w:tc>
          <w:tcPr>
            <w:tcW w:w="8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扣分情况</w:t>
            </w:r>
          </w:p>
        </w:tc>
        <w:tc>
          <w:tcPr>
            <w:tcW w:w="76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扣分</w:t>
            </w:r>
          </w:p>
        </w:tc>
        <w:tc>
          <w:tcPr>
            <w:tcW w:w="7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实得分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080" w:type="dxa"/>
            <w:vMerge w:val="restart"/>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现场管理</w:t>
            </w:r>
          </w:p>
        </w:tc>
        <w:tc>
          <w:tcPr>
            <w:tcW w:w="10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车辆设置</w:t>
            </w: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4、未按规定配备移动式标志车辆和作业人员乘用车辆或不符标准要求；养护作业车辆未设置安全警示灯牌、标识；每项扣0.5分</w:t>
            </w:r>
          </w:p>
        </w:tc>
        <w:tc>
          <w:tcPr>
            <w:tcW w:w="780" w:type="dxa"/>
            <w:vMerge w:val="restart"/>
            <w:noWrap/>
            <w:vAlign w:val="center"/>
          </w:tcPr>
          <w:p>
            <w:pPr>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3</w:t>
            </w: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080" w:type="dxa"/>
            <w:vMerge w:val="continue"/>
            <w:vAlign w:val="center"/>
          </w:tcPr>
          <w:p>
            <w:pPr>
              <w:jc w:val="left"/>
              <w:rPr>
                <w:rFonts w:ascii="Times New Roman" w:hAnsi="Times New Roman" w:eastAsia="仿宋_GB2312"/>
                <w:kern w:val="0"/>
                <w:szCs w:val="21"/>
                <w:highlight w:val="none"/>
              </w:rPr>
            </w:pPr>
          </w:p>
        </w:tc>
        <w:tc>
          <w:tcPr>
            <w:tcW w:w="10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夜间作业</w:t>
            </w: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5、未按规范标准要求设置高度清晰频闪警示灯、导向灯牌或缺失的每项扣0.5分。</w:t>
            </w:r>
          </w:p>
        </w:tc>
        <w:tc>
          <w:tcPr>
            <w:tcW w:w="780" w:type="dxa"/>
            <w:vMerge w:val="continue"/>
            <w:noWrap/>
            <w:vAlign w:val="center"/>
          </w:tcPr>
          <w:p>
            <w:pPr>
              <w:jc w:val="center"/>
              <w:rPr>
                <w:rFonts w:ascii="Times New Roman" w:hAnsi="Times New Roman" w:eastAsia="仿宋_GB2312"/>
                <w:kern w:val="0"/>
                <w:szCs w:val="21"/>
                <w:highlight w:val="none"/>
              </w:rPr>
            </w:pP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0" w:type="auto"/>
            <w:vMerge w:val="continue"/>
            <w:vAlign w:val="center"/>
          </w:tcPr>
          <w:p>
            <w:pPr>
              <w:jc w:val="left"/>
              <w:rPr>
                <w:rFonts w:ascii="Times New Roman" w:hAnsi="Times New Roman" w:eastAsia="仿宋_GB2312"/>
                <w:kern w:val="0"/>
                <w:szCs w:val="21"/>
                <w:highlight w:val="none"/>
              </w:rPr>
            </w:pPr>
          </w:p>
        </w:tc>
        <w:tc>
          <w:tcPr>
            <w:tcW w:w="10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现场防护</w:t>
            </w: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6、现场未设置安全提示、警示标识标牌安全防护不符规范要求的每项扣0.5分。</w:t>
            </w:r>
          </w:p>
        </w:tc>
        <w:tc>
          <w:tcPr>
            <w:tcW w:w="780" w:type="dxa"/>
            <w:vMerge w:val="continue"/>
            <w:noWrap/>
            <w:vAlign w:val="center"/>
          </w:tcPr>
          <w:p>
            <w:pPr>
              <w:jc w:val="center"/>
              <w:rPr>
                <w:rFonts w:ascii="Times New Roman" w:hAnsi="Times New Roman" w:eastAsia="仿宋_GB2312"/>
                <w:kern w:val="0"/>
                <w:szCs w:val="21"/>
                <w:highlight w:val="none"/>
              </w:rPr>
            </w:pP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0" w:type="auto"/>
            <w:vMerge w:val="continue"/>
            <w:vAlign w:val="center"/>
          </w:tcPr>
          <w:p>
            <w:pPr>
              <w:jc w:val="left"/>
              <w:rPr>
                <w:rFonts w:ascii="Times New Roman" w:hAnsi="Times New Roman" w:eastAsia="仿宋_GB2312"/>
                <w:kern w:val="0"/>
                <w:szCs w:val="21"/>
                <w:highlight w:val="none"/>
              </w:rPr>
            </w:pPr>
          </w:p>
        </w:tc>
        <w:tc>
          <w:tcPr>
            <w:tcW w:w="10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人员防护</w:t>
            </w: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7、养护施工作业人员未穿着统一桔红色带有反光功能工作套装、管理人员未穿反光背心进入现场的；未正确使用劳动防护用品的；每发现一人扣0.5分。</w:t>
            </w:r>
          </w:p>
        </w:tc>
        <w:tc>
          <w:tcPr>
            <w:tcW w:w="780" w:type="dxa"/>
            <w:vMerge w:val="continue"/>
            <w:noWrap/>
            <w:vAlign w:val="center"/>
          </w:tcPr>
          <w:p>
            <w:pPr>
              <w:jc w:val="center"/>
              <w:rPr>
                <w:rFonts w:ascii="Times New Roman" w:hAnsi="Times New Roman" w:eastAsia="仿宋_GB2312"/>
                <w:kern w:val="0"/>
                <w:szCs w:val="21"/>
                <w:highlight w:val="none"/>
              </w:rPr>
            </w:pP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0" w:type="auto"/>
            <w:vMerge w:val="continue"/>
            <w:vAlign w:val="center"/>
          </w:tcPr>
          <w:p>
            <w:pPr>
              <w:jc w:val="left"/>
              <w:rPr>
                <w:rFonts w:ascii="Times New Roman" w:hAnsi="Times New Roman" w:eastAsia="仿宋_GB2312"/>
                <w:kern w:val="0"/>
                <w:szCs w:val="21"/>
                <w:highlight w:val="none"/>
              </w:rPr>
            </w:pPr>
          </w:p>
        </w:tc>
        <w:tc>
          <w:tcPr>
            <w:tcW w:w="10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安全检查</w:t>
            </w: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8、未按制度落实班组每周安全检查、企业领导带队每月安全检查；安全隐患整改未做到“三定”的；每项扣0.5分；</w:t>
            </w:r>
          </w:p>
        </w:tc>
        <w:tc>
          <w:tcPr>
            <w:tcW w:w="780" w:type="dxa"/>
            <w:vMerge w:val="continue"/>
            <w:noWrap/>
            <w:vAlign w:val="center"/>
          </w:tcPr>
          <w:p>
            <w:pPr>
              <w:jc w:val="center"/>
              <w:rPr>
                <w:rFonts w:ascii="Times New Roman" w:hAnsi="Times New Roman" w:eastAsia="仿宋_GB2312"/>
                <w:kern w:val="0"/>
                <w:szCs w:val="21"/>
                <w:highlight w:val="none"/>
              </w:rPr>
            </w:pP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0" w:type="auto"/>
            <w:vMerge w:val="continue"/>
            <w:vAlign w:val="center"/>
          </w:tcPr>
          <w:p>
            <w:pPr>
              <w:jc w:val="left"/>
              <w:rPr>
                <w:rFonts w:ascii="Times New Roman" w:hAnsi="Times New Roman" w:eastAsia="仿宋_GB2312"/>
                <w:kern w:val="0"/>
                <w:szCs w:val="21"/>
                <w:highlight w:val="none"/>
              </w:rPr>
            </w:pPr>
          </w:p>
        </w:tc>
        <w:tc>
          <w:tcPr>
            <w:tcW w:w="108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 xml:space="preserve">设施、设备      </w:t>
            </w: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9、使用不符安全要求的设施设备、电器、机具；每项扣0.5分。</w:t>
            </w:r>
          </w:p>
        </w:tc>
        <w:tc>
          <w:tcPr>
            <w:tcW w:w="780" w:type="dxa"/>
            <w:vMerge w:val="continue"/>
            <w:noWrap/>
            <w:vAlign w:val="center"/>
          </w:tcPr>
          <w:p>
            <w:pPr>
              <w:jc w:val="center"/>
              <w:rPr>
                <w:rFonts w:ascii="Times New Roman" w:hAnsi="Times New Roman" w:eastAsia="仿宋_GB2312"/>
                <w:kern w:val="0"/>
                <w:szCs w:val="21"/>
                <w:highlight w:val="none"/>
              </w:rPr>
            </w:pP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0" w:type="auto"/>
            <w:vMerge w:val="continue"/>
            <w:vAlign w:val="center"/>
          </w:tcPr>
          <w:p>
            <w:pPr>
              <w:jc w:val="left"/>
              <w:rPr>
                <w:rFonts w:ascii="Times New Roman" w:hAnsi="Times New Roman" w:eastAsia="仿宋_GB2312"/>
                <w:kern w:val="0"/>
                <w:szCs w:val="21"/>
                <w:highlight w:val="none"/>
              </w:rPr>
            </w:pPr>
          </w:p>
        </w:tc>
        <w:tc>
          <w:tcPr>
            <w:tcW w:w="1080" w:type="dxa"/>
            <w:vMerge w:val="restart"/>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用电</w:t>
            </w: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10、现场用电不规范；不符三级配电两级保护要求；用电未采用“一机、一箱、一闸、一漏”要求的；每项扣0.5分。</w:t>
            </w:r>
          </w:p>
        </w:tc>
        <w:tc>
          <w:tcPr>
            <w:tcW w:w="780" w:type="dxa"/>
            <w:vMerge w:val="continue"/>
            <w:noWrap/>
            <w:vAlign w:val="center"/>
          </w:tcPr>
          <w:p>
            <w:pPr>
              <w:jc w:val="center"/>
              <w:rPr>
                <w:rFonts w:ascii="Times New Roman" w:hAnsi="Times New Roman" w:eastAsia="仿宋_GB2312"/>
                <w:kern w:val="0"/>
                <w:szCs w:val="21"/>
                <w:highlight w:val="none"/>
              </w:rPr>
            </w:pP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0" w:type="auto"/>
            <w:vMerge w:val="continue"/>
            <w:vAlign w:val="center"/>
          </w:tcPr>
          <w:p>
            <w:pPr>
              <w:jc w:val="left"/>
              <w:rPr>
                <w:rFonts w:ascii="Times New Roman" w:hAnsi="Times New Roman" w:eastAsia="仿宋_GB2312"/>
                <w:kern w:val="0"/>
                <w:szCs w:val="21"/>
                <w:highlight w:val="none"/>
              </w:rPr>
            </w:pPr>
          </w:p>
        </w:tc>
        <w:tc>
          <w:tcPr>
            <w:tcW w:w="0" w:type="auto"/>
            <w:vMerge w:val="continue"/>
            <w:vAlign w:val="center"/>
          </w:tcPr>
          <w:p>
            <w:pPr>
              <w:jc w:val="left"/>
              <w:rPr>
                <w:rFonts w:ascii="Times New Roman" w:hAnsi="Times New Roman" w:eastAsia="仿宋_GB2312"/>
                <w:kern w:val="0"/>
                <w:szCs w:val="21"/>
                <w:highlight w:val="none"/>
              </w:rPr>
            </w:pPr>
          </w:p>
        </w:tc>
        <w:tc>
          <w:tcPr>
            <w:tcW w:w="4320"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11、未按规定要求对电气设备进行定期检查、检测、记录不全的；每项扣0.5分。</w:t>
            </w:r>
          </w:p>
        </w:tc>
        <w:tc>
          <w:tcPr>
            <w:tcW w:w="780" w:type="dxa"/>
            <w:vMerge w:val="continue"/>
            <w:noWrap/>
            <w:vAlign w:val="center"/>
          </w:tcPr>
          <w:p>
            <w:pPr>
              <w:jc w:val="center"/>
              <w:rPr>
                <w:rFonts w:ascii="Times New Roman" w:hAnsi="Times New Roman" w:eastAsia="仿宋_GB2312"/>
                <w:kern w:val="0"/>
                <w:szCs w:val="21"/>
                <w:highlight w:val="none"/>
              </w:rPr>
            </w:pP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080" w:type="dxa"/>
            <w:vAlign w:val="center"/>
          </w:tcPr>
          <w:p>
            <w:pPr>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合计</w:t>
            </w:r>
          </w:p>
        </w:tc>
        <w:tc>
          <w:tcPr>
            <w:tcW w:w="5400" w:type="dxa"/>
            <w:gridSpan w:val="2"/>
            <w:vAlign w:val="center"/>
          </w:tcPr>
          <w:p>
            <w:pPr>
              <w:jc w:val="left"/>
              <w:rPr>
                <w:rFonts w:ascii="Times New Roman" w:hAnsi="Times New Roman" w:eastAsia="仿宋_GB2312"/>
                <w:kern w:val="0"/>
                <w:szCs w:val="21"/>
                <w:highlight w:val="none"/>
              </w:rPr>
            </w:pPr>
          </w:p>
        </w:tc>
        <w:tc>
          <w:tcPr>
            <w:tcW w:w="780" w:type="dxa"/>
            <w:vAlign w:val="center"/>
          </w:tcPr>
          <w:p>
            <w:pPr>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5</w:t>
            </w:r>
          </w:p>
        </w:tc>
        <w:tc>
          <w:tcPr>
            <w:tcW w:w="880" w:type="dxa"/>
            <w:vAlign w:val="center"/>
          </w:tcPr>
          <w:p>
            <w:pPr>
              <w:jc w:val="left"/>
              <w:rPr>
                <w:rFonts w:ascii="Times New Roman" w:hAnsi="Times New Roman" w:eastAsia="仿宋_GB2312"/>
                <w:kern w:val="0"/>
                <w:szCs w:val="21"/>
                <w:highlight w:val="none"/>
              </w:rPr>
            </w:pPr>
          </w:p>
        </w:tc>
        <w:tc>
          <w:tcPr>
            <w:tcW w:w="760" w:type="dxa"/>
            <w:vAlign w:val="center"/>
          </w:tcPr>
          <w:p>
            <w:pPr>
              <w:jc w:val="left"/>
              <w:rPr>
                <w:rFonts w:ascii="Times New Roman" w:hAnsi="Times New Roman" w:eastAsia="仿宋_GB2312"/>
                <w:kern w:val="0"/>
                <w:szCs w:val="21"/>
                <w:highlight w:val="none"/>
              </w:rPr>
            </w:pPr>
          </w:p>
        </w:tc>
        <w:tc>
          <w:tcPr>
            <w:tcW w:w="720" w:type="dxa"/>
            <w:vAlign w:val="center"/>
          </w:tcPr>
          <w:p>
            <w:pPr>
              <w:jc w:val="left"/>
              <w:rPr>
                <w:rFonts w:ascii="Times New Roman" w:hAnsi="Times New Roman" w:eastAsia="仿宋_GB2312"/>
                <w:kern w:val="0"/>
                <w:szCs w:val="21"/>
                <w:highlight w:val="none"/>
              </w:rPr>
            </w:pPr>
          </w:p>
        </w:tc>
      </w:tr>
    </w:tbl>
    <w:p>
      <w:pPr>
        <w:spacing w:line="600" w:lineRule="exact"/>
        <w:ind w:right="720" w:firstLine="210" w:firstLineChars="100"/>
        <w:jc w:val="left"/>
        <w:rPr>
          <w:rFonts w:hint="eastAsia" w:ascii="仿宋" w:hAnsi="仿宋" w:eastAsia="仿宋" w:cs="Arial Unicode MS"/>
          <w:color w:val="000000"/>
          <w:kern w:val="0"/>
          <w:szCs w:val="21"/>
          <w:highlight w:val="none"/>
        </w:rPr>
      </w:pPr>
      <w:r>
        <w:rPr>
          <w:rFonts w:hint="eastAsia" w:ascii="仿宋" w:hAnsi="仿宋" w:eastAsia="仿宋" w:cs="Arial Unicode MS"/>
          <w:color w:val="000000"/>
          <w:kern w:val="0"/>
          <w:szCs w:val="21"/>
          <w:highlight w:val="none"/>
        </w:rPr>
        <w:t xml:space="preserve">检查人员：   </w:t>
      </w:r>
    </w:p>
    <w:p>
      <w:pPr>
        <w:spacing w:line="600" w:lineRule="exact"/>
        <w:ind w:right="720" w:firstLine="210" w:firstLineChars="100"/>
        <w:jc w:val="left"/>
        <w:rPr>
          <w:rFonts w:hint="eastAsia" w:ascii="仿宋" w:hAnsi="仿宋" w:eastAsia="仿宋" w:cs="Arial Unicode MS"/>
          <w:color w:val="000000"/>
          <w:kern w:val="0"/>
          <w:szCs w:val="21"/>
          <w:highlight w:val="none"/>
        </w:rPr>
      </w:pPr>
      <w:r>
        <w:rPr>
          <w:rFonts w:hint="eastAsia" w:ascii="仿宋" w:hAnsi="仿宋" w:eastAsia="仿宋" w:cs="Arial Unicode MS"/>
          <w:color w:val="000000"/>
          <w:kern w:val="0"/>
          <w:szCs w:val="21"/>
          <w:highlight w:val="none"/>
        </w:rPr>
        <w:t xml:space="preserve">设施负责人签字：              </w:t>
      </w:r>
    </w:p>
    <w:p>
      <w:pPr>
        <w:spacing w:line="600" w:lineRule="exact"/>
        <w:ind w:right="720" w:firstLine="210" w:firstLineChars="100"/>
        <w:jc w:val="left"/>
        <w:rPr>
          <w:rFonts w:hint="eastAsia" w:ascii="仿宋" w:hAnsi="仿宋" w:eastAsia="仿宋" w:cs="Arial Unicode MS"/>
          <w:color w:val="000000"/>
          <w:kern w:val="0"/>
          <w:szCs w:val="21"/>
          <w:highlight w:val="none"/>
        </w:rPr>
      </w:pPr>
      <w:r>
        <w:rPr>
          <w:rFonts w:hint="eastAsia" w:ascii="仿宋" w:hAnsi="仿宋" w:eastAsia="仿宋" w:cs="Arial Unicode MS"/>
          <w:color w:val="000000"/>
          <w:kern w:val="0"/>
          <w:szCs w:val="21"/>
          <w:highlight w:val="none"/>
        </w:rPr>
        <w:t>日期：      年      月     日</w:t>
      </w:r>
    </w:p>
    <w:p>
      <w:pPr>
        <w:spacing w:line="600" w:lineRule="exact"/>
        <w:ind w:right="720"/>
        <w:jc w:val="left"/>
        <w:rPr>
          <w:rFonts w:hint="eastAsia" w:ascii="仿宋" w:hAnsi="仿宋" w:eastAsia="仿宋" w:cs="Arial Unicode MS"/>
          <w:color w:val="000000"/>
          <w:kern w:val="0"/>
          <w:szCs w:val="21"/>
          <w:highlight w:val="none"/>
        </w:rPr>
      </w:pPr>
      <w:r>
        <w:rPr>
          <w:rFonts w:hint="eastAsia" w:ascii="仿宋" w:hAnsi="仿宋" w:eastAsia="仿宋" w:cs="Arial Unicode MS"/>
          <w:color w:val="000000"/>
          <w:kern w:val="0"/>
          <w:szCs w:val="21"/>
          <w:highlight w:val="none"/>
        </w:rPr>
        <w:br w:type="page"/>
      </w:r>
    </w:p>
    <w:p>
      <w:pPr>
        <w:spacing w:line="600" w:lineRule="exact"/>
        <w:jc w:val="left"/>
        <w:rPr>
          <w:rFonts w:ascii="Times New Roman" w:hAnsi="Times New Roman" w:eastAsia="华文中宋"/>
          <w:b/>
          <w:sz w:val="28"/>
          <w:szCs w:val="28"/>
          <w:highlight w:val="none"/>
        </w:rPr>
      </w:pPr>
      <w:r>
        <w:rPr>
          <w:rFonts w:hint="eastAsia" w:ascii="Times New Roman" w:hAnsi="Times New Roman" w:eastAsia="华文中宋"/>
          <w:b/>
          <w:sz w:val="28"/>
          <w:szCs w:val="28"/>
          <w:highlight w:val="none"/>
        </w:rPr>
        <w:t>附表四：</w:t>
      </w:r>
    </w:p>
    <w:p>
      <w:pPr>
        <w:spacing w:line="600" w:lineRule="exact"/>
        <w:ind w:right="720" w:firstLine="210" w:firstLineChars="100"/>
        <w:jc w:val="left"/>
        <w:rPr>
          <w:rFonts w:hint="eastAsia" w:ascii="仿宋" w:hAnsi="仿宋" w:eastAsia="仿宋" w:cs="Arial Unicode MS"/>
          <w:color w:val="000000"/>
          <w:kern w:val="0"/>
          <w:szCs w:val="21"/>
          <w:highlight w:val="none"/>
        </w:rPr>
      </w:pPr>
      <w:r>
        <w:rPr>
          <w:rFonts w:hint="eastAsia" w:ascii="仿宋" w:hAnsi="仿宋" w:eastAsia="仿宋" w:cs="Arial Unicode MS"/>
          <w:color w:val="000000"/>
          <w:kern w:val="0"/>
          <w:szCs w:val="21"/>
          <w:highlight w:val="none"/>
        </w:rPr>
        <w:t xml:space="preserve">项目名称：            </w:t>
      </w:r>
      <w:r>
        <w:rPr>
          <w:rFonts w:ascii="仿宋" w:hAnsi="仿宋" w:eastAsia="仿宋" w:cs="Arial Unicode MS"/>
          <w:color w:val="000000"/>
          <w:kern w:val="0"/>
          <w:szCs w:val="21"/>
          <w:highlight w:val="none"/>
        </w:rPr>
        <w:t xml:space="preserve">                  </w:t>
      </w:r>
      <w:r>
        <w:rPr>
          <w:rFonts w:hint="eastAsia" w:ascii="仿宋" w:hAnsi="仿宋" w:eastAsia="仿宋" w:cs="Arial Unicode MS"/>
          <w:color w:val="000000"/>
          <w:kern w:val="0"/>
          <w:szCs w:val="21"/>
          <w:highlight w:val="none"/>
        </w:rPr>
        <w:t xml:space="preserve">         养护单位：                   </w:t>
      </w:r>
    </w:p>
    <w:tbl>
      <w:tblPr>
        <w:tblStyle w:val="88"/>
        <w:tblW w:w="53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2"/>
        <w:gridCol w:w="2344"/>
        <w:gridCol w:w="727"/>
        <w:gridCol w:w="2960"/>
        <w:gridCol w:w="1080"/>
        <w:gridCol w:w="751"/>
        <w:gridCol w:w="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blHeader/>
          <w:jc w:val="center"/>
        </w:trPr>
        <w:tc>
          <w:tcPr>
            <w:tcW w:w="5000" w:type="pct"/>
            <w:gridSpan w:val="7"/>
            <w:vAlign w:val="center"/>
          </w:tcPr>
          <w:p>
            <w:pPr>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城市道路科养护基地检查考核表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blHeader/>
          <w:jc w:val="center"/>
        </w:trPr>
        <w:tc>
          <w:tcPr>
            <w:tcW w:w="675" w:type="pct"/>
            <w:vAlign w:val="center"/>
          </w:tcPr>
          <w:p>
            <w:pPr>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检查项目</w:t>
            </w:r>
          </w:p>
        </w:tc>
        <w:tc>
          <w:tcPr>
            <w:tcW w:w="1170" w:type="pct"/>
            <w:vAlign w:val="center"/>
          </w:tcPr>
          <w:p>
            <w:pPr>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考核标准</w:t>
            </w:r>
          </w:p>
        </w:tc>
        <w:tc>
          <w:tcPr>
            <w:tcW w:w="363" w:type="pct"/>
            <w:vAlign w:val="center"/>
          </w:tcPr>
          <w:p>
            <w:pPr>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标准分</w:t>
            </w:r>
          </w:p>
        </w:tc>
        <w:tc>
          <w:tcPr>
            <w:tcW w:w="1478" w:type="pct"/>
            <w:vAlign w:val="center"/>
          </w:tcPr>
          <w:p>
            <w:pPr>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扣分标准</w:t>
            </w:r>
          </w:p>
        </w:tc>
        <w:tc>
          <w:tcPr>
            <w:tcW w:w="539" w:type="pct"/>
            <w:vAlign w:val="center"/>
          </w:tcPr>
          <w:p>
            <w:pPr>
              <w:ind w:left="8" w:leftChars="-72" w:right="-82" w:rightChars="-39" w:hanging="159" w:hangingChars="76"/>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扣分情况</w:t>
            </w:r>
          </w:p>
        </w:tc>
        <w:tc>
          <w:tcPr>
            <w:tcW w:w="375" w:type="pct"/>
            <w:vAlign w:val="center"/>
          </w:tcPr>
          <w:p>
            <w:pPr>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扣分</w:t>
            </w:r>
          </w:p>
        </w:tc>
        <w:tc>
          <w:tcPr>
            <w:tcW w:w="400" w:type="pct"/>
            <w:vAlign w:val="center"/>
          </w:tcPr>
          <w:p>
            <w:pPr>
              <w:ind w:left="-172" w:leftChars="-82" w:right="-42" w:rightChars="-20"/>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5" w:hRule="atLeast"/>
          <w:jc w:val="center"/>
        </w:trPr>
        <w:tc>
          <w:tcPr>
            <w:tcW w:w="675" w:type="pct"/>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桥下空间管理情况</w:t>
            </w:r>
          </w:p>
        </w:tc>
        <w:tc>
          <w:tcPr>
            <w:tcW w:w="1170" w:type="pct"/>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《上海市道路桥梁桥下空间内设施设置准则》等规范进行桥下空间内设施的设置和管理</w:t>
            </w:r>
          </w:p>
        </w:tc>
        <w:tc>
          <w:tcPr>
            <w:tcW w:w="363" w:type="pct"/>
            <w:vMerge w:val="restart"/>
            <w:noWrap/>
            <w:vAlign w:val="center"/>
          </w:tcPr>
          <w:p>
            <w:pPr>
              <w:ind w:firstLine="210" w:firstLineChars="100"/>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2</w:t>
            </w:r>
          </w:p>
        </w:tc>
        <w:tc>
          <w:tcPr>
            <w:tcW w:w="1478" w:type="pct"/>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1、转让、出租桥下空间，擅自改变桥下空间使用用途，扣2分；2、存在影响桥梁安全和妨碍养护、维修、检测的行为，扣0.5分；3、存在安全隐患且相关区道路管理部门未及时整改并反馈，扣0.5分；4、未按相关规定备案或备案手续不齐全，扣0.5分。</w:t>
            </w:r>
          </w:p>
        </w:tc>
        <w:tc>
          <w:tcPr>
            <w:tcW w:w="539" w:type="pct"/>
          </w:tcPr>
          <w:p>
            <w:pPr>
              <w:jc w:val="left"/>
              <w:rPr>
                <w:rFonts w:ascii="Times New Roman" w:hAnsi="Times New Roman" w:eastAsia="仿宋_GB2312"/>
                <w:kern w:val="0"/>
                <w:szCs w:val="21"/>
                <w:highlight w:val="none"/>
              </w:rPr>
            </w:pPr>
          </w:p>
        </w:tc>
        <w:tc>
          <w:tcPr>
            <w:tcW w:w="375" w:type="pct"/>
          </w:tcPr>
          <w:p>
            <w:pPr>
              <w:jc w:val="left"/>
              <w:rPr>
                <w:rFonts w:ascii="Times New Roman" w:hAnsi="Times New Roman" w:eastAsia="仿宋_GB2312"/>
                <w:kern w:val="0"/>
                <w:szCs w:val="21"/>
                <w:highlight w:val="none"/>
              </w:rPr>
            </w:pPr>
          </w:p>
        </w:tc>
        <w:tc>
          <w:tcPr>
            <w:tcW w:w="400" w:type="pct"/>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675" w:type="pc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监控管理</w:t>
            </w:r>
            <w:r>
              <w:rPr>
                <w:rFonts w:hint="eastAsia" w:ascii="Times New Roman" w:hAnsi="Times New Roman" w:eastAsia="仿宋_GB2312"/>
                <w:kern w:val="0"/>
                <w:szCs w:val="21"/>
                <w:highlight w:val="none"/>
              </w:rPr>
              <w:t>情况</w:t>
            </w:r>
          </w:p>
        </w:tc>
        <w:tc>
          <w:tcPr>
            <w:tcW w:w="1170" w:type="pc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监控设备完善，信号能正常运行，若有特殊情况发生时能积极反馈。</w:t>
            </w:r>
          </w:p>
        </w:tc>
        <w:tc>
          <w:tcPr>
            <w:tcW w:w="363" w:type="pct"/>
            <w:vMerge w:val="continue"/>
            <w:noWrap/>
            <w:vAlign w:val="center"/>
          </w:tcPr>
          <w:p>
            <w:pPr>
              <w:jc w:val="left"/>
              <w:rPr>
                <w:rFonts w:ascii="Times New Roman" w:hAnsi="Times New Roman" w:eastAsia="仿宋_GB2312"/>
                <w:kern w:val="0"/>
                <w:szCs w:val="21"/>
                <w:highlight w:val="none"/>
              </w:rPr>
            </w:pPr>
          </w:p>
        </w:tc>
        <w:tc>
          <w:tcPr>
            <w:tcW w:w="1478" w:type="pc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监控设备损坏，且未及时维护，每项扣</w:t>
            </w:r>
            <w:r>
              <w:rPr>
                <w:rFonts w:hint="eastAsia" w:ascii="Times New Roman" w:hAnsi="Times New Roman" w:eastAsia="仿宋_GB2312"/>
                <w:kern w:val="0"/>
                <w:szCs w:val="21"/>
                <w:highlight w:val="none"/>
              </w:rPr>
              <w:t>0.5</w:t>
            </w:r>
            <w:r>
              <w:rPr>
                <w:rFonts w:ascii="Times New Roman" w:hAnsi="Times New Roman" w:eastAsia="仿宋_GB2312"/>
                <w:kern w:val="0"/>
                <w:szCs w:val="21"/>
                <w:highlight w:val="none"/>
              </w:rPr>
              <w:t>分。</w:t>
            </w:r>
          </w:p>
        </w:tc>
        <w:tc>
          <w:tcPr>
            <w:tcW w:w="539" w:type="pct"/>
          </w:tcPr>
          <w:p>
            <w:pPr>
              <w:jc w:val="left"/>
              <w:rPr>
                <w:rFonts w:ascii="Times New Roman" w:hAnsi="Times New Roman" w:eastAsia="仿宋_GB2312"/>
                <w:kern w:val="0"/>
                <w:szCs w:val="21"/>
                <w:highlight w:val="none"/>
              </w:rPr>
            </w:pPr>
          </w:p>
        </w:tc>
        <w:tc>
          <w:tcPr>
            <w:tcW w:w="375" w:type="pct"/>
          </w:tcPr>
          <w:p>
            <w:pPr>
              <w:jc w:val="left"/>
              <w:rPr>
                <w:rFonts w:ascii="Times New Roman" w:hAnsi="Times New Roman" w:eastAsia="仿宋_GB2312"/>
                <w:kern w:val="0"/>
                <w:szCs w:val="21"/>
                <w:highlight w:val="none"/>
              </w:rPr>
            </w:pPr>
          </w:p>
        </w:tc>
        <w:tc>
          <w:tcPr>
            <w:tcW w:w="400" w:type="pct"/>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pc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消防、材料堆放等日常管理</w:t>
            </w:r>
            <w:r>
              <w:rPr>
                <w:rFonts w:hint="eastAsia" w:ascii="Times New Roman" w:hAnsi="Times New Roman" w:eastAsia="仿宋_GB2312"/>
                <w:kern w:val="0"/>
                <w:szCs w:val="21"/>
                <w:highlight w:val="none"/>
              </w:rPr>
              <w:t>情况</w:t>
            </w:r>
          </w:p>
        </w:tc>
        <w:tc>
          <w:tcPr>
            <w:tcW w:w="1170" w:type="pc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1.基地用房材料符合要求，且基地无涉及设施结</w:t>
            </w:r>
            <w:r>
              <w:rPr>
                <w:rFonts w:hint="eastAsia" w:ascii="微软雅黑" w:hAnsi="微软雅黑" w:eastAsia="微软雅黑" w:cs="微软雅黑"/>
                <w:kern w:val="0"/>
                <w:szCs w:val="21"/>
                <w:highlight w:val="none"/>
              </w:rPr>
              <w:t>抅</w:t>
            </w:r>
            <w:r>
              <w:rPr>
                <w:rFonts w:hint="eastAsia" w:ascii="仿宋_GB2312" w:hAnsi="仿宋_GB2312" w:eastAsia="仿宋_GB2312" w:cs="仿宋_GB2312"/>
                <w:kern w:val="0"/>
                <w:szCs w:val="21"/>
                <w:highlight w:val="none"/>
              </w:rPr>
              <w:t>、交通安全隐患问题；</w:t>
            </w:r>
            <w:r>
              <w:rPr>
                <w:rFonts w:ascii="Times New Roman" w:hAnsi="Times New Roman" w:eastAsia="仿宋_GB2312"/>
                <w:kern w:val="0"/>
                <w:szCs w:val="21"/>
                <w:highlight w:val="none"/>
              </w:rPr>
              <w:t>2.基地消防设施配备到位，且在有效期内；3.基地材料、设备分类堆放，且无危险物品存放或按规定存放；4.除办公室场所外均采用USB接口，电瓶车集中处置；5.特殊时期积极响应上级要求，并留有记录，如消毒、测温等记录。</w:t>
            </w:r>
          </w:p>
        </w:tc>
        <w:tc>
          <w:tcPr>
            <w:tcW w:w="363" w:type="pct"/>
            <w:vMerge w:val="continue"/>
            <w:noWrap/>
            <w:vAlign w:val="center"/>
          </w:tcPr>
          <w:p>
            <w:pPr>
              <w:jc w:val="left"/>
              <w:rPr>
                <w:rFonts w:ascii="Times New Roman" w:hAnsi="Times New Roman" w:eastAsia="仿宋_GB2312"/>
                <w:kern w:val="0"/>
                <w:szCs w:val="21"/>
                <w:highlight w:val="none"/>
              </w:rPr>
            </w:pPr>
          </w:p>
        </w:tc>
        <w:tc>
          <w:tcPr>
            <w:tcW w:w="1478" w:type="pc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1.基地涉及严重危害设施结</w:t>
            </w:r>
            <w:r>
              <w:rPr>
                <w:rFonts w:hint="eastAsia" w:ascii="微软雅黑" w:hAnsi="微软雅黑" w:eastAsia="微软雅黑" w:cs="微软雅黑"/>
                <w:kern w:val="0"/>
                <w:szCs w:val="21"/>
                <w:highlight w:val="none"/>
              </w:rPr>
              <w:t>抅</w:t>
            </w:r>
            <w:r>
              <w:rPr>
                <w:rFonts w:hint="eastAsia" w:ascii="仿宋_GB2312" w:hAnsi="仿宋_GB2312" w:eastAsia="仿宋_GB2312" w:cs="仿宋_GB2312"/>
                <w:kern w:val="0"/>
                <w:szCs w:val="21"/>
                <w:highlight w:val="none"/>
              </w:rPr>
              <w:t>、交通安全的隐患，每项扣</w:t>
            </w:r>
            <w:r>
              <w:rPr>
                <w:rFonts w:hint="eastAsia" w:ascii="Times New Roman" w:hAnsi="Times New Roman" w:eastAsia="仿宋_GB2312"/>
                <w:kern w:val="0"/>
                <w:szCs w:val="21"/>
                <w:highlight w:val="none"/>
              </w:rPr>
              <w:t>2</w:t>
            </w:r>
            <w:r>
              <w:rPr>
                <w:rFonts w:ascii="Times New Roman" w:hAnsi="Times New Roman" w:eastAsia="仿宋_GB2312"/>
                <w:kern w:val="0"/>
                <w:szCs w:val="21"/>
                <w:highlight w:val="none"/>
              </w:rPr>
              <w:t>分；2.基地用房材料不合规，且近期无改造计划，每项扣</w:t>
            </w:r>
            <w:r>
              <w:rPr>
                <w:rFonts w:hint="eastAsia" w:ascii="Times New Roman" w:hAnsi="Times New Roman" w:eastAsia="仿宋_GB2312"/>
                <w:kern w:val="0"/>
                <w:szCs w:val="21"/>
                <w:highlight w:val="none"/>
              </w:rPr>
              <w:t>1</w:t>
            </w:r>
            <w:r>
              <w:rPr>
                <w:rFonts w:ascii="Times New Roman" w:hAnsi="Times New Roman" w:eastAsia="仿宋_GB2312"/>
                <w:kern w:val="0"/>
                <w:szCs w:val="21"/>
                <w:highlight w:val="none"/>
              </w:rPr>
              <w:t>分；3.基地消防设施未配备到位，或未在有效期内，每项扣</w:t>
            </w:r>
            <w:r>
              <w:rPr>
                <w:rFonts w:hint="eastAsia" w:ascii="Times New Roman" w:hAnsi="Times New Roman" w:eastAsia="仿宋_GB2312"/>
                <w:kern w:val="0"/>
                <w:szCs w:val="21"/>
                <w:highlight w:val="none"/>
              </w:rPr>
              <w:t>0.5</w:t>
            </w:r>
            <w:r>
              <w:rPr>
                <w:rFonts w:ascii="Times New Roman" w:hAnsi="Times New Roman" w:eastAsia="仿宋_GB2312"/>
                <w:kern w:val="0"/>
                <w:szCs w:val="21"/>
                <w:highlight w:val="none"/>
              </w:rPr>
              <w:t>分；4.基地材料堆放杂乱或设备停放不规范，每项扣</w:t>
            </w:r>
            <w:r>
              <w:rPr>
                <w:rFonts w:hint="eastAsia" w:ascii="Times New Roman" w:hAnsi="Times New Roman" w:eastAsia="仿宋_GB2312"/>
                <w:kern w:val="0"/>
                <w:szCs w:val="21"/>
                <w:highlight w:val="none"/>
              </w:rPr>
              <w:t>0.5</w:t>
            </w:r>
            <w:r>
              <w:rPr>
                <w:rFonts w:ascii="Times New Roman" w:hAnsi="Times New Roman" w:eastAsia="仿宋_GB2312"/>
                <w:kern w:val="0"/>
                <w:szCs w:val="21"/>
                <w:highlight w:val="none"/>
              </w:rPr>
              <w:t>分；5.基地不按规定存放危险物品，每项扣</w:t>
            </w:r>
            <w:r>
              <w:rPr>
                <w:rFonts w:hint="eastAsia" w:ascii="Times New Roman" w:hAnsi="Times New Roman" w:eastAsia="仿宋_GB2312"/>
                <w:kern w:val="0"/>
                <w:szCs w:val="21"/>
                <w:highlight w:val="none"/>
              </w:rPr>
              <w:t>0.5</w:t>
            </w:r>
            <w:r>
              <w:rPr>
                <w:rFonts w:ascii="Times New Roman" w:hAnsi="Times New Roman" w:eastAsia="仿宋_GB2312"/>
                <w:kern w:val="0"/>
                <w:szCs w:val="21"/>
                <w:highlight w:val="none"/>
              </w:rPr>
              <w:t>分；6.除办公室场所外若未采用USB接口，或电瓶车集中处置，每项扣</w:t>
            </w:r>
            <w:r>
              <w:rPr>
                <w:rFonts w:hint="eastAsia" w:ascii="Times New Roman" w:hAnsi="Times New Roman" w:eastAsia="仿宋_GB2312"/>
                <w:kern w:val="0"/>
                <w:szCs w:val="21"/>
                <w:highlight w:val="none"/>
              </w:rPr>
              <w:t>0.</w:t>
            </w:r>
            <w:r>
              <w:rPr>
                <w:rFonts w:ascii="Times New Roman" w:hAnsi="Times New Roman" w:eastAsia="仿宋_GB2312"/>
                <w:kern w:val="0"/>
                <w:szCs w:val="21"/>
                <w:highlight w:val="none"/>
              </w:rPr>
              <w:t>5分；6.特殊时期未积极响应上级要求，记录不全或残缺，如消毒等记录，每项扣</w:t>
            </w:r>
            <w:r>
              <w:rPr>
                <w:rFonts w:hint="eastAsia" w:ascii="Times New Roman" w:hAnsi="Times New Roman" w:eastAsia="仿宋_GB2312"/>
                <w:kern w:val="0"/>
                <w:szCs w:val="21"/>
                <w:highlight w:val="none"/>
              </w:rPr>
              <w:t>0.5</w:t>
            </w:r>
            <w:r>
              <w:rPr>
                <w:rFonts w:ascii="Times New Roman" w:hAnsi="Times New Roman" w:eastAsia="仿宋_GB2312"/>
                <w:kern w:val="0"/>
                <w:szCs w:val="21"/>
                <w:highlight w:val="none"/>
              </w:rPr>
              <w:t>分。</w:t>
            </w:r>
          </w:p>
        </w:tc>
        <w:tc>
          <w:tcPr>
            <w:tcW w:w="539" w:type="pct"/>
          </w:tcPr>
          <w:p>
            <w:pPr>
              <w:jc w:val="left"/>
              <w:rPr>
                <w:rFonts w:ascii="Times New Roman" w:hAnsi="Times New Roman" w:eastAsia="仿宋_GB2312"/>
                <w:kern w:val="0"/>
                <w:szCs w:val="21"/>
                <w:highlight w:val="none"/>
              </w:rPr>
            </w:pPr>
          </w:p>
        </w:tc>
        <w:tc>
          <w:tcPr>
            <w:tcW w:w="375" w:type="pct"/>
          </w:tcPr>
          <w:p>
            <w:pPr>
              <w:jc w:val="left"/>
              <w:rPr>
                <w:rFonts w:ascii="Times New Roman" w:hAnsi="Times New Roman" w:eastAsia="仿宋_GB2312"/>
                <w:kern w:val="0"/>
                <w:szCs w:val="21"/>
                <w:highlight w:val="none"/>
              </w:rPr>
            </w:pPr>
          </w:p>
        </w:tc>
        <w:tc>
          <w:tcPr>
            <w:tcW w:w="400" w:type="pct"/>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pc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人员管理</w:t>
            </w:r>
            <w:r>
              <w:rPr>
                <w:rFonts w:hint="eastAsia" w:ascii="Times New Roman" w:hAnsi="Times New Roman" w:eastAsia="仿宋_GB2312"/>
                <w:kern w:val="0"/>
                <w:szCs w:val="21"/>
                <w:highlight w:val="none"/>
              </w:rPr>
              <w:t>情况</w:t>
            </w:r>
          </w:p>
        </w:tc>
        <w:tc>
          <w:tcPr>
            <w:tcW w:w="1170" w:type="pc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1.居住人员信息齐全、合规；2.人员进出实行严格出入登记制度，并留有记录；</w:t>
            </w:r>
          </w:p>
        </w:tc>
        <w:tc>
          <w:tcPr>
            <w:tcW w:w="363" w:type="pct"/>
            <w:vMerge w:val="continue"/>
            <w:noWrap/>
            <w:vAlign w:val="center"/>
          </w:tcPr>
          <w:p>
            <w:pPr>
              <w:jc w:val="left"/>
              <w:rPr>
                <w:rFonts w:ascii="Times New Roman" w:hAnsi="Times New Roman" w:eastAsia="仿宋_GB2312"/>
                <w:kern w:val="0"/>
                <w:szCs w:val="21"/>
                <w:highlight w:val="none"/>
              </w:rPr>
            </w:pPr>
          </w:p>
        </w:tc>
        <w:tc>
          <w:tcPr>
            <w:tcW w:w="1478" w:type="pc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1.居住人员信息不齐全或不合规，每项扣</w:t>
            </w:r>
            <w:r>
              <w:rPr>
                <w:rFonts w:hint="eastAsia" w:ascii="Times New Roman" w:hAnsi="Times New Roman" w:eastAsia="仿宋_GB2312"/>
                <w:kern w:val="0"/>
                <w:szCs w:val="21"/>
                <w:highlight w:val="none"/>
              </w:rPr>
              <w:t>0.</w:t>
            </w:r>
            <w:r>
              <w:rPr>
                <w:rFonts w:ascii="Times New Roman" w:hAnsi="Times New Roman" w:eastAsia="仿宋_GB2312"/>
                <w:kern w:val="0"/>
                <w:szCs w:val="21"/>
                <w:highlight w:val="none"/>
              </w:rPr>
              <w:t>5分；2.人员进出未实行严格出入登记制度，每项扣</w:t>
            </w:r>
            <w:r>
              <w:rPr>
                <w:rFonts w:hint="eastAsia" w:ascii="Times New Roman" w:hAnsi="Times New Roman" w:eastAsia="仿宋_GB2312"/>
                <w:kern w:val="0"/>
                <w:szCs w:val="21"/>
                <w:highlight w:val="none"/>
              </w:rPr>
              <w:t>0.5</w:t>
            </w:r>
            <w:r>
              <w:rPr>
                <w:rFonts w:ascii="Times New Roman" w:hAnsi="Times New Roman" w:eastAsia="仿宋_GB2312"/>
                <w:kern w:val="0"/>
                <w:szCs w:val="21"/>
                <w:highlight w:val="none"/>
              </w:rPr>
              <w:t>分；</w:t>
            </w:r>
            <w:r>
              <w:rPr>
                <w:rFonts w:hint="eastAsia" w:ascii="Times New Roman" w:hAnsi="Times New Roman" w:eastAsia="仿宋_GB2312"/>
                <w:kern w:val="0"/>
                <w:szCs w:val="21"/>
                <w:highlight w:val="none"/>
              </w:rPr>
              <w:t>严禁在基地内饮酒、斗殴、赌博、吸毒、卖淫、奸宿、传播和放映淫秽录像，宣传迷信书画等违法活动</w:t>
            </w:r>
            <w:r>
              <w:rPr>
                <w:rFonts w:ascii="Times New Roman" w:hAnsi="Times New Roman" w:eastAsia="仿宋_GB2312"/>
                <w:kern w:val="0"/>
                <w:szCs w:val="21"/>
                <w:highlight w:val="none"/>
              </w:rPr>
              <w:t>每项扣</w:t>
            </w:r>
            <w:r>
              <w:rPr>
                <w:rFonts w:hint="eastAsia" w:ascii="Times New Roman" w:hAnsi="Times New Roman" w:eastAsia="仿宋_GB2312"/>
                <w:kern w:val="0"/>
                <w:szCs w:val="21"/>
                <w:highlight w:val="none"/>
              </w:rPr>
              <w:t>0.</w:t>
            </w:r>
            <w:r>
              <w:rPr>
                <w:rFonts w:ascii="Times New Roman" w:hAnsi="Times New Roman" w:eastAsia="仿宋_GB2312"/>
                <w:kern w:val="0"/>
                <w:szCs w:val="21"/>
                <w:highlight w:val="none"/>
              </w:rPr>
              <w:t>5分</w:t>
            </w:r>
            <w:r>
              <w:rPr>
                <w:rFonts w:hint="eastAsia" w:ascii="Times New Roman" w:hAnsi="Times New Roman" w:eastAsia="仿宋_GB2312"/>
                <w:kern w:val="0"/>
                <w:szCs w:val="21"/>
                <w:highlight w:val="none"/>
              </w:rPr>
              <w:t>。</w:t>
            </w:r>
          </w:p>
        </w:tc>
        <w:tc>
          <w:tcPr>
            <w:tcW w:w="539" w:type="pct"/>
          </w:tcPr>
          <w:p>
            <w:pPr>
              <w:jc w:val="left"/>
              <w:rPr>
                <w:rFonts w:ascii="Times New Roman" w:hAnsi="Times New Roman" w:eastAsia="仿宋_GB2312"/>
                <w:kern w:val="0"/>
                <w:szCs w:val="21"/>
                <w:highlight w:val="none"/>
              </w:rPr>
            </w:pPr>
          </w:p>
        </w:tc>
        <w:tc>
          <w:tcPr>
            <w:tcW w:w="375" w:type="pct"/>
          </w:tcPr>
          <w:p>
            <w:pPr>
              <w:jc w:val="left"/>
              <w:rPr>
                <w:rFonts w:ascii="Times New Roman" w:hAnsi="Times New Roman" w:eastAsia="仿宋_GB2312"/>
                <w:kern w:val="0"/>
                <w:szCs w:val="21"/>
                <w:highlight w:val="none"/>
              </w:rPr>
            </w:pPr>
          </w:p>
        </w:tc>
        <w:tc>
          <w:tcPr>
            <w:tcW w:w="400" w:type="pct"/>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pc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信息上墙情况</w:t>
            </w:r>
          </w:p>
        </w:tc>
        <w:tc>
          <w:tcPr>
            <w:tcW w:w="1170" w:type="pc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1.</w:t>
            </w:r>
            <w:r>
              <w:rPr>
                <w:rFonts w:hint="eastAsia" w:ascii="Times New Roman" w:hAnsi="Times New Roman" w:eastAsia="仿宋_GB2312"/>
                <w:kern w:val="0"/>
                <w:szCs w:val="21"/>
                <w:highlight w:val="none"/>
              </w:rPr>
              <w:t>养护基地</w:t>
            </w:r>
            <w:r>
              <w:rPr>
                <w:rFonts w:ascii="Times New Roman" w:hAnsi="Times New Roman" w:eastAsia="仿宋_GB2312"/>
                <w:kern w:val="0"/>
                <w:szCs w:val="21"/>
                <w:highlight w:val="none"/>
              </w:rPr>
              <w:t>管理相关制度上墙，并及时更新维护；2.</w:t>
            </w:r>
            <w:r>
              <w:rPr>
                <w:rFonts w:hint="eastAsia" w:ascii="Times New Roman" w:hAnsi="Times New Roman" w:eastAsia="仿宋_GB2312"/>
                <w:kern w:val="0"/>
                <w:szCs w:val="21"/>
                <w:highlight w:val="none"/>
              </w:rPr>
              <w:t>养护基地</w:t>
            </w:r>
            <w:r>
              <w:rPr>
                <w:rFonts w:ascii="Times New Roman" w:hAnsi="Times New Roman" w:eastAsia="仿宋_GB2312"/>
                <w:kern w:val="0"/>
                <w:szCs w:val="21"/>
                <w:highlight w:val="none"/>
              </w:rPr>
              <w:t>管理责任人员、居住人员信息上墙，一一对应，并及时动态更新替换；3.特殊时期相关文件、指示等及时上墙公示。</w:t>
            </w:r>
          </w:p>
        </w:tc>
        <w:tc>
          <w:tcPr>
            <w:tcW w:w="363" w:type="pct"/>
            <w:vMerge w:val="continue"/>
            <w:vAlign w:val="center"/>
          </w:tcPr>
          <w:p>
            <w:pPr>
              <w:jc w:val="left"/>
              <w:rPr>
                <w:rFonts w:ascii="Times New Roman" w:hAnsi="Times New Roman" w:eastAsia="仿宋_GB2312"/>
                <w:kern w:val="0"/>
                <w:szCs w:val="21"/>
                <w:highlight w:val="none"/>
              </w:rPr>
            </w:pPr>
          </w:p>
        </w:tc>
        <w:tc>
          <w:tcPr>
            <w:tcW w:w="1478" w:type="pc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1.</w:t>
            </w:r>
            <w:r>
              <w:rPr>
                <w:rFonts w:hint="eastAsia" w:ascii="Times New Roman" w:hAnsi="Times New Roman" w:eastAsia="仿宋_GB2312"/>
                <w:kern w:val="0"/>
                <w:szCs w:val="21"/>
                <w:highlight w:val="none"/>
              </w:rPr>
              <w:t>养护基地</w:t>
            </w:r>
            <w:r>
              <w:rPr>
                <w:rFonts w:ascii="Times New Roman" w:hAnsi="Times New Roman" w:eastAsia="仿宋_GB2312"/>
                <w:kern w:val="0"/>
                <w:szCs w:val="21"/>
                <w:highlight w:val="none"/>
              </w:rPr>
              <w:t>管理相关制度未及时上墙，或未及时更新维护，每项扣</w:t>
            </w:r>
            <w:r>
              <w:rPr>
                <w:rFonts w:hint="eastAsia" w:ascii="Times New Roman" w:hAnsi="Times New Roman" w:eastAsia="仿宋_GB2312"/>
                <w:kern w:val="0"/>
                <w:szCs w:val="21"/>
                <w:highlight w:val="none"/>
              </w:rPr>
              <w:t>0.5</w:t>
            </w:r>
            <w:r>
              <w:rPr>
                <w:rFonts w:ascii="Times New Roman" w:hAnsi="Times New Roman" w:eastAsia="仿宋_GB2312"/>
                <w:kern w:val="0"/>
                <w:szCs w:val="21"/>
                <w:highlight w:val="none"/>
              </w:rPr>
              <w:t>分；2.</w:t>
            </w:r>
            <w:r>
              <w:rPr>
                <w:rFonts w:hint="eastAsia" w:ascii="Times New Roman" w:hAnsi="Times New Roman" w:eastAsia="仿宋_GB2312"/>
                <w:kern w:val="0"/>
                <w:szCs w:val="21"/>
                <w:highlight w:val="none"/>
              </w:rPr>
              <w:t>养护基地</w:t>
            </w:r>
            <w:r>
              <w:rPr>
                <w:rFonts w:ascii="Times New Roman" w:hAnsi="Times New Roman" w:eastAsia="仿宋_GB2312"/>
                <w:kern w:val="0"/>
                <w:szCs w:val="21"/>
                <w:highlight w:val="none"/>
              </w:rPr>
              <w:t>管理责任人员、居住人员信息未上墙，或未一一对应，或未及时动态更新替换，每项扣</w:t>
            </w:r>
            <w:r>
              <w:rPr>
                <w:rFonts w:hint="eastAsia" w:ascii="Times New Roman" w:hAnsi="Times New Roman" w:eastAsia="仿宋_GB2312"/>
                <w:kern w:val="0"/>
                <w:szCs w:val="21"/>
                <w:highlight w:val="none"/>
              </w:rPr>
              <w:t>0.</w:t>
            </w:r>
            <w:r>
              <w:rPr>
                <w:rFonts w:ascii="Times New Roman" w:hAnsi="Times New Roman" w:eastAsia="仿宋_GB2312"/>
                <w:kern w:val="0"/>
                <w:szCs w:val="21"/>
                <w:highlight w:val="none"/>
              </w:rPr>
              <w:t>5分；3.特殊时期相关文件、指示等未及时上墙公示，每项扣</w:t>
            </w:r>
            <w:r>
              <w:rPr>
                <w:rFonts w:hint="eastAsia" w:ascii="Times New Roman" w:hAnsi="Times New Roman" w:eastAsia="仿宋_GB2312"/>
                <w:kern w:val="0"/>
                <w:szCs w:val="21"/>
                <w:highlight w:val="none"/>
              </w:rPr>
              <w:t>0.</w:t>
            </w:r>
            <w:r>
              <w:rPr>
                <w:rFonts w:ascii="Times New Roman" w:hAnsi="Times New Roman" w:eastAsia="仿宋_GB2312"/>
                <w:kern w:val="0"/>
                <w:szCs w:val="21"/>
                <w:highlight w:val="none"/>
              </w:rPr>
              <w:t>5分。</w:t>
            </w:r>
          </w:p>
        </w:tc>
        <w:tc>
          <w:tcPr>
            <w:tcW w:w="539" w:type="pct"/>
          </w:tcPr>
          <w:p>
            <w:pPr>
              <w:jc w:val="left"/>
              <w:rPr>
                <w:rFonts w:ascii="Times New Roman" w:hAnsi="Times New Roman" w:eastAsia="仿宋_GB2312"/>
                <w:kern w:val="0"/>
                <w:szCs w:val="21"/>
                <w:highlight w:val="none"/>
              </w:rPr>
            </w:pPr>
          </w:p>
        </w:tc>
        <w:tc>
          <w:tcPr>
            <w:tcW w:w="375" w:type="pct"/>
          </w:tcPr>
          <w:p>
            <w:pPr>
              <w:jc w:val="left"/>
              <w:rPr>
                <w:rFonts w:ascii="Times New Roman" w:hAnsi="Times New Roman" w:eastAsia="仿宋_GB2312"/>
                <w:kern w:val="0"/>
                <w:szCs w:val="21"/>
                <w:highlight w:val="none"/>
              </w:rPr>
            </w:pPr>
          </w:p>
        </w:tc>
        <w:tc>
          <w:tcPr>
            <w:tcW w:w="400" w:type="pct"/>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675" w:type="pc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总分</w:t>
            </w:r>
          </w:p>
        </w:tc>
        <w:tc>
          <w:tcPr>
            <w:tcW w:w="1170" w:type="pct"/>
            <w:vAlign w:val="center"/>
          </w:tcPr>
          <w:p>
            <w:pPr>
              <w:jc w:val="left"/>
              <w:rPr>
                <w:rFonts w:ascii="Times New Roman" w:hAnsi="Times New Roman" w:eastAsia="仿宋_GB2312"/>
                <w:kern w:val="0"/>
                <w:szCs w:val="21"/>
                <w:highlight w:val="none"/>
              </w:rPr>
            </w:pPr>
          </w:p>
        </w:tc>
        <w:tc>
          <w:tcPr>
            <w:tcW w:w="363" w:type="pct"/>
            <w:vAlign w:val="center"/>
          </w:tcPr>
          <w:p>
            <w:pPr>
              <w:ind w:firstLine="210" w:firstLineChars="100"/>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2</w:t>
            </w:r>
          </w:p>
        </w:tc>
        <w:tc>
          <w:tcPr>
            <w:tcW w:w="1478" w:type="pct"/>
            <w:vAlign w:val="center"/>
          </w:tcPr>
          <w:p>
            <w:pPr>
              <w:jc w:val="left"/>
              <w:rPr>
                <w:rFonts w:ascii="Times New Roman" w:hAnsi="Times New Roman" w:eastAsia="仿宋_GB2312"/>
                <w:kern w:val="0"/>
                <w:szCs w:val="21"/>
                <w:highlight w:val="none"/>
              </w:rPr>
            </w:pPr>
          </w:p>
        </w:tc>
        <w:tc>
          <w:tcPr>
            <w:tcW w:w="539" w:type="pct"/>
          </w:tcPr>
          <w:p>
            <w:pPr>
              <w:jc w:val="left"/>
              <w:rPr>
                <w:rFonts w:ascii="Times New Roman" w:hAnsi="Times New Roman" w:eastAsia="仿宋_GB2312"/>
                <w:kern w:val="0"/>
                <w:szCs w:val="21"/>
                <w:highlight w:val="none"/>
              </w:rPr>
            </w:pPr>
          </w:p>
        </w:tc>
        <w:tc>
          <w:tcPr>
            <w:tcW w:w="375" w:type="pct"/>
          </w:tcPr>
          <w:p>
            <w:pPr>
              <w:jc w:val="left"/>
              <w:rPr>
                <w:rFonts w:ascii="Times New Roman" w:hAnsi="Times New Roman" w:eastAsia="仿宋_GB2312"/>
                <w:kern w:val="0"/>
                <w:szCs w:val="21"/>
                <w:highlight w:val="none"/>
              </w:rPr>
            </w:pPr>
          </w:p>
        </w:tc>
        <w:tc>
          <w:tcPr>
            <w:tcW w:w="400" w:type="pct"/>
          </w:tcPr>
          <w:p>
            <w:pPr>
              <w:jc w:val="left"/>
              <w:rPr>
                <w:rFonts w:ascii="Times New Roman" w:hAnsi="Times New Roman" w:eastAsia="仿宋_GB2312"/>
                <w:kern w:val="0"/>
                <w:szCs w:val="21"/>
                <w:highlight w:val="none"/>
              </w:rPr>
            </w:pPr>
          </w:p>
        </w:tc>
      </w:tr>
    </w:tbl>
    <w:p>
      <w:pPr>
        <w:spacing w:line="600" w:lineRule="exact"/>
        <w:ind w:right="720" w:firstLine="210" w:firstLineChars="100"/>
        <w:jc w:val="left"/>
        <w:rPr>
          <w:rFonts w:hint="eastAsia" w:ascii="仿宋" w:hAnsi="仿宋" w:eastAsia="仿宋" w:cs="Arial Unicode MS"/>
          <w:color w:val="000000"/>
          <w:kern w:val="0"/>
          <w:szCs w:val="21"/>
          <w:highlight w:val="none"/>
        </w:rPr>
      </w:pPr>
      <w:r>
        <w:rPr>
          <w:rFonts w:hint="eastAsia" w:ascii="仿宋" w:hAnsi="仿宋" w:eastAsia="仿宋" w:cs="Arial Unicode MS"/>
          <w:color w:val="000000"/>
          <w:kern w:val="0"/>
          <w:szCs w:val="21"/>
          <w:highlight w:val="none"/>
        </w:rPr>
        <w:t xml:space="preserve">检查人员：   </w:t>
      </w:r>
    </w:p>
    <w:p>
      <w:pPr>
        <w:spacing w:line="600" w:lineRule="exact"/>
        <w:ind w:right="720" w:firstLine="210" w:firstLineChars="100"/>
        <w:jc w:val="left"/>
        <w:rPr>
          <w:rFonts w:hint="eastAsia" w:ascii="仿宋" w:hAnsi="仿宋" w:eastAsia="仿宋" w:cs="Arial Unicode MS"/>
          <w:color w:val="000000"/>
          <w:kern w:val="0"/>
          <w:szCs w:val="21"/>
          <w:highlight w:val="none"/>
        </w:rPr>
      </w:pPr>
      <w:r>
        <w:rPr>
          <w:rFonts w:hint="eastAsia" w:ascii="仿宋" w:hAnsi="仿宋" w:eastAsia="仿宋" w:cs="Arial Unicode MS"/>
          <w:color w:val="000000"/>
          <w:kern w:val="0"/>
          <w:szCs w:val="21"/>
          <w:highlight w:val="none"/>
        </w:rPr>
        <w:t xml:space="preserve">设施负责人签字：              </w:t>
      </w:r>
    </w:p>
    <w:p>
      <w:pPr>
        <w:spacing w:line="600" w:lineRule="exact"/>
        <w:ind w:right="720" w:firstLine="210" w:firstLineChars="100"/>
        <w:jc w:val="left"/>
        <w:rPr>
          <w:rFonts w:hint="eastAsia" w:ascii="仿宋" w:hAnsi="仿宋" w:eastAsia="仿宋" w:cs="Arial Unicode MS"/>
          <w:color w:val="000000"/>
          <w:kern w:val="0"/>
          <w:szCs w:val="21"/>
          <w:highlight w:val="none"/>
        </w:rPr>
      </w:pPr>
      <w:r>
        <w:rPr>
          <w:rFonts w:hint="eastAsia" w:ascii="仿宋" w:hAnsi="仿宋" w:eastAsia="仿宋" w:cs="Arial Unicode MS"/>
          <w:color w:val="000000"/>
          <w:kern w:val="0"/>
          <w:szCs w:val="21"/>
          <w:highlight w:val="none"/>
        </w:rPr>
        <w:t>日期：      年      月     日</w:t>
      </w:r>
    </w:p>
    <w:p>
      <w:pPr>
        <w:spacing w:line="600" w:lineRule="exact"/>
        <w:ind w:right="720" w:firstLine="210" w:firstLineChars="100"/>
        <w:jc w:val="left"/>
        <w:rPr>
          <w:rFonts w:hint="eastAsia" w:ascii="仿宋" w:hAnsi="仿宋" w:eastAsia="仿宋" w:cs="Arial Unicode MS"/>
          <w:color w:val="000000"/>
          <w:kern w:val="0"/>
          <w:szCs w:val="21"/>
          <w:highlight w:val="none"/>
        </w:rPr>
      </w:pPr>
    </w:p>
    <w:p>
      <w:pPr>
        <w:spacing w:line="600" w:lineRule="exact"/>
        <w:ind w:right="720"/>
        <w:jc w:val="left"/>
        <w:rPr>
          <w:rFonts w:hint="eastAsia" w:ascii="仿宋" w:hAnsi="仿宋" w:eastAsia="仿宋" w:cs="Arial Unicode MS"/>
          <w:color w:val="000000"/>
          <w:kern w:val="0"/>
          <w:szCs w:val="21"/>
          <w:highlight w:val="none"/>
        </w:rPr>
      </w:pPr>
      <w:r>
        <w:rPr>
          <w:rFonts w:hint="eastAsia" w:ascii="仿宋" w:hAnsi="仿宋" w:eastAsia="仿宋" w:cs="Arial Unicode MS"/>
          <w:color w:val="000000"/>
          <w:kern w:val="0"/>
          <w:szCs w:val="21"/>
          <w:highlight w:val="none"/>
        </w:rPr>
        <w:br w:type="page"/>
      </w:r>
    </w:p>
    <w:p>
      <w:pPr>
        <w:spacing w:line="600" w:lineRule="exact"/>
        <w:jc w:val="left"/>
        <w:rPr>
          <w:rFonts w:ascii="Times New Roman" w:hAnsi="Times New Roman" w:eastAsia="华文中宋"/>
          <w:b/>
          <w:sz w:val="28"/>
          <w:szCs w:val="28"/>
          <w:highlight w:val="none"/>
        </w:rPr>
      </w:pPr>
      <w:r>
        <w:rPr>
          <w:rFonts w:ascii="Times New Roman" w:hAnsi="Times New Roman" w:eastAsia="华文中宋"/>
          <w:b/>
          <w:sz w:val="28"/>
          <w:szCs w:val="28"/>
          <w:highlight w:val="none"/>
        </w:rPr>
        <w:t>附</w:t>
      </w:r>
      <w:r>
        <w:rPr>
          <w:rFonts w:hint="eastAsia" w:ascii="Times New Roman" w:hAnsi="Times New Roman" w:eastAsia="华文中宋"/>
          <w:b/>
          <w:sz w:val="28"/>
          <w:szCs w:val="28"/>
          <w:highlight w:val="none"/>
        </w:rPr>
        <w:t>表五</w:t>
      </w:r>
      <w:r>
        <w:rPr>
          <w:rFonts w:ascii="Times New Roman" w:hAnsi="Times New Roman" w:eastAsia="华文中宋"/>
          <w:b/>
          <w:sz w:val="28"/>
          <w:szCs w:val="28"/>
          <w:highlight w:val="none"/>
        </w:rPr>
        <w:t>：</w:t>
      </w:r>
    </w:p>
    <w:tbl>
      <w:tblPr>
        <w:tblStyle w:val="89"/>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856"/>
        <w:gridCol w:w="859"/>
        <w:gridCol w:w="4242"/>
        <w:gridCol w:w="1556"/>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8647" w:type="dxa"/>
            <w:gridSpan w:val="6"/>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市管城市道路主体设施养护运维月度专项考核评分表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blHeader/>
          <w:jc w:val="center"/>
        </w:trPr>
        <w:tc>
          <w:tcPr>
            <w:tcW w:w="6383" w:type="dxa"/>
            <w:gridSpan w:val="4"/>
            <w:vMerge w:val="restar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 xml:space="preserve">考核设施：                   </w:t>
            </w:r>
          </w:p>
        </w:tc>
        <w:tc>
          <w:tcPr>
            <w:tcW w:w="2264" w:type="dxa"/>
            <w:gridSpan w:val="2"/>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检查日期：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blHeader/>
          <w:jc w:val="center"/>
        </w:trPr>
        <w:tc>
          <w:tcPr>
            <w:tcW w:w="6383" w:type="dxa"/>
            <w:gridSpan w:val="4"/>
            <w:vMerge w:val="continue"/>
            <w:vAlign w:val="center"/>
          </w:tcPr>
          <w:p>
            <w:pPr>
              <w:jc w:val="left"/>
              <w:rPr>
                <w:rFonts w:ascii="Times New Roman" w:hAnsi="Times New Roman" w:eastAsia="仿宋_GB2312"/>
                <w:kern w:val="0"/>
                <w:szCs w:val="21"/>
                <w:highlight w:val="none"/>
              </w:rPr>
            </w:pPr>
          </w:p>
        </w:tc>
        <w:tc>
          <w:tcPr>
            <w:tcW w:w="2264" w:type="dxa"/>
            <w:gridSpan w:val="2"/>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检查人员：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26"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分类</w:t>
            </w:r>
          </w:p>
        </w:tc>
        <w:tc>
          <w:tcPr>
            <w:tcW w:w="856"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序号</w:t>
            </w:r>
          </w:p>
        </w:tc>
        <w:tc>
          <w:tcPr>
            <w:tcW w:w="859"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项目</w:t>
            </w:r>
          </w:p>
        </w:tc>
        <w:tc>
          <w:tcPr>
            <w:tcW w:w="424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评分标准</w:t>
            </w:r>
          </w:p>
        </w:tc>
        <w:tc>
          <w:tcPr>
            <w:tcW w:w="1556"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标准分</w:t>
            </w:r>
          </w:p>
        </w:tc>
        <w:tc>
          <w:tcPr>
            <w:tcW w:w="708"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考核得分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restar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扣分</w:t>
            </w:r>
          </w:p>
        </w:tc>
        <w:tc>
          <w:tcPr>
            <w:tcW w:w="856"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1</w:t>
            </w:r>
          </w:p>
        </w:tc>
        <w:tc>
          <w:tcPr>
            <w:tcW w:w="859" w:type="dxa"/>
            <w:vMerge w:val="restart"/>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管理要求</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执行</w:t>
            </w:r>
          </w:p>
        </w:tc>
        <w:tc>
          <w:tcPr>
            <w:tcW w:w="424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社会舆论和信访投诉：</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未在规定时间内及时妥善处理人民来信、来电、来访等诉求工单和社会投诉，每次扣2分；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行业、业主、上级部门点名批评或书面通报，每次扣3分；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有责并被社会新闻媒体公开负面报道或造成严重舆情影响，每次扣5分。</w:t>
            </w:r>
          </w:p>
        </w:tc>
        <w:tc>
          <w:tcPr>
            <w:tcW w:w="1556"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扣2~5分</w:t>
            </w:r>
            <w:r>
              <w:rPr>
                <w:rFonts w:hint="eastAsia" w:ascii="Times New Roman" w:hAnsi="Times New Roman" w:eastAsia="仿宋_GB2312"/>
                <w:kern w:val="0"/>
                <w:szCs w:val="21"/>
                <w:highlight w:val="none"/>
              </w:rPr>
              <w:t>/次</w:t>
            </w:r>
          </w:p>
        </w:tc>
        <w:tc>
          <w:tcPr>
            <w:tcW w:w="708"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jc w:val="left"/>
              <w:rPr>
                <w:rFonts w:ascii="Times New Roman" w:hAnsi="Times New Roman" w:eastAsia="仿宋_GB2312"/>
                <w:kern w:val="0"/>
                <w:szCs w:val="21"/>
                <w:highlight w:val="none"/>
              </w:rPr>
            </w:pPr>
          </w:p>
        </w:tc>
        <w:tc>
          <w:tcPr>
            <w:tcW w:w="856"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2</w:t>
            </w:r>
          </w:p>
        </w:tc>
        <w:tc>
          <w:tcPr>
            <w:tcW w:w="859" w:type="dxa"/>
            <w:vMerge w:val="continue"/>
            <w:vAlign w:val="center"/>
          </w:tcPr>
          <w:p>
            <w:pPr>
              <w:jc w:val="center"/>
              <w:rPr>
                <w:rFonts w:ascii="Times New Roman" w:hAnsi="Times New Roman" w:eastAsia="仿宋_GB2312"/>
                <w:kern w:val="0"/>
                <w:szCs w:val="21"/>
                <w:highlight w:val="none"/>
              </w:rPr>
            </w:pPr>
          </w:p>
        </w:tc>
        <w:tc>
          <w:tcPr>
            <w:tcW w:w="424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人员车辆和设施资源管理：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项目管理人员、车辆设备和材料未按招标文件所规定的数量、规格配置到位，每次每项扣1分；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擅自出租、出借、挪用设施设备和违规使用或侵占附属设施、应标资源，造成恶劣影响，每次扣5分。</w:t>
            </w:r>
          </w:p>
        </w:tc>
        <w:tc>
          <w:tcPr>
            <w:tcW w:w="1556"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扣1~5</w:t>
            </w:r>
            <w:r>
              <w:rPr>
                <w:rFonts w:hint="eastAsia" w:ascii="Times New Roman" w:hAnsi="Times New Roman" w:eastAsia="仿宋_GB2312"/>
                <w:kern w:val="0"/>
                <w:szCs w:val="21"/>
                <w:highlight w:val="none"/>
              </w:rPr>
              <w:t>分/次</w:t>
            </w:r>
          </w:p>
        </w:tc>
        <w:tc>
          <w:tcPr>
            <w:tcW w:w="708"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jc w:val="left"/>
              <w:rPr>
                <w:rFonts w:ascii="Times New Roman" w:hAnsi="Times New Roman" w:eastAsia="仿宋_GB2312"/>
                <w:kern w:val="0"/>
                <w:szCs w:val="21"/>
                <w:highlight w:val="none"/>
              </w:rPr>
            </w:pPr>
          </w:p>
        </w:tc>
        <w:tc>
          <w:tcPr>
            <w:tcW w:w="856"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3</w:t>
            </w:r>
          </w:p>
        </w:tc>
        <w:tc>
          <w:tcPr>
            <w:tcW w:w="859" w:type="dxa"/>
            <w:vMerge w:val="continue"/>
            <w:vAlign w:val="center"/>
          </w:tcPr>
          <w:p>
            <w:pPr>
              <w:jc w:val="center"/>
              <w:rPr>
                <w:rFonts w:ascii="Times New Roman" w:hAnsi="Times New Roman" w:eastAsia="仿宋_GB2312"/>
                <w:kern w:val="0"/>
                <w:szCs w:val="21"/>
                <w:highlight w:val="none"/>
              </w:rPr>
            </w:pPr>
          </w:p>
        </w:tc>
        <w:tc>
          <w:tcPr>
            <w:tcW w:w="424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重要条款响应：</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在网签合同生成后的15日内（国家法定节假日除外），未提交软件版投标报价文件，每次扣2分；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未严格按照养护资金监管相关管理办法及要求提供相关依据、配合实施请款工作，每次扣2分。</w:t>
            </w:r>
          </w:p>
        </w:tc>
        <w:tc>
          <w:tcPr>
            <w:tcW w:w="1556"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扣2分</w:t>
            </w:r>
            <w:r>
              <w:rPr>
                <w:rFonts w:hint="eastAsia" w:ascii="Times New Roman" w:hAnsi="Times New Roman" w:eastAsia="仿宋_GB2312"/>
                <w:kern w:val="0"/>
                <w:szCs w:val="21"/>
                <w:highlight w:val="none"/>
              </w:rPr>
              <w:t>/次</w:t>
            </w:r>
          </w:p>
        </w:tc>
        <w:tc>
          <w:tcPr>
            <w:tcW w:w="708"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jc w:val="left"/>
              <w:rPr>
                <w:rFonts w:ascii="Times New Roman" w:hAnsi="Times New Roman" w:eastAsia="仿宋_GB2312"/>
                <w:kern w:val="0"/>
                <w:szCs w:val="21"/>
                <w:highlight w:val="none"/>
              </w:rPr>
            </w:pPr>
          </w:p>
        </w:tc>
        <w:tc>
          <w:tcPr>
            <w:tcW w:w="856"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4</w:t>
            </w:r>
          </w:p>
        </w:tc>
        <w:tc>
          <w:tcPr>
            <w:tcW w:w="859" w:type="dxa"/>
            <w:vMerge w:val="continue"/>
            <w:vAlign w:val="center"/>
          </w:tcPr>
          <w:p>
            <w:pPr>
              <w:jc w:val="center"/>
              <w:rPr>
                <w:rFonts w:ascii="Times New Roman" w:hAnsi="Times New Roman" w:eastAsia="仿宋_GB2312"/>
                <w:kern w:val="0"/>
                <w:szCs w:val="21"/>
                <w:highlight w:val="none"/>
              </w:rPr>
            </w:pPr>
          </w:p>
        </w:tc>
        <w:tc>
          <w:tcPr>
            <w:tcW w:w="424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智慧化工作推进：</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未配置智能巡检设备或智能巡检设备未处于良好运行状态的，每次扣1分；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未按要求响应落实智慧化、信息化管理工作，由云路或中心发现未按要求报送数据、附件，每次扣2分。</w:t>
            </w:r>
          </w:p>
        </w:tc>
        <w:tc>
          <w:tcPr>
            <w:tcW w:w="1556"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扣1~2分</w:t>
            </w:r>
            <w:r>
              <w:rPr>
                <w:rFonts w:hint="eastAsia" w:ascii="Times New Roman" w:hAnsi="Times New Roman" w:eastAsia="仿宋_GB2312"/>
                <w:kern w:val="0"/>
                <w:szCs w:val="21"/>
                <w:highlight w:val="none"/>
              </w:rPr>
              <w:t>/次</w:t>
            </w:r>
          </w:p>
        </w:tc>
        <w:tc>
          <w:tcPr>
            <w:tcW w:w="708"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jc w:val="left"/>
              <w:rPr>
                <w:rFonts w:ascii="Times New Roman" w:hAnsi="Times New Roman" w:eastAsia="仿宋_GB2312"/>
                <w:kern w:val="0"/>
                <w:szCs w:val="21"/>
                <w:highlight w:val="none"/>
              </w:rPr>
            </w:pPr>
          </w:p>
        </w:tc>
        <w:tc>
          <w:tcPr>
            <w:tcW w:w="856"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5</w:t>
            </w:r>
          </w:p>
        </w:tc>
        <w:tc>
          <w:tcPr>
            <w:tcW w:w="859"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养护作业</w:t>
            </w:r>
          </w:p>
        </w:tc>
        <w:tc>
          <w:tcPr>
            <w:tcW w:w="424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对市道运中心委托的第三方单位（专业检测、专业网格化巡查等）发现的问题、病害或缺陷，未及时整改或采取措施，每次扣1分；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未针对各类检测报告中指出的问题进行有效处置，造成设施病害缺陷加剧、人员财产损失或影响正常通行，每次扣3分。</w:t>
            </w:r>
          </w:p>
        </w:tc>
        <w:tc>
          <w:tcPr>
            <w:tcW w:w="1556"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扣1~3分</w:t>
            </w:r>
            <w:r>
              <w:rPr>
                <w:rFonts w:hint="eastAsia" w:ascii="Times New Roman" w:hAnsi="Times New Roman" w:eastAsia="仿宋_GB2312"/>
                <w:kern w:val="0"/>
                <w:szCs w:val="21"/>
                <w:highlight w:val="none"/>
              </w:rPr>
              <w:t>/次</w:t>
            </w:r>
          </w:p>
        </w:tc>
        <w:tc>
          <w:tcPr>
            <w:tcW w:w="708"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jc w:val="left"/>
              <w:rPr>
                <w:rFonts w:ascii="Times New Roman" w:hAnsi="Times New Roman" w:eastAsia="仿宋_GB2312"/>
                <w:kern w:val="0"/>
                <w:szCs w:val="21"/>
                <w:highlight w:val="none"/>
              </w:rPr>
            </w:pPr>
          </w:p>
        </w:tc>
        <w:tc>
          <w:tcPr>
            <w:tcW w:w="856"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6</w:t>
            </w:r>
          </w:p>
        </w:tc>
        <w:tc>
          <w:tcPr>
            <w:tcW w:w="859"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运维保障</w:t>
            </w:r>
          </w:p>
        </w:tc>
        <w:tc>
          <w:tcPr>
            <w:tcW w:w="424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未能按时、保质保量完成重大任务或指令要求，每次扣3分；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风险隐患、险情或重大事件存在不报、瞒报、误报、处置不力，造成设施人员财产损失或严重影响交通运行，每次扣3分。</w:t>
            </w:r>
          </w:p>
          <w:p>
            <w:pPr>
              <w:jc w:val="left"/>
              <w:rPr>
                <w:rFonts w:hint="eastAsia" w:ascii="仿宋" w:hAnsi="仿宋" w:eastAsia="仿宋"/>
                <w:kern w:val="0"/>
                <w:szCs w:val="21"/>
                <w:highlight w:val="none"/>
              </w:rPr>
            </w:pPr>
            <w:r>
              <w:rPr>
                <w:rFonts w:hint="eastAsia" w:ascii="仿宋" w:hAnsi="仿宋" w:eastAsia="仿宋"/>
                <w:color w:val="000000"/>
                <w:kern w:val="0"/>
                <w:szCs w:val="21"/>
                <w:highlight w:val="none"/>
              </w:rPr>
              <w:t>牵引作业时严格遵守操作规程，运维保障范围内执行牵引任务不得收取费用，若存在违规收费情况的每次扣</w:t>
            </w:r>
            <w:r>
              <w:rPr>
                <w:rFonts w:ascii="仿宋" w:hAnsi="仿宋" w:eastAsia="仿宋"/>
                <w:color w:val="000000"/>
                <w:kern w:val="0"/>
                <w:szCs w:val="21"/>
                <w:highlight w:val="none"/>
              </w:rPr>
              <w:t>3</w:t>
            </w:r>
            <w:r>
              <w:rPr>
                <w:rFonts w:hint="eastAsia" w:ascii="仿宋" w:hAnsi="仿宋" w:eastAsia="仿宋"/>
                <w:color w:val="000000"/>
                <w:kern w:val="0"/>
                <w:szCs w:val="21"/>
                <w:highlight w:val="none"/>
              </w:rPr>
              <w:t>分。</w:t>
            </w:r>
          </w:p>
        </w:tc>
        <w:tc>
          <w:tcPr>
            <w:tcW w:w="1556"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扣3分</w:t>
            </w:r>
            <w:r>
              <w:rPr>
                <w:rFonts w:hint="eastAsia" w:ascii="Times New Roman" w:hAnsi="Times New Roman" w:eastAsia="仿宋_GB2312"/>
                <w:kern w:val="0"/>
                <w:szCs w:val="21"/>
                <w:highlight w:val="none"/>
              </w:rPr>
              <w:t>/次</w:t>
            </w:r>
          </w:p>
        </w:tc>
        <w:tc>
          <w:tcPr>
            <w:tcW w:w="708"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jc w:val="left"/>
              <w:rPr>
                <w:rFonts w:ascii="Times New Roman" w:hAnsi="Times New Roman" w:eastAsia="仿宋_GB2312"/>
                <w:kern w:val="0"/>
                <w:szCs w:val="21"/>
                <w:highlight w:val="none"/>
              </w:rPr>
            </w:pPr>
          </w:p>
        </w:tc>
        <w:tc>
          <w:tcPr>
            <w:tcW w:w="856"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7</w:t>
            </w:r>
          </w:p>
        </w:tc>
        <w:tc>
          <w:tcPr>
            <w:tcW w:w="859"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安全生产和应急处置</w:t>
            </w:r>
          </w:p>
        </w:tc>
        <w:tc>
          <w:tcPr>
            <w:tcW w:w="424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因养护运维作业质量不达标，影响设施运行安全或交通运行、受到行业主管部门严肃批评问责或引起社会舆论反响等，每次扣3分；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因养护运维管理或作业行为的缺失、违规，造成设施人员财产损失或导致第三方发生安全事故、引起次生灾害，每次扣5分；</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发生有责生产安全事故，造成人员死亡、重伤或致使设施出现重大结构安全隐患，每次扣10分。</w:t>
            </w:r>
          </w:p>
        </w:tc>
        <w:tc>
          <w:tcPr>
            <w:tcW w:w="1556"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扣3~10分</w:t>
            </w:r>
            <w:r>
              <w:rPr>
                <w:rFonts w:hint="eastAsia" w:ascii="Times New Roman" w:hAnsi="Times New Roman" w:eastAsia="仿宋_GB2312"/>
                <w:kern w:val="0"/>
                <w:szCs w:val="21"/>
                <w:highlight w:val="none"/>
              </w:rPr>
              <w:t>/次</w:t>
            </w:r>
          </w:p>
        </w:tc>
        <w:tc>
          <w:tcPr>
            <w:tcW w:w="708"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6" w:type="dxa"/>
            <w:vMerge w:val="continue"/>
          </w:tcPr>
          <w:p>
            <w:pPr>
              <w:jc w:val="left"/>
              <w:rPr>
                <w:rFonts w:ascii="Times New Roman" w:hAnsi="Times New Roman" w:eastAsia="仿宋_GB2312"/>
                <w:kern w:val="0"/>
                <w:szCs w:val="21"/>
                <w:highlight w:val="none"/>
              </w:rPr>
            </w:pPr>
          </w:p>
        </w:tc>
        <w:tc>
          <w:tcPr>
            <w:tcW w:w="856"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8</w:t>
            </w:r>
          </w:p>
        </w:tc>
        <w:tc>
          <w:tcPr>
            <w:tcW w:w="859" w:type="dxa"/>
            <w:vMerge w:val="restart"/>
            <w:vAlign w:val="center"/>
          </w:tcPr>
          <w:p>
            <w:pPr>
              <w:jc w:val="center"/>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宣传与公众服务</w:t>
            </w:r>
          </w:p>
        </w:tc>
        <w:tc>
          <w:tcPr>
            <w:tcW w:w="424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通讯稿被上海市道运中心微信公众号采纳。</w:t>
            </w:r>
          </w:p>
        </w:tc>
        <w:tc>
          <w:tcPr>
            <w:tcW w:w="1556"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加2分</w:t>
            </w:r>
            <w:r>
              <w:rPr>
                <w:rFonts w:hint="eastAsia" w:ascii="Times New Roman" w:hAnsi="Times New Roman" w:eastAsia="仿宋_GB2312"/>
                <w:kern w:val="0"/>
                <w:szCs w:val="21"/>
                <w:highlight w:val="none"/>
              </w:rPr>
              <w:t>/次</w:t>
            </w:r>
          </w:p>
        </w:tc>
        <w:tc>
          <w:tcPr>
            <w:tcW w:w="708"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pPr>
              <w:jc w:val="left"/>
              <w:rPr>
                <w:rFonts w:ascii="Times New Roman" w:hAnsi="Times New Roman" w:eastAsia="仿宋_GB2312"/>
                <w:kern w:val="0"/>
                <w:szCs w:val="21"/>
                <w:highlight w:val="none"/>
              </w:rPr>
            </w:pPr>
          </w:p>
        </w:tc>
        <w:tc>
          <w:tcPr>
            <w:tcW w:w="856"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9</w:t>
            </w:r>
          </w:p>
        </w:tc>
        <w:tc>
          <w:tcPr>
            <w:tcW w:w="859" w:type="dxa"/>
            <w:vMerge w:val="continue"/>
            <w:vAlign w:val="center"/>
          </w:tcPr>
          <w:p>
            <w:pPr>
              <w:jc w:val="center"/>
              <w:rPr>
                <w:rFonts w:ascii="Times New Roman" w:hAnsi="Times New Roman" w:eastAsia="仿宋_GB2312"/>
                <w:kern w:val="0"/>
                <w:szCs w:val="21"/>
                <w:highlight w:val="none"/>
              </w:rPr>
            </w:pPr>
          </w:p>
        </w:tc>
        <w:tc>
          <w:tcPr>
            <w:tcW w:w="424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妥善处理人民来信、来电、来访等诉求工单和社会投诉，被录用至热线处置工单优秀案例。</w:t>
            </w:r>
          </w:p>
        </w:tc>
        <w:tc>
          <w:tcPr>
            <w:tcW w:w="1556"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加2分</w:t>
            </w:r>
            <w:r>
              <w:rPr>
                <w:rFonts w:hint="eastAsia" w:ascii="Times New Roman" w:hAnsi="Times New Roman" w:eastAsia="仿宋_GB2312"/>
                <w:kern w:val="0"/>
                <w:szCs w:val="21"/>
                <w:highlight w:val="none"/>
              </w:rPr>
              <w:t>/次</w:t>
            </w:r>
          </w:p>
        </w:tc>
        <w:tc>
          <w:tcPr>
            <w:tcW w:w="708"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426" w:type="dxa"/>
            <w:vMerge w:val="continue"/>
          </w:tcPr>
          <w:p>
            <w:pPr>
              <w:jc w:val="left"/>
              <w:rPr>
                <w:rFonts w:ascii="Times New Roman" w:hAnsi="Times New Roman" w:eastAsia="仿宋_GB2312"/>
                <w:kern w:val="0"/>
                <w:szCs w:val="21"/>
                <w:highlight w:val="none"/>
              </w:rPr>
            </w:pPr>
          </w:p>
        </w:tc>
        <w:tc>
          <w:tcPr>
            <w:tcW w:w="856"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10</w:t>
            </w:r>
          </w:p>
        </w:tc>
        <w:tc>
          <w:tcPr>
            <w:tcW w:w="859" w:type="dxa"/>
            <w:vMerge w:val="restart"/>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行业示范带头作用</w:t>
            </w:r>
          </w:p>
        </w:tc>
        <w:tc>
          <w:tcPr>
            <w:tcW w:w="424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当月在各类专项评比中获奖。一等奖加3分</w:t>
            </w:r>
            <w:r>
              <w:rPr>
                <w:rFonts w:hint="eastAsia" w:ascii="Times New Roman" w:hAnsi="Times New Roman" w:eastAsia="仿宋_GB2312"/>
                <w:kern w:val="0"/>
                <w:szCs w:val="21"/>
                <w:highlight w:val="none"/>
              </w:rPr>
              <w:t>/项，</w:t>
            </w:r>
            <w:r>
              <w:rPr>
                <w:rFonts w:ascii="Times New Roman" w:hAnsi="Times New Roman" w:eastAsia="仿宋_GB2312"/>
                <w:kern w:val="0"/>
                <w:szCs w:val="21"/>
                <w:highlight w:val="none"/>
              </w:rPr>
              <w:t>二等奖加2分</w:t>
            </w:r>
            <w:r>
              <w:rPr>
                <w:rFonts w:hint="eastAsia" w:ascii="Times New Roman" w:hAnsi="Times New Roman" w:eastAsia="仿宋_GB2312"/>
                <w:kern w:val="0"/>
                <w:szCs w:val="21"/>
                <w:highlight w:val="none"/>
              </w:rPr>
              <w:t>/项，</w:t>
            </w:r>
            <w:r>
              <w:rPr>
                <w:rFonts w:ascii="Times New Roman" w:hAnsi="Times New Roman" w:eastAsia="仿宋_GB2312"/>
                <w:kern w:val="0"/>
                <w:szCs w:val="21"/>
                <w:highlight w:val="none"/>
              </w:rPr>
              <w:t>三等奖加1分</w:t>
            </w:r>
            <w:r>
              <w:rPr>
                <w:rFonts w:hint="eastAsia" w:ascii="Times New Roman" w:hAnsi="Times New Roman" w:eastAsia="仿宋_GB2312"/>
                <w:kern w:val="0"/>
                <w:szCs w:val="21"/>
                <w:highlight w:val="none"/>
              </w:rPr>
              <w:t>/项。</w:t>
            </w:r>
          </w:p>
        </w:tc>
        <w:tc>
          <w:tcPr>
            <w:tcW w:w="1556" w:type="dxa"/>
            <w:vAlign w:val="center"/>
          </w:tcPr>
          <w:p>
            <w:pPr>
              <w:jc w:val="left"/>
              <w:rPr>
                <w:rFonts w:ascii="Times New Roman" w:hAnsi="Times New Roman" w:eastAsia="仿宋_GB2312"/>
                <w:kern w:val="0"/>
                <w:szCs w:val="21"/>
                <w:highlight w:val="none"/>
              </w:rPr>
            </w:pPr>
            <w:r>
              <w:rPr>
                <w:rFonts w:hint="eastAsia" w:ascii="Times New Roman" w:hAnsi="Times New Roman" w:eastAsia="仿宋_GB2312"/>
                <w:kern w:val="0"/>
                <w:szCs w:val="21"/>
                <w:highlight w:val="none"/>
              </w:rPr>
              <w:t>加1</w:t>
            </w:r>
            <w:r>
              <w:rPr>
                <w:rFonts w:ascii="Times New Roman" w:hAnsi="Times New Roman" w:eastAsia="仿宋_GB2312"/>
                <w:kern w:val="0"/>
                <w:szCs w:val="21"/>
                <w:highlight w:val="none"/>
              </w:rPr>
              <w:t>~3</w:t>
            </w:r>
            <w:r>
              <w:rPr>
                <w:rFonts w:hint="eastAsia" w:ascii="Times New Roman" w:hAnsi="Times New Roman" w:eastAsia="仿宋_GB2312"/>
                <w:kern w:val="0"/>
                <w:szCs w:val="21"/>
                <w:highlight w:val="none"/>
              </w:rPr>
              <w:t>分/项</w:t>
            </w:r>
          </w:p>
        </w:tc>
        <w:tc>
          <w:tcPr>
            <w:tcW w:w="708"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pPr>
              <w:jc w:val="left"/>
              <w:rPr>
                <w:rFonts w:ascii="Times New Roman" w:hAnsi="Times New Roman" w:eastAsia="仿宋_GB2312"/>
                <w:kern w:val="0"/>
                <w:szCs w:val="21"/>
                <w:highlight w:val="none"/>
              </w:rPr>
            </w:pPr>
          </w:p>
        </w:tc>
        <w:tc>
          <w:tcPr>
            <w:tcW w:w="856" w:type="dxa"/>
            <w:vAlign w:val="center"/>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11</w:t>
            </w:r>
          </w:p>
        </w:tc>
        <w:tc>
          <w:tcPr>
            <w:tcW w:w="859" w:type="dxa"/>
            <w:vMerge w:val="continue"/>
            <w:vAlign w:val="center"/>
          </w:tcPr>
          <w:p>
            <w:pPr>
              <w:jc w:val="left"/>
              <w:rPr>
                <w:rFonts w:ascii="Times New Roman" w:hAnsi="Times New Roman" w:eastAsia="仿宋_GB2312"/>
                <w:kern w:val="0"/>
                <w:szCs w:val="21"/>
                <w:highlight w:val="none"/>
              </w:rPr>
            </w:pPr>
          </w:p>
        </w:tc>
        <w:tc>
          <w:tcPr>
            <w:tcW w:w="424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养护设施获得市级或行业级奖项。</w:t>
            </w:r>
          </w:p>
        </w:tc>
        <w:tc>
          <w:tcPr>
            <w:tcW w:w="1556"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市级加5分</w:t>
            </w:r>
            <w:r>
              <w:rPr>
                <w:rFonts w:hint="eastAsia" w:ascii="Times New Roman" w:hAnsi="Times New Roman" w:eastAsia="仿宋_GB2312"/>
                <w:kern w:val="0"/>
                <w:szCs w:val="21"/>
                <w:highlight w:val="none"/>
              </w:rPr>
              <w:t>/项</w:t>
            </w:r>
          </w:p>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行业级加3分</w:t>
            </w:r>
            <w:r>
              <w:rPr>
                <w:rFonts w:hint="eastAsia" w:ascii="Times New Roman" w:hAnsi="Times New Roman" w:eastAsia="仿宋_GB2312"/>
                <w:kern w:val="0"/>
                <w:szCs w:val="21"/>
                <w:highlight w:val="none"/>
              </w:rPr>
              <w:t>/项</w:t>
            </w:r>
          </w:p>
        </w:tc>
        <w:tc>
          <w:tcPr>
            <w:tcW w:w="708" w:type="dxa"/>
            <w:vAlign w:val="center"/>
          </w:tcPr>
          <w:p>
            <w:pPr>
              <w:jc w:val="left"/>
              <w:rPr>
                <w:rFonts w:ascii="Times New Roman"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1" w:type="dxa"/>
            <w:gridSpan w:val="3"/>
          </w:tcPr>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设施月度</w:t>
            </w:r>
          </w:p>
          <w:p>
            <w:pPr>
              <w:jc w:val="center"/>
              <w:rPr>
                <w:rFonts w:ascii="Times New Roman" w:hAnsi="Times New Roman" w:eastAsia="仿宋_GB2312"/>
                <w:kern w:val="0"/>
                <w:szCs w:val="21"/>
                <w:highlight w:val="none"/>
              </w:rPr>
            </w:pPr>
            <w:r>
              <w:rPr>
                <w:rFonts w:ascii="Times New Roman" w:hAnsi="Times New Roman" w:eastAsia="仿宋_GB2312"/>
                <w:kern w:val="0"/>
                <w:szCs w:val="21"/>
                <w:highlight w:val="none"/>
              </w:rPr>
              <w:t>专项得分</w:t>
            </w:r>
          </w:p>
        </w:tc>
        <w:tc>
          <w:tcPr>
            <w:tcW w:w="4242" w:type="dxa"/>
            <w:vAlign w:val="center"/>
          </w:tcPr>
          <w:p>
            <w:pPr>
              <w:jc w:val="left"/>
              <w:rPr>
                <w:rFonts w:ascii="Times New Roman" w:hAnsi="Times New Roman" w:eastAsia="仿宋_GB2312"/>
                <w:kern w:val="0"/>
                <w:szCs w:val="21"/>
                <w:highlight w:val="none"/>
              </w:rPr>
            </w:pPr>
            <w:r>
              <w:rPr>
                <w:rFonts w:ascii="Times New Roman" w:hAnsi="Times New Roman" w:eastAsia="仿宋_GB2312"/>
                <w:kern w:val="0"/>
                <w:szCs w:val="21"/>
                <w:highlight w:val="none"/>
              </w:rPr>
              <w:t>（1）~（11）得分总和</w:t>
            </w:r>
          </w:p>
        </w:tc>
        <w:tc>
          <w:tcPr>
            <w:tcW w:w="2264" w:type="dxa"/>
            <w:gridSpan w:val="2"/>
            <w:vAlign w:val="center"/>
          </w:tcPr>
          <w:p>
            <w:pPr>
              <w:jc w:val="left"/>
              <w:rPr>
                <w:rFonts w:ascii="Times New Roman" w:hAnsi="Times New Roman" w:eastAsia="仿宋_GB2312"/>
                <w:kern w:val="0"/>
                <w:szCs w:val="21"/>
                <w:highlight w:val="none"/>
              </w:rPr>
            </w:pPr>
          </w:p>
        </w:tc>
      </w:tr>
    </w:tbl>
    <w:p>
      <w:pPr>
        <w:widowControl/>
        <w:spacing w:after="180" w:line="259" w:lineRule="auto"/>
        <w:jc w:val="left"/>
        <w:rPr>
          <w:rFonts w:ascii="Times New Roman" w:hAnsi="Times New Roman"/>
          <w:szCs w:val="21"/>
          <w:highlight w:val="none"/>
        </w:rPr>
      </w:pPr>
    </w:p>
    <w:p>
      <w:pPr>
        <w:widowControl/>
        <w:spacing w:after="180" w:line="259" w:lineRule="auto"/>
        <w:jc w:val="left"/>
        <w:rPr>
          <w:rFonts w:ascii="Times New Roman" w:hAnsi="Times New Roman"/>
          <w:szCs w:val="21"/>
          <w:highlight w:val="none"/>
        </w:rPr>
      </w:pPr>
      <w:r>
        <w:rPr>
          <w:rFonts w:ascii="Times New Roman" w:hAnsi="Times New Roman"/>
          <w:szCs w:val="21"/>
          <w:highlight w:val="none"/>
        </w:rPr>
        <w:br w:type="page"/>
      </w:r>
    </w:p>
    <w:p>
      <w:pPr>
        <w:pageBreakBefore/>
        <w:spacing w:line="600" w:lineRule="exact"/>
        <w:jc w:val="left"/>
        <w:rPr>
          <w:rFonts w:ascii="Times New Roman" w:hAnsi="Times New Roman" w:eastAsia="华文中宋"/>
          <w:b/>
          <w:sz w:val="28"/>
          <w:szCs w:val="28"/>
          <w:highlight w:val="none"/>
        </w:rPr>
      </w:pPr>
      <w:r>
        <w:rPr>
          <w:rFonts w:hint="eastAsia" w:ascii="Times New Roman" w:hAnsi="Times New Roman" w:eastAsia="华文中宋"/>
          <w:b/>
          <w:sz w:val="28"/>
          <w:szCs w:val="28"/>
          <w:highlight w:val="none"/>
        </w:rPr>
        <w:t>附表六：</w:t>
      </w:r>
    </w:p>
    <w:p>
      <w:pPr>
        <w:ind w:firstLine="320"/>
        <w:jc w:val="center"/>
        <w:rPr>
          <w:rFonts w:ascii="Times New Roman" w:hAnsi="Times New Roman" w:eastAsia="华文中宋"/>
          <w:b/>
          <w:sz w:val="32"/>
          <w:szCs w:val="32"/>
          <w:highlight w:val="none"/>
        </w:rPr>
      </w:pPr>
      <w:r>
        <w:rPr>
          <w:rFonts w:hint="eastAsia" w:ascii="Times New Roman" w:hAnsi="Times New Roman" w:eastAsia="华文中宋"/>
          <w:b/>
          <w:sz w:val="32"/>
          <w:szCs w:val="32"/>
          <w:highlight w:val="none"/>
        </w:rPr>
        <w:t>市管城市道路主体设施养护运维月度考核评分总表</w:t>
      </w:r>
    </w:p>
    <w:p>
      <w:pPr>
        <w:ind w:firstLine="320"/>
        <w:jc w:val="center"/>
        <w:rPr>
          <w:rFonts w:ascii="Times New Roman" w:hAnsi="Times New Roman" w:eastAsia="华文中宋"/>
          <w:b/>
          <w:sz w:val="32"/>
          <w:szCs w:val="32"/>
          <w:highlight w:val="none"/>
        </w:rPr>
      </w:pPr>
      <w:r>
        <w:rPr>
          <w:rFonts w:ascii="Times New Roman" w:hAnsi="Times New Roman" w:eastAsia="华文中宋"/>
          <w:b/>
          <w:sz w:val="32"/>
          <w:szCs w:val="32"/>
          <w:highlight w:val="none"/>
        </w:rPr>
        <w:t>(</w:t>
      </w:r>
      <w:r>
        <w:rPr>
          <w:rFonts w:ascii="Times New Roman" w:hAnsi="Times New Roman" w:eastAsia="华文中宋"/>
          <w:b/>
          <w:sz w:val="32"/>
          <w:szCs w:val="32"/>
          <w:highlight w:val="none"/>
          <w:u w:val="single"/>
        </w:rPr>
        <w:t xml:space="preserve">     </w:t>
      </w:r>
      <w:r>
        <w:rPr>
          <w:rFonts w:hint="eastAsia" w:ascii="Times New Roman" w:hAnsi="Times New Roman" w:eastAsia="华文中宋"/>
          <w:b/>
          <w:sz w:val="32"/>
          <w:szCs w:val="32"/>
          <w:highlight w:val="none"/>
        </w:rPr>
        <w:t>年</w:t>
      </w:r>
      <w:r>
        <w:rPr>
          <w:rFonts w:ascii="Times New Roman" w:hAnsi="Times New Roman" w:eastAsia="华文中宋"/>
          <w:b/>
          <w:sz w:val="32"/>
          <w:szCs w:val="32"/>
          <w:highlight w:val="none"/>
          <w:u w:val="single"/>
        </w:rPr>
        <w:t xml:space="preserve">   </w:t>
      </w:r>
      <w:r>
        <w:rPr>
          <w:rFonts w:hint="eastAsia" w:ascii="Times New Roman" w:hAnsi="Times New Roman" w:eastAsia="华文中宋"/>
          <w:b/>
          <w:sz w:val="32"/>
          <w:szCs w:val="32"/>
          <w:highlight w:val="none"/>
        </w:rPr>
        <w:t>月)</w:t>
      </w:r>
    </w:p>
    <w:p>
      <w:pPr>
        <w:ind w:firstLine="210" w:firstLineChars="100"/>
        <w:jc w:val="left"/>
        <w:rPr>
          <w:rFonts w:hint="eastAsia" w:ascii="仿宋" w:hAnsi="仿宋" w:eastAsia="仿宋" w:cs="Arial Unicode MS"/>
          <w:color w:val="000000"/>
          <w:kern w:val="0"/>
          <w:szCs w:val="21"/>
          <w:highlight w:val="none"/>
        </w:rPr>
      </w:pPr>
      <w:r>
        <w:rPr>
          <w:rFonts w:hint="eastAsia" w:ascii="仿宋" w:hAnsi="仿宋" w:eastAsia="仿宋" w:cs="Arial Unicode MS"/>
          <w:color w:val="000000"/>
          <w:kern w:val="0"/>
          <w:szCs w:val="21"/>
          <w:highlight w:val="none"/>
        </w:rPr>
        <w:t xml:space="preserve">标段名称： </w:t>
      </w:r>
    </w:p>
    <w:p>
      <w:pPr>
        <w:ind w:firstLine="210" w:firstLineChars="100"/>
        <w:jc w:val="left"/>
        <w:rPr>
          <w:rFonts w:hint="eastAsia" w:ascii="仿宋" w:hAnsi="仿宋" w:eastAsia="仿宋" w:cs="Arial Unicode MS"/>
          <w:color w:val="000000"/>
          <w:kern w:val="0"/>
          <w:szCs w:val="21"/>
          <w:highlight w:val="none"/>
        </w:rPr>
      </w:pPr>
      <w:r>
        <w:rPr>
          <w:rFonts w:hint="eastAsia" w:ascii="仿宋" w:hAnsi="仿宋" w:eastAsia="仿宋" w:cs="Arial Unicode MS"/>
          <w:color w:val="000000"/>
          <w:kern w:val="0"/>
          <w:szCs w:val="21"/>
          <w:highlight w:val="none"/>
        </w:rPr>
        <w:t>养护单位：</w:t>
      </w:r>
    </w:p>
    <w:p>
      <w:pPr>
        <w:spacing w:after="120" w:afterLines="50"/>
        <w:ind w:firstLine="210" w:firstLineChars="100"/>
        <w:jc w:val="left"/>
        <w:rPr>
          <w:rFonts w:ascii="Times New Roman" w:hAnsi="Times New Roman" w:eastAsia="华文中宋"/>
          <w:b/>
          <w:sz w:val="32"/>
          <w:szCs w:val="32"/>
          <w:highlight w:val="none"/>
        </w:rPr>
      </w:pPr>
      <w:r>
        <w:rPr>
          <w:rFonts w:hint="eastAsia" w:ascii="仿宋" w:hAnsi="仿宋" w:eastAsia="仿宋" w:cs="Arial Unicode MS"/>
          <w:color w:val="000000"/>
          <w:kern w:val="0"/>
          <w:szCs w:val="21"/>
          <w:highlight w:val="none"/>
        </w:rPr>
        <w:t>监理单位：</w:t>
      </w:r>
      <w:r>
        <w:rPr>
          <w:rFonts w:hint="eastAsia" w:ascii="Times New Roman" w:hAnsi="Times New Roman"/>
          <w:sz w:val="30"/>
          <w:szCs w:val="30"/>
          <w:highlight w:val="none"/>
        </w:rPr>
        <w:t xml:space="preserve">             </w:t>
      </w:r>
      <w:r>
        <w:rPr>
          <w:rFonts w:ascii="Times New Roman" w:hAnsi="Times New Roman"/>
          <w:sz w:val="30"/>
          <w:szCs w:val="30"/>
          <w:highlight w:val="none"/>
        </w:rPr>
        <w:t xml:space="preserve">  </w:t>
      </w:r>
      <w:r>
        <w:rPr>
          <w:rFonts w:hint="eastAsia" w:ascii="Times New Roman" w:hAnsi="Times New Roman"/>
          <w:sz w:val="30"/>
          <w:szCs w:val="30"/>
          <w:highlight w:val="none"/>
        </w:rPr>
        <w:t xml:space="preserve">                </w:t>
      </w:r>
      <w:r>
        <w:rPr>
          <w:rFonts w:hint="eastAsia" w:ascii="仿宋" w:hAnsi="仿宋" w:eastAsia="仿宋" w:cs="Arial Unicode MS"/>
          <w:color w:val="000000"/>
          <w:kern w:val="0"/>
          <w:szCs w:val="21"/>
          <w:highlight w:val="none"/>
        </w:rPr>
        <w:t xml:space="preserve">   </w:t>
      </w:r>
    </w:p>
    <w:tbl>
      <w:tblPr>
        <w:tblStyle w:val="89"/>
        <w:tblW w:w="83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7"/>
        <w:gridCol w:w="1992"/>
        <w:gridCol w:w="3212"/>
        <w:gridCol w:w="1012"/>
        <w:gridCol w:w="1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26" w:type="dxa"/>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序号</w:t>
            </w:r>
          </w:p>
        </w:tc>
        <w:tc>
          <w:tcPr>
            <w:tcW w:w="1442" w:type="dxa"/>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项目</w:t>
            </w:r>
          </w:p>
        </w:tc>
        <w:tc>
          <w:tcPr>
            <w:tcW w:w="3681" w:type="dxa"/>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考核内容</w:t>
            </w:r>
          </w:p>
        </w:tc>
        <w:tc>
          <w:tcPr>
            <w:tcW w:w="1114" w:type="dxa"/>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标准分</w:t>
            </w:r>
          </w:p>
        </w:tc>
        <w:tc>
          <w:tcPr>
            <w:tcW w:w="1300" w:type="dxa"/>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考核得分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restart"/>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(1)</w:t>
            </w:r>
          </w:p>
        </w:tc>
        <w:tc>
          <w:tcPr>
            <w:tcW w:w="1442" w:type="dxa"/>
            <w:vMerge w:val="restart"/>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定量考核</w:t>
            </w:r>
          </w:p>
        </w:tc>
        <w:tc>
          <w:tcPr>
            <w:tcW w:w="3681" w:type="dxa"/>
            <w:vAlign w:val="center"/>
          </w:tcPr>
          <w:p>
            <w:pPr>
              <w:jc w:val="left"/>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清扫覆盖率</w:t>
            </w:r>
          </w:p>
        </w:tc>
        <w:tc>
          <w:tcPr>
            <w:tcW w:w="1114" w:type="dxa"/>
            <w:vAlign w:val="center"/>
          </w:tcPr>
          <w:p>
            <w:pPr>
              <w:jc w:val="center"/>
              <w:rPr>
                <w:rFonts w:ascii="仿宋_GB2312" w:hAnsi="Times New Roman" w:eastAsia="仿宋_GB2312"/>
                <w:kern w:val="0"/>
                <w:szCs w:val="21"/>
                <w:highlight w:val="none"/>
              </w:rPr>
            </w:pPr>
            <w:r>
              <w:rPr>
                <w:rFonts w:ascii="仿宋_GB2312" w:hAnsi="Times New Roman" w:eastAsia="仿宋_GB2312"/>
                <w:kern w:val="0"/>
                <w:szCs w:val="21"/>
                <w:highlight w:val="none"/>
              </w:rPr>
              <w:t>10</w:t>
            </w:r>
          </w:p>
        </w:tc>
        <w:tc>
          <w:tcPr>
            <w:tcW w:w="1300" w:type="dxa"/>
            <w:vAlign w:val="center"/>
          </w:tcPr>
          <w:p>
            <w:pPr>
              <w:jc w:val="center"/>
              <w:rPr>
                <w:rFonts w:ascii="仿宋_GB2312"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center"/>
              <w:rPr>
                <w:rFonts w:ascii="仿宋_GB2312" w:hAnsi="Times New Roman" w:eastAsia="仿宋_GB2312"/>
                <w:kern w:val="0"/>
                <w:szCs w:val="21"/>
                <w:highlight w:val="none"/>
              </w:rPr>
            </w:pPr>
          </w:p>
        </w:tc>
        <w:tc>
          <w:tcPr>
            <w:tcW w:w="1442" w:type="dxa"/>
            <w:vMerge w:val="continue"/>
            <w:vAlign w:val="center"/>
          </w:tcPr>
          <w:p>
            <w:pPr>
              <w:jc w:val="center"/>
              <w:rPr>
                <w:rFonts w:ascii="仿宋_GB2312" w:hAnsi="Times New Roman" w:eastAsia="仿宋_GB2312"/>
                <w:kern w:val="0"/>
                <w:szCs w:val="21"/>
                <w:highlight w:val="none"/>
              </w:rPr>
            </w:pPr>
          </w:p>
        </w:tc>
        <w:tc>
          <w:tcPr>
            <w:tcW w:w="3681" w:type="dxa"/>
            <w:vAlign w:val="center"/>
          </w:tcPr>
          <w:p>
            <w:pPr>
              <w:jc w:val="left"/>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巡查覆盖率</w:t>
            </w:r>
          </w:p>
        </w:tc>
        <w:tc>
          <w:tcPr>
            <w:tcW w:w="1114" w:type="dxa"/>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1</w:t>
            </w:r>
            <w:r>
              <w:rPr>
                <w:rFonts w:ascii="仿宋_GB2312" w:hAnsi="Times New Roman" w:eastAsia="仿宋_GB2312"/>
                <w:kern w:val="0"/>
                <w:szCs w:val="21"/>
                <w:highlight w:val="none"/>
              </w:rPr>
              <w:t>0</w:t>
            </w:r>
          </w:p>
        </w:tc>
        <w:tc>
          <w:tcPr>
            <w:tcW w:w="1300" w:type="dxa"/>
            <w:vAlign w:val="center"/>
          </w:tcPr>
          <w:p>
            <w:pPr>
              <w:jc w:val="center"/>
              <w:rPr>
                <w:rFonts w:ascii="仿宋_GB2312"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center"/>
              <w:rPr>
                <w:rFonts w:ascii="仿宋_GB2312" w:hAnsi="Times New Roman" w:eastAsia="仿宋_GB2312"/>
                <w:kern w:val="0"/>
                <w:szCs w:val="21"/>
                <w:highlight w:val="none"/>
              </w:rPr>
            </w:pPr>
          </w:p>
        </w:tc>
        <w:tc>
          <w:tcPr>
            <w:tcW w:w="1442" w:type="dxa"/>
            <w:vMerge w:val="continue"/>
            <w:vAlign w:val="center"/>
          </w:tcPr>
          <w:p>
            <w:pPr>
              <w:jc w:val="center"/>
              <w:rPr>
                <w:rFonts w:ascii="仿宋_GB2312" w:hAnsi="Times New Roman" w:eastAsia="仿宋_GB2312"/>
                <w:kern w:val="0"/>
                <w:szCs w:val="21"/>
                <w:highlight w:val="none"/>
              </w:rPr>
            </w:pPr>
          </w:p>
        </w:tc>
        <w:tc>
          <w:tcPr>
            <w:tcW w:w="3681" w:type="dxa"/>
            <w:vAlign w:val="center"/>
          </w:tcPr>
          <w:p>
            <w:pPr>
              <w:jc w:val="left"/>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病害处置率</w:t>
            </w:r>
          </w:p>
        </w:tc>
        <w:tc>
          <w:tcPr>
            <w:tcW w:w="1114" w:type="dxa"/>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2</w:t>
            </w:r>
            <w:r>
              <w:rPr>
                <w:rFonts w:ascii="仿宋_GB2312" w:hAnsi="Times New Roman" w:eastAsia="仿宋_GB2312"/>
                <w:kern w:val="0"/>
                <w:szCs w:val="21"/>
                <w:highlight w:val="none"/>
              </w:rPr>
              <w:t>0</w:t>
            </w:r>
          </w:p>
        </w:tc>
        <w:tc>
          <w:tcPr>
            <w:tcW w:w="1300" w:type="dxa"/>
            <w:vAlign w:val="center"/>
          </w:tcPr>
          <w:p>
            <w:pPr>
              <w:jc w:val="center"/>
              <w:rPr>
                <w:rFonts w:ascii="仿宋_GB2312"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center"/>
              <w:rPr>
                <w:rFonts w:ascii="仿宋_GB2312" w:hAnsi="Times New Roman" w:eastAsia="仿宋_GB2312"/>
                <w:kern w:val="0"/>
                <w:szCs w:val="21"/>
                <w:highlight w:val="none"/>
              </w:rPr>
            </w:pPr>
          </w:p>
        </w:tc>
        <w:tc>
          <w:tcPr>
            <w:tcW w:w="1442" w:type="dxa"/>
            <w:vMerge w:val="continue"/>
            <w:vAlign w:val="center"/>
          </w:tcPr>
          <w:p>
            <w:pPr>
              <w:jc w:val="center"/>
              <w:rPr>
                <w:rFonts w:ascii="仿宋_GB2312" w:hAnsi="Times New Roman" w:eastAsia="仿宋_GB2312"/>
                <w:kern w:val="0"/>
                <w:szCs w:val="21"/>
                <w:highlight w:val="none"/>
              </w:rPr>
            </w:pPr>
          </w:p>
        </w:tc>
        <w:tc>
          <w:tcPr>
            <w:tcW w:w="3681" w:type="dxa"/>
            <w:vAlign w:val="center"/>
          </w:tcPr>
          <w:p>
            <w:pPr>
              <w:jc w:val="left"/>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计划执行率</w:t>
            </w:r>
          </w:p>
        </w:tc>
        <w:tc>
          <w:tcPr>
            <w:tcW w:w="1114" w:type="dxa"/>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1</w:t>
            </w:r>
            <w:r>
              <w:rPr>
                <w:rFonts w:ascii="仿宋_GB2312" w:hAnsi="Times New Roman" w:eastAsia="仿宋_GB2312"/>
                <w:kern w:val="0"/>
                <w:szCs w:val="21"/>
                <w:highlight w:val="none"/>
              </w:rPr>
              <w:t>0</w:t>
            </w:r>
          </w:p>
        </w:tc>
        <w:tc>
          <w:tcPr>
            <w:tcW w:w="1300" w:type="dxa"/>
            <w:vAlign w:val="center"/>
          </w:tcPr>
          <w:p>
            <w:pPr>
              <w:jc w:val="center"/>
              <w:rPr>
                <w:rFonts w:ascii="仿宋_GB2312"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center"/>
              <w:rPr>
                <w:rFonts w:ascii="仿宋_GB2312" w:hAnsi="Times New Roman" w:eastAsia="仿宋_GB2312"/>
                <w:kern w:val="0"/>
                <w:szCs w:val="21"/>
                <w:highlight w:val="none"/>
              </w:rPr>
            </w:pPr>
          </w:p>
        </w:tc>
        <w:tc>
          <w:tcPr>
            <w:tcW w:w="1442" w:type="dxa"/>
            <w:vMerge w:val="continue"/>
            <w:vAlign w:val="center"/>
          </w:tcPr>
          <w:p>
            <w:pPr>
              <w:jc w:val="center"/>
              <w:rPr>
                <w:rFonts w:ascii="仿宋_GB2312" w:hAnsi="Times New Roman" w:eastAsia="仿宋_GB2312"/>
                <w:kern w:val="0"/>
                <w:szCs w:val="21"/>
                <w:highlight w:val="none"/>
              </w:rPr>
            </w:pPr>
          </w:p>
        </w:tc>
        <w:tc>
          <w:tcPr>
            <w:tcW w:w="3681" w:type="dxa"/>
            <w:vAlign w:val="center"/>
          </w:tcPr>
          <w:p>
            <w:pPr>
              <w:jc w:val="left"/>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内业提交情况</w:t>
            </w:r>
          </w:p>
        </w:tc>
        <w:tc>
          <w:tcPr>
            <w:tcW w:w="1114" w:type="dxa"/>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1</w:t>
            </w:r>
            <w:r>
              <w:rPr>
                <w:rFonts w:ascii="仿宋_GB2312" w:hAnsi="Times New Roman" w:eastAsia="仿宋_GB2312"/>
                <w:kern w:val="0"/>
                <w:szCs w:val="21"/>
                <w:highlight w:val="none"/>
              </w:rPr>
              <w:t>0</w:t>
            </w:r>
          </w:p>
        </w:tc>
        <w:tc>
          <w:tcPr>
            <w:tcW w:w="1300" w:type="dxa"/>
            <w:vAlign w:val="center"/>
          </w:tcPr>
          <w:p>
            <w:pPr>
              <w:jc w:val="center"/>
              <w:rPr>
                <w:rFonts w:ascii="仿宋_GB2312"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restart"/>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(2)</w:t>
            </w:r>
          </w:p>
        </w:tc>
        <w:tc>
          <w:tcPr>
            <w:tcW w:w="1442" w:type="dxa"/>
            <w:vMerge w:val="restart"/>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定性考核</w:t>
            </w:r>
          </w:p>
        </w:tc>
        <w:tc>
          <w:tcPr>
            <w:tcW w:w="3681" w:type="dxa"/>
            <w:vAlign w:val="center"/>
          </w:tcPr>
          <w:p>
            <w:pPr>
              <w:jc w:val="left"/>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清洁程度</w:t>
            </w:r>
          </w:p>
        </w:tc>
        <w:tc>
          <w:tcPr>
            <w:tcW w:w="1114" w:type="dxa"/>
            <w:vAlign w:val="center"/>
          </w:tcPr>
          <w:p>
            <w:pPr>
              <w:jc w:val="center"/>
              <w:rPr>
                <w:rFonts w:ascii="仿宋_GB2312" w:hAnsi="Times New Roman" w:eastAsia="仿宋_GB2312"/>
                <w:kern w:val="0"/>
                <w:szCs w:val="21"/>
                <w:highlight w:val="none"/>
              </w:rPr>
            </w:pPr>
            <w:r>
              <w:rPr>
                <w:rFonts w:ascii="仿宋_GB2312" w:hAnsi="Times New Roman" w:eastAsia="仿宋_GB2312"/>
                <w:kern w:val="0"/>
                <w:szCs w:val="21"/>
                <w:highlight w:val="none"/>
              </w:rPr>
              <w:t>15</w:t>
            </w:r>
          </w:p>
        </w:tc>
        <w:tc>
          <w:tcPr>
            <w:tcW w:w="1300" w:type="dxa"/>
            <w:vAlign w:val="center"/>
          </w:tcPr>
          <w:p>
            <w:pPr>
              <w:jc w:val="center"/>
              <w:rPr>
                <w:rFonts w:ascii="仿宋_GB2312"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center"/>
              <w:rPr>
                <w:rFonts w:ascii="仿宋_GB2312" w:hAnsi="Times New Roman" w:eastAsia="仿宋_GB2312"/>
                <w:kern w:val="0"/>
                <w:szCs w:val="21"/>
                <w:highlight w:val="none"/>
              </w:rPr>
            </w:pPr>
          </w:p>
        </w:tc>
        <w:tc>
          <w:tcPr>
            <w:tcW w:w="1442" w:type="dxa"/>
            <w:vMerge w:val="continue"/>
            <w:vAlign w:val="center"/>
          </w:tcPr>
          <w:p>
            <w:pPr>
              <w:jc w:val="center"/>
              <w:rPr>
                <w:rFonts w:ascii="仿宋_GB2312" w:hAnsi="Times New Roman" w:eastAsia="仿宋_GB2312"/>
                <w:kern w:val="0"/>
                <w:szCs w:val="21"/>
                <w:highlight w:val="none"/>
              </w:rPr>
            </w:pPr>
          </w:p>
        </w:tc>
        <w:tc>
          <w:tcPr>
            <w:tcW w:w="3681" w:type="dxa"/>
            <w:vAlign w:val="center"/>
          </w:tcPr>
          <w:p>
            <w:pPr>
              <w:jc w:val="left"/>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病害情况</w:t>
            </w:r>
          </w:p>
        </w:tc>
        <w:tc>
          <w:tcPr>
            <w:tcW w:w="1114" w:type="dxa"/>
            <w:vAlign w:val="center"/>
          </w:tcPr>
          <w:p>
            <w:pPr>
              <w:jc w:val="center"/>
              <w:rPr>
                <w:rFonts w:ascii="仿宋_GB2312" w:hAnsi="Times New Roman" w:eastAsia="仿宋_GB2312"/>
                <w:kern w:val="0"/>
                <w:szCs w:val="21"/>
                <w:highlight w:val="none"/>
              </w:rPr>
            </w:pPr>
            <w:r>
              <w:rPr>
                <w:rFonts w:ascii="仿宋_GB2312" w:hAnsi="Times New Roman" w:eastAsia="仿宋_GB2312"/>
                <w:kern w:val="0"/>
                <w:szCs w:val="21"/>
                <w:highlight w:val="none"/>
              </w:rPr>
              <w:t>15</w:t>
            </w:r>
          </w:p>
        </w:tc>
        <w:tc>
          <w:tcPr>
            <w:tcW w:w="1300" w:type="dxa"/>
            <w:vAlign w:val="center"/>
          </w:tcPr>
          <w:p>
            <w:pPr>
              <w:jc w:val="center"/>
              <w:rPr>
                <w:rFonts w:ascii="仿宋_GB2312"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center"/>
              <w:rPr>
                <w:rFonts w:ascii="仿宋_GB2312" w:hAnsi="Times New Roman" w:eastAsia="仿宋_GB2312"/>
                <w:kern w:val="0"/>
                <w:szCs w:val="21"/>
                <w:highlight w:val="none"/>
              </w:rPr>
            </w:pPr>
          </w:p>
        </w:tc>
        <w:tc>
          <w:tcPr>
            <w:tcW w:w="1442" w:type="dxa"/>
            <w:vMerge w:val="continue"/>
            <w:vAlign w:val="center"/>
          </w:tcPr>
          <w:p>
            <w:pPr>
              <w:jc w:val="center"/>
              <w:rPr>
                <w:rFonts w:ascii="仿宋_GB2312" w:hAnsi="Times New Roman" w:eastAsia="仿宋_GB2312"/>
                <w:kern w:val="0"/>
                <w:szCs w:val="21"/>
                <w:highlight w:val="none"/>
              </w:rPr>
            </w:pPr>
          </w:p>
        </w:tc>
        <w:tc>
          <w:tcPr>
            <w:tcW w:w="3681" w:type="dxa"/>
            <w:vAlign w:val="center"/>
          </w:tcPr>
          <w:p>
            <w:pPr>
              <w:jc w:val="left"/>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安全管理</w:t>
            </w:r>
          </w:p>
        </w:tc>
        <w:tc>
          <w:tcPr>
            <w:tcW w:w="1114" w:type="dxa"/>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1</w:t>
            </w:r>
            <w:r>
              <w:rPr>
                <w:rFonts w:ascii="仿宋_GB2312" w:hAnsi="Times New Roman" w:eastAsia="仿宋_GB2312"/>
                <w:kern w:val="0"/>
                <w:szCs w:val="21"/>
                <w:highlight w:val="none"/>
              </w:rPr>
              <w:t>0</w:t>
            </w:r>
          </w:p>
        </w:tc>
        <w:tc>
          <w:tcPr>
            <w:tcW w:w="1300" w:type="dxa"/>
            <w:vAlign w:val="center"/>
          </w:tcPr>
          <w:p>
            <w:pPr>
              <w:jc w:val="center"/>
              <w:rPr>
                <w:rFonts w:ascii="仿宋_GB2312"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restart"/>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(3)</w:t>
            </w:r>
          </w:p>
        </w:tc>
        <w:tc>
          <w:tcPr>
            <w:tcW w:w="1442" w:type="dxa"/>
            <w:vMerge w:val="restart"/>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专项考核</w:t>
            </w:r>
          </w:p>
        </w:tc>
        <w:tc>
          <w:tcPr>
            <w:tcW w:w="3681" w:type="dxa"/>
            <w:vAlign w:val="center"/>
          </w:tcPr>
          <w:p>
            <w:pPr>
              <w:jc w:val="left"/>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管理要求执行</w:t>
            </w:r>
          </w:p>
        </w:tc>
        <w:tc>
          <w:tcPr>
            <w:tcW w:w="1114" w:type="dxa"/>
            <w:vMerge w:val="restart"/>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w:t>
            </w:r>
          </w:p>
        </w:tc>
        <w:tc>
          <w:tcPr>
            <w:tcW w:w="1300" w:type="dxa"/>
            <w:vMerge w:val="restart"/>
            <w:vAlign w:val="center"/>
          </w:tcPr>
          <w:p>
            <w:pPr>
              <w:jc w:val="center"/>
              <w:rPr>
                <w:rFonts w:ascii="仿宋_GB2312"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left"/>
              <w:rPr>
                <w:rFonts w:ascii="仿宋_GB2312" w:hAnsi="Times New Roman" w:eastAsia="仿宋_GB2312"/>
                <w:kern w:val="0"/>
                <w:szCs w:val="21"/>
                <w:highlight w:val="none"/>
              </w:rPr>
            </w:pPr>
          </w:p>
        </w:tc>
        <w:tc>
          <w:tcPr>
            <w:tcW w:w="1442" w:type="dxa"/>
            <w:vMerge w:val="continue"/>
            <w:vAlign w:val="center"/>
          </w:tcPr>
          <w:p>
            <w:pPr>
              <w:jc w:val="left"/>
              <w:rPr>
                <w:rFonts w:ascii="仿宋_GB2312" w:hAnsi="Times New Roman" w:eastAsia="仿宋_GB2312"/>
                <w:kern w:val="0"/>
                <w:szCs w:val="21"/>
                <w:highlight w:val="none"/>
              </w:rPr>
            </w:pPr>
          </w:p>
        </w:tc>
        <w:tc>
          <w:tcPr>
            <w:tcW w:w="3681" w:type="dxa"/>
            <w:vAlign w:val="center"/>
          </w:tcPr>
          <w:p>
            <w:pPr>
              <w:jc w:val="left"/>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养护作业</w:t>
            </w:r>
          </w:p>
        </w:tc>
        <w:tc>
          <w:tcPr>
            <w:tcW w:w="1114" w:type="dxa"/>
            <w:vMerge w:val="continue"/>
            <w:vAlign w:val="center"/>
          </w:tcPr>
          <w:p>
            <w:pPr>
              <w:jc w:val="center"/>
              <w:rPr>
                <w:rFonts w:ascii="仿宋_GB2312" w:hAnsi="Times New Roman" w:eastAsia="仿宋_GB2312"/>
                <w:kern w:val="0"/>
                <w:szCs w:val="21"/>
                <w:highlight w:val="none"/>
              </w:rPr>
            </w:pPr>
          </w:p>
        </w:tc>
        <w:tc>
          <w:tcPr>
            <w:tcW w:w="1300" w:type="dxa"/>
            <w:vMerge w:val="continue"/>
            <w:vAlign w:val="center"/>
          </w:tcPr>
          <w:p>
            <w:pPr>
              <w:jc w:val="center"/>
              <w:rPr>
                <w:rFonts w:ascii="仿宋_GB2312"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left"/>
              <w:rPr>
                <w:rFonts w:ascii="仿宋_GB2312" w:hAnsi="Times New Roman" w:eastAsia="仿宋_GB2312"/>
                <w:kern w:val="0"/>
                <w:szCs w:val="21"/>
                <w:highlight w:val="none"/>
              </w:rPr>
            </w:pPr>
          </w:p>
        </w:tc>
        <w:tc>
          <w:tcPr>
            <w:tcW w:w="1442" w:type="dxa"/>
            <w:vMerge w:val="continue"/>
            <w:vAlign w:val="center"/>
          </w:tcPr>
          <w:p>
            <w:pPr>
              <w:jc w:val="left"/>
              <w:rPr>
                <w:rFonts w:ascii="仿宋_GB2312" w:hAnsi="Times New Roman" w:eastAsia="仿宋_GB2312"/>
                <w:kern w:val="0"/>
                <w:szCs w:val="21"/>
                <w:highlight w:val="none"/>
              </w:rPr>
            </w:pPr>
          </w:p>
        </w:tc>
        <w:tc>
          <w:tcPr>
            <w:tcW w:w="3681" w:type="dxa"/>
            <w:vAlign w:val="center"/>
          </w:tcPr>
          <w:p>
            <w:pPr>
              <w:jc w:val="left"/>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运维保障</w:t>
            </w:r>
          </w:p>
        </w:tc>
        <w:tc>
          <w:tcPr>
            <w:tcW w:w="1114" w:type="dxa"/>
            <w:vMerge w:val="continue"/>
            <w:vAlign w:val="center"/>
          </w:tcPr>
          <w:p>
            <w:pPr>
              <w:jc w:val="center"/>
              <w:rPr>
                <w:rFonts w:ascii="仿宋_GB2312" w:hAnsi="Times New Roman" w:eastAsia="仿宋_GB2312"/>
                <w:kern w:val="0"/>
                <w:szCs w:val="21"/>
                <w:highlight w:val="none"/>
              </w:rPr>
            </w:pPr>
          </w:p>
        </w:tc>
        <w:tc>
          <w:tcPr>
            <w:tcW w:w="1300" w:type="dxa"/>
            <w:vMerge w:val="continue"/>
            <w:vAlign w:val="center"/>
          </w:tcPr>
          <w:p>
            <w:pPr>
              <w:jc w:val="center"/>
              <w:rPr>
                <w:rFonts w:ascii="仿宋_GB2312"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left"/>
              <w:rPr>
                <w:rFonts w:ascii="仿宋_GB2312" w:hAnsi="Times New Roman" w:eastAsia="仿宋_GB2312"/>
                <w:kern w:val="0"/>
                <w:szCs w:val="21"/>
                <w:highlight w:val="none"/>
              </w:rPr>
            </w:pPr>
          </w:p>
        </w:tc>
        <w:tc>
          <w:tcPr>
            <w:tcW w:w="1442" w:type="dxa"/>
            <w:vMerge w:val="continue"/>
            <w:vAlign w:val="center"/>
          </w:tcPr>
          <w:p>
            <w:pPr>
              <w:jc w:val="left"/>
              <w:rPr>
                <w:rFonts w:ascii="仿宋_GB2312" w:hAnsi="Times New Roman" w:eastAsia="仿宋_GB2312"/>
                <w:kern w:val="0"/>
                <w:szCs w:val="21"/>
                <w:highlight w:val="none"/>
              </w:rPr>
            </w:pPr>
          </w:p>
        </w:tc>
        <w:tc>
          <w:tcPr>
            <w:tcW w:w="3681" w:type="dxa"/>
            <w:vAlign w:val="center"/>
          </w:tcPr>
          <w:p>
            <w:pPr>
              <w:jc w:val="left"/>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安全生产和应急处置</w:t>
            </w:r>
          </w:p>
        </w:tc>
        <w:tc>
          <w:tcPr>
            <w:tcW w:w="1114" w:type="dxa"/>
            <w:vMerge w:val="continue"/>
            <w:vAlign w:val="center"/>
          </w:tcPr>
          <w:p>
            <w:pPr>
              <w:jc w:val="center"/>
              <w:rPr>
                <w:rFonts w:ascii="仿宋_GB2312" w:hAnsi="Times New Roman" w:eastAsia="仿宋_GB2312"/>
                <w:kern w:val="0"/>
                <w:szCs w:val="21"/>
                <w:highlight w:val="none"/>
              </w:rPr>
            </w:pPr>
          </w:p>
        </w:tc>
        <w:tc>
          <w:tcPr>
            <w:tcW w:w="1300" w:type="dxa"/>
            <w:vMerge w:val="continue"/>
            <w:vAlign w:val="center"/>
          </w:tcPr>
          <w:p>
            <w:pPr>
              <w:jc w:val="center"/>
              <w:rPr>
                <w:rFonts w:ascii="仿宋_GB2312"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left"/>
              <w:rPr>
                <w:rFonts w:ascii="仿宋_GB2312" w:hAnsi="Times New Roman" w:eastAsia="仿宋_GB2312"/>
                <w:kern w:val="0"/>
                <w:szCs w:val="21"/>
                <w:highlight w:val="none"/>
              </w:rPr>
            </w:pPr>
          </w:p>
        </w:tc>
        <w:tc>
          <w:tcPr>
            <w:tcW w:w="1442" w:type="dxa"/>
            <w:vMerge w:val="continue"/>
            <w:vAlign w:val="center"/>
          </w:tcPr>
          <w:p>
            <w:pPr>
              <w:jc w:val="left"/>
              <w:rPr>
                <w:rFonts w:ascii="仿宋_GB2312" w:hAnsi="Times New Roman" w:eastAsia="仿宋_GB2312"/>
                <w:kern w:val="0"/>
                <w:szCs w:val="21"/>
                <w:highlight w:val="none"/>
              </w:rPr>
            </w:pPr>
          </w:p>
        </w:tc>
        <w:tc>
          <w:tcPr>
            <w:tcW w:w="3681" w:type="dxa"/>
            <w:vAlign w:val="center"/>
          </w:tcPr>
          <w:p>
            <w:pPr>
              <w:jc w:val="left"/>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日常养护运维开展</w:t>
            </w:r>
          </w:p>
        </w:tc>
        <w:tc>
          <w:tcPr>
            <w:tcW w:w="1114" w:type="dxa"/>
            <w:vMerge w:val="continue"/>
            <w:vAlign w:val="center"/>
          </w:tcPr>
          <w:p>
            <w:pPr>
              <w:jc w:val="center"/>
              <w:rPr>
                <w:rFonts w:ascii="仿宋_GB2312" w:hAnsi="Times New Roman" w:eastAsia="仿宋_GB2312"/>
                <w:kern w:val="0"/>
                <w:szCs w:val="21"/>
                <w:highlight w:val="none"/>
              </w:rPr>
            </w:pPr>
          </w:p>
        </w:tc>
        <w:tc>
          <w:tcPr>
            <w:tcW w:w="1300" w:type="dxa"/>
            <w:vMerge w:val="continue"/>
            <w:vAlign w:val="center"/>
          </w:tcPr>
          <w:p>
            <w:pPr>
              <w:jc w:val="center"/>
              <w:rPr>
                <w:rFonts w:ascii="仿宋_GB2312"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left"/>
              <w:rPr>
                <w:rFonts w:ascii="仿宋_GB2312" w:hAnsi="Times New Roman" w:eastAsia="仿宋_GB2312"/>
                <w:kern w:val="0"/>
                <w:szCs w:val="21"/>
                <w:highlight w:val="none"/>
              </w:rPr>
            </w:pPr>
          </w:p>
        </w:tc>
        <w:tc>
          <w:tcPr>
            <w:tcW w:w="1442" w:type="dxa"/>
            <w:vMerge w:val="continue"/>
            <w:vAlign w:val="center"/>
          </w:tcPr>
          <w:p>
            <w:pPr>
              <w:jc w:val="left"/>
              <w:rPr>
                <w:rFonts w:ascii="仿宋_GB2312" w:hAnsi="Times New Roman" w:eastAsia="仿宋_GB2312"/>
                <w:kern w:val="0"/>
                <w:szCs w:val="21"/>
                <w:highlight w:val="none"/>
              </w:rPr>
            </w:pPr>
          </w:p>
        </w:tc>
        <w:tc>
          <w:tcPr>
            <w:tcW w:w="3681" w:type="dxa"/>
            <w:vAlign w:val="center"/>
          </w:tcPr>
          <w:p>
            <w:pPr>
              <w:jc w:val="left"/>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行业示范带头作用</w:t>
            </w:r>
          </w:p>
        </w:tc>
        <w:tc>
          <w:tcPr>
            <w:tcW w:w="1114" w:type="dxa"/>
            <w:vMerge w:val="continue"/>
            <w:vAlign w:val="center"/>
          </w:tcPr>
          <w:p>
            <w:pPr>
              <w:jc w:val="center"/>
              <w:rPr>
                <w:rFonts w:ascii="仿宋_GB2312" w:hAnsi="Times New Roman" w:eastAsia="仿宋_GB2312"/>
                <w:kern w:val="0"/>
                <w:szCs w:val="21"/>
                <w:highlight w:val="none"/>
              </w:rPr>
            </w:pPr>
          </w:p>
        </w:tc>
        <w:tc>
          <w:tcPr>
            <w:tcW w:w="1300" w:type="dxa"/>
            <w:vMerge w:val="continue"/>
            <w:tcBorders>
              <w:bottom w:val="single" w:color="auto" w:sz="4" w:space="0"/>
            </w:tcBorders>
            <w:vAlign w:val="center"/>
          </w:tcPr>
          <w:p>
            <w:pPr>
              <w:jc w:val="center"/>
              <w:rPr>
                <w:rFonts w:ascii="仿宋_GB2312" w:hAnsi="Times New Roman"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414" w:type="dxa"/>
          <w:trHeight w:val="397" w:hRule="atLeast"/>
          <w:jc w:val="center"/>
        </w:trPr>
        <w:tc>
          <w:tcPr>
            <w:tcW w:w="826" w:type="dxa"/>
            <w:vMerge w:val="continue"/>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设施月度</w:t>
            </w:r>
          </w:p>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考核得分</w:t>
            </w:r>
          </w:p>
        </w:tc>
        <w:tc>
          <w:tcPr>
            <w:tcW w:w="1442" w:type="dxa"/>
            <w:vMerge w:val="continue"/>
            <w:vAlign w:val="center"/>
          </w:tcPr>
          <w:p>
            <w:pPr>
              <w:jc w:val="left"/>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（1）~（3）得分总和</w:t>
            </w:r>
          </w:p>
        </w:tc>
        <w:tc>
          <w:tcPr>
            <w:tcW w:w="3681" w:type="dxa"/>
            <w:vAlign w:val="center"/>
          </w:tcPr>
          <w:p>
            <w:pPr>
              <w:jc w:val="center"/>
              <w:rPr>
                <w:rFonts w:ascii="仿宋_GB2312" w:hAnsi="Times New Roman" w:eastAsia="仿宋_GB2312"/>
                <w:kern w:val="0"/>
                <w:szCs w:val="21"/>
                <w:highlight w:val="none"/>
              </w:rPr>
            </w:pPr>
            <w:r>
              <w:rPr>
                <w:rFonts w:hint="eastAsia" w:ascii="仿宋_GB2312" w:hAnsi="Times New Roman" w:eastAsia="仿宋_GB2312"/>
                <w:kern w:val="0"/>
                <w:szCs w:val="21"/>
                <w:highlight w:val="none"/>
              </w:rPr>
              <w:t>1</w:t>
            </w:r>
            <w:r>
              <w:rPr>
                <w:rFonts w:ascii="仿宋_GB2312" w:hAnsi="Times New Roman" w:eastAsia="仿宋_GB2312"/>
                <w:kern w:val="0"/>
                <w:szCs w:val="21"/>
                <w:highlight w:val="none"/>
              </w:rPr>
              <w:t>00</w:t>
            </w:r>
          </w:p>
        </w:tc>
      </w:tr>
    </w:tbl>
    <w:p>
      <w:pPr>
        <w:widowControl/>
        <w:spacing w:before="360" w:beforeLines="150" w:after="180" w:line="259" w:lineRule="auto"/>
        <w:ind w:firstLine="210" w:firstLineChars="100"/>
        <w:jc w:val="left"/>
        <w:rPr>
          <w:rFonts w:hint="eastAsia" w:ascii="华文仿宋" w:hAnsi="华文仿宋" w:eastAsia="华文仿宋"/>
          <w:szCs w:val="21"/>
          <w:highlight w:val="none"/>
        </w:rPr>
      </w:pPr>
      <w:r>
        <w:rPr>
          <w:rFonts w:hint="eastAsia" w:ascii="华文仿宋" w:hAnsi="华文仿宋" w:eastAsia="华文仿宋"/>
          <w:szCs w:val="21"/>
          <w:highlight w:val="none"/>
        </w:rPr>
        <w:t xml:space="preserve">养护单位（盖章）： </w:t>
      </w:r>
      <w:r>
        <w:rPr>
          <w:rFonts w:ascii="华文仿宋" w:hAnsi="华文仿宋" w:eastAsia="华文仿宋"/>
          <w:szCs w:val="21"/>
          <w:highlight w:val="none"/>
        </w:rPr>
        <w:t xml:space="preserve">          </w:t>
      </w:r>
      <w:r>
        <w:rPr>
          <w:rFonts w:hint="eastAsia" w:ascii="华文仿宋" w:hAnsi="华文仿宋" w:eastAsia="华文仿宋"/>
          <w:szCs w:val="21"/>
          <w:highlight w:val="none"/>
        </w:rPr>
        <w:t>监理单位（盖章）：</w:t>
      </w:r>
      <w:r>
        <w:rPr>
          <w:rFonts w:ascii="华文仿宋" w:hAnsi="华文仿宋" w:eastAsia="华文仿宋"/>
          <w:szCs w:val="21"/>
          <w:highlight w:val="none"/>
        </w:rPr>
        <w:t xml:space="preserve">           </w:t>
      </w:r>
      <w:r>
        <w:rPr>
          <w:rFonts w:hint="eastAsia" w:ascii="华文仿宋" w:hAnsi="华文仿宋" w:eastAsia="华文仿宋"/>
          <w:szCs w:val="21"/>
          <w:highlight w:val="none"/>
        </w:rPr>
        <w:t>设施负责人：</w:t>
      </w:r>
    </w:p>
    <w:p>
      <w:pPr>
        <w:widowControl/>
        <w:spacing w:line="500" w:lineRule="exact"/>
        <w:rPr>
          <w:rFonts w:hint="eastAsia" w:ascii="仿宋_GB2312" w:hAnsi="仿宋_GB2312" w:eastAsia="仿宋_GB2312"/>
          <w:sz w:val="24"/>
          <w:highlight w:val="none"/>
        </w:rPr>
      </w:pPr>
    </w:p>
    <w:p>
      <w:pPr>
        <w:topLinePunct/>
        <w:adjustRightInd w:val="0"/>
        <w:snapToGrid w:val="0"/>
        <w:spacing w:line="360" w:lineRule="auto"/>
        <w:jc w:val="left"/>
        <w:rPr>
          <w:rFonts w:hint="eastAsia" w:ascii="宋体" w:hAnsi="宋体" w:cs="宋体"/>
          <w:b/>
          <w:snapToGrid w:val="0"/>
          <w:kern w:val="0"/>
          <w:szCs w:val="21"/>
          <w:highlight w:val="none"/>
        </w:rPr>
      </w:pPr>
      <w:r>
        <w:rPr>
          <w:rFonts w:hint="eastAsia" w:ascii="华文仿宋" w:hAnsi="华文仿宋" w:eastAsia="华文仿宋"/>
          <w:szCs w:val="21"/>
          <w:highlight w:val="none"/>
        </w:rPr>
        <w:br w:type="page"/>
      </w:r>
    </w:p>
    <w:p>
      <w:pPr>
        <w:topLinePunct/>
        <w:adjustRightInd w:val="0"/>
        <w:snapToGrid w:val="0"/>
        <w:spacing w:line="360" w:lineRule="auto"/>
        <w:jc w:val="left"/>
        <w:outlineLvl w:val="0"/>
        <w:rPr>
          <w:rFonts w:hint="eastAsia" w:ascii="宋体" w:hAnsi="宋体" w:cs="宋体"/>
          <w:b/>
          <w:snapToGrid w:val="0"/>
          <w:kern w:val="0"/>
          <w:szCs w:val="21"/>
          <w:highlight w:val="none"/>
        </w:rPr>
      </w:pPr>
      <w:r>
        <w:rPr>
          <w:rFonts w:hint="eastAsia" w:ascii="宋体" w:hAnsi="宋体" w:cs="宋体"/>
          <w:b/>
          <w:snapToGrid w:val="0"/>
          <w:kern w:val="0"/>
          <w:szCs w:val="21"/>
          <w:highlight w:val="none"/>
        </w:rPr>
        <w:t>附件二：养护运维工作量清单（另行提供）</w:t>
      </w:r>
    </w:p>
    <w:p>
      <w:pPr>
        <w:topLinePunct/>
        <w:adjustRightInd w:val="0"/>
        <w:snapToGrid w:val="0"/>
        <w:spacing w:line="360" w:lineRule="auto"/>
        <w:jc w:val="left"/>
        <w:rPr>
          <w:rFonts w:hint="eastAsia" w:ascii="宋体" w:hAnsi="宋体" w:cs="宋体"/>
          <w:b/>
          <w:bCs/>
          <w:snapToGrid w:val="0"/>
          <w:kern w:val="0"/>
          <w:szCs w:val="21"/>
          <w:highlight w:val="none"/>
        </w:rPr>
      </w:pPr>
    </w:p>
    <w:p>
      <w:pPr>
        <w:topLinePunct/>
        <w:adjustRightInd w:val="0"/>
        <w:snapToGrid w:val="0"/>
        <w:spacing w:line="360" w:lineRule="auto"/>
        <w:jc w:val="left"/>
        <w:rPr>
          <w:rFonts w:hint="eastAsia" w:ascii="宋体" w:hAnsi="宋体" w:cs="宋体"/>
          <w:b/>
          <w:bCs/>
          <w:snapToGrid w:val="0"/>
          <w:kern w:val="0"/>
          <w:szCs w:val="21"/>
          <w:highlight w:val="none"/>
        </w:rPr>
      </w:pPr>
    </w:p>
    <w:p>
      <w:pPr>
        <w:topLinePunct/>
        <w:adjustRightInd w:val="0"/>
        <w:snapToGrid w:val="0"/>
        <w:spacing w:before="120" w:beforeLines="50" w:line="360" w:lineRule="auto"/>
        <w:jc w:val="left"/>
        <w:outlineLvl w:val="0"/>
        <w:rPr>
          <w:rFonts w:hint="eastAsia" w:ascii="宋体" w:hAnsi="宋体" w:cs="宋体"/>
          <w:b/>
          <w:snapToGrid w:val="0"/>
          <w:kern w:val="0"/>
          <w:szCs w:val="21"/>
          <w:highlight w:val="none"/>
        </w:rPr>
      </w:pPr>
      <w:r>
        <w:rPr>
          <w:rFonts w:hint="eastAsia" w:ascii="宋体" w:hAnsi="宋体" w:cs="宋体"/>
          <w:b/>
          <w:snapToGrid w:val="0"/>
          <w:kern w:val="0"/>
          <w:szCs w:val="21"/>
          <w:highlight w:val="none"/>
        </w:rPr>
        <w:t>附件三：设施设备量清单（另行提供）</w:t>
      </w:r>
    </w:p>
    <w:p>
      <w:pPr>
        <w:topLinePunct/>
        <w:adjustRightInd w:val="0"/>
        <w:snapToGrid w:val="0"/>
        <w:spacing w:line="360" w:lineRule="auto"/>
        <w:jc w:val="left"/>
        <w:rPr>
          <w:rFonts w:hint="eastAsia" w:ascii="宋体" w:hAnsi="宋体" w:cs="宋体"/>
          <w:b/>
          <w:bCs/>
          <w:snapToGrid w:val="0"/>
          <w:kern w:val="0"/>
          <w:szCs w:val="21"/>
          <w:highlight w:val="none"/>
        </w:rPr>
      </w:pPr>
    </w:p>
    <w:p>
      <w:pPr>
        <w:topLinePunct/>
        <w:adjustRightInd w:val="0"/>
        <w:snapToGrid w:val="0"/>
        <w:spacing w:line="360" w:lineRule="auto"/>
        <w:jc w:val="left"/>
        <w:rPr>
          <w:rFonts w:hint="eastAsia" w:ascii="宋体" w:hAnsi="宋体" w:cs="宋体"/>
          <w:b/>
          <w:bCs/>
          <w:snapToGrid w:val="0"/>
          <w:kern w:val="0"/>
          <w:szCs w:val="21"/>
          <w:highlight w:val="none"/>
        </w:rPr>
      </w:pPr>
    </w:p>
    <w:sectPr>
      <w:footerReference r:id="rId3" w:type="default"/>
      <w:footerReference r:id="rId4" w:type="even"/>
      <w:pgSz w:w="11906" w:h="16838"/>
      <w:pgMar w:top="1361" w:right="1361" w:bottom="1361" w:left="1361"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A00002EF" w:usb1="4000004B" w:usb2="00000000" w:usb3="00000000" w:csb0="200000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1F00FF" w:csb1="FFFF0000"/>
  </w:font>
  <w:font w:name="隶书">
    <w:altName w:val="Arial Unicode MS"/>
    <w:panose1 w:val="0201050906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Verdana">
    <w:altName w:val="Indeal Pro 1.23"/>
    <w:panose1 w:val="020B0604030504040204"/>
    <w:charset w:val="00"/>
    <w:family w:val="swiss"/>
    <w:pitch w:val="default"/>
    <w:sig w:usb0="00000000" w:usb1="00000000" w:usb2="00000010" w:usb3="00000000" w:csb0="2000019F" w:csb1="00000000"/>
  </w:font>
  <w:font w:name="Indeal Pro 1.23">
    <w:panose1 w:val="020B0604030504040204"/>
    <w:charset w:val="00"/>
    <w:family w:val="auto"/>
    <w:pitch w:val="default"/>
    <w:sig w:usb0="00000287" w:usb1="00000000" w:usb2="00000000" w:usb3="00000000" w:csb0="2000019F" w:csb1="00000000"/>
  </w:font>
  <w:font w:name="Arial Narrow">
    <w:panose1 w:val="020B0606020202030204"/>
    <w:charset w:val="00"/>
    <w:family w:val="swiss"/>
    <w:pitch w:val="default"/>
    <w:sig w:usb0="00000287" w:usb1="00000800" w:usb2="00000000" w:usb3="00000000" w:csb0="2000009F" w:csb1="DFD70000"/>
  </w:font>
  <w:font w:name="Tahoma">
    <w:altName w:val="DejaVu Sans"/>
    <w:panose1 w:val="020B0604030504040204"/>
    <w:charset w:val="00"/>
    <w:family w:val="swiss"/>
    <w:pitch w:val="default"/>
    <w:sig w:usb0="00000000" w:usb1="00000000" w:usb2="00000029" w:usb3="00000000" w:csb0="200101FF" w:csb1="20280000"/>
  </w:font>
  <w:font w:name="DejaVu Sans">
    <w:panose1 w:val="020B0603030804020204"/>
    <w:charset w:val="00"/>
    <w:family w:val="auto"/>
    <w:pitch w:val="default"/>
    <w:sig w:usb0="E7006EFF" w:usb1="D200FDFF" w:usb2="0A246029" w:usb3="0400200C" w:csb0="600001FF" w:csb1="DFFF0000"/>
  </w:font>
  <w:font w:name="楷体">
    <w:panose1 w:val="02010609060101010101"/>
    <w:charset w:val="86"/>
    <w:family w:val="roman"/>
    <w:pitch w:val="default"/>
    <w:sig w:usb0="800002BF" w:usb1="38CF7CFA" w:usb2="00000016" w:usb3="00000000" w:csb0="00040001" w:csb1="00000000"/>
  </w:font>
  <w:font w:name="??">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0F3C52" w:usb2="00000016" w:usb3="00000000" w:csb0="0004001F" w:csb1="00000000"/>
  </w:font>
  <w:font w:name="ˎ̥">
    <w:altName w:val="微软雅黑"/>
    <w:panose1 w:val="00000000000000000000"/>
    <w:charset w:val="00"/>
    <w:family w:val="roman"/>
    <w:pitch w:val="default"/>
    <w:sig w:usb0="00000000" w:usb1="00000000" w:usb2="00000000" w:usb3="00000000" w:csb0="00040001" w:csb1="00000000"/>
  </w:font>
  <w:font w:name="StarSymbol">
    <w:altName w:val="演示斜黑体"/>
    <w:panose1 w:val="00000000000000000000"/>
    <w:charset w:val="02"/>
    <w:family w:val="auto"/>
    <w:pitch w:val="default"/>
    <w:sig w:usb0="00000000" w:usb1="00000000" w:usb2="00000000" w:usb3="00000000" w:csb0="00040001" w:csb1="00000000"/>
  </w:font>
  <w:font w:name="演示斜黑体">
    <w:panose1 w:val="00000A08000000000000"/>
    <w:charset w:val="86"/>
    <w:family w:val="auto"/>
    <w:pitch w:val="default"/>
    <w:sig w:usb0="00000001"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Arial Black">
    <w:panose1 w:val="020B0A04020102020204"/>
    <w:charset w:val="00"/>
    <w:family w:val="swiss"/>
    <w:pitch w:val="default"/>
    <w:sig w:usb0="00000287" w:usb1="00000000" w:usb2="00000000" w:usb3="00000000" w:csb0="2000009F" w:csb1="DFD70000"/>
  </w:font>
  <w:font w:name="AR PL ShanHeiSun Uni">
    <w:altName w:val="微软雅黑"/>
    <w:panose1 w:val="00000000000000000000"/>
    <w:charset w:val="00"/>
    <w:family w:val="swiss"/>
    <w:pitch w:val="default"/>
    <w:sig w:usb0="00000000" w:usb1="00000000" w:usb2="00000000" w:usb3="00000000" w:csb0="00040001" w:csb1="00000000"/>
  </w:font>
  <w:font w:name="..">
    <w:altName w:val="宋体"/>
    <w:panose1 w:val="00000000000000000000"/>
    <w:charset w:val="86"/>
    <w:family w:val="auto"/>
    <w:pitch w:val="default"/>
    <w:sig w:usb0="00000000" w:usb1="00000000" w:usb2="00000010" w:usb3="00000000" w:csb0="00040000" w:csb1="00000000"/>
  </w:font>
  <w:font w:name="Helvetica-Condensed-Bold">
    <w:altName w:val="DejaVu Math TeX Gyre"/>
    <w:panose1 w:val="00000000000000000000"/>
    <w:charset w:val="00"/>
    <w:family w:val="auto"/>
    <w:pitch w:val="default"/>
    <w:sig w:usb0="00000000" w:usb1="00000000" w:usb2="00000000" w:usb3="00000000" w:csb0="0000019F" w:csb1="00000000"/>
  </w:font>
  <w:font w:name="DejaVu Math TeX Gyre">
    <w:panose1 w:val="02000503000000000000"/>
    <w:charset w:val="00"/>
    <w:family w:val="auto"/>
    <w:pitch w:val="default"/>
    <w:sig w:usb0="A10000EF" w:usb1="4201F9EE" w:usb2="02000000" w:usb3="00000000" w:csb0="60000193" w:csb1="0DD40000"/>
  </w:font>
  <w:font w:name="MingLiU">
    <w:panose1 w:val="02020509000000000000"/>
    <w:charset w:val="88"/>
    <w:family w:val="modern"/>
    <w:pitch w:val="default"/>
    <w:sig w:usb0="A00002FF" w:usb1="28CFFCFA" w:usb2="00000016" w:usb3="00000000" w:csb0="00100001" w:csb1="00000000"/>
  </w:font>
  <w:font w:name="Meiryo UI">
    <w:panose1 w:val="020B0604030504040204"/>
    <w:charset w:val="80"/>
    <w:family w:val="swiss"/>
    <w:pitch w:val="default"/>
    <w:sig w:usb0="E10102FF" w:usb1="EAC7FFFF" w:usb2="00010012" w:usb3="00000000" w:csb0="6002009F" w:csb1="DFD70000"/>
  </w:font>
  <w:font w:name="Yu Mincho">
    <w:altName w:val="MS Mincho"/>
    <w:panose1 w:val="02020400000000000000"/>
    <w:charset w:val="80"/>
    <w:family w:val="roman"/>
    <w:pitch w:val="default"/>
    <w:sig w:usb0="00000000" w:usb1="00000000" w:usb2="00000000" w:usb3="00000000" w:csb0="00000000" w:csb1="00000000"/>
  </w:font>
  <w:font w:name="MS Mincho">
    <w:panose1 w:val="02020609040205080304"/>
    <w:charset w:val="80"/>
    <w:family w:val="auto"/>
    <w:pitch w:val="default"/>
    <w:sig w:usb0="A00002BF" w:usb1="68C7FCFB" w:usb2="00000010" w:usb3="00000000" w:csb0="4002009F" w:csb1="DFD70000"/>
  </w:font>
  <w:font w:name="华文中宋">
    <w:panose1 w:val="02010600040101010101"/>
    <w:charset w:val="86"/>
    <w:family w:val="auto"/>
    <w:pitch w:val="default"/>
    <w:sig w:usb0="00000287" w:usb1="080F0000" w:usb2="00000000" w:usb3="00000000" w:csb0="0004009F" w:csb1="DFD70000"/>
  </w:font>
  <w:font w:name="Cambria Math">
    <w:panose1 w:val="02040503050406030204"/>
    <w:charset w:val="00"/>
    <w:family w:val="roman"/>
    <w:pitch w:val="default"/>
    <w:sig w:usb0="A00002EF" w:usb1="420020EB" w:usb2="00000000" w:usb3="00000000" w:csb0="2000009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55"/>
          <w:jc w:val="center"/>
        </w:pPr>
        <w:r>
          <w:fldChar w:fldCharType="begin"/>
        </w:r>
        <w:r>
          <w:instrText xml:space="preserve">PAGE   \* MERGEFORMAT</w:instrText>
        </w:r>
        <w:r>
          <w:fldChar w:fldCharType="separate"/>
        </w:r>
        <w:r>
          <w:rPr>
            <w:lang w:val="zh-CN"/>
          </w:rPr>
          <w:t>2</w:t>
        </w:r>
        <w:r>
          <w:fldChar w:fldCharType="end"/>
        </w:r>
      </w:p>
    </w:sdtContent>
  </w:sdt>
  <w:p>
    <w:pPr>
      <w:pStyle w:val="5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framePr w:wrap="auto" w:vAnchor="text" w:hAnchor="margin" w:xAlign="center" w:y="1"/>
      <w:rPr>
        <w:rStyle w:val="93"/>
      </w:rPr>
    </w:pPr>
    <w:r>
      <w:rPr>
        <w:rStyle w:val="93"/>
      </w:rPr>
      <w:fldChar w:fldCharType="begin"/>
    </w:r>
    <w:r>
      <w:rPr>
        <w:rStyle w:val="93"/>
      </w:rPr>
      <w:instrText xml:space="preserve"> PAGE </w:instrText>
    </w:r>
    <w:r>
      <w:rPr>
        <w:rStyle w:val="93"/>
      </w:rPr>
      <w:fldChar w:fldCharType="separate"/>
    </w:r>
    <w:r>
      <w:rPr>
        <w:rStyle w:val="93"/>
      </w:rPr>
      <w:t>1</w:t>
    </w:r>
    <w:r>
      <w:rPr>
        <w:rStyle w:val="93"/>
      </w:rPr>
      <w:fldChar w:fldCharType="end"/>
    </w:r>
  </w:p>
  <w:p>
    <w:pPr>
      <w:pStyle w:val="5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2"/>
      <w:numFmt w:val="decimal"/>
      <w:lvlText w:val="%1"/>
      <w:lvlJc w:val="left"/>
      <w:pPr>
        <w:tabs>
          <w:tab w:val="left" w:pos="425"/>
        </w:tabs>
        <w:ind w:left="425" w:hanging="425"/>
      </w:pPr>
    </w:lvl>
    <w:lvl w:ilvl="1" w:tentative="0">
      <w:start w:val="2"/>
      <w:numFmt w:val="decimal"/>
      <w:lvlText w:val="%1.%2"/>
      <w:lvlJc w:val="left"/>
      <w:pPr>
        <w:tabs>
          <w:tab w:val="left" w:pos="992"/>
        </w:tabs>
        <w:ind w:left="992" w:hanging="567"/>
      </w:pPr>
    </w:lvl>
    <w:lvl w:ilvl="2" w:tentative="0">
      <w:start w:val="1"/>
      <w:numFmt w:val="decimal"/>
      <w:lvlText w:val="%1.%2.%3"/>
      <w:lvlJc w:val="left"/>
      <w:pPr>
        <w:tabs>
          <w:tab w:val="left" w:pos="1571"/>
        </w:tabs>
        <w:ind w:left="1418" w:hanging="567"/>
      </w:pPr>
    </w:lvl>
    <w:lvl w:ilvl="3" w:tentative="0">
      <w:start w:val="1"/>
      <w:numFmt w:val="decimal"/>
      <w:pStyle w:val="6"/>
      <w:lvlText w:val="%1.%2.%3.%4"/>
      <w:lvlJc w:val="left"/>
      <w:pPr>
        <w:tabs>
          <w:tab w:val="left" w:pos="2356"/>
        </w:tabs>
        <w:ind w:left="1984" w:hanging="708"/>
      </w:pPr>
    </w:lvl>
    <w:lvl w:ilvl="4" w:tentative="0">
      <w:start w:val="1"/>
      <w:numFmt w:val="decimal"/>
      <w:lvlText w:val="%1.%2.%3.%4.%5"/>
      <w:lvlJc w:val="left"/>
      <w:pPr>
        <w:tabs>
          <w:tab w:val="left" w:pos="3141"/>
        </w:tabs>
        <w:ind w:left="2551" w:hanging="850"/>
      </w:pPr>
    </w:lvl>
    <w:lvl w:ilvl="5" w:tentative="0">
      <w:start w:val="1"/>
      <w:numFmt w:val="decimal"/>
      <w:lvlText w:val="%1.%2.%3.%4.%5.%6"/>
      <w:lvlJc w:val="left"/>
      <w:pPr>
        <w:tabs>
          <w:tab w:val="left" w:pos="3926"/>
        </w:tabs>
        <w:ind w:left="3260" w:hanging="1134"/>
      </w:pPr>
    </w:lvl>
    <w:lvl w:ilvl="6" w:tentative="0">
      <w:start w:val="1"/>
      <w:numFmt w:val="decimal"/>
      <w:lvlText w:val="%1.%2.%3.%4.%5.%6.%7"/>
      <w:lvlJc w:val="left"/>
      <w:pPr>
        <w:tabs>
          <w:tab w:val="left" w:pos="4711"/>
        </w:tabs>
        <w:ind w:left="3827" w:hanging="1276"/>
      </w:pPr>
    </w:lvl>
    <w:lvl w:ilvl="7" w:tentative="0">
      <w:start w:val="1"/>
      <w:numFmt w:val="decimal"/>
      <w:lvlText w:val="%1.%2.%3.%4.%5.%6.%7.%8"/>
      <w:lvlJc w:val="left"/>
      <w:pPr>
        <w:tabs>
          <w:tab w:val="left" w:pos="5136"/>
        </w:tabs>
        <w:ind w:left="4394" w:hanging="1418"/>
      </w:pPr>
    </w:lvl>
    <w:lvl w:ilvl="8" w:tentative="0">
      <w:start w:val="1"/>
      <w:numFmt w:val="decimal"/>
      <w:lvlText w:val="%1.%2.%3.%4.%5.%6.%7.%8.%9"/>
      <w:lvlJc w:val="left"/>
      <w:pPr>
        <w:tabs>
          <w:tab w:val="left" w:pos="5922"/>
        </w:tabs>
        <w:ind w:left="5102" w:hanging="1700"/>
      </w:pPr>
    </w:lvl>
  </w:abstractNum>
  <w:abstractNum w:abstractNumId="1">
    <w:nsid w:val="11C27D60"/>
    <w:multiLevelType w:val="multilevel"/>
    <w:tmpl w:val="11C27D60"/>
    <w:lvl w:ilvl="0" w:tentative="0">
      <w:start w:val="1"/>
      <w:numFmt w:val="japaneseCounting"/>
      <w:lvlText w:val="第%1条"/>
      <w:lvlJc w:val="left"/>
      <w:pPr>
        <w:ind w:left="1110" w:hanging="11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0AB4ADA"/>
    <w:multiLevelType w:val="multilevel"/>
    <w:tmpl w:val="30AB4ADA"/>
    <w:lvl w:ilvl="0" w:tentative="0">
      <w:start w:val="1"/>
      <w:numFmt w:val="decimal"/>
      <w:lvlText w:val="(%1)"/>
      <w:lvlJc w:val="left"/>
      <w:pPr>
        <w:tabs>
          <w:tab w:val="left" w:pos="845"/>
        </w:tabs>
        <w:ind w:left="845"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pStyle w:val="313"/>
      <w:lvlText w:val="%3."/>
      <w:lvlJc w:val="right"/>
      <w:pPr>
        <w:tabs>
          <w:tab w:val="left" w:pos="1260"/>
        </w:tabs>
        <w:ind w:left="1260" w:hanging="420"/>
      </w:pPr>
    </w:lvl>
    <w:lvl w:ilvl="3" w:tentative="0">
      <w:start w:val="1"/>
      <w:numFmt w:val="decimal"/>
      <w:pStyle w:val="401"/>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2801800"/>
    <w:multiLevelType w:val="multilevel"/>
    <w:tmpl w:val="32801800"/>
    <w:lvl w:ilvl="0" w:tentative="0">
      <w:start w:val="1"/>
      <w:numFmt w:val="decimal"/>
      <w:lvlText w:val="%1"/>
      <w:lvlJc w:val="center"/>
      <w:pPr>
        <w:ind w:left="440" w:hanging="152"/>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5BB747D5"/>
    <w:multiLevelType w:val="multilevel"/>
    <w:tmpl w:val="5BB747D5"/>
    <w:lvl w:ilvl="0" w:tentative="0">
      <w:start w:val="1"/>
      <w:numFmt w:val="japaneseCounting"/>
      <w:lvlText w:val="第%1章"/>
      <w:lvlJc w:val="left"/>
      <w:pPr>
        <w:ind w:left="1792" w:hanging="123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U1ZDczODI0NDhjM2FkOWI1ZWI5OTBhOTYxYWIwNTgifQ=="/>
    <w:docVar w:name="KSO_WPS_MARK_KEY" w:val="c3fb30f2-d639-4644-91b7-cea44f77d85f"/>
  </w:docVars>
  <w:rsids>
    <w:rsidRoot w:val="009F3C28"/>
    <w:rsid w:val="00003AAF"/>
    <w:rsid w:val="000052D3"/>
    <w:rsid w:val="00006966"/>
    <w:rsid w:val="00007FD9"/>
    <w:rsid w:val="00011A71"/>
    <w:rsid w:val="000135FD"/>
    <w:rsid w:val="0001468D"/>
    <w:rsid w:val="00020C07"/>
    <w:rsid w:val="00024D5F"/>
    <w:rsid w:val="00037134"/>
    <w:rsid w:val="0004389B"/>
    <w:rsid w:val="00050D89"/>
    <w:rsid w:val="00051475"/>
    <w:rsid w:val="00054876"/>
    <w:rsid w:val="00057228"/>
    <w:rsid w:val="00060563"/>
    <w:rsid w:val="000626C7"/>
    <w:rsid w:val="0007008F"/>
    <w:rsid w:val="0007674C"/>
    <w:rsid w:val="00083AC4"/>
    <w:rsid w:val="000936B8"/>
    <w:rsid w:val="00094A94"/>
    <w:rsid w:val="00095FB2"/>
    <w:rsid w:val="000976C7"/>
    <w:rsid w:val="000A268E"/>
    <w:rsid w:val="000A3D7D"/>
    <w:rsid w:val="000A421C"/>
    <w:rsid w:val="000B28A5"/>
    <w:rsid w:val="000C0025"/>
    <w:rsid w:val="000C01B8"/>
    <w:rsid w:val="000C14D0"/>
    <w:rsid w:val="000D1F3E"/>
    <w:rsid w:val="000D354E"/>
    <w:rsid w:val="000D5609"/>
    <w:rsid w:val="000D7D2E"/>
    <w:rsid w:val="000E376E"/>
    <w:rsid w:val="000E773C"/>
    <w:rsid w:val="000F2C80"/>
    <w:rsid w:val="000F2DC6"/>
    <w:rsid w:val="000F6FC3"/>
    <w:rsid w:val="00101217"/>
    <w:rsid w:val="00102442"/>
    <w:rsid w:val="00106A29"/>
    <w:rsid w:val="0011052E"/>
    <w:rsid w:val="00111E73"/>
    <w:rsid w:val="0012294B"/>
    <w:rsid w:val="001305F1"/>
    <w:rsid w:val="001310BB"/>
    <w:rsid w:val="0014093B"/>
    <w:rsid w:val="00142C6B"/>
    <w:rsid w:val="001449EA"/>
    <w:rsid w:val="0015057E"/>
    <w:rsid w:val="00160EC8"/>
    <w:rsid w:val="00172DB6"/>
    <w:rsid w:val="0018025F"/>
    <w:rsid w:val="00181507"/>
    <w:rsid w:val="00185094"/>
    <w:rsid w:val="00186851"/>
    <w:rsid w:val="00196333"/>
    <w:rsid w:val="00196495"/>
    <w:rsid w:val="001A0FDA"/>
    <w:rsid w:val="001A58CD"/>
    <w:rsid w:val="001A664E"/>
    <w:rsid w:val="001A7406"/>
    <w:rsid w:val="001A7436"/>
    <w:rsid w:val="001B2D72"/>
    <w:rsid w:val="001B420A"/>
    <w:rsid w:val="001B6002"/>
    <w:rsid w:val="001C0E11"/>
    <w:rsid w:val="001C4D9A"/>
    <w:rsid w:val="001C618C"/>
    <w:rsid w:val="001D15BA"/>
    <w:rsid w:val="001D19C9"/>
    <w:rsid w:val="001D1D5B"/>
    <w:rsid w:val="001D3E8D"/>
    <w:rsid w:val="001D4B7A"/>
    <w:rsid w:val="001D56DF"/>
    <w:rsid w:val="001D60EC"/>
    <w:rsid w:val="001D63EF"/>
    <w:rsid w:val="001E253D"/>
    <w:rsid w:val="001F17D3"/>
    <w:rsid w:val="00200FFE"/>
    <w:rsid w:val="0021183D"/>
    <w:rsid w:val="002136BF"/>
    <w:rsid w:val="00213E72"/>
    <w:rsid w:val="00215316"/>
    <w:rsid w:val="002220DF"/>
    <w:rsid w:val="00230DB5"/>
    <w:rsid w:val="0023150A"/>
    <w:rsid w:val="00233E27"/>
    <w:rsid w:val="00235C7B"/>
    <w:rsid w:val="002360E6"/>
    <w:rsid w:val="00236AFB"/>
    <w:rsid w:val="00240224"/>
    <w:rsid w:val="00242EFB"/>
    <w:rsid w:val="00244210"/>
    <w:rsid w:val="00253CEE"/>
    <w:rsid w:val="00260B22"/>
    <w:rsid w:val="0026263F"/>
    <w:rsid w:val="002661E2"/>
    <w:rsid w:val="0028076D"/>
    <w:rsid w:val="00285430"/>
    <w:rsid w:val="002908B6"/>
    <w:rsid w:val="00294298"/>
    <w:rsid w:val="0029496C"/>
    <w:rsid w:val="00297599"/>
    <w:rsid w:val="002A32FE"/>
    <w:rsid w:val="002B467C"/>
    <w:rsid w:val="002B7449"/>
    <w:rsid w:val="002C3370"/>
    <w:rsid w:val="002C6534"/>
    <w:rsid w:val="002C782B"/>
    <w:rsid w:val="002D1A15"/>
    <w:rsid w:val="002D1CB8"/>
    <w:rsid w:val="002D2289"/>
    <w:rsid w:val="002D38A4"/>
    <w:rsid w:val="002D6E28"/>
    <w:rsid w:val="002E1229"/>
    <w:rsid w:val="002E3241"/>
    <w:rsid w:val="002E668B"/>
    <w:rsid w:val="002F0CBE"/>
    <w:rsid w:val="002F3179"/>
    <w:rsid w:val="002F35BD"/>
    <w:rsid w:val="002F784A"/>
    <w:rsid w:val="00300072"/>
    <w:rsid w:val="00305FDC"/>
    <w:rsid w:val="00311F54"/>
    <w:rsid w:val="00313D9D"/>
    <w:rsid w:val="00320659"/>
    <w:rsid w:val="00330E07"/>
    <w:rsid w:val="00331642"/>
    <w:rsid w:val="00334915"/>
    <w:rsid w:val="003357E9"/>
    <w:rsid w:val="003363CE"/>
    <w:rsid w:val="00340409"/>
    <w:rsid w:val="0034219B"/>
    <w:rsid w:val="00342432"/>
    <w:rsid w:val="0034614C"/>
    <w:rsid w:val="003479E3"/>
    <w:rsid w:val="003505DC"/>
    <w:rsid w:val="00350CB3"/>
    <w:rsid w:val="003537A1"/>
    <w:rsid w:val="00360B3A"/>
    <w:rsid w:val="0036724B"/>
    <w:rsid w:val="00367FFC"/>
    <w:rsid w:val="003729E1"/>
    <w:rsid w:val="00374E55"/>
    <w:rsid w:val="00374EBC"/>
    <w:rsid w:val="003847A7"/>
    <w:rsid w:val="00393839"/>
    <w:rsid w:val="00396142"/>
    <w:rsid w:val="003B2F6B"/>
    <w:rsid w:val="003B4B82"/>
    <w:rsid w:val="003B77FD"/>
    <w:rsid w:val="003C1743"/>
    <w:rsid w:val="003C4A05"/>
    <w:rsid w:val="003C653A"/>
    <w:rsid w:val="003C6BCB"/>
    <w:rsid w:val="003C6DED"/>
    <w:rsid w:val="003C7FC5"/>
    <w:rsid w:val="003D1266"/>
    <w:rsid w:val="003D57D2"/>
    <w:rsid w:val="003E3567"/>
    <w:rsid w:val="003F1DAE"/>
    <w:rsid w:val="003F213B"/>
    <w:rsid w:val="003F45C0"/>
    <w:rsid w:val="003F4AD7"/>
    <w:rsid w:val="00411AB7"/>
    <w:rsid w:val="004244F3"/>
    <w:rsid w:val="0042551D"/>
    <w:rsid w:val="00425C5C"/>
    <w:rsid w:val="00425FD8"/>
    <w:rsid w:val="00430E52"/>
    <w:rsid w:val="0043557E"/>
    <w:rsid w:val="00435758"/>
    <w:rsid w:val="00437BB7"/>
    <w:rsid w:val="004405B5"/>
    <w:rsid w:val="00443B6F"/>
    <w:rsid w:val="00445C5D"/>
    <w:rsid w:val="00446B1A"/>
    <w:rsid w:val="00454696"/>
    <w:rsid w:val="00454977"/>
    <w:rsid w:val="00457BFD"/>
    <w:rsid w:val="0046138B"/>
    <w:rsid w:val="00462131"/>
    <w:rsid w:val="00465AD9"/>
    <w:rsid w:val="00465BD6"/>
    <w:rsid w:val="00466AA0"/>
    <w:rsid w:val="0047104D"/>
    <w:rsid w:val="00471340"/>
    <w:rsid w:val="00477B86"/>
    <w:rsid w:val="0048304D"/>
    <w:rsid w:val="00486928"/>
    <w:rsid w:val="00491AEF"/>
    <w:rsid w:val="00494E4B"/>
    <w:rsid w:val="004A1718"/>
    <w:rsid w:val="004A1DAA"/>
    <w:rsid w:val="004A510C"/>
    <w:rsid w:val="004A5228"/>
    <w:rsid w:val="004A5AF8"/>
    <w:rsid w:val="004A656B"/>
    <w:rsid w:val="004B7956"/>
    <w:rsid w:val="004C47C0"/>
    <w:rsid w:val="004C5EE1"/>
    <w:rsid w:val="004E183B"/>
    <w:rsid w:val="004E2B31"/>
    <w:rsid w:val="004E4CC3"/>
    <w:rsid w:val="004F17BE"/>
    <w:rsid w:val="004F300A"/>
    <w:rsid w:val="004F5DD6"/>
    <w:rsid w:val="00500F72"/>
    <w:rsid w:val="00503128"/>
    <w:rsid w:val="00504D3E"/>
    <w:rsid w:val="00507B8F"/>
    <w:rsid w:val="00512021"/>
    <w:rsid w:val="00515141"/>
    <w:rsid w:val="00517A28"/>
    <w:rsid w:val="00522A03"/>
    <w:rsid w:val="00522DB7"/>
    <w:rsid w:val="005230F0"/>
    <w:rsid w:val="00523927"/>
    <w:rsid w:val="00524552"/>
    <w:rsid w:val="0052616F"/>
    <w:rsid w:val="00531B23"/>
    <w:rsid w:val="0053342A"/>
    <w:rsid w:val="00534985"/>
    <w:rsid w:val="00537C6C"/>
    <w:rsid w:val="005409DE"/>
    <w:rsid w:val="00543B00"/>
    <w:rsid w:val="005527E1"/>
    <w:rsid w:val="00553A4F"/>
    <w:rsid w:val="00553E65"/>
    <w:rsid w:val="00554EBC"/>
    <w:rsid w:val="00555465"/>
    <w:rsid w:val="0055604A"/>
    <w:rsid w:val="0055626F"/>
    <w:rsid w:val="00561522"/>
    <w:rsid w:val="00564243"/>
    <w:rsid w:val="00564B27"/>
    <w:rsid w:val="005737D1"/>
    <w:rsid w:val="00573E35"/>
    <w:rsid w:val="00576A17"/>
    <w:rsid w:val="00577787"/>
    <w:rsid w:val="005858DE"/>
    <w:rsid w:val="00586D0C"/>
    <w:rsid w:val="00592988"/>
    <w:rsid w:val="0059765C"/>
    <w:rsid w:val="005978A5"/>
    <w:rsid w:val="005A5AE8"/>
    <w:rsid w:val="005A7430"/>
    <w:rsid w:val="005B0B92"/>
    <w:rsid w:val="005B1F4D"/>
    <w:rsid w:val="005B3031"/>
    <w:rsid w:val="005B539B"/>
    <w:rsid w:val="005B6488"/>
    <w:rsid w:val="005C25F9"/>
    <w:rsid w:val="005C31B4"/>
    <w:rsid w:val="005D0BE5"/>
    <w:rsid w:val="005D2F0E"/>
    <w:rsid w:val="005D6870"/>
    <w:rsid w:val="005D6C37"/>
    <w:rsid w:val="005E25FB"/>
    <w:rsid w:val="005F00BB"/>
    <w:rsid w:val="005F112F"/>
    <w:rsid w:val="005F28A4"/>
    <w:rsid w:val="005F37CE"/>
    <w:rsid w:val="005F510F"/>
    <w:rsid w:val="005F6CEE"/>
    <w:rsid w:val="00606325"/>
    <w:rsid w:val="00617321"/>
    <w:rsid w:val="00617E3B"/>
    <w:rsid w:val="006254A8"/>
    <w:rsid w:val="006255FB"/>
    <w:rsid w:val="006279DC"/>
    <w:rsid w:val="00630F54"/>
    <w:rsid w:val="00635F30"/>
    <w:rsid w:val="00640133"/>
    <w:rsid w:val="00641C95"/>
    <w:rsid w:val="00646567"/>
    <w:rsid w:val="00653C83"/>
    <w:rsid w:val="006549DD"/>
    <w:rsid w:val="00656C24"/>
    <w:rsid w:val="0066127B"/>
    <w:rsid w:val="00663622"/>
    <w:rsid w:val="00665CF4"/>
    <w:rsid w:val="00665DE5"/>
    <w:rsid w:val="00671592"/>
    <w:rsid w:val="00671C75"/>
    <w:rsid w:val="00671DE3"/>
    <w:rsid w:val="00680B24"/>
    <w:rsid w:val="00684012"/>
    <w:rsid w:val="00684D97"/>
    <w:rsid w:val="006957A8"/>
    <w:rsid w:val="00697246"/>
    <w:rsid w:val="006A4A57"/>
    <w:rsid w:val="006B24EC"/>
    <w:rsid w:val="006B4192"/>
    <w:rsid w:val="006B6B5A"/>
    <w:rsid w:val="006C0404"/>
    <w:rsid w:val="006C05AA"/>
    <w:rsid w:val="006C3A6A"/>
    <w:rsid w:val="006C409A"/>
    <w:rsid w:val="006D072A"/>
    <w:rsid w:val="006D488E"/>
    <w:rsid w:val="006D72BF"/>
    <w:rsid w:val="006E0782"/>
    <w:rsid w:val="006F4074"/>
    <w:rsid w:val="00700B37"/>
    <w:rsid w:val="00704FB1"/>
    <w:rsid w:val="007146CD"/>
    <w:rsid w:val="007154CE"/>
    <w:rsid w:val="00715B44"/>
    <w:rsid w:val="00722914"/>
    <w:rsid w:val="007245F4"/>
    <w:rsid w:val="007272C4"/>
    <w:rsid w:val="00736292"/>
    <w:rsid w:val="0074061A"/>
    <w:rsid w:val="00746316"/>
    <w:rsid w:val="007475F8"/>
    <w:rsid w:val="00750A30"/>
    <w:rsid w:val="007529FA"/>
    <w:rsid w:val="00753F9E"/>
    <w:rsid w:val="00755AEA"/>
    <w:rsid w:val="00756CF5"/>
    <w:rsid w:val="00762D64"/>
    <w:rsid w:val="0077027D"/>
    <w:rsid w:val="00771AEF"/>
    <w:rsid w:val="0077509E"/>
    <w:rsid w:val="00775203"/>
    <w:rsid w:val="00780935"/>
    <w:rsid w:val="00782078"/>
    <w:rsid w:val="0078380C"/>
    <w:rsid w:val="0078503F"/>
    <w:rsid w:val="00790A0D"/>
    <w:rsid w:val="00791D08"/>
    <w:rsid w:val="007942A7"/>
    <w:rsid w:val="00795F3E"/>
    <w:rsid w:val="007A0D31"/>
    <w:rsid w:val="007A571A"/>
    <w:rsid w:val="007B51E1"/>
    <w:rsid w:val="007B624B"/>
    <w:rsid w:val="007C2C6A"/>
    <w:rsid w:val="007C4FCF"/>
    <w:rsid w:val="007C69BE"/>
    <w:rsid w:val="007D2FFD"/>
    <w:rsid w:val="007D47EE"/>
    <w:rsid w:val="007D690F"/>
    <w:rsid w:val="007D69D5"/>
    <w:rsid w:val="007E2370"/>
    <w:rsid w:val="0081228C"/>
    <w:rsid w:val="00813A7A"/>
    <w:rsid w:val="008149B1"/>
    <w:rsid w:val="0082543E"/>
    <w:rsid w:val="008279C3"/>
    <w:rsid w:val="00830634"/>
    <w:rsid w:val="00830FF5"/>
    <w:rsid w:val="00837855"/>
    <w:rsid w:val="00837ED4"/>
    <w:rsid w:val="008437E6"/>
    <w:rsid w:val="008452C9"/>
    <w:rsid w:val="00850D88"/>
    <w:rsid w:val="0085213F"/>
    <w:rsid w:val="0085320D"/>
    <w:rsid w:val="00857B24"/>
    <w:rsid w:val="008614AC"/>
    <w:rsid w:val="008643D5"/>
    <w:rsid w:val="0086595C"/>
    <w:rsid w:val="00865CE0"/>
    <w:rsid w:val="00870323"/>
    <w:rsid w:val="008716F7"/>
    <w:rsid w:val="00872C28"/>
    <w:rsid w:val="008747A3"/>
    <w:rsid w:val="0087723A"/>
    <w:rsid w:val="0088111C"/>
    <w:rsid w:val="00881B4D"/>
    <w:rsid w:val="008832F5"/>
    <w:rsid w:val="00885370"/>
    <w:rsid w:val="008869D9"/>
    <w:rsid w:val="00891A91"/>
    <w:rsid w:val="008954B2"/>
    <w:rsid w:val="00897D65"/>
    <w:rsid w:val="00897D6B"/>
    <w:rsid w:val="008A21EB"/>
    <w:rsid w:val="008A265B"/>
    <w:rsid w:val="008A7B2A"/>
    <w:rsid w:val="008B4E56"/>
    <w:rsid w:val="008B5A18"/>
    <w:rsid w:val="008C33EE"/>
    <w:rsid w:val="008D1C22"/>
    <w:rsid w:val="008D409F"/>
    <w:rsid w:val="008D6EA8"/>
    <w:rsid w:val="008D6F2A"/>
    <w:rsid w:val="008D72C5"/>
    <w:rsid w:val="008E4191"/>
    <w:rsid w:val="008E5C08"/>
    <w:rsid w:val="008E5D09"/>
    <w:rsid w:val="008E78D9"/>
    <w:rsid w:val="008F20F2"/>
    <w:rsid w:val="008F3A19"/>
    <w:rsid w:val="00900704"/>
    <w:rsid w:val="009031D2"/>
    <w:rsid w:val="00905195"/>
    <w:rsid w:val="00906A75"/>
    <w:rsid w:val="00912E82"/>
    <w:rsid w:val="00917682"/>
    <w:rsid w:val="00922084"/>
    <w:rsid w:val="00925648"/>
    <w:rsid w:val="00927E24"/>
    <w:rsid w:val="00932151"/>
    <w:rsid w:val="00932DCD"/>
    <w:rsid w:val="00935EF9"/>
    <w:rsid w:val="009408EF"/>
    <w:rsid w:val="00941E4F"/>
    <w:rsid w:val="00950367"/>
    <w:rsid w:val="00951E68"/>
    <w:rsid w:val="00955A59"/>
    <w:rsid w:val="00960B02"/>
    <w:rsid w:val="009614C2"/>
    <w:rsid w:val="00964C55"/>
    <w:rsid w:val="00976588"/>
    <w:rsid w:val="0098588B"/>
    <w:rsid w:val="0098600C"/>
    <w:rsid w:val="00987171"/>
    <w:rsid w:val="009968A9"/>
    <w:rsid w:val="009A22C3"/>
    <w:rsid w:val="009A79C8"/>
    <w:rsid w:val="009C182C"/>
    <w:rsid w:val="009C18EA"/>
    <w:rsid w:val="009C5CDE"/>
    <w:rsid w:val="009C6259"/>
    <w:rsid w:val="009C7BE6"/>
    <w:rsid w:val="009D3F3E"/>
    <w:rsid w:val="009D4738"/>
    <w:rsid w:val="009D51BC"/>
    <w:rsid w:val="009E7C0A"/>
    <w:rsid w:val="009F095C"/>
    <w:rsid w:val="009F179A"/>
    <w:rsid w:val="009F18CC"/>
    <w:rsid w:val="009F3C28"/>
    <w:rsid w:val="009F6B0E"/>
    <w:rsid w:val="009F751B"/>
    <w:rsid w:val="009F75E8"/>
    <w:rsid w:val="00A04000"/>
    <w:rsid w:val="00A04C2F"/>
    <w:rsid w:val="00A0517F"/>
    <w:rsid w:val="00A060F3"/>
    <w:rsid w:val="00A100E9"/>
    <w:rsid w:val="00A14E89"/>
    <w:rsid w:val="00A166B6"/>
    <w:rsid w:val="00A234A9"/>
    <w:rsid w:val="00A23B83"/>
    <w:rsid w:val="00A35D6F"/>
    <w:rsid w:val="00A37E60"/>
    <w:rsid w:val="00A40E5F"/>
    <w:rsid w:val="00A4384D"/>
    <w:rsid w:val="00A462EC"/>
    <w:rsid w:val="00A51180"/>
    <w:rsid w:val="00A55B4D"/>
    <w:rsid w:val="00A57519"/>
    <w:rsid w:val="00A602E4"/>
    <w:rsid w:val="00A61E91"/>
    <w:rsid w:val="00A674C0"/>
    <w:rsid w:val="00A70776"/>
    <w:rsid w:val="00A85AF3"/>
    <w:rsid w:val="00A86D5B"/>
    <w:rsid w:val="00A91705"/>
    <w:rsid w:val="00A97073"/>
    <w:rsid w:val="00A97212"/>
    <w:rsid w:val="00AA09A8"/>
    <w:rsid w:val="00AA1B68"/>
    <w:rsid w:val="00AA2886"/>
    <w:rsid w:val="00AA4A89"/>
    <w:rsid w:val="00AA5A0A"/>
    <w:rsid w:val="00AB0ACC"/>
    <w:rsid w:val="00AB1123"/>
    <w:rsid w:val="00AB2405"/>
    <w:rsid w:val="00AB5B03"/>
    <w:rsid w:val="00AB705D"/>
    <w:rsid w:val="00AC306A"/>
    <w:rsid w:val="00AD25F9"/>
    <w:rsid w:val="00AD5B51"/>
    <w:rsid w:val="00AD6458"/>
    <w:rsid w:val="00AE0150"/>
    <w:rsid w:val="00AE133D"/>
    <w:rsid w:val="00AE1BC8"/>
    <w:rsid w:val="00AE2A1B"/>
    <w:rsid w:val="00AE3A16"/>
    <w:rsid w:val="00AE637B"/>
    <w:rsid w:val="00AF027C"/>
    <w:rsid w:val="00AF24C3"/>
    <w:rsid w:val="00AF31E7"/>
    <w:rsid w:val="00AF5F8C"/>
    <w:rsid w:val="00B04FDA"/>
    <w:rsid w:val="00B20512"/>
    <w:rsid w:val="00B205CA"/>
    <w:rsid w:val="00B220B8"/>
    <w:rsid w:val="00B23A7D"/>
    <w:rsid w:val="00B27A3E"/>
    <w:rsid w:val="00B30C90"/>
    <w:rsid w:val="00B30F83"/>
    <w:rsid w:val="00B32DF3"/>
    <w:rsid w:val="00B33620"/>
    <w:rsid w:val="00B33A96"/>
    <w:rsid w:val="00B3585F"/>
    <w:rsid w:val="00B4163D"/>
    <w:rsid w:val="00B479FF"/>
    <w:rsid w:val="00B54DF9"/>
    <w:rsid w:val="00B55360"/>
    <w:rsid w:val="00B65C28"/>
    <w:rsid w:val="00B82E69"/>
    <w:rsid w:val="00B83021"/>
    <w:rsid w:val="00B8452B"/>
    <w:rsid w:val="00B856EE"/>
    <w:rsid w:val="00B857AD"/>
    <w:rsid w:val="00B867CE"/>
    <w:rsid w:val="00B9066B"/>
    <w:rsid w:val="00B90F6F"/>
    <w:rsid w:val="00BA13C2"/>
    <w:rsid w:val="00BA1483"/>
    <w:rsid w:val="00BA2E47"/>
    <w:rsid w:val="00BA34CB"/>
    <w:rsid w:val="00BA45D1"/>
    <w:rsid w:val="00BA4812"/>
    <w:rsid w:val="00BA6092"/>
    <w:rsid w:val="00BB5B6F"/>
    <w:rsid w:val="00BB5C56"/>
    <w:rsid w:val="00BC0E22"/>
    <w:rsid w:val="00BC3242"/>
    <w:rsid w:val="00BC688A"/>
    <w:rsid w:val="00BD1130"/>
    <w:rsid w:val="00BE18AF"/>
    <w:rsid w:val="00BE22D6"/>
    <w:rsid w:val="00BE48B3"/>
    <w:rsid w:val="00BF2876"/>
    <w:rsid w:val="00BF54CE"/>
    <w:rsid w:val="00BF578C"/>
    <w:rsid w:val="00C003F4"/>
    <w:rsid w:val="00C01D45"/>
    <w:rsid w:val="00C0425F"/>
    <w:rsid w:val="00C057C7"/>
    <w:rsid w:val="00C06A8D"/>
    <w:rsid w:val="00C1029C"/>
    <w:rsid w:val="00C30ACE"/>
    <w:rsid w:val="00C329C3"/>
    <w:rsid w:val="00C32BFA"/>
    <w:rsid w:val="00C3691D"/>
    <w:rsid w:val="00C37F33"/>
    <w:rsid w:val="00C4380A"/>
    <w:rsid w:val="00C47608"/>
    <w:rsid w:val="00C51EE2"/>
    <w:rsid w:val="00C522B6"/>
    <w:rsid w:val="00C523AF"/>
    <w:rsid w:val="00C530A5"/>
    <w:rsid w:val="00C55C4D"/>
    <w:rsid w:val="00C65571"/>
    <w:rsid w:val="00C6769B"/>
    <w:rsid w:val="00C67BD7"/>
    <w:rsid w:val="00C71615"/>
    <w:rsid w:val="00C72ECE"/>
    <w:rsid w:val="00C74AC0"/>
    <w:rsid w:val="00C80E9C"/>
    <w:rsid w:val="00C83E88"/>
    <w:rsid w:val="00C84691"/>
    <w:rsid w:val="00C85193"/>
    <w:rsid w:val="00C92947"/>
    <w:rsid w:val="00CA13C3"/>
    <w:rsid w:val="00CC7628"/>
    <w:rsid w:val="00CD0281"/>
    <w:rsid w:val="00CD25F1"/>
    <w:rsid w:val="00CD5F97"/>
    <w:rsid w:val="00CD66E4"/>
    <w:rsid w:val="00CE49BC"/>
    <w:rsid w:val="00CE76A1"/>
    <w:rsid w:val="00CF0F68"/>
    <w:rsid w:val="00CF2E9C"/>
    <w:rsid w:val="00D00D2E"/>
    <w:rsid w:val="00D07051"/>
    <w:rsid w:val="00D12D2F"/>
    <w:rsid w:val="00D13710"/>
    <w:rsid w:val="00D27A34"/>
    <w:rsid w:val="00D3174C"/>
    <w:rsid w:val="00D32FCE"/>
    <w:rsid w:val="00D346AB"/>
    <w:rsid w:val="00D34A08"/>
    <w:rsid w:val="00D41FA0"/>
    <w:rsid w:val="00D47DD3"/>
    <w:rsid w:val="00D52940"/>
    <w:rsid w:val="00D5480A"/>
    <w:rsid w:val="00D54A51"/>
    <w:rsid w:val="00D54FF4"/>
    <w:rsid w:val="00D61B3E"/>
    <w:rsid w:val="00D61B46"/>
    <w:rsid w:val="00D70C5F"/>
    <w:rsid w:val="00D80C36"/>
    <w:rsid w:val="00D84F06"/>
    <w:rsid w:val="00D86044"/>
    <w:rsid w:val="00D8695D"/>
    <w:rsid w:val="00D86B28"/>
    <w:rsid w:val="00D930B2"/>
    <w:rsid w:val="00D94914"/>
    <w:rsid w:val="00D94C71"/>
    <w:rsid w:val="00D967ED"/>
    <w:rsid w:val="00DA19BE"/>
    <w:rsid w:val="00DA3E43"/>
    <w:rsid w:val="00DA7658"/>
    <w:rsid w:val="00DB0576"/>
    <w:rsid w:val="00DB6A59"/>
    <w:rsid w:val="00DB703E"/>
    <w:rsid w:val="00DC241E"/>
    <w:rsid w:val="00DC4AF3"/>
    <w:rsid w:val="00DD2DFF"/>
    <w:rsid w:val="00DD6F59"/>
    <w:rsid w:val="00DE49B0"/>
    <w:rsid w:val="00DE6220"/>
    <w:rsid w:val="00DE6C73"/>
    <w:rsid w:val="00DF108D"/>
    <w:rsid w:val="00DF3439"/>
    <w:rsid w:val="00DF5BF3"/>
    <w:rsid w:val="00E05523"/>
    <w:rsid w:val="00E110E6"/>
    <w:rsid w:val="00E114BB"/>
    <w:rsid w:val="00E1202E"/>
    <w:rsid w:val="00E20F26"/>
    <w:rsid w:val="00E214D8"/>
    <w:rsid w:val="00E23F53"/>
    <w:rsid w:val="00E24382"/>
    <w:rsid w:val="00E27C33"/>
    <w:rsid w:val="00E35A61"/>
    <w:rsid w:val="00E360EA"/>
    <w:rsid w:val="00E40136"/>
    <w:rsid w:val="00E44171"/>
    <w:rsid w:val="00E44B3F"/>
    <w:rsid w:val="00E46605"/>
    <w:rsid w:val="00E52C00"/>
    <w:rsid w:val="00E54193"/>
    <w:rsid w:val="00E658AF"/>
    <w:rsid w:val="00E71A88"/>
    <w:rsid w:val="00E72700"/>
    <w:rsid w:val="00E75F71"/>
    <w:rsid w:val="00E86C58"/>
    <w:rsid w:val="00E87078"/>
    <w:rsid w:val="00E9020D"/>
    <w:rsid w:val="00E905B1"/>
    <w:rsid w:val="00E926EE"/>
    <w:rsid w:val="00E92C72"/>
    <w:rsid w:val="00EA0BC3"/>
    <w:rsid w:val="00EA1B3E"/>
    <w:rsid w:val="00EA2384"/>
    <w:rsid w:val="00EA46AA"/>
    <w:rsid w:val="00EB1890"/>
    <w:rsid w:val="00EB4540"/>
    <w:rsid w:val="00EB6CE5"/>
    <w:rsid w:val="00EC2D93"/>
    <w:rsid w:val="00EC6141"/>
    <w:rsid w:val="00ED3A53"/>
    <w:rsid w:val="00ED71A9"/>
    <w:rsid w:val="00EE0521"/>
    <w:rsid w:val="00EE1735"/>
    <w:rsid w:val="00EE194D"/>
    <w:rsid w:val="00EE401B"/>
    <w:rsid w:val="00EE52F3"/>
    <w:rsid w:val="00EE6C72"/>
    <w:rsid w:val="00EF25C3"/>
    <w:rsid w:val="00F011BF"/>
    <w:rsid w:val="00F0229A"/>
    <w:rsid w:val="00F03796"/>
    <w:rsid w:val="00F04B10"/>
    <w:rsid w:val="00F155AD"/>
    <w:rsid w:val="00F16031"/>
    <w:rsid w:val="00F25807"/>
    <w:rsid w:val="00F360F9"/>
    <w:rsid w:val="00F36705"/>
    <w:rsid w:val="00F40595"/>
    <w:rsid w:val="00F43851"/>
    <w:rsid w:val="00F44DD0"/>
    <w:rsid w:val="00F455BC"/>
    <w:rsid w:val="00F47601"/>
    <w:rsid w:val="00F47827"/>
    <w:rsid w:val="00F56558"/>
    <w:rsid w:val="00F57302"/>
    <w:rsid w:val="00F579A4"/>
    <w:rsid w:val="00F64E17"/>
    <w:rsid w:val="00F76A6D"/>
    <w:rsid w:val="00F837AB"/>
    <w:rsid w:val="00F851E0"/>
    <w:rsid w:val="00F87CB2"/>
    <w:rsid w:val="00F9061D"/>
    <w:rsid w:val="00F93813"/>
    <w:rsid w:val="00FA163A"/>
    <w:rsid w:val="00FA21A0"/>
    <w:rsid w:val="00FA441F"/>
    <w:rsid w:val="00FA5A48"/>
    <w:rsid w:val="00FA5BD1"/>
    <w:rsid w:val="00FB1A33"/>
    <w:rsid w:val="00FC2C3F"/>
    <w:rsid w:val="00FC6934"/>
    <w:rsid w:val="00FD4184"/>
    <w:rsid w:val="00FD42DA"/>
    <w:rsid w:val="00FE07C3"/>
    <w:rsid w:val="00FE1968"/>
    <w:rsid w:val="00FE5EC9"/>
    <w:rsid w:val="00FF387B"/>
    <w:rsid w:val="00FF5DBD"/>
    <w:rsid w:val="01E4364B"/>
    <w:rsid w:val="020255DA"/>
    <w:rsid w:val="028C47E9"/>
    <w:rsid w:val="03F107CC"/>
    <w:rsid w:val="055E2512"/>
    <w:rsid w:val="067577F9"/>
    <w:rsid w:val="076E16F2"/>
    <w:rsid w:val="07EC2589"/>
    <w:rsid w:val="096E4E82"/>
    <w:rsid w:val="0A0B269C"/>
    <w:rsid w:val="0AA47D81"/>
    <w:rsid w:val="0B005F1C"/>
    <w:rsid w:val="0C7156BE"/>
    <w:rsid w:val="0CB664E7"/>
    <w:rsid w:val="0D4D415A"/>
    <w:rsid w:val="0FCB7901"/>
    <w:rsid w:val="0FF423D4"/>
    <w:rsid w:val="104015AC"/>
    <w:rsid w:val="109158BE"/>
    <w:rsid w:val="112C6175"/>
    <w:rsid w:val="1171712A"/>
    <w:rsid w:val="12931517"/>
    <w:rsid w:val="129D5B7D"/>
    <w:rsid w:val="12F71682"/>
    <w:rsid w:val="135F0ED4"/>
    <w:rsid w:val="13A76F3E"/>
    <w:rsid w:val="146F641A"/>
    <w:rsid w:val="14AA2906"/>
    <w:rsid w:val="160A3FBA"/>
    <w:rsid w:val="161E671F"/>
    <w:rsid w:val="16C519F8"/>
    <w:rsid w:val="174C2783"/>
    <w:rsid w:val="17B4366D"/>
    <w:rsid w:val="17CD749A"/>
    <w:rsid w:val="18080D66"/>
    <w:rsid w:val="180F082F"/>
    <w:rsid w:val="184A4865"/>
    <w:rsid w:val="18B04E35"/>
    <w:rsid w:val="1B4F25E6"/>
    <w:rsid w:val="1C4D5655"/>
    <w:rsid w:val="1CA03585"/>
    <w:rsid w:val="1CAA4493"/>
    <w:rsid w:val="1D2109B3"/>
    <w:rsid w:val="1D6732BC"/>
    <w:rsid w:val="1D7644E2"/>
    <w:rsid w:val="1DBD0F3D"/>
    <w:rsid w:val="1EC00C93"/>
    <w:rsid w:val="1F485A62"/>
    <w:rsid w:val="1FC31B28"/>
    <w:rsid w:val="20974BB9"/>
    <w:rsid w:val="210C2DC4"/>
    <w:rsid w:val="215E343C"/>
    <w:rsid w:val="22583EFD"/>
    <w:rsid w:val="22F2729C"/>
    <w:rsid w:val="234C0E46"/>
    <w:rsid w:val="246065A9"/>
    <w:rsid w:val="26592A51"/>
    <w:rsid w:val="27AA0FB2"/>
    <w:rsid w:val="27C076A4"/>
    <w:rsid w:val="282D52E1"/>
    <w:rsid w:val="28897809"/>
    <w:rsid w:val="28D202CC"/>
    <w:rsid w:val="297536FB"/>
    <w:rsid w:val="29933D47"/>
    <w:rsid w:val="29F52A7C"/>
    <w:rsid w:val="2C3E23A2"/>
    <w:rsid w:val="2CDE7D2D"/>
    <w:rsid w:val="2D49615A"/>
    <w:rsid w:val="2D584B67"/>
    <w:rsid w:val="2DA907C3"/>
    <w:rsid w:val="2DBD58A5"/>
    <w:rsid w:val="2E8E096D"/>
    <w:rsid w:val="2F266DBF"/>
    <w:rsid w:val="2F631C4A"/>
    <w:rsid w:val="2F6B056E"/>
    <w:rsid w:val="30232088"/>
    <w:rsid w:val="3073310C"/>
    <w:rsid w:val="30EF5972"/>
    <w:rsid w:val="31673619"/>
    <w:rsid w:val="317B5FA6"/>
    <w:rsid w:val="32A51FD4"/>
    <w:rsid w:val="334C7BFA"/>
    <w:rsid w:val="33BB606C"/>
    <w:rsid w:val="36157C82"/>
    <w:rsid w:val="36405F7D"/>
    <w:rsid w:val="36D17F4B"/>
    <w:rsid w:val="37122244"/>
    <w:rsid w:val="37646CF7"/>
    <w:rsid w:val="3790083E"/>
    <w:rsid w:val="37903539"/>
    <w:rsid w:val="38111509"/>
    <w:rsid w:val="382175A5"/>
    <w:rsid w:val="383374BF"/>
    <w:rsid w:val="3869593B"/>
    <w:rsid w:val="38B049D9"/>
    <w:rsid w:val="38E75E68"/>
    <w:rsid w:val="394551CE"/>
    <w:rsid w:val="39A460F8"/>
    <w:rsid w:val="3A4B1B32"/>
    <w:rsid w:val="3A8C2E48"/>
    <w:rsid w:val="3B2E23D2"/>
    <w:rsid w:val="3C951618"/>
    <w:rsid w:val="3D004BF7"/>
    <w:rsid w:val="3E0A3C80"/>
    <w:rsid w:val="3EA21AE5"/>
    <w:rsid w:val="3EB21521"/>
    <w:rsid w:val="40806BAF"/>
    <w:rsid w:val="40FC2E5B"/>
    <w:rsid w:val="412F2E76"/>
    <w:rsid w:val="425D481A"/>
    <w:rsid w:val="43962AEF"/>
    <w:rsid w:val="43AF64F0"/>
    <w:rsid w:val="44BA08D4"/>
    <w:rsid w:val="45406320"/>
    <w:rsid w:val="459A22C0"/>
    <w:rsid w:val="460C5E7C"/>
    <w:rsid w:val="46765B61"/>
    <w:rsid w:val="46AE6F33"/>
    <w:rsid w:val="4761087A"/>
    <w:rsid w:val="476C711C"/>
    <w:rsid w:val="4803200F"/>
    <w:rsid w:val="48F61D17"/>
    <w:rsid w:val="4A1D0E57"/>
    <w:rsid w:val="4AC13386"/>
    <w:rsid w:val="4B0D06CC"/>
    <w:rsid w:val="4B412124"/>
    <w:rsid w:val="4C3B15EE"/>
    <w:rsid w:val="4C844AD6"/>
    <w:rsid w:val="4E2A1E69"/>
    <w:rsid w:val="4E686830"/>
    <w:rsid w:val="4F1B1925"/>
    <w:rsid w:val="4F7943BA"/>
    <w:rsid w:val="4FFE0850"/>
    <w:rsid w:val="50093D5E"/>
    <w:rsid w:val="50113369"/>
    <w:rsid w:val="50744CDE"/>
    <w:rsid w:val="50C52CC3"/>
    <w:rsid w:val="511F44F1"/>
    <w:rsid w:val="521E0406"/>
    <w:rsid w:val="527D4B05"/>
    <w:rsid w:val="52CC4866"/>
    <w:rsid w:val="5382152B"/>
    <w:rsid w:val="540E28F4"/>
    <w:rsid w:val="55093632"/>
    <w:rsid w:val="55B00AB8"/>
    <w:rsid w:val="56412C14"/>
    <w:rsid w:val="58895E0A"/>
    <w:rsid w:val="58EC27F2"/>
    <w:rsid w:val="59A72F25"/>
    <w:rsid w:val="5A1C09BD"/>
    <w:rsid w:val="5ABC71EA"/>
    <w:rsid w:val="5BD7470F"/>
    <w:rsid w:val="5C520904"/>
    <w:rsid w:val="5CA90A11"/>
    <w:rsid w:val="5DB062C3"/>
    <w:rsid w:val="5DF21F7F"/>
    <w:rsid w:val="5DFF5BEB"/>
    <w:rsid w:val="5EBF7784"/>
    <w:rsid w:val="5ECF5150"/>
    <w:rsid w:val="5F6004BF"/>
    <w:rsid w:val="5F6D7533"/>
    <w:rsid w:val="60320161"/>
    <w:rsid w:val="60B62355"/>
    <w:rsid w:val="61374B25"/>
    <w:rsid w:val="61526439"/>
    <w:rsid w:val="619A2136"/>
    <w:rsid w:val="62D916A8"/>
    <w:rsid w:val="62E30E34"/>
    <w:rsid w:val="63065872"/>
    <w:rsid w:val="63392A57"/>
    <w:rsid w:val="668279D5"/>
    <w:rsid w:val="670D4A21"/>
    <w:rsid w:val="67334BBF"/>
    <w:rsid w:val="67623B76"/>
    <w:rsid w:val="67D11EA1"/>
    <w:rsid w:val="67D17A3D"/>
    <w:rsid w:val="67E104CE"/>
    <w:rsid w:val="680074AC"/>
    <w:rsid w:val="68395D60"/>
    <w:rsid w:val="685F585F"/>
    <w:rsid w:val="69F3315F"/>
    <w:rsid w:val="6B990F28"/>
    <w:rsid w:val="6BA37623"/>
    <w:rsid w:val="6BFC160C"/>
    <w:rsid w:val="6C6B0957"/>
    <w:rsid w:val="6D6B41F6"/>
    <w:rsid w:val="6F045092"/>
    <w:rsid w:val="6F3351AD"/>
    <w:rsid w:val="70813B3F"/>
    <w:rsid w:val="7081672F"/>
    <w:rsid w:val="70F86666"/>
    <w:rsid w:val="70F9191D"/>
    <w:rsid w:val="71100512"/>
    <w:rsid w:val="71B17625"/>
    <w:rsid w:val="71F272E6"/>
    <w:rsid w:val="723D0AFC"/>
    <w:rsid w:val="73992FB6"/>
    <w:rsid w:val="74C070A7"/>
    <w:rsid w:val="75DA08FB"/>
    <w:rsid w:val="75E044E4"/>
    <w:rsid w:val="7635037C"/>
    <w:rsid w:val="764C3824"/>
    <w:rsid w:val="76714436"/>
    <w:rsid w:val="7715546B"/>
    <w:rsid w:val="775E547C"/>
    <w:rsid w:val="77FE311E"/>
    <w:rsid w:val="788E0645"/>
    <w:rsid w:val="7AFB052D"/>
    <w:rsid w:val="7AFFE751"/>
    <w:rsid w:val="7B0B3EAF"/>
    <w:rsid w:val="7BDE06A1"/>
    <w:rsid w:val="7C57180B"/>
    <w:rsid w:val="7CE41E52"/>
    <w:rsid w:val="7D387BFF"/>
    <w:rsid w:val="7DD4587F"/>
    <w:rsid w:val="7DDC172F"/>
    <w:rsid w:val="7E4412E8"/>
    <w:rsid w:val="7E5ECE92"/>
    <w:rsid w:val="7E607661"/>
    <w:rsid w:val="7F0A04A3"/>
    <w:rsid w:val="7FFF2047"/>
    <w:rsid w:val="BB9F184F"/>
    <w:rsid w:val="BFFC8CA5"/>
    <w:rsid w:val="D7FB0615"/>
    <w:rsid w:val="DEB56AC3"/>
    <w:rsid w:val="E5B3AF95"/>
    <w:rsid w:val="ECFD5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qFormat="1" w:uiPriority="99" w:semiHidden="0" w:name="index 1"/>
    <w:lsdException w:qFormat="1" w:uiPriority="99" w:semiHidden="0" w:name="index 2"/>
    <w:lsdException w:qFormat="1" w:uiPriority="99" w:semiHidden="0" w:name="index 3"/>
    <w:lsdException w:qFormat="1" w:uiPriority="99" w:semiHidden="0" w:name="index 4"/>
    <w:lsdException w:qFormat="1" w:uiPriority="99" w:semiHidden="0" w:name="index 5"/>
    <w:lsdException w:qFormat="1" w:uiPriority="99" w:semiHidden="0" w:name="index 6"/>
    <w:lsdException w:qFormat="1" w:uiPriority="99" w:semiHidden="0" w:name="index 7"/>
    <w:lsdException w:qFormat="1" w:uiPriority="99" w:semiHidden="0" w:name="index 8"/>
    <w:lsdException w:qFormat="1" w:uiPriority="99" w:semiHidden="0" w:name="index 9"/>
    <w:lsdException w:qFormat="1" w:unhideWhenUsed="0" w:uiPriority="0" w:semiHidden="0" w:name="toc 1"/>
    <w:lsdException w:qFormat="1" w:unhideWhenUsed="0" w:uiPriority="39" w:semiHidden="0" w:name="toc 2"/>
    <w:lsdException w:qFormat="1" w:unhideWhenUsed="0" w:uiPriority="0"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iPriority="99" w:semiHidden="0" w:name="footnote text"/>
    <w:lsdException w:qFormat="1" w:uiPriority="99" w:semiHidden="0" w:name="annotation text"/>
    <w:lsdException w:qFormat="1" w:unhideWhenUsed="0" w:uiPriority="99" w:semiHidden="0" w:name="header"/>
    <w:lsdException w:qFormat="1" w:unhideWhenUsed="0" w:uiPriority="99" w:semiHidden="0" w:name="footer"/>
    <w:lsdException w:qFormat="1" w:uiPriority="99" w:semiHidden="0" w:name="index heading"/>
    <w:lsdException w:qFormat="1" w:unhideWhenUsed="0" w:uiPriority="35" w:semiHidden="0" w:name="caption"/>
    <w:lsdException w:qFormat="1" w:uiPriority="99" w:semiHidden="0" w:name="table of figures"/>
    <w:lsdException w:qFormat="1" w:uiPriority="99" w:semiHidden="0" w:name="envelope address"/>
    <w:lsdException w:qFormat="1" w:uiPriority="99" w:semiHidden="0" w:name="envelope return"/>
    <w:lsdException w:qFormat="1" w:uiPriority="99" w:semiHidden="0" w:name="footnote reference"/>
    <w:lsdException w:qFormat="1" w:uiPriority="99" w:semiHidden="0" w:name="annotation reference"/>
    <w:lsdException w:uiPriority="99" w:name="line number"/>
    <w:lsdException w:qFormat="1" w:unhideWhenUsed="0" w:uiPriority="99" w:semiHidden="0" w:name="page number"/>
    <w:lsdException w:qFormat="1" w:uiPriority="99" w:semiHidden="0" w:name="endnote reference"/>
    <w:lsdException w:qFormat="1" w:uiPriority="99" w:semiHidden="0" w:name="endnote text"/>
    <w:lsdException w:qFormat="1" w:uiPriority="99" w:semiHidden="0" w:name="table of authorities"/>
    <w:lsdException w:qFormat="1" w:uiPriority="99" w:semiHidden="0" w:name="macro"/>
    <w:lsdException w:qFormat="1" w:uiPriority="99" w:semiHidden="0" w:name="toa heading"/>
    <w:lsdException w:qFormat="1" w:unhideWhenUsed="0" w:uiPriority="0" w:semiHidden="0" w:name="List"/>
    <w:lsdException w:qFormat="1" w:uiPriority="99" w:semiHidden="0" w:name="List Bullet"/>
    <w:lsdException w:qFormat="1" w:unhideWhenUsed="0" w:uiPriority="99" w:semiHidden="0" w:name="List Number"/>
    <w:lsdException w:qFormat="1" w:unhideWhenUsed="0" w:uiPriority="0" w:semiHidden="0" w:name="List 2"/>
    <w:lsdException w:qFormat="1" w:uiPriority="99" w:semiHidden="0" w:name="List 3"/>
    <w:lsdException w:qFormat="1" w:uiPriority="99" w:semiHidden="0" w:name="List 4"/>
    <w:lsdException w:qFormat="1" w:uiPriority="99" w:semiHidden="0" w:name="List 5"/>
    <w:lsdException w:qFormat="1" w:uiPriority="99" w:semiHidden="0" w:name="List Bullet 2"/>
    <w:lsdException w:qFormat="1" w:uiPriority="99" w:semiHidden="0" w:name="List Bullet 3"/>
    <w:lsdException w:qFormat="1" w:uiPriority="99" w:semiHidden="0" w:name="List Bullet 4"/>
    <w:lsdException w:qFormat="1" w:uiPriority="99" w:semiHidden="0" w:name="List Bullet 5"/>
    <w:lsdException w:qFormat="1" w:uiPriority="99" w:semiHidden="0" w:name="List Number 2"/>
    <w:lsdException w:qFormat="1" w:uiPriority="99" w:semiHidden="0" w:name="List Number 3"/>
    <w:lsdException w:qFormat="1" w:uiPriority="99" w:semiHidden="0" w:name="List Number 4"/>
    <w:lsdException w:qFormat="1" w:uiPriority="99" w:semiHidden="0" w:name="List Number 5"/>
    <w:lsdException w:qFormat="1" w:unhideWhenUsed="0" w:uiPriority="10" w:semiHidden="0" w:name="Title"/>
    <w:lsdException w:qFormat="1" w:unhideWhenUsed="0" w:uiPriority="0" w:semiHidden="0" w:name="Closing"/>
    <w:lsdException w:qFormat="1" w:uiPriority="99" w:semiHidden="0" w:name="Signature"/>
    <w:lsdException w:qFormat="1" w:uiPriority="1" w:name="Default Paragraph Font"/>
    <w:lsdException w:qFormat="1" w:unhideWhenUsed="0" w:uiPriority="0" w:semiHidden="0" w:name="Body Text"/>
    <w:lsdException w:qFormat="1" w:uiPriority="0" w:semiHidden="0" w:name="Body Text Indent"/>
    <w:lsdException w:qFormat="1" w:uiPriority="99" w:semiHidden="0" w:name="List Continue"/>
    <w:lsdException w:qFormat="1" w:uiPriority="99" w:semiHidden="0" w:name="List Continue 2"/>
    <w:lsdException w:qFormat="1" w:uiPriority="99" w:semiHidden="0" w:name="List Continue 3"/>
    <w:lsdException w:qFormat="1" w:uiPriority="99" w:semiHidden="0" w:name="List Continue 4"/>
    <w:lsdException w:qFormat="1" w:uiPriority="99" w:semiHidden="0" w:name="List Continue 5"/>
    <w:lsdException w:qFormat="1" w:uiPriority="99" w:semiHidden="0" w:name="Message Header"/>
    <w:lsdException w:qFormat="1" w:unhideWhenUsed="0" w:uiPriority="11" w:semiHidden="0" w:name="Subtitle"/>
    <w:lsdException w:qFormat="1" w:unhideWhenUsed="0" w:uiPriority="0" w:semiHidden="0" w:name="Salutation"/>
    <w:lsdException w:qFormat="1" w:unhideWhenUsed="0" w:uiPriority="0" w:semiHidden="0" w:name="Date"/>
    <w:lsdException w:qFormat="1" w:uiPriority="0" w:semiHidden="0" w:name="Body Text First Indent"/>
    <w:lsdException w:qFormat="1" w:uiPriority="0" w:semiHidden="0" w:name="Body Text First Indent 2"/>
    <w:lsdException w:qFormat="1" w:unhideWhenUsed="0" w:uiPriority="0" w:semiHidden="0" w:name="Note Heading"/>
    <w:lsdException w:qFormat="1" w:uiPriority="0" w:semiHidden="0" w:name="Body Text 2"/>
    <w:lsdException w:qFormat="1" w:unhideWhenUsed="0" w:uiPriority="0" w:semiHidden="0" w:name="Body Text 3"/>
    <w:lsdException w:qFormat="1"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qFormat="1" w:uiPriority="99" w:semiHidden="0" w:name="E-mail Signature"/>
    <w:lsdException w:qFormat="1" w:unhideWhenUsed="0" w:uiPriority="0" w:semiHidden="0" w:name="Normal (Web)"/>
    <w:lsdException w:uiPriority="99" w:name="HTML Acronym"/>
    <w:lsdException w:qFormat="1" w:uiPriority="99" w:semiHidden="0"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99"/>
    <w:autoRedefine/>
    <w:qFormat/>
    <w:uiPriority w:val="9"/>
    <w:pPr>
      <w:keepNext/>
      <w:keepLines/>
      <w:spacing w:before="340" w:after="330" w:line="576" w:lineRule="auto"/>
      <w:outlineLvl w:val="0"/>
    </w:pPr>
    <w:rPr>
      <w:b/>
      <w:kern w:val="44"/>
      <w:sz w:val="44"/>
      <w:szCs w:val="20"/>
      <w:lang w:val="zh-CN"/>
    </w:rPr>
  </w:style>
  <w:style w:type="paragraph" w:styleId="4">
    <w:name w:val="heading 2"/>
    <w:basedOn w:val="1"/>
    <w:next w:val="1"/>
    <w:link w:val="100"/>
    <w:unhideWhenUsed/>
    <w:qFormat/>
    <w:uiPriority w:val="9"/>
    <w:pPr>
      <w:keepNext/>
      <w:keepLines/>
      <w:spacing w:before="260" w:after="260" w:line="416" w:lineRule="auto"/>
      <w:outlineLvl w:val="1"/>
    </w:pPr>
    <w:rPr>
      <w:rFonts w:ascii="等线 Light" w:hAnsi="等线 Light" w:eastAsia="等线 Light"/>
      <w:b/>
      <w:bCs/>
      <w:sz w:val="32"/>
      <w:szCs w:val="32"/>
    </w:rPr>
  </w:style>
  <w:style w:type="paragraph" w:styleId="5">
    <w:name w:val="heading 3"/>
    <w:basedOn w:val="1"/>
    <w:next w:val="1"/>
    <w:link w:val="101"/>
    <w:autoRedefine/>
    <w:unhideWhenUsed/>
    <w:qFormat/>
    <w:uiPriority w:val="9"/>
    <w:pPr>
      <w:keepNext/>
      <w:keepLines/>
      <w:spacing w:before="260" w:after="260" w:line="416" w:lineRule="auto"/>
      <w:outlineLvl w:val="2"/>
    </w:pPr>
    <w:rPr>
      <w:rFonts w:ascii="Times New Roman" w:hAnsi="Times New Roman"/>
      <w:b/>
      <w:bCs/>
      <w:sz w:val="32"/>
      <w:szCs w:val="32"/>
    </w:rPr>
  </w:style>
  <w:style w:type="paragraph" w:styleId="6">
    <w:name w:val="heading 4"/>
    <w:basedOn w:val="1"/>
    <w:next w:val="1"/>
    <w:link w:val="102"/>
    <w:qFormat/>
    <w:uiPriority w:val="9"/>
    <w:pPr>
      <w:keepNext/>
      <w:widowControl/>
      <w:numPr>
        <w:ilvl w:val="3"/>
        <w:numId w:val="1"/>
      </w:numPr>
      <w:spacing w:before="240" w:after="60" w:line="360" w:lineRule="auto"/>
      <w:ind w:left="0" w:firstLine="0"/>
      <w:outlineLvl w:val="3"/>
    </w:pPr>
    <w:rPr>
      <w:rFonts w:ascii="宋体" w:hAnsi="Arial"/>
      <w:b/>
      <w:kern w:val="0"/>
      <w:sz w:val="24"/>
      <w:szCs w:val="20"/>
    </w:rPr>
  </w:style>
  <w:style w:type="paragraph" w:styleId="7">
    <w:name w:val="heading 5"/>
    <w:basedOn w:val="1"/>
    <w:next w:val="1"/>
    <w:link w:val="103"/>
    <w:autoRedefine/>
    <w:qFormat/>
    <w:uiPriority w:val="9"/>
    <w:pPr>
      <w:keepNext/>
      <w:keepLines/>
      <w:adjustRightInd w:val="0"/>
      <w:spacing w:before="280" w:after="290" w:line="376" w:lineRule="atLeast"/>
      <w:textAlignment w:val="baseline"/>
      <w:outlineLvl w:val="4"/>
    </w:pPr>
    <w:rPr>
      <w:rFonts w:ascii="宋体" w:eastAsia="仿宋_GB2312"/>
      <w:b/>
      <w:kern w:val="0"/>
      <w:sz w:val="28"/>
      <w:szCs w:val="20"/>
    </w:rPr>
  </w:style>
  <w:style w:type="paragraph" w:styleId="8">
    <w:name w:val="heading 6"/>
    <w:basedOn w:val="1"/>
    <w:next w:val="1"/>
    <w:link w:val="153"/>
    <w:autoRedefine/>
    <w:qFormat/>
    <w:uiPriority w:val="9"/>
    <w:pPr>
      <w:keepNext/>
      <w:keepLines/>
      <w:tabs>
        <w:tab w:val="left" w:pos="992"/>
      </w:tabs>
      <w:adjustRightInd w:val="0"/>
      <w:spacing w:before="240" w:after="64" w:line="320" w:lineRule="atLeast"/>
      <w:textAlignment w:val="baseline"/>
      <w:outlineLvl w:val="5"/>
    </w:pPr>
    <w:rPr>
      <w:rFonts w:ascii="Arial" w:hAnsi="Arial" w:eastAsia="黑体"/>
      <w:b/>
      <w:kern w:val="0"/>
      <w:sz w:val="24"/>
      <w:szCs w:val="20"/>
    </w:rPr>
  </w:style>
  <w:style w:type="paragraph" w:styleId="9">
    <w:name w:val="heading 7"/>
    <w:basedOn w:val="1"/>
    <w:next w:val="1"/>
    <w:link w:val="154"/>
    <w:autoRedefine/>
    <w:qFormat/>
    <w:uiPriority w:val="9"/>
    <w:pPr>
      <w:keepNext/>
      <w:keepLines/>
      <w:tabs>
        <w:tab w:val="left" w:pos="1571"/>
      </w:tabs>
      <w:adjustRightInd w:val="0"/>
      <w:spacing w:before="240" w:after="64" w:line="320" w:lineRule="atLeast"/>
      <w:textAlignment w:val="baseline"/>
      <w:outlineLvl w:val="6"/>
    </w:pPr>
    <w:rPr>
      <w:rFonts w:ascii="宋体" w:hAnsi="Times New Roman" w:eastAsia="仿宋_GB2312"/>
      <w:b/>
      <w:kern w:val="0"/>
      <w:sz w:val="24"/>
      <w:szCs w:val="20"/>
    </w:rPr>
  </w:style>
  <w:style w:type="paragraph" w:styleId="10">
    <w:name w:val="heading 8"/>
    <w:basedOn w:val="1"/>
    <w:next w:val="1"/>
    <w:link w:val="155"/>
    <w:autoRedefine/>
    <w:qFormat/>
    <w:uiPriority w:val="9"/>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1">
    <w:name w:val="heading 9"/>
    <w:basedOn w:val="1"/>
    <w:next w:val="1"/>
    <w:link w:val="156"/>
    <w:autoRedefine/>
    <w:qFormat/>
    <w:uiPriority w:val="9"/>
    <w:pPr>
      <w:keepNext/>
      <w:keepLines/>
      <w:adjustRightInd w:val="0"/>
      <w:spacing w:before="240" w:after="64" w:line="320" w:lineRule="atLeast"/>
      <w:textAlignment w:val="baseline"/>
      <w:outlineLvl w:val="8"/>
    </w:pPr>
    <w:rPr>
      <w:rFonts w:ascii="Arial" w:hAnsi="Arial" w:eastAsia="黑体"/>
      <w:kern w:val="0"/>
      <w:sz w:val="28"/>
      <w:szCs w:val="20"/>
    </w:rPr>
  </w:style>
  <w:style w:type="character" w:default="1" w:styleId="90">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442"/>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unhideWhenUsed/>
    <w:qFormat/>
    <w:uiPriority w:val="99"/>
    <w:pPr>
      <w:ind w:left="100" w:leftChars="400" w:hanging="200" w:hangingChars="200"/>
      <w:contextualSpacing/>
    </w:pPr>
    <w:rPr>
      <w:rFonts w:ascii="Times New Roman" w:hAnsi="Times New Roman"/>
      <w:szCs w:val="20"/>
    </w:rPr>
  </w:style>
  <w:style w:type="paragraph" w:styleId="13">
    <w:name w:val="toc 7"/>
    <w:basedOn w:val="1"/>
    <w:next w:val="1"/>
    <w:qFormat/>
    <w:uiPriority w:val="39"/>
    <w:pPr>
      <w:ind w:left="1260"/>
      <w:jc w:val="left"/>
    </w:pPr>
    <w:rPr>
      <w:rFonts w:ascii="Times New Roman" w:hAnsi="Times New Roman"/>
      <w:sz w:val="18"/>
      <w:szCs w:val="18"/>
    </w:rPr>
  </w:style>
  <w:style w:type="paragraph" w:styleId="14">
    <w:name w:val="List Number 2"/>
    <w:basedOn w:val="1"/>
    <w:unhideWhenUsed/>
    <w:qFormat/>
    <w:uiPriority w:val="99"/>
    <w:pPr>
      <w:tabs>
        <w:tab w:val="left" w:pos="780"/>
        <w:tab w:val="left" w:pos="1049"/>
      </w:tabs>
      <w:ind w:left="1049" w:hanging="420"/>
      <w:contextualSpacing/>
    </w:pPr>
    <w:rPr>
      <w:rFonts w:ascii="Times New Roman" w:hAnsi="Times New Roman"/>
      <w:szCs w:val="20"/>
    </w:rPr>
  </w:style>
  <w:style w:type="paragraph" w:styleId="15">
    <w:name w:val="table of authorities"/>
    <w:basedOn w:val="1"/>
    <w:next w:val="1"/>
    <w:unhideWhenUsed/>
    <w:qFormat/>
    <w:uiPriority w:val="99"/>
    <w:pPr>
      <w:ind w:left="420" w:leftChars="200"/>
    </w:pPr>
    <w:rPr>
      <w:rFonts w:ascii="Times New Roman" w:hAnsi="Times New Roman"/>
      <w:szCs w:val="20"/>
    </w:rPr>
  </w:style>
  <w:style w:type="paragraph" w:styleId="16">
    <w:name w:val="Note Heading"/>
    <w:basedOn w:val="1"/>
    <w:next w:val="1"/>
    <w:link w:val="443"/>
    <w:qFormat/>
    <w:uiPriority w:val="0"/>
    <w:pPr>
      <w:adjustRightInd w:val="0"/>
      <w:spacing w:line="312" w:lineRule="atLeast"/>
      <w:jc w:val="center"/>
      <w:textAlignment w:val="baseline"/>
    </w:pPr>
    <w:rPr>
      <w:rFonts w:ascii="Times New Roman" w:hAnsi="Times New Roman"/>
      <w:kern w:val="0"/>
      <w:szCs w:val="20"/>
    </w:rPr>
  </w:style>
  <w:style w:type="paragraph" w:styleId="17">
    <w:name w:val="List Bullet 4"/>
    <w:basedOn w:val="1"/>
    <w:unhideWhenUsed/>
    <w:qFormat/>
    <w:uiPriority w:val="99"/>
    <w:pPr>
      <w:tabs>
        <w:tab w:val="left" w:pos="720"/>
        <w:tab w:val="left" w:pos="1620"/>
      </w:tabs>
      <w:ind w:left="720" w:hanging="360"/>
      <w:contextualSpacing/>
    </w:pPr>
    <w:rPr>
      <w:rFonts w:ascii="Times New Roman" w:hAnsi="Times New Roman"/>
      <w:szCs w:val="20"/>
    </w:rPr>
  </w:style>
  <w:style w:type="paragraph" w:styleId="18">
    <w:name w:val="index 8"/>
    <w:basedOn w:val="1"/>
    <w:next w:val="1"/>
    <w:unhideWhenUsed/>
    <w:qFormat/>
    <w:uiPriority w:val="99"/>
    <w:pPr>
      <w:ind w:left="1400" w:leftChars="1400"/>
    </w:pPr>
    <w:rPr>
      <w:rFonts w:ascii="Times New Roman" w:hAnsi="Times New Roman"/>
      <w:szCs w:val="20"/>
    </w:rPr>
  </w:style>
  <w:style w:type="paragraph" w:styleId="19">
    <w:name w:val="E-mail Signature"/>
    <w:basedOn w:val="1"/>
    <w:link w:val="444"/>
    <w:unhideWhenUsed/>
    <w:qFormat/>
    <w:uiPriority w:val="99"/>
    <w:rPr>
      <w:rFonts w:ascii="Times New Roman" w:hAnsi="Times New Roman"/>
      <w:szCs w:val="20"/>
    </w:rPr>
  </w:style>
  <w:style w:type="paragraph" w:styleId="20">
    <w:name w:val="List Number"/>
    <w:basedOn w:val="1"/>
    <w:qFormat/>
    <w:uiPriority w:val="99"/>
    <w:pPr>
      <w:adjustRightInd w:val="0"/>
      <w:spacing w:line="360" w:lineRule="atLeast"/>
      <w:textAlignment w:val="baseline"/>
    </w:pPr>
    <w:rPr>
      <w:rFonts w:ascii="Times New Roman" w:hAnsi="Times New Roman"/>
      <w:sz w:val="24"/>
    </w:rPr>
  </w:style>
  <w:style w:type="paragraph" w:styleId="21">
    <w:name w:val="Normal Indent"/>
    <w:basedOn w:val="1"/>
    <w:link w:val="453"/>
    <w:autoRedefine/>
    <w:qFormat/>
    <w:uiPriority w:val="0"/>
    <w:pPr>
      <w:ind w:firstLine="425"/>
    </w:pPr>
    <w:rPr>
      <w:rFonts w:ascii="Times New Roman" w:hAnsi="Times New Roman"/>
      <w:szCs w:val="20"/>
    </w:rPr>
  </w:style>
  <w:style w:type="paragraph" w:styleId="22">
    <w:name w:val="caption"/>
    <w:basedOn w:val="1"/>
    <w:next w:val="1"/>
    <w:autoRedefine/>
    <w:qFormat/>
    <w:uiPriority w:val="35"/>
    <w:pPr>
      <w:topLinePunct/>
      <w:adjustRightInd w:val="0"/>
      <w:snapToGrid w:val="0"/>
      <w:spacing w:before="120" w:line="360" w:lineRule="auto"/>
      <w:jc w:val="center"/>
    </w:pPr>
    <w:rPr>
      <w:b/>
      <w:bCs/>
      <w:kern w:val="0"/>
      <w:sz w:val="18"/>
      <w:szCs w:val="18"/>
      <w:lang w:eastAsia="en-US" w:bidi="en-US"/>
    </w:rPr>
  </w:style>
  <w:style w:type="paragraph" w:styleId="23">
    <w:name w:val="index 5"/>
    <w:basedOn w:val="1"/>
    <w:next w:val="1"/>
    <w:unhideWhenUsed/>
    <w:qFormat/>
    <w:uiPriority w:val="99"/>
    <w:pPr>
      <w:ind w:left="800" w:leftChars="800"/>
    </w:pPr>
    <w:rPr>
      <w:rFonts w:ascii="Times New Roman" w:hAnsi="Times New Roman"/>
      <w:szCs w:val="20"/>
    </w:rPr>
  </w:style>
  <w:style w:type="paragraph" w:styleId="24">
    <w:name w:val="List Bullet"/>
    <w:basedOn w:val="1"/>
    <w:unhideWhenUsed/>
    <w:qFormat/>
    <w:uiPriority w:val="99"/>
    <w:pPr>
      <w:tabs>
        <w:tab w:val="left" w:pos="360"/>
        <w:tab w:val="left" w:pos="1134"/>
      </w:tabs>
      <w:ind w:left="1134" w:hanging="1134"/>
      <w:contextualSpacing/>
    </w:pPr>
    <w:rPr>
      <w:rFonts w:ascii="Times New Roman" w:hAnsi="Times New Roman"/>
      <w:szCs w:val="20"/>
    </w:rPr>
  </w:style>
  <w:style w:type="paragraph" w:styleId="25">
    <w:name w:val="envelope address"/>
    <w:basedOn w:val="1"/>
    <w:unhideWhenUsed/>
    <w:qFormat/>
    <w:uiPriority w:val="99"/>
    <w:pPr>
      <w:framePr w:w="7920" w:h="1980" w:hRule="exact" w:hSpace="180" w:wrap="around" w:vAnchor="margin" w:hAnchor="page" w:xAlign="center" w:yAlign="bottom"/>
      <w:snapToGrid w:val="0"/>
      <w:ind w:left="100" w:leftChars="1400"/>
    </w:pPr>
    <w:rPr>
      <w:rFonts w:ascii="Cambria" w:hAnsi="Cambria"/>
      <w:sz w:val="24"/>
    </w:rPr>
  </w:style>
  <w:style w:type="paragraph" w:styleId="26">
    <w:name w:val="Document Map"/>
    <w:basedOn w:val="1"/>
    <w:link w:val="157"/>
    <w:autoRedefine/>
    <w:qFormat/>
    <w:uiPriority w:val="0"/>
    <w:pPr>
      <w:shd w:val="clear" w:color="auto" w:fill="000080"/>
    </w:pPr>
    <w:rPr>
      <w:rFonts w:ascii="等线" w:hAnsi="等线" w:eastAsia="等线"/>
    </w:rPr>
  </w:style>
  <w:style w:type="paragraph" w:styleId="27">
    <w:name w:val="toa heading"/>
    <w:basedOn w:val="1"/>
    <w:next w:val="1"/>
    <w:unhideWhenUsed/>
    <w:qFormat/>
    <w:uiPriority w:val="99"/>
    <w:pPr>
      <w:spacing w:before="120"/>
    </w:pPr>
    <w:rPr>
      <w:rFonts w:ascii="Cambria" w:hAnsi="Cambria"/>
      <w:sz w:val="24"/>
    </w:rPr>
  </w:style>
  <w:style w:type="paragraph" w:styleId="28">
    <w:name w:val="annotation text"/>
    <w:basedOn w:val="1"/>
    <w:link w:val="104"/>
    <w:autoRedefine/>
    <w:unhideWhenUsed/>
    <w:qFormat/>
    <w:uiPriority w:val="99"/>
    <w:pPr>
      <w:jc w:val="left"/>
    </w:pPr>
  </w:style>
  <w:style w:type="paragraph" w:styleId="29">
    <w:name w:val="index 6"/>
    <w:basedOn w:val="1"/>
    <w:next w:val="1"/>
    <w:unhideWhenUsed/>
    <w:qFormat/>
    <w:uiPriority w:val="99"/>
    <w:pPr>
      <w:ind w:left="1000" w:leftChars="1000"/>
    </w:pPr>
    <w:rPr>
      <w:rFonts w:ascii="Times New Roman" w:hAnsi="Times New Roman"/>
      <w:szCs w:val="20"/>
    </w:rPr>
  </w:style>
  <w:style w:type="paragraph" w:styleId="30">
    <w:name w:val="Salutation"/>
    <w:basedOn w:val="1"/>
    <w:next w:val="1"/>
    <w:link w:val="445"/>
    <w:qFormat/>
    <w:uiPriority w:val="0"/>
    <w:rPr>
      <w:rFonts w:ascii="Times New Roman" w:hAnsi="Times New Roman"/>
      <w:szCs w:val="20"/>
    </w:rPr>
  </w:style>
  <w:style w:type="paragraph" w:styleId="31">
    <w:name w:val="Body Text 3"/>
    <w:basedOn w:val="1"/>
    <w:link w:val="158"/>
    <w:autoRedefine/>
    <w:qFormat/>
    <w:uiPriority w:val="0"/>
    <w:pPr>
      <w:spacing w:after="120"/>
    </w:pPr>
    <w:rPr>
      <w:rFonts w:ascii="等线" w:hAnsi="等线" w:eastAsia="等线"/>
      <w:sz w:val="16"/>
      <w:szCs w:val="16"/>
    </w:rPr>
  </w:style>
  <w:style w:type="paragraph" w:styleId="32">
    <w:name w:val="Closing"/>
    <w:basedOn w:val="1"/>
    <w:link w:val="446"/>
    <w:qFormat/>
    <w:uiPriority w:val="0"/>
    <w:pPr>
      <w:ind w:left="100" w:leftChars="2100"/>
    </w:pPr>
    <w:rPr>
      <w:rFonts w:ascii="Times New Roman" w:hAnsi="Times New Roman"/>
      <w:sz w:val="32"/>
      <w:szCs w:val="20"/>
    </w:rPr>
  </w:style>
  <w:style w:type="paragraph" w:styleId="33">
    <w:name w:val="List Bullet 3"/>
    <w:basedOn w:val="1"/>
    <w:unhideWhenUsed/>
    <w:qFormat/>
    <w:uiPriority w:val="99"/>
    <w:pPr>
      <w:tabs>
        <w:tab w:val="left" w:pos="1134"/>
        <w:tab w:val="left" w:pos="1200"/>
      </w:tabs>
      <w:ind w:left="1134" w:hanging="1134"/>
      <w:contextualSpacing/>
    </w:pPr>
    <w:rPr>
      <w:rFonts w:ascii="Times New Roman" w:hAnsi="Times New Roman"/>
      <w:szCs w:val="20"/>
    </w:rPr>
  </w:style>
  <w:style w:type="paragraph" w:styleId="34">
    <w:name w:val="Body Text"/>
    <w:basedOn w:val="1"/>
    <w:link w:val="105"/>
    <w:autoRedefine/>
    <w:qFormat/>
    <w:uiPriority w:val="0"/>
    <w:pPr>
      <w:widowControl/>
      <w:spacing w:line="320" w:lineRule="atLeast"/>
    </w:pPr>
    <w:rPr>
      <w:rFonts w:eastAsia="隶书"/>
      <w:b/>
      <w:kern w:val="0"/>
      <w:sz w:val="44"/>
      <w:szCs w:val="20"/>
    </w:rPr>
  </w:style>
  <w:style w:type="paragraph" w:styleId="35">
    <w:name w:val="Body Text Indent"/>
    <w:basedOn w:val="1"/>
    <w:link w:val="106"/>
    <w:autoRedefine/>
    <w:unhideWhenUsed/>
    <w:qFormat/>
    <w:uiPriority w:val="0"/>
    <w:pPr>
      <w:spacing w:after="120"/>
      <w:ind w:left="420" w:leftChars="200"/>
    </w:pPr>
    <w:rPr>
      <w:rFonts w:ascii="宋体" w:hAnsi="宋体"/>
      <w:sz w:val="28"/>
      <w:szCs w:val="22"/>
    </w:rPr>
  </w:style>
  <w:style w:type="paragraph" w:styleId="36">
    <w:name w:val="List Number 3"/>
    <w:basedOn w:val="1"/>
    <w:unhideWhenUsed/>
    <w:qFormat/>
    <w:uiPriority w:val="99"/>
    <w:pPr>
      <w:tabs>
        <w:tab w:val="left" w:pos="180"/>
        <w:tab w:val="left" w:pos="1200"/>
      </w:tabs>
      <w:ind w:left="180" w:hanging="180"/>
      <w:contextualSpacing/>
    </w:pPr>
    <w:rPr>
      <w:rFonts w:ascii="Times New Roman" w:hAnsi="Times New Roman"/>
      <w:szCs w:val="20"/>
    </w:rPr>
  </w:style>
  <w:style w:type="paragraph" w:styleId="37">
    <w:name w:val="List 2"/>
    <w:basedOn w:val="1"/>
    <w:autoRedefine/>
    <w:qFormat/>
    <w:uiPriority w:val="0"/>
    <w:pPr>
      <w:ind w:left="100" w:leftChars="200" w:hanging="200" w:hangingChars="200"/>
    </w:pPr>
    <w:rPr>
      <w:rFonts w:ascii="Times New Roman" w:hAnsi="Times New Roman"/>
      <w:sz w:val="28"/>
    </w:rPr>
  </w:style>
  <w:style w:type="paragraph" w:styleId="38">
    <w:name w:val="List Continue"/>
    <w:basedOn w:val="1"/>
    <w:unhideWhenUsed/>
    <w:qFormat/>
    <w:uiPriority w:val="99"/>
    <w:pPr>
      <w:spacing w:after="120"/>
      <w:ind w:left="420" w:leftChars="200"/>
      <w:contextualSpacing/>
    </w:pPr>
    <w:rPr>
      <w:rFonts w:ascii="Times New Roman" w:hAnsi="Times New Roman"/>
      <w:szCs w:val="20"/>
    </w:rPr>
  </w:style>
  <w:style w:type="paragraph" w:styleId="39">
    <w:name w:val="Block Text"/>
    <w:basedOn w:val="1"/>
    <w:qFormat/>
    <w:uiPriority w:val="0"/>
    <w:pPr>
      <w:autoSpaceDE w:val="0"/>
      <w:autoSpaceDN w:val="0"/>
      <w:adjustRightInd w:val="0"/>
      <w:spacing w:line="500" w:lineRule="exact"/>
      <w:ind w:left="391" w:right="246"/>
    </w:pPr>
    <w:rPr>
      <w:rFonts w:ascii="仿宋_GB2312" w:hAnsi="Times New Roman" w:eastAsia="仿宋_GB2312"/>
      <w:kern w:val="0"/>
      <w:sz w:val="24"/>
    </w:rPr>
  </w:style>
  <w:style w:type="paragraph" w:styleId="40">
    <w:name w:val="List Bullet 2"/>
    <w:basedOn w:val="1"/>
    <w:unhideWhenUsed/>
    <w:qFormat/>
    <w:uiPriority w:val="99"/>
    <w:pPr>
      <w:tabs>
        <w:tab w:val="left" w:pos="425"/>
        <w:tab w:val="left" w:pos="780"/>
      </w:tabs>
      <w:ind w:left="425" w:hanging="425"/>
      <w:contextualSpacing/>
    </w:pPr>
    <w:rPr>
      <w:rFonts w:ascii="Times New Roman" w:hAnsi="Times New Roman"/>
      <w:szCs w:val="20"/>
    </w:rPr>
  </w:style>
  <w:style w:type="paragraph" w:styleId="41">
    <w:name w:val="HTML Address"/>
    <w:basedOn w:val="1"/>
    <w:link w:val="447"/>
    <w:unhideWhenUsed/>
    <w:qFormat/>
    <w:uiPriority w:val="99"/>
    <w:rPr>
      <w:rFonts w:ascii="Times New Roman" w:hAnsi="Times New Roman"/>
      <w:i/>
      <w:iCs/>
      <w:szCs w:val="20"/>
    </w:rPr>
  </w:style>
  <w:style w:type="paragraph" w:styleId="42">
    <w:name w:val="index 4"/>
    <w:basedOn w:val="1"/>
    <w:next w:val="1"/>
    <w:unhideWhenUsed/>
    <w:qFormat/>
    <w:uiPriority w:val="99"/>
    <w:pPr>
      <w:ind w:left="600" w:leftChars="600"/>
    </w:pPr>
    <w:rPr>
      <w:rFonts w:ascii="Times New Roman" w:hAnsi="Times New Roman"/>
      <w:szCs w:val="20"/>
    </w:rPr>
  </w:style>
  <w:style w:type="paragraph" w:styleId="43">
    <w:name w:val="toc 5"/>
    <w:basedOn w:val="1"/>
    <w:next w:val="1"/>
    <w:qFormat/>
    <w:uiPriority w:val="39"/>
    <w:pPr>
      <w:ind w:left="840"/>
      <w:jc w:val="left"/>
    </w:pPr>
    <w:rPr>
      <w:rFonts w:ascii="Times New Roman" w:hAnsi="Times New Roman"/>
      <w:sz w:val="18"/>
      <w:szCs w:val="18"/>
    </w:rPr>
  </w:style>
  <w:style w:type="paragraph" w:styleId="44">
    <w:name w:val="toc 3"/>
    <w:basedOn w:val="1"/>
    <w:next w:val="1"/>
    <w:autoRedefine/>
    <w:qFormat/>
    <w:uiPriority w:val="0"/>
    <w:pPr>
      <w:tabs>
        <w:tab w:val="left" w:pos="1680"/>
        <w:tab w:val="right" w:leader="dot" w:pos="9743"/>
      </w:tabs>
      <w:jc w:val="left"/>
    </w:pPr>
    <w:rPr>
      <w:rFonts w:ascii="Times New Roman" w:hAnsi="Times New Roman"/>
      <w:b/>
      <w:szCs w:val="21"/>
    </w:rPr>
  </w:style>
  <w:style w:type="paragraph" w:styleId="45">
    <w:name w:val="Plain Text"/>
    <w:basedOn w:val="1"/>
    <w:link w:val="107"/>
    <w:autoRedefine/>
    <w:qFormat/>
    <w:uiPriority w:val="0"/>
    <w:rPr>
      <w:rFonts w:ascii="宋体" w:hAnsi="Courier New"/>
      <w:szCs w:val="20"/>
    </w:rPr>
  </w:style>
  <w:style w:type="paragraph" w:styleId="46">
    <w:name w:val="List Bullet 5"/>
    <w:basedOn w:val="1"/>
    <w:unhideWhenUsed/>
    <w:qFormat/>
    <w:uiPriority w:val="99"/>
    <w:pPr>
      <w:tabs>
        <w:tab w:val="left" w:pos="720"/>
        <w:tab w:val="left" w:pos="2040"/>
      </w:tabs>
      <w:ind w:left="720" w:hanging="360"/>
      <w:contextualSpacing/>
    </w:pPr>
    <w:rPr>
      <w:rFonts w:ascii="Times New Roman" w:hAnsi="Times New Roman"/>
      <w:szCs w:val="20"/>
    </w:rPr>
  </w:style>
  <w:style w:type="paragraph" w:styleId="47">
    <w:name w:val="List Number 4"/>
    <w:basedOn w:val="1"/>
    <w:unhideWhenUsed/>
    <w:qFormat/>
    <w:uiPriority w:val="99"/>
    <w:pPr>
      <w:tabs>
        <w:tab w:val="left" w:pos="600"/>
        <w:tab w:val="left" w:pos="1620"/>
      </w:tabs>
      <w:ind w:left="600" w:hanging="600"/>
      <w:contextualSpacing/>
    </w:pPr>
    <w:rPr>
      <w:rFonts w:ascii="Times New Roman" w:hAnsi="Times New Roman"/>
      <w:szCs w:val="20"/>
    </w:rPr>
  </w:style>
  <w:style w:type="paragraph" w:styleId="48">
    <w:name w:val="toc 8"/>
    <w:basedOn w:val="1"/>
    <w:next w:val="1"/>
    <w:qFormat/>
    <w:uiPriority w:val="39"/>
    <w:pPr>
      <w:ind w:left="1470"/>
      <w:jc w:val="left"/>
    </w:pPr>
    <w:rPr>
      <w:rFonts w:ascii="Times New Roman" w:hAnsi="Times New Roman"/>
      <w:sz w:val="18"/>
      <w:szCs w:val="18"/>
    </w:rPr>
  </w:style>
  <w:style w:type="paragraph" w:styleId="49">
    <w:name w:val="index 3"/>
    <w:basedOn w:val="1"/>
    <w:next w:val="1"/>
    <w:unhideWhenUsed/>
    <w:qFormat/>
    <w:uiPriority w:val="99"/>
    <w:pPr>
      <w:ind w:left="400" w:leftChars="400"/>
    </w:pPr>
    <w:rPr>
      <w:rFonts w:ascii="Times New Roman" w:hAnsi="Times New Roman"/>
      <w:szCs w:val="20"/>
    </w:rPr>
  </w:style>
  <w:style w:type="paragraph" w:styleId="50">
    <w:name w:val="Date"/>
    <w:basedOn w:val="1"/>
    <w:next w:val="1"/>
    <w:link w:val="159"/>
    <w:autoRedefine/>
    <w:qFormat/>
    <w:uiPriority w:val="0"/>
    <w:rPr>
      <w:rFonts w:ascii="等线" w:hAnsi="等线" w:eastAsia="等线"/>
      <w:szCs w:val="22"/>
    </w:rPr>
  </w:style>
  <w:style w:type="paragraph" w:styleId="51">
    <w:name w:val="Body Text Indent 2"/>
    <w:basedOn w:val="1"/>
    <w:link w:val="151"/>
    <w:autoRedefine/>
    <w:unhideWhenUsed/>
    <w:qFormat/>
    <w:uiPriority w:val="0"/>
    <w:pPr>
      <w:spacing w:after="120" w:line="480" w:lineRule="auto"/>
      <w:ind w:left="420" w:leftChars="200"/>
    </w:pPr>
  </w:style>
  <w:style w:type="paragraph" w:styleId="52">
    <w:name w:val="endnote text"/>
    <w:basedOn w:val="1"/>
    <w:link w:val="437"/>
    <w:unhideWhenUsed/>
    <w:qFormat/>
    <w:uiPriority w:val="99"/>
    <w:pPr>
      <w:snapToGrid w:val="0"/>
      <w:jc w:val="left"/>
    </w:pPr>
    <w:rPr>
      <w:rFonts w:ascii="Times New Roman" w:hAnsi="Times New Roman"/>
      <w:szCs w:val="21"/>
    </w:rPr>
  </w:style>
  <w:style w:type="paragraph" w:styleId="53">
    <w:name w:val="List Continue 5"/>
    <w:basedOn w:val="1"/>
    <w:unhideWhenUsed/>
    <w:qFormat/>
    <w:uiPriority w:val="99"/>
    <w:pPr>
      <w:spacing w:after="120"/>
      <w:ind w:left="2100" w:leftChars="1000"/>
      <w:contextualSpacing/>
    </w:pPr>
    <w:rPr>
      <w:rFonts w:ascii="Times New Roman" w:hAnsi="Times New Roman"/>
      <w:szCs w:val="20"/>
    </w:rPr>
  </w:style>
  <w:style w:type="paragraph" w:styleId="54">
    <w:name w:val="Balloon Text"/>
    <w:basedOn w:val="1"/>
    <w:link w:val="108"/>
    <w:autoRedefine/>
    <w:qFormat/>
    <w:uiPriority w:val="99"/>
    <w:rPr>
      <w:rFonts w:ascii="等线" w:hAnsi="等线" w:eastAsia="等线"/>
      <w:sz w:val="18"/>
      <w:szCs w:val="18"/>
    </w:rPr>
  </w:style>
  <w:style w:type="paragraph" w:styleId="55">
    <w:name w:val="footer"/>
    <w:basedOn w:val="1"/>
    <w:link w:val="109"/>
    <w:autoRedefine/>
    <w:qFormat/>
    <w:uiPriority w:val="99"/>
    <w:pPr>
      <w:tabs>
        <w:tab w:val="center" w:pos="4153"/>
        <w:tab w:val="right" w:pos="8306"/>
      </w:tabs>
      <w:snapToGrid w:val="0"/>
      <w:jc w:val="left"/>
    </w:pPr>
    <w:rPr>
      <w:sz w:val="18"/>
      <w:szCs w:val="18"/>
    </w:rPr>
  </w:style>
  <w:style w:type="paragraph" w:styleId="56">
    <w:name w:val="envelope return"/>
    <w:basedOn w:val="1"/>
    <w:unhideWhenUsed/>
    <w:qFormat/>
    <w:uiPriority w:val="99"/>
    <w:pPr>
      <w:snapToGrid w:val="0"/>
    </w:pPr>
    <w:rPr>
      <w:rFonts w:ascii="Cambria" w:hAnsi="Cambria"/>
      <w:szCs w:val="20"/>
    </w:rPr>
  </w:style>
  <w:style w:type="paragraph" w:styleId="57">
    <w:name w:val="header"/>
    <w:basedOn w:val="1"/>
    <w:link w:val="110"/>
    <w:autoRedefine/>
    <w:qFormat/>
    <w:uiPriority w:val="99"/>
    <w:pPr>
      <w:pBdr>
        <w:bottom w:val="single" w:color="auto" w:sz="6" w:space="1"/>
      </w:pBdr>
      <w:tabs>
        <w:tab w:val="center" w:pos="4153"/>
        <w:tab w:val="right" w:pos="8306"/>
      </w:tabs>
      <w:snapToGrid w:val="0"/>
      <w:jc w:val="center"/>
    </w:pPr>
    <w:rPr>
      <w:sz w:val="18"/>
      <w:szCs w:val="18"/>
    </w:rPr>
  </w:style>
  <w:style w:type="paragraph" w:styleId="58">
    <w:name w:val="Signature"/>
    <w:basedOn w:val="1"/>
    <w:link w:val="448"/>
    <w:unhideWhenUsed/>
    <w:qFormat/>
    <w:uiPriority w:val="99"/>
    <w:pPr>
      <w:ind w:left="100" w:leftChars="2100"/>
    </w:pPr>
    <w:rPr>
      <w:rFonts w:ascii="Times New Roman" w:hAnsi="Times New Roman"/>
      <w:szCs w:val="20"/>
    </w:rPr>
  </w:style>
  <w:style w:type="paragraph" w:styleId="59">
    <w:name w:val="toc 1"/>
    <w:basedOn w:val="1"/>
    <w:next w:val="1"/>
    <w:autoRedefine/>
    <w:qFormat/>
    <w:uiPriority w:val="0"/>
    <w:rPr>
      <w:rFonts w:ascii="Times New Roman" w:hAnsi="Times New Roman"/>
      <w:szCs w:val="20"/>
    </w:rPr>
  </w:style>
  <w:style w:type="paragraph" w:styleId="60">
    <w:name w:val="List Continue 4"/>
    <w:basedOn w:val="1"/>
    <w:unhideWhenUsed/>
    <w:qFormat/>
    <w:uiPriority w:val="99"/>
    <w:pPr>
      <w:spacing w:after="120"/>
      <w:ind w:left="1680" w:leftChars="800"/>
      <w:contextualSpacing/>
    </w:pPr>
    <w:rPr>
      <w:rFonts w:ascii="Times New Roman" w:hAnsi="Times New Roman"/>
      <w:szCs w:val="20"/>
    </w:rPr>
  </w:style>
  <w:style w:type="paragraph" w:styleId="61">
    <w:name w:val="toc 4"/>
    <w:basedOn w:val="1"/>
    <w:next w:val="1"/>
    <w:qFormat/>
    <w:uiPriority w:val="39"/>
    <w:pPr>
      <w:ind w:left="630"/>
      <w:jc w:val="left"/>
    </w:pPr>
    <w:rPr>
      <w:rFonts w:ascii="Times New Roman" w:hAnsi="Times New Roman"/>
      <w:sz w:val="18"/>
      <w:szCs w:val="18"/>
    </w:rPr>
  </w:style>
  <w:style w:type="paragraph" w:styleId="62">
    <w:name w:val="index heading"/>
    <w:basedOn w:val="1"/>
    <w:next w:val="63"/>
    <w:unhideWhenUsed/>
    <w:qFormat/>
    <w:uiPriority w:val="99"/>
    <w:rPr>
      <w:rFonts w:ascii="Cambria" w:hAnsi="Cambria"/>
      <w:b/>
      <w:bCs/>
      <w:szCs w:val="20"/>
    </w:rPr>
  </w:style>
  <w:style w:type="paragraph" w:styleId="63">
    <w:name w:val="index 1"/>
    <w:basedOn w:val="1"/>
    <w:next w:val="1"/>
    <w:autoRedefine/>
    <w:unhideWhenUsed/>
    <w:qFormat/>
    <w:uiPriority w:val="99"/>
  </w:style>
  <w:style w:type="paragraph" w:styleId="64">
    <w:name w:val="Subtitle"/>
    <w:basedOn w:val="1"/>
    <w:next w:val="1"/>
    <w:link w:val="160"/>
    <w:autoRedefine/>
    <w:qFormat/>
    <w:uiPriority w:val="11"/>
    <w:pPr>
      <w:spacing w:before="240" w:after="60" w:line="312" w:lineRule="auto"/>
      <w:jc w:val="center"/>
      <w:outlineLvl w:val="1"/>
    </w:pPr>
    <w:rPr>
      <w:rFonts w:ascii="黑体" w:hAnsi="黑体" w:eastAsia="黑体"/>
      <w:bCs/>
      <w:kern w:val="28"/>
      <w:sz w:val="24"/>
      <w:szCs w:val="32"/>
    </w:rPr>
  </w:style>
  <w:style w:type="paragraph" w:styleId="65">
    <w:name w:val="List Number 5"/>
    <w:basedOn w:val="1"/>
    <w:unhideWhenUsed/>
    <w:qFormat/>
    <w:uiPriority w:val="99"/>
    <w:pPr>
      <w:tabs>
        <w:tab w:val="left" w:pos="1049"/>
        <w:tab w:val="left" w:pos="2040"/>
      </w:tabs>
      <w:ind w:left="1049" w:hanging="420"/>
      <w:contextualSpacing/>
    </w:pPr>
    <w:rPr>
      <w:rFonts w:ascii="Times New Roman" w:hAnsi="Times New Roman"/>
      <w:szCs w:val="20"/>
    </w:rPr>
  </w:style>
  <w:style w:type="paragraph" w:styleId="66">
    <w:name w:val="List"/>
    <w:basedOn w:val="1"/>
    <w:autoRedefine/>
    <w:qFormat/>
    <w:uiPriority w:val="0"/>
    <w:pPr>
      <w:ind w:left="200" w:hanging="200" w:hangingChars="200"/>
    </w:pPr>
    <w:rPr>
      <w:rFonts w:ascii="Times New Roman" w:hAnsi="Times New Roman"/>
    </w:rPr>
  </w:style>
  <w:style w:type="paragraph" w:styleId="67">
    <w:name w:val="footnote text"/>
    <w:basedOn w:val="1"/>
    <w:link w:val="152"/>
    <w:autoRedefine/>
    <w:unhideWhenUsed/>
    <w:qFormat/>
    <w:uiPriority w:val="99"/>
    <w:pPr>
      <w:snapToGrid w:val="0"/>
      <w:jc w:val="left"/>
    </w:pPr>
    <w:rPr>
      <w:rFonts w:ascii="Times New Roman" w:hAnsi="Times New Roman"/>
      <w:sz w:val="18"/>
      <w:szCs w:val="18"/>
    </w:rPr>
  </w:style>
  <w:style w:type="paragraph" w:styleId="68">
    <w:name w:val="toc 6"/>
    <w:basedOn w:val="1"/>
    <w:next w:val="1"/>
    <w:qFormat/>
    <w:uiPriority w:val="39"/>
    <w:pPr>
      <w:ind w:left="1050"/>
      <w:jc w:val="left"/>
    </w:pPr>
    <w:rPr>
      <w:rFonts w:ascii="Times New Roman" w:hAnsi="Times New Roman"/>
      <w:sz w:val="18"/>
      <w:szCs w:val="18"/>
    </w:rPr>
  </w:style>
  <w:style w:type="paragraph" w:styleId="69">
    <w:name w:val="List 5"/>
    <w:basedOn w:val="1"/>
    <w:unhideWhenUsed/>
    <w:qFormat/>
    <w:uiPriority w:val="99"/>
    <w:pPr>
      <w:ind w:left="100" w:leftChars="800" w:hanging="200" w:hangingChars="200"/>
      <w:contextualSpacing/>
    </w:pPr>
    <w:rPr>
      <w:rFonts w:ascii="Times New Roman" w:hAnsi="Times New Roman"/>
      <w:szCs w:val="20"/>
    </w:rPr>
  </w:style>
  <w:style w:type="paragraph" w:styleId="70">
    <w:name w:val="Body Text Indent 3"/>
    <w:basedOn w:val="1"/>
    <w:link w:val="111"/>
    <w:autoRedefine/>
    <w:qFormat/>
    <w:uiPriority w:val="0"/>
    <w:pPr>
      <w:spacing w:after="120"/>
      <w:ind w:left="420" w:leftChars="200"/>
    </w:pPr>
    <w:rPr>
      <w:rFonts w:ascii="等线" w:hAnsi="等线" w:eastAsia="等线"/>
      <w:sz w:val="16"/>
      <w:szCs w:val="16"/>
    </w:rPr>
  </w:style>
  <w:style w:type="paragraph" w:styleId="71">
    <w:name w:val="index 7"/>
    <w:basedOn w:val="1"/>
    <w:next w:val="1"/>
    <w:unhideWhenUsed/>
    <w:qFormat/>
    <w:uiPriority w:val="99"/>
    <w:pPr>
      <w:ind w:left="1200" w:leftChars="1200"/>
    </w:pPr>
    <w:rPr>
      <w:rFonts w:ascii="Times New Roman" w:hAnsi="Times New Roman"/>
      <w:szCs w:val="20"/>
    </w:rPr>
  </w:style>
  <w:style w:type="paragraph" w:styleId="72">
    <w:name w:val="index 9"/>
    <w:basedOn w:val="1"/>
    <w:next w:val="1"/>
    <w:unhideWhenUsed/>
    <w:qFormat/>
    <w:uiPriority w:val="99"/>
    <w:pPr>
      <w:ind w:left="1600" w:leftChars="1600"/>
    </w:pPr>
    <w:rPr>
      <w:rFonts w:ascii="Times New Roman" w:hAnsi="Times New Roman"/>
      <w:szCs w:val="20"/>
    </w:rPr>
  </w:style>
  <w:style w:type="paragraph" w:styleId="73">
    <w:name w:val="table of figures"/>
    <w:basedOn w:val="1"/>
    <w:next w:val="1"/>
    <w:unhideWhenUsed/>
    <w:qFormat/>
    <w:uiPriority w:val="99"/>
    <w:pPr>
      <w:ind w:left="200" w:leftChars="200" w:hanging="200" w:hangingChars="200"/>
    </w:pPr>
    <w:rPr>
      <w:rFonts w:ascii="Times New Roman" w:hAnsi="Times New Roman"/>
      <w:szCs w:val="20"/>
    </w:rPr>
  </w:style>
  <w:style w:type="paragraph" w:styleId="74">
    <w:name w:val="toc 2"/>
    <w:basedOn w:val="1"/>
    <w:next w:val="1"/>
    <w:qFormat/>
    <w:uiPriority w:val="39"/>
    <w:pPr>
      <w:ind w:left="210"/>
      <w:jc w:val="left"/>
    </w:pPr>
    <w:rPr>
      <w:rFonts w:ascii="Times New Roman" w:hAnsi="Times New Roman"/>
      <w:smallCaps/>
      <w:sz w:val="20"/>
      <w:szCs w:val="20"/>
    </w:rPr>
  </w:style>
  <w:style w:type="paragraph" w:styleId="75">
    <w:name w:val="toc 9"/>
    <w:basedOn w:val="1"/>
    <w:next w:val="1"/>
    <w:qFormat/>
    <w:uiPriority w:val="39"/>
    <w:pPr>
      <w:ind w:left="1680"/>
      <w:jc w:val="left"/>
    </w:pPr>
    <w:rPr>
      <w:rFonts w:ascii="Times New Roman" w:hAnsi="Times New Roman"/>
      <w:sz w:val="18"/>
      <w:szCs w:val="18"/>
    </w:rPr>
  </w:style>
  <w:style w:type="paragraph" w:styleId="76">
    <w:name w:val="Body Text 2"/>
    <w:basedOn w:val="1"/>
    <w:link w:val="161"/>
    <w:autoRedefine/>
    <w:unhideWhenUsed/>
    <w:qFormat/>
    <w:uiPriority w:val="0"/>
    <w:pPr>
      <w:spacing w:after="120" w:line="480" w:lineRule="auto"/>
    </w:pPr>
    <w:rPr>
      <w:rFonts w:ascii="等线" w:hAnsi="等线" w:eastAsia="等线"/>
    </w:rPr>
  </w:style>
  <w:style w:type="paragraph" w:styleId="77">
    <w:name w:val="List 4"/>
    <w:basedOn w:val="1"/>
    <w:unhideWhenUsed/>
    <w:qFormat/>
    <w:uiPriority w:val="99"/>
    <w:pPr>
      <w:ind w:left="100" w:leftChars="600" w:hanging="200" w:hangingChars="200"/>
      <w:contextualSpacing/>
    </w:pPr>
    <w:rPr>
      <w:rFonts w:ascii="Times New Roman" w:hAnsi="Times New Roman"/>
      <w:szCs w:val="20"/>
    </w:rPr>
  </w:style>
  <w:style w:type="paragraph" w:styleId="78">
    <w:name w:val="List Continue 2"/>
    <w:basedOn w:val="1"/>
    <w:unhideWhenUsed/>
    <w:qFormat/>
    <w:uiPriority w:val="99"/>
    <w:pPr>
      <w:spacing w:after="120"/>
      <w:ind w:left="840" w:leftChars="400"/>
      <w:contextualSpacing/>
    </w:pPr>
    <w:rPr>
      <w:rFonts w:ascii="Times New Roman" w:hAnsi="Times New Roman"/>
      <w:szCs w:val="20"/>
    </w:rPr>
  </w:style>
  <w:style w:type="paragraph" w:styleId="79">
    <w:name w:val="Message Header"/>
    <w:basedOn w:val="1"/>
    <w:link w:val="449"/>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80">
    <w:name w:val="HTML Preformatted"/>
    <w:basedOn w:val="1"/>
    <w:link w:val="162"/>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eastAsia="等线" w:cs="Arial"/>
      <w:szCs w:val="21"/>
    </w:rPr>
  </w:style>
  <w:style w:type="paragraph" w:styleId="81">
    <w:name w:val="Normal (Web)"/>
    <w:basedOn w:val="1"/>
    <w:autoRedefine/>
    <w:qFormat/>
    <w:uiPriority w:val="0"/>
    <w:pPr>
      <w:widowControl/>
      <w:spacing w:before="100" w:beforeAutospacing="1" w:after="100" w:afterAutospacing="1"/>
      <w:jc w:val="left"/>
    </w:pPr>
    <w:rPr>
      <w:rFonts w:ascii="宋体" w:hAnsi="宋体"/>
      <w:kern w:val="0"/>
      <w:sz w:val="24"/>
    </w:rPr>
  </w:style>
  <w:style w:type="paragraph" w:styleId="82">
    <w:name w:val="List Continue 3"/>
    <w:basedOn w:val="1"/>
    <w:unhideWhenUsed/>
    <w:qFormat/>
    <w:uiPriority w:val="99"/>
    <w:pPr>
      <w:spacing w:after="120"/>
      <w:ind w:left="1260" w:leftChars="600"/>
      <w:contextualSpacing/>
    </w:pPr>
    <w:rPr>
      <w:rFonts w:ascii="Times New Roman" w:hAnsi="Times New Roman"/>
      <w:szCs w:val="20"/>
    </w:rPr>
  </w:style>
  <w:style w:type="paragraph" w:styleId="83">
    <w:name w:val="index 2"/>
    <w:basedOn w:val="1"/>
    <w:next w:val="1"/>
    <w:unhideWhenUsed/>
    <w:qFormat/>
    <w:uiPriority w:val="99"/>
    <w:pPr>
      <w:ind w:left="200" w:leftChars="200"/>
    </w:pPr>
    <w:rPr>
      <w:rFonts w:ascii="Times New Roman" w:hAnsi="Times New Roman"/>
      <w:szCs w:val="20"/>
    </w:rPr>
  </w:style>
  <w:style w:type="paragraph" w:styleId="84">
    <w:name w:val="Title"/>
    <w:basedOn w:val="1"/>
    <w:next w:val="1"/>
    <w:link w:val="163"/>
    <w:autoRedefine/>
    <w:qFormat/>
    <w:uiPriority w:val="10"/>
    <w:pPr>
      <w:spacing w:before="240" w:after="60"/>
      <w:jc w:val="center"/>
      <w:outlineLvl w:val="0"/>
    </w:pPr>
    <w:rPr>
      <w:rFonts w:ascii="Cambria" w:hAnsi="Cambria" w:eastAsia="等线"/>
      <w:b/>
      <w:bCs/>
      <w:sz w:val="32"/>
      <w:szCs w:val="32"/>
    </w:rPr>
  </w:style>
  <w:style w:type="paragraph" w:styleId="85">
    <w:name w:val="annotation subject"/>
    <w:basedOn w:val="28"/>
    <w:next w:val="28"/>
    <w:link w:val="112"/>
    <w:autoRedefine/>
    <w:qFormat/>
    <w:uiPriority w:val="99"/>
    <w:rPr>
      <w:rFonts w:ascii="等线" w:hAnsi="等线" w:eastAsia="等线"/>
      <w:b/>
      <w:bCs/>
    </w:rPr>
  </w:style>
  <w:style w:type="paragraph" w:styleId="86">
    <w:name w:val="Body Text First Indent"/>
    <w:basedOn w:val="34"/>
    <w:link w:val="450"/>
    <w:unhideWhenUsed/>
    <w:qFormat/>
    <w:uiPriority w:val="0"/>
    <w:pPr>
      <w:widowControl w:val="0"/>
      <w:spacing w:after="120" w:line="240" w:lineRule="auto"/>
      <w:ind w:firstLine="420" w:firstLineChars="100"/>
    </w:pPr>
    <w:rPr>
      <w:rFonts w:ascii="Times New Roman" w:hAnsi="Times New Roman" w:eastAsia="宋体"/>
      <w:b w:val="0"/>
      <w:kern w:val="2"/>
      <w:sz w:val="21"/>
    </w:rPr>
  </w:style>
  <w:style w:type="paragraph" w:styleId="87">
    <w:name w:val="Body Text First Indent 2"/>
    <w:basedOn w:val="35"/>
    <w:link w:val="451"/>
    <w:unhideWhenUsed/>
    <w:qFormat/>
    <w:uiPriority w:val="0"/>
    <w:pPr>
      <w:ind w:firstLine="420" w:firstLineChars="200"/>
    </w:pPr>
    <w:rPr>
      <w:rFonts w:ascii="Times New Roman" w:hAnsi="Times New Roman"/>
      <w:sz w:val="30"/>
      <w:szCs w:val="20"/>
    </w:rPr>
  </w:style>
  <w:style w:type="table" w:styleId="89">
    <w:name w:val="Table Grid"/>
    <w:basedOn w:val="8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1">
    <w:name w:val="Strong"/>
    <w:autoRedefine/>
    <w:qFormat/>
    <w:uiPriority w:val="0"/>
    <w:rPr>
      <w:b/>
      <w:bCs/>
    </w:rPr>
  </w:style>
  <w:style w:type="character" w:styleId="92">
    <w:name w:val="endnote reference"/>
    <w:unhideWhenUsed/>
    <w:qFormat/>
    <w:uiPriority w:val="99"/>
    <w:rPr>
      <w:vertAlign w:val="superscript"/>
    </w:rPr>
  </w:style>
  <w:style w:type="character" w:styleId="93">
    <w:name w:val="page number"/>
    <w:autoRedefine/>
    <w:qFormat/>
    <w:uiPriority w:val="99"/>
  </w:style>
  <w:style w:type="character" w:styleId="94">
    <w:name w:val="FollowedHyperlink"/>
    <w:autoRedefine/>
    <w:unhideWhenUsed/>
    <w:qFormat/>
    <w:uiPriority w:val="99"/>
    <w:rPr>
      <w:color w:val="954F72"/>
      <w:u w:val="single"/>
    </w:rPr>
  </w:style>
  <w:style w:type="character" w:styleId="95">
    <w:name w:val="Emphasis"/>
    <w:autoRedefine/>
    <w:qFormat/>
    <w:uiPriority w:val="20"/>
    <w:rPr>
      <w:color w:val="CC0033"/>
    </w:rPr>
  </w:style>
  <w:style w:type="character" w:styleId="96">
    <w:name w:val="Hyperlink"/>
    <w:autoRedefine/>
    <w:qFormat/>
    <w:uiPriority w:val="99"/>
    <w:rPr>
      <w:color w:val="0000FF"/>
      <w:u w:val="single"/>
    </w:rPr>
  </w:style>
  <w:style w:type="character" w:styleId="97">
    <w:name w:val="annotation reference"/>
    <w:autoRedefine/>
    <w:unhideWhenUsed/>
    <w:qFormat/>
    <w:uiPriority w:val="99"/>
    <w:rPr>
      <w:sz w:val="21"/>
      <w:szCs w:val="21"/>
    </w:rPr>
  </w:style>
  <w:style w:type="character" w:styleId="98">
    <w:name w:val="footnote reference"/>
    <w:autoRedefine/>
    <w:unhideWhenUsed/>
    <w:qFormat/>
    <w:uiPriority w:val="99"/>
    <w:rPr>
      <w:vertAlign w:val="superscript"/>
    </w:rPr>
  </w:style>
  <w:style w:type="character" w:customStyle="1" w:styleId="99">
    <w:name w:val="标题 1 字符"/>
    <w:link w:val="3"/>
    <w:autoRedefine/>
    <w:qFormat/>
    <w:uiPriority w:val="9"/>
    <w:rPr>
      <w:rFonts w:ascii="Calibri" w:hAnsi="Calibri" w:eastAsia="宋体" w:cs="Times New Roman"/>
      <w:b/>
      <w:kern w:val="44"/>
      <w:sz w:val="44"/>
      <w:szCs w:val="20"/>
      <w:lang w:val="zh-CN" w:eastAsia="zh-CN"/>
    </w:rPr>
  </w:style>
  <w:style w:type="character" w:customStyle="1" w:styleId="100">
    <w:name w:val="标题 2 字符"/>
    <w:link w:val="4"/>
    <w:autoRedefine/>
    <w:qFormat/>
    <w:uiPriority w:val="9"/>
    <w:rPr>
      <w:rFonts w:ascii="等线 Light" w:hAnsi="等线 Light" w:eastAsia="等线 Light" w:cs="Times New Roman"/>
      <w:b/>
      <w:bCs/>
      <w:kern w:val="2"/>
      <w:sz w:val="32"/>
      <w:szCs w:val="32"/>
    </w:rPr>
  </w:style>
  <w:style w:type="character" w:customStyle="1" w:styleId="101">
    <w:name w:val="标题 3 字符"/>
    <w:link w:val="5"/>
    <w:autoRedefine/>
    <w:qFormat/>
    <w:uiPriority w:val="9"/>
    <w:rPr>
      <w:rFonts w:ascii="Times New Roman" w:hAnsi="Times New Roman" w:eastAsia="宋体" w:cs="Times New Roman"/>
      <w:b/>
      <w:bCs/>
      <w:kern w:val="2"/>
      <w:sz w:val="32"/>
      <w:szCs w:val="32"/>
    </w:rPr>
  </w:style>
  <w:style w:type="character" w:customStyle="1" w:styleId="102">
    <w:name w:val="标题 4 字符"/>
    <w:link w:val="6"/>
    <w:autoRedefine/>
    <w:qFormat/>
    <w:uiPriority w:val="9"/>
    <w:rPr>
      <w:rFonts w:ascii="宋体" w:hAnsi="Arial" w:eastAsia="宋体" w:cs="Times New Roman"/>
      <w:b/>
      <w:kern w:val="0"/>
      <w:sz w:val="24"/>
      <w:szCs w:val="20"/>
    </w:rPr>
  </w:style>
  <w:style w:type="character" w:customStyle="1" w:styleId="103">
    <w:name w:val="标题 5 字符"/>
    <w:link w:val="7"/>
    <w:autoRedefine/>
    <w:qFormat/>
    <w:uiPriority w:val="9"/>
    <w:rPr>
      <w:rFonts w:ascii="宋体" w:hAnsi="Calibri" w:eastAsia="仿宋_GB2312" w:cs="Times New Roman"/>
      <w:b/>
      <w:kern w:val="0"/>
      <w:sz w:val="28"/>
      <w:szCs w:val="20"/>
    </w:rPr>
  </w:style>
  <w:style w:type="character" w:customStyle="1" w:styleId="104">
    <w:name w:val="批注文字 字符1"/>
    <w:link w:val="28"/>
    <w:autoRedefine/>
    <w:qFormat/>
    <w:uiPriority w:val="99"/>
    <w:rPr>
      <w:rFonts w:ascii="Calibri" w:hAnsi="Calibri" w:eastAsia="宋体" w:cs="Times New Roman"/>
      <w:szCs w:val="24"/>
    </w:rPr>
  </w:style>
  <w:style w:type="character" w:customStyle="1" w:styleId="105">
    <w:name w:val="正文文本 字符"/>
    <w:link w:val="34"/>
    <w:autoRedefine/>
    <w:qFormat/>
    <w:uiPriority w:val="0"/>
    <w:rPr>
      <w:rFonts w:ascii="Calibri" w:hAnsi="Calibri" w:eastAsia="隶书" w:cs="Times New Roman"/>
      <w:b/>
      <w:kern w:val="0"/>
      <w:sz w:val="44"/>
      <w:szCs w:val="20"/>
    </w:rPr>
  </w:style>
  <w:style w:type="character" w:customStyle="1" w:styleId="106">
    <w:name w:val="正文文本缩进 字符"/>
    <w:link w:val="35"/>
    <w:autoRedefine/>
    <w:qFormat/>
    <w:uiPriority w:val="0"/>
    <w:rPr>
      <w:rFonts w:ascii="宋体" w:hAnsi="宋体" w:eastAsia="宋体" w:cs="Times New Roman"/>
      <w:sz w:val="28"/>
    </w:rPr>
  </w:style>
  <w:style w:type="character" w:customStyle="1" w:styleId="107">
    <w:name w:val="纯文本 字符"/>
    <w:link w:val="45"/>
    <w:autoRedefine/>
    <w:qFormat/>
    <w:uiPriority w:val="0"/>
    <w:rPr>
      <w:rFonts w:ascii="宋体" w:hAnsi="Courier New" w:eastAsia="宋体" w:cs="Times New Roman"/>
      <w:szCs w:val="20"/>
    </w:rPr>
  </w:style>
  <w:style w:type="character" w:customStyle="1" w:styleId="108">
    <w:name w:val="批注框文本 字符"/>
    <w:link w:val="54"/>
    <w:autoRedefine/>
    <w:qFormat/>
    <w:uiPriority w:val="99"/>
    <w:rPr>
      <w:sz w:val="18"/>
      <w:szCs w:val="18"/>
    </w:rPr>
  </w:style>
  <w:style w:type="character" w:customStyle="1" w:styleId="109">
    <w:name w:val="页脚 字符"/>
    <w:link w:val="55"/>
    <w:autoRedefine/>
    <w:qFormat/>
    <w:uiPriority w:val="99"/>
    <w:rPr>
      <w:rFonts w:ascii="Calibri" w:hAnsi="Calibri" w:eastAsia="宋体" w:cs="Times New Roman"/>
      <w:sz w:val="18"/>
      <w:szCs w:val="18"/>
    </w:rPr>
  </w:style>
  <w:style w:type="character" w:customStyle="1" w:styleId="110">
    <w:name w:val="页眉 字符"/>
    <w:link w:val="57"/>
    <w:autoRedefine/>
    <w:qFormat/>
    <w:uiPriority w:val="99"/>
    <w:rPr>
      <w:rFonts w:ascii="Calibri" w:hAnsi="Calibri" w:eastAsia="宋体" w:cs="Times New Roman"/>
      <w:sz w:val="18"/>
      <w:szCs w:val="18"/>
    </w:rPr>
  </w:style>
  <w:style w:type="character" w:customStyle="1" w:styleId="111">
    <w:name w:val="正文文本缩进 3 字符"/>
    <w:link w:val="70"/>
    <w:autoRedefine/>
    <w:qFormat/>
    <w:uiPriority w:val="0"/>
    <w:rPr>
      <w:sz w:val="16"/>
      <w:szCs w:val="16"/>
    </w:rPr>
  </w:style>
  <w:style w:type="character" w:customStyle="1" w:styleId="112">
    <w:name w:val="批注主题 字符"/>
    <w:link w:val="85"/>
    <w:autoRedefine/>
    <w:qFormat/>
    <w:uiPriority w:val="99"/>
    <w:rPr>
      <w:b/>
      <w:bCs/>
      <w:szCs w:val="24"/>
    </w:rPr>
  </w:style>
  <w:style w:type="character" w:customStyle="1" w:styleId="113">
    <w:name w:val="批注文字 字符"/>
    <w:autoRedefine/>
    <w:qFormat/>
    <w:uiPriority w:val="99"/>
    <w:rPr>
      <w:kern w:val="2"/>
      <w:sz w:val="21"/>
      <w:szCs w:val="24"/>
    </w:rPr>
  </w:style>
  <w:style w:type="character" w:customStyle="1" w:styleId="114">
    <w:name w:val="msoins"/>
    <w:autoRedefine/>
    <w:qFormat/>
    <w:uiPriority w:val="99"/>
  </w:style>
  <w:style w:type="paragraph" w:customStyle="1" w:styleId="115">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styleId="116">
    <w:name w:val="No Spacing"/>
    <w:link w:val="280"/>
    <w:autoRedefine/>
    <w:qFormat/>
    <w:uiPriority w:val="0"/>
    <w:rPr>
      <w:rFonts w:ascii="Calibri" w:hAnsi="Calibri" w:eastAsia="宋体" w:cs="Times New Roman"/>
      <w:kern w:val="2"/>
      <w:sz w:val="22"/>
      <w:szCs w:val="22"/>
      <w:lang w:val="en-US" w:eastAsia="en-US" w:bidi="en-US"/>
    </w:rPr>
  </w:style>
  <w:style w:type="paragraph" w:customStyle="1" w:styleId="117">
    <w:name w:val="font5"/>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118">
    <w:name w:val="xl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19">
    <w:name w:val="xl7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character" w:customStyle="1" w:styleId="120">
    <w:name w:val="批注主题 字符1"/>
    <w:autoRedefine/>
    <w:semiHidden/>
    <w:qFormat/>
    <w:uiPriority w:val="99"/>
    <w:rPr>
      <w:rFonts w:ascii="Calibri" w:hAnsi="Calibri" w:eastAsia="宋体" w:cs="Times New Roman"/>
      <w:b/>
      <w:bCs/>
      <w:szCs w:val="24"/>
    </w:rPr>
  </w:style>
  <w:style w:type="paragraph" w:customStyle="1" w:styleId="121">
    <w:name w:val="xl7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character" w:customStyle="1" w:styleId="122">
    <w:name w:val="批注框文本 字符1"/>
    <w:autoRedefine/>
    <w:semiHidden/>
    <w:qFormat/>
    <w:uiPriority w:val="99"/>
    <w:rPr>
      <w:rFonts w:ascii="Calibri" w:hAnsi="Calibri" w:eastAsia="宋体" w:cs="Times New Roman"/>
      <w:sz w:val="18"/>
      <w:szCs w:val="18"/>
    </w:rPr>
  </w:style>
  <w:style w:type="character" w:customStyle="1" w:styleId="123">
    <w:name w:val="正文文本缩进 3 字符1"/>
    <w:autoRedefine/>
    <w:semiHidden/>
    <w:qFormat/>
    <w:uiPriority w:val="99"/>
    <w:rPr>
      <w:rFonts w:ascii="Calibri" w:hAnsi="Calibri" w:eastAsia="宋体" w:cs="Times New Roman"/>
      <w:sz w:val="16"/>
      <w:szCs w:val="16"/>
    </w:rPr>
  </w:style>
  <w:style w:type="paragraph" w:customStyle="1" w:styleId="124">
    <w:name w:val="xl7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25">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26">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27">
    <w:name w:val="xl7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28">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129">
    <w:name w:val="xl6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styleId="130">
    <w:name w:val="List Paragraph"/>
    <w:basedOn w:val="1"/>
    <w:autoRedefine/>
    <w:qFormat/>
    <w:uiPriority w:val="34"/>
    <w:pPr>
      <w:ind w:firstLine="420" w:firstLineChars="200"/>
    </w:pPr>
    <w:rPr>
      <w:szCs w:val="22"/>
    </w:rPr>
  </w:style>
  <w:style w:type="paragraph" w:customStyle="1" w:styleId="131">
    <w:name w:val="msonormal"/>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32">
    <w:name w:val="xl6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133">
    <w:name w:val="font6"/>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134">
    <w:name w:val="xl7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35">
    <w:name w:val="xl7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36">
    <w:name w:val="xl7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37">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38">
    <w:name w:val="xl8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39">
    <w:name w:val="xl8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40">
    <w:name w:val="xl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41">
    <w:name w:val="xl8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142">
    <w:name w:val="xl8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43">
    <w:name w:val="xl8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44">
    <w:name w:val="xl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45">
    <w:name w:val="xl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46">
    <w:name w:val="xl8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47">
    <w:name w:val="xl9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48">
    <w:name w:val="xl9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49">
    <w:name w:val="xl9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50">
    <w:name w:val="xl9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character" w:customStyle="1" w:styleId="151">
    <w:name w:val="正文文本缩进 2 字符"/>
    <w:link w:val="51"/>
    <w:autoRedefine/>
    <w:qFormat/>
    <w:uiPriority w:val="0"/>
    <w:rPr>
      <w:rFonts w:ascii="Calibri" w:hAnsi="Calibri" w:eastAsia="宋体" w:cs="Times New Roman"/>
      <w:kern w:val="2"/>
      <w:sz w:val="21"/>
      <w:szCs w:val="24"/>
    </w:rPr>
  </w:style>
  <w:style w:type="character" w:customStyle="1" w:styleId="152">
    <w:name w:val="脚注文本 字符"/>
    <w:link w:val="67"/>
    <w:autoRedefine/>
    <w:qFormat/>
    <w:uiPriority w:val="99"/>
    <w:rPr>
      <w:rFonts w:ascii="Times New Roman" w:hAnsi="Times New Roman" w:eastAsia="宋体" w:cs="Times New Roman"/>
      <w:kern w:val="2"/>
      <w:sz w:val="18"/>
      <w:szCs w:val="18"/>
    </w:rPr>
  </w:style>
  <w:style w:type="character" w:customStyle="1" w:styleId="153">
    <w:name w:val="标题 6 字符"/>
    <w:link w:val="8"/>
    <w:autoRedefine/>
    <w:qFormat/>
    <w:uiPriority w:val="9"/>
    <w:rPr>
      <w:rFonts w:ascii="Arial" w:hAnsi="Arial" w:eastAsia="黑体" w:cs="Times New Roman"/>
      <w:b/>
      <w:sz w:val="24"/>
    </w:rPr>
  </w:style>
  <w:style w:type="character" w:customStyle="1" w:styleId="154">
    <w:name w:val="标题 7 字符"/>
    <w:link w:val="9"/>
    <w:autoRedefine/>
    <w:qFormat/>
    <w:uiPriority w:val="9"/>
    <w:rPr>
      <w:rFonts w:ascii="宋体" w:hAnsi="Times New Roman" w:eastAsia="仿宋_GB2312" w:cs="Times New Roman"/>
      <w:b/>
      <w:sz w:val="24"/>
    </w:rPr>
  </w:style>
  <w:style w:type="character" w:customStyle="1" w:styleId="155">
    <w:name w:val="标题 8 字符"/>
    <w:link w:val="10"/>
    <w:autoRedefine/>
    <w:qFormat/>
    <w:uiPriority w:val="9"/>
    <w:rPr>
      <w:rFonts w:ascii="Arial" w:hAnsi="Arial" w:eastAsia="黑体" w:cs="Times New Roman"/>
      <w:sz w:val="24"/>
    </w:rPr>
  </w:style>
  <w:style w:type="character" w:customStyle="1" w:styleId="156">
    <w:name w:val="标题 9 字符"/>
    <w:link w:val="11"/>
    <w:autoRedefine/>
    <w:qFormat/>
    <w:uiPriority w:val="9"/>
    <w:rPr>
      <w:rFonts w:ascii="Arial" w:hAnsi="Arial" w:eastAsia="黑体" w:cs="Times New Roman"/>
      <w:sz w:val="28"/>
    </w:rPr>
  </w:style>
  <w:style w:type="character" w:customStyle="1" w:styleId="157">
    <w:name w:val="文档结构图 字符"/>
    <w:link w:val="26"/>
    <w:autoRedefine/>
    <w:qFormat/>
    <w:uiPriority w:val="0"/>
    <w:rPr>
      <w:kern w:val="2"/>
      <w:sz w:val="21"/>
      <w:szCs w:val="24"/>
      <w:shd w:val="clear" w:color="auto" w:fill="000080"/>
    </w:rPr>
  </w:style>
  <w:style w:type="character" w:customStyle="1" w:styleId="158">
    <w:name w:val="正文文本 3 字符"/>
    <w:link w:val="31"/>
    <w:autoRedefine/>
    <w:qFormat/>
    <w:uiPriority w:val="0"/>
    <w:rPr>
      <w:kern w:val="2"/>
      <w:sz w:val="16"/>
      <w:szCs w:val="16"/>
    </w:rPr>
  </w:style>
  <w:style w:type="character" w:customStyle="1" w:styleId="159">
    <w:name w:val="日期 字符"/>
    <w:link w:val="50"/>
    <w:autoRedefine/>
    <w:qFormat/>
    <w:uiPriority w:val="0"/>
    <w:rPr>
      <w:kern w:val="2"/>
      <w:sz w:val="21"/>
      <w:szCs w:val="22"/>
    </w:rPr>
  </w:style>
  <w:style w:type="character" w:customStyle="1" w:styleId="160">
    <w:name w:val="副标题 字符"/>
    <w:link w:val="64"/>
    <w:autoRedefine/>
    <w:qFormat/>
    <w:uiPriority w:val="11"/>
    <w:rPr>
      <w:rFonts w:ascii="黑体" w:hAnsi="黑体" w:eastAsia="黑体"/>
      <w:bCs/>
      <w:kern w:val="28"/>
      <w:sz w:val="24"/>
      <w:szCs w:val="32"/>
    </w:rPr>
  </w:style>
  <w:style w:type="character" w:customStyle="1" w:styleId="161">
    <w:name w:val="正文文本 2 字符"/>
    <w:link w:val="76"/>
    <w:autoRedefine/>
    <w:qFormat/>
    <w:uiPriority w:val="0"/>
    <w:rPr>
      <w:kern w:val="2"/>
      <w:sz w:val="21"/>
      <w:szCs w:val="24"/>
    </w:rPr>
  </w:style>
  <w:style w:type="character" w:customStyle="1" w:styleId="162">
    <w:name w:val="HTML 预设格式 字符"/>
    <w:link w:val="80"/>
    <w:autoRedefine/>
    <w:qFormat/>
    <w:uiPriority w:val="99"/>
    <w:rPr>
      <w:rFonts w:ascii="Arial" w:hAnsi="Arial" w:cs="Arial"/>
      <w:kern w:val="2"/>
      <w:sz w:val="21"/>
      <w:szCs w:val="21"/>
    </w:rPr>
  </w:style>
  <w:style w:type="character" w:customStyle="1" w:styleId="163">
    <w:name w:val="标题 字符"/>
    <w:link w:val="84"/>
    <w:autoRedefine/>
    <w:qFormat/>
    <w:uiPriority w:val="10"/>
    <w:rPr>
      <w:rFonts w:ascii="Cambria" w:hAnsi="Cambria"/>
      <w:b/>
      <w:bCs/>
      <w:kern w:val="2"/>
      <w:sz w:val="32"/>
      <w:szCs w:val="32"/>
    </w:rPr>
  </w:style>
  <w:style w:type="character" w:customStyle="1" w:styleId="164">
    <w:name w:val="标题 3 Char"/>
    <w:autoRedefine/>
    <w:qFormat/>
    <w:uiPriority w:val="0"/>
    <w:rPr>
      <w:b/>
      <w:bCs/>
      <w:sz w:val="32"/>
      <w:szCs w:val="32"/>
    </w:rPr>
  </w:style>
  <w:style w:type="character" w:customStyle="1" w:styleId="165">
    <w:name w:val="标题 1 1 Char"/>
    <w:autoRedefine/>
    <w:qFormat/>
    <w:locked/>
    <w:uiPriority w:val="0"/>
    <w:rPr>
      <w:rFonts w:eastAsia="宋体"/>
      <w:kern w:val="2"/>
      <w:sz w:val="28"/>
      <w:szCs w:val="24"/>
      <w:lang w:val="en-US" w:eastAsia="zh-CN" w:bidi="ar-SA"/>
    </w:rPr>
  </w:style>
  <w:style w:type="character" w:customStyle="1" w:styleId="166">
    <w:name w:val="apple-style-span"/>
    <w:autoRedefine/>
    <w:qFormat/>
    <w:uiPriority w:val="0"/>
  </w:style>
  <w:style w:type="character" w:customStyle="1" w:styleId="167">
    <w:name w:val="章 Char"/>
    <w:autoRedefine/>
    <w:qFormat/>
    <w:locked/>
    <w:uiPriority w:val="0"/>
    <w:rPr>
      <w:rFonts w:eastAsia="宋体"/>
      <w:sz w:val="24"/>
      <w:lang w:val="en-US" w:eastAsia="zh-CN" w:bidi="ar-SA"/>
    </w:rPr>
  </w:style>
  <w:style w:type="character" w:customStyle="1" w:styleId="168">
    <w:name w:val="页眉 Char1"/>
    <w:autoRedefine/>
    <w:semiHidden/>
    <w:qFormat/>
    <w:uiPriority w:val="0"/>
    <w:rPr>
      <w:rFonts w:ascii="Times New Roman" w:hAnsi="Times New Roman" w:eastAsia="宋体" w:cs="Times New Roman"/>
      <w:sz w:val="18"/>
      <w:szCs w:val="18"/>
    </w:rPr>
  </w:style>
  <w:style w:type="character" w:customStyle="1" w:styleId="169">
    <w:name w:val="+正文 Char Char"/>
    <w:link w:val="170"/>
    <w:autoRedefine/>
    <w:qFormat/>
    <w:uiPriority w:val="0"/>
    <w:rPr>
      <w:rFonts w:ascii="楷体_GB2312"/>
      <w:sz w:val="24"/>
    </w:rPr>
  </w:style>
  <w:style w:type="paragraph" w:customStyle="1" w:styleId="170">
    <w:name w:val="+正文 Char Char Char"/>
    <w:basedOn w:val="1"/>
    <w:link w:val="169"/>
    <w:autoRedefine/>
    <w:qFormat/>
    <w:uiPriority w:val="0"/>
    <w:pPr>
      <w:spacing w:line="360" w:lineRule="auto"/>
      <w:ind w:firstLine="200" w:firstLineChars="200"/>
    </w:pPr>
    <w:rPr>
      <w:rFonts w:ascii="楷体_GB2312" w:hAnsi="等线" w:eastAsia="等线"/>
      <w:kern w:val="0"/>
      <w:sz w:val="24"/>
      <w:szCs w:val="20"/>
    </w:rPr>
  </w:style>
  <w:style w:type="character" w:customStyle="1" w:styleId="171">
    <w:name w:val="（1） Char"/>
    <w:autoRedefine/>
    <w:qFormat/>
    <w:locked/>
    <w:uiPriority w:val="0"/>
    <w:rPr>
      <w:rFonts w:eastAsia="宋体"/>
      <w:b/>
      <w:sz w:val="24"/>
      <w:szCs w:val="24"/>
      <w:lang w:val="en-US" w:eastAsia="zh-CN" w:bidi="ar-SA"/>
    </w:rPr>
  </w:style>
  <w:style w:type="character" w:customStyle="1" w:styleId="172">
    <w:name w:val="批注框文本 Char"/>
    <w:autoRedefine/>
    <w:qFormat/>
    <w:locked/>
    <w:uiPriority w:val="0"/>
    <w:rPr>
      <w:sz w:val="18"/>
      <w:szCs w:val="18"/>
    </w:rPr>
  </w:style>
  <w:style w:type="character" w:customStyle="1" w:styleId="173">
    <w:name w:val="+正文 Char5 Char Char Char Char Char"/>
    <w:link w:val="174"/>
    <w:autoRedefine/>
    <w:qFormat/>
    <w:uiPriority w:val="0"/>
    <w:rPr>
      <w:rFonts w:ascii="宋体" w:hAnsi="宋体"/>
      <w:sz w:val="24"/>
    </w:rPr>
  </w:style>
  <w:style w:type="paragraph" w:customStyle="1" w:styleId="174">
    <w:name w:val="+正文 Char5 Char Char Char"/>
    <w:basedOn w:val="1"/>
    <w:link w:val="173"/>
    <w:autoRedefine/>
    <w:qFormat/>
    <w:uiPriority w:val="0"/>
    <w:pPr>
      <w:spacing w:line="360" w:lineRule="auto"/>
      <w:ind w:firstLine="200" w:firstLineChars="200"/>
    </w:pPr>
    <w:rPr>
      <w:rFonts w:ascii="宋体" w:hAnsi="宋体" w:eastAsia="等线"/>
      <w:kern w:val="0"/>
      <w:sz w:val="24"/>
      <w:szCs w:val="20"/>
    </w:rPr>
  </w:style>
  <w:style w:type="character" w:customStyle="1" w:styleId="175">
    <w:name w:val="一 Char"/>
    <w:autoRedefine/>
    <w:qFormat/>
    <w:locked/>
    <w:uiPriority w:val="0"/>
    <w:rPr>
      <w:rFonts w:eastAsia="宋体"/>
      <w:sz w:val="24"/>
      <w:szCs w:val="24"/>
      <w:lang w:val="en-US" w:eastAsia="zh-CN" w:bidi="ar-SA"/>
    </w:rPr>
  </w:style>
  <w:style w:type="character" w:customStyle="1" w:styleId="176">
    <w:name w:val="普通文字 Char Char2"/>
    <w:autoRedefine/>
    <w:qFormat/>
    <w:locked/>
    <w:uiPriority w:val="0"/>
    <w:rPr>
      <w:rFonts w:ascii="宋体" w:hAnsi="Courier New" w:eastAsia="宋体"/>
    </w:rPr>
  </w:style>
  <w:style w:type="character" w:customStyle="1" w:styleId="177">
    <w:name w:val="书籍标题3"/>
    <w:autoRedefine/>
    <w:qFormat/>
    <w:uiPriority w:val="33"/>
    <w:rPr>
      <w:b/>
      <w:bCs/>
      <w:smallCaps/>
      <w:spacing w:val="5"/>
    </w:rPr>
  </w:style>
  <w:style w:type="character" w:customStyle="1" w:styleId="178">
    <w:name w:val="文档结构图 Char"/>
    <w:autoRedefine/>
    <w:qFormat/>
    <w:locked/>
    <w:uiPriority w:val="0"/>
    <w:rPr>
      <w:szCs w:val="24"/>
      <w:shd w:val="clear" w:color="auto" w:fill="000080"/>
    </w:rPr>
  </w:style>
  <w:style w:type="character" w:customStyle="1" w:styleId="179">
    <w:name w:val="正文文本缩进 2 Char1"/>
    <w:autoRedefine/>
    <w:qFormat/>
    <w:locked/>
    <w:uiPriority w:val="0"/>
    <w:rPr>
      <w:rFonts w:ascii="Times New Roman" w:hAnsi="Times New Roman" w:eastAsia="宋体" w:cs="Times New Roman"/>
      <w:szCs w:val="24"/>
    </w:rPr>
  </w:style>
  <w:style w:type="character" w:customStyle="1" w:styleId="180">
    <w:name w:val="+正文 Char2 Char"/>
    <w:autoRedefine/>
    <w:qFormat/>
    <w:locked/>
    <w:uiPriority w:val="0"/>
    <w:rPr>
      <w:rFonts w:ascii="宋体" w:hAnsi="宋体"/>
      <w:sz w:val="24"/>
      <w:szCs w:val="28"/>
    </w:rPr>
  </w:style>
  <w:style w:type="character" w:customStyle="1" w:styleId="181">
    <w:name w:val="正文文本缩进 Char1"/>
    <w:autoRedefine/>
    <w:semiHidden/>
    <w:qFormat/>
    <w:uiPriority w:val="0"/>
    <w:rPr>
      <w:rFonts w:ascii="Times New Roman" w:hAnsi="Times New Roman"/>
      <w:kern w:val="2"/>
      <w:sz w:val="21"/>
      <w:szCs w:val="24"/>
    </w:rPr>
  </w:style>
  <w:style w:type="character" w:customStyle="1" w:styleId="182">
    <w:name w:val="不明显参考3"/>
    <w:autoRedefine/>
    <w:qFormat/>
    <w:uiPriority w:val="31"/>
    <w:rPr>
      <w:smallCaps/>
      <w:color w:val="C0504D"/>
      <w:u w:val="single"/>
    </w:rPr>
  </w:style>
  <w:style w:type="character" w:customStyle="1" w:styleId="183">
    <w:name w:val="PIM 9 Char Char"/>
    <w:autoRedefine/>
    <w:qFormat/>
    <w:locked/>
    <w:uiPriority w:val="0"/>
    <w:rPr>
      <w:rFonts w:eastAsia="宋体"/>
      <w:b/>
      <w:sz w:val="24"/>
      <w:szCs w:val="24"/>
      <w:lang w:val="en-US" w:eastAsia="zh-CN" w:bidi="ar-SA"/>
    </w:rPr>
  </w:style>
  <w:style w:type="character" w:customStyle="1" w:styleId="184">
    <w:name w:val="明显引用 Char"/>
    <w:autoRedefine/>
    <w:qFormat/>
    <w:uiPriority w:val="0"/>
    <w:rPr>
      <w:rFonts w:ascii="Calibri" w:hAnsi="Calibri"/>
      <w:b/>
      <w:bCs/>
      <w:i/>
      <w:iCs/>
      <w:color w:val="4F81BD"/>
      <w:sz w:val="22"/>
      <w:lang w:eastAsia="en-US" w:bidi="en-US"/>
    </w:rPr>
  </w:style>
  <w:style w:type="paragraph" w:styleId="185">
    <w:name w:val="Intense Quote"/>
    <w:basedOn w:val="1"/>
    <w:next w:val="1"/>
    <w:link w:val="186"/>
    <w:autoRedefine/>
    <w:qFormat/>
    <w:uiPriority w:val="30"/>
    <w:pPr>
      <w:widowControl/>
      <w:pBdr>
        <w:bottom w:val="single" w:color="4F81BD" w:sz="4" w:space="4"/>
      </w:pBdr>
      <w:spacing w:before="200" w:after="280" w:line="276" w:lineRule="auto"/>
      <w:ind w:left="936" w:right="936"/>
      <w:jc w:val="left"/>
    </w:pPr>
    <w:rPr>
      <w:rFonts w:eastAsia="等线"/>
      <w:b/>
      <w:bCs/>
      <w:i/>
      <w:iCs/>
      <w:color w:val="4F81BD"/>
      <w:sz w:val="22"/>
      <w:szCs w:val="22"/>
      <w:lang w:eastAsia="en-US" w:bidi="en-US"/>
    </w:rPr>
  </w:style>
  <w:style w:type="character" w:customStyle="1" w:styleId="186">
    <w:name w:val="明显引用 字符"/>
    <w:link w:val="185"/>
    <w:autoRedefine/>
    <w:qFormat/>
    <w:uiPriority w:val="30"/>
    <w:rPr>
      <w:rFonts w:ascii="Calibri" w:hAnsi="Calibri"/>
      <w:b/>
      <w:bCs/>
      <w:i/>
      <w:iCs/>
      <w:color w:val="4F81BD"/>
      <w:kern w:val="2"/>
      <w:sz w:val="22"/>
      <w:szCs w:val="22"/>
      <w:lang w:eastAsia="en-US" w:bidi="en-US"/>
    </w:rPr>
  </w:style>
  <w:style w:type="character" w:customStyle="1" w:styleId="187">
    <w:name w:val="+正文 Char2 Char Char"/>
    <w:link w:val="188"/>
    <w:autoRedefine/>
    <w:qFormat/>
    <w:uiPriority w:val="0"/>
    <w:rPr>
      <w:rFonts w:ascii="宋体" w:hAnsi="宋体"/>
      <w:sz w:val="24"/>
    </w:rPr>
  </w:style>
  <w:style w:type="paragraph" w:customStyle="1" w:styleId="188">
    <w:name w:val="+正文 Char2"/>
    <w:basedOn w:val="1"/>
    <w:link w:val="187"/>
    <w:autoRedefine/>
    <w:qFormat/>
    <w:uiPriority w:val="0"/>
    <w:pPr>
      <w:spacing w:line="360" w:lineRule="auto"/>
      <w:ind w:firstLine="200" w:firstLineChars="200"/>
    </w:pPr>
    <w:rPr>
      <w:rFonts w:ascii="宋体" w:hAnsi="宋体" w:eastAsia="等线"/>
      <w:kern w:val="0"/>
      <w:sz w:val="24"/>
      <w:szCs w:val="20"/>
    </w:rPr>
  </w:style>
  <w:style w:type="character" w:customStyle="1" w:styleId="189">
    <w:name w:val="ind:txt Char"/>
    <w:autoRedefine/>
    <w:qFormat/>
    <w:uiPriority w:val="0"/>
    <w:rPr>
      <w:rFonts w:eastAsia="宋体"/>
      <w:kern w:val="2"/>
      <w:sz w:val="28"/>
      <w:szCs w:val="24"/>
      <w:lang w:val="en-US" w:eastAsia="zh-CN" w:bidi="ar-SA"/>
    </w:rPr>
  </w:style>
  <w:style w:type="character" w:customStyle="1" w:styleId="190">
    <w:name w:val="明显参考1"/>
    <w:autoRedefine/>
    <w:qFormat/>
    <w:uiPriority w:val="32"/>
    <w:rPr>
      <w:b/>
      <w:bCs/>
      <w:smallCaps/>
      <w:color w:val="C0504D"/>
      <w:spacing w:val="5"/>
      <w:u w:val="single"/>
    </w:rPr>
  </w:style>
  <w:style w:type="character" w:customStyle="1" w:styleId="191">
    <w:name w:val="+1. Char Char Char"/>
    <w:link w:val="192"/>
    <w:autoRedefine/>
    <w:qFormat/>
    <w:uiPriority w:val="0"/>
    <w:rPr>
      <w:rFonts w:ascii="楷体_GB2312"/>
      <w:sz w:val="24"/>
    </w:rPr>
  </w:style>
  <w:style w:type="paragraph" w:customStyle="1" w:styleId="192">
    <w:name w:val="+1. Char"/>
    <w:basedOn w:val="170"/>
    <w:link w:val="191"/>
    <w:autoRedefine/>
    <w:qFormat/>
    <w:uiPriority w:val="0"/>
    <w:pPr>
      <w:ind w:firstLine="0" w:firstLineChars="0"/>
    </w:pPr>
  </w:style>
  <w:style w:type="character" w:customStyle="1" w:styleId="193">
    <w:name w:val="书籍标题1"/>
    <w:autoRedefine/>
    <w:qFormat/>
    <w:uiPriority w:val="33"/>
    <w:rPr>
      <w:b/>
      <w:bCs/>
      <w:smallCaps/>
      <w:spacing w:val="5"/>
    </w:rPr>
  </w:style>
  <w:style w:type="character" w:customStyle="1" w:styleId="194">
    <w:name w:val="正文文本 Char1"/>
    <w:autoRedefine/>
    <w:qFormat/>
    <w:uiPriority w:val="0"/>
    <w:rPr>
      <w:rFonts w:ascii="Times New Roman" w:hAnsi="Times New Roman"/>
      <w:kern w:val="2"/>
      <w:sz w:val="21"/>
      <w:szCs w:val="24"/>
    </w:rPr>
  </w:style>
  <w:style w:type="character" w:customStyle="1" w:styleId="195">
    <w:name w:val="正文文本缩进 Char"/>
    <w:autoRedefine/>
    <w:qFormat/>
    <w:locked/>
    <w:uiPriority w:val="0"/>
    <w:rPr>
      <w:rFonts w:ascii="宋体"/>
      <w:sz w:val="28"/>
    </w:rPr>
  </w:style>
  <w:style w:type="character" w:customStyle="1" w:styleId="196">
    <w:name w:val="+正文 Char5 Char Char Char Char"/>
    <w:autoRedefine/>
    <w:qFormat/>
    <w:locked/>
    <w:uiPriority w:val="0"/>
    <w:rPr>
      <w:rFonts w:ascii="宋体" w:hAnsi="宋体"/>
      <w:sz w:val="24"/>
      <w:szCs w:val="24"/>
    </w:rPr>
  </w:style>
  <w:style w:type="character" w:customStyle="1" w:styleId="197">
    <w:name w:val="样式 (西文) 宋体 小四 黑色"/>
    <w:autoRedefine/>
    <w:qFormat/>
    <w:uiPriority w:val="0"/>
    <w:rPr>
      <w:rFonts w:hint="eastAsia" w:ascii="宋体" w:hAnsi="宋体" w:eastAsia="宋体"/>
      <w:color w:val="000000"/>
      <w:sz w:val="21"/>
    </w:rPr>
  </w:style>
  <w:style w:type="character" w:customStyle="1" w:styleId="198">
    <w:name w:val="明显强调2"/>
    <w:autoRedefine/>
    <w:qFormat/>
    <w:uiPriority w:val="21"/>
    <w:rPr>
      <w:b/>
      <w:bCs/>
      <w:i/>
      <w:iCs/>
      <w:color w:val="4F81BD"/>
    </w:rPr>
  </w:style>
  <w:style w:type="character" w:customStyle="1" w:styleId="199">
    <w:name w:val="HTML 预设格式 Char1"/>
    <w:autoRedefine/>
    <w:qFormat/>
    <w:locked/>
    <w:uiPriority w:val="99"/>
    <w:rPr>
      <w:rFonts w:ascii="Arial" w:hAnsi="Arial" w:cs="Arial"/>
      <w:szCs w:val="21"/>
    </w:rPr>
  </w:style>
  <w:style w:type="character" w:customStyle="1" w:styleId="200">
    <w:name w:val="正文文本缩进 2 Char2"/>
    <w:autoRedefine/>
    <w:semiHidden/>
    <w:qFormat/>
    <w:uiPriority w:val="99"/>
    <w:rPr>
      <w:rFonts w:ascii="Times New Roman" w:hAnsi="Times New Roman" w:eastAsia="宋体" w:cs="Times New Roman"/>
      <w:szCs w:val="24"/>
    </w:rPr>
  </w:style>
  <w:style w:type="character" w:customStyle="1" w:styleId="201">
    <w:name w:val="+正文 Char Char3 Char Char Char Char"/>
    <w:link w:val="202"/>
    <w:autoRedefine/>
    <w:qFormat/>
    <w:uiPriority w:val="0"/>
    <w:rPr>
      <w:rFonts w:ascii="宋体" w:hAnsi="宋体"/>
      <w:sz w:val="24"/>
    </w:rPr>
  </w:style>
  <w:style w:type="paragraph" w:customStyle="1" w:styleId="202">
    <w:name w:val="+正文 Char Char3 Char Char"/>
    <w:basedOn w:val="1"/>
    <w:link w:val="201"/>
    <w:autoRedefine/>
    <w:qFormat/>
    <w:uiPriority w:val="0"/>
    <w:pPr>
      <w:spacing w:line="360" w:lineRule="auto"/>
      <w:ind w:firstLine="200" w:firstLineChars="200"/>
    </w:pPr>
    <w:rPr>
      <w:rFonts w:ascii="宋体" w:hAnsi="宋体" w:eastAsia="等线"/>
      <w:kern w:val="0"/>
      <w:sz w:val="24"/>
      <w:szCs w:val="20"/>
    </w:rPr>
  </w:style>
  <w:style w:type="character" w:customStyle="1" w:styleId="203">
    <w:name w:val="正文缩进 Char Char"/>
    <w:autoRedefine/>
    <w:qFormat/>
    <w:uiPriority w:val="0"/>
    <w:rPr>
      <w:rFonts w:ascii="宋体" w:hAnsi="宋体" w:eastAsia="宋体"/>
      <w:kern w:val="2"/>
      <w:sz w:val="28"/>
      <w:szCs w:val="24"/>
      <w:lang w:val="en-US" w:eastAsia="zh-CN" w:bidi="ar-SA"/>
    </w:rPr>
  </w:style>
  <w:style w:type="character" w:customStyle="1" w:styleId="204">
    <w:name w:val="style18"/>
    <w:basedOn w:val="90"/>
    <w:autoRedefine/>
    <w:qFormat/>
    <w:uiPriority w:val="0"/>
  </w:style>
  <w:style w:type="character" w:customStyle="1" w:styleId="205">
    <w:name w:val="+列表1 Char Char Char Char Char"/>
    <w:link w:val="206"/>
    <w:autoRedefine/>
    <w:qFormat/>
    <w:uiPriority w:val="0"/>
    <w:rPr>
      <w:rFonts w:ascii="宋体" w:hAnsi="宋体"/>
    </w:rPr>
  </w:style>
  <w:style w:type="paragraph" w:customStyle="1" w:styleId="206">
    <w:name w:val="+列表1 Char Char Char"/>
    <w:basedOn w:val="1"/>
    <w:link w:val="205"/>
    <w:autoRedefine/>
    <w:qFormat/>
    <w:uiPriority w:val="0"/>
    <w:pPr>
      <w:jc w:val="center"/>
    </w:pPr>
    <w:rPr>
      <w:rFonts w:ascii="宋体" w:hAnsi="宋体" w:eastAsia="等线"/>
      <w:kern w:val="0"/>
      <w:sz w:val="20"/>
      <w:szCs w:val="20"/>
    </w:rPr>
  </w:style>
  <w:style w:type="character" w:customStyle="1" w:styleId="207">
    <w:name w:val="不明显强调1"/>
    <w:autoRedefine/>
    <w:qFormat/>
    <w:uiPriority w:val="19"/>
    <w:rPr>
      <w:i/>
      <w:iCs/>
      <w:color w:val="808080"/>
    </w:rPr>
  </w:style>
  <w:style w:type="character" w:customStyle="1" w:styleId="208">
    <w:name w:val="正文文本 3 Char"/>
    <w:autoRedefine/>
    <w:qFormat/>
    <w:locked/>
    <w:uiPriority w:val="0"/>
    <w:rPr>
      <w:sz w:val="16"/>
      <w:szCs w:val="16"/>
    </w:rPr>
  </w:style>
  <w:style w:type="character" w:customStyle="1" w:styleId="209">
    <w:name w:val="批注文字 Char2"/>
    <w:autoRedefine/>
    <w:qFormat/>
    <w:uiPriority w:val="0"/>
    <w:rPr>
      <w:rFonts w:ascii="Times New Roman" w:hAnsi="Times New Roman" w:eastAsia="宋体" w:cs="Times New Roman"/>
      <w:szCs w:val="24"/>
    </w:rPr>
  </w:style>
  <w:style w:type="character" w:customStyle="1" w:styleId="210">
    <w:name w:val="不明显参考2"/>
    <w:autoRedefine/>
    <w:qFormat/>
    <w:uiPriority w:val="31"/>
    <w:rPr>
      <w:smallCaps/>
      <w:color w:val="C0504D"/>
      <w:u w:val="single"/>
    </w:rPr>
  </w:style>
  <w:style w:type="character" w:customStyle="1" w:styleId="211">
    <w:name w:val="标题 1.1 Char"/>
    <w:autoRedefine/>
    <w:qFormat/>
    <w:locked/>
    <w:uiPriority w:val="0"/>
    <w:rPr>
      <w:rFonts w:eastAsia="黑体"/>
      <w:kern w:val="2"/>
      <w:sz w:val="28"/>
      <w:szCs w:val="32"/>
      <w:lang w:val="en-US" w:eastAsia="zh-CN" w:bidi="ar-SA"/>
    </w:rPr>
  </w:style>
  <w:style w:type="character" w:customStyle="1" w:styleId="212">
    <w:name w:val="h6 Char"/>
    <w:autoRedefine/>
    <w:qFormat/>
    <w:locked/>
    <w:uiPriority w:val="0"/>
    <w:rPr>
      <w:rFonts w:eastAsia="宋体"/>
      <w:sz w:val="24"/>
      <w:szCs w:val="24"/>
      <w:lang w:val="en-US" w:eastAsia="zh-CN" w:bidi="ar-SA"/>
    </w:rPr>
  </w:style>
  <w:style w:type="character" w:customStyle="1" w:styleId="213">
    <w:name w:val="正文文本缩进 3 Char1"/>
    <w:autoRedefine/>
    <w:qFormat/>
    <w:uiPriority w:val="0"/>
    <w:rPr>
      <w:kern w:val="2"/>
      <w:sz w:val="16"/>
      <w:szCs w:val="16"/>
    </w:rPr>
  </w:style>
  <w:style w:type="character" w:customStyle="1" w:styleId="214">
    <w:name w:val="副标题 Char"/>
    <w:autoRedefine/>
    <w:qFormat/>
    <w:locked/>
    <w:uiPriority w:val="11"/>
    <w:rPr>
      <w:rFonts w:ascii="黑体" w:hAnsi="黑体" w:eastAsia="黑体"/>
      <w:bCs/>
      <w:kern w:val="28"/>
      <w:sz w:val="24"/>
      <w:szCs w:val="32"/>
    </w:rPr>
  </w:style>
  <w:style w:type="character" w:customStyle="1" w:styleId="215">
    <w:name w:val="明显引用 Char1"/>
    <w:autoRedefine/>
    <w:qFormat/>
    <w:uiPriority w:val="30"/>
    <w:rPr>
      <w:b/>
      <w:bCs/>
      <w:i/>
      <w:iCs/>
      <w:color w:val="4F81BD"/>
      <w:kern w:val="2"/>
      <w:sz w:val="21"/>
      <w:szCs w:val="24"/>
    </w:rPr>
  </w:style>
  <w:style w:type="character" w:customStyle="1" w:styleId="216">
    <w:name w:val="+正文 Char4"/>
    <w:link w:val="217"/>
    <w:autoRedefine/>
    <w:qFormat/>
    <w:uiPriority w:val="0"/>
    <w:rPr>
      <w:rFonts w:ascii="宋体" w:hAnsi="宋体"/>
      <w:sz w:val="24"/>
    </w:rPr>
  </w:style>
  <w:style w:type="paragraph" w:customStyle="1" w:styleId="217">
    <w:name w:val="+正文"/>
    <w:basedOn w:val="1"/>
    <w:link w:val="216"/>
    <w:autoRedefine/>
    <w:qFormat/>
    <w:uiPriority w:val="0"/>
    <w:pPr>
      <w:spacing w:line="360" w:lineRule="auto"/>
      <w:ind w:firstLine="200" w:firstLineChars="200"/>
    </w:pPr>
    <w:rPr>
      <w:rFonts w:ascii="宋体" w:hAnsi="宋体" w:eastAsia="等线"/>
      <w:kern w:val="0"/>
      <w:sz w:val="24"/>
      <w:szCs w:val="20"/>
    </w:rPr>
  </w:style>
  <w:style w:type="character" w:customStyle="1" w:styleId="218">
    <w:name w:val="正文文本缩进 2 Char"/>
    <w:autoRedefine/>
    <w:qFormat/>
    <w:locked/>
    <w:uiPriority w:val="0"/>
    <w:rPr>
      <w:szCs w:val="24"/>
    </w:rPr>
  </w:style>
  <w:style w:type="character" w:customStyle="1" w:styleId="219">
    <w:name w:val="日期 Char1"/>
    <w:autoRedefine/>
    <w:semiHidden/>
    <w:qFormat/>
    <w:locked/>
    <w:uiPriority w:val="99"/>
    <w:rPr>
      <w:rFonts w:ascii="Times New Roman" w:hAnsi="Times New Roman" w:eastAsia="宋体" w:cs="Times New Roman"/>
      <w:szCs w:val="20"/>
    </w:rPr>
  </w:style>
  <w:style w:type="character" w:customStyle="1" w:styleId="220">
    <w:name w:val="明显强调3"/>
    <w:autoRedefine/>
    <w:qFormat/>
    <w:uiPriority w:val="21"/>
    <w:rPr>
      <w:b/>
      <w:bCs/>
      <w:i/>
      <w:iCs/>
      <w:color w:val="4F81BD"/>
    </w:rPr>
  </w:style>
  <w:style w:type="character" w:customStyle="1" w:styleId="221">
    <w:name w:val="表文字 Char Char"/>
    <w:link w:val="222"/>
    <w:autoRedefine/>
    <w:qFormat/>
    <w:uiPriority w:val="0"/>
    <w:rPr>
      <w:rFonts w:ascii="楷体_GB2312" w:hAnsi="宋体" w:eastAsia="楷体_GB2312"/>
      <w:spacing w:val="-8"/>
      <w:sz w:val="24"/>
      <w:lang w:val="zh-CN"/>
    </w:rPr>
  </w:style>
  <w:style w:type="paragraph" w:customStyle="1" w:styleId="222">
    <w:name w:val="表文字"/>
    <w:basedOn w:val="1"/>
    <w:link w:val="221"/>
    <w:autoRedefine/>
    <w:qFormat/>
    <w:uiPriority w:val="0"/>
    <w:pPr>
      <w:adjustRightInd w:val="0"/>
      <w:snapToGrid w:val="0"/>
      <w:spacing w:line="320" w:lineRule="exact"/>
      <w:ind w:right="-31" w:rightChars="-31" w:firstLine="448" w:firstLineChars="200"/>
      <w:jc w:val="center"/>
    </w:pPr>
    <w:rPr>
      <w:rFonts w:ascii="楷体_GB2312" w:hAnsi="宋体" w:eastAsia="楷体_GB2312"/>
      <w:spacing w:val="-8"/>
      <w:kern w:val="0"/>
      <w:sz w:val="24"/>
      <w:szCs w:val="20"/>
      <w:lang w:val="zh-CN"/>
    </w:rPr>
  </w:style>
  <w:style w:type="character" w:customStyle="1" w:styleId="223">
    <w:name w:val="（A） Char Char"/>
    <w:autoRedefine/>
    <w:qFormat/>
    <w:locked/>
    <w:uiPriority w:val="0"/>
    <w:rPr>
      <w:rFonts w:eastAsia="宋体"/>
      <w:b/>
      <w:sz w:val="24"/>
      <w:szCs w:val="24"/>
      <w:lang w:val="en-US" w:eastAsia="zh-CN" w:bidi="ar-SA"/>
    </w:rPr>
  </w:style>
  <w:style w:type="character" w:customStyle="1" w:styleId="224">
    <w:name w:val="列表编号3 Char"/>
    <w:autoRedefine/>
    <w:qFormat/>
    <w:locked/>
    <w:uiPriority w:val="0"/>
    <w:rPr>
      <w:rFonts w:eastAsia="宋体"/>
      <w:kern w:val="2"/>
      <w:sz w:val="32"/>
      <w:szCs w:val="32"/>
      <w:lang w:val="en-US" w:eastAsia="zh-CN" w:bidi="ar-SA"/>
    </w:rPr>
  </w:style>
  <w:style w:type="character" w:customStyle="1" w:styleId="225">
    <w:name w:val="Char Char8"/>
    <w:autoRedefine/>
    <w:qFormat/>
    <w:locked/>
    <w:uiPriority w:val="0"/>
    <w:rPr>
      <w:rFonts w:ascii="宋体" w:hAnsi="宋体" w:eastAsia="宋体"/>
      <w:b/>
      <w:kern w:val="2"/>
      <w:sz w:val="18"/>
      <w:szCs w:val="24"/>
      <w:lang w:val="en-US" w:eastAsia="zh-CN" w:bidi="ar-SA"/>
    </w:rPr>
  </w:style>
  <w:style w:type="character" w:customStyle="1" w:styleId="226">
    <w:name w:val="普通(网站) Char1"/>
    <w:autoRedefine/>
    <w:semiHidden/>
    <w:qFormat/>
    <w:locked/>
    <w:uiPriority w:val="99"/>
    <w:rPr>
      <w:rFonts w:ascii="Times New Roman" w:hAnsi="Times New Roman"/>
      <w:kern w:val="2"/>
      <w:sz w:val="18"/>
      <w:szCs w:val="18"/>
    </w:rPr>
  </w:style>
  <w:style w:type="character" w:customStyle="1" w:styleId="227">
    <w:name w:val="标题 3 Char1"/>
    <w:autoRedefine/>
    <w:semiHidden/>
    <w:qFormat/>
    <w:uiPriority w:val="0"/>
    <w:rPr>
      <w:b/>
      <w:bCs/>
      <w:kern w:val="2"/>
      <w:sz w:val="32"/>
      <w:szCs w:val="32"/>
    </w:rPr>
  </w:style>
  <w:style w:type="character" w:customStyle="1" w:styleId="228">
    <w:name w:val="日期 Char"/>
    <w:autoRedefine/>
    <w:qFormat/>
    <w:locked/>
    <w:uiPriority w:val="0"/>
  </w:style>
  <w:style w:type="character" w:customStyle="1" w:styleId="229">
    <w:name w:val="+列表1 Char Char Char Char"/>
    <w:autoRedefine/>
    <w:qFormat/>
    <w:locked/>
    <w:uiPriority w:val="0"/>
    <w:rPr>
      <w:rFonts w:ascii="宋体" w:hAnsi="宋体"/>
      <w:szCs w:val="24"/>
    </w:rPr>
  </w:style>
  <w:style w:type="character" w:customStyle="1" w:styleId="230">
    <w:name w:val="批注框文本 Char1"/>
    <w:autoRedefine/>
    <w:qFormat/>
    <w:uiPriority w:val="0"/>
    <w:rPr>
      <w:rFonts w:ascii="Times New Roman" w:hAnsi="Times New Roman"/>
      <w:kern w:val="2"/>
      <w:sz w:val="18"/>
      <w:szCs w:val="18"/>
    </w:rPr>
  </w:style>
  <w:style w:type="character" w:customStyle="1" w:styleId="231">
    <w:name w:val="正文文本缩进 3 Char2"/>
    <w:autoRedefine/>
    <w:semiHidden/>
    <w:qFormat/>
    <w:uiPriority w:val="99"/>
    <w:rPr>
      <w:rFonts w:ascii="Times New Roman" w:hAnsi="Times New Roman" w:eastAsia="宋体" w:cs="Times New Roman"/>
      <w:sz w:val="16"/>
      <w:szCs w:val="16"/>
    </w:rPr>
  </w:style>
  <w:style w:type="character" w:customStyle="1" w:styleId="232">
    <w:name w:val="样式 标题 2标题 1.1编号标题21.1head:2#2 headlinehheadlineS&amp;R2ERMH...1 Char"/>
    <w:autoRedefine/>
    <w:qFormat/>
    <w:uiPriority w:val="0"/>
    <w:rPr>
      <w:rFonts w:eastAsia="黑体"/>
      <w:b/>
      <w:bCs/>
      <w:kern w:val="2"/>
      <w:sz w:val="28"/>
      <w:szCs w:val="32"/>
      <w:lang w:val="en-US" w:eastAsia="zh-CN" w:bidi="ar-SA"/>
    </w:rPr>
  </w:style>
  <w:style w:type="character" w:customStyle="1" w:styleId="233">
    <w:name w:val="文档结构图 Char1"/>
    <w:autoRedefine/>
    <w:semiHidden/>
    <w:qFormat/>
    <w:uiPriority w:val="99"/>
    <w:rPr>
      <w:rFonts w:ascii="宋体" w:hAnsi="Times New Roman"/>
      <w:kern w:val="2"/>
      <w:sz w:val="18"/>
      <w:szCs w:val="18"/>
    </w:rPr>
  </w:style>
  <w:style w:type="character" w:customStyle="1" w:styleId="234">
    <w:name w:val="明显强调1"/>
    <w:autoRedefine/>
    <w:qFormat/>
    <w:uiPriority w:val="21"/>
    <w:rPr>
      <w:b/>
      <w:bCs/>
      <w:i/>
      <w:iCs/>
      <w:color w:val="4F81BD"/>
    </w:rPr>
  </w:style>
  <w:style w:type="character" w:customStyle="1" w:styleId="235">
    <w:name w:val="批注主题 Char2"/>
    <w:autoRedefine/>
    <w:semiHidden/>
    <w:qFormat/>
    <w:uiPriority w:val="99"/>
    <w:rPr>
      <w:rFonts w:ascii="Times New Roman" w:hAnsi="Times New Roman" w:eastAsia="宋体" w:cs="Times New Roman"/>
      <w:b/>
      <w:bCs/>
      <w:szCs w:val="24"/>
    </w:rPr>
  </w:style>
  <w:style w:type="character" w:customStyle="1" w:styleId="236">
    <w:name w:val="批注主题 Char1"/>
    <w:autoRedefine/>
    <w:qFormat/>
    <w:uiPriority w:val="0"/>
    <w:rPr>
      <w:b/>
      <w:bCs/>
      <w:kern w:val="2"/>
      <w:sz w:val="21"/>
      <w:szCs w:val="24"/>
    </w:rPr>
  </w:style>
  <w:style w:type="character" w:customStyle="1" w:styleId="237">
    <w:name w:val="+正文 Char Char5 Char Char"/>
    <w:autoRedefine/>
    <w:qFormat/>
    <w:locked/>
    <w:uiPriority w:val="0"/>
    <w:rPr>
      <w:rFonts w:ascii="宋体" w:hAnsi="宋体"/>
      <w:sz w:val="24"/>
      <w:szCs w:val="24"/>
    </w:rPr>
  </w:style>
  <w:style w:type="character" w:customStyle="1" w:styleId="238">
    <w:name w:val="纯文本 Char1"/>
    <w:autoRedefine/>
    <w:qFormat/>
    <w:locked/>
    <w:uiPriority w:val="0"/>
    <w:rPr>
      <w:rFonts w:ascii="宋体" w:hAnsi="Courier New" w:eastAsia="宋体"/>
      <w:kern w:val="2"/>
      <w:sz w:val="21"/>
      <w:lang w:val="en-US" w:eastAsia="zh-CN" w:bidi="ar-SA"/>
    </w:rPr>
  </w:style>
  <w:style w:type="character" w:customStyle="1" w:styleId="239">
    <w:name w:val="正文文本 3 Char1"/>
    <w:autoRedefine/>
    <w:qFormat/>
    <w:uiPriority w:val="0"/>
    <w:rPr>
      <w:kern w:val="2"/>
      <w:sz w:val="16"/>
      <w:szCs w:val="16"/>
    </w:rPr>
  </w:style>
  <w:style w:type="character" w:customStyle="1" w:styleId="240">
    <w:name w:val="明显引用 Char2"/>
    <w:autoRedefine/>
    <w:qFormat/>
    <w:locked/>
    <w:uiPriority w:val="30"/>
    <w:rPr>
      <w:rFonts w:ascii="Calibri" w:hAnsi="Calibri"/>
      <w:b/>
      <w:bCs/>
      <w:i/>
      <w:iCs/>
      <w:color w:val="4F81BD"/>
      <w:sz w:val="22"/>
      <w:lang w:eastAsia="en-US" w:bidi="en-US"/>
    </w:rPr>
  </w:style>
  <w:style w:type="character" w:customStyle="1" w:styleId="241">
    <w:name w:val="引用 Char2"/>
    <w:autoRedefine/>
    <w:qFormat/>
    <w:uiPriority w:val="29"/>
    <w:rPr>
      <w:rFonts w:ascii="Times New Roman" w:hAnsi="Times New Roman" w:eastAsia="宋体" w:cs="Times New Roman"/>
      <w:i/>
      <w:iCs/>
      <w:color w:val="000000"/>
      <w:szCs w:val="24"/>
    </w:rPr>
  </w:style>
  <w:style w:type="character" w:customStyle="1" w:styleId="242">
    <w:name w:val="明显引用 Char3"/>
    <w:link w:val="243"/>
    <w:autoRedefine/>
    <w:qFormat/>
    <w:uiPriority w:val="30"/>
    <w:rPr>
      <w:b/>
      <w:bCs/>
      <w:i/>
      <w:iCs/>
      <w:color w:val="4F81BD"/>
      <w:szCs w:val="24"/>
    </w:rPr>
  </w:style>
  <w:style w:type="paragraph" w:customStyle="1" w:styleId="243">
    <w:name w:val="明显引用1"/>
    <w:basedOn w:val="1"/>
    <w:next w:val="1"/>
    <w:link w:val="242"/>
    <w:autoRedefine/>
    <w:qFormat/>
    <w:uiPriority w:val="30"/>
    <w:pPr>
      <w:pBdr>
        <w:bottom w:val="single" w:color="4F81BD" w:sz="4" w:space="4"/>
      </w:pBdr>
      <w:spacing w:before="200" w:after="280"/>
      <w:ind w:left="936" w:right="936"/>
    </w:pPr>
    <w:rPr>
      <w:rFonts w:ascii="等线" w:hAnsi="等线" w:eastAsia="等线"/>
      <w:b/>
      <w:bCs/>
      <w:i/>
      <w:iCs/>
      <w:color w:val="4F81BD"/>
      <w:kern w:val="0"/>
      <w:sz w:val="20"/>
    </w:rPr>
  </w:style>
  <w:style w:type="character" w:customStyle="1" w:styleId="244">
    <w:name w:val="书籍标题2"/>
    <w:autoRedefine/>
    <w:qFormat/>
    <w:uiPriority w:val="33"/>
    <w:rPr>
      <w:b/>
      <w:bCs/>
      <w:smallCaps/>
      <w:spacing w:val="5"/>
    </w:rPr>
  </w:style>
  <w:style w:type="character" w:customStyle="1" w:styleId="245">
    <w:name w:val="+正文 Char Char2 Char Char"/>
    <w:autoRedefine/>
    <w:qFormat/>
    <w:locked/>
    <w:uiPriority w:val="0"/>
    <w:rPr>
      <w:rFonts w:ascii="宋体" w:hAnsi="宋体"/>
      <w:sz w:val="24"/>
      <w:szCs w:val="28"/>
    </w:rPr>
  </w:style>
  <w:style w:type="character" w:customStyle="1" w:styleId="246">
    <w:name w:val="批注框文本 Char2"/>
    <w:autoRedefine/>
    <w:semiHidden/>
    <w:qFormat/>
    <w:uiPriority w:val="99"/>
    <w:rPr>
      <w:rFonts w:ascii="Times New Roman" w:hAnsi="Times New Roman" w:eastAsia="宋体" w:cs="Times New Roman"/>
      <w:sz w:val="18"/>
      <w:szCs w:val="18"/>
    </w:rPr>
  </w:style>
  <w:style w:type="character" w:customStyle="1" w:styleId="247">
    <w:name w:val="不明显参考1"/>
    <w:autoRedefine/>
    <w:qFormat/>
    <w:uiPriority w:val="31"/>
    <w:rPr>
      <w:smallCaps/>
      <w:color w:val="C0504D"/>
      <w:u w:val="single"/>
    </w:rPr>
  </w:style>
  <w:style w:type="character" w:customStyle="1" w:styleId="248">
    <w:name w:val="不明显强调2"/>
    <w:autoRedefine/>
    <w:qFormat/>
    <w:uiPriority w:val="19"/>
    <w:rPr>
      <w:i/>
      <w:iCs/>
      <w:color w:val="808080"/>
    </w:rPr>
  </w:style>
  <w:style w:type="character" w:customStyle="1" w:styleId="249">
    <w:name w:val="+1. Char Char"/>
    <w:autoRedefine/>
    <w:qFormat/>
    <w:locked/>
    <w:uiPriority w:val="0"/>
    <w:rPr>
      <w:rFonts w:ascii="楷体_GB2312"/>
      <w:sz w:val="24"/>
      <w:szCs w:val="28"/>
    </w:rPr>
  </w:style>
  <w:style w:type="character" w:customStyle="1" w:styleId="250">
    <w:name w:val="标题 Char1"/>
    <w:autoRedefine/>
    <w:qFormat/>
    <w:uiPriority w:val="10"/>
    <w:rPr>
      <w:rFonts w:ascii="Cambria" w:hAnsi="Cambria" w:cs="Times New Roman"/>
      <w:b/>
      <w:bCs/>
      <w:kern w:val="2"/>
      <w:sz w:val="32"/>
      <w:szCs w:val="32"/>
    </w:rPr>
  </w:style>
  <w:style w:type="character" w:customStyle="1" w:styleId="251">
    <w:name w:val="正文文本 2 Char"/>
    <w:autoRedefine/>
    <w:qFormat/>
    <w:uiPriority w:val="0"/>
    <w:rPr>
      <w:szCs w:val="24"/>
    </w:rPr>
  </w:style>
  <w:style w:type="character" w:customStyle="1" w:styleId="252">
    <w:name w:val="标题 1 Char1"/>
    <w:autoRedefine/>
    <w:qFormat/>
    <w:uiPriority w:val="0"/>
    <w:rPr>
      <w:b/>
      <w:bCs/>
      <w:kern w:val="44"/>
      <w:sz w:val="44"/>
      <w:szCs w:val="44"/>
    </w:rPr>
  </w:style>
  <w:style w:type="character" w:customStyle="1" w:styleId="253">
    <w:name w:val="标题 Char"/>
    <w:autoRedefine/>
    <w:qFormat/>
    <w:locked/>
    <w:uiPriority w:val="10"/>
    <w:rPr>
      <w:rFonts w:ascii="Cambria" w:hAnsi="Cambria"/>
      <w:b/>
      <w:bCs/>
      <w:sz w:val="32"/>
      <w:szCs w:val="32"/>
    </w:rPr>
  </w:style>
  <w:style w:type="character" w:customStyle="1" w:styleId="254">
    <w:name w:val="正文文本 Char"/>
    <w:autoRedefine/>
    <w:qFormat/>
    <w:locked/>
    <w:uiPriority w:val="0"/>
    <w:rPr>
      <w:rFonts w:eastAsia="隶书"/>
      <w:b/>
      <w:sz w:val="44"/>
    </w:rPr>
  </w:style>
  <w:style w:type="character" w:customStyle="1" w:styleId="255">
    <w:name w:val="明显参考3"/>
    <w:autoRedefine/>
    <w:qFormat/>
    <w:uiPriority w:val="32"/>
    <w:rPr>
      <w:b/>
      <w:bCs/>
      <w:smallCaps/>
      <w:color w:val="C0504D"/>
      <w:spacing w:val="5"/>
      <w:u w:val="single"/>
    </w:rPr>
  </w:style>
  <w:style w:type="character" w:customStyle="1" w:styleId="256">
    <w:name w:val="表文字 Char"/>
    <w:autoRedefine/>
    <w:qFormat/>
    <w:locked/>
    <w:uiPriority w:val="0"/>
    <w:rPr>
      <w:rFonts w:ascii="楷体_GB2312" w:hAnsi="宋体" w:eastAsia="楷体_GB2312"/>
      <w:spacing w:val="-8"/>
      <w:sz w:val="24"/>
      <w:szCs w:val="24"/>
      <w:lang w:val="zh-CN"/>
    </w:rPr>
  </w:style>
  <w:style w:type="character" w:customStyle="1" w:styleId="257">
    <w:name w:val="+正文 Char Char5 Char Char Char"/>
    <w:link w:val="258"/>
    <w:autoRedefine/>
    <w:qFormat/>
    <w:uiPriority w:val="0"/>
    <w:rPr>
      <w:rFonts w:ascii="宋体" w:hAnsi="宋体"/>
      <w:sz w:val="24"/>
    </w:rPr>
  </w:style>
  <w:style w:type="paragraph" w:customStyle="1" w:styleId="258">
    <w:name w:val="+正文 Char Char5 Char"/>
    <w:basedOn w:val="1"/>
    <w:link w:val="257"/>
    <w:autoRedefine/>
    <w:qFormat/>
    <w:uiPriority w:val="0"/>
    <w:pPr>
      <w:spacing w:line="360" w:lineRule="auto"/>
      <w:ind w:firstLine="200" w:firstLineChars="200"/>
    </w:pPr>
    <w:rPr>
      <w:rFonts w:ascii="宋体" w:hAnsi="宋体" w:eastAsia="等线"/>
      <w:kern w:val="0"/>
      <w:sz w:val="24"/>
      <w:szCs w:val="20"/>
    </w:rPr>
  </w:style>
  <w:style w:type="character" w:customStyle="1" w:styleId="259">
    <w:name w:val="纯文本 Char"/>
    <w:autoRedefine/>
    <w:qFormat/>
    <w:locked/>
    <w:uiPriority w:val="0"/>
    <w:rPr>
      <w:rFonts w:ascii="宋体" w:hAnsi="Courier New"/>
    </w:rPr>
  </w:style>
  <w:style w:type="character" w:customStyle="1" w:styleId="260">
    <w:name w:val="标题 8 Char1"/>
    <w:autoRedefine/>
    <w:semiHidden/>
    <w:qFormat/>
    <w:uiPriority w:val="0"/>
    <w:rPr>
      <w:rFonts w:ascii="Cambria" w:hAnsi="Cambria" w:eastAsia="宋体" w:cs="Times New Roman"/>
      <w:kern w:val="2"/>
      <w:sz w:val="24"/>
      <w:szCs w:val="24"/>
    </w:rPr>
  </w:style>
  <w:style w:type="character" w:customStyle="1" w:styleId="261">
    <w:name w:val="不明显强调3"/>
    <w:autoRedefine/>
    <w:qFormat/>
    <w:uiPriority w:val="19"/>
    <w:rPr>
      <w:i/>
      <w:iCs/>
      <w:color w:val="808080"/>
    </w:rPr>
  </w:style>
  <w:style w:type="character" w:customStyle="1" w:styleId="262">
    <w:name w:val="规范正文 Char Char Char Char"/>
    <w:autoRedefine/>
    <w:qFormat/>
    <w:uiPriority w:val="0"/>
    <w:rPr>
      <w:rFonts w:eastAsia="宋体"/>
      <w:kern w:val="2"/>
      <w:sz w:val="24"/>
      <w:szCs w:val="24"/>
      <w:lang w:val="en-US" w:eastAsia="zh-CN" w:bidi="ar-SA"/>
    </w:rPr>
  </w:style>
  <w:style w:type="character" w:customStyle="1" w:styleId="263">
    <w:name w:val="+正文 Char Char2 Char Char Char"/>
    <w:link w:val="264"/>
    <w:autoRedefine/>
    <w:qFormat/>
    <w:uiPriority w:val="0"/>
    <w:rPr>
      <w:rFonts w:ascii="宋体" w:hAnsi="宋体"/>
      <w:sz w:val="24"/>
    </w:rPr>
  </w:style>
  <w:style w:type="paragraph" w:customStyle="1" w:styleId="264">
    <w:name w:val="+正文 Char Char2 Char"/>
    <w:basedOn w:val="1"/>
    <w:link w:val="263"/>
    <w:autoRedefine/>
    <w:qFormat/>
    <w:uiPriority w:val="0"/>
    <w:pPr>
      <w:spacing w:line="360" w:lineRule="auto"/>
      <w:ind w:firstLine="200" w:firstLineChars="200"/>
    </w:pPr>
    <w:rPr>
      <w:rFonts w:ascii="宋体" w:hAnsi="宋体" w:eastAsia="等线"/>
      <w:kern w:val="0"/>
      <w:sz w:val="24"/>
      <w:szCs w:val="20"/>
    </w:rPr>
  </w:style>
  <w:style w:type="character" w:customStyle="1" w:styleId="265">
    <w:name w:val="标题 Char2"/>
    <w:autoRedefine/>
    <w:qFormat/>
    <w:uiPriority w:val="10"/>
    <w:rPr>
      <w:rFonts w:ascii="Cambria" w:hAnsi="Cambria" w:eastAsia="宋体" w:cs="Times New Roman"/>
      <w:b/>
      <w:bCs/>
      <w:sz w:val="32"/>
      <w:szCs w:val="32"/>
    </w:rPr>
  </w:style>
  <w:style w:type="character" w:customStyle="1" w:styleId="266">
    <w:name w:val="+正文 Char Char3 Char Char Char"/>
    <w:autoRedefine/>
    <w:qFormat/>
    <w:locked/>
    <w:uiPriority w:val="0"/>
    <w:rPr>
      <w:rFonts w:ascii="宋体" w:hAnsi="宋体"/>
      <w:sz w:val="24"/>
      <w:szCs w:val="24"/>
    </w:rPr>
  </w:style>
  <w:style w:type="character" w:customStyle="1" w:styleId="267">
    <w:name w:val="批注文字 Char"/>
    <w:autoRedefine/>
    <w:qFormat/>
    <w:locked/>
    <w:uiPriority w:val="0"/>
    <w:rPr>
      <w:kern w:val="2"/>
      <w:sz w:val="21"/>
      <w:szCs w:val="24"/>
    </w:rPr>
  </w:style>
  <w:style w:type="character" w:customStyle="1" w:styleId="268">
    <w:name w:val="正文文本缩进 Char2"/>
    <w:autoRedefine/>
    <w:semiHidden/>
    <w:qFormat/>
    <w:uiPriority w:val="99"/>
    <w:rPr>
      <w:rFonts w:ascii="Times New Roman" w:hAnsi="Times New Roman" w:eastAsia="宋体" w:cs="Times New Roman"/>
      <w:szCs w:val="24"/>
    </w:rPr>
  </w:style>
  <w:style w:type="character" w:customStyle="1" w:styleId="269">
    <w:name w:val="引用 Char"/>
    <w:autoRedefine/>
    <w:qFormat/>
    <w:uiPriority w:val="0"/>
    <w:rPr>
      <w:rFonts w:ascii="Calibri" w:hAnsi="Calibri"/>
      <w:i/>
      <w:iCs/>
      <w:color w:val="000000"/>
      <w:sz w:val="22"/>
      <w:lang w:eastAsia="en-US" w:bidi="en-US"/>
    </w:rPr>
  </w:style>
  <w:style w:type="paragraph" w:styleId="270">
    <w:name w:val="Quote"/>
    <w:basedOn w:val="1"/>
    <w:next w:val="1"/>
    <w:link w:val="271"/>
    <w:autoRedefine/>
    <w:qFormat/>
    <w:uiPriority w:val="29"/>
    <w:pPr>
      <w:widowControl/>
      <w:spacing w:after="200" w:line="276" w:lineRule="auto"/>
      <w:jc w:val="left"/>
    </w:pPr>
    <w:rPr>
      <w:rFonts w:eastAsia="等线"/>
      <w:i/>
      <w:iCs/>
      <w:color w:val="000000"/>
      <w:sz w:val="22"/>
      <w:szCs w:val="22"/>
      <w:lang w:eastAsia="en-US" w:bidi="en-US"/>
    </w:rPr>
  </w:style>
  <w:style w:type="character" w:customStyle="1" w:styleId="271">
    <w:name w:val="引用 字符"/>
    <w:link w:val="270"/>
    <w:autoRedefine/>
    <w:qFormat/>
    <w:uiPriority w:val="29"/>
    <w:rPr>
      <w:rFonts w:ascii="Calibri" w:hAnsi="Calibri"/>
      <w:i/>
      <w:iCs/>
      <w:color w:val="000000"/>
      <w:kern w:val="2"/>
      <w:sz w:val="22"/>
      <w:szCs w:val="22"/>
      <w:lang w:eastAsia="en-US" w:bidi="en-US"/>
    </w:rPr>
  </w:style>
  <w:style w:type="character" w:customStyle="1" w:styleId="272">
    <w:name w:val="明显参考2"/>
    <w:autoRedefine/>
    <w:qFormat/>
    <w:uiPriority w:val="32"/>
    <w:rPr>
      <w:b/>
      <w:bCs/>
      <w:smallCaps/>
      <w:color w:val="C0504D"/>
      <w:spacing w:val="5"/>
      <w:u w:val="single"/>
    </w:rPr>
  </w:style>
  <w:style w:type="character" w:customStyle="1" w:styleId="273">
    <w:name w:val="+标题3 Char Char"/>
    <w:link w:val="274"/>
    <w:autoRedefine/>
    <w:qFormat/>
    <w:uiPriority w:val="0"/>
    <w:rPr>
      <w:rFonts w:ascii="宋体" w:hAnsi="宋体"/>
      <w:b/>
      <w:sz w:val="32"/>
    </w:rPr>
  </w:style>
  <w:style w:type="paragraph" w:customStyle="1" w:styleId="274">
    <w:name w:val="+标题3 Char"/>
    <w:basedOn w:val="5"/>
    <w:link w:val="273"/>
    <w:autoRedefine/>
    <w:qFormat/>
    <w:uiPriority w:val="0"/>
    <w:pPr>
      <w:spacing w:line="360" w:lineRule="auto"/>
    </w:pPr>
    <w:rPr>
      <w:rFonts w:ascii="宋体" w:hAnsi="宋体" w:eastAsia="等线"/>
      <w:bCs w:val="0"/>
      <w:kern w:val="0"/>
      <w:szCs w:val="20"/>
    </w:rPr>
  </w:style>
  <w:style w:type="character" w:customStyle="1" w:styleId="275">
    <w:name w:val="页脚 Char1"/>
    <w:autoRedefine/>
    <w:semiHidden/>
    <w:qFormat/>
    <w:uiPriority w:val="0"/>
    <w:rPr>
      <w:rFonts w:ascii="Times New Roman" w:hAnsi="Times New Roman" w:eastAsia="宋体" w:cs="Times New Roman"/>
      <w:sz w:val="18"/>
      <w:szCs w:val="18"/>
    </w:rPr>
  </w:style>
  <w:style w:type="character" w:customStyle="1" w:styleId="276">
    <w:name w:val="批注主题 Char"/>
    <w:autoRedefine/>
    <w:qFormat/>
    <w:locked/>
    <w:uiPriority w:val="0"/>
    <w:rPr>
      <w:b/>
      <w:bCs/>
      <w:szCs w:val="24"/>
    </w:rPr>
  </w:style>
  <w:style w:type="character" w:customStyle="1" w:styleId="277">
    <w:name w:val="Char Char7"/>
    <w:autoRedefine/>
    <w:qFormat/>
    <w:locked/>
    <w:uiPriority w:val="0"/>
    <w:rPr>
      <w:rFonts w:ascii="宋体" w:hAnsi="Courier New" w:eastAsia="宋体"/>
      <w:b/>
      <w:kern w:val="2"/>
      <w:sz w:val="24"/>
      <w:szCs w:val="24"/>
      <w:lang w:val="en-US" w:eastAsia="zh-CN" w:bidi="ar-SA"/>
    </w:rPr>
  </w:style>
  <w:style w:type="character" w:customStyle="1" w:styleId="278">
    <w:name w:val="引用 Char1"/>
    <w:autoRedefine/>
    <w:qFormat/>
    <w:uiPriority w:val="29"/>
    <w:rPr>
      <w:rFonts w:ascii="Times New Roman" w:hAnsi="Times New Roman" w:eastAsia="宋体" w:cs="Times New Roman"/>
      <w:i/>
      <w:iCs/>
      <w:color w:val="000000"/>
      <w:szCs w:val="24"/>
    </w:rPr>
  </w:style>
  <w:style w:type="character" w:customStyle="1" w:styleId="279">
    <w:name w:val="批注文字 Char1"/>
    <w:autoRedefine/>
    <w:qFormat/>
    <w:uiPriority w:val="0"/>
    <w:rPr>
      <w:kern w:val="2"/>
      <w:sz w:val="21"/>
      <w:szCs w:val="24"/>
    </w:rPr>
  </w:style>
  <w:style w:type="character" w:customStyle="1" w:styleId="280">
    <w:name w:val="无间隔 字符"/>
    <w:link w:val="116"/>
    <w:autoRedefine/>
    <w:qFormat/>
    <w:uiPriority w:val="0"/>
    <w:rPr>
      <w:rFonts w:ascii="Calibri" w:hAnsi="Calibri" w:eastAsia="宋体" w:cs="Times New Roman"/>
      <w:kern w:val="2"/>
      <w:sz w:val="22"/>
      <w:szCs w:val="22"/>
      <w:lang w:eastAsia="en-US" w:bidi="en-US"/>
    </w:rPr>
  </w:style>
  <w:style w:type="character" w:customStyle="1" w:styleId="281">
    <w:name w:val="正文文本缩进 3 Char"/>
    <w:autoRedefine/>
    <w:qFormat/>
    <w:locked/>
    <w:uiPriority w:val="0"/>
    <w:rPr>
      <w:rFonts w:ascii="宋体" w:hAnsi="宋体"/>
      <w:sz w:val="24"/>
    </w:rPr>
  </w:style>
  <w:style w:type="character" w:customStyle="1" w:styleId="282">
    <w:name w:val="正文文本 2 Char1"/>
    <w:autoRedefine/>
    <w:semiHidden/>
    <w:qFormat/>
    <w:uiPriority w:val="99"/>
    <w:rPr>
      <w:rFonts w:ascii="Times New Roman" w:hAnsi="Times New Roman"/>
      <w:kern w:val="2"/>
      <w:sz w:val="21"/>
      <w:szCs w:val="24"/>
    </w:rPr>
  </w:style>
  <w:style w:type="character" w:customStyle="1" w:styleId="283">
    <w:name w:val="副标题 Char1"/>
    <w:autoRedefine/>
    <w:qFormat/>
    <w:uiPriority w:val="11"/>
    <w:rPr>
      <w:rFonts w:ascii="Cambria" w:hAnsi="Cambria" w:cs="Times New Roman"/>
      <w:b/>
      <w:bCs/>
      <w:kern w:val="28"/>
      <w:sz w:val="32"/>
      <w:szCs w:val="32"/>
    </w:rPr>
  </w:style>
  <w:style w:type="character" w:customStyle="1" w:styleId="284">
    <w:name w:val="HTML 预设格式 Char"/>
    <w:autoRedefine/>
    <w:qFormat/>
    <w:uiPriority w:val="0"/>
    <w:rPr>
      <w:rFonts w:ascii="Courier New" w:hAnsi="Courier New" w:cs="Courier New"/>
      <w:sz w:val="20"/>
      <w:szCs w:val="20"/>
    </w:rPr>
  </w:style>
  <w:style w:type="character" w:customStyle="1" w:styleId="285">
    <w:name w:val="副标题 Char2"/>
    <w:autoRedefine/>
    <w:qFormat/>
    <w:uiPriority w:val="11"/>
    <w:rPr>
      <w:rFonts w:ascii="Cambria" w:hAnsi="Cambria" w:eastAsia="宋体" w:cs="Times New Roman"/>
      <w:b/>
      <w:bCs/>
      <w:kern w:val="28"/>
      <w:sz w:val="32"/>
      <w:szCs w:val="32"/>
    </w:rPr>
  </w:style>
  <w:style w:type="character" w:customStyle="1" w:styleId="286">
    <w:name w:val="Char Char10"/>
    <w:autoRedefine/>
    <w:qFormat/>
    <w:locked/>
    <w:uiPriority w:val="0"/>
    <w:rPr>
      <w:rFonts w:ascii="仿宋_GB2312" w:eastAsia="仿宋_GB2312"/>
      <w:b/>
      <w:kern w:val="2"/>
      <w:sz w:val="24"/>
      <w:szCs w:val="24"/>
      <w:lang w:val="en-US" w:eastAsia="zh-CN" w:bidi="ar-SA"/>
    </w:rPr>
  </w:style>
  <w:style w:type="character" w:customStyle="1" w:styleId="287">
    <w:name w:val="even Char Char"/>
    <w:autoRedefine/>
    <w:qFormat/>
    <w:locked/>
    <w:uiPriority w:val="0"/>
    <w:rPr>
      <w:rFonts w:ascii="宋体" w:hAnsi="宋体" w:eastAsia="宋体"/>
      <w:b/>
      <w:kern w:val="2"/>
      <w:sz w:val="18"/>
      <w:szCs w:val="24"/>
      <w:lang w:val="en-US" w:eastAsia="zh-CN" w:bidi="ar-SA"/>
    </w:rPr>
  </w:style>
  <w:style w:type="character" w:customStyle="1" w:styleId="288">
    <w:name w:val="页脚 Char2"/>
    <w:autoRedefine/>
    <w:semiHidden/>
    <w:qFormat/>
    <w:uiPriority w:val="99"/>
    <w:rPr>
      <w:kern w:val="2"/>
      <w:sz w:val="18"/>
      <w:szCs w:val="18"/>
    </w:rPr>
  </w:style>
  <w:style w:type="character" w:customStyle="1" w:styleId="289">
    <w:name w:val="页眉 Char2"/>
    <w:autoRedefine/>
    <w:semiHidden/>
    <w:qFormat/>
    <w:uiPriority w:val="99"/>
    <w:rPr>
      <w:kern w:val="2"/>
      <w:sz w:val="18"/>
      <w:szCs w:val="18"/>
    </w:rPr>
  </w:style>
  <w:style w:type="paragraph" w:customStyle="1" w:styleId="290">
    <w:name w:val="xl10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291">
    <w:name w:val="xl9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292">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kern w:val="0"/>
      <w:sz w:val="20"/>
      <w:szCs w:val="20"/>
    </w:rPr>
  </w:style>
  <w:style w:type="paragraph" w:customStyle="1" w:styleId="293">
    <w:name w:val="font8"/>
    <w:basedOn w:val="1"/>
    <w:autoRedefine/>
    <w:qFormat/>
    <w:uiPriority w:val="0"/>
    <w:pPr>
      <w:widowControl/>
      <w:spacing w:before="100" w:beforeAutospacing="1" w:after="100" w:afterAutospacing="1"/>
      <w:jc w:val="left"/>
    </w:pPr>
    <w:rPr>
      <w:rFonts w:hint="eastAsia" w:ascii="宋体" w:hAnsi="宋体"/>
      <w:b/>
      <w:bCs/>
      <w:kern w:val="0"/>
      <w:sz w:val="20"/>
      <w:szCs w:val="20"/>
    </w:rPr>
  </w:style>
  <w:style w:type="paragraph" w:customStyle="1" w:styleId="294">
    <w:name w:val="Char Char Char Char"/>
    <w:basedOn w:val="1"/>
    <w:next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295">
    <w:name w:val="引用3"/>
    <w:basedOn w:val="1"/>
    <w:next w:val="1"/>
    <w:autoRedefine/>
    <w:qFormat/>
    <w:uiPriority w:val="0"/>
    <w:rPr>
      <w:i/>
      <w:iCs/>
      <w:color w:val="000000"/>
      <w:kern w:val="0"/>
      <w:sz w:val="22"/>
      <w:szCs w:val="22"/>
      <w:lang w:eastAsia="en-US" w:bidi="en-US"/>
    </w:rPr>
  </w:style>
  <w:style w:type="paragraph" w:customStyle="1" w:styleId="296">
    <w:name w:val="xl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297">
    <w:name w:val="xl51"/>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298">
    <w:name w:val="+列表1"/>
    <w:basedOn w:val="1"/>
    <w:autoRedefine/>
    <w:qFormat/>
    <w:uiPriority w:val="0"/>
    <w:pPr>
      <w:jc w:val="center"/>
    </w:pPr>
    <w:rPr>
      <w:rFonts w:ascii="Times New Roman" w:hAnsi="Times New Roman"/>
    </w:rPr>
  </w:style>
  <w:style w:type="paragraph" w:customStyle="1" w:styleId="299">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Narrow" w:hAnsi="Arial Narrow"/>
      <w:kern w:val="0"/>
      <w:sz w:val="20"/>
      <w:szCs w:val="20"/>
    </w:rPr>
  </w:style>
  <w:style w:type="paragraph" w:customStyle="1" w:styleId="300">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01">
    <w:name w:val="font11"/>
    <w:basedOn w:val="1"/>
    <w:autoRedefine/>
    <w:qFormat/>
    <w:uiPriority w:val="0"/>
    <w:pPr>
      <w:widowControl/>
      <w:spacing w:before="100" w:beforeAutospacing="1" w:after="100" w:afterAutospacing="1"/>
      <w:jc w:val="left"/>
    </w:pPr>
    <w:rPr>
      <w:rFonts w:hint="eastAsia" w:ascii="宋体" w:hAnsi="宋体"/>
      <w:kern w:val="0"/>
      <w:sz w:val="20"/>
      <w:szCs w:val="20"/>
    </w:rPr>
  </w:style>
  <w:style w:type="paragraph" w:customStyle="1" w:styleId="302">
    <w:name w:val="正文文本 23"/>
    <w:basedOn w:val="1"/>
    <w:autoRedefine/>
    <w:qFormat/>
    <w:uiPriority w:val="0"/>
    <w:pPr>
      <w:adjustRightInd w:val="0"/>
      <w:jc w:val="left"/>
    </w:pPr>
    <w:rPr>
      <w:rFonts w:ascii="宋体" w:hAnsi="Times New Roman"/>
      <w:i/>
      <w:sz w:val="28"/>
      <w:szCs w:val="20"/>
    </w:rPr>
  </w:style>
  <w:style w:type="paragraph" w:customStyle="1" w:styleId="303">
    <w:name w:val="规范正文 Char Char"/>
    <w:basedOn w:val="1"/>
    <w:autoRedefine/>
    <w:qFormat/>
    <w:uiPriority w:val="0"/>
    <w:pPr>
      <w:adjustRightInd w:val="0"/>
      <w:spacing w:line="360" w:lineRule="auto"/>
      <w:ind w:left="227" w:firstLine="454"/>
      <w:textAlignment w:val="baseline"/>
    </w:pPr>
    <w:rPr>
      <w:rFonts w:ascii="Times New Roman" w:hAnsi="Times New Roman"/>
      <w:kern w:val="0"/>
      <w:sz w:val="24"/>
      <w:szCs w:val="20"/>
    </w:rPr>
  </w:style>
  <w:style w:type="paragraph" w:customStyle="1" w:styleId="304">
    <w:name w:val="xl49"/>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kern w:val="0"/>
      <w:sz w:val="20"/>
      <w:szCs w:val="20"/>
    </w:rPr>
  </w:style>
  <w:style w:type="paragraph" w:customStyle="1" w:styleId="305">
    <w:name w:val="IBM 正文"/>
    <w:basedOn w:val="1"/>
    <w:autoRedefine/>
    <w:qFormat/>
    <w:uiPriority w:val="0"/>
    <w:pPr>
      <w:spacing w:line="400" w:lineRule="exact"/>
    </w:pPr>
    <w:rPr>
      <w:rFonts w:ascii="Times New Roman" w:hAnsi="Times New Roman"/>
      <w:spacing w:val="20"/>
      <w:sz w:val="24"/>
    </w:rPr>
  </w:style>
  <w:style w:type="paragraph" w:customStyle="1" w:styleId="306">
    <w:name w:val="msoplaintextcxspmiddle"/>
    <w:basedOn w:val="1"/>
    <w:autoRedefine/>
    <w:qFormat/>
    <w:uiPriority w:val="0"/>
    <w:pPr>
      <w:widowControl/>
      <w:spacing w:before="100" w:after="100"/>
      <w:jc w:val="left"/>
    </w:pPr>
    <w:rPr>
      <w:rFonts w:ascii="宋体" w:hAnsi="宋体"/>
      <w:b/>
      <w:color w:val="000000"/>
      <w:kern w:val="0"/>
      <w:sz w:val="18"/>
    </w:rPr>
  </w:style>
  <w:style w:type="paragraph" w:customStyle="1" w:styleId="307">
    <w:name w:val="xl96"/>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2"/>
      <w:szCs w:val="22"/>
    </w:rPr>
  </w:style>
  <w:style w:type="paragraph" w:customStyle="1" w:styleId="308">
    <w:name w:val="无间隔2"/>
    <w:basedOn w:val="1"/>
    <w:autoRedefine/>
    <w:qFormat/>
    <w:uiPriority w:val="0"/>
    <w:pPr>
      <w:widowControl/>
      <w:jc w:val="left"/>
    </w:pPr>
    <w:rPr>
      <w:rFonts w:ascii="宋体" w:hAnsi="宋体"/>
      <w:kern w:val="0"/>
      <w:sz w:val="24"/>
      <w:szCs w:val="32"/>
      <w:lang w:eastAsia="en-US" w:bidi="en-US"/>
    </w:rPr>
  </w:style>
  <w:style w:type="paragraph" w:customStyle="1" w:styleId="309">
    <w:name w:val="Default Text"/>
    <w:basedOn w:val="1"/>
    <w:autoRedefine/>
    <w:qFormat/>
    <w:uiPriority w:val="0"/>
    <w:pPr>
      <w:widowControl/>
      <w:overflowPunct w:val="0"/>
      <w:autoSpaceDE w:val="0"/>
      <w:autoSpaceDN w:val="0"/>
      <w:adjustRightInd w:val="0"/>
      <w:jc w:val="left"/>
      <w:textAlignment w:val="baseline"/>
    </w:pPr>
    <w:rPr>
      <w:rFonts w:ascii="Times New Roman" w:hAnsi="Times New Roman" w:eastAsia="仿宋_GB2312"/>
      <w:kern w:val="0"/>
      <w:sz w:val="24"/>
      <w:szCs w:val="20"/>
      <w:lang w:val="en-GB"/>
    </w:rPr>
  </w:style>
  <w:style w:type="paragraph" w:customStyle="1" w:styleId="310">
    <w:name w:val="Char Char11"/>
    <w:basedOn w:val="1"/>
    <w:autoRedefine/>
    <w:qFormat/>
    <w:uiPriority w:val="0"/>
    <w:pPr>
      <w:widowControl/>
      <w:spacing w:before="312" w:after="160" w:line="240" w:lineRule="exact"/>
      <w:jc w:val="left"/>
    </w:pPr>
    <w:rPr>
      <w:rFonts w:ascii="Verdana" w:hAnsi="Verdana" w:cs="Verdana"/>
      <w:b/>
      <w:kern w:val="0"/>
      <w:sz w:val="20"/>
      <w:lang w:eastAsia="en-US"/>
    </w:rPr>
  </w:style>
  <w:style w:type="paragraph" w:customStyle="1" w:styleId="311">
    <w:name w:val="msoplaintextcxsplast"/>
    <w:basedOn w:val="1"/>
    <w:autoRedefine/>
    <w:qFormat/>
    <w:uiPriority w:val="0"/>
    <w:pPr>
      <w:widowControl/>
      <w:spacing w:before="100" w:after="100"/>
      <w:jc w:val="left"/>
    </w:pPr>
    <w:rPr>
      <w:rFonts w:ascii="宋体" w:hAnsi="宋体"/>
      <w:b/>
      <w:color w:val="000000"/>
      <w:kern w:val="0"/>
      <w:sz w:val="18"/>
    </w:rPr>
  </w:style>
  <w:style w:type="paragraph" w:customStyle="1" w:styleId="312">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313">
    <w:name w:val="一级条标题"/>
    <w:basedOn w:val="1"/>
    <w:next w:val="1"/>
    <w:autoRedefine/>
    <w:qFormat/>
    <w:uiPriority w:val="0"/>
    <w:pPr>
      <w:widowControl/>
      <w:numPr>
        <w:ilvl w:val="2"/>
        <w:numId w:val="2"/>
      </w:numPr>
      <w:outlineLvl w:val="2"/>
    </w:pPr>
    <w:rPr>
      <w:rFonts w:ascii="黑体" w:hAnsi="Times New Roman" w:eastAsia="黑体"/>
      <w:kern w:val="0"/>
      <w:sz w:val="24"/>
      <w:szCs w:val="20"/>
    </w:rPr>
  </w:style>
  <w:style w:type="paragraph" w:customStyle="1" w:styleId="314">
    <w:name w:val="xl5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Times New Roman" w:hAnsi="Times New Roman"/>
      <w:kern w:val="0"/>
      <w:sz w:val="20"/>
      <w:szCs w:val="20"/>
    </w:rPr>
  </w:style>
  <w:style w:type="paragraph" w:customStyle="1" w:styleId="315">
    <w:name w:val="样式 标题 2标题 1.1编号标题21.1head:2#2 headlinehheadlineS&amp;R2ERMH...1"/>
    <w:basedOn w:val="4"/>
    <w:autoRedefine/>
    <w:qFormat/>
    <w:uiPriority w:val="0"/>
    <w:pPr>
      <w:tabs>
        <w:tab w:val="left" w:pos="576"/>
      </w:tabs>
      <w:adjustRightInd w:val="0"/>
      <w:spacing w:before="0" w:after="0" w:line="360" w:lineRule="atLeast"/>
      <w:ind w:left="576" w:hanging="576"/>
    </w:pPr>
    <w:rPr>
      <w:rFonts w:ascii="Times New Roman" w:hAnsi="Times New Roman" w:eastAsia="黑体"/>
      <w:sz w:val="28"/>
    </w:rPr>
  </w:style>
  <w:style w:type="paragraph" w:customStyle="1" w:styleId="316">
    <w:name w:val="Char Char"/>
    <w:basedOn w:val="1"/>
    <w:autoRedefine/>
    <w:qFormat/>
    <w:uiPriority w:val="0"/>
    <w:pPr>
      <w:widowControl/>
      <w:spacing w:after="160" w:line="240" w:lineRule="exact"/>
      <w:jc w:val="left"/>
    </w:pPr>
    <w:rPr>
      <w:rFonts w:ascii="Verdana" w:hAnsi="Verdana" w:cs="Verdana"/>
      <w:kern w:val="0"/>
      <w:sz w:val="20"/>
      <w:szCs w:val="20"/>
      <w:lang w:eastAsia="en-US"/>
    </w:rPr>
  </w:style>
  <w:style w:type="paragraph" w:customStyle="1" w:styleId="317">
    <w:name w:val="msonormalcxspmiddle"/>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18">
    <w:name w:val="列出段落1"/>
    <w:basedOn w:val="1"/>
    <w:autoRedefine/>
    <w:qFormat/>
    <w:uiPriority w:val="0"/>
    <w:pPr>
      <w:ind w:firstLine="420" w:firstLineChars="200"/>
    </w:pPr>
    <w:rPr>
      <w:rFonts w:ascii="Times New Roman" w:hAnsi="Times New Roman"/>
      <w:szCs w:val="20"/>
    </w:rPr>
  </w:style>
  <w:style w:type="paragraph" w:customStyle="1" w:styleId="319">
    <w:name w:val="样式4"/>
    <w:basedOn w:val="1"/>
    <w:autoRedefine/>
    <w:qFormat/>
    <w:uiPriority w:val="0"/>
    <w:pPr>
      <w:tabs>
        <w:tab w:val="left" w:pos="360"/>
        <w:tab w:val="left" w:pos="1275"/>
        <w:tab w:val="center" w:pos="4320"/>
        <w:tab w:val="right" w:pos="8640"/>
      </w:tabs>
      <w:spacing w:line="480" w:lineRule="atLeast"/>
      <w:ind w:left="1275"/>
    </w:pPr>
    <w:rPr>
      <w:rFonts w:ascii="Times New Roman" w:hAnsi="Times New Roman"/>
      <w:b/>
      <w:sz w:val="24"/>
    </w:rPr>
  </w:style>
  <w:style w:type="paragraph" w:customStyle="1" w:styleId="320">
    <w:name w:val="引用2"/>
    <w:basedOn w:val="1"/>
    <w:next w:val="1"/>
    <w:autoRedefine/>
    <w:qFormat/>
    <w:uiPriority w:val="0"/>
    <w:rPr>
      <w:i/>
      <w:iCs/>
      <w:color w:val="000000"/>
      <w:kern w:val="0"/>
      <w:sz w:val="22"/>
      <w:szCs w:val="22"/>
      <w:lang w:eastAsia="en-US" w:bidi="en-US"/>
    </w:rPr>
  </w:style>
  <w:style w:type="paragraph" w:customStyle="1" w:styleId="321">
    <w:name w:val="xl42"/>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22">
    <w:name w:val="样式 标题 2标题 1.1编号标题21.1head:2#2 headlinehheadlineS&amp;R2ERMH..."/>
    <w:basedOn w:val="4"/>
    <w:autoRedefine/>
    <w:qFormat/>
    <w:uiPriority w:val="0"/>
    <w:pPr>
      <w:tabs>
        <w:tab w:val="left" w:pos="576"/>
      </w:tabs>
      <w:adjustRightInd w:val="0"/>
      <w:spacing w:before="0" w:after="0" w:line="360" w:lineRule="atLeast"/>
      <w:ind w:left="576" w:hanging="576"/>
      <w:outlineLvl w:val="2"/>
    </w:pPr>
    <w:rPr>
      <w:rFonts w:ascii="Times New Roman" w:hAnsi="Times New Roman" w:eastAsia="宋体"/>
      <w:b w:val="0"/>
      <w:bCs w:val="0"/>
      <w:kern w:val="0"/>
      <w:sz w:val="28"/>
      <w:szCs w:val="24"/>
    </w:rPr>
  </w:style>
  <w:style w:type="paragraph" w:customStyle="1" w:styleId="323">
    <w:name w:val="xl9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宋体" w:hAnsi="宋体" w:cs="宋体"/>
      <w:b/>
      <w:bCs/>
      <w:kern w:val="0"/>
      <w:szCs w:val="21"/>
    </w:rPr>
  </w:style>
  <w:style w:type="paragraph" w:customStyle="1" w:styleId="324">
    <w:name w:val="样式 标题 4 + 左侧:  0 厘米 悬挂缩进: 8.64 字符 行距: 最小值 18.8 磅"/>
    <w:basedOn w:val="6"/>
    <w:autoRedefine/>
    <w:qFormat/>
    <w:uiPriority w:val="0"/>
    <w:pPr>
      <w:keepLines/>
      <w:widowControl w:val="0"/>
      <w:numPr>
        <w:ilvl w:val="0"/>
        <w:numId w:val="0"/>
      </w:numPr>
      <w:spacing w:before="120" w:after="120"/>
      <w:ind w:left="862" w:hanging="862"/>
    </w:pPr>
    <w:rPr>
      <w:rFonts w:ascii="Arial"/>
      <w:bCs/>
      <w:kern w:val="2"/>
      <w:szCs w:val="24"/>
    </w:rPr>
  </w:style>
  <w:style w:type="paragraph" w:customStyle="1" w:styleId="325">
    <w:name w:val="Char Char3"/>
    <w:basedOn w:val="1"/>
    <w:next w:val="35"/>
    <w:autoRedefine/>
    <w:qFormat/>
    <w:uiPriority w:val="0"/>
    <w:pPr>
      <w:spacing w:line="360" w:lineRule="auto"/>
      <w:ind w:left="-360" w:firstLine="570"/>
    </w:pPr>
    <w:rPr>
      <w:rFonts w:ascii="仿宋_GB2312" w:hAnsi="Times New Roman" w:eastAsia="仿宋_GB2312"/>
      <w:b/>
      <w:sz w:val="24"/>
      <w:szCs w:val="20"/>
    </w:rPr>
  </w:style>
  <w:style w:type="paragraph" w:customStyle="1" w:styleId="326">
    <w:name w:val="Char"/>
    <w:basedOn w:val="1"/>
    <w:next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327">
    <w:name w:val="默认段落字体 Para Char Char Char Char"/>
    <w:basedOn w:val="1"/>
    <w:autoRedefine/>
    <w:qFormat/>
    <w:uiPriority w:val="0"/>
    <w:rPr>
      <w:rFonts w:ascii="Times New Roman" w:hAnsi="Times New Roman"/>
    </w:rPr>
  </w:style>
  <w:style w:type="paragraph" w:customStyle="1" w:styleId="328">
    <w:name w:val="xl59"/>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329">
    <w:name w:val="正文文本 22"/>
    <w:basedOn w:val="1"/>
    <w:autoRedefine/>
    <w:qFormat/>
    <w:uiPriority w:val="0"/>
    <w:pPr>
      <w:adjustRightInd w:val="0"/>
      <w:jc w:val="left"/>
    </w:pPr>
    <w:rPr>
      <w:rFonts w:ascii="宋体" w:hAnsi="Times New Roman"/>
      <w:i/>
      <w:sz w:val="28"/>
      <w:szCs w:val="20"/>
    </w:rPr>
  </w:style>
  <w:style w:type="paragraph" w:customStyle="1" w:styleId="330">
    <w:name w:val="xl48"/>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331">
    <w:name w:val="列出段落3"/>
    <w:basedOn w:val="1"/>
    <w:autoRedefine/>
    <w:qFormat/>
    <w:uiPriority w:val="0"/>
    <w:pPr>
      <w:ind w:firstLine="420" w:firstLineChars="200"/>
    </w:pPr>
    <w:rPr>
      <w:rFonts w:ascii="Times New Roman" w:hAnsi="Times New Roman"/>
      <w:szCs w:val="20"/>
    </w:rPr>
  </w:style>
  <w:style w:type="paragraph" w:customStyle="1" w:styleId="332">
    <w:name w:val="xl44"/>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33">
    <w:name w:val="acxsplas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34">
    <w:name w:val="样式 标题 3 + (中文) 黑体 小四 非加粗 段前: 7.8 磅 段后: 0 磅 行距: 固定值 20 磅"/>
    <w:basedOn w:val="5"/>
    <w:autoRedefine/>
    <w:qFormat/>
    <w:uiPriority w:val="0"/>
    <w:pPr>
      <w:spacing w:before="0" w:after="0" w:line="400" w:lineRule="exact"/>
    </w:pPr>
    <w:rPr>
      <w:rFonts w:eastAsia="黑体" w:cs="宋体"/>
      <w:b w:val="0"/>
      <w:bCs w:val="0"/>
      <w:sz w:val="24"/>
      <w:szCs w:val="20"/>
    </w:rPr>
  </w:style>
  <w:style w:type="paragraph" w:customStyle="1" w:styleId="335">
    <w:name w:val="xl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36">
    <w:name w:val="xl103"/>
    <w:basedOn w:val="1"/>
    <w:autoRedefine/>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337">
    <w:name w:val="Char Char5"/>
    <w:basedOn w:val="1"/>
    <w:autoRedefine/>
    <w:qFormat/>
    <w:uiPriority w:val="0"/>
    <w:pPr>
      <w:widowControl/>
      <w:spacing w:after="160" w:line="240" w:lineRule="exact"/>
      <w:jc w:val="left"/>
    </w:pPr>
    <w:rPr>
      <w:rFonts w:ascii="Verdana" w:hAnsi="Verdana" w:cs="Verdana"/>
      <w:kern w:val="0"/>
      <w:sz w:val="20"/>
      <w:szCs w:val="20"/>
      <w:lang w:eastAsia="en-US"/>
    </w:rPr>
  </w:style>
  <w:style w:type="paragraph" w:customStyle="1" w:styleId="338">
    <w:name w:val="表格"/>
    <w:basedOn w:val="1"/>
    <w:autoRedefine/>
    <w:qFormat/>
    <w:uiPriority w:val="0"/>
    <w:pPr>
      <w:tabs>
        <w:tab w:val="left" w:pos="1080"/>
      </w:tabs>
      <w:snapToGrid w:val="0"/>
      <w:jc w:val="center"/>
    </w:pPr>
    <w:rPr>
      <w:rFonts w:ascii="Times New Roman" w:hAnsi="Times New Roman"/>
      <w:szCs w:val="21"/>
    </w:rPr>
  </w:style>
  <w:style w:type="paragraph" w:customStyle="1" w:styleId="339">
    <w:name w:val="TOC 标题2"/>
    <w:basedOn w:val="3"/>
    <w:next w:val="1"/>
    <w:autoRedefine/>
    <w:qFormat/>
    <w:uiPriority w:val="39"/>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340">
    <w:name w:val="四号楷体缩进2"/>
    <w:basedOn w:val="1"/>
    <w:autoRedefine/>
    <w:qFormat/>
    <w:uiPriority w:val="0"/>
    <w:pPr>
      <w:spacing w:line="520" w:lineRule="exact"/>
      <w:ind w:firstLine="200" w:firstLineChars="200"/>
    </w:pPr>
    <w:rPr>
      <w:rFonts w:ascii="Times New Roman" w:hAnsi="Times New Roman" w:eastAsia="楷体_GB2312"/>
      <w:sz w:val="28"/>
      <w:szCs w:val="28"/>
    </w:rPr>
  </w:style>
  <w:style w:type="paragraph" w:customStyle="1" w:styleId="341">
    <w:name w:val="xl3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342">
    <w:name w:val="bb"/>
    <w:basedOn w:val="1"/>
    <w:autoRedefine/>
    <w:qFormat/>
    <w:uiPriority w:val="34"/>
    <w:pPr>
      <w:widowControl/>
      <w:spacing w:before="100" w:beforeAutospacing="1" w:after="100" w:afterAutospacing="1"/>
      <w:jc w:val="left"/>
    </w:pPr>
    <w:rPr>
      <w:rFonts w:ascii="宋体" w:hAnsi="宋体" w:cs="宋体"/>
      <w:b/>
      <w:bCs/>
      <w:color w:val="990000"/>
      <w:kern w:val="0"/>
      <w:szCs w:val="21"/>
    </w:rPr>
  </w:style>
  <w:style w:type="paragraph" w:customStyle="1" w:styleId="343">
    <w:name w:val="明显引用2"/>
    <w:basedOn w:val="1"/>
    <w:next w:val="1"/>
    <w:autoRedefine/>
    <w:qFormat/>
    <w:uiPriority w:val="0"/>
    <w:pPr>
      <w:pBdr>
        <w:bottom w:val="single" w:color="4F81BD" w:sz="4" w:space="4"/>
      </w:pBdr>
      <w:spacing w:before="200" w:after="280"/>
      <w:ind w:left="936" w:right="936"/>
    </w:pPr>
    <w:rPr>
      <w:b/>
      <w:bCs/>
      <w:i/>
      <w:iCs/>
      <w:color w:val="4F81BD"/>
      <w:kern w:val="0"/>
      <w:sz w:val="22"/>
      <w:szCs w:val="22"/>
      <w:lang w:eastAsia="en-US" w:bidi="en-US"/>
    </w:rPr>
  </w:style>
  <w:style w:type="paragraph" w:customStyle="1" w:styleId="344">
    <w:name w:val="xl57"/>
    <w:basedOn w:val="1"/>
    <w:autoRedefine/>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45">
    <w:name w:val="+列表2"/>
    <w:basedOn w:val="1"/>
    <w:autoRedefine/>
    <w:qFormat/>
    <w:uiPriority w:val="0"/>
    <w:pPr>
      <w:jc w:val="center"/>
    </w:pPr>
    <w:rPr>
      <w:rFonts w:ascii="Times New Roman" w:hAnsi="Times New Roman"/>
      <w:sz w:val="18"/>
      <w:szCs w:val="21"/>
    </w:rPr>
  </w:style>
  <w:style w:type="paragraph" w:customStyle="1" w:styleId="346">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347">
    <w:name w:val="xl62"/>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宋体" w:hAnsi="宋体"/>
      <w:kern w:val="0"/>
      <w:sz w:val="20"/>
      <w:szCs w:val="20"/>
    </w:rPr>
  </w:style>
  <w:style w:type="paragraph" w:customStyle="1" w:styleId="348">
    <w:name w:val="xl52"/>
    <w:basedOn w:val="1"/>
    <w:autoRedefine/>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kern w:val="0"/>
      <w:sz w:val="20"/>
      <w:szCs w:val="20"/>
    </w:rPr>
  </w:style>
  <w:style w:type="paragraph" w:customStyle="1" w:styleId="349">
    <w:name w:val="xl4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350">
    <w:name w:val="TOC 标题1"/>
    <w:basedOn w:val="3"/>
    <w:next w:val="1"/>
    <w:autoRedefine/>
    <w:qFormat/>
    <w:uiPriority w:val="39"/>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351">
    <w:name w:val="无间隔1"/>
    <w:basedOn w:val="1"/>
    <w:autoRedefine/>
    <w:qFormat/>
    <w:uiPriority w:val="0"/>
    <w:pPr>
      <w:widowControl/>
      <w:jc w:val="left"/>
    </w:pPr>
    <w:rPr>
      <w:rFonts w:ascii="宋体" w:hAnsi="宋体"/>
      <w:sz w:val="24"/>
      <w:szCs w:val="32"/>
      <w:lang w:eastAsia="en-US" w:bidi="en-US"/>
    </w:rPr>
  </w:style>
  <w:style w:type="paragraph" w:customStyle="1" w:styleId="352">
    <w:name w:val="样式1"/>
    <w:basedOn w:val="1"/>
    <w:autoRedefine/>
    <w:qFormat/>
    <w:uiPriority w:val="0"/>
    <w:pPr>
      <w:tabs>
        <w:tab w:val="left" w:pos="547"/>
        <w:tab w:val="left" w:pos="1080"/>
      </w:tabs>
      <w:spacing w:line="480" w:lineRule="atLeast"/>
      <w:jc w:val="center"/>
    </w:pPr>
    <w:rPr>
      <w:rFonts w:ascii="Times New Roman" w:hAnsi="Times New Roman" w:eastAsia="黑体"/>
      <w:b/>
      <w:sz w:val="44"/>
    </w:rPr>
  </w:style>
  <w:style w:type="paragraph" w:customStyle="1" w:styleId="353">
    <w:name w:val="四号楷体"/>
    <w:autoRedefine/>
    <w:qFormat/>
    <w:uiPriority w:val="0"/>
    <w:pPr>
      <w:spacing w:line="560" w:lineRule="exact"/>
      <w:jc w:val="both"/>
    </w:pPr>
    <w:rPr>
      <w:rFonts w:ascii="Times New Roman" w:hAnsi="Times New Roman" w:eastAsia="楷体_GB2312" w:cs="Times New Roman"/>
      <w:kern w:val="2"/>
      <w:sz w:val="28"/>
      <w:szCs w:val="28"/>
      <w:lang w:val="en-US" w:eastAsia="zh-CN" w:bidi="ar-SA"/>
    </w:rPr>
  </w:style>
  <w:style w:type="paragraph" w:customStyle="1" w:styleId="354">
    <w:name w:val="font7"/>
    <w:basedOn w:val="1"/>
    <w:autoRedefine/>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355">
    <w:name w:val="a3cxspmiddle"/>
    <w:basedOn w:val="1"/>
    <w:autoRedefine/>
    <w:qFormat/>
    <w:uiPriority w:val="0"/>
    <w:pPr>
      <w:widowControl/>
      <w:spacing w:before="100" w:after="100"/>
      <w:jc w:val="left"/>
    </w:pPr>
    <w:rPr>
      <w:rFonts w:ascii="宋体" w:hAnsi="宋体"/>
      <w:b/>
      <w:color w:val="000000"/>
      <w:kern w:val="0"/>
      <w:sz w:val="18"/>
    </w:rPr>
  </w:style>
  <w:style w:type="paragraph" w:customStyle="1" w:styleId="356">
    <w:name w:val="样式 标题 4标题4样式标题 4，标题4样式 + 段前: 0 磅"/>
    <w:basedOn w:val="6"/>
    <w:autoRedefine/>
    <w:qFormat/>
    <w:uiPriority w:val="0"/>
    <w:pPr>
      <w:numPr>
        <w:ilvl w:val="0"/>
        <w:numId w:val="0"/>
      </w:numPr>
      <w:tabs>
        <w:tab w:val="left" w:pos="864"/>
      </w:tabs>
      <w:adjustRightInd w:val="0"/>
      <w:snapToGrid w:val="0"/>
      <w:spacing w:before="0" w:after="0"/>
      <w:ind w:left="851" w:hanging="851"/>
    </w:pPr>
    <w:rPr>
      <w:rFonts w:hAnsi="Times New Roman" w:cs="宋体"/>
      <w:bCs/>
      <w:kern w:val="2"/>
      <w:szCs w:val="24"/>
    </w:rPr>
  </w:style>
  <w:style w:type="paragraph" w:customStyle="1" w:styleId="357">
    <w:name w:val="明显引用3"/>
    <w:basedOn w:val="1"/>
    <w:next w:val="1"/>
    <w:autoRedefine/>
    <w:qFormat/>
    <w:uiPriority w:val="0"/>
    <w:pPr>
      <w:pBdr>
        <w:bottom w:val="single" w:color="4F81BD" w:sz="4" w:space="4"/>
      </w:pBdr>
      <w:spacing w:before="200" w:after="280"/>
      <w:ind w:left="936" w:right="936"/>
    </w:pPr>
    <w:rPr>
      <w:b/>
      <w:bCs/>
      <w:i/>
      <w:iCs/>
      <w:color w:val="4F81BD"/>
      <w:kern w:val="0"/>
      <w:sz w:val="22"/>
      <w:szCs w:val="22"/>
      <w:lang w:eastAsia="en-US" w:bidi="en-US"/>
    </w:rPr>
  </w:style>
  <w:style w:type="paragraph" w:customStyle="1" w:styleId="358">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59">
    <w:name w:val="无间隔3"/>
    <w:basedOn w:val="1"/>
    <w:autoRedefine/>
    <w:qFormat/>
    <w:uiPriority w:val="0"/>
    <w:pPr>
      <w:widowControl/>
      <w:jc w:val="left"/>
    </w:pPr>
    <w:rPr>
      <w:rFonts w:ascii="宋体" w:hAnsi="宋体"/>
      <w:kern w:val="0"/>
      <w:sz w:val="24"/>
      <w:szCs w:val="32"/>
      <w:lang w:eastAsia="en-US" w:bidi="en-US"/>
    </w:rPr>
  </w:style>
  <w:style w:type="paragraph" w:customStyle="1" w:styleId="360">
    <w:name w:val="xl53"/>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61">
    <w:name w:val="font12"/>
    <w:basedOn w:val="1"/>
    <w:autoRedefine/>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362">
    <w:name w:val="Char Char1 Char Char Char Char Char1 Char Char Char Char"/>
    <w:basedOn w:val="26"/>
    <w:autoRedefine/>
    <w:qFormat/>
    <w:uiPriority w:val="0"/>
    <w:rPr>
      <w:rFonts w:ascii="Tahoma" w:hAnsi="Tahoma" w:eastAsia="仿宋_GB2312"/>
      <w:sz w:val="30"/>
      <w:szCs w:val="30"/>
    </w:rPr>
  </w:style>
  <w:style w:type="paragraph" w:customStyle="1" w:styleId="363">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364">
    <w:name w:val="xl5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kern w:val="0"/>
      <w:sz w:val="20"/>
      <w:szCs w:val="20"/>
    </w:rPr>
  </w:style>
  <w:style w:type="paragraph" w:customStyle="1" w:styleId="365">
    <w:name w:val="样式2"/>
    <w:basedOn w:val="1"/>
    <w:autoRedefine/>
    <w:qFormat/>
    <w:uiPriority w:val="0"/>
    <w:pPr>
      <w:tabs>
        <w:tab w:val="left" w:pos="425"/>
        <w:tab w:val="left" w:pos="547"/>
        <w:tab w:val="left" w:pos="1050"/>
        <w:tab w:val="left" w:pos="1080"/>
        <w:tab w:val="left" w:pos="1275"/>
      </w:tabs>
      <w:spacing w:line="360" w:lineRule="auto"/>
      <w:ind w:left="1275" w:hanging="705"/>
    </w:pPr>
    <w:rPr>
      <w:rFonts w:ascii="Times New Roman" w:hAnsi="Times New Roman" w:eastAsia="仿宋_GB2312"/>
      <w:sz w:val="24"/>
    </w:rPr>
  </w:style>
  <w:style w:type="paragraph" w:customStyle="1" w:styleId="366">
    <w:name w:val="xl50"/>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67">
    <w:name w:val="xl54"/>
    <w:basedOn w:val="1"/>
    <w:autoRedefine/>
    <w:qFormat/>
    <w:uiPriority w:val="0"/>
    <w:pPr>
      <w:widowControl/>
      <w:spacing w:before="100" w:beforeAutospacing="1" w:after="100" w:afterAutospacing="1"/>
      <w:jc w:val="left"/>
      <w:textAlignment w:val="center"/>
    </w:pPr>
    <w:rPr>
      <w:rFonts w:ascii="宋体" w:hAnsi="宋体"/>
      <w:kern w:val="0"/>
      <w:sz w:val="20"/>
      <w:szCs w:val="20"/>
    </w:rPr>
  </w:style>
  <w:style w:type="paragraph" w:customStyle="1" w:styleId="368">
    <w:name w:val="xl105"/>
    <w:basedOn w:val="1"/>
    <w:autoRedefine/>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369">
    <w:name w:val="xl3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370">
    <w:name w:val="编号项"/>
    <w:basedOn w:val="1"/>
    <w:autoRedefine/>
    <w:qFormat/>
    <w:uiPriority w:val="0"/>
    <w:pPr>
      <w:tabs>
        <w:tab w:val="left" w:pos="1020"/>
      </w:tabs>
      <w:ind w:left="1020" w:hanging="525"/>
    </w:pPr>
    <w:rPr>
      <w:rFonts w:ascii="Times New Roman" w:hAnsi="Times New Roman"/>
    </w:rPr>
  </w:style>
  <w:style w:type="paragraph" w:customStyle="1" w:styleId="371">
    <w:name w:val="xl107"/>
    <w:basedOn w:val="1"/>
    <w:autoRedefine/>
    <w:qFormat/>
    <w:uiPriority w:val="0"/>
    <w:pPr>
      <w:widowControl/>
      <w:pBdr>
        <w:top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372">
    <w:name w:val="TOC 标题3"/>
    <w:basedOn w:val="3"/>
    <w:next w:val="1"/>
    <w:autoRedefine/>
    <w:qFormat/>
    <w:uiPriority w:val="39"/>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373">
    <w:name w:val="默认段落字体 Para Char Char Char Char Char Char Char Char Char1 Char Char Char Char"/>
    <w:basedOn w:val="1"/>
    <w:autoRedefine/>
    <w:qFormat/>
    <w:uiPriority w:val="0"/>
    <w:rPr>
      <w:rFonts w:ascii="Tahoma" w:hAnsi="Tahoma"/>
      <w:sz w:val="24"/>
      <w:szCs w:val="20"/>
    </w:rPr>
  </w:style>
  <w:style w:type="paragraph" w:customStyle="1" w:styleId="374">
    <w:name w:val="xl45"/>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75">
    <w:name w:val="xl9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2"/>
      <w:szCs w:val="22"/>
    </w:rPr>
  </w:style>
  <w:style w:type="paragraph" w:customStyle="1" w:styleId="376">
    <w:name w:val="Char Char31"/>
    <w:basedOn w:val="1"/>
    <w:next w:val="35"/>
    <w:autoRedefine/>
    <w:qFormat/>
    <w:uiPriority w:val="0"/>
    <w:pPr>
      <w:spacing w:line="360" w:lineRule="auto"/>
      <w:ind w:left="-360" w:firstLine="570"/>
    </w:pPr>
    <w:rPr>
      <w:rFonts w:ascii="仿宋_GB2312" w:hAnsi="Times New Roman" w:eastAsia="仿宋_GB2312"/>
      <w:b/>
      <w:sz w:val="24"/>
      <w:szCs w:val="20"/>
    </w:rPr>
  </w:style>
  <w:style w:type="paragraph" w:customStyle="1" w:styleId="377">
    <w:name w:val="Char2"/>
    <w:basedOn w:val="1"/>
    <w:autoRedefine/>
    <w:qFormat/>
    <w:uiPriority w:val="0"/>
    <w:pPr>
      <w:spacing w:line="400" w:lineRule="exact"/>
    </w:pPr>
    <w:rPr>
      <w:rFonts w:ascii="Tahoma" w:hAnsi="Tahoma"/>
      <w:sz w:val="24"/>
      <w:szCs w:val="20"/>
    </w:rPr>
  </w:style>
  <w:style w:type="paragraph" w:customStyle="1" w:styleId="378">
    <w:name w:val="样式 首行缩进:  2 字符"/>
    <w:basedOn w:val="1"/>
    <w:autoRedefine/>
    <w:qFormat/>
    <w:uiPriority w:val="0"/>
    <w:pPr>
      <w:spacing w:line="360" w:lineRule="auto"/>
      <w:ind w:firstLine="200" w:firstLineChars="200"/>
    </w:pPr>
    <w:rPr>
      <w:rFonts w:ascii="Times New Roman" w:hAnsi="Times New Roman"/>
      <w:sz w:val="24"/>
    </w:rPr>
  </w:style>
  <w:style w:type="paragraph" w:customStyle="1" w:styleId="379">
    <w:name w:val="xl104"/>
    <w:basedOn w:val="1"/>
    <w:autoRedefine/>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380">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381">
    <w:name w:val="+标题2"/>
    <w:basedOn w:val="4"/>
    <w:autoRedefine/>
    <w:qFormat/>
    <w:uiPriority w:val="0"/>
    <w:pPr>
      <w:tabs>
        <w:tab w:val="left" w:pos="1440"/>
      </w:tabs>
      <w:spacing w:before="120" w:after="120" w:line="360" w:lineRule="auto"/>
      <w:ind w:left="1440" w:hanging="360"/>
    </w:pPr>
    <w:rPr>
      <w:rFonts w:ascii="Times New Roman" w:hAnsi="Times New Roman" w:eastAsia="宋体"/>
      <w:sz w:val="24"/>
      <w:szCs w:val="28"/>
    </w:rPr>
  </w:style>
  <w:style w:type="paragraph" w:customStyle="1" w:styleId="382">
    <w:name w:val="font10"/>
    <w:basedOn w:val="1"/>
    <w:autoRedefine/>
    <w:qFormat/>
    <w:uiPriority w:val="0"/>
    <w:pPr>
      <w:widowControl/>
      <w:spacing w:before="100" w:beforeAutospacing="1" w:after="100" w:afterAutospacing="1"/>
      <w:jc w:val="left"/>
    </w:pPr>
    <w:rPr>
      <w:rFonts w:ascii="Arial Narrow" w:hAnsi="Arial Narrow"/>
      <w:kern w:val="0"/>
      <w:sz w:val="20"/>
      <w:szCs w:val="20"/>
    </w:rPr>
  </w:style>
  <w:style w:type="paragraph" w:customStyle="1" w:styleId="383">
    <w:name w:val="正文样式"/>
    <w:autoRedefine/>
    <w:qFormat/>
    <w:uiPriority w:val="0"/>
    <w:pPr>
      <w:adjustRightInd w:val="0"/>
      <w:snapToGrid w:val="0"/>
      <w:spacing w:line="360" w:lineRule="auto"/>
      <w:ind w:firstLine="482"/>
      <w:jc w:val="both"/>
    </w:pPr>
    <w:rPr>
      <w:rFonts w:ascii="宋体" w:hAnsi="Times New Roman" w:eastAsia="宋体" w:cs="宋体"/>
      <w:kern w:val="2"/>
      <w:sz w:val="24"/>
      <w:lang w:val="en-US" w:eastAsia="zh-CN" w:bidi="ar-SA"/>
    </w:rPr>
  </w:style>
  <w:style w:type="paragraph" w:customStyle="1" w:styleId="384">
    <w:name w:val="font9"/>
    <w:basedOn w:val="1"/>
    <w:autoRedefine/>
    <w:qFormat/>
    <w:uiPriority w:val="0"/>
    <w:pPr>
      <w:widowControl/>
      <w:spacing w:before="100" w:beforeAutospacing="1" w:after="100" w:afterAutospacing="1"/>
      <w:jc w:val="left"/>
    </w:pPr>
    <w:rPr>
      <w:rFonts w:ascii="Times New Roman" w:hAnsi="Times New Roman"/>
      <w:b/>
      <w:bCs/>
      <w:kern w:val="0"/>
      <w:sz w:val="20"/>
      <w:szCs w:val="20"/>
    </w:rPr>
  </w:style>
  <w:style w:type="paragraph" w:customStyle="1" w:styleId="385">
    <w:name w:val="样式 标题 2 + 小二 段前: 0.5 行 段后: 0.5 行"/>
    <w:basedOn w:val="4"/>
    <w:autoRedefine/>
    <w:qFormat/>
    <w:uiPriority w:val="0"/>
    <w:pPr>
      <w:keepLines w:val="0"/>
      <w:spacing w:beforeLines="50" w:afterLines="50" w:line="360" w:lineRule="auto"/>
    </w:pPr>
    <w:rPr>
      <w:rFonts w:ascii="宋体" w:hAnsi="Times New Roman" w:eastAsia="宋体"/>
      <w:sz w:val="30"/>
      <w:szCs w:val="30"/>
    </w:rPr>
  </w:style>
  <w:style w:type="paragraph" w:customStyle="1" w:styleId="386">
    <w:name w:val="正文文本 21"/>
    <w:basedOn w:val="1"/>
    <w:autoRedefine/>
    <w:qFormat/>
    <w:uiPriority w:val="0"/>
    <w:pPr>
      <w:adjustRightInd w:val="0"/>
      <w:jc w:val="left"/>
    </w:pPr>
    <w:rPr>
      <w:rFonts w:ascii="宋体" w:hAnsi="Times New Roman"/>
      <w:i/>
      <w:sz w:val="28"/>
      <w:szCs w:val="20"/>
    </w:rPr>
  </w:style>
  <w:style w:type="paragraph" w:customStyle="1" w:styleId="387">
    <w:name w:val="_Style 186"/>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8">
    <w:name w:val="样式7"/>
    <w:basedOn w:val="1"/>
    <w:autoRedefine/>
    <w:qFormat/>
    <w:uiPriority w:val="34"/>
    <w:pPr>
      <w:spacing w:line="500" w:lineRule="exact"/>
      <w:jc w:val="center"/>
    </w:pPr>
    <w:rPr>
      <w:rFonts w:ascii="宋体" w:hAnsi="Times New Roman"/>
      <w:b/>
      <w:sz w:val="32"/>
      <w:szCs w:val="20"/>
    </w:rPr>
  </w:style>
  <w:style w:type="paragraph" w:customStyle="1" w:styleId="389">
    <w:name w:val="规范正文 Char Char Char"/>
    <w:basedOn w:val="1"/>
    <w:autoRedefine/>
    <w:qFormat/>
    <w:uiPriority w:val="0"/>
    <w:pPr>
      <w:adjustRightInd w:val="0"/>
      <w:spacing w:line="360" w:lineRule="auto"/>
      <w:ind w:left="227" w:firstLine="454"/>
      <w:textAlignment w:val="baseline"/>
    </w:pPr>
    <w:rPr>
      <w:rFonts w:ascii="Times New Roman" w:hAnsi="Times New Roman"/>
      <w:sz w:val="24"/>
    </w:rPr>
  </w:style>
  <w:style w:type="paragraph" w:customStyle="1" w:styleId="390">
    <w:name w:val="xl6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391">
    <w:name w:val="样式 宋体 小四 首行缩进:  1.11 厘米 行距: 1.5 倍行距"/>
    <w:basedOn w:val="1"/>
    <w:autoRedefine/>
    <w:qFormat/>
    <w:uiPriority w:val="0"/>
    <w:pPr>
      <w:spacing w:line="360" w:lineRule="auto"/>
      <w:ind w:left="708" w:leftChars="337" w:firstLine="1"/>
    </w:pPr>
    <w:rPr>
      <w:rFonts w:ascii="宋体" w:hAnsi="Times New Roman"/>
      <w:sz w:val="24"/>
      <w:szCs w:val="20"/>
    </w:rPr>
  </w:style>
  <w:style w:type="paragraph" w:customStyle="1" w:styleId="392">
    <w:name w:val="xl61"/>
    <w:basedOn w:val="1"/>
    <w:autoRedefine/>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kern w:val="0"/>
      <w:sz w:val="20"/>
      <w:szCs w:val="20"/>
    </w:rPr>
  </w:style>
  <w:style w:type="paragraph" w:customStyle="1" w:styleId="393">
    <w:name w:val="xl43"/>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宋体" w:hAnsi="宋体"/>
      <w:kern w:val="0"/>
      <w:sz w:val="20"/>
      <w:szCs w:val="20"/>
    </w:rPr>
  </w:style>
  <w:style w:type="paragraph" w:customStyle="1" w:styleId="394">
    <w:name w:val="+标题3"/>
    <w:basedOn w:val="5"/>
    <w:autoRedefine/>
    <w:qFormat/>
    <w:uiPriority w:val="0"/>
    <w:pPr>
      <w:tabs>
        <w:tab w:val="left" w:pos="2160"/>
      </w:tabs>
      <w:spacing w:before="120" w:after="120" w:line="360" w:lineRule="auto"/>
      <w:ind w:left="2160" w:hanging="360"/>
    </w:pPr>
    <w:rPr>
      <w:sz w:val="24"/>
      <w:szCs w:val="28"/>
    </w:rPr>
  </w:style>
  <w:style w:type="paragraph" w:customStyle="1" w:styleId="395">
    <w:name w:val="xl101"/>
    <w:basedOn w:val="1"/>
    <w:autoRedefine/>
    <w:qFormat/>
    <w:uiPriority w:val="0"/>
    <w:pPr>
      <w:widowControl/>
      <w:pBdr>
        <w:top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396">
    <w:name w:val="xl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20"/>
      <w:szCs w:val="20"/>
    </w:rPr>
  </w:style>
  <w:style w:type="paragraph" w:customStyle="1" w:styleId="397">
    <w:name w:val="xl4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kern w:val="0"/>
      <w:sz w:val="20"/>
      <w:szCs w:val="20"/>
    </w:rPr>
  </w:style>
  <w:style w:type="paragraph" w:customStyle="1" w:styleId="398">
    <w:name w:val="xl6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399">
    <w:name w:val="正文2字符缩进"/>
    <w:basedOn w:val="21"/>
    <w:autoRedefine/>
    <w:qFormat/>
    <w:uiPriority w:val="0"/>
    <w:pPr>
      <w:widowControl/>
      <w:tabs>
        <w:tab w:val="left" w:pos="360"/>
        <w:tab w:val="left" w:pos="720"/>
        <w:tab w:val="left" w:pos="1260"/>
      </w:tabs>
      <w:adjustRightInd w:val="0"/>
      <w:snapToGrid w:val="0"/>
      <w:spacing w:line="360" w:lineRule="auto"/>
      <w:ind w:left="720" w:firstLine="200" w:firstLineChars="200"/>
    </w:pPr>
    <w:rPr>
      <w:rFonts w:cs="宋体"/>
      <w:sz w:val="28"/>
    </w:rPr>
  </w:style>
  <w:style w:type="paragraph" w:customStyle="1" w:styleId="400">
    <w:name w:val="xl6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kern w:val="0"/>
      <w:sz w:val="20"/>
      <w:szCs w:val="20"/>
    </w:rPr>
  </w:style>
  <w:style w:type="paragraph" w:customStyle="1" w:styleId="401">
    <w:name w:val="二级条标题"/>
    <w:basedOn w:val="313"/>
    <w:next w:val="1"/>
    <w:autoRedefine/>
    <w:qFormat/>
    <w:uiPriority w:val="0"/>
    <w:pPr>
      <w:numPr>
        <w:ilvl w:val="3"/>
      </w:numPr>
      <w:tabs>
        <w:tab w:val="left" w:pos="1290"/>
      </w:tabs>
      <w:ind w:left="1290" w:hanging="720"/>
      <w:outlineLvl w:val="3"/>
    </w:pPr>
  </w:style>
  <w:style w:type="paragraph" w:customStyle="1" w:styleId="402">
    <w:name w:val="缺省文本"/>
    <w:basedOn w:val="1"/>
    <w:autoRedefine/>
    <w:qFormat/>
    <w:uiPriority w:val="0"/>
    <w:pPr>
      <w:widowControl/>
      <w:overflowPunct w:val="0"/>
      <w:autoSpaceDE w:val="0"/>
      <w:autoSpaceDN w:val="0"/>
      <w:adjustRightInd w:val="0"/>
      <w:spacing w:line="360" w:lineRule="auto"/>
      <w:ind w:firstLine="720"/>
      <w:textAlignment w:val="baseline"/>
    </w:pPr>
    <w:rPr>
      <w:rFonts w:ascii="宋体" w:hAnsi="Times New Roman" w:eastAsia="仿宋_GB2312"/>
      <w:kern w:val="0"/>
      <w:sz w:val="28"/>
      <w:szCs w:val="20"/>
    </w:rPr>
  </w:style>
  <w:style w:type="paragraph" w:customStyle="1" w:styleId="403">
    <w:name w:val="编号1."/>
    <w:basedOn w:val="1"/>
    <w:autoRedefine/>
    <w:qFormat/>
    <w:uiPriority w:val="0"/>
    <w:pPr>
      <w:tabs>
        <w:tab w:val="left" w:pos="420"/>
        <w:tab w:val="left" w:pos="547"/>
        <w:tab w:val="left" w:pos="1080"/>
        <w:tab w:val="left" w:pos="1275"/>
        <w:tab w:val="left" w:pos="1335"/>
      </w:tabs>
      <w:spacing w:line="480" w:lineRule="atLeast"/>
      <w:ind w:left="1335"/>
    </w:pPr>
    <w:rPr>
      <w:rFonts w:ascii="Times New Roman" w:hAnsi="Times New Roman"/>
      <w:sz w:val="28"/>
    </w:rPr>
  </w:style>
  <w:style w:type="paragraph" w:customStyle="1" w:styleId="404">
    <w:name w:val="样式 标题 3列表编号31.1.1h33rd level3H3l3CTHeading 3 - oldsect..."/>
    <w:basedOn w:val="5"/>
    <w:autoRedefine/>
    <w:qFormat/>
    <w:uiPriority w:val="0"/>
    <w:pPr>
      <w:tabs>
        <w:tab w:val="left" w:pos="720"/>
      </w:tabs>
      <w:adjustRightInd w:val="0"/>
      <w:spacing w:before="0" w:after="0" w:line="360" w:lineRule="atLeast"/>
      <w:ind w:left="720" w:hanging="720"/>
    </w:pPr>
    <w:rPr>
      <w:rFonts w:cs="宋体"/>
      <w:kern w:val="0"/>
      <w:sz w:val="28"/>
      <w:szCs w:val="24"/>
    </w:rPr>
  </w:style>
  <w:style w:type="paragraph" w:customStyle="1" w:styleId="405">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0"/>
      <w:szCs w:val="20"/>
    </w:rPr>
  </w:style>
  <w:style w:type="paragraph" w:customStyle="1" w:styleId="406">
    <w:name w:val="列出段落2"/>
    <w:basedOn w:val="1"/>
    <w:autoRedefine/>
    <w:qFormat/>
    <w:uiPriority w:val="0"/>
    <w:pPr>
      <w:ind w:firstLine="420" w:firstLineChars="200"/>
    </w:pPr>
    <w:rPr>
      <w:rFonts w:ascii="Times New Roman" w:hAnsi="Times New Roman"/>
      <w:szCs w:val="20"/>
    </w:rPr>
  </w:style>
  <w:style w:type="paragraph" w:customStyle="1" w:styleId="407">
    <w:name w:val="修订1"/>
    <w:autoRedefine/>
    <w:semiHidden/>
    <w:qFormat/>
    <w:uiPriority w:val="99"/>
    <w:rPr>
      <w:rFonts w:ascii="Times New Roman" w:hAnsi="Times New Roman" w:eastAsia="宋体" w:cs="Times New Roman"/>
      <w:kern w:val="2"/>
      <w:sz w:val="21"/>
      <w:szCs w:val="24"/>
      <w:lang w:val="en-US" w:eastAsia="zh-CN" w:bidi="ar-SA"/>
    </w:rPr>
  </w:style>
  <w:style w:type="paragraph" w:customStyle="1" w:styleId="408">
    <w:name w:val="xl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409">
    <w:name w:val="样式 标题 1 + (中文) 黑体"/>
    <w:basedOn w:val="3"/>
    <w:autoRedefine/>
    <w:qFormat/>
    <w:uiPriority w:val="0"/>
    <w:pPr>
      <w:adjustRightInd w:val="0"/>
      <w:spacing w:before="120" w:after="120" w:line="240" w:lineRule="auto"/>
      <w:jc w:val="center"/>
    </w:pPr>
    <w:rPr>
      <w:rFonts w:ascii="Times New Roman" w:hAnsi="Times New Roman" w:eastAsia="楷体"/>
      <w:bCs/>
      <w:sz w:val="36"/>
      <w:szCs w:val="44"/>
      <w:lang w:val="en-US"/>
    </w:rPr>
  </w:style>
  <w:style w:type="paragraph" w:customStyle="1" w:styleId="410">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411">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eastAsia="黑体" w:cs="宋体"/>
      <w:b w:val="0"/>
      <w:bCs w:val="0"/>
      <w:sz w:val="28"/>
      <w:szCs w:val="20"/>
    </w:rPr>
  </w:style>
  <w:style w:type="paragraph" w:customStyle="1" w:styleId="412">
    <w:name w:val="acxspmiddle"/>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413">
    <w:name w:val="xl47"/>
    <w:basedOn w:val="1"/>
    <w:autoRedefine/>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414">
    <w:name w:val="xl108"/>
    <w:basedOn w:val="1"/>
    <w:autoRedefine/>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415">
    <w:name w:val="a3cxsplast"/>
    <w:basedOn w:val="1"/>
    <w:autoRedefine/>
    <w:qFormat/>
    <w:uiPriority w:val="0"/>
    <w:pPr>
      <w:widowControl/>
      <w:spacing w:before="100" w:after="100"/>
      <w:jc w:val="left"/>
    </w:pPr>
    <w:rPr>
      <w:rFonts w:ascii="宋体" w:hAnsi="宋体"/>
      <w:b/>
      <w:color w:val="000000"/>
      <w:kern w:val="0"/>
      <w:sz w:val="18"/>
    </w:rPr>
  </w:style>
  <w:style w:type="paragraph" w:customStyle="1" w:styleId="416">
    <w:name w:val="样式 标题 2 + 左侧:  0 厘米 首行缩进:  0 厘米 右侧:  2 字符"/>
    <w:basedOn w:val="4"/>
    <w:autoRedefine/>
    <w:qFormat/>
    <w:uiPriority w:val="0"/>
    <w:pPr>
      <w:spacing w:before="120" w:after="120" w:line="360" w:lineRule="auto"/>
      <w:ind w:right="420" w:rightChars="200"/>
    </w:pPr>
    <w:rPr>
      <w:rFonts w:ascii="Arial" w:hAnsi="Arial" w:eastAsia="黑体"/>
      <w:sz w:val="24"/>
      <w:szCs w:val="20"/>
    </w:rPr>
  </w:style>
  <w:style w:type="paragraph" w:customStyle="1" w:styleId="417">
    <w:name w:val="xl9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22"/>
      <w:szCs w:val="22"/>
    </w:rPr>
  </w:style>
  <w:style w:type="paragraph" w:customStyle="1" w:styleId="418">
    <w:name w:val="msonormalcxsplas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419">
    <w:name w:val="xl58"/>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420">
    <w:name w:val="样式 样式 样式 样式 样式 样式 首行缩进:  2 字符 + 首行缩进:  2 字符 + 首行缩进:  2 字符 + 首行缩进..."/>
    <w:basedOn w:val="1"/>
    <w:autoRedefine/>
    <w:qFormat/>
    <w:uiPriority w:val="0"/>
    <w:pPr>
      <w:spacing w:line="360" w:lineRule="auto"/>
      <w:ind w:firstLine="480" w:firstLineChars="200"/>
    </w:pPr>
    <w:rPr>
      <w:rFonts w:ascii="Times New Roman" w:hAnsi="Times New Roman" w:cs="宋体"/>
      <w:sz w:val="24"/>
      <w:szCs w:val="20"/>
    </w:rPr>
  </w:style>
  <w:style w:type="paragraph" w:customStyle="1" w:styleId="421">
    <w:name w:val="Char3"/>
    <w:basedOn w:val="1"/>
    <w:autoRedefine/>
    <w:qFormat/>
    <w:uiPriority w:val="0"/>
    <w:pPr>
      <w:tabs>
        <w:tab w:val="left" w:pos="794"/>
        <w:tab w:val="left" w:pos="1191"/>
        <w:tab w:val="left" w:pos="1588"/>
        <w:tab w:val="left" w:pos="1985"/>
      </w:tabs>
      <w:autoSpaceDE w:val="0"/>
      <w:autoSpaceDN w:val="0"/>
      <w:adjustRightInd w:val="0"/>
      <w:spacing w:before="136"/>
    </w:pPr>
    <w:rPr>
      <w:rFonts w:ascii="Tahoma" w:hAnsi="Tahoma"/>
      <w:kern w:val="0"/>
      <w:sz w:val="24"/>
      <w:szCs w:val="20"/>
    </w:rPr>
  </w:style>
  <w:style w:type="paragraph" w:customStyle="1" w:styleId="422">
    <w:name w:val="xl100"/>
    <w:basedOn w:val="1"/>
    <w:autoRedefine/>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423">
    <w:name w:val="xl102"/>
    <w:basedOn w:val="1"/>
    <w:autoRedefine/>
    <w:qFormat/>
    <w:uiPriority w:val="0"/>
    <w:pPr>
      <w:widowControl/>
      <w:spacing w:before="100" w:beforeAutospacing="1" w:after="100" w:afterAutospacing="1"/>
      <w:jc w:val="center"/>
    </w:pPr>
    <w:rPr>
      <w:rFonts w:ascii="Arial Unicode MS" w:hAnsi="Arial Unicode MS"/>
      <w:color w:val="FF0000"/>
      <w:kern w:val="0"/>
      <w:sz w:val="28"/>
      <w:szCs w:val="28"/>
    </w:rPr>
  </w:style>
  <w:style w:type="paragraph" w:customStyle="1" w:styleId="424">
    <w:name w:val="Char1 Char Char Char Char Char Char"/>
    <w:basedOn w:val="1"/>
    <w:autoRedefine/>
    <w:qFormat/>
    <w:uiPriority w:val="0"/>
    <w:pPr>
      <w:ind w:firstLine="360" w:firstLineChars="150"/>
    </w:pPr>
    <w:rPr>
      <w:rFonts w:ascii="Tahoma" w:hAnsi="Tahoma"/>
      <w:sz w:val="24"/>
      <w:szCs w:val="20"/>
    </w:rPr>
  </w:style>
  <w:style w:type="paragraph" w:customStyle="1" w:styleId="425">
    <w:name w:val="xl106"/>
    <w:basedOn w:val="1"/>
    <w:autoRedefine/>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426">
    <w:name w:val="Blockquote"/>
    <w:basedOn w:val="1"/>
    <w:autoRedefine/>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427">
    <w:name w:val="正文文本 211"/>
    <w:basedOn w:val="1"/>
    <w:autoRedefine/>
    <w:qFormat/>
    <w:uiPriority w:val="0"/>
    <w:pPr>
      <w:adjustRightInd w:val="0"/>
      <w:jc w:val="left"/>
    </w:pPr>
    <w:rPr>
      <w:rFonts w:ascii="宋体" w:hAnsi="Times New Roman"/>
      <w:i/>
      <w:sz w:val="28"/>
      <w:szCs w:val="20"/>
    </w:rPr>
  </w:style>
  <w:style w:type="paragraph" w:customStyle="1" w:styleId="428">
    <w:name w:val="xl60"/>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429">
    <w:name w:val="xl9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22"/>
      <w:szCs w:val="22"/>
    </w:rPr>
  </w:style>
  <w:style w:type="paragraph" w:customStyle="1" w:styleId="430">
    <w:name w:val="xl110"/>
    <w:basedOn w:val="1"/>
    <w:autoRedefine/>
    <w:qFormat/>
    <w:uiPriority w:val="0"/>
    <w:pPr>
      <w:widowControl/>
      <w:pBdr>
        <w:bottom w:val="single" w:color="auto" w:sz="4" w:space="0"/>
      </w:pBdr>
      <w:spacing w:before="100" w:beforeAutospacing="1" w:after="100" w:afterAutospacing="1"/>
      <w:jc w:val="center"/>
    </w:pPr>
    <w:rPr>
      <w:rFonts w:ascii="宋体" w:hAnsi="宋体" w:cs="宋体"/>
      <w:b/>
      <w:bCs/>
      <w:kern w:val="0"/>
      <w:sz w:val="28"/>
      <w:szCs w:val="28"/>
    </w:rPr>
  </w:style>
  <w:style w:type="paragraph" w:customStyle="1" w:styleId="431">
    <w:name w:val="表格文字"/>
    <w:basedOn w:val="1"/>
    <w:autoRedefine/>
    <w:qFormat/>
    <w:uiPriority w:val="34"/>
    <w:pPr>
      <w:adjustRightInd w:val="0"/>
      <w:spacing w:line="420" w:lineRule="atLeast"/>
      <w:jc w:val="left"/>
    </w:pPr>
    <w:rPr>
      <w:rFonts w:ascii="Times New Roman" w:hAnsi="Times New Roman"/>
      <w:kern w:val="0"/>
      <w:szCs w:val="20"/>
    </w:rPr>
  </w:style>
  <w:style w:type="paragraph" w:customStyle="1" w:styleId="432">
    <w:name w:val="引用1"/>
    <w:basedOn w:val="1"/>
    <w:next w:val="1"/>
    <w:autoRedefine/>
    <w:qFormat/>
    <w:uiPriority w:val="0"/>
    <w:rPr>
      <w:i/>
      <w:iCs/>
      <w:color w:val="000000"/>
      <w:kern w:val="0"/>
      <w:sz w:val="22"/>
      <w:szCs w:val="22"/>
      <w:lang w:eastAsia="en-US" w:bidi="en-US"/>
    </w:rPr>
  </w:style>
  <w:style w:type="paragraph" w:customStyle="1" w:styleId="433">
    <w:name w:val="xl3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434">
    <w:name w:val="修订2"/>
    <w:autoRedefine/>
    <w:hidden/>
    <w:qFormat/>
    <w:uiPriority w:val="99"/>
    <w:rPr>
      <w:rFonts w:ascii="Calibri" w:hAnsi="Calibri" w:eastAsia="宋体" w:cs="Times New Roman"/>
      <w:kern w:val="2"/>
      <w:sz w:val="21"/>
      <w:szCs w:val="24"/>
      <w:lang w:val="en-US" w:eastAsia="zh-CN" w:bidi="ar-SA"/>
    </w:rPr>
  </w:style>
  <w:style w:type="character" w:customStyle="1" w:styleId="435">
    <w:name w:val="font21"/>
    <w:autoRedefine/>
    <w:qFormat/>
    <w:uiPriority w:val="0"/>
    <w:rPr>
      <w:rFonts w:hint="eastAsia" w:ascii="宋体" w:hAnsi="宋体" w:eastAsia="宋体" w:cs="宋体"/>
      <w:color w:val="000000"/>
      <w:sz w:val="18"/>
      <w:szCs w:val="18"/>
      <w:u w:val="none"/>
    </w:rPr>
  </w:style>
  <w:style w:type="character" w:customStyle="1" w:styleId="436">
    <w:name w:val="font31"/>
    <w:autoRedefine/>
    <w:qFormat/>
    <w:uiPriority w:val="0"/>
    <w:rPr>
      <w:rFonts w:hint="eastAsia" w:ascii="宋体" w:hAnsi="宋体" w:eastAsia="宋体" w:cs="宋体"/>
      <w:color w:val="FF0000"/>
      <w:sz w:val="18"/>
      <w:szCs w:val="18"/>
      <w:u w:val="none"/>
    </w:rPr>
  </w:style>
  <w:style w:type="character" w:customStyle="1" w:styleId="437">
    <w:name w:val="尾注文本 字符"/>
    <w:link w:val="52"/>
    <w:qFormat/>
    <w:uiPriority w:val="99"/>
    <w:rPr>
      <w:kern w:val="2"/>
      <w:sz w:val="21"/>
      <w:szCs w:val="21"/>
    </w:rPr>
  </w:style>
  <w:style w:type="character" w:styleId="438">
    <w:name w:val="Placeholder Text"/>
    <w:semiHidden/>
    <w:qFormat/>
    <w:uiPriority w:val="99"/>
    <w:rPr>
      <w:color w:val="808080"/>
    </w:rPr>
  </w:style>
  <w:style w:type="character" w:customStyle="1" w:styleId="439">
    <w:name w:val="con-all2"/>
    <w:basedOn w:val="90"/>
    <w:qFormat/>
    <w:uiPriority w:val="0"/>
  </w:style>
  <w:style w:type="paragraph" w:customStyle="1" w:styleId="440">
    <w:name w:val="修订3"/>
    <w:hidden/>
    <w:unhideWhenUsed/>
    <w:qFormat/>
    <w:uiPriority w:val="99"/>
    <w:rPr>
      <w:rFonts w:ascii="Times New Roman" w:hAnsi="Times New Roman" w:eastAsia="宋体" w:cs="Times New Roman"/>
      <w:kern w:val="2"/>
      <w:sz w:val="21"/>
      <w:szCs w:val="21"/>
      <w:lang w:val="en-US" w:eastAsia="zh-CN" w:bidi="ar-SA"/>
    </w:rPr>
  </w:style>
  <w:style w:type="table" w:customStyle="1" w:styleId="441">
    <w:name w:val="网格型1"/>
    <w:basedOn w:val="88"/>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42">
    <w:name w:val="宏文本 字符"/>
    <w:link w:val="2"/>
    <w:qFormat/>
    <w:uiPriority w:val="99"/>
    <w:rPr>
      <w:rFonts w:ascii="Courier New" w:hAnsi="Courier New" w:cs="Courier New"/>
      <w:kern w:val="2"/>
      <w:sz w:val="24"/>
      <w:szCs w:val="24"/>
    </w:rPr>
  </w:style>
  <w:style w:type="character" w:customStyle="1" w:styleId="443">
    <w:name w:val="注释标题 字符"/>
    <w:link w:val="16"/>
    <w:qFormat/>
    <w:uiPriority w:val="0"/>
    <w:rPr>
      <w:sz w:val="21"/>
    </w:rPr>
  </w:style>
  <w:style w:type="character" w:customStyle="1" w:styleId="444">
    <w:name w:val="电子邮件签名 字符"/>
    <w:link w:val="19"/>
    <w:qFormat/>
    <w:uiPriority w:val="99"/>
    <w:rPr>
      <w:kern w:val="2"/>
      <w:sz w:val="21"/>
    </w:rPr>
  </w:style>
  <w:style w:type="character" w:customStyle="1" w:styleId="445">
    <w:name w:val="称呼 字符"/>
    <w:link w:val="30"/>
    <w:qFormat/>
    <w:uiPriority w:val="0"/>
    <w:rPr>
      <w:kern w:val="2"/>
      <w:sz w:val="21"/>
    </w:rPr>
  </w:style>
  <w:style w:type="character" w:customStyle="1" w:styleId="446">
    <w:name w:val="结束语 字符"/>
    <w:link w:val="32"/>
    <w:qFormat/>
    <w:uiPriority w:val="0"/>
    <w:rPr>
      <w:kern w:val="2"/>
      <w:sz w:val="32"/>
    </w:rPr>
  </w:style>
  <w:style w:type="character" w:customStyle="1" w:styleId="447">
    <w:name w:val="HTML 地址 字符"/>
    <w:link w:val="41"/>
    <w:qFormat/>
    <w:uiPriority w:val="99"/>
    <w:rPr>
      <w:i/>
      <w:iCs/>
      <w:kern w:val="2"/>
      <w:sz w:val="21"/>
    </w:rPr>
  </w:style>
  <w:style w:type="character" w:customStyle="1" w:styleId="448">
    <w:name w:val="签名 字符"/>
    <w:link w:val="58"/>
    <w:qFormat/>
    <w:uiPriority w:val="99"/>
    <w:rPr>
      <w:kern w:val="2"/>
      <w:sz w:val="21"/>
    </w:rPr>
  </w:style>
  <w:style w:type="character" w:customStyle="1" w:styleId="449">
    <w:name w:val="信息标题 字符"/>
    <w:link w:val="79"/>
    <w:qFormat/>
    <w:uiPriority w:val="99"/>
    <w:rPr>
      <w:rFonts w:ascii="Cambria" w:hAnsi="Cambria"/>
      <w:kern w:val="2"/>
      <w:sz w:val="24"/>
      <w:szCs w:val="24"/>
      <w:shd w:val="pct20" w:color="auto" w:fill="auto"/>
    </w:rPr>
  </w:style>
  <w:style w:type="character" w:customStyle="1" w:styleId="450">
    <w:name w:val="正文文本首行缩进 字符"/>
    <w:link w:val="86"/>
    <w:qFormat/>
    <w:uiPriority w:val="0"/>
    <w:rPr>
      <w:rFonts w:ascii="Calibri" w:hAnsi="Calibri" w:eastAsia="隶书" w:cs="Times New Roman"/>
      <w:kern w:val="2"/>
      <w:sz w:val="21"/>
      <w:szCs w:val="20"/>
    </w:rPr>
  </w:style>
  <w:style w:type="character" w:customStyle="1" w:styleId="451">
    <w:name w:val="正文文本首行缩进 2 字符"/>
    <w:link w:val="87"/>
    <w:qFormat/>
    <w:uiPriority w:val="0"/>
    <w:rPr>
      <w:rFonts w:ascii="宋体" w:hAnsi="宋体" w:eastAsia="宋体" w:cs="Times New Roman"/>
      <w:kern w:val="2"/>
      <w:sz w:val="30"/>
    </w:rPr>
  </w:style>
  <w:style w:type="table" w:customStyle="1" w:styleId="452">
    <w:name w:val="网格型2"/>
    <w:basedOn w:val="88"/>
    <w:qFormat/>
    <w:uiPriority w:val="59"/>
    <w:rPr>
      <w:rFonts w:ascii="Calibri" w:hAnsi="Calibri"/>
      <w:kern w:val="2"/>
      <w:sz w:val="21"/>
      <w:szCs w:val="22"/>
      <w:lang w:eastAsia="ja-JP"/>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53">
    <w:name w:val="正文缩进 字符"/>
    <w:link w:val="21"/>
    <w:qFormat/>
    <w:uiPriority w:val="0"/>
    <w:rPr>
      <w:kern w:val="2"/>
      <w:sz w:val="21"/>
    </w:rPr>
  </w:style>
  <w:style w:type="character" w:customStyle="1" w:styleId="454">
    <w:name w:val="已访问的超链接1"/>
    <w:qFormat/>
    <w:uiPriority w:val="0"/>
    <w:rPr>
      <w:color w:val="800080"/>
      <w:u w:val="single"/>
    </w:rPr>
  </w:style>
  <w:style w:type="character" w:customStyle="1" w:styleId="455">
    <w:name w:val="样式 宋体 小四"/>
    <w:qFormat/>
    <w:uiPriority w:val="0"/>
    <w:rPr>
      <w:sz w:val="24"/>
    </w:rPr>
  </w:style>
  <w:style w:type="character" w:customStyle="1" w:styleId="456">
    <w:name w:val="a71"/>
    <w:qFormat/>
    <w:uiPriority w:val="0"/>
    <w:rPr>
      <w:rFonts w:ascii="??" w:hAnsi="??" w:cs="??"/>
      <w:sz w:val="20"/>
      <w:szCs w:val="20"/>
    </w:rPr>
  </w:style>
  <w:style w:type="character" w:customStyle="1" w:styleId="457">
    <w:name w:val="默认段落字体1"/>
    <w:qFormat/>
    <w:uiPriority w:val="0"/>
  </w:style>
  <w:style w:type="character" w:customStyle="1" w:styleId="458">
    <w:name w:val="cn1"/>
    <w:qFormat/>
    <w:uiPriority w:val="0"/>
    <w:rPr>
      <w:sz w:val="18"/>
      <w:szCs w:val="18"/>
    </w:rPr>
  </w:style>
  <w:style w:type="character" w:customStyle="1" w:styleId="459">
    <w:name w:val="z9unnamed2"/>
    <w:basedOn w:val="90"/>
    <w:qFormat/>
    <w:uiPriority w:val="0"/>
  </w:style>
  <w:style w:type="character" w:customStyle="1" w:styleId="460">
    <w:name w:val="zw"/>
    <w:basedOn w:val="90"/>
    <w:qFormat/>
    <w:uiPriority w:val="0"/>
  </w:style>
  <w:style w:type="character" w:customStyle="1" w:styleId="461">
    <w:name w:val="WW8Num9z0"/>
    <w:qFormat/>
    <w:uiPriority w:val="0"/>
    <w:rPr>
      <w:rFonts w:ascii="Wingdings" w:hAnsi="Wingdings"/>
    </w:rPr>
  </w:style>
  <w:style w:type="character" w:customStyle="1" w:styleId="462">
    <w:name w:val="f12_05321"/>
    <w:qFormat/>
    <w:uiPriority w:val="0"/>
    <w:rPr>
      <w:color w:val="053299"/>
      <w:sz w:val="20"/>
      <w:szCs w:val="20"/>
    </w:rPr>
  </w:style>
  <w:style w:type="character" w:customStyle="1" w:styleId="463">
    <w:name w:val="WW8Num13z0"/>
    <w:qFormat/>
    <w:uiPriority w:val="0"/>
    <w:rPr>
      <w:rFonts w:ascii="Wingdings" w:hAnsi="Wingdings"/>
    </w:rPr>
  </w:style>
  <w:style w:type="character" w:customStyle="1" w:styleId="464">
    <w:name w:val="font91"/>
    <w:qFormat/>
    <w:uiPriority w:val="0"/>
    <w:rPr>
      <w:sz w:val="18"/>
      <w:szCs w:val="18"/>
    </w:rPr>
  </w:style>
  <w:style w:type="character" w:customStyle="1" w:styleId="465">
    <w:name w:val="a91"/>
    <w:qFormat/>
    <w:uiPriority w:val="0"/>
    <w:rPr>
      <w:sz w:val="18"/>
      <w:szCs w:val="18"/>
    </w:rPr>
  </w:style>
  <w:style w:type="character" w:customStyle="1" w:styleId="466">
    <w:name w:val="f111"/>
    <w:qFormat/>
    <w:uiPriority w:val="0"/>
    <w:rPr>
      <w:sz w:val="22"/>
      <w:szCs w:val="22"/>
    </w:rPr>
  </w:style>
  <w:style w:type="character" w:customStyle="1" w:styleId="467">
    <w:name w:val="WW8Num3z0"/>
    <w:qFormat/>
    <w:uiPriority w:val="0"/>
    <w:rPr>
      <w:rFonts w:ascii="Wingdings" w:hAnsi="Wingdings"/>
    </w:rPr>
  </w:style>
  <w:style w:type="character" w:customStyle="1" w:styleId="468">
    <w:name w:val="c lh15"/>
    <w:basedOn w:val="90"/>
    <w:qFormat/>
    <w:uiPriority w:val="0"/>
  </w:style>
  <w:style w:type="character" w:customStyle="1" w:styleId="469">
    <w:name w:val="（符号）三标题1.1 Char Char"/>
    <w:link w:val="470"/>
    <w:qFormat/>
    <w:uiPriority w:val="0"/>
    <w:rPr>
      <w:rFonts w:ascii="宋体" w:hAnsi="宋体"/>
      <w:kern w:val="2"/>
      <w:sz w:val="24"/>
      <w:szCs w:val="24"/>
    </w:rPr>
  </w:style>
  <w:style w:type="paragraph" w:customStyle="1" w:styleId="470">
    <w:name w:val="（符号）三标题1.1 Char"/>
    <w:basedOn w:val="1"/>
    <w:link w:val="469"/>
    <w:qFormat/>
    <w:uiPriority w:val="0"/>
    <w:pPr>
      <w:tabs>
        <w:tab w:val="left" w:pos="700"/>
      </w:tabs>
      <w:spacing w:line="500" w:lineRule="exact"/>
      <w:ind w:left="700" w:hanging="700"/>
    </w:pPr>
    <w:rPr>
      <w:rFonts w:ascii="宋体" w:hAnsi="宋体"/>
      <w:sz w:val="24"/>
    </w:rPr>
  </w:style>
  <w:style w:type="character" w:customStyle="1" w:styleId="471">
    <w:name w:val="WW8Num16z0"/>
    <w:qFormat/>
    <w:uiPriority w:val="0"/>
    <w:rPr>
      <w:rFonts w:ascii="Wingdings" w:hAnsi="Wingdings"/>
    </w:rPr>
  </w:style>
  <w:style w:type="character" w:customStyle="1" w:styleId="472">
    <w:name w:val="WW8Num5z0"/>
    <w:qFormat/>
    <w:uiPriority w:val="0"/>
    <w:rPr>
      <w:rFonts w:ascii="Wingdings" w:hAnsi="Wingdings"/>
    </w:rPr>
  </w:style>
  <w:style w:type="character" w:customStyle="1" w:styleId="473">
    <w:name w:val="normalfont1"/>
    <w:qFormat/>
    <w:uiPriority w:val="0"/>
    <w:rPr>
      <w:rFonts w:hint="default" w:ascii="ˎ̥" w:hAnsi="ˎ̥"/>
      <w:color w:val="000472"/>
      <w:sz w:val="18"/>
      <w:szCs w:val="18"/>
    </w:rPr>
  </w:style>
  <w:style w:type="character" w:customStyle="1" w:styleId="474">
    <w:name w:val="Absatz-Standardschriftart"/>
    <w:qFormat/>
    <w:uiPriority w:val="0"/>
  </w:style>
  <w:style w:type="character" w:customStyle="1" w:styleId="475">
    <w:name w:val="a21"/>
    <w:qFormat/>
    <w:uiPriority w:val="0"/>
    <w:rPr>
      <w:rFonts w:ascii="??" w:hAnsi="??" w:cs="??"/>
      <w:sz w:val="18"/>
      <w:szCs w:val="18"/>
    </w:rPr>
  </w:style>
  <w:style w:type="character" w:customStyle="1" w:styleId="476">
    <w:name w:val="(符号)标书正文 Char"/>
    <w:qFormat/>
    <w:uiPriority w:val="0"/>
    <w:rPr>
      <w:rFonts w:ascii="黑体" w:hAnsi="宋体" w:eastAsia="黑体"/>
      <w:b/>
      <w:kern w:val="2"/>
      <w:sz w:val="24"/>
      <w:szCs w:val="24"/>
      <w:lang w:val="en-US" w:eastAsia="zh-CN" w:bidi="ar-SA"/>
    </w:rPr>
  </w:style>
  <w:style w:type="character" w:customStyle="1" w:styleId="477">
    <w:name w:val="WW-Absatz-Standardschriftart1"/>
    <w:qFormat/>
    <w:uiPriority w:val="0"/>
  </w:style>
  <w:style w:type="character" w:customStyle="1" w:styleId="478">
    <w:name w:val="WW8Num15z0"/>
    <w:qFormat/>
    <w:uiPriority w:val="0"/>
    <w:rPr>
      <w:rFonts w:ascii="Wingdings" w:hAnsi="Wingdings"/>
    </w:rPr>
  </w:style>
  <w:style w:type="character" w:customStyle="1" w:styleId="479">
    <w:name w:val="WW8Num7z0"/>
    <w:qFormat/>
    <w:uiPriority w:val="0"/>
    <w:rPr>
      <w:rFonts w:ascii="Wingdings" w:hAnsi="Wingdings"/>
    </w:rPr>
  </w:style>
  <w:style w:type="character" w:customStyle="1" w:styleId="480">
    <w:name w:val="WW8Num1z0"/>
    <w:qFormat/>
    <w:uiPriority w:val="0"/>
    <w:rPr>
      <w:rFonts w:ascii="Wingdings" w:hAnsi="Wingdings"/>
    </w:rPr>
  </w:style>
  <w:style w:type="character" w:customStyle="1" w:styleId="481">
    <w:name w:val="（符号）邀请函中一、"/>
    <w:qFormat/>
    <w:uiPriority w:val="0"/>
    <w:rPr>
      <w:rFonts w:ascii="黑体" w:hAnsi="黑体" w:eastAsia="黑体"/>
      <w:b/>
      <w:bCs/>
      <w:sz w:val="24"/>
    </w:rPr>
  </w:style>
  <w:style w:type="character" w:customStyle="1" w:styleId="482">
    <w:name w:val="WW8Num2z0"/>
    <w:qFormat/>
    <w:uiPriority w:val="0"/>
    <w:rPr>
      <w:rFonts w:ascii="Wingdings" w:hAnsi="Wingdings"/>
    </w:rPr>
  </w:style>
  <w:style w:type="character" w:customStyle="1" w:styleId="483">
    <w:name w:val="WW8Num10z0"/>
    <w:qFormat/>
    <w:uiPriority w:val="0"/>
    <w:rPr>
      <w:rFonts w:ascii="Wingdings" w:hAnsi="Wingdings"/>
    </w:rPr>
  </w:style>
  <w:style w:type="character" w:customStyle="1" w:styleId="484">
    <w:name w:val="f101"/>
    <w:qFormat/>
    <w:uiPriority w:val="0"/>
    <w:rPr>
      <w:sz w:val="21"/>
      <w:szCs w:val="21"/>
    </w:rPr>
  </w:style>
  <w:style w:type="character" w:customStyle="1" w:styleId="485">
    <w:name w:val="样式 宋体 小四 红色 下划线"/>
    <w:qFormat/>
    <w:uiPriority w:val="0"/>
    <w:rPr>
      <w:color w:val="FF0000"/>
      <w:sz w:val="24"/>
      <w:u w:val="single"/>
    </w:rPr>
  </w:style>
  <w:style w:type="character" w:customStyle="1" w:styleId="486">
    <w:name w:val="WW-Absatz-Standardschriftart"/>
    <w:qFormat/>
    <w:uiPriority w:val="0"/>
  </w:style>
  <w:style w:type="character" w:customStyle="1" w:styleId="487">
    <w:name w:val="unnamed21"/>
    <w:basedOn w:val="90"/>
    <w:qFormat/>
    <w:uiPriority w:val="0"/>
  </w:style>
  <w:style w:type="character" w:customStyle="1" w:styleId="488">
    <w:name w:val="type1"/>
    <w:qFormat/>
    <w:uiPriority w:val="0"/>
    <w:rPr>
      <w:rFonts w:hint="default" w:ascii="Arial" w:hAnsi="Arial" w:cs="Arial"/>
      <w:color w:val="666666"/>
      <w:sz w:val="18"/>
      <w:szCs w:val="18"/>
    </w:rPr>
  </w:style>
  <w:style w:type="character" w:customStyle="1" w:styleId="489">
    <w:name w:val="la1"/>
    <w:qFormat/>
    <w:uiPriority w:val="0"/>
    <w:rPr>
      <w:sz w:val="21"/>
      <w:szCs w:val="21"/>
    </w:rPr>
  </w:style>
  <w:style w:type="character" w:customStyle="1" w:styleId="490">
    <w:name w:val="ft-hanggao1"/>
    <w:qFormat/>
    <w:uiPriority w:val="0"/>
    <w:rPr>
      <w:color w:val="000000"/>
      <w:sz w:val="21"/>
      <w:szCs w:val="21"/>
    </w:rPr>
  </w:style>
  <w:style w:type="character" w:customStyle="1" w:styleId="491">
    <w:name w:val="项目符号"/>
    <w:qFormat/>
    <w:uiPriority w:val="0"/>
    <w:rPr>
      <w:rFonts w:ascii="StarSymbol" w:hAnsi="StarSymbol" w:eastAsia="StarSymbol" w:cs="StarSymbol"/>
      <w:sz w:val="18"/>
      <w:szCs w:val="18"/>
    </w:rPr>
  </w:style>
  <w:style w:type="character" w:customStyle="1" w:styleId="492">
    <w:name w:val="WW8Num8z1"/>
    <w:qFormat/>
    <w:uiPriority w:val="0"/>
    <w:rPr>
      <w:rFonts w:ascii="Wingdings" w:hAnsi="Wingdings"/>
    </w:rPr>
  </w:style>
  <w:style w:type="character" w:customStyle="1" w:styleId="493">
    <w:name w:val="WW8Num4z0"/>
    <w:qFormat/>
    <w:uiPriority w:val="0"/>
    <w:rPr>
      <w:rFonts w:ascii="Wingdings" w:hAnsi="Wingdings"/>
    </w:rPr>
  </w:style>
  <w:style w:type="character" w:customStyle="1" w:styleId="494">
    <w:name w:val="WW8Num6z0"/>
    <w:qFormat/>
    <w:uiPriority w:val="0"/>
    <w:rPr>
      <w:rFonts w:ascii="Wingdings" w:hAnsi="Wingdings"/>
    </w:rPr>
  </w:style>
  <w:style w:type="character" w:customStyle="1" w:styleId="495">
    <w:name w:val="WW8Num14z0"/>
    <w:qFormat/>
    <w:uiPriority w:val="0"/>
    <w:rPr>
      <w:rFonts w:ascii="Wingdings" w:hAnsi="Wingdings"/>
    </w:rPr>
  </w:style>
  <w:style w:type="character" w:customStyle="1" w:styleId="496">
    <w:name w:val="lineitems1"/>
    <w:qFormat/>
    <w:uiPriority w:val="0"/>
    <w:rPr>
      <w:sz w:val="17"/>
      <w:szCs w:val="17"/>
    </w:rPr>
  </w:style>
  <w:style w:type="paragraph" w:customStyle="1" w:styleId="497">
    <w:name w:val="表格标题"/>
    <w:basedOn w:val="498"/>
    <w:qFormat/>
    <w:uiPriority w:val="0"/>
    <w:pPr>
      <w:jc w:val="center"/>
    </w:pPr>
    <w:rPr>
      <w:b/>
      <w:bCs/>
      <w:i/>
      <w:iCs/>
    </w:rPr>
  </w:style>
  <w:style w:type="paragraph" w:customStyle="1" w:styleId="498">
    <w:name w:val="表格内容"/>
    <w:basedOn w:val="1"/>
    <w:qFormat/>
    <w:uiPriority w:val="0"/>
    <w:pPr>
      <w:suppressLineNumbers/>
      <w:suppressAutoHyphens/>
    </w:pPr>
    <w:rPr>
      <w:rFonts w:ascii="Times New Roman" w:hAnsi="Times New Roman"/>
      <w:kern w:val="1"/>
      <w:lang w:eastAsia="ar-SA"/>
    </w:rPr>
  </w:style>
  <w:style w:type="paragraph" w:customStyle="1" w:styleId="499">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500">
    <w:name w:val="普通文字"/>
    <w:basedOn w:val="1"/>
    <w:qFormat/>
    <w:uiPriority w:val="0"/>
    <w:pPr>
      <w:suppressAutoHyphens/>
    </w:pPr>
    <w:rPr>
      <w:rFonts w:ascii="宋体" w:hAnsi="宋体" w:cs="Courier New"/>
      <w:kern w:val="1"/>
      <w:szCs w:val="21"/>
      <w:lang w:eastAsia="ar-SA"/>
    </w:rPr>
  </w:style>
  <w:style w:type="paragraph" w:customStyle="1" w:styleId="501">
    <w:name w:val="zw1"/>
    <w:basedOn w:val="1"/>
    <w:qFormat/>
    <w:uiPriority w:val="0"/>
    <w:pPr>
      <w:widowControl/>
      <w:spacing w:before="100" w:beforeAutospacing="1" w:after="100" w:afterAutospacing="1"/>
      <w:jc w:val="left"/>
    </w:pPr>
    <w:rPr>
      <w:rFonts w:ascii="宋体" w:hAnsi="宋体"/>
      <w:kern w:val="0"/>
      <w:sz w:val="24"/>
    </w:rPr>
  </w:style>
  <w:style w:type="paragraph" w:customStyle="1" w:styleId="502">
    <w:name w:val="我的重点"/>
    <w:basedOn w:val="503"/>
    <w:qFormat/>
    <w:uiPriority w:val="0"/>
    <w:pPr>
      <w:ind w:left="0"/>
    </w:pPr>
    <w:rPr>
      <w:rFonts w:eastAsia="华文楷体"/>
      <w:i/>
      <w:iCs/>
    </w:rPr>
  </w:style>
  <w:style w:type="paragraph" w:customStyle="1" w:styleId="503">
    <w:name w:val="重点"/>
    <w:basedOn w:val="1"/>
    <w:qFormat/>
    <w:uiPriority w:val="0"/>
    <w:pPr>
      <w:spacing w:line="360" w:lineRule="auto"/>
      <w:ind w:left="284"/>
    </w:pPr>
    <w:rPr>
      <w:rFonts w:ascii="Arial Black" w:hAnsi="Arial Black" w:eastAsia="楷体_GB2312" w:cs="Arial Black"/>
      <w:b/>
      <w:bCs/>
      <w:sz w:val="28"/>
      <w:szCs w:val="28"/>
    </w:rPr>
  </w:style>
  <w:style w:type="paragraph" w:customStyle="1" w:styleId="504">
    <w:name w:val="正文1"/>
    <w:qFormat/>
    <w:uiPriority w:val="0"/>
    <w:pPr>
      <w:widowControl w:val="0"/>
      <w:adjustRightInd w:val="0"/>
      <w:spacing w:line="360" w:lineRule="atLeast"/>
    </w:pPr>
    <w:rPr>
      <w:rFonts w:hint="eastAsia" w:ascii="宋体" w:hAnsi="Times New Roman" w:eastAsia="宋体" w:cs="Times New Roman"/>
      <w:sz w:val="34"/>
      <w:lang w:val="en-US" w:eastAsia="zh-CN" w:bidi="ar-SA"/>
    </w:rPr>
  </w:style>
  <w:style w:type="paragraph" w:customStyle="1" w:styleId="505">
    <w:name w:val="（符号）二标题1."/>
    <w:basedOn w:val="1"/>
    <w:qFormat/>
    <w:uiPriority w:val="0"/>
    <w:rPr>
      <w:rFonts w:ascii="Times New Roman" w:hAnsi="Times New Roman"/>
    </w:rPr>
  </w:style>
  <w:style w:type="paragraph" w:customStyle="1" w:styleId="506">
    <w:name w:val="目录"/>
    <w:basedOn w:val="1"/>
    <w:qFormat/>
    <w:uiPriority w:val="0"/>
    <w:pPr>
      <w:suppressLineNumbers/>
      <w:suppressAutoHyphens/>
    </w:pPr>
    <w:rPr>
      <w:rFonts w:ascii="Times New Roman" w:hAnsi="Times New Roman"/>
      <w:kern w:val="1"/>
      <w:lang w:eastAsia="ar-SA"/>
    </w:rPr>
  </w:style>
  <w:style w:type="paragraph" w:customStyle="1" w:styleId="507">
    <w:name w:val="（符号）目录1"/>
    <w:basedOn w:val="1"/>
    <w:qFormat/>
    <w:uiPriority w:val="0"/>
    <w:pPr>
      <w:spacing w:line="500" w:lineRule="exact"/>
    </w:pPr>
    <w:rPr>
      <w:rFonts w:ascii="Times New Roman" w:hAnsi="Times New Roman" w:cs="宋体"/>
      <w:sz w:val="24"/>
      <w:szCs w:val="20"/>
    </w:rPr>
  </w:style>
  <w:style w:type="paragraph" w:customStyle="1" w:styleId="508">
    <w:name w:val="内容目录 10"/>
    <w:basedOn w:val="506"/>
    <w:qFormat/>
    <w:uiPriority w:val="0"/>
    <w:pPr>
      <w:tabs>
        <w:tab w:val="right" w:leader="dot" w:pos="9637"/>
      </w:tabs>
      <w:ind w:left="2547"/>
    </w:pPr>
  </w:style>
  <w:style w:type="paragraph" w:customStyle="1" w:styleId="509">
    <w:name w:val="列表－视讯"/>
    <w:basedOn w:val="20"/>
    <w:qFormat/>
    <w:uiPriority w:val="0"/>
  </w:style>
  <w:style w:type="paragraph" w:customStyle="1" w:styleId="510">
    <w:name w:val="（符号）投标一、"/>
    <w:basedOn w:val="1"/>
    <w:qFormat/>
    <w:uiPriority w:val="0"/>
    <w:pPr>
      <w:tabs>
        <w:tab w:val="left" w:pos="980"/>
      </w:tabs>
      <w:spacing w:line="460" w:lineRule="exact"/>
      <w:ind w:left="980" w:hanging="498"/>
    </w:pPr>
    <w:rPr>
      <w:rFonts w:ascii="Times New Roman" w:hAnsi="Times New Roman"/>
    </w:rPr>
  </w:style>
  <w:style w:type="paragraph" w:customStyle="1" w:styleId="511">
    <w:name w:val="（符号）内容三标题1.1"/>
    <w:basedOn w:val="1"/>
    <w:qFormat/>
    <w:uiPriority w:val="0"/>
    <w:pPr>
      <w:spacing w:line="500" w:lineRule="exact"/>
    </w:pPr>
    <w:rPr>
      <w:rFonts w:ascii="黑体" w:hAnsi="宋体" w:eastAsia="黑体"/>
      <w:b/>
      <w:bCs/>
      <w:sz w:val="24"/>
    </w:rPr>
  </w:style>
  <w:style w:type="paragraph" w:customStyle="1" w:styleId="512">
    <w:name w:val="(符号)四标题1.1"/>
    <w:basedOn w:val="1"/>
    <w:qFormat/>
    <w:uiPriority w:val="0"/>
    <w:pPr>
      <w:tabs>
        <w:tab w:val="left" w:pos="567"/>
      </w:tabs>
      <w:spacing w:line="500" w:lineRule="exact"/>
      <w:ind w:left="567" w:hanging="567"/>
    </w:pPr>
    <w:rPr>
      <w:rFonts w:ascii="宋体" w:hAnsi="宋体" w:cs="宋体"/>
      <w:color w:val="000000"/>
      <w:kern w:val="0"/>
      <w:sz w:val="24"/>
      <w:szCs w:val="20"/>
    </w:rPr>
  </w:style>
  <w:style w:type="paragraph" w:customStyle="1" w:styleId="513">
    <w:name w:val="文档结构图1"/>
    <w:basedOn w:val="1"/>
    <w:qFormat/>
    <w:uiPriority w:val="0"/>
    <w:pPr>
      <w:shd w:val="clear" w:color="auto" w:fill="000080"/>
      <w:suppressAutoHyphens/>
    </w:pPr>
    <w:rPr>
      <w:rFonts w:ascii="Times New Roman" w:hAnsi="Times New Roman"/>
      <w:kern w:val="1"/>
      <w:lang w:eastAsia="ar-SA"/>
    </w:rPr>
  </w:style>
  <w:style w:type="paragraph" w:customStyle="1" w:styleId="514">
    <w:name w:val="四级条标题"/>
    <w:basedOn w:val="515"/>
    <w:next w:val="516"/>
    <w:qFormat/>
    <w:uiPriority w:val="0"/>
    <w:pPr>
      <w:tabs>
        <w:tab w:val="left" w:pos="360"/>
        <w:tab w:val="left" w:pos="1740"/>
        <w:tab w:val="left" w:pos="2160"/>
        <w:tab w:val="left" w:pos="2580"/>
        <w:tab w:val="left" w:pos="3000"/>
      </w:tabs>
      <w:ind w:left="3000"/>
      <w:outlineLvl w:val="5"/>
    </w:pPr>
  </w:style>
  <w:style w:type="paragraph" w:customStyle="1" w:styleId="515">
    <w:name w:val="三级条标题"/>
    <w:basedOn w:val="401"/>
    <w:next w:val="516"/>
    <w:qFormat/>
    <w:uiPriority w:val="0"/>
    <w:pPr>
      <w:numPr>
        <w:ilvl w:val="0"/>
        <w:numId w:val="0"/>
      </w:numPr>
      <w:tabs>
        <w:tab w:val="left" w:pos="360"/>
        <w:tab w:val="left" w:pos="1740"/>
        <w:tab w:val="left" w:pos="2160"/>
        <w:tab w:val="left" w:pos="2580"/>
        <w:tab w:val="clear" w:pos="1260"/>
        <w:tab w:val="clear" w:pos="1290"/>
      </w:tabs>
      <w:ind w:left="2580" w:hanging="420"/>
      <w:outlineLvl w:val="4"/>
    </w:pPr>
    <w:rPr>
      <w:sz w:val="21"/>
    </w:rPr>
  </w:style>
  <w:style w:type="paragraph" w:customStyle="1" w:styleId="516">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17">
    <w:name w:val="章标题"/>
    <w:next w:val="516"/>
    <w:qFormat/>
    <w:uiPriority w:val="0"/>
    <w:pPr>
      <w:tabs>
        <w:tab w:val="left" w:pos="360"/>
      </w:tabs>
      <w:spacing w:beforeLines="50" w:afterLines="50"/>
      <w:jc w:val="both"/>
      <w:outlineLvl w:val="1"/>
    </w:pPr>
    <w:rPr>
      <w:rFonts w:ascii="黑体" w:hAnsi="Times New Roman" w:eastAsia="黑体" w:cs="Times New Roman"/>
      <w:sz w:val="21"/>
      <w:lang w:val="en-US" w:eastAsia="zh-CN" w:bidi="ar-SA"/>
    </w:rPr>
  </w:style>
  <w:style w:type="paragraph" w:customStyle="1" w:styleId="518">
    <w:name w:val="Char Char Char"/>
    <w:basedOn w:val="1"/>
    <w:qFormat/>
    <w:uiPriority w:val="0"/>
    <w:rPr>
      <w:rFonts w:ascii="Tahoma" w:hAnsi="Tahoma"/>
      <w:sz w:val="24"/>
      <w:szCs w:val="20"/>
    </w:rPr>
  </w:style>
  <w:style w:type="paragraph" w:customStyle="1" w:styleId="519">
    <w:name w:val="Char Char1 Char Char Char Char Char Char Char Char Char Char Char Char Char Char Char"/>
    <w:basedOn w:val="1"/>
    <w:qFormat/>
    <w:uiPriority w:val="0"/>
    <w:pPr>
      <w:widowControl/>
      <w:spacing w:after="160" w:line="240" w:lineRule="exact"/>
      <w:jc w:val="left"/>
    </w:pPr>
    <w:rPr>
      <w:rFonts w:ascii="Times New Roman" w:hAnsi="Times New Roman"/>
      <w:sz w:val="28"/>
    </w:rPr>
  </w:style>
  <w:style w:type="paragraph" w:customStyle="1" w:styleId="520">
    <w:name w:val="五级条标题"/>
    <w:basedOn w:val="514"/>
    <w:next w:val="516"/>
    <w:qFormat/>
    <w:uiPriority w:val="0"/>
    <w:pPr>
      <w:tabs>
        <w:tab w:val="left" w:pos="3420"/>
        <w:tab w:val="clear" w:pos="3000"/>
      </w:tabs>
      <w:ind w:left="3420"/>
      <w:outlineLvl w:val="6"/>
    </w:pPr>
  </w:style>
  <w:style w:type="paragraph" w:customStyle="1" w:styleId="521">
    <w:name w:val="（符号）内容二标题1"/>
    <w:basedOn w:val="1"/>
    <w:qFormat/>
    <w:uiPriority w:val="0"/>
    <w:pPr>
      <w:tabs>
        <w:tab w:val="left" w:pos="420"/>
      </w:tabs>
      <w:spacing w:before="140" w:after="140" w:line="500" w:lineRule="exact"/>
      <w:ind w:left="430" w:hanging="430"/>
      <w:outlineLvl w:val="1"/>
    </w:pPr>
    <w:rPr>
      <w:rFonts w:ascii="楷体_GB2312" w:hAnsi="Times New Roman" w:eastAsia="楷体_GB2312" w:cs="宋体"/>
      <w:b/>
      <w:bCs/>
      <w:sz w:val="28"/>
      <w:szCs w:val="20"/>
    </w:rPr>
  </w:style>
  <w:style w:type="paragraph" w:customStyle="1" w:styleId="522">
    <w:name w:val="(符号)五标题1.1.1"/>
    <w:basedOn w:val="1"/>
    <w:qFormat/>
    <w:uiPriority w:val="0"/>
    <w:pPr>
      <w:tabs>
        <w:tab w:val="left" w:pos="1000"/>
      </w:tabs>
      <w:spacing w:line="500" w:lineRule="exact"/>
      <w:ind w:left="1000" w:hanging="1000"/>
    </w:pPr>
    <w:rPr>
      <w:rFonts w:ascii="宋体" w:hAnsi="宋体" w:cs="宋体"/>
      <w:color w:val="000000"/>
      <w:sz w:val="24"/>
      <w:szCs w:val="20"/>
    </w:rPr>
  </w:style>
  <w:style w:type="paragraph" w:customStyle="1" w:styleId="523">
    <w:name w:val="样式 标题 4 + 行距: 多倍行距 1.57 字行"/>
    <w:basedOn w:val="6"/>
    <w:qFormat/>
    <w:uiPriority w:val="0"/>
    <w:pPr>
      <w:keepLines/>
      <w:numPr>
        <w:ilvl w:val="0"/>
        <w:numId w:val="0"/>
      </w:numPr>
      <w:tabs>
        <w:tab w:val="left" w:pos="864"/>
        <w:tab w:val="clear" w:pos="2356"/>
      </w:tabs>
      <w:spacing w:before="280" w:after="290" w:line="377" w:lineRule="auto"/>
      <w:ind w:left="150" w:leftChars="50"/>
      <w:jc w:val="left"/>
    </w:pPr>
    <w:rPr>
      <w:rFonts w:ascii="Arial" w:eastAsia="仿宋_GB2312" w:cs="Arial"/>
      <w:bCs/>
      <w:kern w:val="2"/>
      <w:sz w:val="30"/>
      <w:szCs w:val="30"/>
    </w:rPr>
  </w:style>
  <w:style w:type="paragraph" w:customStyle="1" w:styleId="524">
    <w:name w:val="(符号)标书正文"/>
    <w:basedOn w:val="1"/>
    <w:qFormat/>
    <w:uiPriority w:val="0"/>
    <w:pPr>
      <w:spacing w:line="500" w:lineRule="exact"/>
      <w:ind w:left="420"/>
    </w:pPr>
    <w:rPr>
      <w:rFonts w:ascii="宋体" w:hAnsi="宋体" w:cs="宋体"/>
      <w:sz w:val="24"/>
      <w:szCs w:val="20"/>
    </w:rPr>
  </w:style>
  <w:style w:type="paragraph" w:customStyle="1" w:styleId="525">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26">
    <w:name w:val="(符号)三标题1.1"/>
    <w:basedOn w:val="1"/>
    <w:qFormat/>
    <w:uiPriority w:val="0"/>
    <w:pPr>
      <w:tabs>
        <w:tab w:val="left" w:pos="420"/>
      </w:tabs>
      <w:spacing w:before="140" w:after="140" w:line="500" w:lineRule="exact"/>
      <w:ind w:left="430" w:hanging="430"/>
      <w:outlineLvl w:val="2"/>
    </w:pPr>
    <w:rPr>
      <w:rFonts w:ascii="楷体_GB2312" w:hAnsi="宋体" w:eastAsia="楷体_GB2312" w:cs="宋体"/>
      <w:b/>
      <w:bCs/>
      <w:sz w:val="28"/>
      <w:szCs w:val="20"/>
    </w:rPr>
  </w:style>
  <w:style w:type="paragraph" w:customStyle="1" w:styleId="527">
    <w:name w:val="部分1"/>
    <w:basedOn w:val="1"/>
    <w:qFormat/>
    <w:uiPriority w:val="0"/>
    <w:pPr>
      <w:keepNext/>
      <w:pageBreakBefore/>
      <w:tabs>
        <w:tab w:val="left" w:pos="1272"/>
      </w:tabs>
      <w:spacing w:line="360" w:lineRule="auto"/>
      <w:ind w:left="1272" w:hanging="1272"/>
      <w:jc w:val="center"/>
      <w:outlineLvl w:val="0"/>
    </w:pPr>
    <w:rPr>
      <w:rFonts w:ascii="Times New Roman" w:hAnsi="Times New Roman" w:eastAsia="黑体"/>
      <w:b/>
      <w:bCs/>
      <w:kern w:val="44"/>
      <w:sz w:val="36"/>
      <w:szCs w:val="36"/>
    </w:rPr>
  </w:style>
  <w:style w:type="paragraph" w:customStyle="1" w:styleId="528">
    <w:name w:val="Char Char Char Char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529">
    <w:name w:val="1"/>
    <w:basedOn w:val="1"/>
    <w:next w:val="530"/>
    <w:qFormat/>
    <w:uiPriority w:val="99"/>
    <w:pPr>
      <w:suppressAutoHyphens/>
      <w:spacing w:line="360" w:lineRule="auto"/>
      <w:ind w:firstLine="480"/>
    </w:pPr>
    <w:rPr>
      <w:rFonts w:ascii="Times New Roman" w:hAnsi="Times New Roman"/>
      <w:kern w:val="1"/>
      <w:sz w:val="24"/>
      <w:lang w:eastAsia="ar-SA"/>
    </w:rPr>
  </w:style>
  <w:style w:type="paragraph" w:customStyle="1" w:styleId="530">
    <w:name w:val="正文文字缩进 3"/>
    <w:basedOn w:val="1"/>
    <w:qFormat/>
    <w:uiPriority w:val="0"/>
    <w:pPr>
      <w:suppressAutoHyphens/>
      <w:spacing w:after="120"/>
      <w:ind w:left="420"/>
    </w:pPr>
    <w:rPr>
      <w:rFonts w:ascii="Times New Roman" w:hAnsi="Times New Roman"/>
      <w:kern w:val="1"/>
      <w:sz w:val="16"/>
      <w:szCs w:val="16"/>
      <w:lang w:eastAsia="ar-SA"/>
    </w:rPr>
  </w:style>
  <w:style w:type="paragraph" w:customStyle="1" w:styleId="531">
    <w:name w:val="正文2"/>
    <w:basedOn w:val="1"/>
    <w:qFormat/>
    <w:uiPriority w:val="0"/>
    <w:pPr>
      <w:spacing w:before="156" w:line="360" w:lineRule="auto"/>
      <w:ind w:firstLine="510" w:firstLineChars="200"/>
    </w:pPr>
    <w:rPr>
      <w:rFonts w:ascii="Times New Roman" w:hAnsi="Times New Roman" w:eastAsia="仿宋_GB2312"/>
      <w:sz w:val="24"/>
    </w:rPr>
  </w:style>
  <w:style w:type="paragraph" w:customStyle="1" w:styleId="532">
    <w:name w:val="规范正文"/>
    <w:basedOn w:val="1"/>
    <w:qFormat/>
    <w:uiPriority w:val="0"/>
    <w:pPr>
      <w:suppressAutoHyphens/>
      <w:spacing w:line="360" w:lineRule="auto"/>
      <w:ind w:left="480"/>
      <w:textAlignment w:val="baseline"/>
    </w:pPr>
    <w:rPr>
      <w:rFonts w:ascii="Times New Roman" w:hAnsi="Times New Roman"/>
      <w:kern w:val="1"/>
      <w:sz w:val="24"/>
      <w:szCs w:val="20"/>
      <w:lang w:eastAsia="ar-SA"/>
    </w:rPr>
  </w:style>
  <w:style w:type="paragraph" w:customStyle="1" w:styleId="533">
    <w:name w:val="菱形标号"/>
    <w:basedOn w:val="1"/>
    <w:qFormat/>
    <w:uiPriority w:val="0"/>
    <w:pPr>
      <w:tabs>
        <w:tab w:val="left" w:pos="1125"/>
      </w:tabs>
      <w:spacing w:line="360" w:lineRule="auto"/>
      <w:ind w:left="902" w:hanging="390"/>
    </w:pPr>
    <w:rPr>
      <w:rFonts w:ascii="Times New Roman" w:hAnsi="Times New Roman"/>
      <w:sz w:val="24"/>
    </w:rPr>
  </w:style>
  <w:style w:type="paragraph" w:customStyle="1" w:styleId="534">
    <w:name w:val="xiao b"/>
    <w:basedOn w:val="1"/>
    <w:qFormat/>
    <w:uiPriority w:val="0"/>
    <w:pPr>
      <w:jc w:val="center"/>
    </w:pPr>
    <w:rPr>
      <w:rFonts w:ascii="Times New Roman" w:hAnsi="Times New Roman" w:eastAsia="黑体"/>
      <w:sz w:val="24"/>
      <w:szCs w:val="20"/>
    </w:rPr>
  </w:style>
  <w:style w:type="paragraph" w:customStyle="1" w:styleId="535">
    <w:name w:val="正文文字 3"/>
    <w:basedOn w:val="1"/>
    <w:qFormat/>
    <w:uiPriority w:val="0"/>
    <w:pPr>
      <w:suppressAutoHyphens/>
      <w:spacing w:after="120"/>
    </w:pPr>
    <w:rPr>
      <w:rFonts w:ascii="Times New Roman" w:hAnsi="Times New Roman"/>
      <w:kern w:val="1"/>
      <w:sz w:val="16"/>
      <w:szCs w:val="16"/>
      <w:lang w:eastAsia="ar-SA"/>
    </w:rPr>
  </w:style>
  <w:style w:type="paragraph" w:customStyle="1" w:styleId="536">
    <w:name w:val="样式 宋体 小四 行距: 固定值 25 磅"/>
    <w:basedOn w:val="1"/>
    <w:qFormat/>
    <w:uiPriority w:val="0"/>
    <w:pPr>
      <w:spacing w:line="500" w:lineRule="exact"/>
    </w:pPr>
    <w:rPr>
      <w:rFonts w:ascii="宋体" w:hAnsi="宋体" w:cs="宋体"/>
      <w:sz w:val="24"/>
      <w:szCs w:val="20"/>
    </w:rPr>
  </w:style>
  <w:style w:type="paragraph" w:customStyle="1" w:styleId="537">
    <w:name w:val="目次、标准名称标题"/>
    <w:basedOn w:val="538"/>
    <w:next w:val="516"/>
    <w:qFormat/>
    <w:uiPriority w:val="0"/>
    <w:pPr>
      <w:tabs>
        <w:tab w:val="left" w:pos="360"/>
      </w:tabs>
      <w:spacing w:line="460" w:lineRule="exact"/>
    </w:pPr>
  </w:style>
  <w:style w:type="paragraph" w:customStyle="1" w:styleId="538">
    <w:name w:val="前言、引言标题"/>
    <w:next w:val="1"/>
    <w:qFormat/>
    <w:uiPriority w:val="0"/>
    <w:pPr>
      <w:shd w:val="clear" w:color="FFFFFF" w:fill="FFFFFF"/>
      <w:tabs>
        <w:tab w:val="left" w:pos="360"/>
      </w:tabs>
      <w:spacing w:before="640" w:after="560"/>
      <w:jc w:val="center"/>
      <w:outlineLvl w:val="0"/>
    </w:pPr>
    <w:rPr>
      <w:rFonts w:ascii="黑体" w:hAnsi="Times New Roman" w:eastAsia="黑体" w:cs="Times New Roman"/>
      <w:sz w:val="32"/>
      <w:lang w:val="en-US" w:eastAsia="zh-CN" w:bidi="ar-SA"/>
    </w:rPr>
  </w:style>
  <w:style w:type="paragraph" w:customStyle="1" w:styleId="539">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540">
    <w:name w:val="(符号)内容1五标题1.1.1"/>
    <w:basedOn w:val="1"/>
    <w:qFormat/>
    <w:uiPriority w:val="0"/>
    <w:rPr>
      <w:rFonts w:ascii="Times New Roman" w:hAnsi="Times New Roman"/>
    </w:rPr>
  </w:style>
  <w:style w:type="paragraph" w:customStyle="1" w:styleId="541">
    <w:name w:val="框内容"/>
    <w:basedOn w:val="34"/>
    <w:qFormat/>
    <w:uiPriority w:val="0"/>
    <w:pPr>
      <w:widowControl w:val="0"/>
      <w:suppressAutoHyphens/>
      <w:spacing w:after="120" w:line="240" w:lineRule="auto"/>
    </w:pPr>
    <w:rPr>
      <w:rFonts w:ascii="Times New Roman" w:hAnsi="Times New Roman" w:eastAsia="宋体"/>
      <w:b w:val="0"/>
      <w:kern w:val="1"/>
      <w:sz w:val="21"/>
      <w:szCs w:val="24"/>
      <w:lang w:eastAsia="ar-SA"/>
    </w:rPr>
  </w:style>
  <w:style w:type="paragraph" w:customStyle="1" w:styleId="542">
    <w:name w:val="（符号）目录3"/>
    <w:basedOn w:val="1"/>
    <w:qFormat/>
    <w:uiPriority w:val="0"/>
    <w:pPr>
      <w:spacing w:line="500" w:lineRule="exact"/>
      <w:ind w:left="1000"/>
    </w:pPr>
    <w:rPr>
      <w:rFonts w:ascii="Times New Roman" w:hAnsi="Times New Roman" w:cs="宋体"/>
      <w:sz w:val="24"/>
      <w:szCs w:val="20"/>
    </w:rPr>
  </w:style>
  <w:style w:type="paragraph" w:customStyle="1" w:styleId="543">
    <w:name w:val="(符号)一标题第一部分"/>
    <w:basedOn w:val="1"/>
    <w:qFormat/>
    <w:uiPriority w:val="0"/>
    <w:pPr>
      <w:spacing w:beforeLines="100" w:afterLines="100" w:line="500" w:lineRule="exact"/>
      <w:jc w:val="center"/>
      <w:outlineLvl w:val="1"/>
    </w:pPr>
    <w:rPr>
      <w:rFonts w:ascii="黑体" w:hAnsi="Times New Roman" w:eastAsia="黑体" w:cs="宋体"/>
      <w:b/>
      <w:bCs/>
      <w:sz w:val="32"/>
      <w:szCs w:val="32"/>
    </w:rPr>
  </w:style>
  <w:style w:type="paragraph" w:customStyle="1" w:styleId="544">
    <w:name w:val="（符号）二标题总则"/>
    <w:basedOn w:val="543"/>
    <w:qFormat/>
    <w:uiPriority w:val="0"/>
    <w:pPr>
      <w:spacing w:beforeLines="50" w:afterLines="50" w:line="440" w:lineRule="atLeast"/>
    </w:pPr>
  </w:style>
  <w:style w:type="paragraph" w:customStyle="1" w:styleId="545">
    <w:name w:val="（符号）内容四标题1.1.12"/>
    <w:basedOn w:val="1"/>
    <w:qFormat/>
    <w:uiPriority w:val="0"/>
    <w:pPr>
      <w:tabs>
        <w:tab w:val="left" w:pos="1000"/>
      </w:tabs>
      <w:spacing w:line="500" w:lineRule="exact"/>
      <w:ind w:left="1000" w:hanging="1000"/>
    </w:pPr>
    <w:rPr>
      <w:rFonts w:ascii="Times New Roman" w:hAnsi="Times New Roman"/>
      <w:sz w:val="24"/>
    </w:rPr>
  </w:style>
  <w:style w:type="paragraph" w:customStyle="1" w:styleId="546">
    <w:name w:val="表"/>
    <w:basedOn w:val="1"/>
    <w:qFormat/>
    <w:uiPriority w:val="0"/>
    <w:pPr>
      <w:adjustRightInd w:val="0"/>
      <w:snapToGrid w:val="0"/>
    </w:pPr>
    <w:rPr>
      <w:rFonts w:ascii="Times New Roman" w:hAnsi="Times New Roman"/>
      <w:color w:val="000000"/>
      <w:kern w:val="0"/>
      <w:szCs w:val="21"/>
    </w:rPr>
  </w:style>
  <w:style w:type="paragraph" w:customStyle="1" w:styleId="547">
    <w:name w:val="标题1"/>
    <w:basedOn w:val="1"/>
    <w:next w:val="34"/>
    <w:qFormat/>
    <w:uiPriority w:val="0"/>
    <w:pPr>
      <w:keepNext/>
      <w:suppressAutoHyphens/>
      <w:spacing w:before="240" w:after="120"/>
    </w:pPr>
    <w:rPr>
      <w:rFonts w:ascii="AR PL ShanHeiSun Uni" w:hAnsi="AR PL ShanHeiSun Uni" w:eastAsia="AR PL ShanHeiSun Uni" w:cs="AR PL ShanHeiSun Uni"/>
      <w:kern w:val="1"/>
      <w:sz w:val="28"/>
      <w:szCs w:val="28"/>
      <w:lang w:eastAsia="ar-SA"/>
    </w:rPr>
  </w:style>
  <w:style w:type="paragraph" w:customStyle="1" w:styleId="548">
    <w:name w:val="（符号）内容四标题1.1"/>
    <w:basedOn w:val="1"/>
    <w:qFormat/>
    <w:uiPriority w:val="0"/>
    <w:pPr>
      <w:tabs>
        <w:tab w:val="left" w:pos="420"/>
      </w:tabs>
      <w:spacing w:line="500" w:lineRule="exact"/>
      <w:ind w:left="430" w:hanging="430"/>
    </w:pPr>
    <w:rPr>
      <w:rFonts w:ascii="黑体" w:hAnsi="Times New Roman"/>
      <w:sz w:val="24"/>
      <w:szCs w:val="21"/>
    </w:rPr>
  </w:style>
  <w:style w:type="paragraph" w:customStyle="1" w:styleId="549">
    <w:name w:val="样式"/>
    <w:basedOn w:val="1"/>
    <w:qFormat/>
    <w:uiPriority w:val="0"/>
    <w:pPr>
      <w:autoSpaceDE w:val="0"/>
      <w:autoSpaceDN w:val="0"/>
      <w:snapToGrid w:val="0"/>
      <w:spacing w:before="120" w:after="120" w:line="360" w:lineRule="auto"/>
    </w:pPr>
    <w:rPr>
      <w:rFonts w:ascii="宋体" w:hAnsi="Times New Roman"/>
      <w:sz w:val="24"/>
      <w:szCs w:val="20"/>
    </w:rPr>
  </w:style>
  <w:style w:type="paragraph" w:customStyle="1" w:styleId="550">
    <w:name w:val="2"/>
    <w:basedOn w:val="1"/>
    <w:next w:val="45"/>
    <w:qFormat/>
    <w:uiPriority w:val="0"/>
    <w:rPr>
      <w:rFonts w:hint="eastAsia" w:ascii="宋体" w:hAnsi="Courier New"/>
      <w:szCs w:val="20"/>
    </w:rPr>
  </w:style>
  <w:style w:type="paragraph" w:customStyle="1" w:styleId="551">
    <w:name w:val="样式 标题 4 + 左侧:  1.11 厘米"/>
    <w:basedOn w:val="6"/>
    <w:qFormat/>
    <w:uiPriority w:val="0"/>
    <w:pPr>
      <w:keepLines/>
      <w:numPr>
        <w:ilvl w:val="0"/>
        <w:numId w:val="0"/>
      </w:numPr>
      <w:tabs>
        <w:tab w:val="left" w:pos="864"/>
        <w:tab w:val="clear" w:pos="2356"/>
      </w:tabs>
      <w:spacing w:before="280" w:after="290" w:line="377" w:lineRule="auto"/>
      <w:jc w:val="left"/>
    </w:pPr>
    <w:rPr>
      <w:rFonts w:ascii="Arial" w:eastAsia="黑体" w:cs="Arial"/>
      <w:bCs/>
      <w:kern w:val="2"/>
      <w:sz w:val="30"/>
      <w:szCs w:val="30"/>
    </w:rPr>
  </w:style>
  <w:style w:type="paragraph" w:customStyle="1" w:styleId="552">
    <w:name w:val="（符号）内容三标题1."/>
    <w:basedOn w:val="1"/>
    <w:qFormat/>
    <w:uiPriority w:val="0"/>
    <w:pPr>
      <w:tabs>
        <w:tab w:val="left" w:pos="420"/>
      </w:tabs>
      <w:spacing w:before="140" w:after="140" w:line="500" w:lineRule="exact"/>
      <w:ind w:left="430" w:hanging="430"/>
      <w:outlineLvl w:val="1"/>
    </w:pPr>
    <w:rPr>
      <w:rFonts w:ascii="Times New Roman" w:hAnsi="Times New Roman" w:eastAsia="楷体_GB2312"/>
      <w:b/>
      <w:sz w:val="28"/>
    </w:rPr>
  </w:style>
  <w:style w:type="paragraph" w:customStyle="1" w:styleId="553">
    <w:name w:val="样式 样式 样式 样式 标题 2 + 宋体 五号 非加粗 黑色 + 段前: 6 磅 段后: 0 磅 行距: 单倍行距 + 段前:..."/>
    <w:basedOn w:val="1"/>
    <w:qFormat/>
    <w:uiPriority w:val="0"/>
    <w:pPr>
      <w:keepNext/>
      <w:keepLines/>
      <w:tabs>
        <w:tab w:val="left" w:pos="1440"/>
      </w:tabs>
      <w:adjustRightInd w:val="0"/>
      <w:spacing w:before="240"/>
      <w:ind w:left="1440" w:hanging="360"/>
      <w:jc w:val="left"/>
      <w:textAlignment w:val="baseline"/>
      <w:outlineLvl w:val="1"/>
    </w:pPr>
    <w:rPr>
      <w:rFonts w:ascii="宋体" w:hAnsi="宋体" w:cs="宋体"/>
      <w:b/>
      <w:bCs/>
      <w:color w:val="000000"/>
      <w:kern w:val="0"/>
      <w:szCs w:val="20"/>
    </w:rPr>
  </w:style>
  <w:style w:type="paragraph" w:customStyle="1" w:styleId="554">
    <w:name w:val="（符号）内容四标题1.1.1"/>
    <w:basedOn w:val="1"/>
    <w:qFormat/>
    <w:uiPriority w:val="0"/>
    <w:pPr>
      <w:tabs>
        <w:tab w:val="left" w:pos="1000"/>
      </w:tabs>
      <w:spacing w:line="500" w:lineRule="exact"/>
      <w:ind w:left="1000" w:hanging="1000"/>
    </w:pPr>
    <w:rPr>
      <w:rFonts w:ascii="宋体" w:hAnsi="宋体"/>
      <w:sz w:val="24"/>
    </w:rPr>
  </w:style>
  <w:style w:type="paragraph" w:customStyle="1" w:styleId="555">
    <w:name w:val="样式 小四 行距: 固定值 25 磅"/>
    <w:basedOn w:val="1"/>
    <w:next w:val="507"/>
    <w:qFormat/>
    <w:uiPriority w:val="0"/>
    <w:pPr>
      <w:spacing w:line="500" w:lineRule="exact"/>
    </w:pPr>
    <w:rPr>
      <w:rFonts w:ascii="Times New Roman" w:hAnsi="Times New Roman" w:cs="宋体"/>
      <w:sz w:val="24"/>
      <w:szCs w:val="20"/>
    </w:rPr>
  </w:style>
  <w:style w:type="paragraph" w:customStyle="1" w:styleId="556">
    <w:name w:val="样式 标题 1 + 四号 居中 段前: 12 磅 段后: 12 磅 行距: 单倍行距"/>
    <w:basedOn w:val="3"/>
    <w:qFormat/>
    <w:uiPriority w:val="0"/>
    <w:pPr>
      <w:tabs>
        <w:tab w:val="left" w:pos="810"/>
      </w:tabs>
      <w:adjustRightInd w:val="0"/>
      <w:spacing w:before="240" w:after="240" w:line="240" w:lineRule="auto"/>
      <w:ind w:left="810" w:hanging="390"/>
      <w:jc w:val="center"/>
      <w:textAlignment w:val="baseline"/>
    </w:pPr>
    <w:rPr>
      <w:rFonts w:ascii="Times New Roman" w:hAnsi="Times New Roman" w:cs="黑体"/>
      <w:bCs/>
      <w:sz w:val="28"/>
      <w:lang w:val="en-US"/>
    </w:rPr>
  </w:style>
  <w:style w:type="paragraph" w:customStyle="1" w:styleId="557">
    <w:name w:val="Char Char Char Char Char Char Char Char Char Char Char Char Char Char Char Char Char Char Char1"/>
    <w:basedOn w:val="1"/>
    <w:qFormat/>
    <w:uiPriority w:val="0"/>
    <w:rPr>
      <w:rFonts w:ascii="Tahoma" w:hAnsi="Tahoma"/>
      <w:sz w:val="24"/>
      <w:szCs w:val="20"/>
    </w:rPr>
  </w:style>
  <w:style w:type="paragraph" w:customStyle="1" w:styleId="558">
    <w:name w:val="日期1"/>
    <w:basedOn w:val="1"/>
    <w:next w:val="1"/>
    <w:qFormat/>
    <w:uiPriority w:val="0"/>
    <w:pPr>
      <w:suppressAutoHyphens/>
      <w:ind w:left="100"/>
    </w:pPr>
    <w:rPr>
      <w:rFonts w:ascii="Times New Roman" w:hAnsi="Times New Roman" w:eastAsia="楷体_GB2312"/>
      <w:b/>
      <w:kern w:val="1"/>
      <w:sz w:val="36"/>
      <w:szCs w:val="30"/>
      <w:lang w:eastAsia="ar-SA"/>
    </w:rPr>
  </w:style>
  <w:style w:type="paragraph" w:customStyle="1" w:styleId="559">
    <w:name w:val="正文缩进1"/>
    <w:basedOn w:val="1"/>
    <w:qFormat/>
    <w:uiPriority w:val="0"/>
    <w:pPr>
      <w:ind w:firstLine="420"/>
    </w:pPr>
    <w:rPr>
      <w:rFonts w:ascii="Times New Roman" w:hAnsi="Times New Roman"/>
      <w:szCs w:val="20"/>
    </w:rPr>
  </w:style>
  <w:style w:type="paragraph" w:customStyle="1" w:styleId="560">
    <w:name w:val="（符号）二标题1"/>
    <w:basedOn w:val="1"/>
    <w:qFormat/>
    <w:uiPriority w:val="0"/>
    <w:pPr>
      <w:spacing w:before="140" w:after="140" w:line="500" w:lineRule="exact"/>
      <w:outlineLvl w:val="1"/>
    </w:pPr>
    <w:rPr>
      <w:rFonts w:ascii="楷体_GB2312" w:hAnsi="Times New Roman" w:eastAsia="楷体_GB2312" w:cs="宋体"/>
      <w:b/>
      <w:bCs/>
      <w:sz w:val="28"/>
      <w:szCs w:val="20"/>
    </w:rPr>
  </w:style>
  <w:style w:type="paragraph" w:customStyle="1" w:styleId="561">
    <w:name w:val="(符号)三标题1."/>
    <w:basedOn w:val="1"/>
    <w:qFormat/>
    <w:uiPriority w:val="0"/>
    <w:pPr>
      <w:tabs>
        <w:tab w:val="left" w:pos="420"/>
      </w:tabs>
      <w:spacing w:before="140" w:after="140" w:line="500" w:lineRule="exact"/>
      <w:ind w:left="430" w:hanging="430"/>
      <w:outlineLvl w:val="2"/>
    </w:pPr>
    <w:rPr>
      <w:rFonts w:ascii="楷体_GB2312" w:hAnsi="宋体" w:eastAsia="楷体_GB2312" w:cs="宋体"/>
      <w:b/>
      <w:bCs/>
      <w:sz w:val="28"/>
      <w:szCs w:val="20"/>
    </w:rPr>
  </w:style>
  <w:style w:type="paragraph" w:customStyle="1" w:styleId="562">
    <w:name w:val="列出段落{858D7CFB-ED40-4347-BF05-701D383B685F}{858D7CFB-ED40-4347-BF05-701D383B685F}"/>
    <w:basedOn w:val="1"/>
    <w:qFormat/>
    <w:uiPriority w:val="0"/>
    <w:pPr>
      <w:ind w:firstLine="420" w:firstLineChars="200"/>
    </w:pPr>
    <w:rPr>
      <w:rFonts w:ascii="Times New Roman" w:hAnsi="Times New Roman"/>
    </w:rPr>
  </w:style>
  <w:style w:type="paragraph" w:customStyle="1" w:styleId="563">
    <w:name w:val="Char Char Char Char Char Char Char Char Char Char Char1 Char Char Char Char Char Char Char Char Char Char Char Char"/>
    <w:basedOn w:val="1"/>
    <w:qFormat/>
    <w:uiPriority w:val="0"/>
    <w:rPr>
      <w:rFonts w:ascii="Tahoma" w:hAnsi="Tahoma"/>
      <w:sz w:val="24"/>
    </w:rPr>
  </w:style>
  <w:style w:type="paragraph" w:customStyle="1" w:styleId="564">
    <w:name w:val="样式 首行缩进:  0.85 厘米"/>
    <w:basedOn w:val="1"/>
    <w:qFormat/>
    <w:uiPriority w:val="0"/>
    <w:pPr>
      <w:spacing w:line="360" w:lineRule="auto"/>
      <w:ind w:firstLine="200" w:firstLineChars="200"/>
    </w:pPr>
    <w:rPr>
      <w:rFonts w:ascii="Times New Roman" w:hAnsi="Times New Roman"/>
      <w:sz w:val="24"/>
    </w:rPr>
  </w:style>
  <w:style w:type="paragraph" w:customStyle="1" w:styleId="565">
    <w:name w:val="标签"/>
    <w:basedOn w:val="1"/>
    <w:qFormat/>
    <w:uiPriority w:val="0"/>
    <w:pPr>
      <w:suppressLineNumbers/>
      <w:suppressAutoHyphens/>
      <w:spacing w:before="120" w:after="120"/>
    </w:pPr>
    <w:rPr>
      <w:rFonts w:ascii="Times New Roman" w:hAnsi="Times New Roman"/>
      <w:i/>
      <w:iCs/>
      <w:kern w:val="1"/>
      <w:sz w:val="24"/>
      <w:lang w:eastAsia="ar-SA"/>
    </w:rPr>
  </w:style>
  <w:style w:type="paragraph" w:customStyle="1" w:styleId="566">
    <w:name w:val="圆点标号"/>
    <w:basedOn w:val="1"/>
    <w:qFormat/>
    <w:uiPriority w:val="0"/>
    <w:pPr>
      <w:tabs>
        <w:tab w:val="left" w:pos="1440"/>
      </w:tabs>
      <w:spacing w:line="360" w:lineRule="auto"/>
      <w:ind w:left="839" w:hanging="357"/>
    </w:pPr>
    <w:rPr>
      <w:rFonts w:ascii="Times New Roman" w:hAnsi="Times New Roman"/>
      <w:sz w:val="24"/>
    </w:rPr>
  </w:style>
  <w:style w:type="paragraph" w:customStyle="1" w:styleId="567">
    <w:name w:val="（符号）普通正文"/>
    <w:basedOn w:val="1"/>
    <w:qFormat/>
    <w:uiPriority w:val="0"/>
    <w:pPr>
      <w:spacing w:line="460" w:lineRule="exact"/>
      <w:ind w:firstLine="480" w:firstLineChars="200"/>
    </w:pPr>
    <w:rPr>
      <w:rFonts w:ascii="宋体" w:hAnsi="宋体" w:cs="宋体"/>
      <w:sz w:val="24"/>
      <w:szCs w:val="20"/>
    </w:rPr>
  </w:style>
  <w:style w:type="paragraph" w:customStyle="1" w:styleId="568">
    <w:name w:val="Default"/>
    <w:qFormat/>
    <w:uiPriority w:val="99"/>
    <w:pPr>
      <w:widowControl w:val="0"/>
      <w:autoSpaceDE w:val="0"/>
      <w:autoSpaceDN w:val="0"/>
      <w:adjustRightInd w:val="0"/>
    </w:pPr>
    <w:rPr>
      <w:rFonts w:ascii=".." w:hAnsi="Times New Roman" w:eastAsia=".." w:cs="Times New Roman"/>
      <w:color w:val="000000"/>
      <w:sz w:val="24"/>
      <w:szCs w:val="24"/>
      <w:lang w:val="en-US" w:eastAsia="zh-CN" w:bidi="ar-SA"/>
    </w:rPr>
  </w:style>
  <w:style w:type="paragraph" w:customStyle="1" w:styleId="569">
    <w:name w:val="（符号）目录2"/>
    <w:basedOn w:val="1"/>
    <w:qFormat/>
    <w:uiPriority w:val="0"/>
    <w:pPr>
      <w:spacing w:line="500" w:lineRule="exact"/>
      <w:ind w:left="480"/>
    </w:pPr>
    <w:rPr>
      <w:rFonts w:ascii="Times New Roman" w:hAnsi="Times New Roman" w:cs="宋体"/>
      <w:sz w:val="24"/>
      <w:szCs w:val="20"/>
    </w:rPr>
  </w:style>
  <w:style w:type="paragraph" w:customStyle="1" w:styleId="570">
    <w:name w:val="Char1 Char Char Char"/>
    <w:basedOn w:val="1"/>
    <w:qFormat/>
    <w:uiPriority w:val="0"/>
    <w:pPr>
      <w:adjustRightInd w:val="0"/>
      <w:spacing w:line="360" w:lineRule="auto"/>
    </w:pPr>
    <w:rPr>
      <w:rFonts w:ascii="Times New Roman" w:hAnsi="Times New Roman"/>
      <w:kern w:val="0"/>
      <w:sz w:val="24"/>
      <w:szCs w:val="20"/>
    </w:rPr>
  </w:style>
  <w:style w:type="character" w:customStyle="1" w:styleId="571">
    <w:name w:val="标题 2 Char1"/>
    <w:qFormat/>
    <w:locked/>
    <w:uiPriority w:val="99"/>
    <w:rPr>
      <w:rFonts w:ascii="Arial" w:hAnsi="Arial" w:eastAsia="黑体" w:cs="Arial"/>
      <w:b/>
      <w:bCs/>
      <w:sz w:val="32"/>
      <w:szCs w:val="32"/>
    </w:rPr>
  </w:style>
  <w:style w:type="paragraph" w:customStyle="1" w:styleId="572">
    <w:name w:val="样式章节"/>
    <w:basedOn w:val="3"/>
    <w:qFormat/>
    <w:uiPriority w:val="99"/>
    <w:pPr>
      <w:keepLines w:val="0"/>
      <w:tabs>
        <w:tab w:val="left" w:pos="432"/>
      </w:tabs>
      <w:autoSpaceDE w:val="0"/>
      <w:autoSpaceDN w:val="0"/>
      <w:adjustRightInd w:val="0"/>
      <w:spacing w:before="0" w:after="0" w:line="240" w:lineRule="auto"/>
      <w:ind w:left="432" w:hanging="432"/>
      <w:jc w:val="center"/>
    </w:pPr>
    <w:rPr>
      <w:rFonts w:ascii="Times New Roman" w:hAnsi="Times New Roman"/>
      <w:b w:val="0"/>
      <w:kern w:val="2"/>
      <w:sz w:val="32"/>
      <w:szCs w:val="32"/>
    </w:rPr>
  </w:style>
  <w:style w:type="paragraph" w:customStyle="1" w:styleId="573">
    <w:name w:val="MM Topic 1"/>
    <w:basedOn w:val="3"/>
    <w:qFormat/>
    <w:uiPriority w:val="99"/>
    <w:rPr>
      <w:rFonts w:ascii="Times New Roman" w:hAnsi="Times New Roman" w:eastAsia="仿宋_GB2312"/>
      <w:b w:val="0"/>
      <w:sz w:val="32"/>
      <w:szCs w:val="32"/>
      <w:lang w:val="en-US"/>
    </w:rPr>
  </w:style>
  <w:style w:type="paragraph" w:customStyle="1" w:styleId="574">
    <w:name w:val="Mao正文(五号)"/>
    <w:basedOn w:val="1"/>
    <w:qFormat/>
    <w:uiPriority w:val="99"/>
    <w:pPr>
      <w:spacing w:line="300" w:lineRule="auto"/>
      <w:ind w:firstLine="200" w:firstLineChars="200"/>
    </w:pPr>
    <w:rPr>
      <w:rFonts w:ascii="Times New Roman" w:hAnsi="Times New Roman"/>
      <w:color w:val="000000"/>
      <w:szCs w:val="21"/>
    </w:rPr>
  </w:style>
  <w:style w:type="character" w:customStyle="1" w:styleId="575">
    <w:name w:val="high1"/>
    <w:basedOn w:val="90"/>
    <w:qFormat/>
    <w:uiPriority w:val="0"/>
  </w:style>
  <w:style w:type="paragraph" w:customStyle="1" w:styleId="576">
    <w:name w:val="Pa4"/>
    <w:basedOn w:val="1"/>
    <w:next w:val="1"/>
    <w:qFormat/>
    <w:uiPriority w:val="0"/>
    <w:pPr>
      <w:autoSpaceDE w:val="0"/>
      <w:autoSpaceDN w:val="0"/>
      <w:adjustRightInd w:val="0"/>
      <w:spacing w:before="80" w:line="136" w:lineRule="auto"/>
      <w:jc w:val="left"/>
    </w:pPr>
    <w:rPr>
      <w:rFonts w:hint="eastAsia" w:ascii="Helvetica-Condensed-Bold" w:hAnsi="Times New Roman" w:eastAsia="Helvetica-Condensed-Bold"/>
      <w:kern w:val="0"/>
      <w:sz w:val="20"/>
    </w:rPr>
  </w:style>
  <w:style w:type="character" w:customStyle="1" w:styleId="577">
    <w:name w:val="at_0"/>
    <w:basedOn w:val="90"/>
    <w:qFormat/>
    <w:uiPriority w:val="0"/>
  </w:style>
  <w:style w:type="character" w:customStyle="1" w:styleId="578">
    <w:name w:val="at_1"/>
    <w:basedOn w:val="90"/>
    <w:qFormat/>
    <w:uiPriority w:val="0"/>
  </w:style>
  <w:style w:type="character" w:customStyle="1" w:styleId="579">
    <w:name w:val="defaultbold1"/>
    <w:qFormat/>
    <w:uiPriority w:val="0"/>
    <w:rPr>
      <w:rFonts w:hint="default" w:ascii="ˎ̥" w:hAnsi="ˎ̥"/>
      <w:b/>
      <w:bCs/>
      <w:color w:val="000000"/>
      <w:sz w:val="15"/>
      <w:szCs w:val="15"/>
      <w:u w:val="none"/>
    </w:rPr>
  </w:style>
  <w:style w:type="character" w:customStyle="1" w:styleId="580">
    <w:name w:val="fs1"/>
    <w:qFormat/>
    <w:uiPriority w:val="0"/>
    <w:rPr>
      <w:dstrike/>
      <w:color w:val="093F7C"/>
      <w:sz w:val="18"/>
      <w:u w:val="none"/>
    </w:rPr>
  </w:style>
  <w:style w:type="character" w:customStyle="1" w:styleId="581">
    <w:name w:val="正文缩进 Char1"/>
    <w:qFormat/>
    <w:uiPriority w:val="0"/>
    <w:rPr>
      <w:color w:val="000000"/>
      <w:sz w:val="28"/>
    </w:rPr>
  </w:style>
  <w:style w:type="character" w:customStyle="1" w:styleId="582">
    <w:name w:val="正文文本 (26)_"/>
    <w:link w:val="583"/>
    <w:qFormat/>
    <w:locked/>
    <w:uiPriority w:val="0"/>
    <w:rPr>
      <w:rFonts w:ascii="黑体" w:eastAsia="黑体"/>
      <w:sz w:val="29"/>
      <w:szCs w:val="29"/>
      <w:shd w:val="clear" w:color="auto" w:fill="FFFFFF"/>
    </w:rPr>
  </w:style>
  <w:style w:type="paragraph" w:customStyle="1" w:styleId="583">
    <w:name w:val="正文文本 (26)"/>
    <w:basedOn w:val="1"/>
    <w:link w:val="582"/>
    <w:qFormat/>
    <w:uiPriority w:val="0"/>
    <w:pPr>
      <w:widowControl/>
      <w:shd w:val="clear" w:color="auto" w:fill="FFFFFF"/>
      <w:spacing w:after="60" w:line="504" w:lineRule="exact"/>
      <w:jc w:val="distribute"/>
    </w:pPr>
    <w:rPr>
      <w:rFonts w:ascii="黑体" w:hAnsi="Times New Roman" w:eastAsia="黑体"/>
      <w:kern w:val="0"/>
      <w:sz w:val="29"/>
      <w:szCs w:val="29"/>
    </w:rPr>
  </w:style>
  <w:style w:type="character" w:customStyle="1" w:styleId="584">
    <w:name w:val="枣阳样式四 Char"/>
    <w:link w:val="585"/>
    <w:qFormat/>
    <w:uiPriority w:val="0"/>
    <w:rPr>
      <w:kern w:val="2"/>
      <w:sz w:val="28"/>
      <w:szCs w:val="24"/>
    </w:rPr>
  </w:style>
  <w:style w:type="paragraph" w:customStyle="1" w:styleId="585">
    <w:name w:val="枣阳样式四"/>
    <w:basedOn w:val="1"/>
    <w:link w:val="584"/>
    <w:qFormat/>
    <w:uiPriority w:val="0"/>
    <w:pPr>
      <w:spacing w:line="324" w:lineRule="auto"/>
      <w:ind w:firstLine="527" w:firstLineChars="200"/>
    </w:pPr>
    <w:rPr>
      <w:rFonts w:ascii="Times New Roman" w:hAnsi="Times New Roman"/>
      <w:sz w:val="28"/>
    </w:rPr>
  </w:style>
  <w:style w:type="character" w:customStyle="1" w:styleId="586">
    <w:name w:val="正文首行缩进 2 Char1"/>
    <w:qFormat/>
    <w:uiPriority w:val="0"/>
    <w:rPr>
      <w:rFonts w:ascii="宋体" w:hAnsi="宋体" w:eastAsia="宋体" w:cs="Times New Roman"/>
      <w:kern w:val="2"/>
      <w:sz w:val="28"/>
      <w:szCs w:val="24"/>
    </w:rPr>
  </w:style>
  <w:style w:type="character" w:customStyle="1" w:styleId="587">
    <w:name w:val="HTML 地址 Char1"/>
    <w:qFormat/>
    <w:uiPriority w:val="0"/>
    <w:rPr>
      <w:i/>
      <w:iCs/>
      <w:kern w:val="2"/>
      <w:sz w:val="21"/>
      <w:szCs w:val="24"/>
    </w:rPr>
  </w:style>
  <w:style w:type="character" w:customStyle="1" w:styleId="588">
    <w:name w:val="尾注文本 Char1"/>
    <w:qFormat/>
    <w:uiPriority w:val="0"/>
    <w:rPr>
      <w:kern w:val="2"/>
      <w:sz w:val="21"/>
      <w:szCs w:val="24"/>
    </w:rPr>
  </w:style>
  <w:style w:type="character" w:customStyle="1" w:styleId="589">
    <w:name w:val="正文首行缩进 Char1"/>
    <w:qFormat/>
    <w:uiPriority w:val="99"/>
    <w:rPr>
      <w:rFonts w:ascii="Calibri" w:hAnsi="Calibri" w:eastAsia="隶书" w:cs="Times New Roman"/>
      <w:kern w:val="2"/>
      <w:sz w:val="21"/>
      <w:szCs w:val="24"/>
    </w:rPr>
  </w:style>
  <w:style w:type="character" w:customStyle="1" w:styleId="590">
    <w:name w:val="签名 Char1"/>
    <w:qFormat/>
    <w:uiPriority w:val="0"/>
    <w:rPr>
      <w:kern w:val="2"/>
      <w:sz w:val="21"/>
      <w:szCs w:val="24"/>
    </w:rPr>
  </w:style>
  <w:style w:type="character" w:customStyle="1" w:styleId="591">
    <w:name w:val="电子邮件签名 Char1"/>
    <w:qFormat/>
    <w:uiPriority w:val="0"/>
    <w:rPr>
      <w:kern w:val="2"/>
      <w:sz w:val="21"/>
      <w:szCs w:val="24"/>
    </w:rPr>
  </w:style>
  <w:style w:type="character" w:customStyle="1" w:styleId="592">
    <w:name w:val="信息标题 Char1"/>
    <w:qFormat/>
    <w:uiPriority w:val="0"/>
    <w:rPr>
      <w:rFonts w:ascii="Cambria" w:hAnsi="Cambria" w:eastAsia="宋体" w:cs="Times New Roman"/>
      <w:kern w:val="2"/>
      <w:sz w:val="24"/>
      <w:szCs w:val="24"/>
      <w:shd w:val="pct20" w:color="auto" w:fill="auto"/>
    </w:rPr>
  </w:style>
  <w:style w:type="character" w:customStyle="1" w:styleId="593">
    <w:name w:val="宏文本 Char1"/>
    <w:qFormat/>
    <w:uiPriority w:val="0"/>
    <w:rPr>
      <w:rFonts w:ascii="Courier New" w:hAnsi="Courier New" w:cs="Courier New"/>
      <w:kern w:val="2"/>
      <w:sz w:val="24"/>
      <w:szCs w:val="24"/>
    </w:rPr>
  </w:style>
  <w:style w:type="character" w:customStyle="1" w:styleId="594">
    <w:name w:val="脚注文本 Char1"/>
    <w:qFormat/>
    <w:uiPriority w:val="0"/>
    <w:rPr>
      <w:kern w:val="2"/>
      <w:sz w:val="18"/>
      <w:szCs w:val="18"/>
    </w:rPr>
  </w:style>
  <w:style w:type="paragraph" w:customStyle="1" w:styleId="595">
    <w:name w:val="样式 标题 2 + (西文) Times New Roman (中文) 宋体 小四"/>
    <w:basedOn w:val="4"/>
    <w:qFormat/>
    <w:uiPriority w:val="0"/>
    <w:pPr>
      <w:spacing w:beforeLines="100" w:after="0" w:line="500" w:lineRule="exact"/>
    </w:pPr>
    <w:rPr>
      <w:rFonts w:ascii="Times New Roman" w:hAnsi="Times New Roman" w:eastAsia="宋体"/>
      <w:b w:val="0"/>
      <w:sz w:val="24"/>
    </w:rPr>
  </w:style>
  <w:style w:type="paragraph" w:customStyle="1" w:styleId="596">
    <w:name w:val="p0"/>
    <w:basedOn w:val="1"/>
    <w:qFormat/>
    <w:uiPriority w:val="0"/>
    <w:pPr>
      <w:widowControl/>
    </w:pPr>
    <w:rPr>
      <w:rFonts w:ascii="Times New Roman" w:hAnsi="Times New Roman"/>
      <w:kern w:val="0"/>
      <w:szCs w:val="21"/>
    </w:rPr>
  </w:style>
  <w:style w:type="paragraph" w:customStyle="1" w:styleId="597">
    <w:name w:val="表格文本"/>
    <w:basedOn w:val="1"/>
    <w:qFormat/>
    <w:uiPriority w:val="0"/>
    <w:pPr>
      <w:tabs>
        <w:tab w:val="decimal" w:pos="0"/>
      </w:tabs>
      <w:autoSpaceDE w:val="0"/>
      <w:autoSpaceDN w:val="0"/>
      <w:adjustRightInd w:val="0"/>
      <w:jc w:val="left"/>
    </w:pPr>
    <w:rPr>
      <w:rFonts w:ascii="Arial" w:hAnsi="Arial"/>
      <w:kern w:val="0"/>
      <w:szCs w:val="21"/>
    </w:rPr>
  </w:style>
  <w:style w:type="paragraph" w:customStyle="1" w:styleId="598">
    <w:name w:val="样式 标题 3 + 段前: 0 磅 段后: 0 磅 行距: 固定值 18 磅"/>
    <w:basedOn w:val="5"/>
    <w:qFormat/>
    <w:uiPriority w:val="0"/>
    <w:pPr>
      <w:spacing w:before="0" w:after="0" w:line="500" w:lineRule="exact"/>
    </w:pPr>
    <w:rPr>
      <w:sz w:val="24"/>
      <w:szCs w:val="20"/>
    </w:rPr>
  </w:style>
  <w:style w:type="paragraph" w:customStyle="1" w:styleId="599">
    <w:name w:val="z-窗体顶端1"/>
    <w:basedOn w:val="1"/>
    <w:next w:val="1"/>
    <w:link w:val="600"/>
    <w:qFormat/>
    <w:uiPriority w:val="0"/>
    <w:pPr>
      <w:widowControl/>
      <w:pBdr>
        <w:bottom w:val="single" w:color="auto" w:sz="6" w:space="1"/>
      </w:pBdr>
      <w:jc w:val="center"/>
    </w:pPr>
    <w:rPr>
      <w:rFonts w:ascii="Arial" w:hAnsi="Arial"/>
      <w:vanish/>
      <w:kern w:val="0"/>
      <w:sz w:val="16"/>
      <w:szCs w:val="20"/>
    </w:rPr>
  </w:style>
  <w:style w:type="character" w:customStyle="1" w:styleId="600">
    <w:name w:val="z-窗体顶端 Char"/>
    <w:link w:val="599"/>
    <w:qFormat/>
    <w:uiPriority w:val="0"/>
    <w:rPr>
      <w:rFonts w:ascii="Arial" w:hAnsi="Arial"/>
      <w:vanish/>
      <w:sz w:val="16"/>
    </w:rPr>
  </w:style>
  <w:style w:type="paragraph" w:customStyle="1" w:styleId="601">
    <w:name w:val="z-窗体底端1"/>
    <w:basedOn w:val="1"/>
    <w:next w:val="1"/>
    <w:link w:val="602"/>
    <w:qFormat/>
    <w:uiPriority w:val="0"/>
    <w:pPr>
      <w:widowControl/>
      <w:pBdr>
        <w:top w:val="single" w:color="auto" w:sz="6" w:space="1"/>
      </w:pBdr>
      <w:jc w:val="center"/>
    </w:pPr>
    <w:rPr>
      <w:rFonts w:ascii="Arial" w:hAnsi="Arial"/>
      <w:vanish/>
      <w:kern w:val="0"/>
      <w:sz w:val="16"/>
      <w:szCs w:val="20"/>
    </w:rPr>
  </w:style>
  <w:style w:type="character" w:customStyle="1" w:styleId="602">
    <w:name w:val="z-窗体底端 Char"/>
    <w:link w:val="601"/>
    <w:qFormat/>
    <w:uiPriority w:val="0"/>
    <w:rPr>
      <w:rFonts w:ascii="Arial" w:hAnsi="Arial"/>
      <w:vanish/>
      <w:sz w:val="16"/>
    </w:rPr>
  </w:style>
  <w:style w:type="paragraph" w:customStyle="1" w:styleId="603">
    <w:name w:val="È±Ê¡ÎÄ±¾"/>
    <w:basedOn w:val="1"/>
    <w:qFormat/>
    <w:uiPriority w:val="0"/>
    <w:pPr>
      <w:widowControl/>
      <w:overflowPunct w:val="0"/>
      <w:autoSpaceDE w:val="0"/>
      <w:autoSpaceDN w:val="0"/>
      <w:adjustRightInd w:val="0"/>
      <w:jc w:val="left"/>
    </w:pPr>
    <w:rPr>
      <w:rFonts w:ascii="Times New Roman" w:hAnsi="Times New Roman"/>
      <w:kern w:val="0"/>
      <w:sz w:val="24"/>
      <w:szCs w:val="20"/>
    </w:rPr>
  </w:style>
  <w:style w:type="paragraph" w:customStyle="1" w:styleId="604">
    <w:name w:val="List Paragraph1"/>
    <w:basedOn w:val="1"/>
    <w:qFormat/>
    <w:uiPriority w:val="0"/>
    <w:pPr>
      <w:ind w:firstLine="420" w:firstLineChars="200"/>
    </w:pPr>
    <w:rPr>
      <w:rFonts w:ascii="Times New Roman" w:hAnsi="Times New Roman"/>
      <w:szCs w:val="20"/>
    </w:rPr>
  </w:style>
  <w:style w:type="paragraph" w:customStyle="1" w:styleId="605">
    <w:name w:val="书目1"/>
    <w:basedOn w:val="1"/>
    <w:next w:val="1"/>
    <w:unhideWhenUsed/>
    <w:qFormat/>
    <w:uiPriority w:val="37"/>
    <w:rPr>
      <w:rFonts w:ascii="Times New Roman" w:hAnsi="Times New Roman"/>
      <w:szCs w:val="20"/>
    </w:rPr>
  </w:style>
  <w:style w:type="character" w:customStyle="1" w:styleId="606">
    <w:name w:val="font01"/>
    <w:qFormat/>
    <w:uiPriority w:val="0"/>
    <w:rPr>
      <w:rFonts w:hint="default" w:ascii="Times New Roman" w:hAnsi="Times New Roman" w:cs="Times New Roman"/>
      <w:color w:val="000000"/>
      <w:sz w:val="22"/>
      <w:szCs w:val="22"/>
      <w:u w:val="none"/>
    </w:rPr>
  </w:style>
  <w:style w:type="character" w:customStyle="1" w:styleId="607">
    <w:name w:val="apple-converted-space"/>
    <w:basedOn w:val="90"/>
    <w:qFormat/>
    <w:uiPriority w:val="0"/>
  </w:style>
  <w:style w:type="paragraph" w:customStyle="1" w:styleId="608">
    <w:name w:val="文档正文首行缩进"/>
    <w:basedOn w:val="1"/>
    <w:qFormat/>
    <w:uiPriority w:val="0"/>
    <w:pPr>
      <w:spacing w:line="360" w:lineRule="auto"/>
      <w:ind w:firstLine="420"/>
    </w:pPr>
    <w:rPr>
      <w:rFonts w:ascii="Times New Roman" w:hAnsi="Times New Roman" w:cs="宋体"/>
      <w:sz w:val="24"/>
      <w:szCs w:val="20"/>
    </w:rPr>
  </w:style>
  <w:style w:type="character" w:customStyle="1" w:styleId="609">
    <w:name w:val="一般文字 字元 Char"/>
    <w:qFormat/>
    <w:uiPriority w:val="0"/>
    <w:rPr>
      <w:rFonts w:ascii="宋体" w:hAnsi="Courier New" w:eastAsia="宋体" w:cs="Courier New"/>
      <w:kern w:val="2"/>
      <w:sz w:val="21"/>
      <w:szCs w:val="21"/>
      <w:lang w:val="en-US" w:eastAsia="zh-CN" w:bidi="ar-SA"/>
    </w:rPr>
  </w:style>
  <w:style w:type="character" w:customStyle="1" w:styleId="610">
    <w:name w:val="15"/>
    <w:qFormat/>
    <w:uiPriority w:val="0"/>
    <w:rPr>
      <w:rFonts w:hint="default" w:ascii="Times New Roman" w:hAnsi="Times New Roman" w:cs="Times New Roman"/>
      <w:color w:val="0000FF"/>
      <w:u w:val="single"/>
    </w:rPr>
  </w:style>
  <w:style w:type="character" w:customStyle="1" w:styleId="611">
    <w:name w:val="unnamed1"/>
    <w:basedOn w:val="90"/>
    <w:qFormat/>
    <w:uiPriority w:val="0"/>
  </w:style>
  <w:style w:type="character" w:customStyle="1" w:styleId="612">
    <w:name w:val="unnamed11"/>
    <w:basedOn w:val="90"/>
    <w:qFormat/>
    <w:uiPriority w:val="0"/>
  </w:style>
  <w:style w:type="character" w:customStyle="1" w:styleId="613">
    <w:name w:val="16"/>
    <w:qFormat/>
    <w:uiPriority w:val="0"/>
    <w:rPr>
      <w:rFonts w:hint="default" w:ascii="Times New Roman" w:hAnsi="Times New Roman" w:cs="Times New Roman"/>
      <w:color w:val="0000FF"/>
      <w:u w:val="single"/>
    </w:rPr>
  </w:style>
  <w:style w:type="character" w:customStyle="1" w:styleId="614">
    <w:name w:val="style4"/>
    <w:basedOn w:val="90"/>
    <w:qFormat/>
    <w:uiPriority w:val="0"/>
  </w:style>
  <w:style w:type="paragraph" w:customStyle="1" w:styleId="615">
    <w:name w:val="_Style 36"/>
    <w:basedOn w:val="1"/>
    <w:qFormat/>
    <w:uiPriority w:val="0"/>
    <w:pPr>
      <w:widowControl/>
      <w:spacing w:after="160" w:line="240" w:lineRule="exact"/>
      <w:jc w:val="left"/>
    </w:pPr>
    <w:rPr>
      <w:rFonts w:ascii="Times New Roman" w:hAnsi="Times New Roman"/>
    </w:rPr>
  </w:style>
  <w:style w:type="paragraph" w:customStyle="1" w:styleId="616">
    <w:name w:val="文"/>
    <w:basedOn w:val="45"/>
    <w:qFormat/>
    <w:uiPriority w:val="0"/>
    <w:pPr>
      <w:spacing w:line="360" w:lineRule="auto"/>
      <w:ind w:firstLine="480" w:firstLineChars="200"/>
    </w:pPr>
    <w:rPr>
      <w:rFonts w:hint="eastAsia" w:ascii="黑体" w:hAnsi="Times New Roman" w:eastAsia="黑体"/>
      <w:bCs/>
      <w:sz w:val="24"/>
    </w:rPr>
  </w:style>
  <w:style w:type="paragraph" w:customStyle="1" w:styleId="617">
    <w:name w:val="Char Char Char Char Char Char Char Char Char Char"/>
    <w:basedOn w:val="1"/>
    <w:qFormat/>
    <w:uiPriority w:val="0"/>
    <w:pPr>
      <w:widowControl/>
      <w:spacing w:after="160" w:line="240" w:lineRule="exact"/>
      <w:jc w:val="left"/>
    </w:pPr>
    <w:rPr>
      <w:rFonts w:ascii="Times New Roman" w:hAnsi="Times New Roman"/>
    </w:rPr>
  </w:style>
  <w:style w:type="paragraph" w:customStyle="1" w:styleId="618">
    <w:name w:val="_Style 24"/>
    <w:basedOn w:val="1"/>
    <w:next w:val="81"/>
    <w:qFormat/>
    <w:uiPriority w:val="0"/>
    <w:pPr>
      <w:widowControl/>
      <w:spacing w:before="100" w:beforeAutospacing="1" w:after="100" w:afterAutospacing="1"/>
      <w:jc w:val="left"/>
    </w:pPr>
    <w:rPr>
      <w:rFonts w:ascii="宋体" w:hAnsi="宋体"/>
      <w:kern w:val="0"/>
      <w:sz w:val="24"/>
    </w:rPr>
  </w:style>
  <w:style w:type="paragraph" w:customStyle="1" w:styleId="619">
    <w:name w:val="p16"/>
    <w:basedOn w:val="1"/>
    <w:qFormat/>
    <w:uiPriority w:val="0"/>
    <w:pPr>
      <w:widowControl/>
    </w:pPr>
    <w:rPr>
      <w:rFonts w:ascii="Times New Roman" w:hAnsi="Times New Roman"/>
      <w:kern w:val="0"/>
      <w:szCs w:val="21"/>
    </w:rPr>
  </w:style>
  <w:style w:type="paragraph" w:customStyle="1" w:styleId="620">
    <w:name w:val="Char Char1 Char Char Char Char"/>
    <w:basedOn w:val="1"/>
    <w:qFormat/>
    <w:uiPriority w:val="0"/>
    <w:pPr>
      <w:widowControl/>
      <w:spacing w:after="160" w:line="240" w:lineRule="exact"/>
      <w:jc w:val="left"/>
    </w:pPr>
    <w:rPr>
      <w:rFonts w:ascii="Times New Roman" w:hAnsi="Times New Roman"/>
    </w:rPr>
  </w:style>
  <w:style w:type="paragraph" w:customStyle="1" w:styleId="621">
    <w:name w:val="p17"/>
    <w:basedOn w:val="1"/>
    <w:qFormat/>
    <w:uiPriority w:val="0"/>
    <w:pPr>
      <w:widowControl/>
      <w:ind w:firstLine="630"/>
    </w:pPr>
    <w:rPr>
      <w:rFonts w:ascii="宋体" w:hAnsi="宋体" w:cs="宋体"/>
      <w:kern w:val="0"/>
      <w:sz w:val="32"/>
      <w:szCs w:val="32"/>
    </w:rPr>
  </w:style>
  <w:style w:type="character" w:customStyle="1" w:styleId="622">
    <w:name w:val="超链接1"/>
    <w:qFormat/>
    <w:uiPriority w:val="0"/>
    <w:rPr>
      <w:rFonts w:ascii="Arial" w:hAnsi="Arial" w:eastAsia="黑体"/>
      <w:color w:val="0000FF"/>
      <w:kern w:val="2"/>
      <w:sz w:val="21"/>
      <w:szCs w:val="21"/>
      <w:u w:val="single"/>
      <w:lang w:val="en-US" w:eastAsia="zh-CN" w:bidi="ar-SA"/>
    </w:rPr>
  </w:style>
  <w:style w:type="character" w:customStyle="1" w:styleId="623">
    <w:name w:val="B 条款一 Char"/>
    <w:link w:val="624"/>
    <w:qFormat/>
    <w:uiPriority w:val="0"/>
    <w:rPr>
      <w:rFonts w:ascii="Arial" w:hAnsi="Arial" w:cs="Arial"/>
      <w:b/>
      <w:kern w:val="2"/>
      <w:sz w:val="30"/>
      <w:szCs w:val="30"/>
    </w:rPr>
  </w:style>
  <w:style w:type="paragraph" w:customStyle="1" w:styleId="624">
    <w:name w:val="B 条款一"/>
    <w:basedOn w:val="4"/>
    <w:next w:val="1"/>
    <w:link w:val="623"/>
    <w:qFormat/>
    <w:uiPriority w:val="0"/>
    <w:pPr>
      <w:tabs>
        <w:tab w:val="left" w:pos="720"/>
      </w:tabs>
      <w:adjustRightInd w:val="0"/>
      <w:spacing w:beforeLines="50" w:afterLines="50" w:line="240" w:lineRule="atLeast"/>
      <w:jc w:val="center"/>
    </w:pPr>
    <w:rPr>
      <w:rFonts w:ascii="Arial" w:hAnsi="Arial" w:eastAsia="宋体" w:cs="Arial"/>
      <w:bCs w:val="0"/>
      <w:sz w:val="30"/>
      <w:szCs w:val="30"/>
    </w:rPr>
  </w:style>
  <w:style w:type="character" w:customStyle="1" w:styleId="625">
    <w:name w:val="linkun1"/>
    <w:qFormat/>
    <w:uiPriority w:val="0"/>
    <w:rPr>
      <w:sz w:val="18"/>
      <w:szCs w:val="18"/>
    </w:rPr>
  </w:style>
  <w:style w:type="character" w:customStyle="1" w:styleId="626">
    <w:name w:val="unnamed31"/>
    <w:qFormat/>
    <w:uiPriority w:val="0"/>
    <w:rPr>
      <w:sz w:val="22"/>
      <w:szCs w:val="22"/>
    </w:rPr>
  </w:style>
  <w:style w:type="character" w:customStyle="1" w:styleId="627">
    <w:name w:val="HTML Markup"/>
    <w:qFormat/>
    <w:uiPriority w:val="0"/>
    <w:rPr>
      <w:vanish/>
      <w:color w:val="FF0000"/>
    </w:rPr>
  </w:style>
  <w:style w:type="paragraph" w:customStyle="1" w:styleId="628">
    <w:name w:val="论文正文(教授"/>
    <w:basedOn w:val="1"/>
    <w:qFormat/>
    <w:uiPriority w:val="0"/>
    <w:pPr>
      <w:snapToGrid w:val="0"/>
      <w:spacing w:line="320" w:lineRule="atLeast"/>
      <w:ind w:firstLine="200" w:firstLineChars="200"/>
    </w:pPr>
    <w:rPr>
      <w:rFonts w:ascii="仿宋_GB2312" w:hAnsi="仿宋_GB2312"/>
      <w:spacing w:val="12"/>
    </w:rPr>
  </w:style>
  <w:style w:type="character" w:customStyle="1" w:styleId="629">
    <w:name w:val="正文+首行缩进2 Char Char"/>
    <w:link w:val="630"/>
    <w:qFormat/>
    <w:uiPriority w:val="0"/>
    <w:rPr>
      <w:szCs w:val="24"/>
    </w:rPr>
  </w:style>
  <w:style w:type="paragraph" w:customStyle="1" w:styleId="630">
    <w:name w:val="正文+首行缩进2"/>
    <w:basedOn w:val="1"/>
    <w:link w:val="629"/>
    <w:qFormat/>
    <w:uiPriority w:val="0"/>
    <w:pPr>
      <w:spacing w:line="480" w:lineRule="exact"/>
      <w:ind w:firstLine="200" w:firstLineChars="200"/>
    </w:pPr>
    <w:rPr>
      <w:rFonts w:ascii="Times New Roman" w:hAnsi="Times New Roman"/>
      <w:kern w:val="0"/>
      <w:sz w:val="20"/>
    </w:rPr>
  </w:style>
  <w:style w:type="paragraph" w:customStyle="1" w:styleId="631">
    <w:name w:val="纯文本3"/>
    <w:basedOn w:val="1"/>
    <w:qFormat/>
    <w:uiPriority w:val="0"/>
    <w:rPr>
      <w:rFonts w:ascii="宋体" w:hAnsi="Courier New"/>
      <w:szCs w:val="20"/>
    </w:rPr>
  </w:style>
  <w:style w:type="paragraph" w:customStyle="1" w:styleId="632">
    <w:name w:val="样式5"/>
    <w:basedOn w:val="1"/>
    <w:qFormat/>
    <w:uiPriority w:val="0"/>
    <w:pPr>
      <w:adjustRightInd w:val="0"/>
      <w:snapToGrid w:val="0"/>
      <w:spacing w:line="520" w:lineRule="exact"/>
      <w:ind w:firstLine="480" w:firstLineChars="200"/>
    </w:pPr>
    <w:rPr>
      <w:rFonts w:ascii="仿宋_GB2312" w:hAnsi="Times New Roman" w:eastAsia="仿宋_GB2312"/>
      <w:sz w:val="24"/>
      <w:szCs w:val="20"/>
    </w:rPr>
  </w:style>
  <w:style w:type="paragraph" w:customStyle="1" w:styleId="633">
    <w:name w:val="正文11"/>
    <w:qFormat/>
    <w:uiPriority w:val="0"/>
    <w:pPr>
      <w:widowControl w:val="0"/>
      <w:adjustRightInd w:val="0"/>
      <w:spacing w:line="360" w:lineRule="atLeast"/>
    </w:pPr>
    <w:rPr>
      <w:rFonts w:hint="eastAsia" w:ascii="宋体" w:hAnsi="Times New Roman" w:eastAsia="宋体" w:cs="Times New Roman"/>
      <w:sz w:val="34"/>
      <w:lang w:val="en-US" w:eastAsia="zh-CN" w:bidi="ar-SA"/>
    </w:rPr>
  </w:style>
  <w:style w:type="paragraph" w:customStyle="1" w:styleId="634">
    <w:name w:val="Char Char Char1"/>
    <w:basedOn w:val="1"/>
    <w:qFormat/>
    <w:uiPriority w:val="0"/>
    <w:rPr>
      <w:rFonts w:ascii="Tahoma" w:hAnsi="Tahoma"/>
      <w:sz w:val="24"/>
      <w:szCs w:val="20"/>
    </w:rPr>
  </w:style>
  <w:style w:type="paragraph" w:customStyle="1" w:styleId="635">
    <w:name w:val="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636">
    <w:name w:val="正文缩进11"/>
    <w:basedOn w:val="1"/>
    <w:qFormat/>
    <w:uiPriority w:val="0"/>
    <w:pPr>
      <w:ind w:firstLine="420"/>
    </w:pPr>
    <w:rPr>
      <w:rFonts w:ascii="Times New Roman" w:hAnsi="Times New Roman"/>
      <w:szCs w:val="20"/>
    </w:rPr>
  </w:style>
  <w:style w:type="paragraph" w:customStyle="1" w:styleId="637">
    <w:name w:val="Char1 Char Char Char1"/>
    <w:basedOn w:val="1"/>
    <w:qFormat/>
    <w:uiPriority w:val="0"/>
    <w:pPr>
      <w:adjustRightInd w:val="0"/>
      <w:spacing w:line="360" w:lineRule="auto"/>
    </w:pPr>
    <w:rPr>
      <w:rFonts w:ascii="Times New Roman" w:hAnsi="Times New Roman"/>
      <w:kern w:val="0"/>
      <w:sz w:val="24"/>
      <w:szCs w:val="20"/>
    </w:rPr>
  </w:style>
  <w:style w:type="paragraph" w:customStyle="1" w:styleId="638">
    <w:name w:val="列出段落21"/>
    <w:basedOn w:val="1"/>
    <w:qFormat/>
    <w:uiPriority w:val="0"/>
    <w:pPr>
      <w:ind w:firstLine="420" w:firstLineChars="200"/>
    </w:pPr>
    <w:rPr>
      <w:rFonts w:ascii="Times New Roman" w:hAnsi="Times New Roman"/>
      <w:szCs w:val="20"/>
    </w:rPr>
  </w:style>
  <w:style w:type="paragraph" w:customStyle="1" w:styleId="639">
    <w:name w:val="Char Char1 Char Char Char Char1"/>
    <w:basedOn w:val="1"/>
    <w:qFormat/>
    <w:uiPriority w:val="0"/>
    <w:pPr>
      <w:widowControl/>
      <w:spacing w:after="160" w:line="240" w:lineRule="exact"/>
      <w:jc w:val="left"/>
    </w:pPr>
    <w:rPr>
      <w:rFonts w:ascii="Times New Roman" w:hAnsi="Times New Roman"/>
    </w:rPr>
  </w:style>
  <w:style w:type="character" w:customStyle="1" w:styleId="640">
    <w:name w:val="超链接11"/>
    <w:qFormat/>
    <w:uiPriority w:val="0"/>
    <w:rPr>
      <w:rFonts w:ascii="Arial" w:hAnsi="Arial" w:eastAsia="黑体"/>
      <w:color w:val="0000FF"/>
      <w:kern w:val="2"/>
      <w:sz w:val="21"/>
      <w:szCs w:val="21"/>
      <w:u w:val="single"/>
      <w:lang w:val="en-US" w:eastAsia="zh-CN" w:bidi="ar-SA"/>
    </w:rPr>
  </w:style>
  <w:style w:type="paragraph" w:customStyle="1" w:styleId="641">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642">
    <w:name w:val="正文文本 (2)_"/>
    <w:link w:val="643"/>
    <w:unhideWhenUsed/>
    <w:qFormat/>
    <w:locked/>
    <w:uiPriority w:val="99"/>
    <w:rPr>
      <w:rFonts w:ascii="MingLiU" w:eastAsia="MingLiU"/>
      <w:spacing w:val="20"/>
      <w:shd w:val="clear" w:color="auto" w:fill="FFFFFF"/>
    </w:rPr>
  </w:style>
  <w:style w:type="paragraph" w:customStyle="1" w:styleId="643">
    <w:name w:val="正文文本 (2)1"/>
    <w:basedOn w:val="1"/>
    <w:link w:val="642"/>
    <w:unhideWhenUsed/>
    <w:qFormat/>
    <w:uiPriority w:val="99"/>
    <w:pPr>
      <w:shd w:val="clear" w:color="auto" w:fill="FFFFFF"/>
      <w:spacing w:before="300" w:after="300" w:line="240" w:lineRule="atLeast"/>
      <w:jc w:val="distribute"/>
    </w:pPr>
    <w:rPr>
      <w:rFonts w:ascii="MingLiU" w:hAnsi="Times New Roman" w:eastAsia="MingLiU"/>
      <w:spacing w:val="20"/>
      <w:kern w:val="0"/>
      <w:sz w:val="20"/>
      <w:szCs w:val="20"/>
    </w:rPr>
  </w:style>
  <w:style w:type="character" w:customStyle="1" w:styleId="644">
    <w:name w:val="未处理的提及1"/>
    <w:semiHidden/>
    <w:unhideWhenUsed/>
    <w:qFormat/>
    <w:uiPriority w:val="99"/>
    <w:rPr>
      <w:color w:val="605E5C"/>
      <w:shd w:val="clear" w:color="auto" w:fill="E1DFDD"/>
    </w:rPr>
  </w:style>
  <w:style w:type="table" w:customStyle="1" w:styleId="645">
    <w:name w:val="Table Normal"/>
    <w:semiHidden/>
    <w:unhideWhenUsed/>
    <w:qFormat/>
    <w:uiPriority w:val="2"/>
    <w:rPr>
      <w:rFonts w:ascii="Calibri" w:hAnsi="Calibri"/>
      <w:lang w:eastAsia="ja-JP"/>
    </w:rPr>
    <w:tblPr>
      <w:tblCellMar>
        <w:top w:w="0" w:type="dxa"/>
        <w:left w:w="0" w:type="dxa"/>
        <w:bottom w:w="0" w:type="dxa"/>
        <w:right w:w="0" w:type="dxa"/>
      </w:tblCellMar>
    </w:tblPr>
  </w:style>
  <w:style w:type="table" w:customStyle="1" w:styleId="646">
    <w:name w:val="网格型11"/>
    <w:basedOn w:val="88"/>
    <w:qFormat/>
    <w:uiPriority w:val="0"/>
    <w:pPr>
      <w:widowControl w:val="0"/>
      <w:jc w:val="both"/>
    </w:pPr>
    <w:rPr>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47">
    <w:name w:val="Table Normal1"/>
    <w:semiHidden/>
    <w:unhideWhenUsed/>
    <w:qFormat/>
    <w:uiPriority w:val="2"/>
    <w:rPr>
      <w:rFonts w:ascii="Calibri" w:hAnsi="Calibri"/>
      <w:lang w:eastAsia="ja-JP"/>
    </w:rPr>
    <w:tblPr>
      <w:tblCellMar>
        <w:top w:w="0" w:type="dxa"/>
        <w:left w:w="0" w:type="dxa"/>
        <w:bottom w:w="0" w:type="dxa"/>
        <w:right w:w="0" w:type="dxa"/>
      </w:tblCellMar>
    </w:tblPr>
  </w:style>
  <w:style w:type="paragraph" w:customStyle="1" w:styleId="648">
    <w:name w:val="Table Paragraph"/>
    <w:basedOn w:val="1"/>
    <w:qFormat/>
    <w:uiPriority w:val="1"/>
    <w:pPr>
      <w:topLinePunct/>
      <w:adjustRightInd w:val="0"/>
      <w:snapToGrid w:val="0"/>
      <w:spacing w:line="360" w:lineRule="auto"/>
      <w:jc w:val="left"/>
    </w:pPr>
    <w:rPr>
      <w:rFonts w:ascii="宋体" w:hAnsi="宋体" w:cs="宋体"/>
      <w:kern w:val="0"/>
      <w:szCs w:val="22"/>
      <w:lang w:val="zh-CN" w:bidi="zh-CN"/>
    </w:rPr>
  </w:style>
  <w:style w:type="table" w:customStyle="1" w:styleId="649">
    <w:name w:val="网格型111"/>
    <w:basedOn w:val="88"/>
    <w:qFormat/>
    <w:uiPriority w:val="0"/>
    <w:pPr>
      <w:widowControl w:val="0"/>
      <w:jc w:val="both"/>
    </w:pPr>
    <w:rPr>
      <w:rFonts w:ascii="Calibri" w:hAnsi="Calibri"/>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50">
    <w:name w:val="网格型21"/>
    <w:basedOn w:val="88"/>
    <w:qFormat/>
    <w:uiPriority w:val="39"/>
    <w:rPr>
      <w:rFonts w:ascii="Calibri" w:hAnsi="Calibri"/>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51">
    <w:name w:val="変更箇所1"/>
    <w:hidden/>
    <w:unhideWhenUsed/>
    <w:qFormat/>
    <w:uiPriority w:val="99"/>
    <w:rPr>
      <w:rFonts w:ascii="Times New Roman" w:hAnsi="Times New Roman" w:eastAsia="宋体" w:cs="Times New Roman"/>
      <w:kern w:val="2"/>
      <w:sz w:val="21"/>
      <w:szCs w:val="24"/>
      <w:lang w:val="en-US" w:eastAsia="zh-CN" w:bidi="ar-SA"/>
    </w:rPr>
  </w:style>
  <w:style w:type="paragraph" w:customStyle="1" w:styleId="652">
    <w:name w:val="変更箇所2"/>
    <w:hidden/>
    <w:unhideWhenUsed/>
    <w:qFormat/>
    <w:uiPriority w:val="99"/>
    <w:rPr>
      <w:rFonts w:ascii="Times New Roman" w:hAnsi="Times New Roman" w:eastAsia="宋体" w:cs="Times New Roman"/>
      <w:kern w:val="2"/>
      <w:sz w:val="21"/>
      <w:szCs w:val="24"/>
      <w:lang w:val="en-US" w:eastAsia="zh-CN" w:bidi="ar-SA"/>
    </w:rPr>
  </w:style>
  <w:style w:type="character" w:customStyle="1" w:styleId="653">
    <w:name w:val="明显引用 字符1"/>
    <w:qFormat/>
    <w:uiPriority w:val="30"/>
    <w:rPr>
      <w:i/>
      <w:iCs/>
      <w:color w:val="4F81BD"/>
      <w:kern w:val="2"/>
      <w:sz w:val="21"/>
      <w:szCs w:val="24"/>
      <w:lang w:eastAsia="zh-CN"/>
    </w:rPr>
  </w:style>
  <w:style w:type="character" w:customStyle="1" w:styleId="654">
    <w:name w:val="引用 字符1"/>
    <w:qFormat/>
    <w:uiPriority w:val="29"/>
    <w:rPr>
      <w:i/>
      <w:iCs/>
      <w:color w:val="404040"/>
      <w:kern w:val="2"/>
      <w:sz w:val="21"/>
      <w:szCs w:val="24"/>
      <w:lang w:eastAsia="zh-CN"/>
    </w:rPr>
  </w:style>
  <w:style w:type="table" w:customStyle="1" w:styleId="655">
    <w:name w:val="网格型3"/>
    <w:basedOn w:val="8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56">
    <w:name w:val="cf01"/>
    <w:autoRedefine/>
    <w:qFormat/>
    <w:uiPriority w:val="0"/>
    <w:rPr>
      <w:rFonts w:hint="eastAsia" w:ascii="Meiryo UI" w:hAnsi="Meiryo UI" w:eastAsia="Meiryo UI"/>
      <w:sz w:val="18"/>
      <w:szCs w:val="18"/>
    </w:rPr>
  </w:style>
  <w:style w:type="paragraph" w:customStyle="1" w:styleId="657">
    <w:name w:val="修订31"/>
    <w:autoRedefine/>
    <w:hidden/>
    <w:unhideWhenUsed/>
    <w:qFormat/>
    <w:uiPriority w:val="99"/>
    <w:rPr>
      <w:rFonts w:ascii="Calibri" w:hAnsi="Calibri" w:eastAsia="宋体" w:cs="Times New Roman"/>
      <w:kern w:val="2"/>
      <w:sz w:val="21"/>
      <w:szCs w:val="24"/>
      <w:lang w:val="en-US" w:eastAsia="zh-CN" w:bidi="ar-SA"/>
    </w:rPr>
  </w:style>
  <w:style w:type="character" w:customStyle="1" w:styleId="658">
    <w:name w:val="font41"/>
    <w:autoRedefine/>
    <w:qFormat/>
    <w:uiPriority w:val="0"/>
    <w:rPr>
      <w:rFonts w:hint="eastAsia" w:ascii="宋体" w:hAnsi="宋体" w:eastAsia="宋体" w:cs="宋体"/>
      <w:b/>
      <w:bCs/>
      <w:i/>
      <w:iCs/>
      <w:color w:val="000000"/>
      <w:sz w:val="18"/>
      <w:szCs w:val="18"/>
      <w:u w:val="none"/>
    </w:rPr>
  </w:style>
  <w:style w:type="table" w:customStyle="1" w:styleId="659">
    <w:name w:val="网格型12"/>
    <w:basedOn w:val="88"/>
    <w:qFormat/>
    <w:uiPriority w:val="39"/>
    <w:rPr>
      <w:rFonts w:ascii="等线" w:hAnsi="等线" w:eastAsia="等线"/>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60">
    <w:name w:val="网格型4"/>
    <w:basedOn w:val="88"/>
    <w:autoRedefine/>
    <w:qFormat/>
    <w:uiPriority w:val="39"/>
    <w:rPr>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61">
    <w:name w:val="修订4"/>
    <w:hidden/>
    <w:unhideWhenUsed/>
    <w:qFormat/>
    <w:uiPriority w:val="99"/>
    <w:rPr>
      <w:rFonts w:ascii="Calibri" w:hAnsi="Calibri" w:eastAsia="宋体" w:cs="Times New Roman"/>
      <w:kern w:val="2"/>
      <w:sz w:val="21"/>
      <w:szCs w:val="24"/>
      <w:lang w:val="en-US" w:eastAsia="zh-CN" w:bidi="ar-SA"/>
    </w:rPr>
  </w:style>
  <w:style w:type="table" w:customStyle="1" w:styleId="662">
    <w:name w:val="网格型13"/>
    <w:basedOn w:val="88"/>
    <w:autoRedefine/>
    <w:qFormat/>
    <w:uiPriority w:val="39"/>
    <w:rPr>
      <w:rFonts w:ascii="等线" w:hAnsi="等线" w:eastAsia="等线"/>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63">
    <w:name w:val="明显强调4"/>
    <w:qFormat/>
    <w:uiPriority w:val="21"/>
    <w:rPr>
      <w:i/>
      <w:iCs/>
      <w:color w:val="0F4761"/>
    </w:rPr>
  </w:style>
  <w:style w:type="character" w:customStyle="1" w:styleId="664">
    <w:name w:val="明显参考4"/>
    <w:qFormat/>
    <w:uiPriority w:val="32"/>
    <w:rPr>
      <w:b/>
      <w:bCs/>
      <w:smallCaps/>
      <w:color w:val="0F4761"/>
      <w:spacing w:val="5"/>
    </w:rPr>
  </w:style>
  <w:style w:type="character" w:customStyle="1" w:styleId="665">
    <w:name w:val="明显强调5"/>
    <w:qFormat/>
    <w:uiPriority w:val="21"/>
    <w:rPr>
      <w:i/>
      <w:iCs/>
      <w:color w:val="4472C4"/>
    </w:rPr>
  </w:style>
  <w:style w:type="character" w:customStyle="1" w:styleId="666">
    <w:name w:val="明显参考5"/>
    <w:qFormat/>
    <w:uiPriority w:val="32"/>
    <w:rPr>
      <w:b/>
      <w:bCs/>
      <w:smallCaps/>
      <w:color w:val="4472C4"/>
      <w:spacing w:val="5"/>
    </w:rPr>
  </w:style>
  <w:style w:type="table" w:customStyle="1" w:styleId="667">
    <w:name w:val="网格型211"/>
    <w:basedOn w:val="88"/>
    <w:autoRedefine/>
    <w:qFormat/>
    <w:uiPriority w:val="39"/>
    <w:rPr>
      <w:rFonts w:ascii="Yu Mincho" w:hAnsi="Yu Mincho" w:eastAsia="Yu Mincho"/>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68">
    <w:name w:val="网格型31"/>
    <w:basedOn w:val="88"/>
    <w:autoRedefine/>
    <w:qFormat/>
    <w:uiPriority w:val="39"/>
    <w:rPr>
      <w:rFonts w:ascii="Yu Mincho" w:hAnsi="Yu Mincho" w:eastAsia="Yu Mincho"/>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69">
    <w:name w:val="网格型41"/>
    <w:basedOn w:val="88"/>
    <w:autoRedefine/>
    <w:qFormat/>
    <w:uiPriority w:val="39"/>
    <w:rPr>
      <w:rFonts w:ascii="Yu Mincho" w:hAnsi="Yu Mincho" w:eastAsia="Yu Mincho"/>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70">
    <w:name w:val="明显强调6"/>
    <w:qFormat/>
    <w:uiPriority w:val="21"/>
    <w:rPr>
      <w:i/>
      <w:iCs/>
      <w:color w:val="4F81BD"/>
    </w:rPr>
  </w:style>
  <w:style w:type="character" w:customStyle="1" w:styleId="671">
    <w:name w:val="明显参考6"/>
    <w:qFormat/>
    <w:uiPriority w:val="32"/>
    <w:rPr>
      <w:b/>
      <w:bCs/>
      <w:smallCaps/>
      <w:color w:val="4F81BD"/>
      <w:spacing w:val="5"/>
    </w:rPr>
  </w:style>
  <w:style w:type="character" w:customStyle="1" w:styleId="672">
    <w:name w:val="明显强调7"/>
    <w:qFormat/>
    <w:uiPriority w:val="21"/>
    <w:rPr>
      <w:i/>
      <w:iCs/>
      <w:color w:val="4472C4"/>
    </w:rPr>
  </w:style>
  <w:style w:type="character" w:customStyle="1" w:styleId="673">
    <w:name w:val="明显参考7"/>
    <w:qFormat/>
    <w:uiPriority w:val="32"/>
    <w:rPr>
      <w:b/>
      <w:bCs/>
      <w:smallCaps/>
      <w:color w:val="4472C4"/>
      <w:spacing w:val="5"/>
    </w:rPr>
  </w:style>
  <w:style w:type="table" w:customStyle="1" w:styleId="674">
    <w:name w:val="网格型5"/>
    <w:basedOn w:val="88"/>
    <w:qFormat/>
    <w:uiPriority w:val="59"/>
    <w:rPr>
      <w:rFonts w:ascii="Calibri" w:hAnsi="Calibri"/>
      <w:kern w:val="2"/>
      <w:sz w:val="21"/>
      <w:szCs w:val="22"/>
      <w:lang w:eastAsia="ja-JP"/>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675">
    <w:name w:val="网格型14"/>
    <w:basedOn w:val="88"/>
    <w:qFormat/>
    <w:uiPriority w:val="0"/>
    <w:pPr>
      <w:widowControl w:val="0"/>
      <w:jc w:val="both"/>
    </w:pPr>
    <w:rPr>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76">
    <w:name w:val="网格型112"/>
    <w:basedOn w:val="88"/>
    <w:qFormat/>
    <w:uiPriority w:val="0"/>
    <w:pPr>
      <w:widowControl w:val="0"/>
      <w:jc w:val="both"/>
    </w:pPr>
    <w:rPr>
      <w:rFonts w:ascii="Calibri" w:hAnsi="Calibri"/>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77">
    <w:name w:val="网格型22"/>
    <w:basedOn w:val="88"/>
    <w:qFormat/>
    <w:uiPriority w:val="39"/>
    <w:rPr>
      <w:rFonts w:ascii="Calibri" w:hAnsi="Calibri"/>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78">
    <w:name w:val="网格型212"/>
    <w:basedOn w:val="88"/>
    <w:autoRedefine/>
    <w:qFormat/>
    <w:uiPriority w:val="39"/>
    <w:rPr>
      <w:rFonts w:ascii="Yu Mincho" w:hAnsi="Yu Mincho" w:eastAsia="Yu Mincho"/>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79">
    <w:name w:val="网格型51"/>
    <w:basedOn w:val="8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0">
    <w:name w:val="网格型6"/>
    <w:basedOn w:val="88"/>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681">
    <w:name w:val="未处理的提及2"/>
    <w:semiHidden/>
    <w:unhideWhenUsed/>
    <w:qFormat/>
    <w:uiPriority w:val="99"/>
    <w:rPr>
      <w:color w:val="605E5C"/>
      <w:shd w:val="clear" w:color="auto" w:fill="E1DFDD"/>
    </w:rPr>
  </w:style>
  <w:style w:type="table" w:customStyle="1" w:styleId="682">
    <w:name w:val="网格型15"/>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3">
    <w:name w:val="网格型113"/>
    <w:basedOn w:val="88"/>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4">
    <w:name w:val="网格型23"/>
    <w:basedOn w:val="88"/>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5">
    <w:name w:val="网格型213"/>
    <w:basedOn w:val="88"/>
    <w:autoRedefine/>
    <w:qFormat/>
    <w:uiPriority w:val="39"/>
    <w:rPr>
      <w:rFonts w:ascii="Yu Mincho" w:hAnsi="Yu Mincho" w:eastAsia="Yu Mincho"/>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6">
    <w:name w:val="网格型52"/>
    <w:basedOn w:val="8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7">
    <w:name w:val="网格型61"/>
    <w:basedOn w:val="8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88">
    <w:name w:val="题注1"/>
    <w:basedOn w:val="1"/>
    <w:next w:val="1"/>
    <w:autoRedefine/>
    <w:unhideWhenUsed/>
    <w:qFormat/>
    <w:uiPriority w:val="35"/>
    <w:pPr>
      <w:spacing w:before="180" w:beforeLines="50" w:line="600" w:lineRule="exact"/>
      <w:jc w:val="center"/>
    </w:pPr>
    <w:rPr>
      <w:rFonts w:ascii="Times New Roman" w:hAnsi="Times New Roman" w:eastAsia="黑体"/>
      <w:sz w:val="22"/>
      <w:szCs w:val="22"/>
    </w:rPr>
  </w:style>
  <w:style w:type="paragraph" w:customStyle="1" w:styleId="689">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SixthEditionOfficeOnline.xsl" Version="6" StyleName="APA"/>
</file>

<file path=customXml/itemProps1.xml><?xml version="1.0" encoding="utf-8"?>
<ds:datastoreItem xmlns:ds="http://schemas.openxmlformats.org/officeDocument/2006/customXml" ds:itemID="{53235E7B-D6F3-44FB-AD46-F4CF58564328}">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42</Pages>
  <Words>2906</Words>
  <Characters>3748</Characters>
  <Lines>206</Lines>
  <Paragraphs>58</Paragraphs>
  <TotalTime>0</TotalTime>
  <ScaleCrop>false</ScaleCrop>
  <LinksUpToDate>false</LinksUpToDate>
  <CharactersWithSpaces>3786</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2025-12-01T00:22:00Z</dcterms:created>
  <dc:creator>道运中心</dc:creator>
  <cp:lastModifiedBy>高际航</cp:lastModifiedBy>
  <cp:lastPrinted>2022-12-03T14:08:00Z</cp:lastPrinted>
  <dcterms:modified xsi:type="dcterms:W3CDTF">2025-12-29T09:35:11Z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82C61FA2566CC063BBDA516919CEFD92_43</vt:lpwstr>
  </property>
  <property fmtid="{D5CDD505-2E9C-101B-9397-08002B2CF9AE}" pid="4" name="KSOTemplateDocerSaveRecord">
    <vt:lpwstr>eyJoZGlkIjoiZGYyZDg4M2Y1NGQ2MDc4ZTI2Y2QyZjBjZGEyYjdlZWMiLCJ1c2VySWQiOiI3MzAzNDk2OTIifQ==</vt:lpwstr>
  </property>
</Properties>
</file>