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6"/>
          <w:szCs w:val="36"/>
        </w:rPr>
      </w:pPr>
    </w:p>
    <w:p>
      <w:pPr>
        <w:jc w:val="center"/>
        <w:rPr>
          <w:rFonts w:hint="eastAsia"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《区域科技创新走廊和创新带体系构建和空间规划》采购需求</w:t>
      </w:r>
    </w:p>
    <w:p>
      <w:pPr>
        <w:jc w:val="center"/>
        <w:rPr>
          <w:rFonts w:ascii="黑体" w:hAnsi="黑体" w:eastAsia="黑体"/>
          <w:sz w:val="36"/>
          <w:szCs w:val="36"/>
        </w:rPr>
      </w:pPr>
    </w:p>
    <w:p>
      <w:pPr>
        <w:ind w:firstLine="560" w:firstLineChars="200"/>
        <w:rPr>
          <w:rFonts w:ascii="黑体" w:hAnsi="黑体" w:eastAsia="黑体"/>
          <w:sz w:val="36"/>
          <w:szCs w:val="36"/>
        </w:rPr>
      </w:pPr>
      <w:r>
        <w:rPr>
          <w:rFonts w:hint="eastAsia" w:ascii="黑体" w:hAnsi="黑体" w:eastAsia="黑体"/>
          <w:sz w:val="28"/>
          <w:szCs w:val="28"/>
        </w:rPr>
        <w:t>一、工作背景</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深入贯彻长三角一体化发展战略，全面落实十二届市委七次全会精神，服务上海（长三角）国际科技创新中心建设，衔接落实《长三角国土空间规划》，进一步发挥规划引领、空间支撑、资源保障作用，开展本项工作，加强科技创新前瞻布局和各项创新资源要素共享，增强产业链供应链韧性，推动形成现代化、国际化科技创新共同体。</w:t>
      </w:r>
    </w:p>
    <w:p>
      <w:pPr>
        <w:spacing w:line="500" w:lineRule="exact"/>
        <w:ind w:firstLine="560" w:firstLineChars="200"/>
        <w:rPr>
          <w:rFonts w:ascii="黑体" w:hAnsi="黑体" w:eastAsia="黑体"/>
          <w:sz w:val="28"/>
          <w:szCs w:val="28"/>
        </w:rPr>
      </w:pPr>
      <w:r>
        <w:rPr>
          <w:rFonts w:hint="eastAsia" w:ascii="黑体" w:hAnsi="黑体" w:eastAsia="黑体"/>
          <w:sz w:val="28"/>
          <w:szCs w:val="28"/>
        </w:rPr>
        <w:t>二、工作内容</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本项目进一步贯彻落实长三角一体化发展战略，按照上海（长三角）国际科技创新中心建设要求，需开展区域科技创新走廊和创新带比较研究、区域科技创新体系构建和规划策略、区域科技创新走廊和创新带空间布局优化等研究。20</w:t>
      </w:r>
      <w:r>
        <w:rPr>
          <w:rFonts w:ascii="仿宋_GB2312" w:hAnsi="仿宋" w:eastAsia="仿宋_GB2312"/>
          <w:sz w:val="30"/>
          <w:szCs w:val="30"/>
        </w:rPr>
        <w:t>26</w:t>
      </w:r>
      <w:r>
        <w:rPr>
          <w:rFonts w:hint="eastAsia" w:ascii="仿宋_GB2312" w:hAnsi="仿宋" w:eastAsia="仿宋_GB2312"/>
          <w:sz w:val="30"/>
          <w:szCs w:val="30"/>
        </w:rPr>
        <w:t>年采购内容为：</w:t>
      </w:r>
    </w:p>
    <w:p>
      <w:pPr>
        <w:spacing w:line="360" w:lineRule="auto"/>
        <w:ind w:firstLine="602" w:firstLineChars="200"/>
        <w:jc w:val="both"/>
        <w:rPr>
          <w:rFonts w:ascii="仿宋_GB2312" w:hAnsi="仿宋" w:eastAsia="仿宋_GB2312"/>
          <w:sz w:val="30"/>
          <w:szCs w:val="30"/>
        </w:rPr>
      </w:pPr>
      <w:r>
        <w:rPr>
          <w:rFonts w:hint="eastAsia" w:ascii="仿宋_GB2312" w:hAnsi="仿宋" w:eastAsia="仿宋_GB2312"/>
          <w:b/>
          <w:sz w:val="30"/>
          <w:szCs w:val="30"/>
        </w:rPr>
        <w:t>1.</w:t>
      </w:r>
      <w:r>
        <w:rPr>
          <w:rFonts w:hint="eastAsia"/>
        </w:rPr>
        <w:t xml:space="preserve"> </w:t>
      </w:r>
      <w:r>
        <w:rPr>
          <w:rFonts w:hint="eastAsia" w:ascii="仿宋_GB2312" w:hAnsi="仿宋" w:eastAsia="仿宋_GB2312"/>
          <w:b/>
          <w:sz w:val="30"/>
          <w:szCs w:val="30"/>
        </w:rPr>
        <w:t>区域科技创新走廊和创新带比较：</w:t>
      </w:r>
      <w:r>
        <w:rPr>
          <w:rFonts w:hint="eastAsia" w:ascii="仿宋_GB2312" w:hAnsi="仿宋" w:eastAsia="仿宋_GB2312"/>
          <w:sz w:val="30"/>
          <w:szCs w:val="30"/>
        </w:rPr>
        <w:t>对当前影响力较高的国际科技创新走廊和创新带开展研究，探索科技创新走廊和创新带发展引领区域发展的模式。围绕政府平台、创新企业、科研机构、创新人才等“政产学研”要素，构建创新协作、创新集中度、创新竞争力、创新连通性的评估框架，对地方实践层面已经提出的科技创新走廊和创新带进行评估，比较不同走廊的发育程度、结构差异及协同强弱。</w:t>
      </w:r>
    </w:p>
    <w:p>
      <w:pPr>
        <w:spacing w:line="360" w:lineRule="auto"/>
        <w:ind w:firstLine="602" w:firstLineChars="200"/>
        <w:jc w:val="both"/>
        <w:rPr>
          <w:rFonts w:ascii="仿宋_GB2312" w:hAnsi="仿宋" w:eastAsia="仿宋_GB2312"/>
          <w:bCs/>
          <w:sz w:val="30"/>
          <w:szCs w:val="30"/>
        </w:rPr>
      </w:pPr>
      <w:r>
        <w:rPr>
          <w:rFonts w:hint="eastAsia" w:ascii="仿宋_GB2312" w:hAnsi="仿宋" w:eastAsia="仿宋_GB2312"/>
          <w:b/>
          <w:sz w:val="30"/>
          <w:szCs w:val="30"/>
        </w:rPr>
        <w:t>一是研究国际创新走廊案例。</w:t>
      </w:r>
      <w:r>
        <w:rPr>
          <w:rFonts w:hint="eastAsia" w:ascii="仿宋_GB2312" w:hAnsi="仿宋" w:eastAsia="仿宋_GB2312"/>
          <w:sz w:val="30"/>
          <w:szCs w:val="30"/>
        </w:rPr>
        <w:t>针</w:t>
      </w:r>
      <w:r>
        <w:rPr>
          <w:rFonts w:hint="eastAsia" w:ascii="仿宋_GB2312" w:hAnsi="仿宋" w:eastAsia="仿宋_GB2312"/>
          <w:bCs/>
          <w:sz w:val="30"/>
          <w:szCs w:val="30"/>
        </w:rPr>
        <w:t>对当前影响力较高的国际创新廊道和创新带，包括美国旧金山湾区1</w:t>
      </w:r>
      <w:r>
        <w:rPr>
          <w:rFonts w:ascii="仿宋_GB2312" w:hAnsi="仿宋" w:eastAsia="仿宋_GB2312"/>
          <w:bCs/>
          <w:sz w:val="30"/>
          <w:szCs w:val="30"/>
        </w:rPr>
        <w:t>01</w:t>
      </w:r>
      <w:r>
        <w:rPr>
          <w:rFonts w:hint="eastAsia" w:ascii="仿宋_GB2312" w:hAnsi="仿宋" w:eastAsia="仿宋_GB2312"/>
          <w:bCs/>
          <w:sz w:val="30"/>
          <w:szCs w:val="30"/>
        </w:rPr>
        <w:t>公路创新走廊、大波士顿地区1</w:t>
      </w:r>
      <w:r>
        <w:rPr>
          <w:rFonts w:ascii="仿宋_GB2312" w:hAnsi="仿宋" w:eastAsia="仿宋_GB2312"/>
          <w:bCs/>
          <w:sz w:val="30"/>
          <w:szCs w:val="30"/>
        </w:rPr>
        <w:t>28</w:t>
      </w:r>
      <w:r>
        <w:rPr>
          <w:rFonts w:hint="eastAsia" w:ascii="仿宋_GB2312" w:hAnsi="仿宋" w:eastAsia="仿宋_GB2312"/>
          <w:bCs/>
          <w:sz w:val="30"/>
          <w:szCs w:val="30"/>
        </w:rPr>
        <w:t>公路创新走廊、英国伦敦-剑桥创新走廊、日本东京-筑波创新走廊等开展研究，探索创新走廊发展引领区域发展的模式。</w:t>
      </w:r>
    </w:p>
    <w:p>
      <w:pPr>
        <w:spacing w:line="360" w:lineRule="auto"/>
        <w:ind w:firstLine="602" w:firstLineChars="200"/>
        <w:jc w:val="both"/>
        <w:rPr>
          <w:rFonts w:ascii="仿宋_GB2312" w:hAnsi="仿宋" w:eastAsia="仿宋_GB2312"/>
          <w:bCs/>
          <w:sz w:val="30"/>
          <w:szCs w:val="30"/>
        </w:rPr>
      </w:pPr>
      <w:r>
        <w:rPr>
          <w:rFonts w:hint="eastAsia" w:ascii="仿宋_GB2312" w:hAnsi="仿宋" w:eastAsia="仿宋_GB2312"/>
          <w:b/>
          <w:sz w:val="30"/>
          <w:szCs w:val="30"/>
        </w:rPr>
        <w:t>二是明确长三角创新走廊的范围与创新要素界定。</w:t>
      </w:r>
      <w:r>
        <w:rPr>
          <w:rFonts w:hint="eastAsia" w:ascii="仿宋_GB2312" w:hAnsi="仿宋" w:eastAsia="仿宋_GB2312"/>
          <w:bCs/>
          <w:sz w:val="30"/>
          <w:szCs w:val="30"/>
        </w:rPr>
        <w:t>基于长三角经济连绵、人口集聚的态势，明确本次规划研究的创新走廊与创新带范围。创新走廊与创新带既要强调要素在空间上的集聚，也强调各创新要素间的关联与协同，因此提出创新要素的“集聚”和“关联”是本研究的两个基本出发点，构建“政产学研”创新要素分析框架。</w:t>
      </w:r>
    </w:p>
    <w:p>
      <w:pPr>
        <w:spacing w:line="360" w:lineRule="auto"/>
        <w:ind w:firstLine="602" w:firstLineChars="200"/>
        <w:jc w:val="both"/>
        <w:rPr>
          <w:rFonts w:ascii="仿宋_GB2312" w:hAnsi="仿宋" w:eastAsia="仿宋_GB2312"/>
          <w:bCs/>
          <w:sz w:val="30"/>
          <w:szCs w:val="30"/>
        </w:rPr>
      </w:pPr>
      <w:r>
        <w:rPr>
          <w:rFonts w:hint="eastAsia" w:ascii="仿宋_GB2312" w:hAnsi="仿宋" w:eastAsia="仿宋_GB2312"/>
          <w:b/>
          <w:sz w:val="30"/>
          <w:szCs w:val="30"/>
        </w:rPr>
        <w:t>三是基于创新的协作、集中、竞争力、连通性等维度构建评价体系。</w:t>
      </w:r>
      <w:r>
        <w:rPr>
          <w:rFonts w:hint="eastAsia" w:ascii="仿宋_GB2312" w:hAnsi="仿宋" w:eastAsia="仿宋_GB2312"/>
          <w:bCs/>
          <w:sz w:val="30"/>
          <w:szCs w:val="30"/>
        </w:rPr>
        <w:t>协作强调企业之间的相互关联，创新集中度强调企业、机构和人才的集中趋势，创新竞争力重点考量大专院校、国家重点研发机构和人才的集聚程度，创新连通性以城际和高铁的连通度和频次来测量。</w:t>
      </w:r>
    </w:p>
    <w:p>
      <w:pPr>
        <w:spacing w:line="360" w:lineRule="auto"/>
        <w:ind w:firstLine="602" w:firstLineChars="200"/>
        <w:jc w:val="both"/>
        <w:rPr>
          <w:rFonts w:ascii="仿宋_GB2312" w:hAnsi="仿宋" w:eastAsia="仿宋_GB2312"/>
          <w:bCs/>
          <w:sz w:val="30"/>
          <w:szCs w:val="30"/>
        </w:rPr>
      </w:pPr>
      <w:r>
        <w:rPr>
          <w:rFonts w:hint="eastAsia" w:ascii="仿宋_GB2312" w:hAnsi="仿宋" w:eastAsia="仿宋_GB2312"/>
          <w:b/>
          <w:sz w:val="30"/>
          <w:szCs w:val="30"/>
        </w:rPr>
        <w:t>四是依据评价体系来评价长三角创新走廊与创新带的强弱。</w:t>
      </w:r>
      <w:r>
        <w:rPr>
          <w:rFonts w:hint="eastAsia" w:ascii="仿宋_GB2312" w:hAnsi="仿宋" w:eastAsia="仿宋_GB2312"/>
          <w:bCs/>
          <w:sz w:val="30"/>
          <w:szCs w:val="30"/>
        </w:rPr>
        <w:t>检验长三角创新走廊与创新带的发展阶段，并比较走廊的长板与短板。</w:t>
      </w:r>
    </w:p>
    <w:p>
      <w:pPr>
        <w:spacing w:line="360" w:lineRule="auto"/>
        <w:jc w:val="center"/>
        <w:rPr>
          <w:rFonts w:ascii="仿宋_GB2312" w:hAnsi="仿宋" w:eastAsia="仿宋_GB2312"/>
          <w:bCs/>
          <w:sz w:val="30"/>
          <w:szCs w:val="30"/>
        </w:rPr>
      </w:pPr>
      <w:r>
        <w:rPr>
          <w:rFonts w:hint="eastAsia" w:ascii="仿宋_GB2312" w:hAnsi="仿宋" w:eastAsia="仿宋_GB2312"/>
          <w:bCs/>
          <w:sz w:val="30"/>
          <w:szCs w:val="30"/>
        </w:rPr>
        <w:drawing>
          <wp:inline distT="0" distB="0" distL="0" distR="0">
            <wp:extent cx="2771140" cy="3648075"/>
            <wp:effectExtent l="0" t="0" r="0" b="0"/>
            <wp:docPr id="15487538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53836"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01244" cy="3687497"/>
                    </a:xfrm>
                    <a:prstGeom prst="rect">
                      <a:avLst/>
                    </a:prstGeom>
                    <a:noFill/>
                    <a:ln>
                      <a:noFill/>
                    </a:ln>
                  </pic:spPr>
                </pic:pic>
              </a:graphicData>
            </a:graphic>
          </wp:inline>
        </w:drawing>
      </w:r>
      <w:r>
        <w:rPr>
          <w:rFonts w:ascii="仿宋_GB2312" w:hAnsi="仿宋" w:eastAsia="仿宋_GB2312"/>
          <w:bCs/>
          <w:sz w:val="30"/>
          <w:szCs w:val="30"/>
        </w:rPr>
        <w:drawing>
          <wp:inline distT="0" distB="0" distL="0" distR="0">
            <wp:extent cx="2440305" cy="3670300"/>
            <wp:effectExtent l="0" t="0" r="0" b="6350"/>
            <wp:docPr id="11083098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09837"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65394" cy="3707883"/>
                    </a:xfrm>
                    <a:prstGeom prst="rect">
                      <a:avLst/>
                    </a:prstGeom>
                    <a:noFill/>
                    <a:ln>
                      <a:noFill/>
                    </a:ln>
                  </pic:spPr>
                </pic:pic>
              </a:graphicData>
            </a:graphic>
          </wp:inline>
        </w:drawing>
      </w:r>
    </w:p>
    <w:p>
      <w:pPr>
        <w:spacing w:line="360" w:lineRule="auto"/>
        <w:jc w:val="center"/>
        <w:rPr>
          <w:rFonts w:ascii="黑体" w:hAnsi="黑体" w:eastAsia="黑体"/>
          <w:bCs/>
          <w:sz w:val="24"/>
          <w:szCs w:val="24"/>
        </w:rPr>
      </w:pPr>
      <w:r>
        <w:rPr>
          <w:rFonts w:hint="eastAsia" w:ascii="黑体" w:hAnsi="黑体" w:eastAsia="黑体"/>
          <w:bCs/>
          <w:sz w:val="24"/>
          <w:szCs w:val="24"/>
        </w:rPr>
        <w:t>图1</w:t>
      </w:r>
      <w:r>
        <w:rPr>
          <w:rFonts w:ascii="黑体" w:hAnsi="黑体" w:eastAsia="黑体"/>
          <w:bCs/>
          <w:sz w:val="24"/>
          <w:szCs w:val="24"/>
        </w:rPr>
        <w:t xml:space="preserve"> </w:t>
      </w:r>
      <w:r>
        <w:rPr>
          <w:rFonts w:hint="eastAsia" w:ascii="黑体" w:hAnsi="黑体" w:eastAsia="黑体"/>
          <w:bCs/>
          <w:sz w:val="24"/>
          <w:szCs w:val="24"/>
        </w:rPr>
        <w:t>旧金山湾区1</w:t>
      </w:r>
      <w:r>
        <w:rPr>
          <w:rFonts w:ascii="黑体" w:hAnsi="黑体" w:eastAsia="黑体"/>
          <w:bCs/>
          <w:sz w:val="24"/>
          <w:szCs w:val="24"/>
        </w:rPr>
        <w:t>01</w:t>
      </w:r>
      <w:r>
        <w:rPr>
          <w:rFonts w:hint="eastAsia" w:ascii="黑体" w:hAnsi="黑体" w:eastAsia="黑体"/>
          <w:bCs/>
          <w:sz w:val="24"/>
          <w:szCs w:val="24"/>
        </w:rPr>
        <w:t xml:space="preserve">公路创新走廊 </w:t>
      </w:r>
      <w:r>
        <w:rPr>
          <w:rFonts w:ascii="黑体" w:hAnsi="黑体" w:eastAsia="黑体"/>
          <w:bCs/>
          <w:sz w:val="24"/>
          <w:szCs w:val="24"/>
        </w:rPr>
        <w:t xml:space="preserve">  </w:t>
      </w:r>
      <w:r>
        <w:rPr>
          <w:rFonts w:hint="eastAsia" w:ascii="黑体" w:hAnsi="黑体" w:eastAsia="黑体"/>
          <w:bCs/>
          <w:sz w:val="24"/>
          <w:szCs w:val="24"/>
        </w:rPr>
        <w:t>图2</w:t>
      </w:r>
      <w:r>
        <w:rPr>
          <w:rFonts w:ascii="黑体" w:hAnsi="黑体" w:eastAsia="黑体"/>
          <w:bCs/>
          <w:sz w:val="24"/>
          <w:szCs w:val="24"/>
        </w:rPr>
        <w:t xml:space="preserve"> </w:t>
      </w:r>
      <w:r>
        <w:rPr>
          <w:rFonts w:hint="eastAsia" w:ascii="黑体" w:hAnsi="黑体" w:eastAsia="黑体"/>
          <w:bCs/>
          <w:sz w:val="24"/>
          <w:szCs w:val="24"/>
        </w:rPr>
        <w:t>大波士顿地区1</w:t>
      </w:r>
      <w:r>
        <w:rPr>
          <w:rFonts w:ascii="黑体" w:hAnsi="黑体" w:eastAsia="黑体"/>
          <w:bCs/>
          <w:sz w:val="24"/>
          <w:szCs w:val="24"/>
        </w:rPr>
        <w:t>28</w:t>
      </w:r>
      <w:r>
        <w:rPr>
          <w:rFonts w:hint="eastAsia" w:ascii="黑体" w:hAnsi="黑体" w:eastAsia="黑体"/>
          <w:bCs/>
          <w:sz w:val="24"/>
          <w:szCs w:val="24"/>
        </w:rPr>
        <w:t>公路创新走廊</w:t>
      </w:r>
    </w:p>
    <w:p>
      <w:pPr>
        <w:spacing w:line="360" w:lineRule="auto"/>
        <w:jc w:val="center"/>
        <w:rPr>
          <w:rFonts w:ascii="仿宋_GB2312" w:hAnsi="仿宋" w:eastAsia="仿宋_GB2312"/>
          <w:bCs/>
          <w:sz w:val="30"/>
          <w:szCs w:val="30"/>
        </w:rPr>
      </w:pPr>
      <w:r>
        <w:rPr>
          <w:rFonts w:hint="eastAsia" w:ascii="仿宋_GB2312" w:hAnsi="仿宋" w:eastAsia="仿宋_GB2312"/>
          <w:bCs/>
          <w:sz w:val="30"/>
          <w:szCs w:val="30"/>
        </w:rPr>
        <w:drawing>
          <wp:inline distT="0" distB="0" distL="0" distR="0">
            <wp:extent cx="2127885" cy="3739515"/>
            <wp:effectExtent l="19050" t="19050" r="24765" b="13335"/>
            <wp:docPr id="874463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63105"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58998" cy="3794150"/>
                    </a:xfrm>
                    <a:prstGeom prst="rect">
                      <a:avLst/>
                    </a:prstGeom>
                    <a:noFill/>
                    <a:ln w="6350">
                      <a:solidFill>
                        <a:schemeClr val="tx1">
                          <a:lumMod val="50000"/>
                          <a:lumOff val="50000"/>
                        </a:schemeClr>
                      </a:solidFill>
                    </a:ln>
                  </pic:spPr>
                </pic:pic>
              </a:graphicData>
            </a:graphic>
          </wp:inline>
        </w:drawing>
      </w:r>
      <w:r>
        <w:rPr>
          <w:rFonts w:ascii="仿宋_GB2312" w:hAnsi="仿宋" w:eastAsia="仿宋_GB2312"/>
          <w:bCs/>
          <w:sz w:val="30"/>
          <w:szCs w:val="30"/>
        </w:rPr>
        <w:drawing>
          <wp:inline distT="0" distB="0" distL="0" distR="0">
            <wp:extent cx="3051810" cy="3736340"/>
            <wp:effectExtent l="19050" t="19050" r="15240" b="16510"/>
            <wp:docPr id="19098899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89903"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79516" cy="3770247"/>
                    </a:xfrm>
                    <a:prstGeom prst="rect">
                      <a:avLst/>
                    </a:prstGeom>
                    <a:noFill/>
                    <a:ln w="6350">
                      <a:solidFill>
                        <a:schemeClr val="tx1">
                          <a:lumMod val="50000"/>
                          <a:lumOff val="50000"/>
                        </a:schemeClr>
                      </a:solidFill>
                    </a:ln>
                  </pic:spPr>
                </pic:pic>
              </a:graphicData>
            </a:graphic>
          </wp:inline>
        </w:drawing>
      </w:r>
    </w:p>
    <w:p>
      <w:pPr>
        <w:spacing w:line="360" w:lineRule="auto"/>
        <w:rPr>
          <w:rFonts w:ascii="黑体" w:hAnsi="黑体" w:eastAsia="黑体"/>
          <w:bCs/>
          <w:sz w:val="24"/>
          <w:szCs w:val="24"/>
        </w:rPr>
      </w:pPr>
      <w:r>
        <w:rPr>
          <w:rFonts w:hint="eastAsia" w:ascii="黑体" w:hAnsi="黑体" w:eastAsia="黑体"/>
          <w:bCs/>
          <w:sz w:val="24"/>
          <w:szCs w:val="24"/>
        </w:rPr>
        <w:t>图</w:t>
      </w:r>
      <w:r>
        <w:rPr>
          <w:rFonts w:ascii="黑体" w:hAnsi="黑体" w:eastAsia="黑体"/>
          <w:bCs/>
          <w:sz w:val="24"/>
          <w:szCs w:val="24"/>
        </w:rPr>
        <w:t>3</w:t>
      </w:r>
      <w:r>
        <w:rPr>
          <w:rFonts w:hint="eastAsia" w:ascii="黑体" w:hAnsi="黑体" w:eastAsia="黑体"/>
          <w:bCs/>
          <w:sz w:val="24"/>
          <w:szCs w:val="24"/>
        </w:rPr>
        <w:t xml:space="preserve"> 英国伦敦-剑桥创新走廊 </w:t>
      </w:r>
      <w:r>
        <w:rPr>
          <w:rFonts w:ascii="黑体" w:hAnsi="黑体" w:eastAsia="黑体"/>
          <w:bCs/>
          <w:sz w:val="24"/>
          <w:szCs w:val="24"/>
        </w:rPr>
        <w:t xml:space="preserve">        </w:t>
      </w:r>
      <w:r>
        <w:rPr>
          <w:rFonts w:hint="eastAsia" w:ascii="黑体" w:hAnsi="黑体" w:eastAsia="黑体"/>
          <w:bCs/>
          <w:sz w:val="24"/>
          <w:szCs w:val="24"/>
        </w:rPr>
        <w:t>图4</w:t>
      </w:r>
      <w:r>
        <w:rPr>
          <w:rFonts w:ascii="黑体" w:hAnsi="黑体" w:eastAsia="黑体"/>
          <w:bCs/>
          <w:sz w:val="24"/>
          <w:szCs w:val="24"/>
        </w:rPr>
        <w:t xml:space="preserve"> </w:t>
      </w:r>
      <w:r>
        <w:rPr>
          <w:rFonts w:hint="eastAsia" w:ascii="黑体" w:hAnsi="黑体" w:eastAsia="黑体"/>
          <w:bCs/>
          <w:sz w:val="24"/>
          <w:szCs w:val="24"/>
        </w:rPr>
        <w:t>日本东京-筑波创新走廊</w:t>
      </w:r>
    </w:p>
    <w:p>
      <w:pPr>
        <w:spacing w:line="360" w:lineRule="auto"/>
        <w:ind w:firstLine="602" w:firstLineChars="200"/>
        <w:jc w:val="both"/>
        <w:rPr>
          <w:rFonts w:ascii="仿宋_GB2312" w:hAnsi="仿宋" w:eastAsia="仿宋_GB2312"/>
          <w:sz w:val="30"/>
          <w:szCs w:val="30"/>
        </w:rPr>
      </w:pPr>
      <w:r>
        <w:rPr>
          <w:rFonts w:hint="eastAsia" w:ascii="仿宋_GB2312" w:hAnsi="仿宋" w:eastAsia="仿宋_GB2312"/>
          <w:b/>
          <w:sz w:val="30"/>
          <w:szCs w:val="30"/>
        </w:rPr>
        <w:t>2.</w:t>
      </w:r>
      <w:r>
        <w:rPr>
          <w:rFonts w:hint="eastAsia"/>
        </w:rPr>
        <w:t xml:space="preserve"> </w:t>
      </w:r>
      <w:r>
        <w:rPr>
          <w:rFonts w:hint="eastAsia" w:ascii="仿宋_GB2312" w:hAnsi="仿宋" w:eastAsia="仿宋_GB2312"/>
          <w:b/>
          <w:sz w:val="30"/>
          <w:szCs w:val="30"/>
        </w:rPr>
        <w:t>区域科技创新体系构建和规划策略：</w:t>
      </w:r>
      <w:r>
        <w:rPr>
          <w:rFonts w:hint="eastAsia" w:ascii="仿宋_GB2312" w:hAnsi="仿宋" w:eastAsia="仿宋_GB2312"/>
          <w:sz w:val="30"/>
          <w:szCs w:val="30"/>
        </w:rPr>
        <w:t>对长三角区域创新资源要素配置规律、产业链、创新链、供应链协同水平进行分析，总结区域创新资源在跨地区、跨部门、跨主体之间整合与共享存在的障碍并分析原因，提出长三角区域科技创新体系构建目标，深化在要素配置、功能协同、产业布局、重点地区等方面的规划策略。</w:t>
      </w:r>
    </w:p>
    <w:p>
      <w:pPr>
        <w:spacing w:line="360" w:lineRule="auto"/>
        <w:ind w:firstLine="602" w:firstLineChars="200"/>
        <w:jc w:val="both"/>
        <w:rPr>
          <w:rFonts w:ascii="仿宋_GB2312" w:hAnsi="仿宋" w:eastAsia="仿宋_GB2312"/>
          <w:bCs/>
          <w:sz w:val="30"/>
          <w:szCs w:val="30"/>
        </w:rPr>
      </w:pPr>
      <w:r>
        <w:rPr>
          <w:rFonts w:hint="eastAsia" w:ascii="仿宋_GB2312" w:hAnsi="仿宋" w:eastAsia="仿宋_GB2312"/>
          <w:b/>
          <w:sz w:val="30"/>
          <w:szCs w:val="30"/>
        </w:rPr>
        <w:t>一是区域科技创新资源配置规律与协同水平。</w:t>
      </w:r>
      <w:r>
        <w:rPr>
          <w:rFonts w:hint="eastAsia" w:ascii="仿宋_GB2312" w:hAnsi="仿宋" w:eastAsia="仿宋_GB2312"/>
          <w:bCs/>
          <w:sz w:val="30"/>
          <w:szCs w:val="30"/>
        </w:rPr>
        <w:t>对区域创新资源要素配置规律、产业链、创新链、供应链协同水平进行分析。重点考察长三角地区高校、科研院所、企业等创新主体的数量、规模、类型及空间分布，分析产学研合作模式、合作深度与广度，研究区域内部产业链、创新链、供应链的关联情况。</w:t>
      </w:r>
    </w:p>
    <w:p>
      <w:pPr>
        <w:spacing w:line="360" w:lineRule="auto"/>
        <w:ind w:firstLine="602" w:firstLineChars="200"/>
        <w:jc w:val="both"/>
        <w:rPr>
          <w:rFonts w:ascii="仿宋_GB2312" w:hAnsi="仿宋" w:eastAsia="仿宋_GB2312"/>
          <w:bCs/>
          <w:sz w:val="30"/>
          <w:szCs w:val="30"/>
        </w:rPr>
      </w:pPr>
      <w:r>
        <w:rPr>
          <w:rFonts w:hint="eastAsia" w:ascii="仿宋_GB2312" w:hAnsi="仿宋" w:eastAsia="仿宋_GB2312"/>
          <w:b/>
          <w:sz w:val="30"/>
          <w:szCs w:val="30"/>
        </w:rPr>
        <w:t>二是区域科技创新体系构建面临的趋势与挑战。</w:t>
      </w:r>
      <w:r>
        <w:rPr>
          <w:rFonts w:hint="eastAsia" w:ascii="仿宋_GB2312" w:hAnsi="仿宋" w:eastAsia="仿宋_GB2312"/>
          <w:bCs/>
          <w:sz w:val="30"/>
          <w:szCs w:val="30"/>
        </w:rPr>
        <w:t>从国际发展趋势、国家战略要求、区域发展实际等方面，总结长三角区域科技创新体系构建的方向。研究长三角地区创新资源在跨地区、跨部门、跨主体之间整合与共享存在的障碍，结合实地调研，对存在的问题进行深入诊断，从资源配置、产业基础、人才、创新生态等多个层面分析问题产生的原因。</w:t>
      </w:r>
    </w:p>
    <w:p>
      <w:pPr>
        <w:spacing w:line="360" w:lineRule="auto"/>
        <w:ind w:firstLine="602" w:firstLineChars="200"/>
        <w:jc w:val="both"/>
        <w:rPr>
          <w:rFonts w:ascii="仿宋_GB2312" w:hAnsi="仿宋" w:eastAsia="仿宋_GB2312"/>
          <w:bCs/>
          <w:sz w:val="30"/>
          <w:szCs w:val="30"/>
        </w:rPr>
      </w:pPr>
      <w:r>
        <w:rPr>
          <w:rFonts w:hint="eastAsia" w:ascii="仿宋_GB2312" w:hAnsi="仿宋" w:eastAsia="仿宋_GB2312"/>
          <w:b/>
          <w:sz w:val="30"/>
          <w:szCs w:val="30"/>
        </w:rPr>
        <w:t>三是区域科技创新体系构建规划目标与提升策略。</w:t>
      </w:r>
      <w:r>
        <w:rPr>
          <w:rFonts w:hint="eastAsia" w:ascii="仿宋_GB2312" w:hAnsi="仿宋" w:eastAsia="仿宋_GB2312"/>
          <w:bCs/>
          <w:sz w:val="30"/>
          <w:szCs w:val="30"/>
        </w:rPr>
        <w:t>落实长三角一体化发展战略要求，提出长三角区域科技创新体系构建的总体目标和分阶段目标。基于发展特征分析，深化在要素配置、功能协同、产业布局、重点战略地区等方面的规划策略。从组织保障、政策协同、人才结构、资金支持等方面，为推动规划策略落地、促进科技创新协同发展提供具体的行动方案。</w:t>
      </w:r>
    </w:p>
    <w:p>
      <w:pPr>
        <w:spacing w:line="360" w:lineRule="auto"/>
        <w:jc w:val="center"/>
        <w:rPr>
          <w:rFonts w:ascii="仿宋_GB2312" w:hAnsi="仿宋" w:eastAsia="仿宋_GB2312"/>
          <w:sz w:val="30"/>
          <w:szCs w:val="30"/>
        </w:rPr>
      </w:pPr>
      <w:r>
        <w:drawing>
          <wp:inline distT="0" distB="0" distL="0" distR="0">
            <wp:extent cx="4458970" cy="49828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468474" cy="4993006"/>
                    </a:xfrm>
                    <a:prstGeom prst="rect">
                      <a:avLst/>
                    </a:prstGeom>
                  </pic:spPr>
                </pic:pic>
              </a:graphicData>
            </a:graphic>
          </wp:inline>
        </w:drawing>
      </w:r>
    </w:p>
    <w:p>
      <w:pPr>
        <w:spacing w:after="0" w:line="360" w:lineRule="auto"/>
        <w:jc w:val="center"/>
        <w:rPr>
          <w:rFonts w:ascii="黑体" w:hAnsi="黑体" w:eastAsia="黑体"/>
          <w:bCs/>
          <w:sz w:val="24"/>
          <w:szCs w:val="24"/>
        </w:rPr>
      </w:pPr>
      <w:r>
        <w:rPr>
          <w:rFonts w:hint="eastAsia" w:ascii="黑体" w:hAnsi="黑体" w:eastAsia="黑体"/>
          <w:bCs/>
          <w:sz w:val="24"/>
          <w:szCs w:val="24"/>
        </w:rPr>
        <w:t>图5</w:t>
      </w:r>
      <w:r>
        <w:rPr>
          <w:rFonts w:ascii="黑体" w:hAnsi="黑体" w:eastAsia="黑体"/>
          <w:bCs/>
          <w:sz w:val="24"/>
          <w:szCs w:val="24"/>
        </w:rPr>
        <w:t xml:space="preserve"> </w:t>
      </w:r>
      <w:r>
        <w:rPr>
          <w:rFonts w:hint="eastAsia" w:ascii="黑体" w:hAnsi="黑体" w:eastAsia="黑体"/>
          <w:bCs/>
          <w:sz w:val="24"/>
          <w:szCs w:val="24"/>
        </w:rPr>
        <w:t>长三角城市群空间格局示意图</w:t>
      </w:r>
    </w:p>
    <w:p>
      <w:pPr>
        <w:spacing w:after="0" w:line="360" w:lineRule="auto"/>
        <w:jc w:val="center"/>
        <w:rPr>
          <w:rFonts w:hint="eastAsia" w:ascii="黑体" w:hAnsi="黑体" w:eastAsia="黑体"/>
          <w:bCs/>
          <w:sz w:val="24"/>
          <w:szCs w:val="24"/>
        </w:rPr>
      </w:pPr>
      <w:r>
        <w:rPr>
          <w:rFonts w:ascii="黑体" w:hAnsi="黑体" w:eastAsia="黑体"/>
          <w:bCs/>
          <w:sz w:val="24"/>
          <w:szCs w:val="24"/>
        </w:rPr>
        <w:t>来源：《</w:t>
      </w:r>
      <w:r>
        <w:rPr>
          <w:rFonts w:hint="eastAsia" w:ascii="黑体" w:hAnsi="黑体" w:eastAsia="黑体"/>
          <w:bCs/>
          <w:sz w:val="24"/>
          <w:szCs w:val="24"/>
        </w:rPr>
        <w:t>长江三角洲城市群发展规划</w:t>
      </w:r>
      <w:r>
        <w:rPr>
          <w:rFonts w:ascii="黑体" w:hAnsi="黑体" w:eastAsia="黑体"/>
          <w:bCs/>
          <w:sz w:val="24"/>
          <w:szCs w:val="24"/>
        </w:rPr>
        <w:t>》，</w:t>
      </w:r>
      <w:r>
        <w:rPr>
          <w:rFonts w:hint="eastAsia" w:ascii="黑体" w:hAnsi="黑体" w:eastAsia="黑体"/>
          <w:bCs/>
          <w:sz w:val="24"/>
          <w:szCs w:val="24"/>
        </w:rPr>
        <w:t>2</w:t>
      </w:r>
      <w:r>
        <w:rPr>
          <w:rFonts w:ascii="黑体" w:hAnsi="黑体" w:eastAsia="黑体"/>
          <w:bCs/>
          <w:sz w:val="24"/>
          <w:szCs w:val="24"/>
        </w:rPr>
        <w:t>016年</w:t>
      </w:r>
    </w:p>
    <w:p>
      <w:pPr>
        <w:spacing w:line="360" w:lineRule="auto"/>
        <w:ind w:firstLine="602" w:firstLineChars="200"/>
        <w:jc w:val="both"/>
        <w:rPr>
          <w:rFonts w:ascii="仿宋_GB2312" w:hAnsi="仿宋" w:eastAsia="仿宋_GB2312"/>
          <w:sz w:val="30"/>
          <w:szCs w:val="30"/>
        </w:rPr>
      </w:pPr>
      <w:r>
        <w:rPr>
          <w:rFonts w:hint="eastAsia" w:ascii="仿宋_GB2312" w:hAnsi="仿宋" w:eastAsia="仿宋_GB2312"/>
          <w:b/>
          <w:sz w:val="30"/>
          <w:szCs w:val="30"/>
        </w:rPr>
        <w:t>3.</w:t>
      </w:r>
      <w:r>
        <w:rPr>
          <w:rFonts w:hint="eastAsia"/>
        </w:rPr>
        <w:t xml:space="preserve"> </w:t>
      </w:r>
      <w:r>
        <w:rPr>
          <w:rFonts w:hint="eastAsia" w:ascii="仿宋_GB2312" w:hAnsi="仿宋" w:eastAsia="仿宋_GB2312"/>
          <w:b/>
          <w:sz w:val="30"/>
          <w:szCs w:val="30"/>
        </w:rPr>
        <w:t>区域科技创新走廊和创新带空间布局优化：</w:t>
      </w:r>
      <w:r>
        <w:rPr>
          <w:rFonts w:hint="eastAsia" w:ascii="仿宋_GB2312" w:hAnsi="仿宋" w:eastAsia="仿宋_GB2312"/>
          <w:sz w:val="30"/>
          <w:szCs w:val="30"/>
        </w:rPr>
        <w:t>分析长三角区域科技创新走廊和创新带沿线既有规划的衔接水平，包括G</w:t>
      </w:r>
      <w:r>
        <w:rPr>
          <w:rFonts w:ascii="仿宋_GB2312" w:hAnsi="仿宋" w:eastAsia="仿宋_GB2312"/>
          <w:sz w:val="30"/>
          <w:szCs w:val="30"/>
        </w:rPr>
        <w:t>60科创走廊、</w:t>
      </w:r>
      <w:r>
        <w:rPr>
          <w:rFonts w:hint="eastAsia" w:ascii="仿宋_GB2312" w:hAnsi="仿宋" w:eastAsia="仿宋_GB2312"/>
          <w:sz w:val="30"/>
          <w:szCs w:val="30"/>
        </w:rPr>
        <w:t>沿沪宁产业创新带</w:t>
      </w:r>
      <w:r>
        <w:rPr>
          <w:rFonts w:ascii="仿宋_GB2312" w:hAnsi="仿宋" w:eastAsia="仿宋_GB2312"/>
          <w:sz w:val="30"/>
          <w:szCs w:val="30"/>
        </w:rPr>
        <w:t>等，</w:t>
      </w:r>
      <w:r>
        <w:rPr>
          <w:rFonts w:hint="eastAsia" w:ascii="仿宋_GB2312" w:hAnsi="仿宋" w:eastAsia="仿宋_GB2312"/>
          <w:sz w:val="30"/>
          <w:szCs w:val="30"/>
        </w:rPr>
        <w:t>基于各廊道的区位条件、产业基础、资源禀赋和绩效评估结果提出针对性策略，并提出相应的土地用途调整与开发强度管控建议。探索建立跨区域、跨部门的协同治理机制，设计引导创新要素自由流动与高效配置的差异化政策工具包。</w:t>
      </w:r>
    </w:p>
    <w:p>
      <w:pPr>
        <w:spacing w:line="360" w:lineRule="auto"/>
        <w:ind w:firstLine="602" w:firstLineChars="200"/>
        <w:jc w:val="both"/>
        <w:rPr>
          <w:rFonts w:ascii="仿宋_GB2312" w:hAnsi="仿宋" w:eastAsia="仿宋_GB2312"/>
          <w:sz w:val="30"/>
          <w:szCs w:val="30"/>
        </w:rPr>
      </w:pPr>
      <w:r>
        <w:rPr>
          <w:rFonts w:hint="eastAsia" w:ascii="仿宋_GB2312" w:hAnsi="仿宋" w:eastAsia="仿宋_GB2312"/>
          <w:b/>
          <w:bCs/>
          <w:sz w:val="30"/>
          <w:szCs w:val="30"/>
        </w:rPr>
        <w:t>一是分析科创走廊沿线既有规划的衔接水平。</w:t>
      </w:r>
      <w:r>
        <w:rPr>
          <w:rFonts w:hint="eastAsia" w:ascii="仿宋_GB2312" w:hAnsi="仿宋" w:eastAsia="仿宋_GB2312"/>
          <w:sz w:val="30"/>
          <w:szCs w:val="30"/>
        </w:rPr>
        <w:t>系统收集整理科创走廊和创新带沿线各市、区（县）的既有国土空间总体规划成果，重点关注与廊道发展相关的战略定位、空间结构、产业布局、交通网络及生态管控等内容。识别出在跨行政区界处存在的规划目标不协同、空间结构不衔接、用地布局冲突等“规划断点”。</w:t>
      </w:r>
    </w:p>
    <w:p>
      <w:pPr>
        <w:spacing w:line="360" w:lineRule="auto"/>
        <w:ind w:firstLine="602" w:firstLineChars="200"/>
        <w:jc w:val="both"/>
        <w:rPr>
          <w:rFonts w:ascii="仿宋_GB2312" w:hAnsi="仿宋" w:eastAsia="仿宋_GB2312"/>
          <w:sz w:val="30"/>
          <w:szCs w:val="30"/>
        </w:rPr>
      </w:pPr>
      <w:r>
        <w:rPr>
          <w:rFonts w:hint="eastAsia" w:ascii="仿宋_GB2312" w:hAnsi="仿宋" w:eastAsia="仿宋_GB2312"/>
          <w:b/>
          <w:bCs/>
          <w:sz w:val="30"/>
          <w:szCs w:val="30"/>
        </w:rPr>
        <w:t>二是提出空间布局优化策略。</w:t>
      </w:r>
      <w:r>
        <w:rPr>
          <w:rFonts w:hint="eastAsia" w:ascii="仿宋_GB2312" w:hAnsi="仿宋" w:eastAsia="仿宋_GB2312"/>
          <w:sz w:val="30"/>
          <w:szCs w:val="30"/>
        </w:rPr>
        <w:t>在精准诊断的基础上，针对长三角地区不同科创走廊和创新带制定个性化的空间策略。基于各廊道的区位条件、产业基础、资源禀赋和绩效评估结果提出针对性策略，并提出相应的土地用途调整与开发强度管控建议。</w:t>
      </w:r>
    </w:p>
    <w:p>
      <w:pPr>
        <w:spacing w:line="360" w:lineRule="auto"/>
        <w:ind w:firstLine="602" w:firstLineChars="200"/>
        <w:jc w:val="both"/>
        <w:rPr>
          <w:rFonts w:ascii="仿宋_GB2312" w:hAnsi="仿宋" w:eastAsia="仿宋_GB2312"/>
          <w:sz w:val="30"/>
          <w:szCs w:val="30"/>
        </w:rPr>
      </w:pPr>
      <w:r>
        <w:rPr>
          <w:rFonts w:hint="eastAsia" w:ascii="仿宋_GB2312" w:hAnsi="仿宋" w:eastAsia="仿宋_GB2312"/>
          <w:b/>
          <w:bCs/>
          <w:sz w:val="30"/>
          <w:szCs w:val="30"/>
        </w:rPr>
        <w:t>三是探索政策保障机制。</w:t>
      </w:r>
      <w:r>
        <w:rPr>
          <w:rFonts w:hint="eastAsia" w:ascii="仿宋_GB2312" w:hAnsi="仿宋" w:eastAsia="仿宋_GB2312"/>
          <w:sz w:val="30"/>
          <w:szCs w:val="30"/>
        </w:rPr>
        <w:t>探索建立跨区域、跨部门的协同治理机制，明确沿线各地在创新产业链中的功能角色与分工协作路径；设计引导创新要素自由流动与高效配置的差异化政策工具包，破除行政壁垒，促进创新资源在廊道内高效流动，保障规划落地，全面提升区域协同创新效能。</w:t>
      </w:r>
    </w:p>
    <w:p>
      <w:pPr>
        <w:spacing w:line="360" w:lineRule="auto"/>
        <w:jc w:val="center"/>
        <w:rPr>
          <w:rFonts w:ascii="仿宋_GB2312" w:hAnsi="仿宋" w:eastAsia="仿宋_GB2312"/>
          <w:sz w:val="30"/>
          <w:szCs w:val="30"/>
        </w:rPr>
      </w:pPr>
      <w:r>
        <w:rPr>
          <w:rFonts w:ascii="仿宋_GB2312" w:hAnsi="仿宋" w:eastAsia="仿宋_GB2312"/>
          <w:sz w:val="30"/>
          <w:szCs w:val="30"/>
        </w:rPr>
        <w:drawing>
          <wp:inline distT="0" distB="0" distL="0" distR="0">
            <wp:extent cx="3799205" cy="3994785"/>
            <wp:effectExtent l="0" t="0" r="0" b="5715"/>
            <wp:docPr id="6" name="图片 6" descr="C:\Users\Administrator.DESKTOP-FFSPA8P\xwechat_files\wxid_twegvkjm7tqs21_4447\temp\RWTemp\2026-06\afb328f22b60a976e923002068818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FFSPA8P\xwechat_files\wxid_twegvkjm7tqs21_4447\temp\RWTemp\2026-06\afb328f22b60a976e92300206881855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23957" cy="4020795"/>
                    </a:xfrm>
                    <a:prstGeom prst="rect">
                      <a:avLst/>
                    </a:prstGeom>
                    <a:noFill/>
                    <a:ln>
                      <a:noFill/>
                    </a:ln>
                  </pic:spPr>
                </pic:pic>
              </a:graphicData>
            </a:graphic>
          </wp:inline>
        </w:drawing>
      </w:r>
    </w:p>
    <w:p>
      <w:pPr>
        <w:spacing w:after="0" w:line="360" w:lineRule="auto"/>
        <w:jc w:val="center"/>
        <w:rPr>
          <w:rFonts w:ascii="黑体" w:hAnsi="黑体" w:eastAsia="黑体"/>
          <w:bCs/>
          <w:sz w:val="24"/>
          <w:szCs w:val="24"/>
        </w:rPr>
      </w:pPr>
      <w:r>
        <w:rPr>
          <w:rFonts w:hint="eastAsia" w:ascii="黑体" w:hAnsi="黑体" w:eastAsia="黑体"/>
          <w:bCs/>
          <w:sz w:val="24"/>
          <w:szCs w:val="24"/>
        </w:rPr>
        <w:t>图6</w:t>
      </w:r>
      <w:r>
        <w:rPr>
          <w:rFonts w:ascii="黑体" w:hAnsi="黑体" w:eastAsia="黑体"/>
          <w:bCs/>
          <w:sz w:val="24"/>
          <w:szCs w:val="24"/>
        </w:rPr>
        <w:t xml:space="preserve"> 长三角G60科创走廊3.0版总体空间布局规划图</w:t>
      </w:r>
    </w:p>
    <w:p>
      <w:pPr>
        <w:spacing w:line="360" w:lineRule="auto"/>
        <w:ind w:firstLine="560" w:firstLineChars="200"/>
        <w:jc w:val="both"/>
        <w:rPr>
          <w:rFonts w:ascii="黑体" w:hAnsi="黑体" w:eastAsia="黑体"/>
          <w:sz w:val="28"/>
          <w:szCs w:val="28"/>
        </w:rPr>
      </w:pPr>
    </w:p>
    <w:p>
      <w:pPr>
        <w:spacing w:line="360" w:lineRule="auto"/>
        <w:ind w:firstLine="560" w:firstLineChars="200"/>
        <w:jc w:val="both"/>
        <w:rPr>
          <w:rFonts w:ascii="黑体" w:hAnsi="黑体" w:eastAsia="黑体"/>
          <w:sz w:val="28"/>
          <w:szCs w:val="28"/>
        </w:rPr>
      </w:pPr>
      <w:r>
        <w:rPr>
          <w:rFonts w:hint="eastAsia" w:ascii="黑体" w:hAnsi="黑体" w:eastAsia="黑体"/>
          <w:sz w:val="28"/>
          <w:szCs w:val="28"/>
        </w:rPr>
        <w:t>三、成果要求</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1.</w:t>
      </w:r>
      <w:r>
        <w:rPr>
          <w:rFonts w:hint="eastAsia"/>
        </w:rPr>
        <w:t xml:space="preserve"> </w:t>
      </w:r>
      <w:r>
        <w:rPr>
          <w:rFonts w:hint="eastAsia" w:ascii="仿宋_GB2312" w:hAnsi="仿宋" w:eastAsia="仿宋_GB2312"/>
          <w:sz w:val="30"/>
          <w:szCs w:val="30"/>
        </w:rPr>
        <w:t>《区域科技创新走廊和创新带比较研究报告》；</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2</w:t>
      </w:r>
      <w:r>
        <w:rPr>
          <w:rFonts w:ascii="仿宋_GB2312" w:hAnsi="仿宋" w:eastAsia="仿宋_GB2312"/>
          <w:sz w:val="30"/>
          <w:szCs w:val="30"/>
        </w:rPr>
        <w:t>.</w:t>
      </w:r>
      <w:r>
        <w:rPr>
          <w:rFonts w:hint="eastAsia" w:ascii="仿宋_GB2312" w:hAnsi="仿宋" w:eastAsia="仿宋_GB2312"/>
          <w:sz w:val="30"/>
          <w:szCs w:val="30"/>
        </w:rPr>
        <w:t>《区域科技创新体系构建和规划策略报告》；</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3</w:t>
      </w:r>
      <w:r>
        <w:rPr>
          <w:rFonts w:ascii="仿宋_GB2312" w:hAnsi="仿宋" w:eastAsia="仿宋_GB2312"/>
          <w:sz w:val="30"/>
          <w:szCs w:val="30"/>
        </w:rPr>
        <w:t>.</w:t>
      </w:r>
      <w:r>
        <w:rPr>
          <w:rFonts w:hint="eastAsia" w:ascii="仿宋_GB2312" w:hAnsi="仿宋" w:eastAsia="仿宋_GB2312"/>
          <w:sz w:val="30"/>
          <w:szCs w:val="30"/>
        </w:rPr>
        <w:t>《区域科技创新走廊和创新带空间布局优化报告》。</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成果形式包括打印的纸质文本和电子文件，电子文件应包括PDF文件和可编辑的WORD格式文件等。</w:t>
      </w:r>
    </w:p>
    <w:p>
      <w:pPr>
        <w:spacing w:line="360" w:lineRule="auto"/>
        <w:ind w:firstLine="560" w:firstLineChars="200"/>
        <w:jc w:val="both"/>
        <w:rPr>
          <w:rFonts w:ascii="黑体" w:hAnsi="黑体" w:eastAsia="黑体"/>
          <w:sz w:val="28"/>
          <w:szCs w:val="28"/>
        </w:rPr>
      </w:pPr>
      <w:r>
        <w:rPr>
          <w:rFonts w:hint="eastAsia" w:ascii="黑体" w:hAnsi="黑体" w:eastAsia="黑体"/>
          <w:sz w:val="28"/>
          <w:szCs w:val="28"/>
        </w:rPr>
        <w:t>四、进度要求</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第一阶段：前期研究阶段（</w:t>
      </w:r>
      <w:r>
        <w:rPr>
          <w:rFonts w:ascii="仿宋_GB2312" w:hAnsi="仿宋" w:eastAsia="仿宋_GB2312"/>
          <w:sz w:val="30"/>
          <w:szCs w:val="30"/>
        </w:rPr>
        <w:t>1</w:t>
      </w:r>
      <w:r>
        <w:rPr>
          <w:rFonts w:hint="eastAsia" w:ascii="仿宋_GB2312" w:hAnsi="仿宋" w:eastAsia="仿宋_GB2312"/>
          <w:sz w:val="30"/>
          <w:szCs w:val="30"/>
        </w:rPr>
        <w:t>个月）</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开展相关研究工作，编制工作方案，收集各项基础资料并开展相关分析工作，同步形成区域科技创新走廊和创新带比较研究、区域科技创新体系构建和规划策略、区域科技创新走廊和创新带空间布局优化初步成果。</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第二阶段：成果编制阶段（</w:t>
      </w:r>
      <w:r>
        <w:rPr>
          <w:rFonts w:ascii="仿宋_GB2312" w:hAnsi="仿宋" w:eastAsia="仿宋_GB2312"/>
          <w:sz w:val="30"/>
          <w:szCs w:val="30"/>
        </w:rPr>
        <w:t>2</w:t>
      </w:r>
      <w:r>
        <w:rPr>
          <w:rFonts w:hint="eastAsia" w:ascii="仿宋_GB2312" w:hAnsi="仿宋" w:eastAsia="仿宋_GB2312"/>
          <w:sz w:val="30"/>
          <w:szCs w:val="30"/>
        </w:rPr>
        <w:t>个月）</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深化规划研究方案，形成区域科技创新走廊和创新带比较研究、区域科技创新体系构建和规划策略、区域科技创新走廊和创新带空间布局优化中期成果报告。</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第三阶段：成果验收阶段（</w:t>
      </w:r>
      <w:r>
        <w:rPr>
          <w:rFonts w:ascii="仿宋_GB2312" w:hAnsi="仿宋" w:eastAsia="仿宋_GB2312"/>
          <w:sz w:val="30"/>
          <w:szCs w:val="30"/>
        </w:rPr>
        <w:t>2</w:t>
      </w:r>
      <w:r>
        <w:rPr>
          <w:rFonts w:hint="eastAsia" w:ascii="仿宋_GB2312" w:hAnsi="仿宋" w:eastAsia="仿宋_GB2312"/>
          <w:sz w:val="30"/>
          <w:szCs w:val="30"/>
        </w:rPr>
        <w:t>个月）</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相关成果征求各方意见，修改完善相关内容，形成项目最终成果。</w:t>
      </w:r>
    </w:p>
    <w:p>
      <w:pPr>
        <w:spacing w:line="360" w:lineRule="auto"/>
        <w:ind w:firstLine="560" w:firstLineChars="200"/>
        <w:jc w:val="both"/>
        <w:rPr>
          <w:rFonts w:ascii="黑体" w:hAnsi="黑体" w:eastAsia="黑体"/>
          <w:sz w:val="28"/>
          <w:szCs w:val="28"/>
        </w:rPr>
      </w:pPr>
      <w:r>
        <w:rPr>
          <w:rFonts w:hint="eastAsia" w:ascii="黑体" w:hAnsi="黑体" w:eastAsia="黑体"/>
          <w:sz w:val="28"/>
          <w:szCs w:val="28"/>
        </w:rPr>
        <w:t>五、转包与分包</w:t>
      </w:r>
    </w:p>
    <w:p>
      <w:pPr>
        <w:spacing w:line="360" w:lineRule="auto"/>
        <w:ind w:firstLine="600" w:firstLineChars="200"/>
        <w:jc w:val="both"/>
        <w:rPr>
          <w:rFonts w:ascii="仿宋" w:hAnsi="仿宋" w:eastAsia="仿宋"/>
          <w:sz w:val="30"/>
          <w:szCs w:val="30"/>
        </w:rPr>
      </w:pPr>
      <w:r>
        <w:rPr>
          <w:rFonts w:hint="eastAsia" w:ascii="仿宋" w:hAnsi="仿宋" w:eastAsia="仿宋"/>
          <w:sz w:val="30"/>
          <w:szCs w:val="30"/>
        </w:rPr>
        <w:t>本项目合同不得转让、不得分包。</w:t>
      </w:r>
    </w:p>
    <w:p>
      <w:pPr>
        <w:spacing w:line="360" w:lineRule="auto"/>
        <w:ind w:firstLine="560" w:firstLineChars="200"/>
        <w:jc w:val="both"/>
        <w:rPr>
          <w:rFonts w:ascii="黑体" w:hAnsi="黑体" w:eastAsia="黑体"/>
          <w:sz w:val="28"/>
          <w:szCs w:val="28"/>
        </w:rPr>
      </w:pPr>
      <w:r>
        <w:rPr>
          <w:rFonts w:hint="eastAsia" w:ascii="黑体" w:hAnsi="黑体" w:eastAsia="黑体"/>
          <w:sz w:val="28"/>
          <w:szCs w:val="28"/>
        </w:rPr>
        <w:t>六、联合投标</w:t>
      </w:r>
    </w:p>
    <w:p>
      <w:pPr>
        <w:spacing w:line="360" w:lineRule="auto"/>
        <w:ind w:firstLine="600" w:firstLineChars="200"/>
        <w:jc w:val="both"/>
        <w:rPr>
          <w:rFonts w:ascii="仿宋" w:hAnsi="仿宋" w:eastAsia="仿宋"/>
          <w:sz w:val="30"/>
          <w:szCs w:val="30"/>
        </w:rPr>
      </w:pPr>
      <w:r>
        <w:rPr>
          <w:rFonts w:hint="eastAsia" w:ascii="仿宋_GB2312" w:hAnsi="仿宋" w:eastAsia="仿宋_GB2312"/>
          <w:sz w:val="30"/>
          <w:szCs w:val="30"/>
        </w:rPr>
        <w:t>本项目接受联合投标。</w:t>
      </w:r>
    </w:p>
    <w:p>
      <w:pPr>
        <w:spacing w:line="360" w:lineRule="auto"/>
        <w:ind w:firstLine="560" w:firstLineChars="200"/>
        <w:jc w:val="both"/>
        <w:rPr>
          <w:rFonts w:ascii="黑体" w:hAnsi="黑体" w:eastAsia="黑体"/>
          <w:sz w:val="28"/>
          <w:szCs w:val="28"/>
        </w:rPr>
      </w:pPr>
      <w:r>
        <w:rPr>
          <w:rFonts w:hint="eastAsia" w:ascii="黑体" w:hAnsi="黑体" w:eastAsia="黑体"/>
          <w:sz w:val="28"/>
          <w:szCs w:val="28"/>
        </w:rPr>
        <w:t>七、人员组织要求</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1、项目组人员数量和专业组成结构等方面应满足本项目服务需求，供应商应提供负责本项目的服务团队人数（不包含项目负责人）不少于8人，具有城乡规划相关专业高级职称证书或硕士及以上学历人数不少于5人的优先考虑。在服务期限内，项目组人员应保持相对稳定，以保证服务工作的正常</w:t>
      </w:r>
      <w:bookmarkStart w:id="0" w:name="_GoBack"/>
      <w:bookmarkEnd w:id="0"/>
      <w:r>
        <w:rPr>
          <w:rFonts w:hint="eastAsia" w:ascii="仿宋_GB2312" w:hAnsi="仿宋" w:eastAsia="仿宋_GB2312"/>
          <w:sz w:val="30"/>
          <w:szCs w:val="30"/>
        </w:rPr>
        <w:t>进行。</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2、项目负责人需具有注册城乡规划师证书；从事城乡规划相关技术工作八年以上，具有城乡规划相关专业高级工程师职称。</w:t>
      </w:r>
    </w:p>
    <w:p>
      <w:pPr>
        <w:spacing w:line="360" w:lineRule="auto"/>
        <w:ind w:firstLine="560" w:firstLineChars="200"/>
        <w:jc w:val="both"/>
        <w:rPr>
          <w:rFonts w:ascii="黑体" w:hAnsi="黑体" w:eastAsia="黑体"/>
          <w:sz w:val="28"/>
          <w:szCs w:val="28"/>
        </w:rPr>
      </w:pPr>
      <w:r>
        <w:rPr>
          <w:rFonts w:hint="eastAsia" w:ascii="黑体" w:hAnsi="黑体" w:eastAsia="黑体"/>
          <w:sz w:val="28"/>
          <w:szCs w:val="28"/>
        </w:rPr>
        <w:t>八、其他要求</w:t>
      </w:r>
    </w:p>
    <w:p>
      <w:pPr>
        <w:spacing w:line="360" w:lineRule="auto"/>
        <w:ind w:firstLine="600" w:firstLineChars="200"/>
        <w:jc w:val="both"/>
        <w:rPr>
          <w:rFonts w:hint="eastAsia" w:ascii="仿宋_GB2312" w:hAnsi="仿宋" w:eastAsia="仿宋_GB2312"/>
          <w:sz w:val="30"/>
          <w:szCs w:val="30"/>
          <w:lang w:val="en-US" w:eastAsia="zh-CN"/>
        </w:rPr>
      </w:pPr>
      <w:r>
        <w:rPr>
          <w:rFonts w:hint="eastAsia" w:ascii="仿宋_GB2312" w:hAnsi="仿宋" w:eastAsia="仿宋_GB2312"/>
          <w:sz w:val="30"/>
          <w:szCs w:val="30"/>
          <w:lang w:val="en-US" w:eastAsia="zh-CN"/>
        </w:rPr>
        <w:t>1、供应商应具有国家自然资源部颁发的城乡规划编制资质证书甲级资质。</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lang w:val="en-US" w:eastAsia="zh-CN"/>
        </w:rPr>
        <w:t>2</w:t>
      </w:r>
      <w:r>
        <w:rPr>
          <w:rFonts w:hint="eastAsia" w:ascii="仿宋_GB2312" w:hAnsi="仿宋" w:eastAsia="仿宋_GB2312"/>
          <w:sz w:val="30"/>
          <w:szCs w:val="30"/>
        </w:rPr>
        <w:t>、根据上海市规划和自然资源局相关工作要求变化即时做出工作调整。</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lang w:val="en-US" w:eastAsia="zh-CN"/>
        </w:rPr>
        <w:t>3</w:t>
      </w:r>
      <w:r>
        <w:rPr>
          <w:rFonts w:hint="eastAsia" w:ascii="仿宋_GB2312" w:hAnsi="仿宋" w:eastAsia="仿宋_GB2312"/>
          <w:sz w:val="30"/>
          <w:szCs w:val="30"/>
        </w:rPr>
        <w:t>、项目实施过程中应严格遵守国家和地方有关安全生产规定。</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lang w:val="en-US" w:eastAsia="zh-CN"/>
        </w:rPr>
        <w:t>4</w:t>
      </w:r>
      <w:r>
        <w:rPr>
          <w:rFonts w:hint="eastAsia" w:ascii="仿宋_GB2312" w:hAnsi="仿宋" w:eastAsia="仿宋_GB2312"/>
          <w:sz w:val="30"/>
          <w:szCs w:val="30"/>
        </w:rPr>
        <w:t>、严格遵守保密要求，未经委托人许可，中标单位不得向第三方泄露与本工作相关的任何资料、数据和成果。</w:t>
      </w:r>
    </w:p>
    <w:p>
      <w:pPr>
        <w:spacing w:line="360" w:lineRule="auto"/>
        <w:ind w:firstLine="600" w:firstLineChars="200"/>
        <w:jc w:val="both"/>
        <w:rPr>
          <w:rFonts w:ascii="仿宋_GB2312" w:hAnsi="仿宋" w:eastAsia="仿宋_GB2312"/>
          <w:sz w:val="30"/>
          <w:szCs w:val="30"/>
        </w:rPr>
      </w:pPr>
    </w:p>
    <w:sectPr>
      <w:footerReference r:id="rId4" w:type="default"/>
      <w:pgSz w:w="11906" w:h="16838"/>
      <w:pgMar w:top="1440" w:right="1800" w:bottom="1440" w:left="180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Tahoma">
    <w:altName w:val="DejaVu Sans"/>
    <w:panose1 w:val="020B0604030504040204"/>
    <w:charset w:val="00"/>
    <w:family w:val="swiss"/>
    <w:pitch w:val="default"/>
    <w:sig w:usb0="00000000" w:usb1="00000000" w:usb2="00000029" w:usb3="00000000" w:csb0="000101FF" w:csb1="0000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260329"/>
      <w:docPartObj>
        <w:docPartGallery w:val="autotext"/>
      </w:docPartObj>
    </w:sdtPr>
    <w:sdtContent>
      <w:p>
        <w:pPr>
          <w:pStyle w:val="6"/>
          <w:jc w:val="center"/>
        </w:pPr>
        <w:r>
          <w:fldChar w:fldCharType="begin"/>
        </w:r>
        <w:r>
          <w:instrText xml:space="preserve"> PAGE   \* MERGEFORMAT </w:instrText>
        </w:r>
        <w:r>
          <w:fldChar w:fldCharType="separate"/>
        </w:r>
        <w:r>
          <w:rPr>
            <w:lang w:val="zh-CN"/>
          </w:rPr>
          <w:t>9</w:t>
        </w:r>
        <w:r>
          <w:rPr>
            <w:lang w:val="zh-CN"/>
          </w:rPr>
          <w:fldChar w:fldCharType="end"/>
        </w:r>
      </w:p>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EE7"/>
    <w:rsid w:val="000004F5"/>
    <w:rsid w:val="00001CFC"/>
    <w:rsid w:val="00002517"/>
    <w:rsid w:val="00006BC8"/>
    <w:rsid w:val="000135F4"/>
    <w:rsid w:val="00022264"/>
    <w:rsid w:val="00027805"/>
    <w:rsid w:val="00027EFA"/>
    <w:rsid w:val="00034DEB"/>
    <w:rsid w:val="000351B8"/>
    <w:rsid w:val="00041B50"/>
    <w:rsid w:val="00042C1B"/>
    <w:rsid w:val="00051366"/>
    <w:rsid w:val="00054DCA"/>
    <w:rsid w:val="00065710"/>
    <w:rsid w:val="000719E3"/>
    <w:rsid w:val="0007429E"/>
    <w:rsid w:val="00076737"/>
    <w:rsid w:val="00080B15"/>
    <w:rsid w:val="000849E2"/>
    <w:rsid w:val="000879D5"/>
    <w:rsid w:val="000919CC"/>
    <w:rsid w:val="0009258E"/>
    <w:rsid w:val="000955B8"/>
    <w:rsid w:val="00096699"/>
    <w:rsid w:val="000A05AA"/>
    <w:rsid w:val="000A37D1"/>
    <w:rsid w:val="000A513E"/>
    <w:rsid w:val="000B4725"/>
    <w:rsid w:val="000B5E15"/>
    <w:rsid w:val="000C35C1"/>
    <w:rsid w:val="000C4CD7"/>
    <w:rsid w:val="000D1371"/>
    <w:rsid w:val="000D710C"/>
    <w:rsid w:val="000D748B"/>
    <w:rsid w:val="000F2E72"/>
    <w:rsid w:val="000F47F7"/>
    <w:rsid w:val="0010011F"/>
    <w:rsid w:val="001100E5"/>
    <w:rsid w:val="00111B0E"/>
    <w:rsid w:val="001252D4"/>
    <w:rsid w:val="00133628"/>
    <w:rsid w:val="00133ED2"/>
    <w:rsid w:val="0015054D"/>
    <w:rsid w:val="001576C2"/>
    <w:rsid w:val="0016177B"/>
    <w:rsid w:val="0016263B"/>
    <w:rsid w:val="00163FDA"/>
    <w:rsid w:val="001646D1"/>
    <w:rsid w:val="001659BA"/>
    <w:rsid w:val="00165CDA"/>
    <w:rsid w:val="00166161"/>
    <w:rsid w:val="00166B6E"/>
    <w:rsid w:val="001719AD"/>
    <w:rsid w:val="001724AE"/>
    <w:rsid w:val="00176C08"/>
    <w:rsid w:val="00176EA3"/>
    <w:rsid w:val="00177F69"/>
    <w:rsid w:val="00182E71"/>
    <w:rsid w:val="001843FA"/>
    <w:rsid w:val="0018485E"/>
    <w:rsid w:val="00193130"/>
    <w:rsid w:val="00193F94"/>
    <w:rsid w:val="00195494"/>
    <w:rsid w:val="001A0707"/>
    <w:rsid w:val="001A0D30"/>
    <w:rsid w:val="001A4AE0"/>
    <w:rsid w:val="001A5668"/>
    <w:rsid w:val="001A64F6"/>
    <w:rsid w:val="001B020E"/>
    <w:rsid w:val="001B0B96"/>
    <w:rsid w:val="001B11F6"/>
    <w:rsid w:val="001B6F06"/>
    <w:rsid w:val="001C1742"/>
    <w:rsid w:val="001C1986"/>
    <w:rsid w:val="001C4701"/>
    <w:rsid w:val="001D1F1B"/>
    <w:rsid w:val="001D4FA1"/>
    <w:rsid w:val="001E2C78"/>
    <w:rsid w:val="001E3693"/>
    <w:rsid w:val="001E7032"/>
    <w:rsid w:val="001E7E8E"/>
    <w:rsid w:val="001F496E"/>
    <w:rsid w:val="001F6999"/>
    <w:rsid w:val="00205796"/>
    <w:rsid w:val="00206FB2"/>
    <w:rsid w:val="002133F4"/>
    <w:rsid w:val="00213878"/>
    <w:rsid w:val="002175BB"/>
    <w:rsid w:val="00220CDA"/>
    <w:rsid w:val="00230693"/>
    <w:rsid w:val="00231093"/>
    <w:rsid w:val="0023230D"/>
    <w:rsid w:val="002329A6"/>
    <w:rsid w:val="00236C08"/>
    <w:rsid w:val="0023733C"/>
    <w:rsid w:val="00237F8A"/>
    <w:rsid w:val="00240662"/>
    <w:rsid w:val="002503FD"/>
    <w:rsid w:val="002600EA"/>
    <w:rsid w:val="00261CB2"/>
    <w:rsid w:val="00263EE1"/>
    <w:rsid w:val="002673BC"/>
    <w:rsid w:val="002710AD"/>
    <w:rsid w:val="002757AD"/>
    <w:rsid w:val="00280BD5"/>
    <w:rsid w:val="0028136E"/>
    <w:rsid w:val="00282285"/>
    <w:rsid w:val="002837D8"/>
    <w:rsid w:val="0028661C"/>
    <w:rsid w:val="00291E8E"/>
    <w:rsid w:val="002A1DBA"/>
    <w:rsid w:val="002A67A8"/>
    <w:rsid w:val="002A6FC2"/>
    <w:rsid w:val="002B55EA"/>
    <w:rsid w:val="002C2EB2"/>
    <w:rsid w:val="002D5811"/>
    <w:rsid w:val="002D6E2C"/>
    <w:rsid w:val="002E6AEF"/>
    <w:rsid w:val="002E7B8F"/>
    <w:rsid w:val="002F0476"/>
    <w:rsid w:val="002F4574"/>
    <w:rsid w:val="002F6D3A"/>
    <w:rsid w:val="002F6FEA"/>
    <w:rsid w:val="0030005B"/>
    <w:rsid w:val="0030044C"/>
    <w:rsid w:val="00302458"/>
    <w:rsid w:val="00320701"/>
    <w:rsid w:val="00323B43"/>
    <w:rsid w:val="00324287"/>
    <w:rsid w:val="00326918"/>
    <w:rsid w:val="00334FB5"/>
    <w:rsid w:val="0033581D"/>
    <w:rsid w:val="003428F1"/>
    <w:rsid w:val="003430DA"/>
    <w:rsid w:val="0034378A"/>
    <w:rsid w:val="003452AE"/>
    <w:rsid w:val="00354379"/>
    <w:rsid w:val="00355E0E"/>
    <w:rsid w:val="003815D3"/>
    <w:rsid w:val="003832FF"/>
    <w:rsid w:val="0039213A"/>
    <w:rsid w:val="00395920"/>
    <w:rsid w:val="00396D67"/>
    <w:rsid w:val="003A0575"/>
    <w:rsid w:val="003A1D5D"/>
    <w:rsid w:val="003A3F85"/>
    <w:rsid w:val="003A7BE0"/>
    <w:rsid w:val="003A7CA5"/>
    <w:rsid w:val="003B4970"/>
    <w:rsid w:val="003B6DDC"/>
    <w:rsid w:val="003B7E3D"/>
    <w:rsid w:val="003C1A86"/>
    <w:rsid w:val="003C1C9A"/>
    <w:rsid w:val="003C5570"/>
    <w:rsid w:val="003C6FCB"/>
    <w:rsid w:val="003D37D8"/>
    <w:rsid w:val="003E04B7"/>
    <w:rsid w:val="003E49F5"/>
    <w:rsid w:val="003F246A"/>
    <w:rsid w:val="003F639E"/>
    <w:rsid w:val="00400F5E"/>
    <w:rsid w:val="004013DB"/>
    <w:rsid w:val="00402166"/>
    <w:rsid w:val="00402900"/>
    <w:rsid w:val="00402927"/>
    <w:rsid w:val="004173FF"/>
    <w:rsid w:val="00427C85"/>
    <w:rsid w:val="004329B6"/>
    <w:rsid w:val="004358AB"/>
    <w:rsid w:val="00440C95"/>
    <w:rsid w:val="00440DA8"/>
    <w:rsid w:val="00445138"/>
    <w:rsid w:val="004453A6"/>
    <w:rsid w:val="00454CC1"/>
    <w:rsid w:val="00457F74"/>
    <w:rsid w:val="00462A83"/>
    <w:rsid w:val="00463BC2"/>
    <w:rsid w:val="004649EA"/>
    <w:rsid w:val="0046582F"/>
    <w:rsid w:val="00465B11"/>
    <w:rsid w:val="00465EED"/>
    <w:rsid w:val="004660FE"/>
    <w:rsid w:val="004721BB"/>
    <w:rsid w:val="004755AE"/>
    <w:rsid w:val="00476365"/>
    <w:rsid w:val="004903AE"/>
    <w:rsid w:val="00492223"/>
    <w:rsid w:val="00492298"/>
    <w:rsid w:val="004927ED"/>
    <w:rsid w:val="00492CA7"/>
    <w:rsid w:val="004946D3"/>
    <w:rsid w:val="004A2EC8"/>
    <w:rsid w:val="004A3AF5"/>
    <w:rsid w:val="004B6C5B"/>
    <w:rsid w:val="004C4ACF"/>
    <w:rsid w:val="004C633D"/>
    <w:rsid w:val="004C71FE"/>
    <w:rsid w:val="004D09C0"/>
    <w:rsid w:val="004D2123"/>
    <w:rsid w:val="004D7B0E"/>
    <w:rsid w:val="004E0742"/>
    <w:rsid w:val="004E1E8C"/>
    <w:rsid w:val="004E2BBA"/>
    <w:rsid w:val="004E5FA0"/>
    <w:rsid w:val="004F1F0B"/>
    <w:rsid w:val="0050111E"/>
    <w:rsid w:val="00501E21"/>
    <w:rsid w:val="005110DB"/>
    <w:rsid w:val="00521347"/>
    <w:rsid w:val="005238F9"/>
    <w:rsid w:val="00523D33"/>
    <w:rsid w:val="00524E34"/>
    <w:rsid w:val="00541E10"/>
    <w:rsid w:val="00543E06"/>
    <w:rsid w:val="0054550C"/>
    <w:rsid w:val="00545745"/>
    <w:rsid w:val="00546325"/>
    <w:rsid w:val="00550C5A"/>
    <w:rsid w:val="00556CD7"/>
    <w:rsid w:val="00556D04"/>
    <w:rsid w:val="0055700C"/>
    <w:rsid w:val="00580717"/>
    <w:rsid w:val="005812EE"/>
    <w:rsid w:val="0058199F"/>
    <w:rsid w:val="00584703"/>
    <w:rsid w:val="00590957"/>
    <w:rsid w:val="00590BDA"/>
    <w:rsid w:val="005A2F6B"/>
    <w:rsid w:val="005A7DB6"/>
    <w:rsid w:val="005B1D98"/>
    <w:rsid w:val="005B582B"/>
    <w:rsid w:val="005C0E1E"/>
    <w:rsid w:val="005C44A0"/>
    <w:rsid w:val="005C4784"/>
    <w:rsid w:val="005C7418"/>
    <w:rsid w:val="005D1754"/>
    <w:rsid w:val="005D3573"/>
    <w:rsid w:val="005D6A98"/>
    <w:rsid w:val="005E0131"/>
    <w:rsid w:val="005E0689"/>
    <w:rsid w:val="005E4507"/>
    <w:rsid w:val="005E78B3"/>
    <w:rsid w:val="005F58EF"/>
    <w:rsid w:val="005F5DB5"/>
    <w:rsid w:val="005F7386"/>
    <w:rsid w:val="00601A8F"/>
    <w:rsid w:val="00603B8F"/>
    <w:rsid w:val="00612F38"/>
    <w:rsid w:val="0061645D"/>
    <w:rsid w:val="00621AE5"/>
    <w:rsid w:val="00621EE7"/>
    <w:rsid w:val="006228C0"/>
    <w:rsid w:val="00624294"/>
    <w:rsid w:val="00634332"/>
    <w:rsid w:val="00641DA7"/>
    <w:rsid w:val="00647979"/>
    <w:rsid w:val="006530A5"/>
    <w:rsid w:val="00653A68"/>
    <w:rsid w:val="0065447A"/>
    <w:rsid w:val="00656336"/>
    <w:rsid w:val="00660428"/>
    <w:rsid w:val="0066460C"/>
    <w:rsid w:val="00670F4E"/>
    <w:rsid w:val="00671E59"/>
    <w:rsid w:val="00672210"/>
    <w:rsid w:val="006756AB"/>
    <w:rsid w:val="00676AA5"/>
    <w:rsid w:val="00680498"/>
    <w:rsid w:val="00692426"/>
    <w:rsid w:val="0069376E"/>
    <w:rsid w:val="00695C52"/>
    <w:rsid w:val="00695DB5"/>
    <w:rsid w:val="00696DE9"/>
    <w:rsid w:val="00697B4F"/>
    <w:rsid w:val="006A4530"/>
    <w:rsid w:val="006A4B1A"/>
    <w:rsid w:val="006B21AA"/>
    <w:rsid w:val="006B2466"/>
    <w:rsid w:val="006B7BEF"/>
    <w:rsid w:val="006C074D"/>
    <w:rsid w:val="006C62F0"/>
    <w:rsid w:val="006C77AF"/>
    <w:rsid w:val="006D28C7"/>
    <w:rsid w:val="006D3548"/>
    <w:rsid w:val="006D66E0"/>
    <w:rsid w:val="006D7277"/>
    <w:rsid w:val="00700C4B"/>
    <w:rsid w:val="00701AED"/>
    <w:rsid w:val="007045C6"/>
    <w:rsid w:val="00705306"/>
    <w:rsid w:val="0070708F"/>
    <w:rsid w:val="007148C3"/>
    <w:rsid w:val="0071562E"/>
    <w:rsid w:val="00715A91"/>
    <w:rsid w:val="007172B5"/>
    <w:rsid w:val="007274DB"/>
    <w:rsid w:val="00732889"/>
    <w:rsid w:val="00733A03"/>
    <w:rsid w:val="007353CD"/>
    <w:rsid w:val="00736F07"/>
    <w:rsid w:val="00747142"/>
    <w:rsid w:val="00752641"/>
    <w:rsid w:val="00755159"/>
    <w:rsid w:val="00761A1C"/>
    <w:rsid w:val="00762D45"/>
    <w:rsid w:val="007652C0"/>
    <w:rsid w:val="0076647E"/>
    <w:rsid w:val="007704E1"/>
    <w:rsid w:val="007734AC"/>
    <w:rsid w:val="0077530C"/>
    <w:rsid w:val="00775D84"/>
    <w:rsid w:val="00776996"/>
    <w:rsid w:val="00785754"/>
    <w:rsid w:val="00790E8E"/>
    <w:rsid w:val="00792109"/>
    <w:rsid w:val="007936E6"/>
    <w:rsid w:val="00797C0B"/>
    <w:rsid w:val="007A097D"/>
    <w:rsid w:val="007A0E32"/>
    <w:rsid w:val="007B455D"/>
    <w:rsid w:val="007B59EA"/>
    <w:rsid w:val="007C07F6"/>
    <w:rsid w:val="007C1A14"/>
    <w:rsid w:val="007C1AE1"/>
    <w:rsid w:val="007C283C"/>
    <w:rsid w:val="007D0D30"/>
    <w:rsid w:val="007D3416"/>
    <w:rsid w:val="007D3EFB"/>
    <w:rsid w:val="007D4C64"/>
    <w:rsid w:val="007D5285"/>
    <w:rsid w:val="007D74B7"/>
    <w:rsid w:val="007E3B6A"/>
    <w:rsid w:val="007E66A3"/>
    <w:rsid w:val="007E673A"/>
    <w:rsid w:val="007F1E32"/>
    <w:rsid w:val="007F417D"/>
    <w:rsid w:val="007F74C7"/>
    <w:rsid w:val="0080085D"/>
    <w:rsid w:val="008108D1"/>
    <w:rsid w:val="0081151E"/>
    <w:rsid w:val="00812559"/>
    <w:rsid w:val="008161A4"/>
    <w:rsid w:val="008271BA"/>
    <w:rsid w:val="00834A7F"/>
    <w:rsid w:val="0084080B"/>
    <w:rsid w:val="00841398"/>
    <w:rsid w:val="00842841"/>
    <w:rsid w:val="00845678"/>
    <w:rsid w:val="00846A71"/>
    <w:rsid w:val="00850C37"/>
    <w:rsid w:val="00851814"/>
    <w:rsid w:val="0087271A"/>
    <w:rsid w:val="00873045"/>
    <w:rsid w:val="00880394"/>
    <w:rsid w:val="00887664"/>
    <w:rsid w:val="008916B0"/>
    <w:rsid w:val="00896A37"/>
    <w:rsid w:val="00897406"/>
    <w:rsid w:val="008A1384"/>
    <w:rsid w:val="008A2236"/>
    <w:rsid w:val="008A22CE"/>
    <w:rsid w:val="008A28C8"/>
    <w:rsid w:val="008B7726"/>
    <w:rsid w:val="008D06DD"/>
    <w:rsid w:val="008D5CE9"/>
    <w:rsid w:val="008E0343"/>
    <w:rsid w:val="008E1C94"/>
    <w:rsid w:val="008E2089"/>
    <w:rsid w:val="008E314C"/>
    <w:rsid w:val="008E3620"/>
    <w:rsid w:val="008F0477"/>
    <w:rsid w:val="008F1423"/>
    <w:rsid w:val="008F3079"/>
    <w:rsid w:val="008F4F88"/>
    <w:rsid w:val="0090292E"/>
    <w:rsid w:val="00903F52"/>
    <w:rsid w:val="00905564"/>
    <w:rsid w:val="00907905"/>
    <w:rsid w:val="00910F2E"/>
    <w:rsid w:val="009244F5"/>
    <w:rsid w:val="00931D26"/>
    <w:rsid w:val="00932DB8"/>
    <w:rsid w:val="00934C30"/>
    <w:rsid w:val="009413D0"/>
    <w:rsid w:val="009428AB"/>
    <w:rsid w:val="009442F6"/>
    <w:rsid w:val="0095250D"/>
    <w:rsid w:val="00955542"/>
    <w:rsid w:val="009627A1"/>
    <w:rsid w:val="0096521A"/>
    <w:rsid w:val="00965BBD"/>
    <w:rsid w:val="00965C44"/>
    <w:rsid w:val="00970D73"/>
    <w:rsid w:val="009739C9"/>
    <w:rsid w:val="00973DC1"/>
    <w:rsid w:val="009809C2"/>
    <w:rsid w:val="009955FF"/>
    <w:rsid w:val="00996EBB"/>
    <w:rsid w:val="009A32D5"/>
    <w:rsid w:val="009A530F"/>
    <w:rsid w:val="009A5C80"/>
    <w:rsid w:val="009B3008"/>
    <w:rsid w:val="009B5841"/>
    <w:rsid w:val="009C5DA9"/>
    <w:rsid w:val="009C5DD3"/>
    <w:rsid w:val="009D16EE"/>
    <w:rsid w:val="009D1A4C"/>
    <w:rsid w:val="009E00AB"/>
    <w:rsid w:val="009E43E4"/>
    <w:rsid w:val="009F025B"/>
    <w:rsid w:val="009F4CF3"/>
    <w:rsid w:val="00A013BD"/>
    <w:rsid w:val="00A0302E"/>
    <w:rsid w:val="00A05825"/>
    <w:rsid w:val="00A066A8"/>
    <w:rsid w:val="00A14B44"/>
    <w:rsid w:val="00A25108"/>
    <w:rsid w:val="00A313CE"/>
    <w:rsid w:val="00A316A0"/>
    <w:rsid w:val="00A33B01"/>
    <w:rsid w:val="00A35EFE"/>
    <w:rsid w:val="00A368D6"/>
    <w:rsid w:val="00A44EC0"/>
    <w:rsid w:val="00A456AF"/>
    <w:rsid w:val="00A50F0F"/>
    <w:rsid w:val="00A520F2"/>
    <w:rsid w:val="00A52F29"/>
    <w:rsid w:val="00A5511F"/>
    <w:rsid w:val="00A664B1"/>
    <w:rsid w:val="00A71FB4"/>
    <w:rsid w:val="00A71FEC"/>
    <w:rsid w:val="00A72DED"/>
    <w:rsid w:val="00A72E10"/>
    <w:rsid w:val="00A74CE5"/>
    <w:rsid w:val="00A75F53"/>
    <w:rsid w:val="00A80888"/>
    <w:rsid w:val="00A90CB8"/>
    <w:rsid w:val="00A9210C"/>
    <w:rsid w:val="00A939FF"/>
    <w:rsid w:val="00A97E6F"/>
    <w:rsid w:val="00AA05A3"/>
    <w:rsid w:val="00AA08D3"/>
    <w:rsid w:val="00AA15E5"/>
    <w:rsid w:val="00AA7552"/>
    <w:rsid w:val="00AA778B"/>
    <w:rsid w:val="00AA7967"/>
    <w:rsid w:val="00AB1AF8"/>
    <w:rsid w:val="00AB247E"/>
    <w:rsid w:val="00AB3C13"/>
    <w:rsid w:val="00AB5E1D"/>
    <w:rsid w:val="00AB7C92"/>
    <w:rsid w:val="00AC22AF"/>
    <w:rsid w:val="00AC49C0"/>
    <w:rsid w:val="00AD2394"/>
    <w:rsid w:val="00AD3E85"/>
    <w:rsid w:val="00AD50A0"/>
    <w:rsid w:val="00AD62A8"/>
    <w:rsid w:val="00AE0D61"/>
    <w:rsid w:val="00AE476A"/>
    <w:rsid w:val="00AE6A52"/>
    <w:rsid w:val="00AF2796"/>
    <w:rsid w:val="00AF2E90"/>
    <w:rsid w:val="00AF442C"/>
    <w:rsid w:val="00B0217E"/>
    <w:rsid w:val="00B07EBD"/>
    <w:rsid w:val="00B113D9"/>
    <w:rsid w:val="00B11DE5"/>
    <w:rsid w:val="00B136C1"/>
    <w:rsid w:val="00B17325"/>
    <w:rsid w:val="00B1756E"/>
    <w:rsid w:val="00B22958"/>
    <w:rsid w:val="00B23973"/>
    <w:rsid w:val="00B36F9E"/>
    <w:rsid w:val="00B404D1"/>
    <w:rsid w:val="00B50A53"/>
    <w:rsid w:val="00B51C8E"/>
    <w:rsid w:val="00B60106"/>
    <w:rsid w:val="00B63E63"/>
    <w:rsid w:val="00B6653C"/>
    <w:rsid w:val="00B70998"/>
    <w:rsid w:val="00B71A6D"/>
    <w:rsid w:val="00B71D1B"/>
    <w:rsid w:val="00B74446"/>
    <w:rsid w:val="00B82653"/>
    <w:rsid w:val="00B844DC"/>
    <w:rsid w:val="00B84A1C"/>
    <w:rsid w:val="00B91327"/>
    <w:rsid w:val="00B92309"/>
    <w:rsid w:val="00B94E8D"/>
    <w:rsid w:val="00BA27B7"/>
    <w:rsid w:val="00BA351D"/>
    <w:rsid w:val="00BA4536"/>
    <w:rsid w:val="00BA5228"/>
    <w:rsid w:val="00BB0C99"/>
    <w:rsid w:val="00BB39CC"/>
    <w:rsid w:val="00BC05FB"/>
    <w:rsid w:val="00BC34A7"/>
    <w:rsid w:val="00BC6A7E"/>
    <w:rsid w:val="00BC764C"/>
    <w:rsid w:val="00BD387F"/>
    <w:rsid w:val="00BD7595"/>
    <w:rsid w:val="00BE5B25"/>
    <w:rsid w:val="00BE5E5D"/>
    <w:rsid w:val="00BF55F3"/>
    <w:rsid w:val="00C0776A"/>
    <w:rsid w:val="00C12577"/>
    <w:rsid w:val="00C1720A"/>
    <w:rsid w:val="00C302EB"/>
    <w:rsid w:val="00C30A5C"/>
    <w:rsid w:val="00C317BF"/>
    <w:rsid w:val="00C32FA2"/>
    <w:rsid w:val="00C41135"/>
    <w:rsid w:val="00C41D2B"/>
    <w:rsid w:val="00C5096B"/>
    <w:rsid w:val="00C52B03"/>
    <w:rsid w:val="00C52DCA"/>
    <w:rsid w:val="00C543BE"/>
    <w:rsid w:val="00C5457E"/>
    <w:rsid w:val="00C636D3"/>
    <w:rsid w:val="00C649E3"/>
    <w:rsid w:val="00C65A74"/>
    <w:rsid w:val="00C706DE"/>
    <w:rsid w:val="00C77B6B"/>
    <w:rsid w:val="00C8024C"/>
    <w:rsid w:val="00C810A4"/>
    <w:rsid w:val="00C83C34"/>
    <w:rsid w:val="00C93B77"/>
    <w:rsid w:val="00C95F1F"/>
    <w:rsid w:val="00CA4578"/>
    <w:rsid w:val="00CB16B9"/>
    <w:rsid w:val="00CB3EE7"/>
    <w:rsid w:val="00CC1D91"/>
    <w:rsid w:val="00CC1F67"/>
    <w:rsid w:val="00CC2550"/>
    <w:rsid w:val="00CC35FA"/>
    <w:rsid w:val="00CC5A7A"/>
    <w:rsid w:val="00CC7E38"/>
    <w:rsid w:val="00CD0E25"/>
    <w:rsid w:val="00CD2068"/>
    <w:rsid w:val="00CD739B"/>
    <w:rsid w:val="00CE0070"/>
    <w:rsid w:val="00CE3463"/>
    <w:rsid w:val="00CE36AF"/>
    <w:rsid w:val="00CE4866"/>
    <w:rsid w:val="00CE5B8A"/>
    <w:rsid w:val="00CE788F"/>
    <w:rsid w:val="00CF0980"/>
    <w:rsid w:val="00D0536D"/>
    <w:rsid w:val="00D06333"/>
    <w:rsid w:val="00D11DA5"/>
    <w:rsid w:val="00D13C30"/>
    <w:rsid w:val="00D13EE9"/>
    <w:rsid w:val="00D15E7F"/>
    <w:rsid w:val="00D2051C"/>
    <w:rsid w:val="00D218AD"/>
    <w:rsid w:val="00D307D7"/>
    <w:rsid w:val="00D30BA8"/>
    <w:rsid w:val="00D3521A"/>
    <w:rsid w:val="00D36025"/>
    <w:rsid w:val="00D37153"/>
    <w:rsid w:val="00D419A4"/>
    <w:rsid w:val="00D42991"/>
    <w:rsid w:val="00D4402F"/>
    <w:rsid w:val="00D441B3"/>
    <w:rsid w:val="00D477FC"/>
    <w:rsid w:val="00D5398C"/>
    <w:rsid w:val="00D55457"/>
    <w:rsid w:val="00D605E5"/>
    <w:rsid w:val="00D734F7"/>
    <w:rsid w:val="00D766E3"/>
    <w:rsid w:val="00D8331D"/>
    <w:rsid w:val="00D8643C"/>
    <w:rsid w:val="00D9370E"/>
    <w:rsid w:val="00D93C7F"/>
    <w:rsid w:val="00DA01E3"/>
    <w:rsid w:val="00DA02A5"/>
    <w:rsid w:val="00DA2137"/>
    <w:rsid w:val="00DA2AF9"/>
    <w:rsid w:val="00DA632E"/>
    <w:rsid w:val="00DA6EB2"/>
    <w:rsid w:val="00DB0F36"/>
    <w:rsid w:val="00DB519D"/>
    <w:rsid w:val="00DB7007"/>
    <w:rsid w:val="00DB766C"/>
    <w:rsid w:val="00DC0917"/>
    <w:rsid w:val="00DC11D8"/>
    <w:rsid w:val="00DC4CAE"/>
    <w:rsid w:val="00DD2DCA"/>
    <w:rsid w:val="00DD405C"/>
    <w:rsid w:val="00DD5008"/>
    <w:rsid w:val="00DD5136"/>
    <w:rsid w:val="00DD5601"/>
    <w:rsid w:val="00DD78FF"/>
    <w:rsid w:val="00DE349D"/>
    <w:rsid w:val="00DE5D07"/>
    <w:rsid w:val="00DF26E9"/>
    <w:rsid w:val="00DF29D9"/>
    <w:rsid w:val="00DF505E"/>
    <w:rsid w:val="00DF7808"/>
    <w:rsid w:val="00E01DE8"/>
    <w:rsid w:val="00E04C6A"/>
    <w:rsid w:val="00E102F4"/>
    <w:rsid w:val="00E12E29"/>
    <w:rsid w:val="00E14BB5"/>
    <w:rsid w:val="00E17155"/>
    <w:rsid w:val="00E24427"/>
    <w:rsid w:val="00E32EBA"/>
    <w:rsid w:val="00E34F94"/>
    <w:rsid w:val="00E4051C"/>
    <w:rsid w:val="00E41818"/>
    <w:rsid w:val="00E4292D"/>
    <w:rsid w:val="00E50053"/>
    <w:rsid w:val="00E51242"/>
    <w:rsid w:val="00E51988"/>
    <w:rsid w:val="00E55E87"/>
    <w:rsid w:val="00E60471"/>
    <w:rsid w:val="00E62144"/>
    <w:rsid w:val="00E64872"/>
    <w:rsid w:val="00E66BD2"/>
    <w:rsid w:val="00E7222A"/>
    <w:rsid w:val="00E72956"/>
    <w:rsid w:val="00E72DDE"/>
    <w:rsid w:val="00E74696"/>
    <w:rsid w:val="00E74855"/>
    <w:rsid w:val="00E75DC5"/>
    <w:rsid w:val="00E76E9D"/>
    <w:rsid w:val="00E85BB6"/>
    <w:rsid w:val="00E932AD"/>
    <w:rsid w:val="00EA042F"/>
    <w:rsid w:val="00EB3E2E"/>
    <w:rsid w:val="00EC12C9"/>
    <w:rsid w:val="00EC763A"/>
    <w:rsid w:val="00EC7F04"/>
    <w:rsid w:val="00ED275F"/>
    <w:rsid w:val="00ED3CB5"/>
    <w:rsid w:val="00ED79D2"/>
    <w:rsid w:val="00EE01FB"/>
    <w:rsid w:val="00EE3555"/>
    <w:rsid w:val="00EF239A"/>
    <w:rsid w:val="00EF2CE5"/>
    <w:rsid w:val="00EF3A28"/>
    <w:rsid w:val="00EF501E"/>
    <w:rsid w:val="00EF70C0"/>
    <w:rsid w:val="00EF7A8E"/>
    <w:rsid w:val="00F06E02"/>
    <w:rsid w:val="00F102DD"/>
    <w:rsid w:val="00F15174"/>
    <w:rsid w:val="00F16331"/>
    <w:rsid w:val="00F16498"/>
    <w:rsid w:val="00F233B9"/>
    <w:rsid w:val="00F26B4D"/>
    <w:rsid w:val="00F26B7C"/>
    <w:rsid w:val="00F27CF0"/>
    <w:rsid w:val="00F40178"/>
    <w:rsid w:val="00F46BC4"/>
    <w:rsid w:val="00F51AF6"/>
    <w:rsid w:val="00F61CC5"/>
    <w:rsid w:val="00F67281"/>
    <w:rsid w:val="00F71C8A"/>
    <w:rsid w:val="00F72AF2"/>
    <w:rsid w:val="00F77932"/>
    <w:rsid w:val="00F804B6"/>
    <w:rsid w:val="00F8308A"/>
    <w:rsid w:val="00F8447C"/>
    <w:rsid w:val="00F84B86"/>
    <w:rsid w:val="00F86526"/>
    <w:rsid w:val="00F87E5A"/>
    <w:rsid w:val="00F97624"/>
    <w:rsid w:val="00FA1F21"/>
    <w:rsid w:val="00FA2956"/>
    <w:rsid w:val="00FA405B"/>
    <w:rsid w:val="00FB12C2"/>
    <w:rsid w:val="00FB12E7"/>
    <w:rsid w:val="00FB4B76"/>
    <w:rsid w:val="00FB6344"/>
    <w:rsid w:val="00FC2C14"/>
    <w:rsid w:val="00FC3348"/>
    <w:rsid w:val="00FC52C6"/>
    <w:rsid w:val="00FC5BBF"/>
    <w:rsid w:val="00FE2628"/>
    <w:rsid w:val="00FE4392"/>
    <w:rsid w:val="00FE4D4F"/>
    <w:rsid w:val="00FE5F4F"/>
    <w:rsid w:val="00FE6657"/>
    <w:rsid w:val="00FE6B9D"/>
    <w:rsid w:val="00FF0432"/>
    <w:rsid w:val="00FF7C56"/>
    <w:rsid w:val="5FDEC7E9"/>
    <w:rsid w:val="6CDFE785"/>
    <w:rsid w:val="7FC24757"/>
    <w:rsid w:val="B77FD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7"/>
    <w:semiHidden/>
    <w:unhideWhenUsed/>
    <w:qFormat/>
    <w:uiPriority w:val="99"/>
    <w:rPr>
      <w:rFonts w:ascii="宋体" w:eastAsia="宋体"/>
      <w:sz w:val="18"/>
      <w:szCs w:val="18"/>
    </w:rPr>
  </w:style>
  <w:style w:type="paragraph" w:styleId="3">
    <w:name w:val="annotation text"/>
    <w:basedOn w:val="1"/>
    <w:link w:val="19"/>
    <w:semiHidden/>
    <w:unhideWhenUsed/>
    <w:qFormat/>
    <w:uiPriority w:val="99"/>
  </w:style>
  <w:style w:type="paragraph" w:styleId="4">
    <w:name w:val="Date"/>
    <w:basedOn w:val="1"/>
    <w:next w:val="1"/>
    <w:link w:val="18"/>
    <w:semiHidden/>
    <w:unhideWhenUsed/>
    <w:qFormat/>
    <w:uiPriority w:val="99"/>
    <w:pPr>
      <w:ind w:left="100" w:leftChars="2500"/>
    </w:pPr>
  </w:style>
  <w:style w:type="paragraph" w:styleId="5">
    <w:name w:val="Balloon Text"/>
    <w:basedOn w:val="1"/>
    <w:link w:val="21"/>
    <w:semiHidden/>
    <w:unhideWhenUsed/>
    <w:qFormat/>
    <w:uiPriority w:val="99"/>
    <w:pPr>
      <w:spacing w:after="0"/>
    </w:pPr>
    <w:rPr>
      <w:sz w:val="18"/>
      <w:szCs w:val="18"/>
    </w:rPr>
  </w:style>
  <w:style w:type="paragraph" w:styleId="6">
    <w:name w:val="footer"/>
    <w:basedOn w:val="1"/>
    <w:link w:val="16"/>
    <w:unhideWhenUsed/>
    <w:qFormat/>
    <w:uiPriority w:val="99"/>
    <w:pPr>
      <w:tabs>
        <w:tab w:val="center" w:pos="4153"/>
        <w:tab w:val="right" w:pos="8306"/>
      </w:tabs>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jc w:val="center"/>
    </w:pPr>
    <w:rPr>
      <w:sz w:val="18"/>
      <w:szCs w:val="18"/>
    </w:rPr>
  </w:style>
  <w:style w:type="paragraph" w:styleId="8">
    <w:name w:val="Normal (Web)"/>
    <w:basedOn w:val="1"/>
    <w:qFormat/>
    <w:uiPriority w:val="0"/>
    <w:pPr>
      <w:adjustRightInd/>
      <w:snapToGrid/>
      <w:spacing w:before="100" w:beforeAutospacing="1" w:after="100" w:afterAutospacing="1"/>
    </w:pPr>
    <w:rPr>
      <w:rFonts w:ascii="宋体" w:hAnsi="宋体" w:eastAsia="宋体" w:cs="Times New Roman"/>
      <w:color w:val="000000"/>
      <w:sz w:val="24"/>
      <w:szCs w:val="24"/>
    </w:rPr>
  </w:style>
  <w:style w:type="paragraph" w:styleId="9">
    <w:name w:val="annotation subject"/>
    <w:basedOn w:val="3"/>
    <w:next w:val="3"/>
    <w:link w:val="20"/>
    <w:semiHidden/>
    <w:unhideWhenUsed/>
    <w:qFormat/>
    <w:uiPriority w:val="99"/>
    <w:rPr>
      <w:b/>
      <w:bCs/>
    </w:rPr>
  </w:style>
  <w:style w:type="character" w:styleId="12">
    <w:name w:val="annotation reference"/>
    <w:basedOn w:val="11"/>
    <w:semiHidden/>
    <w:unhideWhenUsed/>
    <w:qFormat/>
    <w:uiPriority w:val="99"/>
    <w:rPr>
      <w:sz w:val="21"/>
      <w:szCs w:val="21"/>
    </w:rPr>
  </w:style>
  <w:style w:type="paragraph" w:styleId="13">
    <w:name w:val="List Paragraph"/>
    <w:basedOn w:val="1"/>
    <w:qFormat/>
    <w:uiPriority w:val="34"/>
    <w:pPr>
      <w:ind w:firstLine="420" w:firstLineChars="200"/>
    </w:pPr>
  </w:style>
  <w:style w:type="paragraph" w:customStyle="1" w:styleId="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5">
    <w:name w:val="页眉 Char"/>
    <w:basedOn w:val="11"/>
    <w:link w:val="7"/>
    <w:qFormat/>
    <w:uiPriority w:val="99"/>
    <w:rPr>
      <w:rFonts w:ascii="Tahoma" w:hAnsi="Tahoma"/>
      <w:sz w:val="18"/>
      <w:szCs w:val="18"/>
    </w:rPr>
  </w:style>
  <w:style w:type="character" w:customStyle="1" w:styleId="16">
    <w:name w:val="页脚 Char"/>
    <w:basedOn w:val="11"/>
    <w:link w:val="6"/>
    <w:qFormat/>
    <w:uiPriority w:val="99"/>
    <w:rPr>
      <w:rFonts w:ascii="Tahoma" w:hAnsi="Tahoma"/>
      <w:sz w:val="18"/>
      <w:szCs w:val="18"/>
    </w:rPr>
  </w:style>
  <w:style w:type="character" w:customStyle="1" w:styleId="17">
    <w:name w:val="文档结构图 Char"/>
    <w:basedOn w:val="11"/>
    <w:link w:val="2"/>
    <w:semiHidden/>
    <w:qFormat/>
    <w:uiPriority w:val="99"/>
    <w:rPr>
      <w:rFonts w:ascii="宋体" w:hAnsi="Tahoma" w:eastAsia="宋体"/>
      <w:sz w:val="18"/>
      <w:szCs w:val="18"/>
    </w:rPr>
  </w:style>
  <w:style w:type="character" w:customStyle="1" w:styleId="18">
    <w:name w:val="日期 Char"/>
    <w:basedOn w:val="11"/>
    <w:link w:val="4"/>
    <w:semiHidden/>
    <w:qFormat/>
    <w:uiPriority w:val="99"/>
    <w:rPr>
      <w:rFonts w:ascii="Tahoma" w:hAnsi="Tahoma"/>
    </w:rPr>
  </w:style>
  <w:style w:type="character" w:customStyle="1" w:styleId="19">
    <w:name w:val="批注文字 Char"/>
    <w:basedOn w:val="11"/>
    <w:link w:val="3"/>
    <w:semiHidden/>
    <w:qFormat/>
    <w:uiPriority w:val="99"/>
    <w:rPr>
      <w:rFonts w:ascii="Tahoma" w:hAnsi="Tahoma"/>
    </w:rPr>
  </w:style>
  <w:style w:type="character" w:customStyle="1" w:styleId="20">
    <w:name w:val="批注主题 Char"/>
    <w:basedOn w:val="19"/>
    <w:link w:val="9"/>
    <w:semiHidden/>
    <w:qFormat/>
    <w:uiPriority w:val="99"/>
    <w:rPr>
      <w:rFonts w:ascii="Tahoma" w:hAnsi="Tahoma"/>
      <w:b/>
      <w:bCs/>
    </w:rPr>
  </w:style>
  <w:style w:type="character" w:customStyle="1" w:styleId="21">
    <w:name w:val="批注框文本 Char"/>
    <w:basedOn w:val="11"/>
    <w:link w:val="5"/>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03803-08A4-4E17-813F-6CDE4039F9BB}">
  <ds:schemaRefs/>
</ds:datastoreItem>
</file>

<file path=docProps/app.xml><?xml version="1.0" encoding="utf-8"?>
<Properties xmlns="http://schemas.openxmlformats.org/officeDocument/2006/extended-properties" xmlns:vt="http://schemas.openxmlformats.org/officeDocument/2006/docPropsVTypes">
  <Template>Normal.dotm</Template>
  <Pages>9</Pages>
  <Words>442</Words>
  <Characters>2522</Characters>
  <Lines>21</Lines>
  <Paragraphs>5</Paragraphs>
  <TotalTime>1</TotalTime>
  <ScaleCrop>false</ScaleCrop>
  <LinksUpToDate>false</LinksUpToDate>
  <CharactersWithSpaces>2959</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2026-03-03T06:40:00Z</dcterms:created>
  <dc:creator>Administrator</dc:creator>
  <cp:lastModifiedBy>朱  晨</cp:lastModifiedBy>
  <cp:lastPrinted>2018-03-17T11:10:00Z</cp:lastPrinted>
  <dcterms:modified xsi:type="dcterms:W3CDTF">2026-06-17T10:15:27Z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eyJoZGlkIjoiMGQ1OGEzMTM0N2U3YmJlMjEyN2YzYzVhM2E3NDRmNGEiLCJ1c2VySWQiOiI0NTA1OTg2MDYifQ==</vt:lpwstr>
  </property>
  <property fmtid="{D5CDD505-2E9C-101B-9397-08002B2CF9AE}" pid="3" name="KSOProductBuildVer">
    <vt:lpwstr>2052-12.8.2.1113</vt:lpwstr>
  </property>
  <property fmtid="{D5CDD505-2E9C-101B-9397-08002B2CF9AE}" pid="4" name="ICV">
    <vt:lpwstr>532C2B1D62BF42C4B900C4E8848D8942_12</vt:lpwstr>
  </property>
</Properties>
</file>