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0744C5">
      <w:pPr>
        <w:pStyle w:val="2"/>
        <w:numPr>
          <w:ilvl w:val="0"/>
          <w:numId w:val="0"/>
        </w:numPr>
        <w:ind w:left="425"/>
        <w:jc w:val="center"/>
        <w:rPr>
          <w:rFonts w:hint="eastAsia"/>
          <w:color w:val="auto"/>
          <w:highlight w:val="none"/>
        </w:rPr>
      </w:pPr>
      <w:bookmarkStart w:id="0" w:name="_Toc63785461"/>
      <w:r>
        <w:rPr>
          <w:color w:val="auto"/>
          <w:highlight w:val="none"/>
        </w:rPr>
        <w:t>2026青少年运动健体智能技术服务</w:t>
      </w:r>
      <w:r>
        <w:rPr>
          <w:rFonts w:hint="eastAsia"/>
          <w:color w:val="auto"/>
          <w:highlight w:val="none"/>
        </w:rPr>
        <w:t>项目采购需求</w:t>
      </w:r>
    </w:p>
    <w:p w14:paraId="33E6344D">
      <w:pPr>
        <w:ind w:firstLine="482"/>
        <w:jc w:val="center"/>
        <w:rPr>
          <w:rFonts w:hint="eastAsia"/>
          <w:b/>
          <w:bCs/>
          <w:color w:val="auto"/>
          <w:highlight w:val="none"/>
        </w:rPr>
      </w:pPr>
    </w:p>
    <w:p w14:paraId="217135AE">
      <w:pPr>
        <w:pStyle w:val="2"/>
        <w:rPr>
          <w:rFonts w:hint="eastAsia"/>
          <w:color w:val="auto"/>
          <w:highlight w:val="none"/>
        </w:rPr>
      </w:pPr>
      <w:r>
        <w:rPr>
          <w:rFonts w:hint="eastAsia"/>
          <w:color w:val="auto"/>
          <w:highlight w:val="none"/>
        </w:rPr>
        <w:t>项目概况</w:t>
      </w:r>
      <w:bookmarkEnd w:id="0"/>
    </w:p>
    <w:p w14:paraId="7FA22187">
      <w:pPr>
        <w:spacing w:line="560" w:lineRule="exact"/>
        <w:rPr>
          <w:color w:val="auto"/>
          <w:highlight w:val="none"/>
        </w:rPr>
      </w:pPr>
      <w:r>
        <w:rPr>
          <w:color w:val="auto"/>
          <w:highlight w:val="none"/>
        </w:rPr>
        <w:t>为落实《教育强国建设规划纲要（2024—2035年）》《深化新时代中小学体育工作高质量发展的若干措施》（沪教卫党〔2025</w:t>
      </w:r>
      <w:bookmarkStart w:id="34" w:name="_GoBack"/>
      <w:bookmarkEnd w:id="34"/>
      <w:r>
        <w:rPr>
          <w:color w:val="auto"/>
          <w:highlight w:val="none"/>
        </w:rPr>
        <w:t>〕145号）、《教育部等九部门关于加快推进教育数字化的意见》（教办〔2025〕3号）等文件要求，依托上体体育大模型与多模态智能采集技术，面向上海市2-3个区10所中小学校，开展青少年运动强体多模态数据采集标注与全成长周期智能伴随指导服务，构建数据采集、智能分析、精准推送、家校协同的运动健体服务模式，实现学生体质健康精准画像、个性化运动指导与全过程伴随式服务，引导上海市体育教育数字化转型的发展方向。</w:t>
      </w:r>
    </w:p>
    <w:p w14:paraId="1F6A65A6">
      <w:pPr>
        <w:rPr>
          <w:rFonts w:hint="eastAsia"/>
          <w:color w:val="auto"/>
          <w:highlight w:val="none"/>
        </w:rPr>
      </w:pPr>
      <w:r>
        <w:rPr>
          <w:color w:val="auto"/>
          <w:highlight w:val="none"/>
        </w:rPr>
        <w:t>是否按信创要求建设：</w:t>
      </w:r>
      <w:r>
        <w:rPr>
          <w:rFonts w:hint="eastAsia"/>
          <w:color w:val="auto"/>
          <w:highlight w:val="none"/>
        </w:rPr>
        <w:t>否</w:t>
      </w:r>
    </w:p>
    <w:p w14:paraId="4FCA5198">
      <w:pPr>
        <w:pStyle w:val="2"/>
        <w:rPr>
          <w:rFonts w:hint="eastAsia"/>
          <w:color w:val="auto"/>
          <w:highlight w:val="none"/>
        </w:rPr>
      </w:pPr>
      <w:bookmarkStart w:id="1" w:name="_Toc47531634"/>
      <w:bookmarkEnd w:id="1"/>
      <w:bookmarkStart w:id="2" w:name="_Toc47532255"/>
      <w:bookmarkEnd w:id="2"/>
      <w:bookmarkStart w:id="3" w:name="_Toc47536644"/>
      <w:bookmarkEnd w:id="3"/>
      <w:bookmarkStart w:id="4" w:name="_Toc47536272"/>
      <w:bookmarkEnd w:id="4"/>
      <w:bookmarkStart w:id="5" w:name="_Toc47532891"/>
      <w:bookmarkEnd w:id="5"/>
      <w:bookmarkStart w:id="6" w:name="_Toc47537134"/>
      <w:bookmarkEnd w:id="6"/>
      <w:bookmarkStart w:id="7" w:name="_Toc47539070"/>
      <w:bookmarkEnd w:id="7"/>
      <w:bookmarkStart w:id="8" w:name="_Toc47533256"/>
      <w:bookmarkEnd w:id="8"/>
      <w:bookmarkStart w:id="9" w:name="_Toc48223882"/>
      <w:bookmarkStart w:id="10" w:name="_Toc63785463"/>
      <w:r>
        <w:rPr>
          <w:rFonts w:hint="eastAsia"/>
          <w:color w:val="auto"/>
          <w:highlight w:val="none"/>
        </w:rPr>
        <w:t>建设目标</w:t>
      </w:r>
      <w:bookmarkEnd w:id="9"/>
      <w:bookmarkEnd w:id="10"/>
    </w:p>
    <w:p w14:paraId="71F6A4F5">
      <w:pPr>
        <w:rPr>
          <w:rFonts w:hint="eastAsia"/>
          <w:bCs/>
          <w:color w:val="auto"/>
          <w:highlight w:val="none"/>
        </w:rPr>
      </w:pPr>
      <w:r>
        <w:rPr>
          <w:rFonts w:hint="eastAsia"/>
          <w:bCs/>
          <w:color w:val="auto"/>
          <w:highlight w:val="none"/>
        </w:rPr>
        <w:t>构建智能体育教育的技术内核。本项目将研究一套基于人工智能的中小学生健康画像分类算法，实现对学生群体的精准识别与剖析，为个性化干预奠定理论基础。同时，响应国家“开发新型数字教育资源”的号召，建设一个“健康生活+科学运动+心理调适”三位一体的数字化运动强体综合指导资源库。此资源库将依托“上体体育大模型”，形成覆盖各学段、多场景的科学运动处方集，为智慧体育教学提供核心内容支撑。</w:t>
      </w:r>
    </w:p>
    <w:p w14:paraId="03624DD4">
      <w:pPr>
        <w:rPr>
          <w:rFonts w:hint="eastAsia"/>
          <w:bCs/>
          <w:color w:val="auto"/>
          <w:highlight w:val="none"/>
        </w:rPr>
      </w:pPr>
      <w:r>
        <w:rPr>
          <w:rFonts w:hint="eastAsia"/>
          <w:bCs/>
          <w:color w:val="auto"/>
          <w:highlight w:val="none"/>
        </w:rPr>
        <w:t>打造运动健康伴随式指导服务体系。为实现“全过程伴随式数据采集”与“智能学伴”服务，项目将建设一个整合多维数据的动态运动健康队列数据，并开展体育教学场景下的多模态数据采集与标注。在此基础上，构建一个“教师主导+模型辅助”的智能伴随指导服务平台。</w:t>
      </w:r>
    </w:p>
    <w:p w14:paraId="1FA90837">
      <w:pPr>
        <w:rPr>
          <w:rFonts w:hint="eastAsia"/>
          <w:bCs/>
          <w:color w:val="auto"/>
          <w:highlight w:val="none"/>
        </w:rPr>
      </w:pPr>
      <w:r>
        <w:rPr>
          <w:rFonts w:hint="eastAsia"/>
          <w:bCs/>
          <w:color w:val="auto"/>
          <w:highlight w:val="none"/>
        </w:rPr>
        <w:t>形成数字化运动强体指导示范应用。依托上海体育大学的双一流学科优势和上体体育大模型技术优势，项目将在试点学校落地分学段的差异化智慧体育教学场景，包括小学的趣味化运动、初中的体质提升、高中的专项发展，形成一套可推广、可借鉴的实践范例。通过对示范校与非示范校的对比分析，系统评估项目成效，最终提炼出一套可复制、可推广的区域性数字化运动强体指导解决方案，为本市乃至全国的体育教育数字化转型发展提供实践依据和决策参考。</w:t>
      </w:r>
    </w:p>
    <w:p w14:paraId="32ACF136">
      <w:pPr>
        <w:pStyle w:val="2"/>
        <w:rPr>
          <w:rFonts w:hint="eastAsia"/>
          <w:color w:val="auto"/>
          <w:highlight w:val="none"/>
        </w:rPr>
      </w:pPr>
      <w:bookmarkStart w:id="11" w:name="_Toc47536676"/>
      <w:bookmarkEnd w:id="11"/>
      <w:bookmarkStart w:id="12" w:name="_Toc47532923"/>
      <w:bookmarkEnd w:id="12"/>
      <w:bookmarkStart w:id="13" w:name="_Toc47536304"/>
      <w:bookmarkEnd w:id="13"/>
      <w:bookmarkStart w:id="14" w:name="_Toc47537166"/>
      <w:bookmarkEnd w:id="14"/>
      <w:bookmarkStart w:id="15" w:name="_Toc47533288"/>
      <w:bookmarkEnd w:id="15"/>
      <w:bookmarkStart w:id="16" w:name="_Toc47539102"/>
      <w:bookmarkEnd w:id="16"/>
      <w:r>
        <w:rPr>
          <w:rFonts w:hint="eastAsia"/>
          <w:color w:val="auto"/>
          <w:highlight w:val="none"/>
        </w:rPr>
        <w:t>项目建设内容</w:t>
      </w:r>
    </w:p>
    <w:p w14:paraId="67C20E90">
      <w:pPr>
        <w:rPr>
          <w:color w:val="auto"/>
          <w:highlight w:val="none"/>
        </w:rPr>
      </w:pPr>
      <w:r>
        <w:rPr>
          <w:color w:val="auto"/>
          <w:highlight w:val="none"/>
        </w:rPr>
        <w:t>本项目采用多模态智能采集技术与上体体育大模型相结合的技术路线。整体架构分为数据层、算法层、服务层和应用层：数据层负责多源运动健康数据整合与队列数据库建设；算法层依托上体体育大模型进行智能分析与优化；服务层提供3D数字人动作库、分学段精准推送、运动健康报告自动生成等核心服务；应用层面向试点学校师生及家长提供全成长周期智能伴随指导。</w:t>
      </w:r>
    </w:p>
    <w:p w14:paraId="603A0BA9">
      <w:pPr>
        <w:ind w:firstLine="482"/>
        <w:rPr>
          <w:rFonts w:hint="eastAsia"/>
          <w:b/>
          <w:color w:val="auto"/>
          <w:highlight w:val="none"/>
        </w:rPr>
      </w:pPr>
      <w:r>
        <w:rPr>
          <w:rFonts w:hint="eastAsia"/>
          <w:b/>
          <w:color w:val="auto"/>
          <w:highlight w:val="none"/>
        </w:rPr>
        <w:t>软件开发清单：</w:t>
      </w:r>
    </w:p>
    <w:tbl>
      <w:tblPr>
        <w:tblStyle w:val="7"/>
        <w:tblW w:w="5000" w:type="pct"/>
        <w:jc w:val="center"/>
        <w:tblLayout w:type="autofit"/>
        <w:tblCellMar>
          <w:top w:w="0" w:type="dxa"/>
          <w:left w:w="108" w:type="dxa"/>
          <w:bottom w:w="0" w:type="dxa"/>
          <w:right w:w="108" w:type="dxa"/>
        </w:tblCellMar>
      </w:tblPr>
      <w:tblGrid>
        <w:gridCol w:w="698"/>
        <w:gridCol w:w="1662"/>
        <w:gridCol w:w="1208"/>
        <w:gridCol w:w="4960"/>
      </w:tblGrid>
      <w:tr w14:paraId="02FFC1C7">
        <w:tblPrEx>
          <w:tblCellMar>
            <w:top w:w="0" w:type="dxa"/>
            <w:left w:w="108" w:type="dxa"/>
            <w:bottom w:w="0" w:type="dxa"/>
            <w:right w:w="108" w:type="dxa"/>
          </w:tblCellMar>
        </w:tblPrEx>
        <w:trPr>
          <w:trHeight w:val="270" w:hRule="atLeast"/>
          <w:jc w:val="center"/>
        </w:trPr>
        <w:tc>
          <w:tcPr>
            <w:tcW w:w="395" w:type="pct"/>
            <w:tcBorders>
              <w:top w:val="single" w:color="auto" w:sz="4" w:space="0"/>
              <w:left w:val="single" w:color="auto" w:sz="4" w:space="0"/>
              <w:bottom w:val="single" w:color="auto" w:sz="4" w:space="0"/>
              <w:right w:val="single" w:color="auto" w:sz="4" w:space="0"/>
            </w:tcBorders>
            <w:shd w:val="clear" w:color="000000" w:fill="F3F8FC"/>
            <w:noWrap/>
            <w:vAlign w:val="top"/>
          </w:tcPr>
          <w:p w14:paraId="2DDE45A3">
            <w:pPr>
              <w:widowControl/>
              <w:spacing w:line="240" w:lineRule="auto"/>
              <w:ind w:firstLine="0" w:firstLineChars="0"/>
              <w:jc w:val="center"/>
              <w:rPr>
                <w:rFonts w:hint="eastAsia" w:cs="宋体"/>
                <w:b/>
                <w:color w:val="auto"/>
                <w:kern w:val="0"/>
                <w:sz w:val="24"/>
                <w:szCs w:val="24"/>
                <w:highlight w:val="none"/>
              </w:rPr>
            </w:pPr>
            <w:r>
              <w:rPr>
                <w:rFonts w:hint="eastAsia" w:cs="宋体"/>
                <w:b/>
                <w:color w:val="auto"/>
                <w:kern w:val="0"/>
                <w:sz w:val="24"/>
                <w:szCs w:val="24"/>
                <w:highlight w:val="none"/>
              </w:rPr>
              <w:t>序号</w:t>
            </w:r>
          </w:p>
        </w:tc>
        <w:tc>
          <w:tcPr>
            <w:tcW w:w="682" w:type="pct"/>
            <w:tcBorders>
              <w:top w:val="single" w:color="auto" w:sz="4" w:space="0"/>
              <w:left w:val="nil"/>
              <w:bottom w:val="single" w:color="auto" w:sz="4" w:space="0"/>
              <w:right w:val="single" w:color="auto" w:sz="4" w:space="0"/>
            </w:tcBorders>
            <w:shd w:val="clear" w:color="000000" w:fill="F3F8FC"/>
            <w:noWrap/>
            <w:vAlign w:val="top"/>
          </w:tcPr>
          <w:p w14:paraId="43223FA1">
            <w:pPr>
              <w:widowControl/>
              <w:spacing w:line="240" w:lineRule="auto"/>
              <w:ind w:firstLine="0" w:firstLineChars="0"/>
              <w:jc w:val="center"/>
              <w:rPr>
                <w:rFonts w:hint="eastAsia" w:cs="宋体"/>
                <w:b/>
                <w:color w:val="auto"/>
                <w:kern w:val="0"/>
                <w:sz w:val="24"/>
                <w:szCs w:val="24"/>
                <w:highlight w:val="none"/>
              </w:rPr>
            </w:pPr>
            <w:r>
              <w:rPr>
                <w:rFonts w:hint="eastAsia" w:cs="宋体"/>
                <w:b/>
                <w:color w:val="auto"/>
                <w:kern w:val="0"/>
                <w:sz w:val="24"/>
                <w:szCs w:val="24"/>
                <w:highlight w:val="none"/>
              </w:rPr>
              <w:t>应用系统名称</w:t>
            </w:r>
          </w:p>
        </w:tc>
        <w:tc>
          <w:tcPr>
            <w:tcW w:w="861" w:type="pct"/>
            <w:tcBorders>
              <w:top w:val="single" w:color="auto" w:sz="4" w:space="0"/>
              <w:left w:val="nil"/>
              <w:bottom w:val="single" w:color="auto" w:sz="4" w:space="0"/>
              <w:right w:val="single" w:color="auto" w:sz="4" w:space="0"/>
            </w:tcBorders>
            <w:shd w:val="clear" w:color="000000" w:fill="F3F8FC"/>
            <w:noWrap/>
            <w:vAlign w:val="top"/>
          </w:tcPr>
          <w:p w14:paraId="13EFCCEC">
            <w:pPr>
              <w:widowControl/>
              <w:spacing w:line="240" w:lineRule="auto"/>
              <w:ind w:firstLine="0" w:firstLineChars="0"/>
              <w:jc w:val="center"/>
              <w:rPr>
                <w:rFonts w:hint="eastAsia" w:cs="宋体"/>
                <w:b/>
                <w:color w:val="auto"/>
                <w:kern w:val="0"/>
                <w:sz w:val="24"/>
                <w:szCs w:val="24"/>
                <w:highlight w:val="none"/>
              </w:rPr>
            </w:pPr>
            <w:r>
              <w:rPr>
                <w:rFonts w:hint="eastAsia" w:cs="宋体"/>
                <w:b/>
                <w:color w:val="auto"/>
                <w:kern w:val="0"/>
                <w:sz w:val="24"/>
                <w:szCs w:val="24"/>
                <w:highlight w:val="none"/>
              </w:rPr>
              <w:t>模块名称</w:t>
            </w:r>
          </w:p>
        </w:tc>
        <w:tc>
          <w:tcPr>
            <w:tcW w:w="3060" w:type="pct"/>
            <w:tcBorders>
              <w:top w:val="single" w:color="auto" w:sz="4" w:space="0"/>
              <w:left w:val="nil"/>
              <w:bottom w:val="single" w:color="auto" w:sz="4" w:space="0"/>
              <w:right w:val="single" w:color="auto" w:sz="4" w:space="0"/>
            </w:tcBorders>
            <w:shd w:val="clear" w:color="000000" w:fill="F3F8FC"/>
            <w:vAlign w:val="center"/>
          </w:tcPr>
          <w:p w14:paraId="71952D82">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cs="宋体"/>
                <w:b/>
                <w:color w:val="auto"/>
                <w:kern w:val="0"/>
                <w:sz w:val="24"/>
                <w:szCs w:val="24"/>
                <w:highlight w:val="none"/>
              </w:rPr>
            </w:pPr>
            <w:r>
              <w:rPr>
                <w:rFonts w:hint="eastAsia" w:cs="宋体"/>
                <w:b/>
                <w:color w:val="auto"/>
                <w:kern w:val="0"/>
                <w:sz w:val="24"/>
                <w:szCs w:val="24"/>
                <w:highlight w:val="none"/>
              </w:rPr>
              <w:t>模块描述</w:t>
            </w:r>
          </w:p>
        </w:tc>
      </w:tr>
      <w:tr w14:paraId="3533FE4F">
        <w:tblPrEx>
          <w:tblCellMar>
            <w:top w:w="0" w:type="dxa"/>
            <w:left w:w="108" w:type="dxa"/>
            <w:bottom w:w="0" w:type="dxa"/>
            <w:right w:w="108" w:type="dxa"/>
          </w:tblCellMar>
        </w:tblPrEx>
        <w:trPr>
          <w:trHeight w:val="580" w:hRule="atLeast"/>
          <w:jc w:val="center"/>
        </w:trPr>
        <w:tc>
          <w:tcPr>
            <w:tcW w:w="395" w:type="pct"/>
            <w:tcBorders>
              <w:top w:val="single" w:color="auto" w:sz="4" w:space="0"/>
              <w:left w:val="single" w:color="auto" w:sz="4" w:space="0"/>
              <w:bottom w:val="single" w:color="auto" w:sz="4" w:space="0"/>
              <w:right w:val="single" w:color="auto" w:sz="4" w:space="0"/>
            </w:tcBorders>
            <w:shd w:val="clear" w:color="auto" w:fill="FFFFFF"/>
            <w:vAlign w:val="top"/>
          </w:tcPr>
          <w:p w14:paraId="28B991FD">
            <w:pPr>
              <w:widowControl/>
              <w:spacing w:line="240" w:lineRule="auto"/>
              <w:ind w:firstLine="0" w:firstLineChars="0"/>
              <w:jc w:val="center"/>
              <w:rPr>
                <w:rFonts w:ascii="Tahoma" w:hAnsi="Tahoma" w:cs="Tahoma"/>
                <w:color w:val="auto"/>
                <w:kern w:val="0"/>
                <w:sz w:val="21"/>
                <w:szCs w:val="21"/>
                <w:highlight w:val="none"/>
              </w:rPr>
            </w:pPr>
            <w:r>
              <w:rPr>
                <w:rFonts w:ascii="Tahoma" w:hAnsi="Tahoma" w:cs="Tahoma"/>
                <w:color w:val="auto"/>
                <w:kern w:val="0"/>
                <w:sz w:val="21"/>
                <w:szCs w:val="21"/>
                <w:highlight w:val="none"/>
              </w:rPr>
              <w:t>1</w:t>
            </w:r>
          </w:p>
        </w:tc>
        <w:tc>
          <w:tcPr>
            <w:tcW w:w="682" w:type="pct"/>
            <w:tcBorders>
              <w:top w:val="single" w:color="auto" w:sz="4" w:space="0"/>
              <w:left w:val="nil"/>
              <w:bottom w:val="single" w:color="auto" w:sz="4" w:space="0"/>
              <w:right w:val="single" w:color="auto" w:sz="4" w:space="0"/>
            </w:tcBorders>
            <w:shd w:val="clear" w:color="auto" w:fill="FFFFFF"/>
            <w:vAlign w:val="top"/>
          </w:tcPr>
          <w:p w14:paraId="72224E35">
            <w:pPr>
              <w:widowControl/>
              <w:spacing w:line="240" w:lineRule="auto"/>
              <w:ind w:firstLine="0" w:firstLineChars="0"/>
              <w:jc w:val="center"/>
              <w:rPr>
                <w:rFonts w:ascii="Tahoma" w:hAnsi="Tahoma" w:cs="Tahoma"/>
                <w:color w:val="auto"/>
                <w:kern w:val="0"/>
                <w:sz w:val="21"/>
                <w:szCs w:val="21"/>
                <w:highlight w:val="none"/>
              </w:rPr>
            </w:pPr>
            <w:r>
              <w:rPr>
                <w:rFonts w:hint="eastAsia" w:cs="宋体"/>
                <w:color w:val="auto"/>
                <w:sz w:val="21"/>
                <w:szCs w:val="21"/>
                <w:highlight w:val="none"/>
              </w:rPr>
              <w:t>青少年运动强体多模态数据采集与标注服务</w:t>
            </w:r>
          </w:p>
        </w:tc>
        <w:tc>
          <w:tcPr>
            <w:tcW w:w="861" w:type="pct"/>
            <w:tcBorders>
              <w:top w:val="single" w:color="auto" w:sz="4" w:space="0"/>
              <w:left w:val="nil"/>
              <w:bottom w:val="single" w:color="auto" w:sz="4" w:space="0"/>
              <w:right w:val="single" w:color="auto" w:sz="4" w:space="0"/>
            </w:tcBorders>
            <w:shd w:val="clear" w:color="auto" w:fill="FFFFFF"/>
            <w:vAlign w:val="top"/>
          </w:tcPr>
          <w:p w14:paraId="291F3A0C">
            <w:pPr>
              <w:widowControl/>
              <w:spacing w:line="240" w:lineRule="auto"/>
              <w:ind w:firstLine="0" w:firstLineChars="0"/>
              <w:jc w:val="center"/>
              <w:rPr>
                <w:rFonts w:ascii="Tahoma" w:hAnsi="Tahoma" w:cs="Tahoma"/>
                <w:color w:val="auto"/>
                <w:kern w:val="0"/>
                <w:sz w:val="21"/>
                <w:szCs w:val="21"/>
                <w:highlight w:val="none"/>
              </w:rPr>
            </w:pPr>
            <w:r>
              <w:rPr>
                <w:rFonts w:hint="eastAsia" w:cs="宋体"/>
                <w:color w:val="auto"/>
                <w:sz w:val="21"/>
                <w:szCs w:val="21"/>
                <w:highlight w:val="none"/>
              </w:rPr>
              <w:t>(1)多源运动健康数据整合及运动健康队列数据管理服务</w:t>
            </w:r>
          </w:p>
        </w:tc>
        <w:tc>
          <w:tcPr>
            <w:tcW w:w="3060" w:type="pct"/>
            <w:tcBorders>
              <w:top w:val="single" w:color="auto" w:sz="4" w:space="0"/>
              <w:left w:val="nil"/>
              <w:bottom w:val="single" w:color="auto" w:sz="4" w:space="0"/>
              <w:right w:val="single" w:color="auto" w:sz="4" w:space="0"/>
            </w:tcBorders>
            <w:shd w:val="clear" w:color="auto" w:fill="FFFFFF"/>
            <w:vAlign w:val="center"/>
          </w:tcPr>
          <w:p w14:paraId="11DBB184">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firstLine="425" w:firstLineChars="0"/>
              <w:textAlignment w:val="auto"/>
              <w:outlineLvl w:val="5"/>
              <w:rPr>
                <w:rFonts w:hint="eastAsia" w:ascii="宋体" w:hAnsi="宋体" w:cs="宋体"/>
                <w:color w:val="auto"/>
                <w:sz w:val="21"/>
                <w:szCs w:val="21"/>
                <w:highlight w:val="none"/>
              </w:rPr>
            </w:pPr>
            <w:r>
              <w:rPr>
                <w:rFonts w:hint="eastAsia" w:ascii="宋体" w:hAnsi="宋体" w:cs="宋体"/>
                <w:color w:val="auto"/>
                <w:sz w:val="21"/>
                <w:szCs w:val="21"/>
                <w:highlight w:val="none"/>
              </w:rPr>
              <w:t>多源数据整合</w:t>
            </w:r>
          </w:p>
          <w:p w14:paraId="6176F6B8">
            <w:pPr>
              <w:keepNext w:val="0"/>
              <w:keepLines w:val="0"/>
              <w:pageBreakBefore w:val="0"/>
              <w:widowControl/>
              <w:numPr>
                <w:ilvl w:val="255"/>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整合来自试点学校的多维运动健康原始数据，整合学籍信息、体质健康、体育素养、日常锻炼和竞赛表现等多维数据，形成规模化、动态化的基础数据资源。响应供应商须针对上述每一类数据制定详细的数据字典文档，明确每个字段的定义、数据类型、取值范围、编码规则、更新频率和数据质量校验规则。数据字典须经采购人审核批准后方可作为后续数据处理工作的依据。</w:t>
            </w:r>
          </w:p>
          <w:p w14:paraId="58953C01">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firstLine="425" w:firstLineChars="0"/>
              <w:textAlignment w:val="auto"/>
              <w:outlineLvl w:val="5"/>
              <w:rPr>
                <w:rFonts w:hint="eastAsia" w:ascii="宋体" w:hAnsi="宋体" w:cs="宋体"/>
                <w:color w:val="auto"/>
                <w:sz w:val="21"/>
                <w:szCs w:val="21"/>
                <w:highlight w:val="none"/>
              </w:rPr>
            </w:pPr>
            <w:r>
              <w:rPr>
                <w:rFonts w:hint="eastAsia" w:ascii="宋体" w:hAnsi="宋体" w:cs="宋体"/>
                <w:color w:val="auto"/>
                <w:sz w:val="21"/>
                <w:szCs w:val="21"/>
                <w:highlight w:val="none"/>
              </w:rPr>
              <w:t>运动健康队列数据库服务</w:t>
            </w:r>
          </w:p>
          <w:p w14:paraId="64192C2C">
            <w:pPr>
              <w:keepNext w:val="0"/>
              <w:keepLines w:val="0"/>
              <w:pageBreakBefore w:val="0"/>
              <w:widowControl/>
              <w:numPr>
                <w:ilvl w:val="255"/>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设计并搭建结构化的运动健康队列数据库，数据库架构必须满足以下要求：</w:t>
            </w:r>
          </w:p>
          <w:p w14:paraId="524EC012">
            <w:pPr>
              <w:keepNext w:val="0"/>
              <w:keepLines w:val="0"/>
              <w:pageBreakBefore w:val="0"/>
              <w:widowControl/>
              <w:numPr>
                <w:ilvl w:val="0"/>
                <w:numId w:val="3"/>
              </w:numPr>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采用“学生个体—时间维度—数据类型”三层嵌套式数据组织架构，支持以学生为最小粒度的纵向追踪查询，能够完整还原每一名学生在不同时间节点的运动健康状态变化轨迹；</w:t>
            </w:r>
          </w:p>
          <w:p w14:paraId="587109F8">
            <w:pPr>
              <w:keepNext w:val="0"/>
              <w:keepLines w:val="0"/>
              <w:pageBreakBefore w:val="0"/>
              <w:widowControl/>
              <w:numPr>
                <w:ilvl w:val="0"/>
                <w:numId w:val="3"/>
              </w:numPr>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支持按学段、性别、体质健康等级、特殊体质类型等多维组合条件的灵活检索与聚合统计分析；</w:t>
            </w:r>
          </w:p>
          <w:p w14:paraId="4603DD4D">
            <w:pPr>
              <w:keepNext w:val="0"/>
              <w:keepLines w:val="0"/>
              <w:pageBreakBefore w:val="0"/>
              <w:widowControl/>
              <w:numPr>
                <w:ilvl w:val="0"/>
                <w:numId w:val="3"/>
              </w:numPr>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预留不少于5类的数据扩展字段位，用于未来新增运动损伤记录、营养摄入数据、心理量表评估数据、睡眠质量数据、环境因素数据等扩展维度，扩展时无须重构已有数据结构；</w:t>
            </w:r>
          </w:p>
          <w:p w14:paraId="001B7939">
            <w:pPr>
              <w:keepNext w:val="0"/>
              <w:keepLines w:val="0"/>
              <w:pageBreakBefore w:val="0"/>
              <w:widowControl/>
              <w:numPr>
                <w:ilvl w:val="0"/>
                <w:numId w:val="3"/>
              </w:numPr>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单张数据表的设计容量应支持不少于100万条记录的存储与高效检索，任意组合条件下的查询响应时间不超过2秒。</w:t>
            </w:r>
          </w:p>
          <w:p w14:paraId="2CE4482A">
            <w:pPr>
              <w:keepNext w:val="0"/>
              <w:keepLines w:val="0"/>
              <w:pageBreakBefore w:val="0"/>
              <w:widowControl/>
              <w:numPr>
                <w:ilvl w:val="0"/>
                <w:numId w:val="3"/>
              </w:numPr>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数据库须部署于采购人指定的服务器环境中，并提供完整的数据库设计方案文档。</w:t>
            </w:r>
          </w:p>
          <w:p w14:paraId="7BDEB0F6">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firstLine="425" w:firstLineChars="0"/>
              <w:textAlignment w:val="auto"/>
              <w:outlineLvl w:val="5"/>
              <w:rPr>
                <w:rFonts w:hint="eastAsia" w:ascii="宋体" w:hAnsi="宋体" w:cs="宋体"/>
                <w:color w:val="auto"/>
                <w:sz w:val="21"/>
                <w:szCs w:val="21"/>
                <w:highlight w:val="none"/>
              </w:rPr>
            </w:pPr>
            <w:r>
              <w:rPr>
                <w:rFonts w:hint="eastAsia" w:ascii="宋体" w:hAnsi="宋体" w:cs="宋体"/>
                <w:color w:val="auto"/>
                <w:sz w:val="21"/>
                <w:szCs w:val="21"/>
                <w:highlight w:val="none"/>
              </w:rPr>
              <w:t>数据清洗与规范化处理</w:t>
            </w:r>
          </w:p>
          <w:p w14:paraId="305C6F4E">
            <w:pPr>
              <w:keepNext w:val="0"/>
              <w:keepLines w:val="0"/>
              <w:pageBreakBefore w:val="0"/>
              <w:widowControl/>
              <w:numPr>
                <w:ilvl w:val="255"/>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响应供应商须对整合进入队列数据库的全部原始数据进行系统性的清洗与规范化处理，处理流程须包括以下环节：</w:t>
            </w:r>
          </w:p>
          <w:p w14:paraId="50295672">
            <w:pPr>
              <w:keepNext w:val="0"/>
              <w:keepLines w:val="0"/>
              <w:pageBreakBefore w:val="0"/>
              <w:widowControl/>
              <w:numPr>
                <w:ilvl w:val="0"/>
                <w:numId w:val="4"/>
              </w:numPr>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空值检测与填充：识别缺失字段，依据业务规则采用均值插补、前后值插补或标记保留等方式处理；</w:t>
            </w:r>
          </w:p>
          <w:p w14:paraId="224BD58C">
            <w:pPr>
              <w:keepNext w:val="0"/>
              <w:keepLines w:val="0"/>
              <w:pageBreakBefore w:val="0"/>
              <w:widowControl/>
              <w:numPr>
                <w:ilvl w:val="0"/>
                <w:numId w:val="4"/>
              </w:numPr>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重复数据检测与去重：基于学籍号+时间戳+数据类型的三元组主键进行重复记录判定，去重率须达到100%；</w:t>
            </w:r>
          </w:p>
          <w:p w14:paraId="66AD85D6">
            <w:pPr>
              <w:keepNext w:val="0"/>
              <w:keepLines w:val="0"/>
              <w:pageBreakBefore w:val="0"/>
              <w:widowControl/>
              <w:numPr>
                <w:ilvl w:val="0"/>
                <w:numId w:val="4"/>
              </w:numPr>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异常值检测与纠正：针对数值型字段设定合理的上下界阈值，超出阈值范围的记录须标记为疑似异常并触发人工复核流程；</w:t>
            </w:r>
          </w:p>
          <w:p w14:paraId="4FABE033">
            <w:pPr>
              <w:keepNext w:val="0"/>
              <w:keepLines w:val="0"/>
              <w:pageBreakBefore w:val="0"/>
              <w:widowControl/>
              <w:numPr>
                <w:ilvl w:val="0"/>
                <w:numId w:val="4"/>
              </w:numPr>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格式一致性校验：确保日期格式、单位换算、编码映射等全局一致；</w:t>
            </w:r>
          </w:p>
          <w:p w14:paraId="09A3D54A">
            <w:pPr>
              <w:keepNext w:val="0"/>
              <w:keepLines w:val="0"/>
              <w:pageBreakBefore w:val="0"/>
              <w:widowControl/>
              <w:numPr>
                <w:ilvl w:val="0"/>
                <w:numId w:val="4"/>
              </w:numPr>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数据准确率须达到98%以上，响应供应商须提交数据清洗前后对比报告供采购人复核；</w:t>
            </w:r>
          </w:p>
          <w:p w14:paraId="707C4288">
            <w:pPr>
              <w:keepNext w:val="0"/>
              <w:keepLines w:val="0"/>
              <w:pageBreakBefore w:val="0"/>
              <w:widowControl/>
              <w:numPr>
                <w:ilvl w:val="0"/>
                <w:numId w:val="4"/>
              </w:numPr>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建立完整的可追溯数据处理日志机制，记录每一条数据的来源、清洗操作步骤、处理人员、处理时间戳等信息，确保数据处理全过程可审计、可回溯。</w:t>
            </w:r>
          </w:p>
          <w:p w14:paraId="7CF4167C">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ascii="Tahoma" w:hAnsi="Tahoma" w:cs="Tahoma"/>
                <w:color w:val="auto"/>
                <w:kern w:val="0"/>
                <w:sz w:val="21"/>
                <w:szCs w:val="21"/>
                <w:highlight w:val="none"/>
              </w:rPr>
            </w:pPr>
          </w:p>
        </w:tc>
      </w:tr>
      <w:tr w14:paraId="1305AFFE">
        <w:tblPrEx>
          <w:tblCellMar>
            <w:top w:w="0" w:type="dxa"/>
            <w:left w:w="108" w:type="dxa"/>
            <w:bottom w:w="0" w:type="dxa"/>
            <w:right w:w="108" w:type="dxa"/>
          </w:tblCellMar>
        </w:tblPrEx>
        <w:trPr>
          <w:trHeight w:val="1140" w:hRule="atLeast"/>
          <w:jc w:val="center"/>
        </w:trPr>
        <w:tc>
          <w:tcPr>
            <w:tcW w:w="395" w:type="pct"/>
            <w:tcBorders>
              <w:top w:val="single" w:color="auto" w:sz="4" w:space="0"/>
              <w:left w:val="single" w:color="auto" w:sz="4" w:space="0"/>
              <w:bottom w:val="single" w:color="auto" w:sz="4" w:space="0"/>
              <w:right w:val="single" w:color="auto" w:sz="4" w:space="0"/>
            </w:tcBorders>
            <w:shd w:val="clear" w:color="auto" w:fill="FFFFFF"/>
            <w:vAlign w:val="top"/>
          </w:tcPr>
          <w:p w14:paraId="10638E01">
            <w:pPr>
              <w:widowControl/>
              <w:spacing w:line="240" w:lineRule="auto"/>
              <w:ind w:firstLine="0" w:firstLineChars="0"/>
              <w:jc w:val="center"/>
              <w:rPr>
                <w:rFonts w:ascii="Tahoma" w:hAnsi="Tahoma" w:cs="Tahoma"/>
                <w:color w:val="auto"/>
                <w:kern w:val="0"/>
                <w:sz w:val="21"/>
                <w:szCs w:val="21"/>
                <w:highlight w:val="none"/>
              </w:rPr>
            </w:pPr>
          </w:p>
        </w:tc>
        <w:tc>
          <w:tcPr>
            <w:tcW w:w="682" w:type="pct"/>
            <w:tcBorders>
              <w:top w:val="single" w:color="auto" w:sz="4" w:space="0"/>
              <w:left w:val="nil"/>
              <w:bottom w:val="single" w:color="auto" w:sz="4" w:space="0"/>
              <w:right w:val="single" w:color="auto" w:sz="4" w:space="0"/>
            </w:tcBorders>
            <w:shd w:val="clear" w:color="auto" w:fill="FFFFFF"/>
            <w:vAlign w:val="top"/>
          </w:tcPr>
          <w:p w14:paraId="1B074448">
            <w:pPr>
              <w:widowControl/>
              <w:spacing w:line="240" w:lineRule="auto"/>
              <w:ind w:firstLine="0" w:firstLineChars="0"/>
              <w:jc w:val="center"/>
              <w:rPr>
                <w:rFonts w:hint="eastAsia" w:cs="宋体"/>
                <w:color w:val="auto"/>
                <w:sz w:val="21"/>
                <w:szCs w:val="21"/>
                <w:highlight w:val="none"/>
              </w:rPr>
            </w:pPr>
          </w:p>
        </w:tc>
        <w:tc>
          <w:tcPr>
            <w:tcW w:w="861" w:type="pct"/>
            <w:tcBorders>
              <w:top w:val="single" w:color="auto" w:sz="4" w:space="0"/>
              <w:left w:val="nil"/>
              <w:bottom w:val="single" w:color="auto" w:sz="4" w:space="0"/>
              <w:right w:val="single" w:color="auto" w:sz="4" w:space="0"/>
            </w:tcBorders>
            <w:shd w:val="clear" w:color="auto" w:fill="FFFFFF"/>
            <w:vAlign w:val="top"/>
          </w:tcPr>
          <w:p w14:paraId="70406AFF">
            <w:pPr>
              <w:widowControl/>
              <w:spacing w:line="240" w:lineRule="auto"/>
              <w:ind w:firstLine="0" w:firstLineChars="0"/>
              <w:jc w:val="center"/>
              <w:rPr>
                <w:rFonts w:hint="eastAsia" w:cs="宋体"/>
                <w:color w:val="auto"/>
                <w:sz w:val="21"/>
                <w:szCs w:val="21"/>
                <w:highlight w:val="none"/>
              </w:rPr>
            </w:pPr>
            <w:r>
              <w:rPr>
                <w:rFonts w:hint="eastAsia" w:cs="宋体"/>
                <w:color w:val="auto"/>
                <w:sz w:val="21"/>
                <w:szCs w:val="21"/>
                <w:highlight w:val="none"/>
              </w:rPr>
              <w:t>(</w:t>
            </w:r>
            <w:r>
              <w:rPr>
                <w:rFonts w:hint="eastAsia" w:cs="宋体"/>
                <w:color w:val="auto"/>
                <w:sz w:val="21"/>
                <w:szCs w:val="21"/>
                <w:highlight w:val="none"/>
                <w:lang w:val="en-US" w:eastAsia="zh-CN"/>
              </w:rPr>
              <w:t>2</w:t>
            </w:r>
            <w:r>
              <w:rPr>
                <w:rFonts w:hint="eastAsia" w:cs="宋体"/>
                <w:color w:val="auto"/>
                <w:sz w:val="21"/>
                <w:szCs w:val="21"/>
                <w:highlight w:val="none"/>
              </w:rPr>
              <w:t>)多源数据接入与现场多模态数据采集服务</w:t>
            </w:r>
          </w:p>
        </w:tc>
        <w:tc>
          <w:tcPr>
            <w:tcW w:w="3060" w:type="pct"/>
            <w:tcBorders>
              <w:top w:val="single" w:color="auto" w:sz="4" w:space="0"/>
              <w:left w:val="nil"/>
              <w:bottom w:val="single" w:color="auto" w:sz="4" w:space="0"/>
              <w:right w:val="single" w:color="auto" w:sz="4" w:space="0"/>
            </w:tcBorders>
            <w:shd w:val="clear" w:color="auto" w:fill="FFFFFF"/>
            <w:vAlign w:val="center"/>
          </w:tcPr>
          <w:p w14:paraId="54D192E5">
            <w:pPr>
              <w:numPr>
                <w:ilvl w:val="0"/>
                <w:numId w:val="5"/>
              </w:numPr>
              <w:spacing w:line="360" w:lineRule="auto"/>
              <w:ind w:left="905" w:leftChars="200" w:hanging="425" w:firstLineChars="0"/>
              <w:outlineLvl w:val="5"/>
              <w:rPr>
                <w:rFonts w:hint="eastAsia" w:ascii="宋体" w:hAnsi="宋体" w:cs="宋体"/>
                <w:color w:val="auto"/>
                <w:sz w:val="21"/>
                <w:szCs w:val="21"/>
                <w:highlight w:val="none"/>
              </w:rPr>
            </w:pPr>
            <w:r>
              <w:rPr>
                <w:rFonts w:hint="eastAsia" w:ascii="宋体" w:hAnsi="宋体" w:cs="宋体"/>
                <w:color w:val="auto"/>
                <w:sz w:val="21"/>
                <w:szCs w:val="21"/>
                <w:highlight w:val="none"/>
              </w:rPr>
              <w:t>设备调研与适配方案制定</w:t>
            </w:r>
          </w:p>
          <w:p w14:paraId="5D080DFD">
            <w:pPr>
              <w:numPr>
                <w:ilvl w:val="255"/>
                <w:numId w:val="0"/>
              </w:num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前期调研试点学校现有可穿戴设备、智能体育设备的品牌、型号、数据输出格式、接口类型，针对不同设备类型制定差异化数据对接方案。</w:t>
            </w:r>
          </w:p>
          <w:p w14:paraId="645E44DE">
            <w:pPr>
              <w:numPr>
                <w:ilvl w:val="0"/>
                <w:numId w:val="5"/>
              </w:numPr>
              <w:spacing w:line="360" w:lineRule="auto"/>
              <w:ind w:left="905" w:leftChars="200" w:hanging="425" w:firstLineChars="0"/>
              <w:outlineLvl w:val="5"/>
              <w:rPr>
                <w:rFonts w:hint="eastAsia" w:ascii="宋体" w:hAnsi="宋体" w:cs="宋体"/>
                <w:color w:val="auto"/>
                <w:sz w:val="21"/>
                <w:szCs w:val="21"/>
                <w:highlight w:val="none"/>
              </w:rPr>
            </w:pPr>
            <w:r>
              <w:rPr>
                <w:rFonts w:hint="eastAsia" w:ascii="宋体" w:hAnsi="宋体" w:cs="宋体"/>
                <w:color w:val="auto"/>
                <w:sz w:val="21"/>
                <w:szCs w:val="21"/>
                <w:highlight w:val="none"/>
              </w:rPr>
              <w:t>数据对接服务</w:t>
            </w:r>
          </w:p>
          <w:p w14:paraId="61E5617E">
            <w:pPr>
              <w:numPr>
                <w:ilvl w:val="255"/>
                <w:numId w:val="0"/>
              </w:num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完成本项目所需的全部多源数据接入与对接工作，将各试点学校现有的异构数据系统统一接入本项目的数据汇聚平台。接入范围包括但不限于：</w:t>
            </w:r>
          </w:p>
          <w:p w14:paraId="4090BBC4">
            <w:pPr>
              <w:numPr>
                <w:ilvl w:val="0"/>
                <w:numId w:val="6"/>
              </w:num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可穿戴设备数据接入：对接试点学校已配备的各类智能手环、智能手表等可穿戴设备，适配其蓝牙/Wi-Fi通信协议与数据输出格式，实现心率、步数、卡路里、运动时长等数据的实时拉取或推送接收；</w:t>
            </w:r>
          </w:p>
          <w:p w14:paraId="4C882300">
            <w:pPr>
              <w:numPr>
                <w:ilvl w:val="0"/>
                <w:numId w:val="6"/>
              </w:num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智能体育设备数据接入：对接智能跳绳计数器、AI体测摄像头、智能跑道传感器、电子计时器、力量测试台等校园智能体育设备，通过其开放API或数据导出功能实现数据批量采集；</w:t>
            </w:r>
          </w:p>
          <w:p w14:paraId="5F6603C5">
            <w:pPr>
              <w:numPr>
                <w:ilvl w:val="0"/>
                <w:numId w:val="6"/>
              </w:numPr>
              <w:spacing w:line="360" w:lineRule="auto"/>
              <w:ind w:firstLine="420" w:firstLineChars="200"/>
              <w:rPr>
                <w:rFonts w:ascii="Tahoma" w:hAnsi="Tahoma" w:cs="Tahoma"/>
                <w:color w:val="auto"/>
                <w:kern w:val="0"/>
                <w:sz w:val="21"/>
                <w:szCs w:val="21"/>
                <w:highlight w:val="none"/>
              </w:rPr>
            </w:pPr>
            <w:r>
              <w:rPr>
                <w:rFonts w:hint="eastAsia" w:ascii="宋体" w:hAnsi="宋体" w:cs="宋体"/>
                <w:color w:val="auto"/>
                <w:sz w:val="21"/>
                <w:szCs w:val="21"/>
                <w:highlight w:val="none"/>
              </w:rPr>
              <w:t>校园体育平台数据接入：对接学校已有的体育教学管理平台、体质健康测试系统等业务系统，通过标准接口拉取学生体育课成绩、体质测试成绩、课外活动打卡记录等结构化数据。</w:t>
            </w:r>
          </w:p>
          <w:p w14:paraId="474CF720">
            <w:pPr>
              <w:numPr>
                <w:ilvl w:val="0"/>
                <w:numId w:val="5"/>
              </w:numPr>
              <w:spacing w:line="360" w:lineRule="auto"/>
              <w:ind w:left="905" w:leftChars="200" w:hanging="425" w:firstLineChars="0"/>
              <w:outlineLvl w:val="5"/>
              <w:rPr>
                <w:rFonts w:hint="eastAsia" w:ascii="宋体" w:hAnsi="宋体" w:cs="宋体"/>
                <w:color w:val="auto"/>
                <w:sz w:val="21"/>
                <w:szCs w:val="21"/>
                <w:highlight w:val="none"/>
              </w:rPr>
            </w:pPr>
            <w:r>
              <w:rPr>
                <w:rFonts w:hint="eastAsia" w:ascii="宋体" w:hAnsi="宋体" w:cs="宋体"/>
                <w:color w:val="auto"/>
                <w:sz w:val="21"/>
                <w:szCs w:val="21"/>
                <w:highlight w:val="none"/>
              </w:rPr>
              <w:t>现场多模态数据采集</w:t>
            </w:r>
          </w:p>
          <w:p w14:paraId="70B28E3A">
            <w:pPr>
              <w:numPr>
                <w:ilvl w:val="255"/>
                <w:numId w:val="0"/>
              </w:num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提供现场多模态数据采集的实施服务，针对羽毛球、足球等重点运动项目的关键技术动作进行视频数据采集。现场采集的内容与技术要求如下：</w:t>
            </w:r>
          </w:p>
          <w:p w14:paraId="36026391">
            <w:pPr>
              <w:numPr>
                <w:ilvl w:val="0"/>
                <w:numId w:val="7"/>
              </w:num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羽毛球视频数据采集。训练视频采集：用固定机位相机采集学生在羽毛球学习与练习过程中的发球、后场球、挑球、放网等基础动作视频，根据教学内容的固定动作和线路教学或练习。对抗视频采集：用固定机位相机采集学生在羽毛球场上的全场单打对抗过程视频。采集场地：室内羽毛球场馆1块场地，相机位于场地正后方中央，正对场地俯视拍摄。背景须避免视频中其他人员干扰，宜采用非白纯色（蓝色、黑色最佳）背景。</w:t>
            </w:r>
          </w:p>
          <w:p w14:paraId="19C11C13">
            <w:pPr>
              <w:numPr>
                <w:ilvl w:val="0"/>
                <w:numId w:val="7"/>
              </w:num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足球定位球视频与三维轨迹数据采集。训练视频采集：用三台固定机位相机采集学生在足球定位球学习与练习过程中的助跑、支撑、摆腿、击球、随前等基础动作视频，根据教学内容开展固定罚球点、固定目标区域和固定线路的直接任意球射门教学或练习。三维轨迹数据采集：在射门侧面布设激光雷达，采集足球射门后的三维空间轨迹信息，用于分析球速、出球角度、飞行高度、轨迹曲率和落点位置等射门效果数据。采集场地：足球场地1块，侧面相机位于射门侧方，斜后方相机位于运动员斜后方，后方广角相机位于射门后方较远位置，激光雷达位于射门侧面。场地线须清晰，球门完整，光照充足。</w:t>
            </w:r>
          </w:p>
          <w:p w14:paraId="205F8E86">
            <w:pPr>
              <w:numPr>
                <w:ilvl w:val="0"/>
                <w:numId w:val="5"/>
              </w:numPr>
              <w:spacing w:line="360" w:lineRule="auto"/>
              <w:ind w:left="905" w:leftChars="200" w:hanging="425" w:firstLineChars="0"/>
              <w:outlineLvl w:val="5"/>
              <w:rPr>
                <w:rFonts w:hint="eastAsia" w:ascii="宋体" w:hAnsi="宋体" w:cs="宋体"/>
                <w:color w:val="auto"/>
                <w:sz w:val="21"/>
                <w:szCs w:val="21"/>
                <w:highlight w:val="none"/>
              </w:rPr>
            </w:pPr>
            <w:r>
              <w:rPr>
                <w:rFonts w:hint="eastAsia" w:ascii="宋体" w:hAnsi="宋体" w:cs="宋体"/>
                <w:color w:val="auto"/>
                <w:sz w:val="21"/>
                <w:szCs w:val="21"/>
                <w:highlight w:val="none"/>
              </w:rPr>
              <w:t>数据采集规范与标准制定</w:t>
            </w:r>
          </w:p>
          <w:p w14:paraId="1033A051">
            <w:pPr>
              <w:numPr>
                <w:ilvl w:val="255"/>
                <w:numId w:val="0"/>
              </w:numPr>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在项目启动后制定完成《多模态数据采集规范与标准》文件，确保各试点学校、各批次采集的数据具有可比性和可汇聚性。规范文件须至少包含以下内容：</w:t>
            </w:r>
          </w:p>
          <w:p w14:paraId="6B73BFF4">
            <w:pPr>
              <w:numPr>
                <w:ilvl w:val="0"/>
                <w:numId w:val="8"/>
              </w:num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采集协议规范：明确各类设备的数据采集协议、采样频率、数据包格式、传输方式等统一标准；</w:t>
            </w:r>
          </w:p>
          <w:p w14:paraId="325EAC35">
            <w:pPr>
              <w:numPr>
                <w:ilvl w:val="0"/>
                <w:numId w:val="8"/>
              </w:num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字段标准定义：为每一类采集数据定义标准化的字段名称、数据类型、取值范围、单位、精度要求，确保跨设备、跨学校的数据字段语义一致；</w:t>
            </w:r>
          </w:p>
          <w:p w14:paraId="5694C037">
            <w:pPr>
              <w:numPr>
                <w:ilvl w:val="0"/>
                <w:numId w:val="8"/>
              </w:num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数据质量要求：定义各类数据的完整性、准确性、时效性、一致性质量指标及验收阈值；</w:t>
            </w:r>
          </w:p>
          <w:p w14:paraId="3075709C">
            <w:pPr>
              <w:numPr>
                <w:ilvl w:val="0"/>
                <w:numId w:val="8"/>
              </w:num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羽毛球专项采集规范：明确羽毛球各技术动作的采集场景设置、受测者着装要求、热身流程、动作执行标准、采集人员操作SOP等；</w:t>
            </w:r>
          </w:p>
          <w:p w14:paraId="48AE2CAE">
            <w:pPr>
              <w:numPr>
                <w:ilvl w:val="0"/>
                <w:numId w:val="8"/>
              </w:num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足球专项采集规范：明确足球定位球各技术动作的采集场景设置、受测者装备要求、动作执行标准、采集人员操作SOP等；</w:t>
            </w:r>
          </w:p>
          <w:p w14:paraId="2B26233C">
            <w:pPr>
              <w:numPr>
                <w:ilvl w:val="0"/>
                <w:numId w:val="8"/>
              </w:num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命名规范与目录结构：统一原始数据文件的命名规则和存储目录结构，便于后续检索与处理。</w:t>
            </w:r>
          </w:p>
          <w:p w14:paraId="34540AA8">
            <w:pPr>
              <w:numPr>
                <w:ilvl w:val="0"/>
                <w:numId w:val="5"/>
              </w:numPr>
              <w:spacing w:line="360" w:lineRule="auto"/>
              <w:ind w:left="905" w:leftChars="200" w:hanging="425" w:firstLineChars="0"/>
              <w:outlineLvl w:val="5"/>
              <w:rPr>
                <w:rFonts w:hint="eastAsia" w:ascii="宋体" w:hAnsi="宋体" w:cs="宋体"/>
                <w:color w:val="auto"/>
                <w:sz w:val="21"/>
                <w:szCs w:val="21"/>
                <w:highlight w:val="none"/>
              </w:rPr>
            </w:pPr>
            <w:r>
              <w:rPr>
                <w:rFonts w:hint="eastAsia" w:ascii="宋体" w:hAnsi="宋体" w:cs="宋体"/>
                <w:color w:val="auto"/>
                <w:sz w:val="21"/>
                <w:szCs w:val="21"/>
                <w:highlight w:val="none"/>
              </w:rPr>
              <w:t>数据安全传输与汇聚</w:t>
            </w:r>
          </w:p>
          <w:p w14:paraId="1D1F0EBD">
            <w:pPr>
              <w:numPr>
                <w:ilvl w:val="255"/>
                <w:numId w:val="0"/>
              </w:numPr>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建立从采集端到数据汇聚端的端到端安全传输通道，保障学生运动健康数据在传输过程中的机密性、完整性和可用性。</w:t>
            </w:r>
          </w:p>
          <w:p w14:paraId="676B02B7">
            <w:pPr>
              <w:numPr>
                <w:ilvl w:val="0"/>
                <w:numId w:val="9"/>
              </w:numPr>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传输通道加密：采集端至汇聚端的数据传输须全程采用TLS 1.2及以上版本的加密通道，敏感字段须在应用层额外进行二次加密。</w:t>
            </w:r>
          </w:p>
          <w:p w14:paraId="794CA6C5">
            <w:pPr>
              <w:numPr>
                <w:ilvl w:val="0"/>
                <w:numId w:val="9"/>
              </w:numPr>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专线或VPN保障：对于数据量较大的视频类数据传输，响应供应商须根据各试点学校的网络条件评估是否需要租用专线或搭建站点间VPN隧道，确保大文件传输的稳定性和带宽保障。</w:t>
            </w:r>
          </w:p>
          <w:p w14:paraId="408BDE56">
            <w:pPr>
              <w:numPr>
                <w:ilvl w:val="0"/>
                <w:numId w:val="9"/>
              </w:num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传输完整性校验：每批数据传输完成后须自动执行完整性校验，比对发送端与接收端的哈希值，不一致时自动触发重传。</w:t>
            </w:r>
          </w:p>
          <w:p w14:paraId="021FD72C">
            <w:pPr>
              <w:numPr>
                <w:ilvl w:val="0"/>
                <w:numId w:val="5"/>
              </w:numPr>
              <w:spacing w:line="360" w:lineRule="auto"/>
              <w:ind w:left="905" w:leftChars="200" w:hanging="425" w:firstLineChars="0"/>
              <w:outlineLvl w:val="5"/>
              <w:rPr>
                <w:rFonts w:hint="eastAsia" w:ascii="宋体" w:hAnsi="宋体" w:cs="宋体"/>
                <w:color w:val="auto"/>
                <w:sz w:val="21"/>
                <w:szCs w:val="21"/>
                <w:highlight w:val="none"/>
              </w:rPr>
            </w:pPr>
            <w:r>
              <w:rPr>
                <w:rFonts w:hint="eastAsia" w:ascii="宋体" w:hAnsi="宋体" w:cs="宋体"/>
                <w:color w:val="auto"/>
                <w:sz w:val="21"/>
                <w:szCs w:val="21"/>
                <w:highlight w:val="none"/>
              </w:rPr>
              <w:t>数据同步与校验：</w:t>
            </w:r>
          </w:p>
          <w:p w14:paraId="5DF39EE1">
            <w:pPr>
              <w:spacing w:line="360" w:lineRule="auto"/>
              <w:ind w:firstLine="420" w:firstLineChars="200"/>
              <w:rPr>
                <w:rFonts w:ascii="Tahoma" w:hAnsi="Tahoma" w:cs="Tahoma"/>
                <w:color w:val="auto"/>
                <w:kern w:val="0"/>
                <w:sz w:val="21"/>
                <w:szCs w:val="21"/>
                <w:highlight w:val="none"/>
              </w:rPr>
            </w:pPr>
            <w:r>
              <w:rPr>
                <w:rFonts w:hint="eastAsia" w:ascii="宋体" w:hAnsi="宋体" w:cs="宋体"/>
                <w:color w:val="auto"/>
                <w:sz w:val="21"/>
                <w:szCs w:val="21"/>
                <w:highlight w:val="none"/>
              </w:rPr>
              <w:t>提供设备数据实时同步机制，确保可穿戴设备数据同步频率≤5分钟/次，智能体育设备数据在设备完成测试后≤10分钟内同步至数据库；同步过程中需进行数据校验，对比设备数据与数据库中历史数据的合理性，异常数据需标记并触发预警，同时记录数据同步日志。</w:t>
            </w:r>
          </w:p>
        </w:tc>
      </w:tr>
      <w:tr w14:paraId="5FBFB808">
        <w:tblPrEx>
          <w:tblCellMar>
            <w:top w:w="0" w:type="dxa"/>
            <w:left w:w="108" w:type="dxa"/>
            <w:bottom w:w="0" w:type="dxa"/>
            <w:right w:w="108" w:type="dxa"/>
          </w:tblCellMar>
        </w:tblPrEx>
        <w:trPr>
          <w:trHeight w:val="1140" w:hRule="atLeast"/>
          <w:jc w:val="center"/>
        </w:trPr>
        <w:tc>
          <w:tcPr>
            <w:tcW w:w="395" w:type="pct"/>
            <w:tcBorders>
              <w:top w:val="single" w:color="auto" w:sz="4" w:space="0"/>
              <w:left w:val="single" w:color="auto" w:sz="4" w:space="0"/>
              <w:bottom w:val="single" w:color="auto" w:sz="4" w:space="0"/>
              <w:right w:val="single" w:color="auto" w:sz="4" w:space="0"/>
            </w:tcBorders>
            <w:shd w:val="clear" w:color="auto" w:fill="FFFFFF"/>
            <w:vAlign w:val="top"/>
          </w:tcPr>
          <w:p w14:paraId="50B68C21">
            <w:pPr>
              <w:widowControl/>
              <w:spacing w:line="240" w:lineRule="auto"/>
              <w:ind w:firstLine="0" w:firstLineChars="0"/>
              <w:jc w:val="center"/>
              <w:rPr>
                <w:rFonts w:ascii="Tahoma" w:hAnsi="Tahoma" w:cs="Tahoma"/>
                <w:color w:val="auto"/>
                <w:kern w:val="0"/>
                <w:sz w:val="21"/>
                <w:szCs w:val="21"/>
                <w:highlight w:val="none"/>
              </w:rPr>
            </w:pPr>
          </w:p>
        </w:tc>
        <w:tc>
          <w:tcPr>
            <w:tcW w:w="682" w:type="pct"/>
            <w:tcBorders>
              <w:top w:val="single" w:color="auto" w:sz="4" w:space="0"/>
              <w:left w:val="nil"/>
              <w:bottom w:val="single" w:color="auto" w:sz="4" w:space="0"/>
              <w:right w:val="single" w:color="auto" w:sz="4" w:space="0"/>
            </w:tcBorders>
            <w:shd w:val="clear" w:color="auto" w:fill="FFFFFF"/>
            <w:vAlign w:val="top"/>
          </w:tcPr>
          <w:p w14:paraId="358D559A">
            <w:pPr>
              <w:widowControl/>
              <w:spacing w:line="240" w:lineRule="auto"/>
              <w:ind w:firstLine="0" w:firstLineChars="0"/>
              <w:jc w:val="center"/>
              <w:rPr>
                <w:rFonts w:hint="eastAsia" w:cs="宋体"/>
                <w:color w:val="auto"/>
                <w:sz w:val="21"/>
                <w:szCs w:val="21"/>
                <w:highlight w:val="none"/>
              </w:rPr>
            </w:pPr>
          </w:p>
        </w:tc>
        <w:tc>
          <w:tcPr>
            <w:tcW w:w="861" w:type="pct"/>
            <w:tcBorders>
              <w:top w:val="single" w:color="auto" w:sz="4" w:space="0"/>
              <w:left w:val="nil"/>
              <w:bottom w:val="single" w:color="auto" w:sz="4" w:space="0"/>
              <w:right w:val="single" w:color="auto" w:sz="4" w:space="0"/>
            </w:tcBorders>
            <w:shd w:val="clear" w:color="auto" w:fill="FFFFFF"/>
            <w:vAlign w:val="top"/>
          </w:tcPr>
          <w:p w14:paraId="1992CD3E">
            <w:pPr>
              <w:widowControl/>
              <w:spacing w:line="240" w:lineRule="auto"/>
              <w:ind w:firstLine="0" w:firstLineChars="0"/>
              <w:jc w:val="center"/>
              <w:rPr>
                <w:rFonts w:hint="eastAsia" w:cs="宋体"/>
                <w:color w:val="auto"/>
                <w:sz w:val="21"/>
                <w:szCs w:val="21"/>
                <w:highlight w:val="none"/>
              </w:rPr>
            </w:pPr>
            <w:r>
              <w:rPr>
                <w:rFonts w:hint="eastAsia" w:cs="宋体"/>
                <w:color w:val="auto"/>
                <w:sz w:val="21"/>
                <w:szCs w:val="21"/>
                <w:highlight w:val="none"/>
              </w:rPr>
              <w:t>(3)多模态数据标准化标注服务</w:t>
            </w:r>
          </w:p>
        </w:tc>
        <w:tc>
          <w:tcPr>
            <w:tcW w:w="3060" w:type="pct"/>
            <w:tcBorders>
              <w:top w:val="single" w:color="auto" w:sz="4" w:space="0"/>
              <w:left w:val="nil"/>
              <w:bottom w:val="single" w:color="auto" w:sz="4" w:space="0"/>
              <w:right w:val="single" w:color="auto" w:sz="4" w:space="0"/>
            </w:tcBorders>
            <w:shd w:val="clear" w:color="auto" w:fill="FFFFFF"/>
            <w:vAlign w:val="center"/>
          </w:tcPr>
          <w:p w14:paraId="6F467658">
            <w:pPr>
              <w:numPr>
                <w:ilvl w:val="0"/>
                <w:numId w:val="10"/>
              </w:numPr>
              <w:spacing w:line="360" w:lineRule="auto"/>
              <w:ind w:left="905" w:leftChars="200" w:hanging="425" w:firstLineChars="0"/>
              <w:outlineLvl w:val="5"/>
              <w:rPr>
                <w:rFonts w:hint="eastAsia" w:ascii="宋体" w:hAnsi="宋体" w:cs="宋体"/>
                <w:color w:val="auto"/>
                <w:sz w:val="21"/>
                <w:szCs w:val="24"/>
                <w:highlight w:val="none"/>
              </w:rPr>
            </w:pPr>
            <w:r>
              <w:rPr>
                <w:rFonts w:hint="eastAsia" w:ascii="宋体" w:hAnsi="宋体" w:cs="宋体"/>
                <w:color w:val="auto"/>
                <w:sz w:val="21"/>
                <w:szCs w:val="24"/>
                <w:highlight w:val="none"/>
              </w:rPr>
              <w:t>通用动作视频数据标注</w:t>
            </w:r>
          </w:p>
          <w:p w14:paraId="13E00097">
            <w:pPr>
              <w:spacing w:line="360" w:lineRule="auto"/>
              <w:ind w:firstLine="420" w:firstLineChars="200"/>
              <w:rPr>
                <w:rFonts w:hint="eastAsia" w:ascii="宋体" w:hAnsi="宋体" w:cs="宋体"/>
                <w:color w:val="auto"/>
                <w:sz w:val="21"/>
                <w:szCs w:val="24"/>
                <w:highlight w:val="none"/>
              </w:rPr>
            </w:pPr>
            <w:r>
              <w:rPr>
                <w:rFonts w:hint="eastAsia" w:ascii="宋体" w:hAnsi="宋体" w:cs="宋体"/>
                <w:color w:val="auto"/>
                <w:sz w:val="21"/>
                <w:szCs w:val="24"/>
                <w:highlight w:val="none"/>
              </w:rPr>
              <w:t>组建专业的标注团队，针对从智能体育设备和AI摄像设备采集的学生运动动作视频，按照标准化流程逐帧进行精细化标注。动作视频标注须包含但不限于的标注内容：</w:t>
            </w:r>
          </w:p>
          <w:p w14:paraId="2FE0CEE8">
            <w:pPr>
              <w:numPr>
                <w:ilvl w:val="0"/>
                <w:numId w:val="11"/>
              </w:numPr>
              <w:spacing w:line="360" w:lineRule="auto"/>
              <w:ind w:firstLine="400"/>
              <w:rPr>
                <w:rFonts w:hint="eastAsia" w:ascii="宋体" w:hAnsi="宋体" w:cs="宋体"/>
                <w:color w:val="auto"/>
                <w:sz w:val="21"/>
                <w:szCs w:val="24"/>
                <w:highlight w:val="none"/>
              </w:rPr>
            </w:pPr>
            <w:r>
              <w:rPr>
                <w:rFonts w:hint="eastAsia" w:ascii="宋体" w:hAnsi="宋体" w:cs="宋体"/>
                <w:color w:val="auto"/>
                <w:sz w:val="21"/>
                <w:szCs w:val="24"/>
                <w:highlight w:val="none"/>
              </w:rPr>
              <w:t>动作类型标注：明确标注每一个动作片段所属的运动项目和具体动作名称，标注粒度须精确到单个完整动作周期；</w:t>
            </w:r>
          </w:p>
          <w:p w14:paraId="1323EAAE">
            <w:pPr>
              <w:numPr>
                <w:ilvl w:val="0"/>
                <w:numId w:val="11"/>
              </w:numPr>
              <w:spacing w:line="360" w:lineRule="auto"/>
              <w:ind w:firstLine="400"/>
              <w:rPr>
                <w:rFonts w:hint="eastAsia" w:ascii="宋体" w:hAnsi="宋体" w:cs="宋体"/>
                <w:color w:val="auto"/>
                <w:sz w:val="21"/>
                <w:szCs w:val="24"/>
                <w:highlight w:val="none"/>
              </w:rPr>
            </w:pPr>
            <w:r>
              <w:rPr>
                <w:rFonts w:hint="eastAsia" w:ascii="宋体" w:hAnsi="宋体" w:cs="宋体"/>
                <w:color w:val="auto"/>
                <w:sz w:val="21"/>
                <w:szCs w:val="24"/>
                <w:highlight w:val="none"/>
              </w:rPr>
              <w:t>动作关键帧标注：在动作视频的时间轴上精确标注起始帧、发力过渡帧、最高点帧、着地/触物帧、结束帧等关键时间节点，每个关键帧须提取并关联对应的生物力学参数；</w:t>
            </w:r>
          </w:p>
          <w:p w14:paraId="189B7724">
            <w:pPr>
              <w:numPr>
                <w:ilvl w:val="0"/>
                <w:numId w:val="10"/>
              </w:numPr>
              <w:spacing w:line="360" w:lineRule="auto"/>
              <w:ind w:left="905" w:leftChars="200" w:hanging="425" w:firstLineChars="0"/>
              <w:outlineLvl w:val="5"/>
              <w:rPr>
                <w:rFonts w:hint="eastAsia" w:ascii="宋体" w:hAnsi="宋体" w:cs="宋体"/>
                <w:color w:val="auto"/>
                <w:sz w:val="21"/>
                <w:szCs w:val="24"/>
                <w:highlight w:val="none"/>
              </w:rPr>
            </w:pPr>
            <w:r>
              <w:rPr>
                <w:rFonts w:hint="eastAsia" w:ascii="宋体" w:hAnsi="宋体" w:cs="宋体"/>
                <w:color w:val="auto"/>
                <w:sz w:val="21"/>
                <w:szCs w:val="24"/>
                <w:highlight w:val="none"/>
              </w:rPr>
              <w:t>羽毛球专项动作标注要求</w:t>
            </w:r>
          </w:p>
          <w:p w14:paraId="4D6CEB2D">
            <w:pPr>
              <w:spacing w:line="360" w:lineRule="auto"/>
              <w:ind w:firstLine="420" w:firstLineChars="200"/>
              <w:rPr>
                <w:rFonts w:hint="eastAsia" w:ascii="宋体" w:hAnsi="宋体" w:cs="宋体"/>
                <w:color w:val="auto"/>
                <w:sz w:val="21"/>
                <w:szCs w:val="24"/>
                <w:highlight w:val="none"/>
              </w:rPr>
            </w:pPr>
            <w:r>
              <w:rPr>
                <w:rFonts w:hint="eastAsia" w:ascii="宋体" w:hAnsi="宋体" w:cs="宋体"/>
                <w:color w:val="auto"/>
                <w:sz w:val="21"/>
                <w:szCs w:val="24"/>
                <w:highlight w:val="none"/>
              </w:rPr>
              <w:t>针对羽毛球项目，响应供应商须在通用动作视频数据标注基础上，额外完成以下专项标注内容：</w:t>
            </w:r>
          </w:p>
          <w:p w14:paraId="76B6CD61">
            <w:pPr>
              <w:numPr>
                <w:ilvl w:val="0"/>
                <w:numId w:val="12"/>
              </w:numPr>
              <w:spacing w:line="360" w:lineRule="auto"/>
              <w:ind w:firstLine="400"/>
              <w:rPr>
                <w:rFonts w:hint="eastAsia" w:ascii="宋体" w:hAnsi="宋体" w:cs="宋体"/>
                <w:color w:val="auto"/>
                <w:sz w:val="21"/>
                <w:szCs w:val="24"/>
                <w:highlight w:val="none"/>
              </w:rPr>
            </w:pPr>
            <w:r>
              <w:rPr>
                <w:rFonts w:hint="eastAsia" w:ascii="宋体" w:hAnsi="宋体" w:cs="宋体"/>
                <w:color w:val="auto"/>
                <w:sz w:val="21"/>
                <w:szCs w:val="24"/>
                <w:highlight w:val="none"/>
              </w:rPr>
              <w:t>基本技术动作标注：将羽毛球击球动作细分为发球、后场球、挑球、放网等基础技术类型，标注击球时的场上位置；</w:t>
            </w:r>
          </w:p>
          <w:p w14:paraId="18E69FD0">
            <w:pPr>
              <w:numPr>
                <w:ilvl w:val="0"/>
                <w:numId w:val="12"/>
              </w:numPr>
              <w:spacing w:line="360" w:lineRule="auto"/>
              <w:ind w:firstLine="400"/>
              <w:rPr>
                <w:rFonts w:hint="eastAsia" w:ascii="宋体" w:hAnsi="宋体" w:cs="宋体"/>
                <w:color w:val="auto"/>
                <w:sz w:val="21"/>
                <w:szCs w:val="24"/>
                <w:highlight w:val="none"/>
              </w:rPr>
            </w:pPr>
            <w:r>
              <w:rPr>
                <w:rFonts w:hint="eastAsia" w:ascii="宋体" w:hAnsi="宋体" w:cs="宋体"/>
                <w:color w:val="auto"/>
                <w:sz w:val="21"/>
                <w:szCs w:val="24"/>
                <w:highlight w:val="none"/>
              </w:rPr>
              <w:t>挥拍阶段分解标注：将每一次完整挥拍动作分解为"引拍—迎球—击球—随挥"四个阶段，分别标注各阶段的起止帧和持续时间；</w:t>
            </w:r>
          </w:p>
          <w:p w14:paraId="76FB991B">
            <w:pPr>
              <w:numPr>
                <w:ilvl w:val="0"/>
                <w:numId w:val="12"/>
              </w:numPr>
              <w:spacing w:line="360" w:lineRule="auto"/>
              <w:ind w:firstLine="400"/>
              <w:rPr>
                <w:rFonts w:hint="eastAsia" w:ascii="宋体" w:hAnsi="宋体" w:cs="宋体"/>
                <w:color w:val="auto"/>
                <w:sz w:val="21"/>
                <w:szCs w:val="24"/>
                <w:highlight w:val="none"/>
              </w:rPr>
            </w:pPr>
            <w:r>
              <w:rPr>
                <w:rFonts w:hint="eastAsia" w:ascii="宋体" w:hAnsi="宋体" w:cs="宋体"/>
                <w:color w:val="auto"/>
                <w:sz w:val="21"/>
                <w:szCs w:val="24"/>
                <w:highlight w:val="none"/>
              </w:rPr>
              <w:t>击球效果标注：标注每次击球的球落点区域、球速等级、球的飞行弧线类型；</w:t>
            </w:r>
          </w:p>
          <w:p w14:paraId="53B5BE8E">
            <w:pPr>
              <w:numPr>
                <w:ilvl w:val="0"/>
                <w:numId w:val="12"/>
              </w:numPr>
              <w:spacing w:line="360" w:lineRule="auto"/>
              <w:ind w:firstLine="400"/>
              <w:rPr>
                <w:rFonts w:hint="eastAsia" w:ascii="宋体" w:hAnsi="宋体" w:cs="宋体"/>
                <w:color w:val="auto"/>
                <w:sz w:val="21"/>
                <w:szCs w:val="24"/>
                <w:highlight w:val="none"/>
              </w:rPr>
            </w:pPr>
            <w:r>
              <w:rPr>
                <w:rFonts w:hint="eastAsia" w:ascii="宋体" w:hAnsi="宋体" w:cs="宋体"/>
                <w:color w:val="auto"/>
                <w:sz w:val="21"/>
                <w:szCs w:val="24"/>
                <w:highlight w:val="none"/>
              </w:rPr>
              <w:t>对抗场景标注：在单打对抗视频标注中，标注每个回合的切片、球路识别和落点分析，为技战术表现分析提供数据基础。</w:t>
            </w:r>
          </w:p>
          <w:p w14:paraId="54F4906D">
            <w:pPr>
              <w:numPr>
                <w:ilvl w:val="0"/>
                <w:numId w:val="10"/>
              </w:numPr>
              <w:spacing w:line="360" w:lineRule="auto"/>
              <w:ind w:left="905" w:leftChars="200" w:hanging="425" w:firstLineChars="0"/>
              <w:outlineLvl w:val="5"/>
              <w:rPr>
                <w:rFonts w:hint="eastAsia" w:ascii="宋体" w:hAnsi="宋体" w:cs="宋体"/>
                <w:color w:val="auto"/>
                <w:sz w:val="21"/>
                <w:szCs w:val="24"/>
                <w:highlight w:val="none"/>
              </w:rPr>
            </w:pPr>
            <w:r>
              <w:rPr>
                <w:rFonts w:hint="eastAsia" w:ascii="宋体" w:hAnsi="宋体" w:cs="宋体"/>
                <w:color w:val="auto"/>
                <w:sz w:val="21"/>
                <w:szCs w:val="24"/>
                <w:highlight w:val="none"/>
              </w:rPr>
              <w:t>足球定位球专项动作标注要求</w:t>
            </w:r>
          </w:p>
          <w:p w14:paraId="64889D44">
            <w:pPr>
              <w:spacing w:line="360" w:lineRule="auto"/>
              <w:ind w:firstLine="420" w:firstLineChars="200"/>
              <w:rPr>
                <w:rFonts w:hint="eastAsia" w:ascii="宋体" w:hAnsi="宋体" w:cs="宋体"/>
                <w:color w:val="auto"/>
                <w:sz w:val="21"/>
                <w:szCs w:val="24"/>
                <w:highlight w:val="none"/>
              </w:rPr>
            </w:pPr>
            <w:r>
              <w:rPr>
                <w:rFonts w:hint="eastAsia" w:ascii="宋体" w:hAnsi="宋体" w:cs="宋体"/>
                <w:color w:val="auto"/>
                <w:sz w:val="21"/>
                <w:szCs w:val="24"/>
                <w:highlight w:val="none"/>
              </w:rPr>
              <w:t>针对足球项目，响应供应商须在通用动作视频数据标注基础上，额外完成以下专项标注内容：</w:t>
            </w:r>
          </w:p>
          <w:p w14:paraId="7E40DEA9">
            <w:pPr>
              <w:numPr>
                <w:ilvl w:val="0"/>
                <w:numId w:val="13"/>
              </w:numPr>
              <w:spacing w:line="360" w:lineRule="auto"/>
              <w:ind w:firstLine="400"/>
              <w:rPr>
                <w:rFonts w:hint="eastAsia" w:ascii="宋体" w:hAnsi="宋体" w:cs="宋体"/>
                <w:color w:val="auto"/>
                <w:sz w:val="21"/>
                <w:szCs w:val="24"/>
                <w:highlight w:val="none"/>
              </w:rPr>
            </w:pPr>
            <w:r>
              <w:rPr>
                <w:rFonts w:hint="eastAsia" w:ascii="宋体" w:hAnsi="宋体" w:cs="宋体"/>
                <w:color w:val="auto"/>
                <w:sz w:val="21"/>
                <w:szCs w:val="24"/>
                <w:highlight w:val="none"/>
              </w:rPr>
              <w:t>定位球技术分解标注：将每一次定位球射门动作分解为"助跑—支撑脚落地—摆腿—击球—随前"五个阶段，分别标注各阶段起止帧，并提取支撑脚位置、摆腿速度、触球部位、触球瞬间脚与球的相对位置等参数；</w:t>
            </w:r>
          </w:p>
          <w:p w14:paraId="6AE1482F">
            <w:pPr>
              <w:numPr>
                <w:ilvl w:val="0"/>
                <w:numId w:val="13"/>
              </w:numPr>
              <w:spacing w:line="360" w:lineRule="auto"/>
              <w:ind w:firstLine="400"/>
              <w:rPr>
                <w:rFonts w:hint="eastAsia" w:ascii="宋体" w:hAnsi="宋体" w:cs="宋体"/>
                <w:color w:val="auto"/>
                <w:sz w:val="21"/>
                <w:szCs w:val="24"/>
                <w:highlight w:val="none"/>
              </w:rPr>
            </w:pPr>
            <w:r>
              <w:rPr>
                <w:rFonts w:hint="eastAsia" w:ascii="宋体" w:hAnsi="宋体" w:cs="宋体"/>
                <w:color w:val="auto"/>
                <w:sz w:val="21"/>
                <w:szCs w:val="24"/>
                <w:highlight w:val="none"/>
              </w:rPr>
              <w:t>定位球技术分类标注：将足球定位球射门动作标注为直接任意球射门，并标注射门的罚球点位置、目标区域、射门线路等情境信息；</w:t>
            </w:r>
          </w:p>
          <w:p w14:paraId="7E6D0440">
            <w:pPr>
              <w:numPr>
                <w:ilvl w:val="0"/>
                <w:numId w:val="13"/>
              </w:numPr>
              <w:spacing w:line="360" w:lineRule="auto"/>
              <w:ind w:firstLine="400"/>
              <w:rPr>
                <w:rFonts w:hint="eastAsia" w:ascii="宋体" w:hAnsi="宋体" w:cs="宋体"/>
                <w:color w:val="auto"/>
                <w:sz w:val="21"/>
                <w:szCs w:val="24"/>
                <w:highlight w:val="none"/>
              </w:rPr>
            </w:pPr>
            <w:r>
              <w:rPr>
                <w:rFonts w:hint="eastAsia" w:ascii="宋体" w:hAnsi="宋体" w:cs="宋体"/>
                <w:color w:val="auto"/>
                <w:sz w:val="21"/>
                <w:szCs w:val="24"/>
                <w:highlight w:val="none"/>
              </w:rPr>
              <w:t>球体三维轨迹标注：基于激光雷达采集的三维空间轨迹数据，标注足球射门后的球速、出球角度、飞行高度、轨迹曲率、落点位置等射门效果参数。</w:t>
            </w:r>
          </w:p>
          <w:p w14:paraId="361EC65C">
            <w:pPr>
              <w:numPr>
                <w:ilvl w:val="0"/>
                <w:numId w:val="10"/>
              </w:numPr>
              <w:spacing w:line="360" w:lineRule="auto"/>
              <w:ind w:left="905" w:leftChars="200" w:hanging="425" w:firstLineChars="0"/>
              <w:outlineLvl w:val="5"/>
              <w:rPr>
                <w:rFonts w:hint="eastAsia" w:ascii="宋体" w:hAnsi="宋体" w:cs="宋体"/>
                <w:color w:val="auto"/>
                <w:sz w:val="21"/>
                <w:szCs w:val="24"/>
                <w:highlight w:val="none"/>
              </w:rPr>
            </w:pPr>
            <w:r>
              <w:rPr>
                <w:rFonts w:hint="eastAsia" w:ascii="宋体" w:hAnsi="宋体" w:cs="宋体"/>
                <w:color w:val="auto"/>
                <w:sz w:val="21"/>
                <w:szCs w:val="24"/>
                <w:highlight w:val="none"/>
              </w:rPr>
              <w:t>生命体征数据标注</w:t>
            </w:r>
          </w:p>
          <w:p w14:paraId="2F40D55E">
            <w:pPr>
              <w:spacing w:line="360" w:lineRule="auto"/>
              <w:ind w:firstLine="420" w:firstLineChars="200"/>
              <w:rPr>
                <w:rFonts w:hint="eastAsia" w:ascii="宋体" w:hAnsi="宋体" w:cs="宋体"/>
                <w:color w:val="auto"/>
                <w:sz w:val="21"/>
                <w:szCs w:val="24"/>
                <w:highlight w:val="none"/>
              </w:rPr>
            </w:pPr>
            <w:r>
              <w:rPr>
                <w:rFonts w:hint="eastAsia" w:ascii="宋体" w:hAnsi="宋体" w:cs="宋体"/>
                <w:color w:val="auto"/>
                <w:sz w:val="21"/>
                <w:szCs w:val="24"/>
                <w:highlight w:val="none"/>
              </w:rPr>
              <w:t>对可穿戴设备连续采集的学生生命体征时序数据进行分段标注，标注内容包含但不限于：</w:t>
            </w:r>
          </w:p>
          <w:p w14:paraId="237922DB">
            <w:pPr>
              <w:numPr>
                <w:ilvl w:val="0"/>
                <w:numId w:val="14"/>
              </w:numPr>
              <w:spacing w:line="360" w:lineRule="auto"/>
              <w:ind w:firstLine="400"/>
              <w:rPr>
                <w:rFonts w:hint="eastAsia" w:ascii="宋体" w:hAnsi="宋体" w:cs="宋体"/>
                <w:color w:val="auto"/>
                <w:sz w:val="21"/>
                <w:szCs w:val="24"/>
                <w:highlight w:val="none"/>
              </w:rPr>
            </w:pPr>
            <w:r>
              <w:rPr>
                <w:rFonts w:hint="eastAsia" w:ascii="宋体" w:hAnsi="宋体" w:cs="宋体"/>
                <w:color w:val="auto"/>
                <w:sz w:val="21"/>
                <w:szCs w:val="24"/>
                <w:highlight w:val="none"/>
              </w:rPr>
              <w:t>运动负荷区间标注：综合心率区间、代谢当量等多维指标，将每一段运动时段划分为"低强度有氧区""中等强度耐力区""高强度间歇区""极限强度冲刺区"四个负荷区间；</w:t>
            </w:r>
          </w:p>
          <w:p w14:paraId="66567022">
            <w:pPr>
              <w:numPr>
                <w:ilvl w:val="0"/>
                <w:numId w:val="14"/>
              </w:numPr>
              <w:spacing w:line="360" w:lineRule="auto"/>
              <w:ind w:firstLine="400"/>
              <w:rPr>
                <w:rFonts w:hint="eastAsia" w:ascii="宋体" w:hAnsi="宋体" w:cs="宋体"/>
                <w:color w:val="auto"/>
                <w:sz w:val="21"/>
                <w:szCs w:val="24"/>
                <w:highlight w:val="none"/>
              </w:rPr>
            </w:pPr>
            <w:r>
              <w:rPr>
                <w:rFonts w:hint="eastAsia" w:ascii="宋体" w:hAnsi="宋体" w:cs="宋体"/>
                <w:color w:val="auto"/>
                <w:sz w:val="21"/>
                <w:szCs w:val="24"/>
                <w:highlight w:val="none"/>
              </w:rPr>
              <w:t>疲劳阈值标注：识别并标注学生运动过程中出现生理疲劳的临界时刻点，记录当时的累计运动时长、平均心率、心率变异系数等指标；</w:t>
            </w:r>
          </w:p>
          <w:p w14:paraId="49EF97DD">
            <w:pPr>
              <w:numPr>
                <w:ilvl w:val="0"/>
                <w:numId w:val="14"/>
              </w:numPr>
              <w:spacing w:line="360" w:lineRule="auto"/>
              <w:ind w:firstLine="400"/>
              <w:rPr>
                <w:rFonts w:hint="eastAsia" w:ascii="宋体" w:hAnsi="宋体" w:cs="宋体"/>
                <w:color w:val="auto"/>
                <w:sz w:val="21"/>
                <w:szCs w:val="24"/>
                <w:highlight w:val="none"/>
              </w:rPr>
            </w:pPr>
            <w:r>
              <w:rPr>
                <w:rFonts w:hint="eastAsia" w:ascii="宋体" w:hAnsi="宋体" w:cs="宋体"/>
                <w:color w:val="auto"/>
                <w:sz w:val="21"/>
                <w:szCs w:val="24"/>
                <w:highlight w:val="none"/>
              </w:rPr>
              <w:t>异常体征标注：对监测过程中出现的非正常生理指标进行专项标记。</w:t>
            </w:r>
          </w:p>
          <w:p w14:paraId="7D251D71">
            <w:pPr>
              <w:numPr>
                <w:ilvl w:val="0"/>
                <w:numId w:val="10"/>
              </w:numPr>
              <w:spacing w:line="360" w:lineRule="auto"/>
              <w:ind w:left="905" w:leftChars="200" w:hanging="425" w:firstLineChars="0"/>
              <w:outlineLvl w:val="5"/>
              <w:rPr>
                <w:rFonts w:hint="eastAsia" w:ascii="宋体" w:hAnsi="宋体" w:cs="宋体"/>
                <w:color w:val="auto"/>
                <w:sz w:val="21"/>
                <w:szCs w:val="24"/>
                <w:highlight w:val="none"/>
              </w:rPr>
            </w:pPr>
            <w:r>
              <w:rPr>
                <w:rFonts w:hint="eastAsia" w:ascii="宋体" w:hAnsi="宋体" w:cs="宋体"/>
                <w:color w:val="auto"/>
                <w:sz w:val="21"/>
                <w:szCs w:val="24"/>
                <w:highlight w:val="none"/>
              </w:rPr>
              <w:t>标注规范手册编制</w:t>
            </w:r>
          </w:p>
          <w:p w14:paraId="09E9648F">
            <w:pPr>
              <w:spacing w:line="360" w:lineRule="auto"/>
              <w:ind w:firstLine="420" w:firstLineChars="200"/>
              <w:rPr>
                <w:rFonts w:hint="eastAsia" w:ascii="宋体" w:hAnsi="宋体" w:cs="宋体"/>
                <w:color w:val="auto"/>
                <w:sz w:val="21"/>
                <w:szCs w:val="24"/>
                <w:highlight w:val="none"/>
              </w:rPr>
            </w:pPr>
            <w:r>
              <w:rPr>
                <w:rFonts w:hint="eastAsia" w:ascii="宋体" w:hAnsi="宋体" w:cs="宋体"/>
                <w:color w:val="auto"/>
                <w:sz w:val="21"/>
                <w:szCs w:val="24"/>
                <w:highlight w:val="none"/>
              </w:rPr>
              <w:t>在项目启动后编制完成《多模态数据标准化标注手册》初稿，并提交采购人评审。手册的内容至少包含标注分类体系总览、标注符号与代码规范、各运动项目专属标注指南、标注工具操作规程、质量控制标准等。手册经采购人以书面形式审核确认后方可作为全体标注人员的唯一执行依据。在项目实施过程中，供应商根据实际标注工作中发现的新问题和新需求对手册进行迭代修订，每次修订均</w:t>
            </w:r>
            <w:r>
              <w:rPr>
                <w:rFonts w:hint="eastAsia" w:cs="宋体"/>
                <w:color w:val="auto"/>
                <w:sz w:val="21"/>
                <w:szCs w:val="24"/>
                <w:highlight w:val="none"/>
                <w:lang w:eastAsia="zh-CN"/>
              </w:rPr>
              <w:t>需</w:t>
            </w:r>
            <w:r>
              <w:rPr>
                <w:rFonts w:hint="eastAsia" w:ascii="宋体" w:hAnsi="宋体" w:cs="宋体"/>
                <w:color w:val="auto"/>
                <w:sz w:val="21"/>
                <w:szCs w:val="24"/>
                <w:highlight w:val="none"/>
              </w:rPr>
              <w:t>重新提交采购人确认。</w:t>
            </w:r>
          </w:p>
          <w:p w14:paraId="20A4329B">
            <w:pPr>
              <w:numPr>
                <w:ilvl w:val="0"/>
                <w:numId w:val="10"/>
              </w:numPr>
              <w:spacing w:line="360" w:lineRule="auto"/>
              <w:ind w:left="905" w:leftChars="200" w:hanging="425" w:firstLineChars="0"/>
              <w:outlineLvl w:val="5"/>
              <w:rPr>
                <w:rFonts w:hint="eastAsia" w:ascii="宋体" w:hAnsi="宋体" w:cs="宋体"/>
                <w:color w:val="auto"/>
                <w:sz w:val="21"/>
                <w:szCs w:val="24"/>
                <w:highlight w:val="none"/>
              </w:rPr>
            </w:pPr>
            <w:r>
              <w:rPr>
                <w:rFonts w:hint="eastAsia" w:ascii="宋体" w:hAnsi="宋体" w:cs="宋体"/>
                <w:color w:val="auto"/>
                <w:sz w:val="21"/>
                <w:szCs w:val="24"/>
                <w:highlight w:val="none"/>
              </w:rPr>
              <w:t>标注质量审核与校准</w:t>
            </w:r>
          </w:p>
          <w:p w14:paraId="476EA7CF">
            <w:pPr>
              <w:numPr>
                <w:ilvl w:val="0"/>
                <w:numId w:val="15"/>
              </w:numPr>
              <w:spacing w:line="360" w:lineRule="auto"/>
              <w:ind w:firstLine="420" w:firstLineChars="200"/>
              <w:rPr>
                <w:rFonts w:hint="eastAsia" w:ascii="宋体" w:hAnsi="宋体" w:cs="宋体"/>
                <w:color w:val="auto"/>
                <w:sz w:val="21"/>
                <w:szCs w:val="24"/>
                <w:highlight w:val="none"/>
              </w:rPr>
            </w:pPr>
            <w:r>
              <w:rPr>
                <w:rFonts w:hint="eastAsia" w:ascii="宋体" w:hAnsi="宋体" w:cs="宋体"/>
                <w:color w:val="auto"/>
                <w:sz w:val="21"/>
                <w:szCs w:val="24"/>
                <w:highlight w:val="none"/>
              </w:rPr>
              <w:t>三级质量审核机制：供应商</w:t>
            </w:r>
            <w:r>
              <w:rPr>
                <w:rFonts w:hint="eastAsia" w:cs="宋体"/>
                <w:color w:val="auto"/>
                <w:sz w:val="21"/>
                <w:szCs w:val="24"/>
                <w:highlight w:val="none"/>
                <w:lang w:eastAsia="zh-CN"/>
              </w:rPr>
              <w:t>需</w:t>
            </w:r>
            <w:r>
              <w:rPr>
                <w:rFonts w:hint="eastAsia" w:ascii="宋体" w:hAnsi="宋体" w:cs="宋体"/>
                <w:color w:val="auto"/>
                <w:sz w:val="21"/>
                <w:szCs w:val="24"/>
                <w:highlight w:val="none"/>
              </w:rPr>
              <w:t>建立“标注员自查、小组交叉互查、专家终审”的三级递进式质量审核机制，三级审核的综合终审合格率须达到90%以上。未达到90%的批次须启动全面返工程序，直至达标为止；</w:t>
            </w:r>
          </w:p>
          <w:p w14:paraId="7C934099">
            <w:pPr>
              <w:numPr>
                <w:ilvl w:val="0"/>
                <w:numId w:val="15"/>
              </w:numPr>
              <w:spacing w:line="360" w:lineRule="auto"/>
              <w:ind w:firstLine="420" w:firstLineChars="200"/>
              <w:rPr>
                <w:rFonts w:hint="eastAsia" w:ascii="宋体" w:hAnsi="宋体" w:cs="宋体"/>
                <w:color w:val="auto"/>
                <w:sz w:val="21"/>
                <w:szCs w:val="24"/>
                <w:highlight w:val="none"/>
              </w:rPr>
            </w:pPr>
            <w:r>
              <w:rPr>
                <w:rFonts w:hint="eastAsia" w:ascii="宋体" w:hAnsi="宋体" w:cs="宋体"/>
                <w:color w:val="auto"/>
                <w:sz w:val="21"/>
                <w:szCs w:val="24"/>
                <w:highlight w:val="none"/>
              </w:rPr>
              <w:t>质量问题追踪与校准：供应商</w:t>
            </w:r>
            <w:r>
              <w:rPr>
                <w:rFonts w:hint="eastAsia" w:cs="宋体"/>
                <w:color w:val="auto"/>
                <w:sz w:val="21"/>
                <w:szCs w:val="24"/>
                <w:highlight w:val="none"/>
                <w:lang w:eastAsia="zh-CN"/>
              </w:rPr>
              <w:t>需</w:t>
            </w:r>
            <w:r>
              <w:rPr>
                <w:rFonts w:hint="eastAsia" w:ascii="宋体" w:hAnsi="宋体" w:cs="宋体"/>
                <w:color w:val="auto"/>
                <w:sz w:val="21"/>
                <w:szCs w:val="24"/>
                <w:highlight w:val="none"/>
              </w:rPr>
              <w:t>建立结构化的标注质量问题追踪台账，对每一轮审核中发现的不合格标注条目进行登记。对于审核中被发现的标注错误，供应商</w:t>
            </w:r>
            <w:r>
              <w:rPr>
                <w:rFonts w:hint="eastAsia" w:cs="宋体"/>
                <w:color w:val="auto"/>
                <w:sz w:val="21"/>
                <w:szCs w:val="24"/>
                <w:highlight w:val="none"/>
                <w:lang w:eastAsia="zh-CN"/>
              </w:rPr>
              <w:t>需</w:t>
            </w:r>
            <w:r>
              <w:rPr>
                <w:rFonts w:hint="eastAsia" w:ascii="宋体" w:hAnsi="宋体" w:cs="宋体"/>
                <w:color w:val="auto"/>
                <w:sz w:val="21"/>
                <w:szCs w:val="24"/>
                <w:highlight w:val="none"/>
              </w:rPr>
              <w:t>在5个工作日内组织原标注人员完成错误数据的重新分析与重新标注工作，并将校准后的成果再次提交给第三级专家进行复核。</w:t>
            </w:r>
          </w:p>
          <w:p w14:paraId="6B1690C6">
            <w:pPr>
              <w:numPr>
                <w:ilvl w:val="0"/>
                <w:numId w:val="0"/>
              </w:numPr>
              <w:spacing w:line="360" w:lineRule="auto"/>
              <w:rPr>
                <w:rFonts w:ascii="Tahoma" w:hAnsi="Tahoma" w:cs="Tahoma"/>
                <w:color w:val="auto"/>
                <w:kern w:val="0"/>
                <w:sz w:val="21"/>
                <w:szCs w:val="21"/>
                <w:highlight w:val="none"/>
              </w:rPr>
            </w:pPr>
          </w:p>
        </w:tc>
      </w:tr>
      <w:tr w14:paraId="58A16ABD">
        <w:tblPrEx>
          <w:tblCellMar>
            <w:top w:w="0" w:type="dxa"/>
            <w:left w:w="108" w:type="dxa"/>
            <w:bottom w:w="0" w:type="dxa"/>
            <w:right w:w="108" w:type="dxa"/>
          </w:tblCellMar>
        </w:tblPrEx>
        <w:trPr>
          <w:trHeight w:val="1140" w:hRule="atLeast"/>
          <w:jc w:val="center"/>
        </w:trPr>
        <w:tc>
          <w:tcPr>
            <w:tcW w:w="395" w:type="pct"/>
            <w:tcBorders>
              <w:top w:val="single" w:color="auto" w:sz="4" w:space="0"/>
              <w:left w:val="single" w:color="auto" w:sz="4" w:space="0"/>
              <w:bottom w:val="single" w:color="auto" w:sz="4" w:space="0"/>
              <w:right w:val="single" w:color="auto" w:sz="4" w:space="0"/>
            </w:tcBorders>
            <w:shd w:val="clear" w:color="auto" w:fill="FFFFFF"/>
            <w:vAlign w:val="top"/>
          </w:tcPr>
          <w:p w14:paraId="2B50B5C7">
            <w:pPr>
              <w:widowControl/>
              <w:spacing w:line="240" w:lineRule="auto"/>
              <w:ind w:firstLine="0" w:firstLineChars="0"/>
              <w:jc w:val="center"/>
              <w:rPr>
                <w:rFonts w:ascii="Tahoma" w:hAnsi="Tahoma" w:cs="Tahoma"/>
                <w:color w:val="auto"/>
                <w:kern w:val="0"/>
                <w:sz w:val="21"/>
                <w:szCs w:val="21"/>
                <w:highlight w:val="none"/>
              </w:rPr>
            </w:pPr>
          </w:p>
        </w:tc>
        <w:tc>
          <w:tcPr>
            <w:tcW w:w="682" w:type="pct"/>
            <w:tcBorders>
              <w:top w:val="single" w:color="auto" w:sz="4" w:space="0"/>
              <w:left w:val="nil"/>
              <w:bottom w:val="single" w:color="auto" w:sz="4" w:space="0"/>
              <w:right w:val="single" w:color="auto" w:sz="4" w:space="0"/>
            </w:tcBorders>
            <w:shd w:val="clear" w:color="auto" w:fill="FFFFFF"/>
            <w:vAlign w:val="top"/>
          </w:tcPr>
          <w:p w14:paraId="34A418E3">
            <w:pPr>
              <w:widowControl/>
              <w:spacing w:line="240" w:lineRule="auto"/>
              <w:ind w:firstLine="0" w:firstLineChars="0"/>
              <w:jc w:val="center"/>
              <w:rPr>
                <w:rFonts w:hint="eastAsia" w:ascii="Tahoma" w:hAnsi="Tahoma" w:cs="Tahoma"/>
                <w:color w:val="auto"/>
                <w:kern w:val="0"/>
                <w:sz w:val="21"/>
                <w:szCs w:val="21"/>
                <w:highlight w:val="none"/>
              </w:rPr>
            </w:pPr>
          </w:p>
        </w:tc>
        <w:tc>
          <w:tcPr>
            <w:tcW w:w="861" w:type="pct"/>
            <w:tcBorders>
              <w:top w:val="single" w:color="auto" w:sz="4" w:space="0"/>
              <w:left w:val="nil"/>
              <w:bottom w:val="single" w:color="auto" w:sz="4" w:space="0"/>
              <w:right w:val="single" w:color="auto" w:sz="4" w:space="0"/>
            </w:tcBorders>
            <w:shd w:val="clear" w:color="auto" w:fill="FFFFFF"/>
            <w:vAlign w:val="top"/>
          </w:tcPr>
          <w:p w14:paraId="1C05E16F">
            <w:pPr>
              <w:widowControl/>
              <w:spacing w:line="240" w:lineRule="auto"/>
              <w:ind w:firstLine="0" w:firstLineChars="0"/>
              <w:jc w:val="center"/>
              <w:rPr>
                <w:rFonts w:hint="eastAsia" w:ascii="Tahoma" w:hAnsi="Tahoma" w:cs="Tahoma"/>
                <w:color w:val="auto"/>
                <w:kern w:val="0"/>
                <w:sz w:val="21"/>
                <w:szCs w:val="21"/>
                <w:highlight w:val="none"/>
              </w:rPr>
            </w:pPr>
            <w:r>
              <w:rPr>
                <w:rFonts w:hint="eastAsia" w:cs="宋体"/>
                <w:color w:val="auto"/>
                <w:sz w:val="21"/>
                <w:szCs w:val="21"/>
                <w:highlight w:val="none"/>
              </w:rPr>
              <w:t>(</w:t>
            </w:r>
            <w:r>
              <w:rPr>
                <w:rFonts w:hint="eastAsia" w:cs="宋体"/>
                <w:color w:val="auto"/>
                <w:sz w:val="21"/>
                <w:szCs w:val="21"/>
                <w:highlight w:val="none"/>
                <w:lang w:val="en-US" w:eastAsia="zh-CN"/>
              </w:rPr>
              <w:t>4</w:t>
            </w:r>
            <w:r>
              <w:rPr>
                <w:rFonts w:hint="eastAsia" w:cs="宋体"/>
                <w:color w:val="auto"/>
                <w:sz w:val="21"/>
                <w:szCs w:val="21"/>
                <w:highlight w:val="none"/>
              </w:rPr>
              <w:t>)</w:t>
            </w:r>
            <w:r>
              <w:rPr>
                <w:rFonts w:hint="eastAsia" w:ascii="Tahoma" w:hAnsi="Tahoma" w:cs="Tahoma"/>
                <w:color w:val="auto"/>
                <w:kern w:val="0"/>
                <w:sz w:val="21"/>
                <w:szCs w:val="21"/>
                <w:highlight w:val="none"/>
              </w:rPr>
              <w:t>多模态标注数据管理服务</w:t>
            </w:r>
          </w:p>
          <w:p w14:paraId="42B19981">
            <w:pPr>
              <w:widowControl/>
              <w:spacing w:line="240" w:lineRule="auto"/>
              <w:ind w:firstLine="0" w:firstLineChars="0"/>
              <w:jc w:val="center"/>
              <w:rPr>
                <w:rFonts w:hint="eastAsia" w:ascii="Tahoma" w:hAnsi="Tahoma" w:cs="Tahoma"/>
                <w:color w:val="auto"/>
                <w:kern w:val="0"/>
                <w:sz w:val="21"/>
                <w:szCs w:val="21"/>
                <w:highlight w:val="none"/>
              </w:rPr>
            </w:pPr>
          </w:p>
        </w:tc>
        <w:tc>
          <w:tcPr>
            <w:tcW w:w="3060" w:type="pct"/>
            <w:tcBorders>
              <w:top w:val="single" w:color="auto" w:sz="4" w:space="0"/>
              <w:left w:val="nil"/>
              <w:bottom w:val="single" w:color="auto" w:sz="4" w:space="0"/>
              <w:right w:val="single" w:color="auto" w:sz="4" w:space="0"/>
            </w:tcBorders>
            <w:shd w:val="clear" w:color="auto" w:fill="FFFFFF"/>
            <w:vAlign w:val="center"/>
          </w:tcPr>
          <w:p w14:paraId="4E7762F5">
            <w:pPr>
              <w:numPr>
                <w:ilvl w:val="255"/>
                <w:numId w:val="0"/>
              </w:numPr>
              <w:spacing w:line="360" w:lineRule="auto"/>
              <w:ind w:firstLine="420" w:firstLineChars="200"/>
              <w:outlineLvl w:val="4"/>
              <w:rPr>
                <w:rFonts w:hint="eastAsia" w:ascii="宋体" w:hAnsi="宋体" w:cs="宋体"/>
                <w:color w:val="auto"/>
                <w:sz w:val="21"/>
                <w:szCs w:val="24"/>
                <w:highlight w:val="none"/>
              </w:rPr>
            </w:pPr>
            <w:r>
              <w:rPr>
                <w:rFonts w:hint="eastAsia" w:ascii="宋体" w:hAnsi="宋体" w:cs="宋体"/>
                <w:color w:val="auto"/>
                <w:sz w:val="21"/>
                <w:szCs w:val="24"/>
                <w:highlight w:val="none"/>
              </w:rPr>
              <w:t>提供多模态标注数据管理服务，用于本项目的数据标注工作。核心服务内容须包括但不限于：</w:t>
            </w:r>
          </w:p>
          <w:p w14:paraId="103ABC48">
            <w:pPr>
              <w:numPr>
                <w:ilvl w:val="0"/>
                <w:numId w:val="16"/>
              </w:numPr>
              <w:spacing w:line="360" w:lineRule="auto"/>
              <w:ind w:left="905" w:leftChars="200" w:hanging="425" w:firstLineChars="0"/>
              <w:outlineLvl w:val="5"/>
              <w:rPr>
                <w:rFonts w:hint="eastAsia" w:ascii="宋体" w:hAnsi="宋体" w:cs="宋体"/>
                <w:color w:val="auto"/>
                <w:sz w:val="21"/>
                <w:szCs w:val="24"/>
                <w:highlight w:val="none"/>
              </w:rPr>
            </w:pPr>
            <w:r>
              <w:rPr>
                <w:rFonts w:hint="eastAsia" w:ascii="宋体" w:hAnsi="宋体" w:cs="宋体"/>
                <w:color w:val="auto"/>
                <w:sz w:val="21"/>
                <w:szCs w:val="24"/>
                <w:highlight w:val="none"/>
              </w:rPr>
              <w:t>数据入库管理</w:t>
            </w:r>
          </w:p>
          <w:p w14:paraId="56855B98">
            <w:pPr>
              <w:numPr>
                <w:ilvl w:val="255"/>
                <w:numId w:val="0"/>
              </w:numPr>
              <w:spacing w:line="360" w:lineRule="auto"/>
              <w:ind w:firstLine="420" w:firstLineChars="200"/>
              <w:outlineLvl w:val="4"/>
              <w:rPr>
                <w:rFonts w:hint="eastAsia" w:ascii="宋体" w:hAnsi="宋体" w:cs="宋体"/>
                <w:color w:val="auto"/>
                <w:sz w:val="21"/>
                <w:szCs w:val="24"/>
                <w:highlight w:val="none"/>
              </w:rPr>
            </w:pPr>
            <w:r>
              <w:rPr>
                <w:rFonts w:hint="eastAsia" w:ascii="宋体" w:hAnsi="宋体" w:cs="宋体"/>
                <w:color w:val="auto"/>
                <w:sz w:val="21"/>
                <w:szCs w:val="24"/>
                <w:highlight w:val="none"/>
              </w:rPr>
              <w:t>支持标注数据的手动录入和批量导入，并在入库过程中自动执行数据格式校验和必填项检查。批量导入吞吐量应不低于10,000条/次。</w:t>
            </w:r>
          </w:p>
          <w:p w14:paraId="58A6A9B5">
            <w:pPr>
              <w:numPr>
                <w:ilvl w:val="0"/>
                <w:numId w:val="16"/>
              </w:numPr>
              <w:spacing w:line="360" w:lineRule="auto"/>
              <w:ind w:left="905" w:leftChars="200" w:hanging="425" w:firstLineChars="0"/>
              <w:outlineLvl w:val="5"/>
              <w:rPr>
                <w:rFonts w:hint="eastAsia" w:ascii="宋体" w:hAnsi="宋体" w:cs="宋体"/>
                <w:color w:val="auto"/>
                <w:sz w:val="21"/>
                <w:szCs w:val="24"/>
                <w:highlight w:val="none"/>
              </w:rPr>
            </w:pPr>
            <w:r>
              <w:rPr>
                <w:rFonts w:hint="eastAsia" w:ascii="宋体" w:hAnsi="宋体" w:cs="宋体"/>
                <w:color w:val="auto"/>
                <w:sz w:val="21"/>
                <w:szCs w:val="24"/>
                <w:highlight w:val="none"/>
              </w:rPr>
              <w:t>标注任务管理</w:t>
            </w:r>
          </w:p>
          <w:p w14:paraId="0512444D">
            <w:pPr>
              <w:numPr>
                <w:ilvl w:val="255"/>
                <w:numId w:val="0"/>
              </w:numPr>
              <w:spacing w:line="360" w:lineRule="auto"/>
              <w:ind w:firstLine="420" w:firstLineChars="200"/>
              <w:outlineLvl w:val="4"/>
              <w:rPr>
                <w:rFonts w:hint="eastAsia" w:ascii="宋体" w:hAnsi="宋体" w:cs="宋体"/>
                <w:color w:val="auto"/>
                <w:sz w:val="21"/>
                <w:szCs w:val="24"/>
                <w:highlight w:val="none"/>
              </w:rPr>
            </w:pPr>
            <w:r>
              <w:rPr>
                <w:rFonts w:hint="eastAsia" w:ascii="宋体" w:hAnsi="宋体" w:cs="宋体"/>
                <w:color w:val="auto"/>
                <w:sz w:val="21"/>
                <w:szCs w:val="24"/>
                <w:highlight w:val="none"/>
              </w:rPr>
              <w:t>支持标注任务的创建、分配、进度跟踪和完成度统计；项目管理员可按照标注员分组批量分配任务。系统应支持任务优先级配置和任务到期提醒。</w:t>
            </w:r>
          </w:p>
          <w:p w14:paraId="798D7965">
            <w:pPr>
              <w:numPr>
                <w:ilvl w:val="0"/>
                <w:numId w:val="16"/>
              </w:numPr>
              <w:spacing w:line="360" w:lineRule="auto"/>
              <w:ind w:left="905" w:leftChars="200" w:hanging="425" w:firstLineChars="0"/>
              <w:outlineLvl w:val="5"/>
              <w:rPr>
                <w:rFonts w:hint="eastAsia" w:ascii="宋体" w:hAnsi="宋体" w:cs="宋体"/>
                <w:color w:val="auto"/>
                <w:sz w:val="21"/>
                <w:szCs w:val="24"/>
                <w:highlight w:val="none"/>
              </w:rPr>
            </w:pPr>
            <w:r>
              <w:rPr>
                <w:rFonts w:hint="eastAsia" w:ascii="宋体" w:hAnsi="宋体" w:cs="宋体"/>
                <w:color w:val="auto"/>
                <w:sz w:val="21"/>
                <w:szCs w:val="24"/>
                <w:highlight w:val="none"/>
              </w:rPr>
              <w:t>数据检索与筛选</w:t>
            </w:r>
          </w:p>
          <w:p w14:paraId="194095B9">
            <w:pPr>
              <w:numPr>
                <w:ilvl w:val="255"/>
                <w:numId w:val="0"/>
              </w:numPr>
              <w:spacing w:line="360" w:lineRule="auto"/>
              <w:ind w:firstLine="420" w:firstLineChars="200"/>
              <w:outlineLvl w:val="4"/>
              <w:rPr>
                <w:rFonts w:hint="eastAsia" w:ascii="宋体" w:hAnsi="宋体" w:cs="宋体"/>
                <w:color w:val="auto"/>
                <w:sz w:val="21"/>
                <w:szCs w:val="24"/>
                <w:highlight w:val="none"/>
              </w:rPr>
            </w:pPr>
            <w:r>
              <w:rPr>
                <w:rFonts w:hint="eastAsia" w:ascii="宋体" w:hAnsi="宋体" w:cs="宋体"/>
                <w:color w:val="auto"/>
                <w:sz w:val="21"/>
                <w:szCs w:val="24"/>
                <w:highlight w:val="none"/>
              </w:rPr>
              <w:t>支持按照学生ID、学段、性别、运动项目、标注类型、标注质量等级、时间范围等条件进行组合检索，组合查询响应时间应不超过2秒。</w:t>
            </w:r>
          </w:p>
          <w:p w14:paraId="55F180D5">
            <w:pPr>
              <w:numPr>
                <w:ilvl w:val="0"/>
                <w:numId w:val="16"/>
              </w:numPr>
              <w:spacing w:line="360" w:lineRule="auto"/>
              <w:ind w:left="905" w:leftChars="200" w:hanging="425" w:firstLineChars="0"/>
              <w:outlineLvl w:val="5"/>
              <w:rPr>
                <w:rFonts w:hint="eastAsia" w:ascii="宋体" w:hAnsi="宋体" w:cs="宋体"/>
                <w:color w:val="auto"/>
                <w:sz w:val="21"/>
                <w:szCs w:val="24"/>
                <w:highlight w:val="none"/>
              </w:rPr>
            </w:pPr>
            <w:r>
              <w:rPr>
                <w:rFonts w:hint="eastAsia" w:ascii="宋体" w:hAnsi="宋体" w:cs="宋体"/>
                <w:color w:val="auto"/>
                <w:sz w:val="21"/>
                <w:szCs w:val="24"/>
                <w:highlight w:val="none"/>
              </w:rPr>
              <w:t>数据查看与预览</w:t>
            </w:r>
          </w:p>
          <w:p w14:paraId="416C386A">
            <w:pPr>
              <w:numPr>
                <w:ilvl w:val="255"/>
                <w:numId w:val="0"/>
              </w:numPr>
              <w:spacing w:line="360" w:lineRule="auto"/>
              <w:ind w:firstLine="420" w:firstLineChars="200"/>
              <w:outlineLvl w:val="4"/>
              <w:rPr>
                <w:rFonts w:hint="eastAsia" w:ascii="宋体" w:hAnsi="宋体" w:cs="宋体"/>
                <w:color w:val="auto"/>
                <w:sz w:val="21"/>
                <w:szCs w:val="24"/>
                <w:highlight w:val="none"/>
              </w:rPr>
            </w:pPr>
            <w:r>
              <w:rPr>
                <w:rFonts w:hint="eastAsia" w:ascii="宋体" w:hAnsi="宋体" w:cs="宋体"/>
                <w:color w:val="auto"/>
                <w:sz w:val="21"/>
                <w:szCs w:val="24"/>
                <w:highlight w:val="none"/>
              </w:rPr>
              <w:t>支持动作视频播放、播放速度调节、逐帧跳转、生命体征数据折线图叠加显示，以及标注信息图层叠加展示。视频预览至少应支持MP4/H.264格式。</w:t>
            </w:r>
          </w:p>
          <w:p w14:paraId="17D45F70">
            <w:pPr>
              <w:numPr>
                <w:ilvl w:val="0"/>
                <w:numId w:val="16"/>
              </w:numPr>
              <w:spacing w:line="360" w:lineRule="auto"/>
              <w:ind w:left="905" w:leftChars="200" w:hanging="425" w:firstLineChars="0"/>
              <w:outlineLvl w:val="5"/>
              <w:rPr>
                <w:rFonts w:hint="eastAsia" w:ascii="宋体" w:hAnsi="宋体" w:cs="宋体"/>
                <w:color w:val="auto"/>
                <w:sz w:val="21"/>
                <w:szCs w:val="24"/>
                <w:highlight w:val="none"/>
              </w:rPr>
            </w:pPr>
            <w:r>
              <w:rPr>
                <w:rFonts w:hint="eastAsia" w:ascii="宋体" w:hAnsi="宋体" w:cs="宋体"/>
                <w:color w:val="auto"/>
                <w:sz w:val="21"/>
                <w:szCs w:val="24"/>
                <w:highlight w:val="none"/>
              </w:rPr>
              <w:t>视频标注工作</w:t>
            </w:r>
          </w:p>
          <w:p w14:paraId="4C3C0212">
            <w:pPr>
              <w:numPr>
                <w:ilvl w:val="255"/>
                <w:numId w:val="0"/>
              </w:numPr>
              <w:spacing w:line="360" w:lineRule="auto"/>
              <w:ind w:firstLine="420" w:firstLineChars="200"/>
              <w:outlineLvl w:val="4"/>
              <w:rPr>
                <w:rFonts w:hint="eastAsia" w:ascii="宋体" w:hAnsi="宋体" w:cs="宋体"/>
                <w:color w:val="auto"/>
                <w:sz w:val="21"/>
                <w:szCs w:val="24"/>
                <w:highlight w:val="none"/>
              </w:rPr>
            </w:pPr>
            <w:r>
              <w:rPr>
                <w:rFonts w:hint="eastAsia" w:ascii="宋体" w:hAnsi="宋体" w:cs="宋体"/>
                <w:color w:val="auto"/>
                <w:sz w:val="21"/>
                <w:szCs w:val="24"/>
                <w:highlight w:val="none"/>
              </w:rPr>
              <w:t>提供专业的视频标注操作界面，支持视频播放控制、关键帧标记与编辑，以及标注标签的快速选择和录入。应支持在同一界面同步展示动作视频、对应的生命体征数据曲线和标注信息面板，便于标注员高效完成标注作业。系统至少应支持MP4/H.264格式视频，并满足不少于50名标注员并发操作的需求；核心操作响应时间不超过3秒，CPU占用率不超过70%，内存占用率不超过可用内存的60%。</w:t>
            </w:r>
          </w:p>
          <w:p w14:paraId="328D1099">
            <w:pPr>
              <w:numPr>
                <w:ilvl w:val="0"/>
                <w:numId w:val="16"/>
              </w:numPr>
              <w:spacing w:line="360" w:lineRule="auto"/>
              <w:ind w:left="905" w:leftChars="200" w:hanging="425" w:firstLineChars="0"/>
              <w:outlineLvl w:val="5"/>
              <w:rPr>
                <w:rFonts w:hint="eastAsia" w:ascii="宋体" w:hAnsi="宋体" w:cs="宋体"/>
                <w:color w:val="auto"/>
                <w:sz w:val="21"/>
                <w:szCs w:val="24"/>
                <w:highlight w:val="none"/>
              </w:rPr>
            </w:pPr>
            <w:r>
              <w:rPr>
                <w:rFonts w:hint="eastAsia" w:ascii="宋体" w:hAnsi="宋体" w:cs="宋体"/>
                <w:color w:val="auto"/>
                <w:sz w:val="21"/>
                <w:szCs w:val="24"/>
                <w:highlight w:val="none"/>
              </w:rPr>
              <w:t>数据导出</w:t>
            </w:r>
          </w:p>
          <w:p w14:paraId="56CC3576">
            <w:pPr>
              <w:numPr>
                <w:ilvl w:val="255"/>
                <w:numId w:val="0"/>
              </w:numPr>
              <w:spacing w:line="360" w:lineRule="auto"/>
              <w:ind w:firstLine="420" w:firstLineChars="200"/>
              <w:outlineLvl w:val="4"/>
              <w:rPr>
                <w:rFonts w:hint="eastAsia" w:ascii="宋体" w:hAnsi="宋体" w:cs="宋体"/>
                <w:color w:val="auto"/>
                <w:sz w:val="21"/>
                <w:szCs w:val="24"/>
                <w:highlight w:val="none"/>
              </w:rPr>
            </w:pPr>
            <w:r>
              <w:rPr>
                <w:rFonts w:hint="eastAsia" w:ascii="宋体" w:hAnsi="宋体" w:cs="宋体"/>
                <w:color w:val="auto"/>
                <w:sz w:val="21"/>
                <w:szCs w:val="24"/>
                <w:highlight w:val="none"/>
              </w:rPr>
              <w:t>支持根据检索结果集批量导出标注数据，并支持自定义选择导出字段。大文件导出应支持后台异步执行，并提供下载进度提示；单次导出数据量上限应不低于100,000条。</w:t>
            </w:r>
          </w:p>
          <w:p w14:paraId="0A08FFA0">
            <w:pPr>
              <w:numPr>
                <w:ilvl w:val="0"/>
                <w:numId w:val="16"/>
              </w:numPr>
              <w:spacing w:line="360" w:lineRule="auto"/>
              <w:ind w:left="905" w:leftChars="200" w:hanging="425" w:firstLineChars="0"/>
              <w:outlineLvl w:val="5"/>
              <w:rPr>
                <w:rFonts w:hint="eastAsia" w:ascii="宋体" w:hAnsi="宋体" w:cs="宋体"/>
                <w:color w:val="auto"/>
                <w:sz w:val="21"/>
                <w:szCs w:val="24"/>
                <w:highlight w:val="none"/>
              </w:rPr>
            </w:pPr>
            <w:r>
              <w:rPr>
                <w:rFonts w:hint="eastAsia" w:ascii="宋体" w:hAnsi="宋体" w:cs="宋体"/>
                <w:color w:val="auto"/>
                <w:sz w:val="21"/>
                <w:szCs w:val="24"/>
                <w:highlight w:val="none"/>
              </w:rPr>
              <w:t>用户权限管理</w:t>
            </w:r>
          </w:p>
          <w:p w14:paraId="73236DAB">
            <w:pPr>
              <w:numPr>
                <w:ilvl w:val="255"/>
                <w:numId w:val="0"/>
              </w:numPr>
              <w:spacing w:line="360" w:lineRule="auto"/>
              <w:ind w:firstLine="420" w:firstLineChars="200"/>
              <w:outlineLvl w:val="4"/>
              <w:rPr>
                <w:rFonts w:hint="eastAsia" w:ascii="宋体" w:hAnsi="宋体" w:cs="宋体"/>
                <w:color w:val="auto"/>
                <w:sz w:val="21"/>
                <w:szCs w:val="24"/>
                <w:highlight w:val="none"/>
              </w:rPr>
            </w:pPr>
            <w:r>
              <w:rPr>
                <w:rFonts w:hint="eastAsia" w:ascii="宋体" w:hAnsi="宋体" w:cs="宋体"/>
                <w:color w:val="auto"/>
                <w:sz w:val="21"/>
                <w:szCs w:val="24"/>
                <w:highlight w:val="none"/>
              </w:rPr>
              <w:t>采用基于角色的访问控制机制，角色类型至少包括超级管理员、项目管理员、标注员、审核员和只读查询用户。支持细粒度的菜单权限、数据权限和操作权限分配；用户密码须采用安全哈希算法存储。</w:t>
            </w:r>
          </w:p>
          <w:p w14:paraId="72DB2031">
            <w:pPr>
              <w:numPr>
                <w:ilvl w:val="0"/>
                <w:numId w:val="16"/>
              </w:numPr>
              <w:spacing w:line="360" w:lineRule="auto"/>
              <w:ind w:left="905" w:leftChars="200" w:hanging="425" w:firstLineChars="0"/>
              <w:outlineLvl w:val="5"/>
              <w:rPr>
                <w:rFonts w:hint="eastAsia" w:ascii="宋体" w:hAnsi="宋体" w:cs="宋体"/>
                <w:color w:val="auto"/>
                <w:sz w:val="21"/>
                <w:szCs w:val="24"/>
                <w:highlight w:val="none"/>
              </w:rPr>
            </w:pPr>
            <w:r>
              <w:rPr>
                <w:rFonts w:hint="eastAsia" w:ascii="宋体" w:hAnsi="宋体" w:cs="宋体"/>
                <w:color w:val="auto"/>
                <w:sz w:val="21"/>
                <w:szCs w:val="24"/>
                <w:highlight w:val="none"/>
              </w:rPr>
              <w:t>操作审计日志</w:t>
            </w:r>
          </w:p>
          <w:p w14:paraId="2FA638C1">
            <w:pPr>
              <w:numPr>
                <w:ilvl w:val="255"/>
                <w:numId w:val="0"/>
              </w:numPr>
              <w:spacing w:line="360" w:lineRule="auto"/>
              <w:ind w:firstLine="420" w:firstLineChars="200"/>
              <w:outlineLvl w:val="4"/>
              <w:rPr>
                <w:rFonts w:hint="eastAsia" w:ascii="宋体" w:hAnsi="宋体" w:cs="宋体"/>
                <w:color w:val="auto"/>
                <w:sz w:val="21"/>
                <w:szCs w:val="24"/>
                <w:highlight w:val="none"/>
              </w:rPr>
            </w:pPr>
            <w:r>
              <w:rPr>
                <w:rFonts w:hint="eastAsia" w:ascii="宋体" w:hAnsi="宋体" w:cs="宋体"/>
                <w:color w:val="auto"/>
                <w:sz w:val="21"/>
                <w:szCs w:val="24"/>
                <w:highlight w:val="none"/>
              </w:rPr>
              <w:t>自动记录系统内每一次数据变更操作的详细信息，支持按照时间、用户、操作类型等条件进行检索。操作审计日志保留期限应不少于2年。</w:t>
            </w:r>
          </w:p>
          <w:p w14:paraId="7676F005">
            <w:pPr>
              <w:numPr>
                <w:ilvl w:val="0"/>
                <w:numId w:val="16"/>
              </w:numPr>
              <w:spacing w:line="360" w:lineRule="auto"/>
              <w:ind w:left="905" w:leftChars="200" w:hanging="425" w:firstLineChars="0"/>
              <w:outlineLvl w:val="5"/>
              <w:rPr>
                <w:rFonts w:hint="eastAsia" w:ascii="宋体" w:hAnsi="宋体" w:cs="宋体"/>
                <w:color w:val="auto"/>
                <w:sz w:val="21"/>
                <w:szCs w:val="24"/>
                <w:highlight w:val="none"/>
              </w:rPr>
            </w:pPr>
            <w:r>
              <w:rPr>
                <w:rFonts w:hint="eastAsia" w:ascii="宋体" w:hAnsi="宋体" w:cs="宋体"/>
                <w:color w:val="auto"/>
                <w:sz w:val="21"/>
                <w:szCs w:val="24"/>
                <w:highlight w:val="none"/>
              </w:rPr>
              <w:t>服务集成</w:t>
            </w:r>
          </w:p>
          <w:p w14:paraId="6CCBBAB0">
            <w:pPr>
              <w:numPr>
                <w:ilvl w:val="255"/>
                <w:numId w:val="0"/>
              </w:numPr>
              <w:spacing w:line="360" w:lineRule="auto"/>
              <w:ind w:firstLine="420" w:firstLineChars="200"/>
              <w:outlineLvl w:val="4"/>
              <w:rPr>
                <w:rFonts w:ascii="Tahoma" w:hAnsi="Tahoma" w:cs="Tahoma"/>
                <w:color w:val="auto"/>
                <w:kern w:val="0"/>
                <w:sz w:val="21"/>
                <w:szCs w:val="21"/>
                <w:highlight w:val="none"/>
              </w:rPr>
            </w:pPr>
            <w:r>
              <w:rPr>
                <w:rFonts w:hint="eastAsia" w:ascii="宋体" w:hAnsi="宋体" w:cs="宋体"/>
                <w:color w:val="auto"/>
                <w:sz w:val="21"/>
                <w:szCs w:val="24"/>
                <w:highlight w:val="none"/>
              </w:rPr>
              <w:t>通过标准API接口与运动健康队列数据库进行双向数据同步，支持从队列数据库拉取原始数据作为标注任务的数据源，并将完成标注的成果自动回流至队列数据库。系统预留与上体体育大模型平台的标准化数据交换接口，支持将高质量标注数据以模型可接受的格式输入大模型，用于模型微调或知识增强。数据一致性达到99.9%以上，并提供数据一致性校验脚本和定期巡检报告。</w:t>
            </w:r>
          </w:p>
        </w:tc>
      </w:tr>
      <w:tr w14:paraId="22B39315">
        <w:tblPrEx>
          <w:tblCellMar>
            <w:top w:w="0" w:type="dxa"/>
            <w:left w:w="108" w:type="dxa"/>
            <w:bottom w:w="0" w:type="dxa"/>
            <w:right w:w="108" w:type="dxa"/>
          </w:tblCellMar>
        </w:tblPrEx>
        <w:trPr>
          <w:trHeight w:val="1140" w:hRule="atLeast"/>
          <w:jc w:val="center"/>
        </w:trPr>
        <w:tc>
          <w:tcPr>
            <w:tcW w:w="395" w:type="pct"/>
            <w:tcBorders>
              <w:top w:val="single" w:color="auto" w:sz="4" w:space="0"/>
              <w:left w:val="single" w:color="auto" w:sz="4" w:space="0"/>
              <w:bottom w:val="single" w:color="auto" w:sz="4" w:space="0"/>
              <w:right w:val="single" w:color="auto" w:sz="4" w:space="0"/>
            </w:tcBorders>
            <w:shd w:val="clear" w:color="auto" w:fill="FFFFFF"/>
            <w:vAlign w:val="top"/>
          </w:tcPr>
          <w:p w14:paraId="1C35EA7F">
            <w:pPr>
              <w:widowControl/>
              <w:spacing w:line="240" w:lineRule="auto"/>
              <w:ind w:firstLine="0" w:firstLineChars="0"/>
              <w:jc w:val="center"/>
              <w:rPr>
                <w:rFonts w:ascii="Tahoma" w:hAnsi="Tahoma" w:cs="Tahoma"/>
                <w:color w:val="auto"/>
                <w:kern w:val="0"/>
                <w:sz w:val="21"/>
                <w:szCs w:val="21"/>
                <w:highlight w:val="none"/>
              </w:rPr>
            </w:pPr>
          </w:p>
        </w:tc>
        <w:tc>
          <w:tcPr>
            <w:tcW w:w="682" w:type="pct"/>
            <w:tcBorders>
              <w:top w:val="single" w:color="auto" w:sz="4" w:space="0"/>
              <w:left w:val="nil"/>
              <w:bottom w:val="single" w:color="auto" w:sz="4" w:space="0"/>
              <w:right w:val="single" w:color="auto" w:sz="4" w:space="0"/>
            </w:tcBorders>
            <w:shd w:val="clear" w:color="auto" w:fill="FFFFFF"/>
            <w:vAlign w:val="top"/>
          </w:tcPr>
          <w:p w14:paraId="58EA2EB7">
            <w:pPr>
              <w:widowControl/>
              <w:spacing w:line="240" w:lineRule="auto"/>
              <w:ind w:firstLine="0" w:firstLineChars="0"/>
              <w:jc w:val="center"/>
              <w:rPr>
                <w:rFonts w:hint="eastAsia" w:ascii="Tahoma" w:hAnsi="Tahoma" w:cs="Tahoma"/>
                <w:color w:val="auto"/>
                <w:kern w:val="0"/>
                <w:sz w:val="21"/>
                <w:szCs w:val="21"/>
                <w:highlight w:val="none"/>
              </w:rPr>
            </w:pPr>
          </w:p>
        </w:tc>
        <w:tc>
          <w:tcPr>
            <w:tcW w:w="861" w:type="pct"/>
            <w:tcBorders>
              <w:top w:val="single" w:color="auto" w:sz="4" w:space="0"/>
              <w:left w:val="nil"/>
              <w:bottom w:val="single" w:color="auto" w:sz="4" w:space="0"/>
              <w:right w:val="single" w:color="auto" w:sz="4" w:space="0"/>
            </w:tcBorders>
            <w:shd w:val="clear" w:color="auto" w:fill="FFFFFF"/>
            <w:vAlign w:val="top"/>
          </w:tcPr>
          <w:p w14:paraId="689C1C6F">
            <w:pPr>
              <w:widowControl/>
              <w:spacing w:line="240" w:lineRule="auto"/>
              <w:ind w:firstLine="0" w:firstLineChars="0"/>
              <w:jc w:val="center"/>
              <w:rPr>
                <w:rFonts w:hint="eastAsia" w:ascii="Tahoma" w:hAnsi="Tahoma" w:cs="Tahoma"/>
                <w:color w:val="auto"/>
                <w:kern w:val="0"/>
                <w:sz w:val="21"/>
                <w:szCs w:val="21"/>
                <w:highlight w:val="none"/>
              </w:rPr>
            </w:pPr>
            <w:r>
              <w:rPr>
                <w:rFonts w:hint="eastAsia" w:cs="宋体"/>
                <w:color w:val="auto"/>
                <w:sz w:val="21"/>
                <w:szCs w:val="21"/>
                <w:highlight w:val="none"/>
              </w:rPr>
              <w:t>(</w:t>
            </w:r>
            <w:r>
              <w:rPr>
                <w:rFonts w:hint="eastAsia" w:cs="宋体"/>
                <w:color w:val="auto"/>
                <w:sz w:val="21"/>
                <w:szCs w:val="21"/>
                <w:highlight w:val="none"/>
                <w:lang w:val="en-US" w:eastAsia="zh-CN"/>
              </w:rPr>
              <w:t>5</w:t>
            </w:r>
            <w:r>
              <w:rPr>
                <w:rFonts w:hint="eastAsia" w:cs="宋体"/>
                <w:color w:val="auto"/>
                <w:sz w:val="21"/>
                <w:szCs w:val="21"/>
                <w:highlight w:val="none"/>
              </w:rPr>
              <w:t>)</w:t>
            </w:r>
            <w:r>
              <w:rPr>
                <w:rFonts w:hint="eastAsia" w:ascii="Tahoma" w:hAnsi="Tahoma" w:cs="Tahoma"/>
                <w:color w:val="auto"/>
                <w:kern w:val="0"/>
                <w:sz w:val="21"/>
                <w:szCs w:val="21"/>
                <w:highlight w:val="none"/>
              </w:rPr>
              <w:t>多模态数据云存储与算力支撑服务</w:t>
            </w:r>
          </w:p>
          <w:p w14:paraId="252AC541">
            <w:pPr>
              <w:widowControl/>
              <w:spacing w:line="240" w:lineRule="auto"/>
              <w:ind w:firstLine="0" w:firstLineChars="0"/>
              <w:jc w:val="center"/>
              <w:rPr>
                <w:rFonts w:hint="eastAsia" w:ascii="Tahoma" w:hAnsi="Tahoma" w:cs="Tahoma"/>
                <w:color w:val="auto"/>
                <w:kern w:val="0"/>
                <w:sz w:val="21"/>
                <w:szCs w:val="21"/>
                <w:highlight w:val="none"/>
              </w:rPr>
            </w:pPr>
          </w:p>
        </w:tc>
        <w:tc>
          <w:tcPr>
            <w:tcW w:w="3060" w:type="pct"/>
            <w:tcBorders>
              <w:top w:val="single" w:color="auto" w:sz="4" w:space="0"/>
              <w:left w:val="nil"/>
              <w:bottom w:val="single" w:color="auto" w:sz="4" w:space="0"/>
              <w:right w:val="single" w:color="auto" w:sz="4" w:space="0"/>
            </w:tcBorders>
            <w:shd w:val="clear" w:color="auto" w:fill="FFFFFF"/>
            <w:vAlign w:val="center"/>
          </w:tcPr>
          <w:p w14:paraId="72557430">
            <w:pPr>
              <w:numPr>
                <w:ilvl w:val="0"/>
                <w:numId w:val="17"/>
              </w:numPr>
              <w:spacing w:line="360" w:lineRule="auto"/>
              <w:ind w:left="905" w:leftChars="200" w:hanging="425" w:firstLineChars="0"/>
              <w:outlineLvl w:val="5"/>
              <w:rPr>
                <w:rFonts w:hint="eastAsia" w:ascii="宋体" w:hAnsi="宋体" w:cs="宋体"/>
                <w:color w:val="auto"/>
                <w:sz w:val="21"/>
                <w:szCs w:val="24"/>
                <w:highlight w:val="none"/>
              </w:rPr>
            </w:pPr>
            <w:r>
              <w:rPr>
                <w:rFonts w:hint="eastAsia" w:ascii="宋体" w:hAnsi="宋体" w:cs="宋体"/>
                <w:color w:val="auto"/>
                <w:sz w:val="21"/>
                <w:szCs w:val="24"/>
                <w:highlight w:val="none"/>
              </w:rPr>
              <w:t>多模态数据云存储服务</w:t>
            </w:r>
          </w:p>
          <w:p w14:paraId="3EE8F922">
            <w:pPr>
              <w:numPr>
                <w:ilvl w:val="255"/>
                <w:numId w:val="0"/>
              </w:numPr>
              <w:spacing w:line="360" w:lineRule="auto"/>
              <w:ind w:firstLine="420" w:firstLineChars="200"/>
              <w:rPr>
                <w:rFonts w:hint="eastAsia" w:ascii="宋体" w:hAnsi="宋体" w:cs="宋体"/>
                <w:color w:val="auto"/>
                <w:sz w:val="21"/>
                <w:szCs w:val="24"/>
                <w:highlight w:val="none"/>
              </w:rPr>
            </w:pPr>
            <w:r>
              <w:rPr>
                <w:rFonts w:hint="eastAsia" w:ascii="宋体" w:hAnsi="宋体" w:cs="宋体"/>
                <w:color w:val="auto"/>
                <w:sz w:val="21"/>
                <w:szCs w:val="24"/>
                <w:highlight w:val="none"/>
              </w:rPr>
              <w:t>鉴于本项目将产生大量的视频数据、心率时序数据和队列数据库数据，供应商</w:t>
            </w:r>
            <w:r>
              <w:rPr>
                <w:rFonts w:hint="eastAsia" w:cs="宋体"/>
                <w:color w:val="auto"/>
                <w:sz w:val="21"/>
                <w:szCs w:val="24"/>
                <w:highlight w:val="none"/>
                <w:lang w:eastAsia="zh-CN"/>
              </w:rPr>
              <w:t>需</w:t>
            </w:r>
            <w:r>
              <w:rPr>
                <w:rFonts w:hint="eastAsia" w:ascii="宋体" w:hAnsi="宋体" w:cs="宋体"/>
                <w:color w:val="auto"/>
                <w:sz w:val="21"/>
                <w:szCs w:val="24"/>
                <w:highlight w:val="none"/>
              </w:rPr>
              <w:t>提供可靠的多模态数据云存储服务，确保数据的安全存储与高效访问。</w:t>
            </w:r>
          </w:p>
          <w:p w14:paraId="46D06948">
            <w:pPr>
              <w:numPr>
                <w:ilvl w:val="0"/>
                <w:numId w:val="18"/>
              </w:numPr>
              <w:spacing w:line="360" w:lineRule="auto"/>
              <w:ind w:firstLine="420" w:firstLineChars="200"/>
              <w:rPr>
                <w:rFonts w:hint="eastAsia" w:ascii="宋体" w:hAnsi="宋体" w:cs="宋体"/>
                <w:color w:val="auto"/>
                <w:sz w:val="21"/>
                <w:szCs w:val="24"/>
                <w:highlight w:val="none"/>
              </w:rPr>
            </w:pPr>
            <w:r>
              <w:rPr>
                <w:rFonts w:hint="eastAsia" w:ascii="宋体" w:hAnsi="宋体" w:cs="宋体"/>
                <w:color w:val="auto"/>
                <w:sz w:val="21"/>
                <w:szCs w:val="24"/>
                <w:highlight w:val="none"/>
              </w:rPr>
              <w:t>对象存储服务：为视频文件、3D模型文件等非结构化大文件提供对象存储服务；</w:t>
            </w:r>
          </w:p>
          <w:p w14:paraId="204B671F">
            <w:pPr>
              <w:numPr>
                <w:ilvl w:val="0"/>
                <w:numId w:val="18"/>
              </w:numPr>
              <w:spacing w:line="360" w:lineRule="auto"/>
              <w:ind w:firstLine="420" w:firstLineChars="200"/>
              <w:rPr>
                <w:rFonts w:hint="eastAsia" w:ascii="宋体" w:hAnsi="宋体" w:cs="宋体"/>
                <w:color w:val="auto"/>
                <w:sz w:val="21"/>
                <w:szCs w:val="24"/>
                <w:highlight w:val="none"/>
              </w:rPr>
            </w:pPr>
            <w:r>
              <w:rPr>
                <w:rFonts w:hint="eastAsia" w:ascii="宋体" w:hAnsi="宋体" w:cs="宋体"/>
                <w:color w:val="auto"/>
                <w:sz w:val="21"/>
                <w:szCs w:val="24"/>
                <w:highlight w:val="none"/>
              </w:rPr>
              <w:t>关系型数据库存储：为队列数据库的结构化数据提供关系型数据库存储服务，支持主从复制和读写分离。</w:t>
            </w:r>
          </w:p>
          <w:p w14:paraId="32D448F3">
            <w:pPr>
              <w:numPr>
                <w:ilvl w:val="0"/>
                <w:numId w:val="17"/>
              </w:numPr>
              <w:spacing w:line="360" w:lineRule="auto"/>
              <w:ind w:left="905" w:leftChars="200" w:hanging="425" w:firstLineChars="0"/>
              <w:outlineLvl w:val="5"/>
              <w:rPr>
                <w:rFonts w:hint="eastAsia" w:ascii="宋体" w:hAnsi="宋体" w:cs="宋体"/>
                <w:color w:val="auto"/>
                <w:sz w:val="21"/>
                <w:szCs w:val="24"/>
                <w:highlight w:val="none"/>
              </w:rPr>
            </w:pPr>
            <w:r>
              <w:rPr>
                <w:rFonts w:hint="eastAsia" w:ascii="宋体" w:hAnsi="宋体" w:cs="宋体"/>
                <w:color w:val="auto"/>
                <w:sz w:val="21"/>
                <w:szCs w:val="24"/>
                <w:highlight w:val="none"/>
              </w:rPr>
              <w:t>数据处理与分析算力支撑服务</w:t>
            </w:r>
          </w:p>
          <w:p w14:paraId="667D7672">
            <w:pPr>
              <w:spacing w:line="360" w:lineRule="auto"/>
              <w:ind w:firstLine="420" w:firstLineChars="200"/>
              <w:rPr>
                <w:rFonts w:hint="eastAsia" w:ascii="宋体" w:hAnsi="宋体" w:cs="宋体"/>
                <w:color w:val="auto"/>
                <w:sz w:val="21"/>
                <w:szCs w:val="24"/>
                <w:highlight w:val="none"/>
              </w:rPr>
            </w:pPr>
            <w:r>
              <w:rPr>
                <w:rFonts w:hint="eastAsia" w:ascii="宋体" w:hAnsi="宋体" w:cs="宋体"/>
                <w:color w:val="auto"/>
                <w:sz w:val="21"/>
                <w:szCs w:val="24"/>
                <w:highlight w:val="none"/>
              </w:rPr>
              <w:t>本项目的数据清洗、特征计算、三维姿态反算、模型训练等环节需要消耗较大的计算资源，供应商</w:t>
            </w:r>
            <w:r>
              <w:rPr>
                <w:rFonts w:hint="eastAsia" w:cs="宋体"/>
                <w:color w:val="auto"/>
                <w:sz w:val="21"/>
                <w:szCs w:val="24"/>
                <w:highlight w:val="none"/>
                <w:lang w:eastAsia="zh-CN"/>
              </w:rPr>
              <w:t>需</w:t>
            </w:r>
            <w:r>
              <w:rPr>
                <w:rFonts w:hint="eastAsia" w:ascii="宋体" w:hAnsi="宋体" w:cs="宋体"/>
                <w:color w:val="auto"/>
                <w:sz w:val="21"/>
                <w:szCs w:val="24"/>
                <w:highlight w:val="none"/>
              </w:rPr>
              <w:t>提供弹性可扩展的算力支撑服务。</w:t>
            </w:r>
          </w:p>
          <w:p w14:paraId="2A30AF83">
            <w:pPr>
              <w:numPr>
                <w:ilvl w:val="0"/>
                <w:numId w:val="19"/>
              </w:numPr>
              <w:spacing w:line="360" w:lineRule="auto"/>
              <w:ind w:firstLine="420" w:firstLineChars="200"/>
              <w:rPr>
                <w:rFonts w:hint="eastAsia" w:ascii="宋体" w:hAnsi="宋体" w:cs="宋体"/>
                <w:color w:val="auto"/>
                <w:sz w:val="21"/>
                <w:szCs w:val="24"/>
                <w:highlight w:val="none"/>
              </w:rPr>
            </w:pPr>
            <w:r>
              <w:rPr>
                <w:rFonts w:hint="eastAsia" w:ascii="宋体" w:hAnsi="宋体" w:cs="宋体"/>
                <w:color w:val="auto"/>
                <w:sz w:val="21"/>
                <w:szCs w:val="24"/>
                <w:highlight w:val="none"/>
              </w:rPr>
              <w:t>弹性算力配置：根据数据处理任务的负载特征动态调配计算资源，批量清洗任务可调度CPU集群并行处理，三维姿态反算和深度学习模型训练任务可调度GPU集群加速处理；</w:t>
            </w:r>
          </w:p>
          <w:p w14:paraId="7940F103">
            <w:pPr>
              <w:numPr>
                <w:ilvl w:val="0"/>
                <w:numId w:val="19"/>
              </w:numPr>
              <w:spacing w:line="360" w:lineRule="auto"/>
              <w:ind w:firstLine="420" w:firstLineChars="200"/>
              <w:rPr>
                <w:rFonts w:ascii="Tahoma" w:hAnsi="Tahoma" w:cs="Tahoma"/>
                <w:color w:val="auto"/>
                <w:kern w:val="0"/>
                <w:sz w:val="21"/>
                <w:szCs w:val="21"/>
                <w:highlight w:val="none"/>
              </w:rPr>
            </w:pPr>
            <w:r>
              <w:rPr>
                <w:rFonts w:hint="eastAsia" w:ascii="宋体" w:hAnsi="宋体" w:cs="宋体"/>
                <w:color w:val="auto"/>
                <w:sz w:val="21"/>
                <w:szCs w:val="24"/>
                <w:highlight w:val="none"/>
              </w:rPr>
              <w:t>算力调度与管理：提供任务队列管理和资源调度系统，支持任务优先级配置、失败自动重试、资源用量监控与告警。</w:t>
            </w:r>
          </w:p>
        </w:tc>
      </w:tr>
      <w:tr w14:paraId="5C183BC4">
        <w:tblPrEx>
          <w:tblCellMar>
            <w:top w:w="0" w:type="dxa"/>
            <w:left w:w="108" w:type="dxa"/>
            <w:bottom w:w="0" w:type="dxa"/>
            <w:right w:w="108" w:type="dxa"/>
          </w:tblCellMar>
        </w:tblPrEx>
        <w:trPr>
          <w:trHeight w:val="575" w:hRule="atLeast"/>
          <w:jc w:val="center"/>
        </w:trPr>
        <w:tc>
          <w:tcPr>
            <w:tcW w:w="395" w:type="pct"/>
            <w:tcBorders>
              <w:top w:val="single" w:color="auto" w:sz="4" w:space="0"/>
              <w:left w:val="single" w:color="auto" w:sz="4" w:space="0"/>
              <w:bottom w:val="single" w:color="auto" w:sz="4" w:space="0"/>
              <w:right w:val="single" w:color="auto" w:sz="4" w:space="0"/>
            </w:tcBorders>
            <w:shd w:val="clear" w:color="auto" w:fill="FFFFFF"/>
            <w:vAlign w:val="top"/>
          </w:tcPr>
          <w:p w14:paraId="26AFF498">
            <w:pPr>
              <w:widowControl/>
              <w:spacing w:line="240" w:lineRule="auto"/>
              <w:ind w:firstLine="0" w:firstLineChars="0"/>
              <w:jc w:val="center"/>
              <w:rPr>
                <w:rFonts w:ascii="Tahoma" w:hAnsi="Tahoma" w:cs="Tahoma"/>
                <w:color w:val="auto"/>
                <w:kern w:val="0"/>
                <w:sz w:val="21"/>
                <w:szCs w:val="21"/>
                <w:highlight w:val="none"/>
              </w:rPr>
            </w:pPr>
            <w:r>
              <w:rPr>
                <w:rFonts w:ascii="Tahoma" w:hAnsi="Tahoma" w:cs="Tahoma"/>
                <w:color w:val="auto"/>
                <w:kern w:val="0"/>
                <w:sz w:val="21"/>
                <w:szCs w:val="21"/>
                <w:highlight w:val="none"/>
              </w:rPr>
              <w:t>2</w:t>
            </w:r>
          </w:p>
        </w:tc>
        <w:tc>
          <w:tcPr>
            <w:tcW w:w="682" w:type="pct"/>
            <w:tcBorders>
              <w:top w:val="single" w:color="auto" w:sz="4" w:space="0"/>
              <w:left w:val="nil"/>
              <w:bottom w:val="single" w:color="auto" w:sz="4" w:space="0"/>
              <w:right w:val="single" w:color="auto" w:sz="4" w:space="0"/>
            </w:tcBorders>
            <w:shd w:val="clear" w:color="auto" w:fill="FFFFFF"/>
            <w:vAlign w:val="top"/>
          </w:tcPr>
          <w:p w14:paraId="6A15A148">
            <w:pPr>
              <w:ind w:firstLine="0" w:firstLineChars="0"/>
              <w:jc w:val="center"/>
              <w:outlineLvl w:val="3"/>
              <w:rPr>
                <w:rFonts w:ascii="Tahoma" w:hAnsi="Tahoma" w:cs="Tahoma"/>
                <w:color w:val="auto"/>
                <w:kern w:val="0"/>
                <w:sz w:val="21"/>
                <w:szCs w:val="21"/>
                <w:highlight w:val="none"/>
              </w:rPr>
            </w:pPr>
            <w:r>
              <w:rPr>
                <w:rFonts w:hint="eastAsia" w:cs="宋体"/>
                <w:color w:val="auto"/>
                <w:sz w:val="21"/>
                <w:szCs w:val="21"/>
                <w:highlight w:val="none"/>
              </w:rPr>
              <w:t>面向全成长周期和全人群的运动强体综合指导智能适配与精准推送服务</w:t>
            </w:r>
          </w:p>
        </w:tc>
        <w:tc>
          <w:tcPr>
            <w:tcW w:w="861" w:type="pct"/>
            <w:tcBorders>
              <w:top w:val="single" w:color="auto" w:sz="4" w:space="0"/>
              <w:left w:val="nil"/>
              <w:bottom w:val="single" w:color="auto" w:sz="4" w:space="0"/>
              <w:right w:val="single" w:color="auto" w:sz="4" w:space="0"/>
            </w:tcBorders>
            <w:shd w:val="clear" w:color="auto" w:fill="FFFFFF"/>
            <w:vAlign w:val="top"/>
          </w:tcPr>
          <w:p w14:paraId="0ED04012">
            <w:pPr>
              <w:widowControl/>
              <w:spacing w:line="240" w:lineRule="auto"/>
              <w:ind w:firstLine="0" w:firstLineChars="0"/>
              <w:jc w:val="center"/>
              <w:rPr>
                <w:rFonts w:ascii="Tahoma" w:hAnsi="Tahoma" w:cs="Tahoma"/>
                <w:color w:val="auto"/>
                <w:kern w:val="0"/>
                <w:sz w:val="21"/>
                <w:szCs w:val="21"/>
                <w:highlight w:val="none"/>
              </w:rPr>
            </w:pPr>
            <w:r>
              <w:rPr>
                <w:rFonts w:hint="eastAsia" w:cs="宋体"/>
                <w:color w:val="auto"/>
                <w:sz w:val="21"/>
                <w:szCs w:val="21"/>
                <w:highlight w:val="none"/>
                <w:lang w:eastAsia="zh-CN"/>
              </w:rPr>
              <w:t>（</w:t>
            </w:r>
            <w:r>
              <w:rPr>
                <w:rFonts w:hint="eastAsia" w:cs="宋体"/>
                <w:color w:val="auto"/>
                <w:sz w:val="21"/>
                <w:szCs w:val="21"/>
                <w:highlight w:val="none"/>
                <w:lang w:val="en-US" w:eastAsia="zh-CN"/>
              </w:rPr>
              <w:t>1</w:t>
            </w:r>
            <w:r>
              <w:rPr>
                <w:rFonts w:hint="eastAsia" w:cs="宋体"/>
                <w:color w:val="auto"/>
                <w:sz w:val="21"/>
                <w:szCs w:val="21"/>
                <w:highlight w:val="none"/>
                <w:lang w:eastAsia="zh-CN"/>
              </w:rPr>
              <w:t>）</w:t>
            </w:r>
            <w:r>
              <w:rPr>
                <w:rFonts w:hint="eastAsia" w:ascii="宋体" w:hAnsi="宋体" w:cs="宋体"/>
                <w:color w:val="auto"/>
                <w:sz w:val="21"/>
                <w:szCs w:val="21"/>
                <w:highlight w:val="none"/>
              </w:rPr>
              <w:t>3D数字人动作库制作服务</w:t>
            </w:r>
          </w:p>
        </w:tc>
        <w:tc>
          <w:tcPr>
            <w:tcW w:w="3060" w:type="pct"/>
            <w:tcBorders>
              <w:top w:val="single" w:color="auto" w:sz="4" w:space="0"/>
              <w:left w:val="nil"/>
              <w:bottom w:val="single" w:color="auto" w:sz="4" w:space="0"/>
              <w:right w:val="single" w:color="auto" w:sz="4" w:space="0"/>
            </w:tcBorders>
            <w:shd w:val="clear" w:color="auto" w:fill="FFFFFF"/>
            <w:vAlign w:val="center"/>
          </w:tcPr>
          <w:p w14:paraId="0ABC6E78">
            <w:pPr>
              <w:numPr>
                <w:ilvl w:val="0"/>
                <w:numId w:val="20"/>
              </w:numPr>
              <w:spacing w:line="360" w:lineRule="auto"/>
              <w:ind w:left="905" w:leftChars="200" w:hanging="425" w:firstLineChars="0"/>
              <w:outlineLvl w:val="5"/>
              <w:rPr>
                <w:rFonts w:hint="eastAsia" w:ascii="宋体" w:hAnsi="宋体" w:cs="宋体"/>
                <w:color w:val="auto"/>
                <w:sz w:val="21"/>
                <w:szCs w:val="24"/>
                <w:highlight w:val="none"/>
              </w:rPr>
            </w:pPr>
            <w:r>
              <w:rPr>
                <w:rFonts w:hint="eastAsia" w:ascii="宋体" w:hAnsi="宋体" w:cs="宋体"/>
                <w:color w:val="auto"/>
                <w:sz w:val="21"/>
                <w:szCs w:val="24"/>
                <w:highlight w:val="none"/>
              </w:rPr>
              <w:t>动作库制作范围与学段划分</w:t>
            </w:r>
          </w:p>
          <w:p w14:paraId="5F606382">
            <w:pPr>
              <w:spacing w:line="360" w:lineRule="auto"/>
              <w:ind w:firstLine="420" w:firstLineChars="200"/>
              <w:rPr>
                <w:rFonts w:hint="eastAsia" w:ascii="宋体" w:hAnsi="宋体" w:cs="宋体"/>
                <w:color w:val="auto"/>
                <w:sz w:val="21"/>
                <w:szCs w:val="24"/>
                <w:highlight w:val="none"/>
              </w:rPr>
            </w:pPr>
            <w:r>
              <w:rPr>
                <w:rFonts w:hint="eastAsia" w:ascii="宋体" w:hAnsi="宋体" w:cs="宋体"/>
                <w:color w:val="auto"/>
                <w:sz w:val="21"/>
                <w:szCs w:val="24"/>
                <w:highlight w:val="none"/>
              </w:rPr>
              <w:t>围绕小学段（1-5年级）趣味化基础运动、初中段（6-9年级）体质提升结合中考项目训练、高中段（10-12年级）专项体能结合能发展的分学段需求，制作核心体育项目的3D数字人动作库。动作库需匹配上体体育大模型对运动动作的解析标准，关联动作对应的运动生物力学参数，为后续智能指导提供数据支撑。动作库的制作须遵循以下学段化设计原则：</w:t>
            </w:r>
          </w:p>
          <w:p w14:paraId="7013E35E">
            <w:pPr>
              <w:spacing w:line="360" w:lineRule="auto"/>
              <w:ind w:firstLine="420" w:firstLineChars="200"/>
              <w:rPr>
                <w:rFonts w:hint="eastAsia" w:ascii="宋体" w:hAnsi="宋体" w:cs="宋体"/>
                <w:color w:val="auto"/>
                <w:sz w:val="21"/>
                <w:szCs w:val="24"/>
                <w:highlight w:val="none"/>
              </w:rPr>
            </w:pPr>
            <w:r>
              <w:rPr>
                <w:rFonts w:hint="eastAsia" w:ascii="宋体" w:hAnsi="宋体" w:cs="宋体"/>
                <w:color w:val="auto"/>
                <w:sz w:val="21"/>
                <w:szCs w:val="24"/>
                <w:highlight w:val="none"/>
              </w:rPr>
              <w:t>小学段：侧重趣味化基础运动能力培养。</w:t>
            </w:r>
          </w:p>
          <w:p w14:paraId="5D2449AD">
            <w:pPr>
              <w:spacing w:line="360" w:lineRule="auto"/>
              <w:ind w:firstLine="420" w:firstLineChars="200"/>
              <w:rPr>
                <w:rFonts w:hint="eastAsia" w:ascii="宋体" w:hAnsi="宋体" w:cs="宋体"/>
                <w:color w:val="auto"/>
                <w:sz w:val="21"/>
                <w:szCs w:val="24"/>
                <w:highlight w:val="none"/>
              </w:rPr>
            </w:pPr>
            <w:r>
              <w:rPr>
                <w:rFonts w:hint="eastAsia" w:ascii="宋体" w:hAnsi="宋体" w:cs="宋体"/>
                <w:color w:val="auto"/>
                <w:sz w:val="21"/>
                <w:szCs w:val="24"/>
                <w:highlight w:val="none"/>
              </w:rPr>
              <w:t>初中段：侧重身体素质提升与中考体育项目针对性训练。</w:t>
            </w:r>
          </w:p>
          <w:p w14:paraId="304041D3">
            <w:pPr>
              <w:spacing w:line="360" w:lineRule="auto"/>
              <w:ind w:firstLine="420" w:firstLineChars="200"/>
              <w:rPr>
                <w:rFonts w:hint="eastAsia" w:ascii="宋体" w:hAnsi="宋体" w:cs="宋体"/>
                <w:color w:val="auto"/>
                <w:sz w:val="21"/>
                <w:szCs w:val="24"/>
                <w:highlight w:val="none"/>
              </w:rPr>
            </w:pPr>
            <w:r>
              <w:rPr>
                <w:rFonts w:hint="eastAsia" w:ascii="宋体" w:hAnsi="宋体" w:cs="宋体"/>
                <w:color w:val="auto"/>
                <w:sz w:val="21"/>
                <w:szCs w:val="24"/>
                <w:highlight w:val="none"/>
              </w:rPr>
              <w:t>高中段：侧重专项体能发展与运动技能深化。</w:t>
            </w:r>
          </w:p>
          <w:p w14:paraId="700FB7F9">
            <w:pPr>
              <w:numPr>
                <w:ilvl w:val="0"/>
                <w:numId w:val="20"/>
              </w:numPr>
              <w:spacing w:line="360" w:lineRule="auto"/>
              <w:ind w:left="905" w:leftChars="200" w:hanging="425" w:firstLineChars="0"/>
              <w:outlineLvl w:val="5"/>
              <w:rPr>
                <w:rFonts w:hint="eastAsia" w:ascii="宋体" w:hAnsi="宋体" w:cs="宋体"/>
                <w:color w:val="auto"/>
                <w:sz w:val="21"/>
                <w:szCs w:val="24"/>
                <w:highlight w:val="none"/>
              </w:rPr>
            </w:pPr>
            <w:r>
              <w:rPr>
                <w:rFonts w:hint="eastAsia" w:ascii="宋体" w:hAnsi="宋体" w:cs="宋体"/>
                <w:color w:val="auto"/>
                <w:sz w:val="21"/>
                <w:szCs w:val="24"/>
                <w:highlight w:val="none"/>
              </w:rPr>
              <w:t>3D数字人制作技术规格</w:t>
            </w:r>
          </w:p>
          <w:p w14:paraId="323C8F81">
            <w:pPr>
              <w:numPr>
                <w:ilvl w:val="0"/>
                <w:numId w:val="21"/>
              </w:numPr>
              <w:spacing w:line="360" w:lineRule="auto"/>
              <w:ind w:firstLine="400"/>
              <w:rPr>
                <w:rFonts w:hint="eastAsia" w:ascii="宋体" w:hAnsi="宋体" w:cs="宋体"/>
                <w:color w:val="auto"/>
                <w:sz w:val="21"/>
                <w:szCs w:val="24"/>
                <w:highlight w:val="none"/>
              </w:rPr>
            </w:pPr>
            <w:r>
              <w:rPr>
                <w:rFonts w:hint="eastAsia" w:ascii="宋体" w:hAnsi="宋体" w:cs="宋体"/>
                <w:color w:val="auto"/>
                <w:sz w:val="21"/>
                <w:szCs w:val="24"/>
                <w:highlight w:val="none"/>
              </w:rPr>
              <w:t>生物力学参数关联：每个动作的关键帧节点须挂载对应的生物力学参数数据包。这些参数须与上体体育大模型内置的动作解析知识库保持语义对齐；</w:t>
            </w:r>
          </w:p>
          <w:p w14:paraId="6A4B4835">
            <w:pPr>
              <w:numPr>
                <w:ilvl w:val="0"/>
                <w:numId w:val="21"/>
              </w:numPr>
              <w:spacing w:line="360" w:lineRule="auto"/>
              <w:ind w:firstLine="400"/>
              <w:rPr>
                <w:rFonts w:hint="eastAsia" w:ascii="宋体" w:hAnsi="宋体" w:cs="宋体"/>
                <w:color w:val="auto"/>
                <w:sz w:val="21"/>
                <w:szCs w:val="24"/>
                <w:highlight w:val="none"/>
              </w:rPr>
            </w:pPr>
            <w:r>
              <w:rPr>
                <w:rFonts w:hint="eastAsia" w:ascii="宋体" w:hAnsi="宋体" w:cs="宋体"/>
                <w:color w:val="auto"/>
                <w:sz w:val="21"/>
                <w:szCs w:val="24"/>
                <w:highlight w:val="none"/>
              </w:rPr>
              <w:t>动画流畅度：动作动画帧率不低于30FPS，单个完整动作的时长不低于5秒，动作过渡须平滑自然；</w:t>
            </w:r>
          </w:p>
          <w:p w14:paraId="5F8224A1">
            <w:pPr>
              <w:numPr>
                <w:ilvl w:val="0"/>
                <w:numId w:val="21"/>
              </w:numPr>
              <w:spacing w:line="360" w:lineRule="auto"/>
              <w:ind w:firstLine="400"/>
              <w:rPr>
                <w:rFonts w:hint="eastAsia" w:ascii="宋体" w:hAnsi="宋体" w:cs="宋体"/>
                <w:color w:val="auto"/>
                <w:sz w:val="21"/>
                <w:szCs w:val="24"/>
                <w:highlight w:val="none"/>
              </w:rPr>
            </w:pPr>
            <w:r>
              <w:rPr>
                <w:rFonts w:hint="eastAsia" w:ascii="宋体" w:hAnsi="宋体" w:cs="宋体"/>
                <w:color w:val="auto"/>
                <w:sz w:val="21"/>
                <w:szCs w:val="24"/>
                <w:highlight w:val="none"/>
              </w:rPr>
              <w:t>跨平台展示兼容：动作库的交付格式须支持Web端的离线加载与交互式浏览。</w:t>
            </w:r>
          </w:p>
          <w:p w14:paraId="67264BE3">
            <w:pPr>
              <w:spacing w:line="360" w:lineRule="auto"/>
              <w:ind w:firstLine="420" w:firstLineChars="200"/>
              <w:rPr>
                <w:rFonts w:ascii="Tahoma" w:hAnsi="Tahoma" w:cs="Tahoma"/>
                <w:color w:val="auto"/>
                <w:kern w:val="0"/>
                <w:sz w:val="21"/>
                <w:szCs w:val="21"/>
                <w:highlight w:val="none"/>
              </w:rPr>
            </w:pPr>
          </w:p>
        </w:tc>
      </w:tr>
      <w:tr w14:paraId="38E02131">
        <w:tblPrEx>
          <w:tblCellMar>
            <w:top w:w="0" w:type="dxa"/>
            <w:left w:w="108" w:type="dxa"/>
            <w:bottom w:w="0" w:type="dxa"/>
            <w:right w:w="108" w:type="dxa"/>
          </w:tblCellMar>
        </w:tblPrEx>
        <w:trPr>
          <w:trHeight w:val="1710" w:hRule="atLeast"/>
          <w:jc w:val="center"/>
        </w:trPr>
        <w:tc>
          <w:tcPr>
            <w:tcW w:w="395" w:type="pct"/>
            <w:tcBorders>
              <w:top w:val="single" w:color="auto" w:sz="4" w:space="0"/>
              <w:left w:val="single" w:color="auto" w:sz="4" w:space="0"/>
              <w:bottom w:val="single" w:color="auto" w:sz="4" w:space="0"/>
              <w:right w:val="single" w:color="auto" w:sz="4" w:space="0"/>
            </w:tcBorders>
            <w:shd w:val="clear" w:color="auto" w:fill="FFFFFF"/>
            <w:vAlign w:val="top"/>
          </w:tcPr>
          <w:p w14:paraId="3A4B294A">
            <w:pPr>
              <w:widowControl/>
              <w:spacing w:line="240" w:lineRule="auto"/>
              <w:ind w:firstLine="0" w:firstLineChars="0"/>
              <w:jc w:val="center"/>
              <w:rPr>
                <w:rFonts w:ascii="Tahoma" w:hAnsi="Tahoma" w:cs="Tahoma"/>
                <w:color w:val="auto"/>
                <w:kern w:val="0"/>
                <w:sz w:val="21"/>
                <w:szCs w:val="21"/>
                <w:highlight w:val="none"/>
              </w:rPr>
            </w:pPr>
          </w:p>
        </w:tc>
        <w:tc>
          <w:tcPr>
            <w:tcW w:w="682" w:type="pct"/>
            <w:tcBorders>
              <w:top w:val="single" w:color="auto" w:sz="4" w:space="0"/>
              <w:left w:val="nil"/>
              <w:bottom w:val="single" w:color="auto" w:sz="4" w:space="0"/>
              <w:right w:val="single" w:color="auto" w:sz="4" w:space="0"/>
            </w:tcBorders>
            <w:shd w:val="clear" w:color="auto" w:fill="FFFFFF"/>
            <w:vAlign w:val="top"/>
          </w:tcPr>
          <w:p w14:paraId="06B0FBDE">
            <w:pPr>
              <w:ind w:firstLine="0" w:firstLineChars="0"/>
              <w:jc w:val="center"/>
              <w:outlineLvl w:val="3"/>
              <w:rPr>
                <w:rFonts w:hint="eastAsia" w:cs="宋体"/>
                <w:color w:val="auto"/>
                <w:sz w:val="21"/>
                <w:szCs w:val="21"/>
                <w:highlight w:val="none"/>
              </w:rPr>
            </w:pPr>
          </w:p>
        </w:tc>
        <w:tc>
          <w:tcPr>
            <w:tcW w:w="861" w:type="pct"/>
            <w:tcBorders>
              <w:top w:val="single" w:color="auto" w:sz="4" w:space="0"/>
              <w:left w:val="nil"/>
              <w:bottom w:val="single" w:color="auto" w:sz="4" w:space="0"/>
              <w:right w:val="single" w:color="auto" w:sz="4" w:space="0"/>
            </w:tcBorders>
            <w:shd w:val="clear" w:color="auto" w:fill="FFFFFF"/>
            <w:vAlign w:val="top"/>
          </w:tcPr>
          <w:p w14:paraId="0D72681E">
            <w:pPr>
              <w:widowControl/>
              <w:spacing w:line="240" w:lineRule="auto"/>
              <w:ind w:firstLine="0" w:firstLineChars="0"/>
              <w:jc w:val="center"/>
              <w:rPr>
                <w:rFonts w:hint="eastAsia" w:ascii="宋体" w:hAnsi="宋体" w:cs="宋体"/>
                <w:color w:val="auto"/>
                <w:sz w:val="21"/>
                <w:szCs w:val="21"/>
                <w:highlight w:val="none"/>
              </w:rPr>
            </w:pPr>
            <w:r>
              <w:rPr>
                <w:rFonts w:hint="eastAsia" w:cs="宋体"/>
                <w:color w:val="auto"/>
                <w:sz w:val="21"/>
                <w:szCs w:val="21"/>
                <w:highlight w:val="none"/>
                <w:lang w:eastAsia="zh-CN"/>
              </w:rPr>
              <w:t>（</w:t>
            </w:r>
            <w:r>
              <w:rPr>
                <w:rFonts w:hint="eastAsia" w:cs="宋体"/>
                <w:color w:val="auto"/>
                <w:sz w:val="21"/>
                <w:szCs w:val="21"/>
                <w:highlight w:val="none"/>
                <w:lang w:val="en-US" w:eastAsia="zh-CN"/>
              </w:rPr>
              <w:t>2</w:t>
            </w:r>
            <w:r>
              <w:rPr>
                <w:rFonts w:hint="eastAsia" w:cs="宋体"/>
                <w:color w:val="auto"/>
                <w:sz w:val="21"/>
                <w:szCs w:val="21"/>
                <w:highlight w:val="none"/>
                <w:lang w:eastAsia="zh-CN"/>
              </w:rPr>
              <w:t>）</w:t>
            </w:r>
            <w:r>
              <w:rPr>
                <w:rFonts w:hint="eastAsia" w:ascii="宋体" w:hAnsi="宋体" w:cs="宋体"/>
                <w:color w:val="auto"/>
                <w:sz w:val="21"/>
                <w:szCs w:val="21"/>
                <w:highlight w:val="none"/>
              </w:rPr>
              <w:t>上体体育大模型数据接口适配服务</w:t>
            </w:r>
          </w:p>
        </w:tc>
        <w:tc>
          <w:tcPr>
            <w:tcW w:w="3060" w:type="pct"/>
            <w:tcBorders>
              <w:top w:val="single" w:color="auto" w:sz="4" w:space="0"/>
              <w:left w:val="nil"/>
              <w:bottom w:val="single" w:color="auto" w:sz="4" w:space="0"/>
              <w:right w:val="single" w:color="auto" w:sz="4" w:space="0"/>
            </w:tcBorders>
            <w:shd w:val="clear" w:color="auto" w:fill="FFFFFF"/>
            <w:vAlign w:val="center"/>
          </w:tcPr>
          <w:p w14:paraId="41A47030">
            <w:pPr>
              <w:spacing w:line="360" w:lineRule="auto"/>
              <w:ind w:firstLine="420" w:firstLineChars="200"/>
              <w:outlineLvl w:val="5"/>
              <w:rPr>
                <w:rFonts w:hint="eastAsia" w:ascii="宋体" w:hAnsi="宋体" w:cs="宋体"/>
                <w:color w:val="auto"/>
                <w:sz w:val="21"/>
                <w:szCs w:val="24"/>
                <w:highlight w:val="none"/>
              </w:rPr>
            </w:pPr>
            <w:r>
              <w:rPr>
                <w:rFonts w:hint="eastAsia" w:ascii="宋体" w:hAnsi="宋体" w:cs="宋体"/>
                <w:color w:val="auto"/>
                <w:sz w:val="21"/>
                <w:szCs w:val="24"/>
                <w:highlight w:val="none"/>
              </w:rPr>
              <w:t>1) 模型接口解析与对接方案</w:t>
            </w:r>
          </w:p>
          <w:p w14:paraId="634A299F">
            <w:pPr>
              <w:spacing w:line="360" w:lineRule="auto"/>
              <w:ind w:firstLine="420" w:firstLineChars="200"/>
              <w:rPr>
                <w:rFonts w:hint="eastAsia" w:ascii="宋体" w:hAnsi="宋体" w:cs="宋体"/>
                <w:color w:val="auto"/>
                <w:sz w:val="21"/>
                <w:szCs w:val="24"/>
                <w:highlight w:val="none"/>
              </w:rPr>
            </w:pPr>
            <w:r>
              <w:rPr>
                <w:rFonts w:hint="eastAsia" w:ascii="宋体" w:hAnsi="宋体" w:cs="宋体"/>
                <w:color w:val="auto"/>
                <w:sz w:val="21"/>
                <w:szCs w:val="24"/>
                <w:highlight w:val="none"/>
              </w:rPr>
              <w:t>深入研究上体体育大模型的整体技术架构与对外服务接口规范，完成本项目核心业务系统与大模型平台之间的全链路对接适配。供应商在</w:t>
            </w:r>
            <w:r>
              <w:rPr>
                <w:rFonts w:hint="eastAsia" w:cs="宋体"/>
                <w:color w:val="auto"/>
                <w:sz w:val="21"/>
                <w:szCs w:val="24"/>
                <w:highlight w:val="none"/>
                <w:lang w:eastAsia="zh-CN"/>
              </w:rPr>
              <w:t>响应文件</w:t>
            </w:r>
            <w:r>
              <w:rPr>
                <w:rFonts w:hint="eastAsia" w:ascii="宋体" w:hAnsi="宋体" w:cs="宋体"/>
                <w:color w:val="auto"/>
                <w:sz w:val="21"/>
                <w:szCs w:val="24"/>
                <w:highlight w:val="none"/>
              </w:rPr>
              <w:t>中提交的《大模型接口适配技术方案》</w:t>
            </w:r>
            <w:r>
              <w:rPr>
                <w:rFonts w:hint="eastAsia" w:cs="宋体"/>
                <w:color w:val="auto"/>
                <w:sz w:val="21"/>
                <w:szCs w:val="24"/>
                <w:highlight w:val="none"/>
                <w:lang w:eastAsia="zh-CN"/>
              </w:rPr>
              <w:t>需</w:t>
            </w:r>
            <w:r>
              <w:rPr>
                <w:rFonts w:hint="eastAsia" w:ascii="宋体" w:hAnsi="宋体" w:cs="宋体"/>
                <w:color w:val="auto"/>
                <w:sz w:val="21"/>
                <w:szCs w:val="24"/>
                <w:highlight w:val="none"/>
              </w:rPr>
              <w:t>体现对以下技术要素的充分理解与应对思路：</w:t>
            </w:r>
          </w:p>
          <w:p w14:paraId="5DA533D0">
            <w:pPr>
              <w:numPr>
                <w:ilvl w:val="0"/>
                <w:numId w:val="22"/>
              </w:numPr>
              <w:spacing w:line="360" w:lineRule="auto"/>
              <w:ind w:firstLine="400"/>
              <w:rPr>
                <w:rFonts w:hint="eastAsia" w:ascii="宋体" w:hAnsi="宋体" w:cs="宋体"/>
                <w:color w:val="auto"/>
                <w:sz w:val="21"/>
                <w:szCs w:val="24"/>
                <w:highlight w:val="none"/>
              </w:rPr>
            </w:pPr>
            <w:r>
              <w:rPr>
                <w:rFonts w:hint="eastAsia" w:ascii="宋体" w:hAnsi="宋体" w:cs="宋体"/>
                <w:color w:val="auto"/>
                <w:sz w:val="21"/>
                <w:szCs w:val="24"/>
                <w:highlight w:val="none"/>
              </w:rPr>
              <w:t>对模型架构的理解：阐明如何在项目中利用模型的运动图像理解能力和自然语言推理能力；</w:t>
            </w:r>
          </w:p>
          <w:p w14:paraId="3C7636F4">
            <w:pPr>
              <w:numPr>
                <w:ilvl w:val="0"/>
                <w:numId w:val="22"/>
              </w:numPr>
              <w:spacing w:line="360" w:lineRule="auto"/>
              <w:ind w:firstLine="400"/>
              <w:rPr>
                <w:rFonts w:hint="eastAsia" w:ascii="宋体" w:hAnsi="宋体" w:cs="宋体"/>
                <w:color w:val="auto"/>
                <w:sz w:val="21"/>
                <w:szCs w:val="24"/>
                <w:highlight w:val="none"/>
              </w:rPr>
            </w:pPr>
            <w:r>
              <w:rPr>
                <w:rFonts w:hint="eastAsia" w:ascii="宋体" w:hAnsi="宋体" w:cs="宋体"/>
                <w:color w:val="auto"/>
                <w:sz w:val="21"/>
                <w:szCs w:val="24"/>
                <w:highlight w:val="none"/>
              </w:rPr>
              <w:t>规模工程化落地的理解：说明在资源受限环境下如何优化大模型调用的延迟与成本；</w:t>
            </w:r>
          </w:p>
          <w:p w14:paraId="376444A4">
            <w:pPr>
              <w:numPr>
                <w:ilvl w:val="0"/>
                <w:numId w:val="22"/>
              </w:numPr>
              <w:spacing w:line="360" w:lineRule="auto"/>
              <w:ind w:firstLine="400"/>
              <w:rPr>
                <w:rFonts w:hint="eastAsia" w:ascii="宋体" w:hAnsi="宋体" w:cs="宋体"/>
                <w:color w:val="auto"/>
                <w:sz w:val="21"/>
                <w:szCs w:val="24"/>
                <w:highlight w:val="none"/>
              </w:rPr>
            </w:pPr>
            <w:bookmarkStart w:id="17" w:name="OLE_LINK12"/>
            <w:r>
              <w:rPr>
                <w:rFonts w:hint="eastAsia" w:ascii="宋体" w:hAnsi="宋体" w:cs="宋体"/>
                <w:color w:val="auto"/>
                <w:sz w:val="21"/>
                <w:szCs w:val="24"/>
                <w:highlight w:val="none"/>
              </w:rPr>
              <w:t>对跨模态语义对齐技术的理解：说明如何将本项目采集的多模态数据，转换为适配大模型读取、运算的标准化对齐输入格式；</w:t>
            </w:r>
          </w:p>
          <w:bookmarkEnd w:id="17"/>
          <w:p w14:paraId="344F6485">
            <w:pPr>
              <w:numPr>
                <w:ilvl w:val="0"/>
                <w:numId w:val="22"/>
              </w:numPr>
              <w:spacing w:line="360" w:lineRule="auto"/>
              <w:ind w:firstLine="400"/>
              <w:rPr>
                <w:rFonts w:hint="eastAsia" w:ascii="宋体" w:hAnsi="宋体" w:cs="宋体"/>
                <w:color w:val="auto"/>
                <w:sz w:val="21"/>
                <w:szCs w:val="24"/>
                <w:highlight w:val="none"/>
              </w:rPr>
            </w:pPr>
            <w:r>
              <w:rPr>
                <w:rFonts w:hint="eastAsia" w:ascii="宋体" w:hAnsi="宋体" w:cs="宋体"/>
                <w:color w:val="auto"/>
                <w:sz w:val="21"/>
                <w:szCs w:val="24"/>
                <w:highlight w:val="none"/>
              </w:rPr>
              <w:t>对模型知识边界的理解：识别出大模型当前已具备的体育知识域与本项目的具体诉求之间的匹配关系与潜在风险，并提出弥补方案。</w:t>
            </w:r>
          </w:p>
          <w:p w14:paraId="6CB9BF93">
            <w:pPr>
              <w:spacing w:line="360" w:lineRule="auto"/>
              <w:ind w:firstLine="420" w:firstLineChars="200"/>
              <w:outlineLvl w:val="5"/>
              <w:rPr>
                <w:rFonts w:hint="eastAsia" w:ascii="宋体" w:hAnsi="宋体" w:cs="宋体"/>
                <w:color w:val="auto"/>
                <w:sz w:val="21"/>
                <w:szCs w:val="24"/>
                <w:highlight w:val="none"/>
              </w:rPr>
            </w:pPr>
            <w:r>
              <w:rPr>
                <w:rFonts w:hint="eastAsia" w:ascii="宋体" w:hAnsi="宋体" w:cs="宋体"/>
                <w:color w:val="auto"/>
                <w:sz w:val="21"/>
                <w:szCs w:val="24"/>
                <w:highlight w:val="none"/>
              </w:rPr>
              <w:t>2) 数据通道与格式转换</w:t>
            </w:r>
          </w:p>
          <w:p w14:paraId="225CC378">
            <w:pPr>
              <w:spacing w:line="360" w:lineRule="auto"/>
              <w:ind w:firstLine="420" w:firstLineChars="200"/>
              <w:rPr>
                <w:rFonts w:hint="eastAsia" w:ascii="宋体" w:hAnsi="宋体" w:cs="宋体"/>
                <w:color w:val="auto"/>
                <w:sz w:val="21"/>
                <w:szCs w:val="24"/>
                <w:highlight w:val="none"/>
              </w:rPr>
            </w:pPr>
            <w:r>
              <w:rPr>
                <w:rFonts w:hint="eastAsia" w:ascii="宋体" w:hAnsi="宋体" w:cs="宋体"/>
                <w:color w:val="auto"/>
                <w:sz w:val="21"/>
                <w:szCs w:val="24"/>
                <w:highlight w:val="none"/>
              </w:rPr>
              <w:t>构建连接本项目业务系统与上体体育大模型平台之间的标准化数据传输通道。</w:t>
            </w:r>
          </w:p>
          <w:p w14:paraId="61E2072A">
            <w:pPr>
              <w:numPr>
                <w:ilvl w:val="0"/>
                <w:numId w:val="23"/>
              </w:numPr>
              <w:spacing w:line="360" w:lineRule="auto"/>
              <w:ind w:firstLine="400"/>
              <w:rPr>
                <w:rFonts w:hint="eastAsia" w:ascii="宋体" w:hAnsi="宋体" w:cs="宋体"/>
                <w:color w:val="auto"/>
                <w:sz w:val="21"/>
                <w:szCs w:val="24"/>
                <w:highlight w:val="none"/>
              </w:rPr>
            </w:pPr>
            <w:r>
              <w:rPr>
                <w:rFonts w:hint="eastAsia" w:ascii="宋体" w:hAnsi="宋体" w:cs="宋体"/>
                <w:color w:val="auto"/>
                <w:sz w:val="21"/>
                <w:szCs w:val="24"/>
                <w:highlight w:val="none"/>
              </w:rPr>
              <w:t>双向数据流转：既支持将本项目归一化后的学生运动健康数据发送给大模型进行分析推理，也支持接收大模型返回的分析结论并写入本地的报告生成系统;</w:t>
            </w:r>
          </w:p>
          <w:p w14:paraId="70FD0D02">
            <w:pPr>
              <w:numPr>
                <w:ilvl w:val="0"/>
                <w:numId w:val="23"/>
              </w:numPr>
              <w:spacing w:line="360" w:lineRule="auto"/>
              <w:ind w:firstLine="400"/>
              <w:rPr>
                <w:rFonts w:hint="eastAsia" w:ascii="宋体" w:hAnsi="宋体" w:cs="宋体"/>
                <w:color w:val="auto"/>
                <w:sz w:val="21"/>
                <w:szCs w:val="24"/>
                <w:highlight w:val="none"/>
              </w:rPr>
            </w:pPr>
            <w:r>
              <w:rPr>
                <w:rFonts w:hint="eastAsia" w:ascii="宋体" w:hAnsi="宋体" w:cs="宋体"/>
                <w:color w:val="auto"/>
                <w:sz w:val="21"/>
                <w:szCs w:val="24"/>
                <w:highlight w:val="none"/>
              </w:rPr>
              <w:t>格式转换中间件：由于本项目数据格式与大模型输入格式之间存在差异，供应商</w:t>
            </w:r>
            <w:r>
              <w:rPr>
                <w:rFonts w:hint="eastAsia" w:cs="宋体"/>
                <w:color w:val="auto"/>
                <w:sz w:val="21"/>
                <w:szCs w:val="24"/>
                <w:highlight w:val="none"/>
                <w:lang w:eastAsia="zh-CN"/>
              </w:rPr>
              <w:t>需</w:t>
            </w:r>
            <w:r>
              <w:rPr>
                <w:rFonts w:hint="eastAsia" w:ascii="宋体" w:hAnsi="宋体" w:cs="宋体"/>
                <w:color w:val="auto"/>
                <w:sz w:val="21"/>
                <w:szCs w:val="24"/>
                <w:highlight w:val="none"/>
              </w:rPr>
              <w:t>开发专用的格式转换组件。数据完整性与准确性须有校验机制保障。</w:t>
            </w:r>
          </w:p>
          <w:p w14:paraId="66AEB56A">
            <w:pPr>
              <w:spacing w:line="360" w:lineRule="auto"/>
              <w:ind w:firstLine="420" w:firstLineChars="200"/>
              <w:outlineLvl w:val="5"/>
              <w:rPr>
                <w:rFonts w:hint="eastAsia" w:ascii="宋体" w:hAnsi="宋体" w:cs="宋体"/>
                <w:color w:val="auto"/>
                <w:sz w:val="21"/>
                <w:szCs w:val="24"/>
                <w:highlight w:val="none"/>
              </w:rPr>
            </w:pPr>
            <w:r>
              <w:rPr>
                <w:rFonts w:hint="eastAsia" w:ascii="宋体" w:hAnsi="宋体" w:cs="宋体"/>
                <w:color w:val="auto"/>
                <w:sz w:val="21"/>
                <w:szCs w:val="24"/>
                <w:highlight w:val="none"/>
              </w:rPr>
              <w:t>3) 接口监控与容错模块</w:t>
            </w:r>
          </w:p>
          <w:p w14:paraId="7E8C49BE">
            <w:pPr>
              <w:numPr>
                <w:ilvl w:val="255"/>
                <w:numId w:val="0"/>
              </w:numPr>
              <w:spacing w:line="360" w:lineRule="auto"/>
              <w:ind w:firstLine="420" w:firstLineChars="200"/>
              <w:rPr>
                <w:rFonts w:ascii="Tahoma" w:hAnsi="Tahoma" w:cs="Tahoma"/>
                <w:color w:val="auto"/>
                <w:kern w:val="0"/>
                <w:sz w:val="21"/>
                <w:szCs w:val="21"/>
                <w:highlight w:val="none"/>
              </w:rPr>
            </w:pPr>
            <w:r>
              <w:rPr>
                <w:rFonts w:hint="eastAsia" w:ascii="宋体" w:hAnsi="宋体" w:cs="宋体"/>
                <w:color w:val="auto"/>
                <w:sz w:val="21"/>
                <w:szCs w:val="24"/>
                <w:highlight w:val="none"/>
              </w:rPr>
              <w:t>开发独立的接口监控与容错子系统，对大模型调用链路的健康状况进行7×24小时实时监控。当监控系统检测到异常事件时，容错模块须自动触发重试（≥3次，指数退避）、熔断降级和多通道告警推送等保护动作。接口调用日志须在线保存不少于6个月。</w:t>
            </w:r>
          </w:p>
        </w:tc>
      </w:tr>
      <w:tr w14:paraId="0DB14CD5">
        <w:tblPrEx>
          <w:tblCellMar>
            <w:top w:w="0" w:type="dxa"/>
            <w:left w:w="108" w:type="dxa"/>
            <w:bottom w:w="0" w:type="dxa"/>
            <w:right w:w="108" w:type="dxa"/>
          </w:tblCellMar>
        </w:tblPrEx>
        <w:trPr>
          <w:trHeight w:val="1710" w:hRule="atLeast"/>
          <w:jc w:val="center"/>
        </w:trPr>
        <w:tc>
          <w:tcPr>
            <w:tcW w:w="395" w:type="pct"/>
            <w:tcBorders>
              <w:top w:val="single" w:color="auto" w:sz="4" w:space="0"/>
              <w:left w:val="single" w:color="auto" w:sz="4" w:space="0"/>
              <w:bottom w:val="single" w:color="auto" w:sz="4" w:space="0"/>
              <w:right w:val="single" w:color="auto" w:sz="4" w:space="0"/>
            </w:tcBorders>
            <w:shd w:val="clear" w:color="auto" w:fill="FFFFFF"/>
            <w:vAlign w:val="top"/>
          </w:tcPr>
          <w:p w14:paraId="6FD69DC2">
            <w:pPr>
              <w:widowControl/>
              <w:spacing w:line="240" w:lineRule="auto"/>
              <w:ind w:firstLine="0" w:firstLineChars="0"/>
              <w:jc w:val="center"/>
              <w:rPr>
                <w:rFonts w:ascii="Tahoma" w:hAnsi="Tahoma" w:cs="Tahoma"/>
                <w:color w:val="auto"/>
                <w:kern w:val="0"/>
                <w:sz w:val="21"/>
                <w:szCs w:val="21"/>
                <w:highlight w:val="none"/>
              </w:rPr>
            </w:pPr>
          </w:p>
        </w:tc>
        <w:tc>
          <w:tcPr>
            <w:tcW w:w="682" w:type="pct"/>
            <w:tcBorders>
              <w:top w:val="single" w:color="auto" w:sz="4" w:space="0"/>
              <w:left w:val="nil"/>
              <w:bottom w:val="single" w:color="auto" w:sz="4" w:space="0"/>
              <w:right w:val="single" w:color="auto" w:sz="4" w:space="0"/>
            </w:tcBorders>
            <w:shd w:val="clear" w:color="auto" w:fill="FFFFFF"/>
            <w:vAlign w:val="top"/>
          </w:tcPr>
          <w:p w14:paraId="3E798A8B">
            <w:pPr>
              <w:ind w:firstLine="0" w:firstLineChars="0"/>
              <w:jc w:val="center"/>
              <w:outlineLvl w:val="3"/>
              <w:rPr>
                <w:rFonts w:hint="eastAsia" w:cs="宋体"/>
                <w:color w:val="auto"/>
                <w:sz w:val="21"/>
                <w:szCs w:val="21"/>
                <w:highlight w:val="none"/>
              </w:rPr>
            </w:pPr>
          </w:p>
        </w:tc>
        <w:tc>
          <w:tcPr>
            <w:tcW w:w="861" w:type="pct"/>
            <w:tcBorders>
              <w:top w:val="single" w:color="auto" w:sz="4" w:space="0"/>
              <w:left w:val="nil"/>
              <w:bottom w:val="single" w:color="auto" w:sz="4" w:space="0"/>
              <w:right w:val="single" w:color="auto" w:sz="4" w:space="0"/>
            </w:tcBorders>
            <w:shd w:val="clear" w:color="auto" w:fill="FFFFFF"/>
            <w:vAlign w:val="top"/>
          </w:tcPr>
          <w:p w14:paraId="35F88864">
            <w:pPr>
              <w:widowControl/>
              <w:spacing w:line="240" w:lineRule="auto"/>
              <w:ind w:firstLine="0" w:firstLineChars="0"/>
              <w:jc w:val="center"/>
              <w:rPr>
                <w:rFonts w:hint="eastAsia" w:ascii="宋体" w:hAnsi="宋体" w:cs="宋体"/>
                <w:color w:val="auto"/>
                <w:sz w:val="21"/>
                <w:szCs w:val="21"/>
                <w:highlight w:val="none"/>
              </w:rPr>
            </w:pPr>
            <w:r>
              <w:rPr>
                <w:rFonts w:hint="eastAsia" w:cs="宋体"/>
                <w:color w:val="auto"/>
                <w:sz w:val="21"/>
                <w:szCs w:val="21"/>
                <w:highlight w:val="none"/>
                <w:lang w:eastAsia="zh-CN"/>
              </w:rPr>
              <w:t>（</w:t>
            </w:r>
            <w:r>
              <w:rPr>
                <w:rFonts w:hint="eastAsia" w:cs="宋体"/>
                <w:color w:val="auto"/>
                <w:sz w:val="21"/>
                <w:szCs w:val="21"/>
                <w:highlight w:val="none"/>
                <w:lang w:val="en-US" w:eastAsia="zh-CN"/>
              </w:rPr>
              <w:t>3</w:t>
            </w:r>
            <w:r>
              <w:rPr>
                <w:rFonts w:hint="eastAsia" w:cs="宋体"/>
                <w:color w:val="auto"/>
                <w:sz w:val="21"/>
                <w:szCs w:val="21"/>
                <w:highlight w:val="none"/>
                <w:lang w:eastAsia="zh-CN"/>
              </w:rPr>
              <w:t>）</w:t>
            </w:r>
            <w:r>
              <w:rPr>
                <w:rFonts w:hint="eastAsia" w:ascii="宋体" w:hAnsi="宋体" w:cs="宋体"/>
                <w:color w:val="auto"/>
                <w:sz w:val="21"/>
                <w:szCs w:val="21"/>
                <w:highlight w:val="none"/>
              </w:rPr>
              <w:t>学生运动健康报告生成与综合指导建议服务</w:t>
            </w:r>
          </w:p>
          <w:p w14:paraId="282AC801">
            <w:pPr>
              <w:widowControl/>
              <w:spacing w:line="240" w:lineRule="auto"/>
              <w:ind w:firstLine="0" w:firstLineChars="0"/>
              <w:jc w:val="center"/>
              <w:rPr>
                <w:rFonts w:hint="eastAsia" w:ascii="宋体" w:hAnsi="宋体" w:cs="宋体"/>
                <w:color w:val="auto"/>
                <w:sz w:val="21"/>
                <w:szCs w:val="21"/>
                <w:highlight w:val="none"/>
              </w:rPr>
            </w:pPr>
          </w:p>
        </w:tc>
        <w:tc>
          <w:tcPr>
            <w:tcW w:w="3060" w:type="pct"/>
            <w:tcBorders>
              <w:top w:val="single" w:color="auto" w:sz="4" w:space="0"/>
              <w:left w:val="nil"/>
              <w:bottom w:val="single" w:color="auto" w:sz="4" w:space="0"/>
              <w:right w:val="single" w:color="auto" w:sz="4" w:space="0"/>
            </w:tcBorders>
            <w:shd w:val="clear" w:color="auto" w:fill="FFFFFF"/>
            <w:vAlign w:val="center"/>
          </w:tcPr>
          <w:p w14:paraId="0EEA41D8">
            <w:pPr>
              <w:spacing w:line="360" w:lineRule="auto"/>
              <w:ind w:firstLine="420" w:firstLineChars="200"/>
              <w:rPr>
                <w:rFonts w:hint="eastAsia" w:ascii="宋体" w:hAnsi="宋体" w:cs="宋体"/>
                <w:color w:val="auto"/>
                <w:sz w:val="21"/>
                <w:szCs w:val="24"/>
                <w:highlight w:val="none"/>
              </w:rPr>
            </w:pPr>
            <w:r>
              <w:rPr>
                <w:rFonts w:hint="eastAsia" w:ascii="宋体" w:hAnsi="宋体" w:cs="宋体"/>
                <w:color w:val="auto"/>
                <w:sz w:val="21"/>
                <w:szCs w:val="24"/>
                <w:highlight w:val="none"/>
              </w:rPr>
              <w:t>基于数据分析和上体体育大模型的能力，紧扣“FITT—VP”（频率、强度、时间、类型、总量、进展）要素，针对每位参与项目的学生运动健康报告生成与综合指导建议，并将其通过学生账户系统进行送达。</w:t>
            </w:r>
          </w:p>
          <w:p w14:paraId="68E0F253">
            <w:pPr>
              <w:numPr>
                <w:ilvl w:val="255"/>
                <w:numId w:val="0"/>
              </w:numPr>
              <w:spacing w:line="360" w:lineRule="auto"/>
              <w:ind w:left="480" w:leftChars="200" w:firstLine="0" w:firstLineChars="0"/>
              <w:outlineLvl w:val="5"/>
              <w:rPr>
                <w:rFonts w:hint="eastAsia" w:ascii="宋体" w:hAnsi="宋体" w:cs="宋体"/>
                <w:color w:val="auto"/>
                <w:sz w:val="21"/>
                <w:szCs w:val="24"/>
                <w:highlight w:val="none"/>
              </w:rPr>
            </w:pPr>
            <w:r>
              <w:rPr>
                <w:rFonts w:hint="eastAsia" w:ascii="宋体" w:hAnsi="宋体" w:cs="宋体"/>
                <w:color w:val="auto"/>
                <w:sz w:val="21"/>
                <w:szCs w:val="24"/>
                <w:highlight w:val="none"/>
              </w:rPr>
              <w:t>1) 个性化综合指导建议生成</w:t>
            </w:r>
          </w:p>
          <w:p w14:paraId="1534EE1E">
            <w:pPr>
              <w:spacing w:line="360" w:lineRule="auto"/>
              <w:ind w:firstLine="420" w:firstLineChars="200"/>
              <w:rPr>
                <w:rFonts w:hint="eastAsia" w:ascii="宋体" w:hAnsi="宋体" w:cs="宋体"/>
                <w:color w:val="auto"/>
                <w:sz w:val="21"/>
                <w:szCs w:val="24"/>
                <w:highlight w:val="none"/>
              </w:rPr>
            </w:pPr>
            <w:r>
              <w:rPr>
                <w:rFonts w:hint="eastAsia" w:ascii="宋体" w:hAnsi="宋体" w:cs="宋体"/>
                <w:color w:val="auto"/>
                <w:sz w:val="21"/>
                <w:szCs w:val="24"/>
                <w:highlight w:val="none"/>
              </w:rPr>
              <w:t>开发运动建议自动生成模块，根据学生的运动数据、体质健康水平、运动兴趣偏好、时序分析模型结果及上体体育大模型知识，自动为每位学生生成个性化的综合指导建议。综合指导建议包括学生版、家长版、教师版，包含但不限于内容：</w:t>
            </w:r>
          </w:p>
          <w:p w14:paraId="2C18FC1C">
            <w:pPr>
              <w:numPr>
                <w:ilvl w:val="0"/>
                <w:numId w:val="24"/>
              </w:numPr>
              <w:spacing w:line="360" w:lineRule="auto"/>
              <w:ind w:firstLine="400"/>
              <w:rPr>
                <w:rFonts w:hint="eastAsia" w:ascii="宋体" w:hAnsi="宋体" w:cs="宋体"/>
                <w:color w:val="auto"/>
                <w:sz w:val="21"/>
                <w:szCs w:val="24"/>
                <w:highlight w:val="none"/>
              </w:rPr>
            </w:pPr>
            <w:r>
              <w:rPr>
                <w:rFonts w:hint="eastAsia" w:ascii="宋体" w:hAnsi="宋体" w:cs="宋体"/>
                <w:color w:val="auto"/>
                <w:sz w:val="21"/>
                <w:szCs w:val="24"/>
                <w:highlight w:val="none"/>
              </w:rPr>
              <w:t>运动目标建议：根据学生体质状况要求，推荐适宜的运动时长、运动项目和运动强度区间；</w:t>
            </w:r>
          </w:p>
          <w:p w14:paraId="371ABF97">
            <w:pPr>
              <w:numPr>
                <w:ilvl w:val="0"/>
                <w:numId w:val="24"/>
              </w:numPr>
              <w:spacing w:line="360" w:lineRule="auto"/>
              <w:ind w:firstLine="400"/>
              <w:rPr>
                <w:rFonts w:hint="eastAsia" w:ascii="宋体" w:hAnsi="宋体" w:cs="宋体"/>
                <w:color w:val="auto"/>
                <w:sz w:val="21"/>
                <w:szCs w:val="24"/>
                <w:highlight w:val="none"/>
              </w:rPr>
            </w:pPr>
            <w:r>
              <w:rPr>
                <w:rFonts w:hint="eastAsia" w:ascii="宋体" w:hAnsi="宋体" w:cs="宋体"/>
                <w:color w:val="auto"/>
                <w:sz w:val="21"/>
                <w:szCs w:val="24"/>
                <w:highlight w:val="none"/>
              </w:rPr>
              <w:t>动作技术改进建议：基于动作视频标注和对比分析结果，针对学生技术动作中的不足之处，给出具体、可操作的改进方法；</w:t>
            </w:r>
          </w:p>
          <w:p w14:paraId="1A34D081">
            <w:pPr>
              <w:numPr>
                <w:ilvl w:val="0"/>
                <w:numId w:val="24"/>
              </w:numPr>
              <w:spacing w:line="360" w:lineRule="auto"/>
              <w:ind w:firstLine="400"/>
              <w:rPr>
                <w:rFonts w:hint="eastAsia" w:ascii="宋体" w:hAnsi="宋体" w:cs="宋体"/>
                <w:color w:val="auto"/>
                <w:sz w:val="21"/>
                <w:szCs w:val="24"/>
                <w:highlight w:val="none"/>
              </w:rPr>
            </w:pPr>
            <w:r>
              <w:rPr>
                <w:rFonts w:hint="eastAsia" w:ascii="宋体" w:hAnsi="宋体" w:cs="宋体"/>
                <w:color w:val="auto"/>
                <w:sz w:val="21"/>
                <w:szCs w:val="24"/>
                <w:highlight w:val="none"/>
              </w:rPr>
              <w:t>运动处方建议：针对体质健康水平处于达标线以下的学生，开具有针对性的运动处方，明确运动类型、频率、强度、时长和注意事项；</w:t>
            </w:r>
          </w:p>
          <w:p w14:paraId="0E9C9366">
            <w:pPr>
              <w:numPr>
                <w:ilvl w:val="0"/>
                <w:numId w:val="24"/>
              </w:numPr>
              <w:spacing w:line="360" w:lineRule="auto"/>
              <w:ind w:firstLine="400"/>
              <w:rPr>
                <w:rFonts w:hint="eastAsia" w:ascii="宋体" w:hAnsi="宋体" w:cs="宋体"/>
                <w:color w:val="auto"/>
                <w:sz w:val="21"/>
                <w:szCs w:val="24"/>
                <w:highlight w:val="none"/>
              </w:rPr>
            </w:pPr>
            <w:r>
              <w:rPr>
                <w:rFonts w:hint="eastAsia" w:ascii="宋体" w:hAnsi="宋体" w:cs="宋体"/>
                <w:color w:val="auto"/>
                <w:sz w:val="21"/>
                <w:szCs w:val="24"/>
                <w:highlight w:val="none"/>
              </w:rPr>
              <w:t>运动安全提醒：根据特殊体质标识和体征监测结果，给出运动安全注意事项和禁忌提醒。</w:t>
            </w:r>
          </w:p>
          <w:p w14:paraId="41025031">
            <w:pPr>
              <w:spacing w:line="360" w:lineRule="auto"/>
              <w:ind w:firstLine="420" w:firstLineChars="200"/>
              <w:rPr>
                <w:rFonts w:hint="eastAsia" w:ascii="宋体" w:hAnsi="宋体" w:cs="宋体"/>
                <w:color w:val="auto"/>
                <w:sz w:val="21"/>
                <w:szCs w:val="24"/>
                <w:highlight w:val="none"/>
              </w:rPr>
            </w:pPr>
            <w:r>
              <w:rPr>
                <w:rFonts w:hint="eastAsia" w:ascii="宋体" w:hAnsi="宋体" w:cs="宋体"/>
                <w:color w:val="auto"/>
                <w:sz w:val="21"/>
                <w:szCs w:val="24"/>
                <w:highlight w:val="none"/>
              </w:rPr>
              <w:t>2) 个性化运动建议生成样例</w:t>
            </w:r>
          </w:p>
          <w:p w14:paraId="7E29B6F1">
            <w:pPr>
              <w:numPr>
                <w:ilvl w:val="255"/>
                <w:numId w:val="0"/>
              </w:numPr>
              <w:spacing w:line="360" w:lineRule="auto"/>
              <w:ind w:firstLine="420" w:firstLineChars="200"/>
              <w:rPr>
                <w:rFonts w:hint="eastAsia" w:ascii="宋体" w:hAnsi="宋体" w:cs="宋体"/>
                <w:color w:val="auto"/>
                <w:sz w:val="21"/>
                <w:szCs w:val="24"/>
                <w:highlight w:val="none"/>
              </w:rPr>
            </w:pPr>
            <w:r>
              <w:rPr>
                <w:rFonts w:hint="eastAsia" w:ascii="宋体" w:hAnsi="宋体" w:cs="宋体"/>
                <w:color w:val="auto"/>
                <w:sz w:val="21"/>
                <w:szCs w:val="24"/>
                <w:highlight w:val="none"/>
              </w:rPr>
              <w:t>依托至少包括学生运动行为、体质健康、健康体检、动作分析等数据，全覆盖运动目标、动作改进、运动处方、安全提醒四大模块生成样例，样例内容真实可落地、量化可执行</w:t>
            </w:r>
          </w:p>
          <w:p w14:paraId="232D3990">
            <w:pPr>
              <w:numPr>
                <w:ilvl w:val="255"/>
                <w:numId w:val="0"/>
              </w:numPr>
              <w:spacing w:line="360" w:lineRule="auto"/>
              <w:ind w:firstLine="420" w:firstLineChars="200"/>
              <w:outlineLvl w:val="5"/>
              <w:rPr>
                <w:rFonts w:hint="eastAsia" w:ascii="宋体" w:hAnsi="宋体" w:cs="宋体"/>
                <w:color w:val="auto"/>
                <w:sz w:val="21"/>
                <w:szCs w:val="24"/>
                <w:highlight w:val="none"/>
              </w:rPr>
            </w:pPr>
            <w:bookmarkStart w:id="18" w:name="OLE_LINK9"/>
            <w:r>
              <w:rPr>
                <w:rFonts w:hint="eastAsia" w:ascii="宋体" w:hAnsi="宋体" w:cs="宋体"/>
                <w:color w:val="auto"/>
                <w:sz w:val="21"/>
                <w:szCs w:val="24"/>
                <w:highlight w:val="none"/>
              </w:rPr>
              <w:t>3) 运动健康报告生成与综合指导建议内容推送与策略管理</w:t>
            </w:r>
          </w:p>
          <w:bookmarkEnd w:id="18"/>
          <w:p w14:paraId="25059486">
            <w:pPr>
              <w:numPr>
                <w:ilvl w:val="0"/>
                <w:numId w:val="25"/>
              </w:numPr>
              <w:spacing w:line="360" w:lineRule="auto"/>
              <w:ind w:firstLine="420" w:firstLineChars="200"/>
              <w:rPr>
                <w:rFonts w:hint="eastAsia" w:ascii="宋体" w:hAnsi="宋体" w:cs="宋体"/>
                <w:color w:val="auto"/>
                <w:sz w:val="21"/>
                <w:szCs w:val="24"/>
                <w:highlight w:val="none"/>
              </w:rPr>
            </w:pPr>
            <w:r>
              <w:rPr>
                <w:rFonts w:hint="eastAsia" w:ascii="宋体" w:hAnsi="宋体" w:cs="宋体"/>
                <w:color w:val="auto"/>
                <w:sz w:val="21"/>
                <w:szCs w:val="24"/>
                <w:highlight w:val="none"/>
              </w:rPr>
              <w:t>内容推送：运动健康报告生成与综合指导建议生成后，须自动推送到对应学生的个人账户中，学生登录账户即可查阅。推送内容仅涉及学生本人相关的运动建议和诊断报告。实现学生账户管理、个人内容查看和内容更新通知等功能。运动健康报告生成与综合指导建议至少支持以PDF电子文档形式导出；</w:t>
            </w:r>
          </w:p>
          <w:p w14:paraId="2D42C3CB">
            <w:pPr>
              <w:numPr>
                <w:ilvl w:val="0"/>
                <w:numId w:val="25"/>
              </w:numPr>
              <w:spacing w:line="360" w:lineRule="auto"/>
              <w:ind w:firstLine="420" w:firstLineChars="200"/>
              <w:rPr>
                <w:rFonts w:hint="eastAsia" w:ascii="宋体" w:hAnsi="宋体" w:cs="宋体"/>
                <w:color w:val="auto"/>
                <w:sz w:val="21"/>
                <w:szCs w:val="24"/>
                <w:highlight w:val="none"/>
              </w:rPr>
            </w:pPr>
            <w:r>
              <w:rPr>
                <w:rFonts w:hint="eastAsia" w:ascii="宋体" w:hAnsi="宋体" w:cs="宋体"/>
                <w:color w:val="auto"/>
                <w:sz w:val="21"/>
                <w:szCs w:val="24"/>
                <w:highlight w:val="none"/>
              </w:rPr>
              <w:t>推送机制动态优化服务：建立推送机制动态优化模型，基于学生对推送内容的反馈数据、运动健康变化数据、上体体育大模型更新知识，对分学段推送策略进行动态调整。</w:t>
            </w:r>
          </w:p>
          <w:p w14:paraId="7DF12354">
            <w:pPr>
              <w:numPr>
                <w:ilvl w:val="0"/>
                <w:numId w:val="25"/>
              </w:numPr>
              <w:spacing w:line="360" w:lineRule="auto"/>
              <w:ind w:firstLine="420" w:firstLineChars="200"/>
              <w:rPr>
                <w:rFonts w:hint="eastAsia" w:ascii="宋体" w:hAnsi="宋体" w:cs="宋体"/>
                <w:color w:val="auto"/>
                <w:sz w:val="21"/>
                <w:szCs w:val="24"/>
                <w:highlight w:val="none"/>
              </w:rPr>
            </w:pPr>
            <w:r>
              <w:rPr>
                <w:rFonts w:hint="eastAsia" w:ascii="宋体" w:hAnsi="宋体" w:cs="宋体"/>
                <w:color w:val="auto"/>
                <w:sz w:val="21"/>
                <w:szCs w:val="24"/>
                <w:highlight w:val="none"/>
              </w:rPr>
              <w:t>定期评估推送效果，分析推送内容有效性、推送频率合理性，识别优化点。根据评估结果优化推送内容、推送时间、推送对象标签，并跟踪优化效果。</w:t>
            </w:r>
          </w:p>
          <w:p w14:paraId="676AD6F6">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rFonts w:ascii="Tahoma" w:hAnsi="Tahoma" w:cs="Tahoma"/>
                <w:color w:val="auto"/>
                <w:kern w:val="0"/>
                <w:sz w:val="21"/>
                <w:szCs w:val="21"/>
                <w:highlight w:val="none"/>
              </w:rPr>
            </w:pPr>
          </w:p>
        </w:tc>
      </w:tr>
      <w:tr w14:paraId="72437250">
        <w:tblPrEx>
          <w:tblCellMar>
            <w:top w:w="0" w:type="dxa"/>
            <w:left w:w="108" w:type="dxa"/>
            <w:bottom w:w="0" w:type="dxa"/>
            <w:right w:w="108" w:type="dxa"/>
          </w:tblCellMar>
        </w:tblPrEx>
        <w:trPr>
          <w:trHeight w:val="425" w:hRule="atLeast"/>
          <w:jc w:val="center"/>
        </w:trPr>
        <w:tc>
          <w:tcPr>
            <w:tcW w:w="395" w:type="pct"/>
            <w:tcBorders>
              <w:top w:val="single" w:color="auto" w:sz="4" w:space="0"/>
              <w:left w:val="single" w:color="auto" w:sz="4" w:space="0"/>
              <w:bottom w:val="single" w:color="auto" w:sz="4" w:space="0"/>
              <w:right w:val="single" w:color="auto" w:sz="4" w:space="0"/>
            </w:tcBorders>
            <w:shd w:val="clear" w:color="auto" w:fill="FFFFFF"/>
            <w:vAlign w:val="top"/>
          </w:tcPr>
          <w:p w14:paraId="2944ADC8">
            <w:pPr>
              <w:widowControl/>
              <w:spacing w:line="240" w:lineRule="auto"/>
              <w:ind w:firstLine="0" w:firstLineChars="0"/>
              <w:jc w:val="center"/>
              <w:rPr>
                <w:rFonts w:ascii="Tahoma" w:hAnsi="Tahoma" w:cs="Tahoma"/>
                <w:color w:val="auto"/>
                <w:kern w:val="0"/>
                <w:sz w:val="21"/>
                <w:szCs w:val="21"/>
                <w:highlight w:val="none"/>
              </w:rPr>
            </w:pPr>
            <w:r>
              <w:rPr>
                <w:rFonts w:hint="eastAsia" w:ascii="Tahoma" w:hAnsi="Tahoma" w:cs="Tahoma"/>
                <w:color w:val="auto"/>
                <w:kern w:val="0"/>
                <w:sz w:val="21"/>
                <w:szCs w:val="21"/>
                <w:highlight w:val="none"/>
              </w:rPr>
              <w:t>3</w:t>
            </w:r>
          </w:p>
        </w:tc>
        <w:tc>
          <w:tcPr>
            <w:tcW w:w="682" w:type="pct"/>
            <w:tcBorders>
              <w:top w:val="single" w:color="auto" w:sz="4" w:space="0"/>
              <w:left w:val="nil"/>
              <w:bottom w:val="single" w:color="auto" w:sz="4" w:space="0"/>
              <w:right w:val="single" w:color="auto" w:sz="4" w:space="0"/>
            </w:tcBorders>
            <w:shd w:val="clear" w:color="auto" w:fill="FFFFFF"/>
            <w:vAlign w:val="top"/>
          </w:tcPr>
          <w:p w14:paraId="4ACB89ED">
            <w:pPr>
              <w:widowControl/>
              <w:spacing w:line="240" w:lineRule="auto"/>
              <w:ind w:firstLine="0" w:firstLineChars="0"/>
              <w:jc w:val="center"/>
              <w:rPr>
                <w:rFonts w:ascii="Tahoma" w:hAnsi="Tahoma" w:cs="Tahoma"/>
                <w:color w:val="auto"/>
                <w:kern w:val="0"/>
                <w:sz w:val="21"/>
                <w:szCs w:val="21"/>
                <w:highlight w:val="none"/>
              </w:rPr>
            </w:pPr>
            <w:r>
              <w:rPr>
                <w:rFonts w:cs="宋体"/>
                <w:color w:val="auto"/>
                <w:sz w:val="21"/>
                <w:szCs w:val="21"/>
                <w:highlight w:val="none"/>
              </w:rPr>
              <w:t>青少年运动强体智能分析与优化服务</w:t>
            </w:r>
          </w:p>
        </w:tc>
        <w:tc>
          <w:tcPr>
            <w:tcW w:w="861" w:type="pct"/>
            <w:tcBorders>
              <w:top w:val="single" w:color="auto" w:sz="4" w:space="0"/>
              <w:left w:val="nil"/>
              <w:bottom w:val="single" w:color="auto" w:sz="4" w:space="0"/>
              <w:right w:val="single" w:color="auto" w:sz="4" w:space="0"/>
            </w:tcBorders>
            <w:shd w:val="clear" w:color="auto" w:fill="FFFFFF"/>
            <w:vAlign w:val="top"/>
          </w:tcPr>
          <w:p w14:paraId="1F4F1B35">
            <w:pPr>
              <w:widowControl/>
              <w:spacing w:line="240" w:lineRule="auto"/>
              <w:ind w:firstLine="0" w:firstLineChars="0"/>
              <w:jc w:val="center"/>
              <w:rPr>
                <w:rFonts w:hint="eastAsia" w:ascii="Tahoma" w:hAnsi="Tahoma" w:cs="Tahoma"/>
                <w:color w:val="auto"/>
                <w:kern w:val="0"/>
                <w:sz w:val="21"/>
                <w:szCs w:val="21"/>
                <w:highlight w:val="none"/>
              </w:rPr>
            </w:pPr>
            <w:r>
              <w:rPr>
                <w:rFonts w:hint="eastAsia" w:ascii="Tahoma" w:hAnsi="Tahoma" w:cs="Tahoma"/>
                <w:color w:val="auto"/>
                <w:kern w:val="0"/>
                <w:sz w:val="21"/>
                <w:szCs w:val="21"/>
                <w:highlight w:val="none"/>
                <w:lang w:eastAsia="zh-CN"/>
              </w:rPr>
              <w:t>（</w:t>
            </w:r>
            <w:r>
              <w:rPr>
                <w:rFonts w:hint="eastAsia" w:ascii="Tahoma" w:hAnsi="Tahoma" w:cs="Tahoma"/>
                <w:color w:val="auto"/>
                <w:kern w:val="0"/>
                <w:sz w:val="21"/>
                <w:szCs w:val="21"/>
                <w:highlight w:val="none"/>
                <w:lang w:val="en-US" w:eastAsia="zh-CN"/>
              </w:rPr>
              <w:t>1</w:t>
            </w:r>
            <w:r>
              <w:rPr>
                <w:rFonts w:hint="eastAsia" w:ascii="Tahoma" w:hAnsi="Tahoma" w:cs="Tahoma"/>
                <w:color w:val="auto"/>
                <w:kern w:val="0"/>
                <w:sz w:val="21"/>
                <w:szCs w:val="21"/>
                <w:highlight w:val="none"/>
                <w:lang w:eastAsia="zh-CN"/>
              </w:rPr>
              <w:t>）</w:t>
            </w:r>
            <w:r>
              <w:rPr>
                <w:rFonts w:hint="eastAsia" w:ascii="Tahoma" w:hAnsi="Tahoma" w:cs="Tahoma"/>
                <w:color w:val="auto"/>
                <w:kern w:val="0"/>
                <w:sz w:val="21"/>
                <w:szCs w:val="21"/>
                <w:highlight w:val="none"/>
              </w:rPr>
              <w:t>多源数据清洗、归一化与入库服务</w:t>
            </w:r>
          </w:p>
          <w:p w14:paraId="5C35F10D">
            <w:pPr>
              <w:widowControl/>
              <w:spacing w:line="240" w:lineRule="auto"/>
              <w:ind w:firstLine="0" w:firstLineChars="0"/>
              <w:jc w:val="center"/>
              <w:rPr>
                <w:rFonts w:hint="eastAsia" w:ascii="Tahoma" w:hAnsi="Tahoma" w:cs="Tahoma"/>
                <w:color w:val="auto"/>
                <w:kern w:val="0"/>
                <w:sz w:val="21"/>
                <w:szCs w:val="21"/>
                <w:highlight w:val="none"/>
              </w:rPr>
            </w:pPr>
          </w:p>
        </w:tc>
        <w:tc>
          <w:tcPr>
            <w:tcW w:w="3060" w:type="pct"/>
            <w:tcBorders>
              <w:top w:val="single" w:color="auto" w:sz="4" w:space="0"/>
              <w:left w:val="nil"/>
              <w:bottom w:val="single" w:color="auto" w:sz="4" w:space="0"/>
              <w:right w:val="single" w:color="auto" w:sz="4" w:space="0"/>
            </w:tcBorders>
            <w:shd w:val="clear" w:color="auto" w:fill="FFFFFF"/>
            <w:vAlign w:val="center"/>
          </w:tcPr>
          <w:p w14:paraId="5A3518F5">
            <w:pPr>
              <w:numPr>
                <w:ilvl w:val="0"/>
                <w:numId w:val="26"/>
              </w:numPr>
              <w:spacing w:line="360" w:lineRule="auto"/>
              <w:ind w:left="454" w:leftChars="0" w:firstLine="0" w:firstLineChars="0"/>
              <w:outlineLvl w:val="5"/>
              <w:rPr>
                <w:rFonts w:hint="eastAsia" w:ascii="宋体" w:hAnsi="宋体" w:cs="宋体"/>
                <w:color w:val="auto"/>
                <w:sz w:val="21"/>
                <w:szCs w:val="24"/>
                <w:highlight w:val="none"/>
              </w:rPr>
            </w:pPr>
            <w:r>
              <w:rPr>
                <w:rFonts w:hint="eastAsia" w:ascii="宋体" w:hAnsi="宋体" w:cs="宋体"/>
                <w:color w:val="auto"/>
                <w:sz w:val="21"/>
                <w:szCs w:val="24"/>
                <w:highlight w:val="none"/>
              </w:rPr>
              <w:t>多源数据清洗服务</w:t>
            </w:r>
          </w:p>
          <w:p w14:paraId="13FCB3C3">
            <w:pPr>
              <w:numPr>
                <w:ilvl w:val="0"/>
                <w:numId w:val="27"/>
              </w:numPr>
              <w:spacing w:line="360" w:lineRule="auto"/>
              <w:ind w:firstLine="420" w:firstLineChars="200"/>
              <w:rPr>
                <w:rFonts w:hint="eastAsia" w:ascii="宋体" w:hAnsi="宋体" w:cs="宋体"/>
                <w:color w:val="auto"/>
                <w:sz w:val="21"/>
                <w:szCs w:val="24"/>
                <w:highlight w:val="none"/>
              </w:rPr>
            </w:pPr>
            <w:r>
              <w:rPr>
                <w:rFonts w:hint="eastAsia" w:ascii="宋体" w:hAnsi="宋体" w:cs="宋体"/>
                <w:color w:val="auto"/>
                <w:sz w:val="21"/>
                <w:szCs w:val="24"/>
                <w:highlight w:val="none"/>
              </w:rPr>
              <w:t>对从各渠道接入的全部原始数据进行系统性的清洗处理，消除数据中的噪声、缺失和异常，提升数据质量至可分析可用水平；</w:t>
            </w:r>
          </w:p>
          <w:p w14:paraId="34EBE757">
            <w:pPr>
              <w:numPr>
                <w:ilvl w:val="0"/>
                <w:numId w:val="27"/>
              </w:numPr>
              <w:spacing w:line="360" w:lineRule="auto"/>
              <w:ind w:firstLine="420" w:firstLineChars="200"/>
              <w:rPr>
                <w:rFonts w:hint="eastAsia" w:ascii="宋体" w:hAnsi="宋体" w:cs="宋体"/>
                <w:color w:val="auto"/>
                <w:sz w:val="21"/>
                <w:szCs w:val="24"/>
                <w:highlight w:val="none"/>
              </w:rPr>
            </w:pPr>
            <w:r>
              <w:rPr>
                <w:rFonts w:hint="eastAsia" w:ascii="宋体" w:hAnsi="宋体" w:cs="宋体"/>
                <w:color w:val="auto"/>
                <w:sz w:val="21"/>
                <w:szCs w:val="24"/>
                <w:highlight w:val="none"/>
              </w:rPr>
              <w:t>可穿戴设备数据去噪：针对手环采集的心率数据中常见的运动伪迹干扰、信号丢失跳变等噪声，通过算法进行平滑处理。针对运动时长数据中因设备休眠或信号中断导致的虚高记录进行识别与剔除；</w:t>
            </w:r>
          </w:p>
          <w:p w14:paraId="14ACFB25">
            <w:pPr>
              <w:numPr>
                <w:ilvl w:val="0"/>
                <w:numId w:val="27"/>
              </w:numPr>
              <w:spacing w:line="360" w:lineRule="auto"/>
              <w:ind w:firstLine="420" w:firstLineChars="200"/>
              <w:rPr>
                <w:rFonts w:hint="eastAsia" w:ascii="宋体" w:hAnsi="宋体" w:cs="宋体"/>
                <w:color w:val="auto"/>
                <w:sz w:val="21"/>
                <w:szCs w:val="24"/>
                <w:highlight w:val="none"/>
              </w:rPr>
            </w:pPr>
            <w:r>
              <w:rPr>
                <w:rFonts w:hint="eastAsia" w:ascii="宋体" w:hAnsi="宋体" w:cs="宋体"/>
                <w:color w:val="auto"/>
                <w:sz w:val="21"/>
                <w:szCs w:val="24"/>
                <w:highlight w:val="none"/>
              </w:rPr>
              <w:t>缺失值处理：识别数据中的缺失字段，依据业务规则采用均值插补、前后值插补、线性插值或标记保留等方式处理。对于关键指标的连续缺失段落，须在数据集中标注“数据不可信”标签；</w:t>
            </w:r>
          </w:p>
          <w:p w14:paraId="115AABE9">
            <w:pPr>
              <w:numPr>
                <w:ilvl w:val="0"/>
                <w:numId w:val="27"/>
              </w:numPr>
              <w:spacing w:line="360" w:lineRule="auto"/>
              <w:ind w:firstLine="420" w:firstLineChars="200"/>
              <w:rPr>
                <w:rFonts w:hint="eastAsia" w:ascii="宋体" w:hAnsi="宋体" w:cs="宋体"/>
                <w:color w:val="auto"/>
                <w:sz w:val="21"/>
                <w:szCs w:val="24"/>
                <w:highlight w:val="none"/>
              </w:rPr>
            </w:pPr>
            <w:r>
              <w:rPr>
                <w:rFonts w:hint="eastAsia" w:ascii="宋体" w:hAnsi="宋体" w:cs="宋体"/>
                <w:color w:val="auto"/>
                <w:sz w:val="21"/>
                <w:szCs w:val="24"/>
                <w:highlight w:val="none"/>
              </w:rPr>
              <w:t>异常值检测与纠正：针对数值型字段设定基于统计分布和业务常识的双重阈值，超出阈值范围的记录须标记为疑似异常并触发人工复核流程；</w:t>
            </w:r>
          </w:p>
          <w:p w14:paraId="6C088695">
            <w:pPr>
              <w:numPr>
                <w:ilvl w:val="0"/>
                <w:numId w:val="27"/>
              </w:numPr>
              <w:spacing w:line="360" w:lineRule="auto"/>
              <w:ind w:firstLine="420" w:firstLineChars="200"/>
              <w:rPr>
                <w:rFonts w:hint="eastAsia" w:ascii="宋体" w:hAnsi="宋体" w:cs="宋体"/>
                <w:color w:val="auto"/>
                <w:sz w:val="21"/>
                <w:szCs w:val="24"/>
                <w:highlight w:val="none"/>
              </w:rPr>
            </w:pPr>
            <w:r>
              <w:rPr>
                <w:rFonts w:hint="eastAsia" w:ascii="宋体" w:hAnsi="宋体" w:cs="宋体"/>
                <w:color w:val="auto"/>
                <w:sz w:val="21"/>
                <w:szCs w:val="24"/>
                <w:highlight w:val="none"/>
              </w:rPr>
              <w:t>单位统一：将不同设备、不同来源的数据统一到国际标准单位体系下。</w:t>
            </w:r>
          </w:p>
          <w:p w14:paraId="28004090">
            <w:pPr>
              <w:numPr>
                <w:ilvl w:val="0"/>
                <w:numId w:val="27"/>
              </w:numPr>
              <w:spacing w:line="360" w:lineRule="auto"/>
              <w:ind w:firstLine="420" w:firstLineChars="200"/>
              <w:rPr>
                <w:rFonts w:hint="eastAsia" w:ascii="宋体" w:hAnsi="宋体" w:cs="宋体"/>
                <w:color w:val="auto"/>
                <w:sz w:val="21"/>
                <w:szCs w:val="24"/>
                <w:highlight w:val="none"/>
              </w:rPr>
            </w:pPr>
            <w:r>
              <w:rPr>
                <w:rFonts w:hint="eastAsia" w:ascii="宋体" w:hAnsi="宋体" w:cs="宋体"/>
                <w:color w:val="auto"/>
                <w:sz w:val="21"/>
                <w:szCs w:val="24"/>
                <w:highlight w:val="none"/>
              </w:rPr>
              <w:t>数据准确率达到98%以上，供应商</w:t>
            </w:r>
            <w:r>
              <w:rPr>
                <w:rFonts w:hint="eastAsia" w:cs="宋体"/>
                <w:color w:val="auto"/>
                <w:sz w:val="21"/>
                <w:szCs w:val="24"/>
                <w:highlight w:val="none"/>
                <w:lang w:eastAsia="zh-CN"/>
              </w:rPr>
              <w:t>需</w:t>
            </w:r>
            <w:r>
              <w:rPr>
                <w:rFonts w:hint="eastAsia" w:ascii="宋体" w:hAnsi="宋体" w:cs="宋体"/>
                <w:color w:val="auto"/>
                <w:sz w:val="21"/>
                <w:szCs w:val="24"/>
                <w:highlight w:val="none"/>
              </w:rPr>
              <w:t>提交数据清洗前后对比报告供采购人复核。</w:t>
            </w:r>
          </w:p>
          <w:p w14:paraId="7D4BCEB8">
            <w:pPr>
              <w:numPr>
                <w:ilvl w:val="0"/>
                <w:numId w:val="26"/>
              </w:numPr>
              <w:spacing w:line="360" w:lineRule="auto"/>
              <w:ind w:left="454" w:leftChars="0" w:firstLine="0" w:firstLineChars="0"/>
              <w:outlineLvl w:val="5"/>
              <w:rPr>
                <w:rFonts w:hint="eastAsia" w:ascii="宋体" w:hAnsi="宋体" w:cs="宋体"/>
                <w:color w:val="auto"/>
                <w:sz w:val="21"/>
                <w:szCs w:val="24"/>
                <w:highlight w:val="none"/>
              </w:rPr>
            </w:pPr>
            <w:r>
              <w:rPr>
                <w:rFonts w:hint="eastAsia" w:ascii="宋体" w:hAnsi="宋体" w:cs="宋体"/>
                <w:color w:val="auto"/>
                <w:sz w:val="21"/>
                <w:szCs w:val="24"/>
                <w:highlight w:val="none"/>
              </w:rPr>
              <w:t>数据标准化与归一化服务</w:t>
            </w:r>
          </w:p>
          <w:p w14:paraId="030444AF">
            <w:pPr>
              <w:numPr>
                <w:ilvl w:val="0"/>
                <w:numId w:val="28"/>
              </w:numPr>
              <w:spacing w:line="360" w:lineRule="auto"/>
              <w:ind w:firstLine="420" w:firstLineChars="200"/>
              <w:rPr>
                <w:rFonts w:hint="eastAsia" w:ascii="宋体" w:hAnsi="宋体" w:cs="宋体"/>
                <w:color w:val="auto"/>
                <w:sz w:val="21"/>
                <w:szCs w:val="24"/>
                <w:highlight w:val="none"/>
              </w:rPr>
            </w:pPr>
            <w:r>
              <w:rPr>
                <w:rFonts w:hint="eastAsia" w:ascii="宋体" w:hAnsi="宋体" w:cs="宋体"/>
                <w:color w:val="auto"/>
                <w:sz w:val="21"/>
                <w:szCs w:val="24"/>
                <w:highlight w:val="none"/>
              </w:rPr>
              <w:t>对清洗后的数据进行跨校、跨设备的标准化与归一化处理，消除因设备品牌差异、学校环境差异、采集批次差异等带来的数据分布偏移；</w:t>
            </w:r>
          </w:p>
          <w:p w14:paraId="5678D0BA">
            <w:pPr>
              <w:numPr>
                <w:ilvl w:val="0"/>
                <w:numId w:val="28"/>
              </w:numPr>
              <w:spacing w:line="360" w:lineRule="auto"/>
              <w:ind w:firstLine="420" w:firstLineChars="200"/>
              <w:rPr>
                <w:rFonts w:hint="eastAsia" w:ascii="宋体" w:hAnsi="宋体" w:cs="宋体"/>
                <w:color w:val="auto"/>
                <w:sz w:val="21"/>
                <w:szCs w:val="24"/>
                <w:highlight w:val="none"/>
              </w:rPr>
            </w:pPr>
            <w:r>
              <w:rPr>
                <w:rFonts w:hint="eastAsia" w:ascii="宋体" w:hAnsi="宋体" w:cs="宋体"/>
                <w:color w:val="auto"/>
                <w:sz w:val="21"/>
                <w:szCs w:val="24"/>
                <w:highlight w:val="none"/>
              </w:rPr>
              <w:t>跨设备数据归一：针对不同品牌可穿戴设备的心率、步数等数据存在的系统性偏差，采用标定校准或统计归一化方法进行消除；</w:t>
            </w:r>
          </w:p>
          <w:p w14:paraId="5AF29513">
            <w:pPr>
              <w:numPr>
                <w:ilvl w:val="0"/>
                <w:numId w:val="28"/>
              </w:numPr>
              <w:spacing w:line="360" w:lineRule="auto"/>
              <w:rPr>
                <w:rFonts w:hint="eastAsia" w:ascii="宋体" w:hAnsi="宋体" w:cs="宋体"/>
                <w:color w:val="auto"/>
                <w:sz w:val="21"/>
                <w:szCs w:val="24"/>
                <w:highlight w:val="none"/>
              </w:rPr>
            </w:pPr>
            <w:r>
              <w:rPr>
                <w:rFonts w:hint="eastAsia" w:ascii="宋体" w:hAnsi="宋体" w:cs="宋体"/>
                <w:color w:val="auto"/>
                <w:sz w:val="21"/>
                <w:szCs w:val="24"/>
                <w:highlight w:val="none"/>
              </w:rPr>
              <w:t>量纲归一化：将不同量级、不同单位的数据转换为统一的标准化区间；</w:t>
            </w:r>
          </w:p>
          <w:p w14:paraId="36EF4BC4">
            <w:pPr>
              <w:numPr>
                <w:ilvl w:val="0"/>
                <w:numId w:val="28"/>
              </w:numPr>
              <w:spacing w:line="360" w:lineRule="auto"/>
              <w:rPr>
                <w:rFonts w:hint="eastAsia" w:ascii="宋体" w:hAnsi="宋体" w:cs="宋体"/>
                <w:color w:val="auto"/>
                <w:sz w:val="21"/>
                <w:szCs w:val="24"/>
                <w:highlight w:val="none"/>
              </w:rPr>
            </w:pPr>
            <w:r>
              <w:rPr>
                <w:rFonts w:hint="eastAsia" w:ascii="宋体" w:hAnsi="宋体" w:cs="宋体"/>
                <w:color w:val="auto"/>
                <w:sz w:val="21"/>
                <w:szCs w:val="24"/>
                <w:highlight w:val="none"/>
              </w:rPr>
              <w:t>分类编码标准化：对学段、性别、运动项目、动作类型等分类变量采用统一的编码方案。</w:t>
            </w:r>
          </w:p>
          <w:p w14:paraId="6879AA11">
            <w:pPr>
              <w:numPr>
                <w:ilvl w:val="0"/>
                <w:numId w:val="26"/>
              </w:numPr>
              <w:spacing w:line="360" w:lineRule="auto"/>
              <w:ind w:left="454" w:leftChars="0" w:firstLine="0" w:firstLineChars="0"/>
              <w:outlineLvl w:val="5"/>
              <w:rPr>
                <w:rFonts w:hint="eastAsia" w:ascii="宋体" w:hAnsi="宋体" w:cs="宋体"/>
                <w:color w:val="auto"/>
                <w:sz w:val="21"/>
                <w:szCs w:val="24"/>
                <w:highlight w:val="none"/>
              </w:rPr>
            </w:pPr>
            <w:r>
              <w:rPr>
                <w:rFonts w:hint="eastAsia" w:ascii="宋体" w:hAnsi="宋体" w:cs="宋体"/>
                <w:color w:val="auto"/>
                <w:sz w:val="21"/>
                <w:szCs w:val="24"/>
                <w:highlight w:val="none"/>
              </w:rPr>
              <w:t>数据脱敏与去标识化服务</w:t>
            </w:r>
          </w:p>
          <w:p w14:paraId="778AFF73">
            <w:pPr>
              <w:numPr>
                <w:ilvl w:val="255"/>
                <w:numId w:val="0"/>
              </w:numPr>
              <w:spacing w:line="360" w:lineRule="auto"/>
              <w:ind w:firstLine="420" w:firstLineChars="200"/>
              <w:rPr>
                <w:rFonts w:hint="eastAsia" w:ascii="宋体" w:hAnsi="宋体" w:cs="宋体"/>
                <w:color w:val="auto"/>
                <w:sz w:val="21"/>
                <w:szCs w:val="24"/>
                <w:highlight w:val="none"/>
              </w:rPr>
            </w:pPr>
            <w:r>
              <w:rPr>
                <w:rFonts w:hint="eastAsia" w:ascii="宋体" w:hAnsi="宋体" w:cs="宋体"/>
                <w:color w:val="auto"/>
                <w:sz w:val="21"/>
                <w:szCs w:val="24"/>
                <w:highlight w:val="none"/>
              </w:rPr>
              <w:t>鉴于本项目数据涉及大量未成年人的个人敏感信息，供应商</w:t>
            </w:r>
            <w:r>
              <w:rPr>
                <w:rFonts w:hint="eastAsia" w:cs="宋体"/>
                <w:color w:val="auto"/>
                <w:sz w:val="21"/>
                <w:szCs w:val="24"/>
                <w:highlight w:val="none"/>
                <w:lang w:eastAsia="zh-CN"/>
              </w:rPr>
              <w:t>需</w:t>
            </w:r>
            <w:r>
              <w:rPr>
                <w:rFonts w:hint="eastAsia" w:ascii="宋体" w:hAnsi="宋体" w:cs="宋体"/>
                <w:color w:val="auto"/>
                <w:sz w:val="21"/>
                <w:szCs w:val="24"/>
                <w:highlight w:val="none"/>
              </w:rPr>
              <w:t>在数据入库前完成严格的数据脱敏与去标识化处理。</w:t>
            </w:r>
          </w:p>
          <w:p w14:paraId="5BD1CB4A">
            <w:pPr>
              <w:numPr>
                <w:ilvl w:val="0"/>
                <w:numId w:val="29"/>
              </w:numPr>
              <w:spacing w:line="360" w:lineRule="auto"/>
              <w:ind w:firstLine="420" w:firstLineChars="200"/>
              <w:rPr>
                <w:rFonts w:hint="eastAsia" w:ascii="宋体" w:hAnsi="宋体" w:cs="宋体"/>
                <w:color w:val="auto"/>
                <w:sz w:val="21"/>
                <w:szCs w:val="24"/>
                <w:highlight w:val="none"/>
              </w:rPr>
            </w:pPr>
            <w:r>
              <w:rPr>
                <w:rFonts w:hint="eastAsia" w:ascii="宋体" w:hAnsi="宋体" w:cs="宋体"/>
                <w:color w:val="auto"/>
                <w:sz w:val="21"/>
                <w:szCs w:val="24"/>
                <w:highlight w:val="none"/>
              </w:rPr>
              <w:t>直接标识符脱敏：对学生姓名、身份证号、学籍号、手机号等直接标识符进行脱敏；</w:t>
            </w:r>
          </w:p>
          <w:p w14:paraId="2321E95A">
            <w:pPr>
              <w:numPr>
                <w:ilvl w:val="0"/>
                <w:numId w:val="29"/>
              </w:numPr>
              <w:spacing w:line="360" w:lineRule="auto"/>
              <w:ind w:firstLine="420" w:firstLineChars="200"/>
              <w:rPr>
                <w:rFonts w:hint="eastAsia" w:ascii="宋体" w:hAnsi="宋体" w:cs="宋体"/>
                <w:color w:val="auto"/>
                <w:sz w:val="21"/>
                <w:szCs w:val="24"/>
                <w:highlight w:val="none"/>
              </w:rPr>
            </w:pPr>
            <w:r>
              <w:rPr>
                <w:rFonts w:hint="eastAsia" w:ascii="宋体" w:hAnsi="宋体" w:cs="宋体"/>
                <w:color w:val="auto"/>
                <w:sz w:val="21"/>
                <w:szCs w:val="24"/>
                <w:highlight w:val="none"/>
              </w:rPr>
              <w:t>准标识符泛化：对出生日期、家庭住址等准标识符进行泛化处理；</w:t>
            </w:r>
          </w:p>
          <w:p w14:paraId="4D2FCEE1">
            <w:pPr>
              <w:numPr>
                <w:ilvl w:val="0"/>
                <w:numId w:val="29"/>
              </w:numPr>
              <w:spacing w:line="360" w:lineRule="auto"/>
              <w:ind w:firstLine="420" w:firstLineChars="200"/>
              <w:rPr>
                <w:rFonts w:hint="eastAsia" w:ascii="宋体" w:hAnsi="宋体" w:cs="宋体"/>
                <w:color w:val="auto"/>
                <w:sz w:val="21"/>
                <w:szCs w:val="24"/>
                <w:highlight w:val="none"/>
              </w:rPr>
            </w:pPr>
            <w:r>
              <w:rPr>
                <w:rFonts w:hint="eastAsia" w:ascii="宋体" w:hAnsi="宋体" w:cs="宋体"/>
                <w:color w:val="auto"/>
                <w:sz w:val="21"/>
                <w:szCs w:val="24"/>
                <w:highlight w:val="none"/>
              </w:rPr>
              <w:t>敏感健康数据分级保护：对心率异常记录、特殊体质标识等敏感健康数据实施分级访问控制。</w:t>
            </w:r>
          </w:p>
          <w:p w14:paraId="094402B5">
            <w:pPr>
              <w:numPr>
                <w:ilvl w:val="0"/>
                <w:numId w:val="26"/>
              </w:numPr>
              <w:spacing w:line="360" w:lineRule="auto"/>
              <w:ind w:left="454" w:leftChars="0" w:firstLine="0" w:firstLineChars="0"/>
              <w:outlineLvl w:val="5"/>
              <w:rPr>
                <w:rFonts w:hint="eastAsia" w:ascii="宋体" w:hAnsi="宋体" w:cs="宋体"/>
                <w:color w:val="auto"/>
                <w:sz w:val="21"/>
                <w:szCs w:val="24"/>
                <w:highlight w:val="none"/>
              </w:rPr>
            </w:pPr>
            <w:r>
              <w:rPr>
                <w:rFonts w:hint="eastAsia" w:ascii="宋体" w:hAnsi="宋体" w:cs="宋体"/>
                <w:color w:val="auto"/>
                <w:sz w:val="21"/>
                <w:szCs w:val="24"/>
                <w:highlight w:val="none"/>
              </w:rPr>
              <w:t>数据质量治理与元数据管理服务</w:t>
            </w:r>
          </w:p>
          <w:p w14:paraId="0BA0EBC0">
            <w:pPr>
              <w:spacing w:line="360" w:lineRule="auto"/>
              <w:ind w:firstLine="420" w:firstLineChars="200"/>
              <w:rPr>
                <w:rFonts w:hint="eastAsia" w:ascii="宋体" w:hAnsi="宋体" w:cs="宋体"/>
                <w:color w:val="auto"/>
                <w:sz w:val="21"/>
                <w:szCs w:val="24"/>
                <w:highlight w:val="none"/>
              </w:rPr>
            </w:pPr>
            <w:r>
              <w:rPr>
                <w:rFonts w:hint="eastAsia" w:ascii="宋体" w:hAnsi="宋体" w:cs="宋体"/>
                <w:color w:val="auto"/>
                <w:sz w:val="21"/>
                <w:szCs w:val="24"/>
                <w:highlight w:val="none"/>
              </w:rPr>
              <w:t>建立持续化的数据质量治理机制和元数据管理体系。</w:t>
            </w:r>
          </w:p>
          <w:p w14:paraId="2868CCDB">
            <w:pPr>
              <w:numPr>
                <w:ilvl w:val="0"/>
                <w:numId w:val="30"/>
              </w:numPr>
              <w:spacing w:line="360" w:lineRule="auto"/>
              <w:ind w:firstLine="420" w:firstLineChars="200"/>
              <w:rPr>
                <w:rFonts w:hint="eastAsia" w:ascii="宋体" w:hAnsi="宋体" w:cs="宋体"/>
                <w:color w:val="auto"/>
                <w:sz w:val="21"/>
                <w:szCs w:val="24"/>
                <w:highlight w:val="none"/>
              </w:rPr>
            </w:pPr>
            <w:r>
              <w:rPr>
                <w:rFonts w:hint="eastAsia" w:ascii="宋体" w:hAnsi="宋体" w:cs="宋体"/>
                <w:color w:val="auto"/>
                <w:sz w:val="21"/>
                <w:szCs w:val="24"/>
                <w:highlight w:val="none"/>
              </w:rPr>
              <w:t>数据质量监测：部署自动化的数据质量监测工具，对数据库中的关键字段进行每日巡检；</w:t>
            </w:r>
          </w:p>
          <w:p w14:paraId="6964DC4F">
            <w:pPr>
              <w:numPr>
                <w:ilvl w:val="0"/>
                <w:numId w:val="30"/>
              </w:numPr>
              <w:spacing w:line="360" w:lineRule="auto"/>
              <w:ind w:firstLine="420" w:firstLineChars="200"/>
              <w:rPr>
                <w:rFonts w:hint="eastAsia" w:ascii="宋体" w:hAnsi="宋体" w:cs="宋体"/>
                <w:color w:val="auto"/>
                <w:sz w:val="21"/>
                <w:szCs w:val="24"/>
                <w:highlight w:val="none"/>
              </w:rPr>
            </w:pPr>
            <w:r>
              <w:rPr>
                <w:rFonts w:hint="eastAsia" w:ascii="宋体" w:hAnsi="宋体" w:cs="宋体"/>
                <w:color w:val="auto"/>
                <w:sz w:val="21"/>
                <w:szCs w:val="24"/>
                <w:highlight w:val="none"/>
              </w:rPr>
              <w:t>数据版本管理：对数据库中的数据集实施版本管理，每次重大数据更新生成新的数据集版本号；</w:t>
            </w:r>
          </w:p>
          <w:p w14:paraId="3D4DE706">
            <w:pPr>
              <w:numPr>
                <w:ilvl w:val="0"/>
                <w:numId w:val="30"/>
              </w:numPr>
              <w:spacing w:line="360" w:lineRule="auto"/>
              <w:ind w:firstLine="420" w:firstLineChars="200"/>
              <w:rPr>
                <w:rFonts w:hint="eastAsia" w:ascii="宋体" w:hAnsi="宋体" w:cs="宋体"/>
                <w:color w:val="auto"/>
                <w:sz w:val="21"/>
                <w:szCs w:val="24"/>
                <w:highlight w:val="none"/>
              </w:rPr>
            </w:pPr>
            <w:r>
              <w:rPr>
                <w:rFonts w:hint="eastAsia" w:ascii="宋体" w:hAnsi="宋体" w:cs="宋体"/>
                <w:color w:val="auto"/>
                <w:sz w:val="21"/>
                <w:szCs w:val="24"/>
                <w:highlight w:val="none"/>
              </w:rPr>
              <w:t>元数据目录服务：建立统一的元数据目录，收录全部数据表、字段的业务定义、技术属性、质量指标等元数据信息。</w:t>
            </w:r>
          </w:p>
          <w:p w14:paraId="00D60563">
            <w:pPr>
              <w:numPr>
                <w:ilvl w:val="0"/>
                <w:numId w:val="26"/>
              </w:numPr>
              <w:spacing w:line="360" w:lineRule="auto"/>
              <w:ind w:left="454" w:leftChars="0" w:firstLine="0" w:firstLineChars="0"/>
              <w:outlineLvl w:val="5"/>
              <w:rPr>
                <w:rFonts w:hint="eastAsia" w:ascii="宋体" w:hAnsi="宋体" w:cs="宋体"/>
                <w:color w:val="auto"/>
                <w:sz w:val="21"/>
                <w:szCs w:val="24"/>
                <w:highlight w:val="none"/>
              </w:rPr>
            </w:pPr>
            <w:r>
              <w:rPr>
                <w:rFonts w:hint="eastAsia" w:ascii="宋体" w:hAnsi="宋体" w:cs="宋体"/>
                <w:color w:val="auto"/>
                <w:sz w:val="21"/>
                <w:szCs w:val="24"/>
                <w:highlight w:val="none"/>
              </w:rPr>
              <w:t>运动负荷特征计算服务</w:t>
            </w:r>
          </w:p>
          <w:p w14:paraId="65A83763">
            <w:pPr>
              <w:spacing w:line="360" w:lineRule="auto"/>
              <w:ind w:firstLine="420" w:firstLineChars="200"/>
              <w:rPr>
                <w:rFonts w:hint="eastAsia" w:ascii="宋体" w:hAnsi="宋体" w:cs="宋体"/>
                <w:color w:val="auto"/>
                <w:sz w:val="21"/>
                <w:szCs w:val="24"/>
                <w:highlight w:val="none"/>
              </w:rPr>
            </w:pPr>
            <w:r>
              <w:rPr>
                <w:rFonts w:hint="eastAsia" w:ascii="宋体" w:hAnsi="宋体" w:cs="宋体"/>
                <w:color w:val="auto"/>
                <w:sz w:val="21"/>
                <w:szCs w:val="24"/>
                <w:highlight w:val="none"/>
              </w:rPr>
              <w:t>基于已入库的心率数据和动作数据，开发并运行运动负荷特征计算服务，自动从原始数据中提取一系列运动健康派生指标。</w:t>
            </w:r>
          </w:p>
          <w:p w14:paraId="2E2060AA">
            <w:pPr>
              <w:numPr>
                <w:ilvl w:val="0"/>
                <w:numId w:val="31"/>
              </w:numPr>
              <w:spacing w:line="360" w:lineRule="auto"/>
              <w:ind w:firstLine="420" w:firstLineChars="200"/>
              <w:rPr>
                <w:rFonts w:hint="eastAsia" w:ascii="宋体" w:hAnsi="宋体" w:cs="宋体"/>
                <w:color w:val="auto"/>
                <w:sz w:val="21"/>
                <w:szCs w:val="24"/>
                <w:highlight w:val="none"/>
              </w:rPr>
            </w:pPr>
            <w:r>
              <w:rPr>
                <w:rFonts w:hint="eastAsia" w:ascii="宋体" w:hAnsi="宋体" w:cs="宋体"/>
                <w:color w:val="auto"/>
                <w:sz w:val="21"/>
                <w:szCs w:val="24"/>
                <w:highlight w:val="none"/>
              </w:rPr>
              <w:t>运动负荷区间划分：综合心率储备百分比、最大心率百分比、代谢当量等多维指标，将每段运动时段自动划分为低强度区、中等强度区、高强度区、极限强度区四个负荷区间。</w:t>
            </w:r>
          </w:p>
          <w:p w14:paraId="376F3477">
            <w:pPr>
              <w:numPr>
                <w:ilvl w:val="0"/>
                <w:numId w:val="31"/>
              </w:numPr>
              <w:spacing w:line="360" w:lineRule="auto"/>
              <w:ind w:firstLine="420" w:firstLineChars="200"/>
              <w:rPr>
                <w:rFonts w:ascii="Tahoma" w:hAnsi="Tahoma" w:cs="Tahoma"/>
                <w:color w:val="auto"/>
                <w:kern w:val="0"/>
                <w:sz w:val="21"/>
                <w:szCs w:val="21"/>
                <w:highlight w:val="none"/>
              </w:rPr>
            </w:pPr>
            <w:r>
              <w:rPr>
                <w:rFonts w:hint="eastAsia" w:ascii="宋体" w:hAnsi="宋体" w:cs="宋体"/>
                <w:color w:val="auto"/>
                <w:sz w:val="21"/>
                <w:szCs w:val="24"/>
                <w:highlight w:val="none"/>
              </w:rPr>
              <w:t>疲劳阈值识别：基于心率变异性下降趋势、心率恢复速率变化等指标，自动识别学生运动过程中的疲劳临界点。</w:t>
            </w:r>
          </w:p>
        </w:tc>
      </w:tr>
      <w:tr w14:paraId="16234F59">
        <w:tblPrEx>
          <w:tblCellMar>
            <w:top w:w="0" w:type="dxa"/>
            <w:left w:w="108" w:type="dxa"/>
            <w:bottom w:w="0" w:type="dxa"/>
            <w:right w:w="108" w:type="dxa"/>
          </w:tblCellMar>
        </w:tblPrEx>
        <w:trPr>
          <w:trHeight w:val="1710" w:hRule="atLeast"/>
          <w:jc w:val="center"/>
        </w:trPr>
        <w:tc>
          <w:tcPr>
            <w:tcW w:w="395" w:type="pct"/>
            <w:tcBorders>
              <w:top w:val="single" w:color="auto" w:sz="4" w:space="0"/>
              <w:left w:val="single" w:color="auto" w:sz="4" w:space="0"/>
              <w:bottom w:val="single" w:color="auto" w:sz="4" w:space="0"/>
              <w:right w:val="single" w:color="auto" w:sz="4" w:space="0"/>
            </w:tcBorders>
            <w:shd w:val="clear" w:color="auto" w:fill="FFFFFF"/>
            <w:vAlign w:val="top"/>
          </w:tcPr>
          <w:p w14:paraId="5D4E1A72">
            <w:pPr>
              <w:widowControl/>
              <w:spacing w:line="240" w:lineRule="auto"/>
              <w:ind w:firstLine="0" w:firstLineChars="0"/>
              <w:jc w:val="center"/>
              <w:rPr>
                <w:rFonts w:hint="eastAsia" w:ascii="Tahoma" w:hAnsi="Tahoma" w:cs="Tahoma"/>
                <w:color w:val="auto"/>
                <w:kern w:val="0"/>
                <w:sz w:val="21"/>
                <w:szCs w:val="21"/>
                <w:highlight w:val="none"/>
              </w:rPr>
            </w:pPr>
          </w:p>
        </w:tc>
        <w:tc>
          <w:tcPr>
            <w:tcW w:w="682" w:type="pct"/>
            <w:tcBorders>
              <w:top w:val="single" w:color="auto" w:sz="4" w:space="0"/>
              <w:left w:val="nil"/>
              <w:bottom w:val="single" w:color="auto" w:sz="4" w:space="0"/>
              <w:right w:val="single" w:color="auto" w:sz="4" w:space="0"/>
            </w:tcBorders>
            <w:shd w:val="clear" w:color="auto" w:fill="FFFFFF"/>
            <w:vAlign w:val="top"/>
          </w:tcPr>
          <w:p w14:paraId="71E1F167">
            <w:pPr>
              <w:widowControl/>
              <w:spacing w:line="240" w:lineRule="auto"/>
              <w:ind w:firstLine="0" w:firstLineChars="0"/>
              <w:jc w:val="center"/>
              <w:rPr>
                <w:rFonts w:cs="宋体"/>
                <w:color w:val="auto"/>
                <w:sz w:val="21"/>
                <w:szCs w:val="21"/>
                <w:highlight w:val="none"/>
              </w:rPr>
            </w:pPr>
          </w:p>
        </w:tc>
        <w:tc>
          <w:tcPr>
            <w:tcW w:w="861" w:type="pct"/>
            <w:tcBorders>
              <w:top w:val="single" w:color="auto" w:sz="4" w:space="0"/>
              <w:left w:val="nil"/>
              <w:bottom w:val="single" w:color="auto" w:sz="4" w:space="0"/>
              <w:right w:val="single" w:color="auto" w:sz="4" w:space="0"/>
            </w:tcBorders>
            <w:shd w:val="clear" w:color="auto" w:fill="FFFFFF"/>
            <w:vAlign w:val="top"/>
          </w:tcPr>
          <w:p w14:paraId="0D49D2B5">
            <w:pPr>
              <w:widowControl/>
              <w:spacing w:line="240" w:lineRule="auto"/>
              <w:ind w:firstLine="0" w:firstLineChars="0"/>
              <w:jc w:val="center"/>
              <w:rPr>
                <w:rFonts w:hint="eastAsia" w:ascii="Tahoma" w:hAnsi="Tahoma" w:cs="Tahoma"/>
                <w:color w:val="auto"/>
                <w:kern w:val="0"/>
                <w:sz w:val="21"/>
                <w:szCs w:val="21"/>
                <w:highlight w:val="none"/>
              </w:rPr>
            </w:pPr>
            <w:r>
              <w:rPr>
                <w:rFonts w:hint="eastAsia" w:ascii="Tahoma" w:hAnsi="Tahoma" w:cs="Tahoma"/>
                <w:color w:val="auto"/>
                <w:kern w:val="0"/>
                <w:sz w:val="21"/>
                <w:szCs w:val="21"/>
                <w:highlight w:val="none"/>
                <w:lang w:eastAsia="zh-CN"/>
              </w:rPr>
              <w:t>（</w:t>
            </w:r>
            <w:r>
              <w:rPr>
                <w:rFonts w:hint="eastAsia" w:ascii="Tahoma" w:hAnsi="Tahoma" w:cs="Tahoma"/>
                <w:color w:val="auto"/>
                <w:kern w:val="0"/>
                <w:sz w:val="21"/>
                <w:szCs w:val="21"/>
                <w:highlight w:val="none"/>
                <w:lang w:val="en-US" w:eastAsia="zh-CN"/>
              </w:rPr>
              <w:t>2</w:t>
            </w:r>
            <w:r>
              <w:rPr>
                <w:rFonts w:hint="eastAsia" w:ascii="Tahoma" w:hAnsi="Tahoma" w:cs="Tahoma"/>
                <w:color w:val="auto"/>
                <w:kern w:val="0"/>
                <w:sz w:val="21"/>
                <w:szCs w:val="21"/>
                <w:highlight w:val="none"/>
                <w:lang w:eastAsia="zh-CN"/>
              </w:rPr>
              <w:t>）</w:t>
            </w:r>
            <w:r>
              <w:rPr>
                <w:rFonts w:hint="eastAsia" w:ascii="Tahoma" w:hAnsi="Tahoma" w:cs="Tahoma"/>
                <w:color w:val="auto"/>
                <w:kern w:val="0"/>
                <w:sz w:val="21"/>
                <w:szCs w:val="21"/>
                <w:highlight w:val="none"/>
              </w:rPr>
              <w:t>时序分析模型构建服务</w:t>
            </w:r>
          </w:p>
          <w:p w14:paraId="39E1D7F2">
            <w:pPr>
              <w:widowControl/>
              <w:spacing w:line="240" w:lineRule="auto"/>
              <w:ind w:firstLine="0" w:firstLineChars="0"/>
              <w:jc w:val="center"/>
              <w:rPr>
                <w:rFonts w:ascii="Tahoma" w:hAnsi="Tahoma" w:cs="Tahoma"/>
                <w:color w:val="auto"/>
                <w:kern w:val="0"/>
                <w:sz w:val="21"/>
                <w:szCs w:val="21"/>
                <w:highlight w:val="none"/>
              </w:rPr>
            </w:pPr>
          </w:p>
        </w:tc>
        <w:tc>
          <w:tcPr>
            <w:tcW w:w="3060" w:type="pct"/>
            <w:tcBorders>
              <w:top w:val="single" w:color="auto" w:sz="4" w:space="0"/>
              <w:left w:val="nil"/>
              <w:bottom w:val="single" w:color="auto" w:sz="4" w:space="0"/>
              <w:right w:val="single" w:color="auto" w:sz="4" w:space="0"/>
            </w:tcBorders>
            <w:shd w:val="clear" w:color="auto" w:fill="FFFFFF"/>
            <w:vAlign w:val="center"/>
          </w:tcPr>
          <w:p w14:paraId="466484CA">
            <w:pPr>
              <w:numPr>
                <w:ilvl w:val="0"/>
                <w:numId w:val="32"/>
              </w:numPr>
              <w:spacing w:line="360" w:lineRule="auto"/>
              <w:ind w:left="905" w:leftChars="200" w:hanging="425" w:firstLineChars="0"/>
              <w:rPr>
                <w:rFonts w:hint="eastAsia" w:ascii="宋体" w:hAnsi="宋体" w:cs="宋体"/>
                <w:color w:val="auto"/>
                <w:sz w:val="21"/>
                <w:szCs w:val="24"/>
                <w:highlight w:val="none"/>
              </w:rPr>
            </w:pPr>
            <w:r>
              <w:rPr>
                <w:rFonts w:hint="eastAsia" w:ascii="宋体" w:hAnsi="宋体" w:cs="宋体"/>
                <w:color w:val="auto"/>
                <w:sz w:val="21"/>
                <w:szCs w:val="24"/>
                <w:highlight w:val="none"/>
              </w:rPr>
              <w:t>多时间维度分析框架</w:t>
            </w:r>
          </w:p>
          <w:p w14:paraId="400BE419">
            <w:pPr>
              <w:spacing w:line="360" w:lineRule="auto"/>
              <w:ind w:firstLine="420" w:firstLineChars="200"/>
              <w:rPr>
                <w:rFonts w:hint="eastAsia" w:ascii="宋体" w:hAnsi="宋体" w:cs="宋体"/>
                <w:color w:val="auto"/>
                <w:sz w:val="21"/>
                <w:szCs w:val="24"/>
                <w:highlight w:val="none"/>
              </w:rPr>
            </w:pPr>
            <w:r>
              <w:rPr>
                <w:rFonts w:hint="eastAsia" w:ascii="宋体" w:hAnsi="宋体" w:cs="宋体"/>
                <w:color w:val="auto"/>
                <w:sz w:val="21"/>
                <w:szCs w:val="24"/>
                <w:highlight w:val="none"/>
              </w:rPr>
              <w:t>基于本项目归一化后的多源时序数据，结合上体体育大模型内置的运动健康评估算法知识，提供一套支持“日、周、月、学期”四级时间尺度的时序分析模型，分析内容包含但不限于体育运动负荷特征、体育活动行为特征等。</w:t>
            </w:r>
          </w:p>
          <w:p w14:paraId="1D927616">
            <w:pPr>
              <w:numPr>
                <w:ilvl w:val="0"/>
                <w:numId w:val="33"/>
              </w:numPr>
              <w:spacing w:line="360" w:lineRule="auto"/>
              <w:ind w:firstLine="400"/>
              <w:rPr>
                <w:rFonts w:hint="eastAsia" w:ascii="宋体" w:hAnsi="宋体" w:cs="宋体"/>
                <w:color w:val="auto"/>
                <w:sz w:val="21"/>
                <w:szCs w:val="24"/>
                <w:highlight w:val="none"/>
              </w:rPr>
            </w:pPr>
            <w:r>
              <w:rPr>
                <w:rFonts w:hint="eastAsia" w:ascii="宋体" w:hAnsi="宋体" w:cs="宋体"/>
                <w:color w:val="auto"/>
                <w:sz w:val="21"/>
                <w:szCs w:val="24"/>
                <w:highlight w:val="none"/>
              </w:rPr>
              <w:t>日维度分析：产出当日运动总时长是否达标、运动强度分布是否合理、是否存在风险信号、当日个性化运动建议；</w:t>
            </w:r>
          </w:p>
          <w:p w14:paraId="499459BA">
            <w:pPr>
              <w:numPr>
                <w:ilvl w:val="0"/>
                <w:numId w:val="33"/>
              </w:numPr>
              <w:spacing w:line="360" w:lineRule="auto"/>
              <w:ind w:firstLine="400"/>
              <w:rPr>
                <w:rFonts w:hint="eastAsia" w:ascii="宋体" w:hAnsi="宋体" w:cs="宋体"/>
                <w:color w:val="auto"/>
                <w:sz w:val="21"/>
                <w:szCs w:val="24"/>
                <w:highlight w:val="none"/>
              </w:rPr>
            </w:pPr>
            <w:r>
              <w:rPr>
                <w:rFonts w:hint="eastAsia" w:ascii="宋体" w:hAnsi="宋体" w:cs="宋体"/>
                <w:color w:val="auto"/>
                <w:sz w:val="21"/>
                <w:szCs w:val="24"/>
                <w:highlight w:val="none"/>
              </w:rPr>
              <w:t>周维度分析：产出本周各项体能指标同比变化趋势、本周运动习惯养成度评分、下周运动计划调整建议；</w:t>
            </w:r>
          </w:p>
          <w:p w14:paraId="719E34EC">
            <w:pPr>
              <w:numPr>
                <w:ilvl w:val="0"/>
                <w:numId w:val="33"/>
              </w:numPr>
              <w:spacing w:line="360" w:lineRule="auto"/>
              <w:ind w:firstLine="400"/>
              <w:rPr>
                <w:rFonts w:hint="eastAsia" w:ascii="宋体" w:hAnsi="宋体" w:cs="宋体"/>
                <w:color w:val="auto"/>
                <w:sz w:val="21"/>
                <w:szCs w:val="24"/>
                <w:highlight w:val="none"/>
              </w:rPr>
            </w:pPr>
            <w:r>
              <w:rPr>
                <w:rFonts w:hint="eastAsia" w:ascii="宋体" w:hAnsi="宋体" w:cs="宋体"/>
                <w:color w:val="auto"/>
                <w:sz w:val="21"/>
                <w:szCs w:val="24"/>
                <w:highlight w:val="none"/>
              </w:rPr>
              <w:t>月维度分析：产出各项指标的月度改善率估算、运动兴趣稳定性评估、月度综合健康评级；</w:t>
            </w:r>
          </w:p>
          <w:p w14:paraId="789BA005">
            <w:pPr>
              <w:numPr>
                <w:ilvl w:val="0"/>
                <w:numId w:val="33"/>
              </w:numPr>
              <w:spacing w:line="360" w:lineRule="auto"/>
              <w:ind w:firstLine="400"/>
              <w:rPr>
                <w:rFonts w:hint="eastAsia" w:ascii="宋体" w:hAnsi="宋体" w:cs="宋体"/>
                <w:color w:val="auto"/>
                <w:sz w:val="21"/>
                <w:szCs w:val="24"/>
                <w:highlight w:val="none"/>
              </w:rPr>
            </w:pPr>
            <w:r>
              <w:rPr>
                <w:rFonts w:hint="eastAsia" w:ascii="宋体" w:hAnsi="宋体" w:cs="宋体"/>
                <w:color w:val="auto"/>
                <w:sz w:val="21"/>
                <w:szCs w:val="24"/>
                <w:highlight w:val="none"/>
              </w:rPr>
              <w:t>学期维度分析：产出学期内运动技能掌握情况、“每天综合体育活动2小时”达成率统计、运动技能掌握情况的雷达图可视化、下学期指导策略调整建议。</w:t>
            </w:r>
          </w:p>
          <w:p w14:paraId="4C38BE21">
            <w:pPr>
              <w:numPr>
                <w:ilvl w:val="0"/>
                <w:numId w:val="32"/>
              </w:numPr>
              <w:spacing w:line="360" w:lineRule="auto"/>
              <w:ind w:left="905" w:leftChars="200" w:hanging="425" w:firstLineChars="0"/>
              <w:rPr>
                <w:rFonts w:hint="eastAsia" w:ascii="宋体" w:hAnsi="宋体" w:cs="宋体"/>
                <w:color w:val="auto"/>
                <w:sz w:val="21"/>
                <w:szCs w:val="24"/>
                <w:highlight w:val="none"/>
              </w:rPr>
            </w:pPr>
            <w:r>
              <w:rPr>
                <w:rFonts w:hint="eastAsia" w:ascii="宋体" w:hAnsi="宋体" w:cs="宋体"/>
                <w:color w:val="auto"/>
                <w:sz w:val="21"/>
                <w:szCs w:val="24"/>
                <w:highlight w:val="none"/>
              </w:rPr>
              <w:t>算法选型与模型性能要求</w:t>
            </w:r>
          </w:p>
          <w:p w14:paraId="18C50008">
            <w:pPr>
              <w:spacing w:line="360" w:lineRule="auto"/>
              <w:ind w:firstLine="420" w:firstLineChars="200"/>
              <w:rPr>
                <w:rFonts w:ascii="Tahoma" w:hAnsi="Tahoma" w:cs="Tahoma"/>
                <w:color w:val="auto"/>
                <w:kern w:val="0"/>
                <w:sz w:val="21"/>
                <w:szCs w:val="21"/>
                <w:highlight w:val="none"/>
              </w:rPr>
            </w:pPr>
            <w:r>
              <w:rPr>
                <w:rFonts w:hint="eastAsia" w:ascii="宋体" w:hAnsi="宋体" w:cs="宋体"/>
                <w:color w:val="auto"/>
                <w:sz w:val="21"/>
                <w:szCs w:val="24"/>
                <w:highlight w:val="none"/>
              </w:rPr>
              <w:t>时序分析模型的核心算法应当采用深度学习领域的时序建模主流技术路线。在</w:t>
            </w:r>
            <w:r>
              <w:rPr>
                <w:rFonts w:hint="eastAsia" w:cs="宋体"/>
                <w:color w:val="auto"/>
                <w:sz w:val="21"/>
                <w:szCs w:val="24"/>
                <w:highlight w:val="none"/>
                <w:lang w:eastAsia="zh-CN"/>
              </w:rPr>
              <w:t>响应文件</w:t>
            </w:r>
            <w:r>
              <w:rPr>
                <w:rFonts w:hint="eastAsia" w:ascii="宋体" w:hAnsi="宋体" w:cs="宋体"/>
                <w:color w:val="auto"/>
                <w:sz w:val="21"/>
                <w:szCs w:val="24"/>
                <w:highlight w:val="none"/>
              </w:rPr>
              <w:t>中明确阐述所选用的具体算法。模型预测准确率须不低于85%，精确率和召回率均不应低于80%。供应商</w:t>
            </w:r>
            <w:r>
              <w:rPr>
                <w:rFonts w:hint="eastAsia" w:cs="宋体"/>
                <w:color w:val="auto"/>
                <w:sz w:val="21"/>
                <w:szCs w:val="24"/>
                <w:highlight w:val="none"/>
                <w:lang w:eastAsia="zh-CN"/>
              </w:rPr>
              <w:t>需</w:t>
            </w:r>
            <w:r>
              <w:rPr>
                <w:rFonts w:hint="eastAsia" w:ascii="宋体" w:hAnsi="宋体" w:cs="宋体"/>
                <w:color w:val="auto"/>
                <w:sz w:val="21"/>
                <w:szCs w:val="24"/>
                <w:highlight w:val="none"/>
              </w:rPr>
              <w:t>随模型一同交付完整的《时序分析模型技术说明文档》。</w:t>
            </w:r>
          </w:p>
        </w:tc>
      </w:tr>
      <w:tr w14:paraId="72B6CBE7">
        <w:tblPrEx>
          <w:tblCellMar>
            <w:top w:w="0" w:type="dxa"/>
            <w:left w:w="108" w:type="dxa"/>
            <w:bottom w:w="0" w:type="dxa"/>
            <w:right w:w="108" w:type="dxa"/>
          </w:tblCellMar>
        </w:tblPrEx>
        <w:trPr>
          <w:trHeight w:val="1710" w:hRule="atLeast"/>
          <w:jc w:val="center"/>
        </w:trPr>
        <w:tc>
          <w:tcPr>
            <w:tcW w:w="395" w:type="pct"/>
            <w:tcBorders>
              <w:top w:val="single" w:color="auto" w:sz="4" w:space="0"/>
              <w:left w:val="single" w:color="auto" w:sz="4" w:space="0"/>
              <w:bottom w:val="single" w:color="auto" w:sz="4" w:space="0"/>
              <w:right w:val="single" w:color="auto" w:sz="4" w:space="0"/>
            </w:tcBorders>
            <w:shd w:val="clear" w:color="auto" w:fill="FFFFFF"/>
            <w:vAlign w:val="top"/>
          </w:tcPr>
          <w:p w14:paraId="304271DD">
            <w:pPr>
              <w:widowControl/>
              <w:spacing w:line="240" w:lineRule="auto"/>
              <w:ind w:firstLine="0" w:firstLineChars="0"/>
              <w:jc w:val="center"/>
              <w:rPr>
                <w:rFonts w:hint="eastAsia" w:ascii="Tahoma" w:hAnsi="Tahoma" w:cs="Tahoma"/>
                <w:color w:val="auto"/>
                <w:kern w:val="0"/>
                <w:sz w:val="21"/>
                <w:szCs w:val="21"/>
                <w:highlight w:val="none"/>
              </w:rPr>
            </w:pPr>
          </w:p>
        </w:tc>
        <w:tc>
          <w:tcPr>
            <w:tcW w:w="682" w:type="pct"/>
            <w:tcBorders>
              <w:top w:val="single" w:color="auto" w:sz="4" w:space="0"/>
              <w:left w:val="nil"/>
              <w:bottom w:val="single" w:color="auto" w:sz="4" w:space="0"/>
              <w:right w:val="single" w:color="auto" w:sz="4" w:space="0"/>
            </w:tcBorders>
            <w:shd w:val="clear" w:color="auto" w:fill="FFFFFF"/>
            <w:vAlign w:val="top"/>
          </w:tcPr>
          <w:p w14:paraId="001AF208">
            <w:pPr>
              <w:widowControl/>
              <w:spacing w:line="240" w:lineRule="auto"/>
              <w:ind w:firstLine="0" w:firstLineChars="0"/>
              <w:jc w:val="center"/>
              <w:rPr>
                <w:rFonts w:cs="宋体"/>
                <w:color w:val="auto"/>
                <w:sz w:val="21"/>
                <w:szCs w:val="21"/>
                <w:highlight w:val="none"/>
              </w:rPr>
            </w:pPr>
          </w:p>
        </w:tc>
        <w:tc>
          <w:tcPr>
            <w:tcW w:w="861" w:type="pct"/>
            <w:tcBorders>
              <w:top w:val="single" w:color="auto" w:sz="4" w:space="0"/>
              <w:left w:val="nil"/>
              <w:bottom w:val="single" w:color="auto" w:sz="4" w:space="0"/>
              <w:right w:val="single" w:color="auto" w:sz="4" w:space="0"/>
            </w:tcBorders>
            <w:shd w:val="clear" w:color="auto" w:fill="FFFFFF"/>
            <w:vAlign w:val="top"/>
          </w:tcPr>
          <w:p w14:paraId="47A2A233">
            <w:pPr>
              <w:widowControl/>
              <w:spacing w:line="240" w:lineRule="auto"/>
              <w:ind w:firstLine="0" w:firstLineChars="0"/>
              <w:jc w:val="center"/>
              <w:rPr>
                <w:rFonts w:hint="eastAsia" w:ascii="Tahoma" w:hAnsi="Tahoma" w:cs="Tahoma"/>
                <w:color w:val="auto"/>
                <w:kern w:val="0"/>
                <w:sz w:val="21"/>
                <w:szCs w:val="21"/>
                <w:highlight w:val="none"/>
              </w:rPr>
            </w:pPr>
            <w:r>
              <w:rPr>
                <w:rFonts w:hint="eastAsia" w:ascii="Tahoma" w:hAnsi="Tahoma" w:cs="Tahoma"/>
                <w:color w:val="auto"/>
                <w:kern w:val="0"/>
                <w:sz w:val="21"/>
                <w:szCs w:val="21"/>
                <w:highlight w:val="none"/>
                <w:lang w:eastAsia="zh-CN"/>
              </w:rPr>
              <w:t>（</w:t>
            </w:r>
            <w:r>
              <w:rPr>
                <w:rFonts w:hint="eastAsia" w:ascii="Tahoma" w:hAnsi="Tahoma" w:cs="Tahoma"/>
                <w:color w:val="auto"/>
                <w:kern w:val="0"/>
                <w:sz w:val="21"/>
                <w:szCs w:val="21"/>
                <w:highlight w:val="none"/>
                <w:lang w:val="en-US" w:eastAsia="zh-CN"/>
              </w:rPr>
              <w:t>3</w:t>
            </w:r>
            <w:r>
              <w:rPr>
                <w:rFonts w:hint="eastAsia" w:ascii="Tahoma" w:hAnsi="Tahoma" w:cs="Tahoma"/>
                <w:color w:val="auto"/>
                <w:kern w:val="0"/>
                <w:sz w:val="21"/>
                <w:szCs w:val="21"/>
                <w:highlight w:val="none"/>
                <w:lang w:eastAsia="zh-CN"/>
              </w:rPr>
              <w:t>）</w:t>
            </w:r>
            <w:r>
              <w:rPr>
                <w:rFonts w:hint="eastAsia" w:ascii="Tahoma" w:hAnsi="Tahoma" w:cs="Tahoma"/>
                <w:color w:val="auto"/>
                <w:kern w:val="0"/>
                <w:sz w:val="21"/>
                <w:szCs w:val="21"/>
                <w:highlight w:val="none"/>
              </w:rPr>
              <w:t>羽毛球与足球专项数据分析服务</w:t>
            </w:r>
          </w:p>
          <w:p w14:paraId="3C557350">
            <w:pPr>
              <w:widowControl/>
              <w:spacing w:line="240" w:lineRule="auto"/>
              <w:ind w:firstLine="0" w:firstLineChars="0"/>
              <w:jc w:val="center"/>
              <w:rPr>
                <w:rFonts w:ascii="Tahoma" w:hAnsi="Tahoma" w:cs="Tahoma"/>
                <w:color w:val="auto"/>
                <w:kern w:val="0"/>
                <w:sz w:val="21"/>
                <w:szCs w:val="21"/>
                <w:highlight w:val="none"/>
              </w:rPr>
            </w:pPr>
          </w:p>
        </w:tc>
        <w:tc>
          <w:tcPr>
            <w:tcW w:w="3060" w:type="pct"/>
            <w:tcBorders>
              <w:top w:val="single" w:color="auto" w:sz="4" w:space="0"/>
              <w:left w:val="nil"/>
              <w:bottom w:val="single" w:color="auto" w:sz="4" w:space="0"/>
              <w:right w:val="single" w:color="auto" w:sz="4" w:space="0"/>
            </w:tcBorders>
            <w:shd w:val="clear" w:color="auto" w:fill="FFFFFF"/>
            <w:vAlign w:val="center"/>
          </w:tcPr>
          <w:p w14:paraId="277C6334">
            <w:pPr>
              <w:spacing w:line="360" w:lineRule="auto"/>
              <w:ind w:firstLine="420" w:firstLineChars="200"/>
              <w:rPr>
                <w:rFonts w:hint="eastAsia" w:ascii="宋体" w:hAnsi="宋体" w:cs="宋体"/>
                <w:color w:val="auto"/>
                <w:sz w:val="21"/>
                <w:szCs w:val="24"/>
                <w:highlight w:val="none"/>
              </w:rPr>
            </w:pPr>
            <w:r>
              <w:rPr>
                <w:rFonts w:hint="eastAsia" w:ascii="宋体" w:hAnsi="宋体" w:cs="宋体"/>
                <w:color w:val="auto"/>
                <w:sz w:val="21"/>
                <w:szCs w:val="24"/>
                <w:highlight w:val="none"/>
              </w:rPr>
              <w:t>基于本项目的采集数据，针对羽毛球与足球项目提供专项的数据分析服务。以下分析范围严格限定于本项目数据采集阶段所采集的视频数据。</w:t>
            </w:r>
          </w:p>
          <w:p w14:paraId="17B53949">
            <w:pPr>
              <w:numPr>
                <w:ilvl w:val="0"/>
                <w:numId w:val="34"/>
              </w:numPr>
              <w:spacing w:line="360" w:lineRule="auto"/>
              <w:ind w:left="905" w:leftChars="200" w:hanging="425" w:firstLineChars="0"/>
              <w:outlineLvl w:val="5"/>
              <w:rPr>
                <w:rFonts w:hint="eastAsia" w:ascii="宋体" w:hAnsi="宋体" w:cs="宋体"/>
                <w:color w:val="auto"/>
                <w:sz w:val="21"/>
                <w:szCs w:val="24"/>
                <w:highlight w:val="none"/>
              </w:rPr>
            </w:pPr>
            <w:r>
              <w:rPr>
                <w:rFonts w:hint="eastAsia" w:ascii="宋体" w:hAnsi="宋体" w:cs="宋体"/>
                <w:color w:val="auto"/>
                <w:sz w:val="21"/>
                <w:szCs w:val="24"/>
                <w:highlight w:val="none"/>
              </w:rPr>
              <w:t>羽毛球智能分析</w:t>
            </w:r>
          </w:p>
          <w:p w14:paraId="5DB52305">
            <w:pPr>
              <w:numPr>
                <w:ilvl w:val="0"/>
                <w:numId w:val="35"/>
              </w:numPr>
              <w:spacing w:line="360" w:lineRule="auto"/>
              <w:ind w:firstLine="420" w:firstLineChars="200"/>
              <w:rPr>
                <w:rFonts w:hint="eastAsia" w:ascii="宋体" w:hAnsi="宋体" w:cs="宋体"/>
                <w:color w:val="auto"/>
                <w:sz w:val="21"/>
                <w:szCs w:val="24"/>
                <w:highlight w:val="none"/>
              </w:rPr>
            </w:pPr>
            <w:r>
              <w:rPr>
                <w:rFonts w:hint="eastAsia" w:ascii="宋体" w:hAnsi="宋体" w:cs="宋体"/>
                <w:color w:val="auto"/>
                <w:sz w:val="21"/>
                <w:szCs w:val="24"/>
                <w:highlight w:val="none"/>
              </w:rPr>
              <w:t>技术动作对比分析：基于上体体育大模型能力对训练过程进行延时回放，对练习过程进行视频识别、人体姿态估计和动作特征提取，对学生羽毛球基本技术动作进行智能分析。通过与标准动作对比分析，重点分析准备姿势、引拍路线、挥拍轨迹、击球位置等关键环节，识别动作是否规范、协调、流畅；</w:t>
            </w:r>
          </w:p>
          <w:p w14:paraId="14833057">
            <w:pPr>
              <w:numPr>
                <w:ilvl w:val="0"/>
                <w:numId w:val="35"/>
              </w:numPr>
              <w:spacing w:line="360" w:lineRule="auto"/>
              <w:ind w:firstLine="420" w:firstLineChars="200"/>
              <w:rPr>
                <w:rFonts w:hint="eastAsia" w:ascii="宋体" w:hAnsi="宋体" w:cs="宋体"/>
                <w:color w:val="auto"/>
                <w:sz w:val="21"/>
                <w:szCs w:val="24"/>
                <w:highlight w:val="none"/>
              </w:rPr>
            </w:pPr>
            <w:r>
              <w:rPr>
                <w:rFonts w:hint="eastAsia" w:ascii="宋体" w:hAnsi="宋体" w:cs="宋体"/>
                <w:color w:val="auto"/>
                <w:sz w:val="21"/>
                <w:szCs w:val="24"/>
                <w:highlight w:val="none"/>
              </w:rPr>
              <w:t>技战术表现分析：基于上体体育大模型能力对对抗比赛过程根据回合切片，对单个回合进行球路识别和落点分析，对学生对抗过程的击球效果进行评价。重点分析落点准确性、分布、球路深度等质量。通过识别学生在场地中移动轨迹和身体姿态，分析场上覆盖能力和专项步伐能力，评价启动速度、移动速度、移动距离，进而分析学生场上移动能力。</w:t>
            </w:r>
          </w:p>
          <w:p w14:paraId="16B5726E">
            <w:pPr>
              <w:numPr>
                <w:ilvl w:val="0"/>
                <w:numId w:val="34"/>
              </w:numPr>
              <w:spacing w:line="360" w:lineRule="auto"/>
              <w:ind w:left="905" w:leftChars="200" w:hanging="425" w:firstLineChars="0"/>
              <w:outlineLvl w:val="5"/>
              <w:rPr>
                <w:rFonts w:hint="eastAsia" w:ascii="宋体" w:hAnsi="宋体" w:cs="宋体"/>
                <w:color w:val="auto"/>
                <w:sz w:val="21"/>
                <w:szCs w:val="24"/>
                <w:highlight w:val="none"/>
              </w:rPr>
            </w:pPr>
            <w:r>
              <w:rPr>
                <w:rFonts w:hint="eastAsia" w:ascii="宋体" w:hAnsi="宋体" w:cs="宋体"/>
                <w:color w:val="auto"/>
                <w:sz w:val="21"/>
                <w:szCs w:val="24"/>
                <w:highlight w:val="none"/>
              </w:rPr>
              <w:t>足球定位球智能分析</w:t>
            </w:r>
          </w:p>
          <w:p w14:paraId="711E8A8A">
            <w:pPr>
              <w:numPr>
                <w:ilvl w:val="0"/>
                <w:numId w:val="36"/>
              </w:numPr>
              <w:spacing w:line="360" w:lineRule="auto"/>
              <w:ind w:firstLine="420" w:firstLineChars="200"/>
              <w:rPr>
                <w:rFonts w:hint="eastAsia" w:ascii="宋体" w:hAnsi="宋体" w:cs="宋体"/>
                <w:color w:val="auto"/>
                <w:sz w:val="21"/>
                <w:szCs w:val="24"/>
                <w:highlight w:val="none"/>
              </w:rPr>
            </w:pPr>
            <w:r>
              <w:rPr>
                <w:rFonts w:hint="eastAsia" w:ascii="宋体" w:hAnsi="宋体" w:cs="宋体"/>
                <w:color w:val="auto"/>
                <w:sz w:val="21"/>
                <w:szCs w:val="24"/>
                <w:highlight w:val="none"/>
              </w:rPr>
              <w:t>技术动作对比分析：基于上体体育大模型能力对训练过程进行延时回放，对练习过程进行视频识别、人体姿态估计和动作特征提取，对学生足球定位球基本技术动作进行智能分析。通过与标准动作对比分析，重点分析准备姿势、助跑路线、支撑脚落点、摆腿轨迹、击球位置、身体倾斜角度和随前动作等关键环节，识别动作是否规范、协调、流畅；</w:t>
            </w:r>
          </w:p>
          <w:p w14:paraId="3EF3B536">
            <w:pPr>
              <w:numPr>
                <w:ilvl w:val="0"/>
                <w:numId w:val="36"/>
              </w:numPr>
              <w:spacing w:line="360" w:lineRule="auto"/>
              <w:ind w:firstLine="420" w:firstLineChars="200"/>
              <w:rPr>
                <w:rFonts w:hint="eastAsia" w:ascii="宋体" w:hAnsi="宋体" w:cs="宋体"/>
                <w:color w:val="auto"/>
                <w:sz w:val="21"/>
                <w:szCs w:val="24"/>
                <w:highlight w:val="none"/>
              </w:rPr>
            </w:pPr>
            <w:r>
              <w:rPr>
                <w:rFonts w:hint="eastAsia" w:ascii="宋体" w:hAnsi="宋体" w:cs="宋体"/>
                <w:color w:val="auto"/>
                <w:sz w:val="21"/>
                <w:szCs w:val="24"/>
                <w:highlight w:val="none"/>
              </w:rPr>
              <w:t>球体三维轨迹与射门效果分析：基于三台固定机位相机和侧面激光雷达采集数据，对足球射门过程进行球路识别和三维空间轨迹重建，对学生定位球射门效果进行评价。重点分析球速、出球角度、飞行高度、轨迹曲率、球门落点、目标区域命中率等质量，判断射门是否具备合理的速度、高度、弧线和准确性。</w:t>
            </w:r>
          </w:p>
          <w:p w14:paraId="40C1AF59">
            <w:pPr>
              <w:numPr>
                <w:ilvl w:val="0"/>
                <w:numId w:val="34"/>
              </w:numPr>
              <w:spacing w:line="360" w:lineRule="auto"/>
              <w:ind w:left="905" w:leftChars="200" w:hanging="425" w:firstLineChars="0"/>
              <w:outlineLvl w:val="5"/>
              <w:rPr>
                <w:rFonts w:hint="eastAsia" w:ascii="宋体" w:hAnsi="宋体" w:cs="宋体"/>
                <w:color w:val="auto"/>
                <w:sz w:val="21"/>
                <w:szCs w:val="24"/>
                <w:highlight w:val="none"/>
              </w:rPr>
            </w:pPr>
            <w:r>
              <w:rPr>
                <w:rFonts w:hint="eastAsia" w:ascii="宋体" w:hAnsi="宋体" w:cs="宋体"/>
                <w:color w:val="auto"/>
                <w:sz w:val="21"/>
                <w:szCs w:val="24"/>
                <w:highlight w:val="none"/>
              </w:rPr>
              <w:t>专项分析成果</w:t>
            </w:r>
          </w:p>
          <w:p w14:paraId="75A37AA9">
            <w:pPr>
              <w:spacing w:line="360" w:lineRule="auto"/>
              <w:ind w:firstLine="420" w:firstLineChars="200"/>
              <w:rPr>
                <w:rFonts w:ascii="Tahoma" w:hAnsi="Tahoma" w:cs="Tahoma"/>
                <w:color w:val="auto"/>
                <w:kern w:val="0"/>
                <w:sz w:val="21"/>
                <w:szCs w:val="21"/>
                <w:highlight w:val="none"/>
              </w:rPr>
            </w:pPr>
            <w:r>
              <w:rPr>
                <w:rFonts w:hint="eastAsia" w:ascii="宋体" w:hAnsi="宋体" w:cs="宋体"/>
                <w:color w:val="auto"/>
                <w:sz w:val="21"/>
                <w:szCs w:val="24"/>
                <w:highlight w:val="none"/>
              </w:rPr>
              <w:t>供应商</w:t>
            </w:r>
            <w:r>
              <w:rPr>
                <w:rFonts w:hint="eastAsia" w:cs="宋体"/>
                <w:color w:val="auto"/>
                <w:sz w:val="21"/>
                <w:szCs w:val="24"/>
                <w:highlight w:val="none"/>
                <w:lang w:eastAsia="zh-CN"/>
              </w:rPr>
              <w:t>需</w:t>
            </w:r>
            <w:r>
              <w:rPr>
                <w:rFonts w:hint="eastAsia" w:ascii="宋体" w:hAnsi="宋体" w:cs="宋体"/>
                <w:color w:val="auto"/>
                <w:sz w:val="21"/>
                <w:szCs w:val="24"/>
                <w:highlight w:val="none"/>
              </w:rPr>
              <w:t>将羽毛球和足球的专项分析成果以以下形式交付：个人专项分析报告、群体统计分析报告、教学案例库、专项分析算法与模型。</w:t>
            </w:r>
          </w:p>
        </w:tc>
      </w:tr>
    </w:tbl>
    <w:p w14:paraId="1334FFE8">
      <w:pPr>
        <w:rPr>
          <w:rFonts w:hint="eastAsia"/>
          <w:color w:val="auto"/>
          <w:highlight w:val="none"/>
        </w:rPr>
      </w:pPr>
    </w:p>
    <w:p w14:paraId="099E35F0">
      <w:pPr>
        <w:pStyle w:val="2"/>
        <w:rPr>
          <w:rFonts w:hint="eastAsia"/>
          <w:color w:val="auto"/>
          <w:highlight w:val="none"/>
        </w:rPr>
      </w:pPr>
      <w:bookmarkStart w:id="19" w:name="_Toc63785503"/>
      <w:r>
        <w:rPr>
          <w:rFonts w:hint="eastAsia"/>
          <w:color w:val="auto"/>
          <w:highlight w:val="none"/>
        </w:rPr>
        <w:t>其他工作要求</w:t>
      </w:r>
      <w:bookmarkEnd w:id="19"/>
    </w:p>
    <w:p w14:paraId="302F9C9B">
      <w:pPr>
        <w:pStyle w:val="3"/>
        <w:ind w:left="480" w:leftChars="0" w:firstLineChars="0"/>
        <w:rPr>
          <w:rFonts w:hint="eastAsia"/>
          <w:color w:val="auto"/>
          <w:highlight w:val="none"/>
        </w:rPr>
      </w:pPr>
      <w:bookmarkStart w:id="20" w:name="_Toc63762370"/>
      <w:bookmarkEnd w:id="20"/>
      <w:bookmarkStart w:id="21" w:name="_Toc62219358"/>
      <w:bookmarkEnd w:id="21"/>
      <w:bookmarkStart w:id="22" w:name="_Toc62209488"/>
      <w:bookmarkEnd w:id="22"/>
      <w:bookmarkStart w:id="23" w:name="_Toc61968111"/>
      <w:bookmarkEnd w:id="23"/>
      <w:bookmarkStart w:id="24" w:name="_Toc63785504"/>
      <w:bookmarkEnd w:id="24"/>
      <w:bookmarkStart w:id="25" w:name="_Toc63585480"/>
      <w:bookmarkEnd w:id="25"/>
      <w:bookmarkStart w:id="26" w:name="_Toc63151871"/>
      <w:bookmarkEnd w:id="26"/>
      <w:bookmarkStart w:id="27" w:name="_Toc63785439"/>
      <w:bookmarkEnd w:id="27"/>
      <w:bookmarkStart w:id="28" w:name="_Toc63785505"/>
      <w:r>
        <w:rPr>
          <w:rFonts w:hint="eastAsia"/>
          <w:color w:val="auto"/>
          <w:highlight w:val="none"/>
        </w:rPr>
        <w:t>售后服务要求</w:t>
      </w:r>
      <w:bookmarkEnd w:id="28"/>
    </w:p>
    <w:p w14:paraId="4FFB2A57">
      <w:pPr>
        <w:pStyle w:val="10"/>
        <w:snapToGrid w:val="0"/>
        <w:spacing w:line="360" w:lineRule="auto"/>
        <w:ind w:firstLine="480"/>
        <w:rPr>
          <w:rFonts w:hint="eastAsia" w:ascii="宋体" w:hAnsi="宋体"/>
          <w:color w:val="auto"/>
          <w:sz w:val="24"/>
          <w:szCs w:val="24"/>
          <w:highlight w:val="none"/>
        </w:rPr>
      </w:pPr>
      <w:r>
        <w:rPr>
          <w:rFonts w:hint="eastAsia" w:ascii="宋体" w:hAnsi="宋体"/>
          <w:color w:val="auto"/>
          <w:sz w:val="24"/>
          <w:szCs w:val="24"/>
          <w:highlight w:val="none"/>
        </w:rPr>
        <w:t>供应商</w:t>
      </w:r>
      <w:r>
        <w:rPr>
          <w:rFonts w:hint="eastAsia" w:ascii="宋体" w:hAnsi="宋体"/>
          <w:color w:val="auto"/>
          <w:sz w:val="24"/>
          <w:szCs w:val="24"/>
          <w:highlight w:val="none"/>
          <w:lang w:eastAsia="zh-CN"/>
        </w:rPr>
        <w:t>需</w:t>
      </w:r>
      <w:r>
        <w:rPr>
          <w:rFonts w:hint="eastAsia" w:ascii="宋体" w:hAnsi="宋体"/>
          <w:color w:val="auto"/>
          <w:sz w:val="24"/>
          <w:szCs w:val="24"/>
          <w:highlight w:val="none"/>
        </w:rPr>
        <w:t>确保其技术建议，以及所提供的软件或服务的完整性和可用性，保证所提供的软件或服务能够按时投入正常运行。若出现由于供应商提供的软件或服务不满足要求或其所提供的技术支持和服务不全面而导致系统功能无法按时实现或不能完全按时实现，由供应商负全部责任。</w:t>
      </w:r>
    </w:p>
    <w:p w14:paraId="71942C56">
      <w:pPr>
        <w:pStyle w:val="10"/>
        <w:snapToGrid w:val="0"/>
        <w:spacing w:line="360" w:lineRule="auto"/>
        <w:ind w:firstLine="480"/>
        <w:rPr>
          <w:rFonts w:hint="eastAsia" w:ascii="宋体" w:hAnsi="宋体"/>
          <w:color w:val="auto"/>
          <w:sz w:val="24"/>
          <w:szCs w:val="24"/>
          <w:highlight w:val="none"/>
        </w:rPr>
      </w:pPr>
      <w:r>
        <w:rPr>
          <w:rFonts w:hint="eastAsia" w:ascii="宋体" w:hAnsi="宋体"/>
          <w:color w:val="auto"/>
          <w:sz w:val="24"/>
          <w:szCs w:val="24"/>
          <w:highlight w:val="none"/>
        </w:rPr>
        <w:t>1.服务要求：提供不低于一年的质保期，质保期自验收合格之日起计算。质保期内供应商免费提供以下服务：</w:t>
      </w:r>
    </w:p>
    <w:p w14:paraId="5C75CC30">
      <w:pPr>
        <w:pStyle w:val="10"/>
        <w:snapToGrid w:val="0"/>
        <w:spacing w:line="360" w:lineRule="auto"/>
        <w:ind w:firstLine="480"/>
        <w:rPr>
          <w:rFonts w:hint="eastAsia" w:ascii="宋体" w:hAnsi="宋体"/>
          <w:color w:val="auto"/>
          <w:sz w:val="24"/>
          <w:szCs w:val="24"/>
          <w:highlight w:val="none"/>
        </w:rPr>
      </w:pPr>
      <w:r>
        <w:rPr>
          <w:rFonts w:hint="eastAsia" w:ascii="宋体" w:hAnsi="宋体"/>
          <w:color w:val="auto"/>
          <w:sz w:val="24"/>
          <w:szCs w:val="24"/>
          <w:highlight w:val="none"/>
        </w:rPr>
        <w:t>（1）数据采集与标注服务的日常指导与疑难解答；</w:t>
      </w:r>
    </w:p>
    <w:p w14:paraId="2E272B79">
      <w:pPr>
        <w:pStyle w:val="10"/>
        <w:snapToGrid w:val="0"/>
        <w:spacing w:line="360" w:lineRule="auto"/>
        <w:ind w:firstLine="480"/>
        <w:rPr>
          <w:rFonts w:hint="eastAsia" w:ascii="宋体" w:hAnsi="宋体"/>
          <w:color w:val="auto"/>
          <w:sz w:val="24"/>
          <w:szCs w:val="24"/>
          <w:highlight w:val="none"/>
        </w:rPr>
      </w:pPr>
      <w:r>
        <w:rPr>
          <w:rFonts w:hint="eastAsia" w:ascii="宋体" w:hAnsi="宋体"/>
          <w:color w:val="auto"/>
          <w:sz w:val="24"/>
          <w:szCs w:val="24"/>
          <w:highlight w:val="none"/>
        </w:rPr>
        <w:t>（2）运动健体智能体的运行维护；</w:t>
      </w:r>
    </w:p>
    <w:p w14:paraId="2FBB9939">
      <w:pPr>
        <w:pStyle w:val="10"/>
        <w:snapToGrid w:val="0"/>
        <w:spacing w:line="360" w:lineRule="auto"/>
        <w:ind w:firstLine="480"/>
        <w:rPr>
          <w:rFonts w:hint="eastAsia" w:ascii="宋体" w:hAnsi="宋体"/>
          <w:color w:val="auto"/>
          <w:sz w:val="24"/>
          <w:szCs w:val="24"/>
          <w:highlight w:val="none"/>
        </w:rPr>
      </w:pPr>
      <w:r>
        <w:rPr>
          <w:rFonts w:hint="eastAsia" w:ascii="宋体" w:hAnsi="宋体"/>
          <w:color w:val="auto"/>
          <w:sz w:val="24"/>
          <w:szCs w:val="24"/>
          <w:highlight w:val="none"/>
        </w:rPr>
        <w:t>（3）系统运行状态巡检、性能监控、日志分析、安全加固等常规运维工作。质保期外供应商</w:t>
      </w:r>
      <w:r>
        <w:rPr>
          <w:rFonts w:hint="eastAsia" w:ascii="宋体" w:hAnsi="宋体"/>
          <w:color w:val="auto"/>
          <w:sz w:val="24"/>
          <w:szCs w:val="24"/>
          <w:highlight w:val="none"/>
          <w:lang w:eastAsia="zh-CN"/>
        </w:rPr>
        <w:t>需</w:t>
      </w:r>
      <w:r>
        <w:rPr>
          <w:rFonts w:hint="eastAsia" w:ascii="宋体" w:hAnsi="宋体"/>
          <w:color w:val="auto"/>
          <w:sz w:val="24"/>
          <w:szCs w:val="24"/>
          <w:highlight w:val="none"/>
        </w:rPr>
        <w:t>免费为用户提供软件技术及商务咨询服务；</w:t>
      </w:r>
    </w:p>
    <w:p w14:paraId="3FD70358">
      <w:pPr>
        <w:pStyle w:val="10"/>
        <w:snapToGrid w:val="0"/>
        <w:spacing w:line="360" w:lineRule="auto"/>
        <w:ind w:firstLine="480"/>
        <w:rPr>
          <w:rFonts w:hint="eastAsia" w:ascii="宋体" w:hAnsi="宋体"/>
          <w:color w:val="auto"/>
          <w:sz w:val="24"/>
          <w:szCs w:val="24"/>
          <w:highlight w:val="none"/>
        </w:rPr>
      </w:pPr>
      <w:r>
        <w:rPr>
          <w:rFonts w:hint="eastAsia" w:ascii="宋体" w:hAnsi="宋体"/>
          <w:color w:val="auto"/>
          <w:sz w:val="24"/>
          <w:szCs w:val="24"/>
          <w:highlight w:val="none"/>
        </w:rPr>
        <w:t>2.技术与人员保障：</w:t>
      </w:r>
      <w:r>
        <w:rPr>
          <w:rFonts w:hint="eastAsia" w:ascii="宋体" w:hAnsi="宋体"/>
          <w:color w:val="auto"/>
          <w:sz w:val="24"/>
          <w:szCs w:val="24"/>
          <w:highlight w:val="none"/>
          <w:lang w:val="en-US" w:eastAsia="zh-CN"/>
        </w:rPr>
        <w:t>10</w:t>
      </w:r>
      <w:r>
        <w:rPr>
          <w:rFonts w:hint="eastAsia" w:ascii="宋体" w:hAnsi="宋体"/>
          <w:color w:val="auto"/>
          <w:sz w:val="24"/>
          <w:szCs w:val="24"/>
          <w:highlight w:val="none"/>
        </w:rPr>
        <w:t>所</w:t>
      </w:r>
      <w:r>
        <w:rPr>
          <w:rFonts w:hint="eastAsia" w:ascii="宋体" w:hAnsi="宋体"/>
          <w:color w:val="auto"/>
          <w:sz w:val="24"/>
          <w:szCs w:val="24"/>
          <w:highlight w:val="none"/>
        </w:rPr>
        <w:t>试点校</w:t>
      </w:r>
      <w:r>
        <w:rPr>
          <w:rFonts w:hint="eastAsia" w:ascii="宋体" w:hAnsi="宋体"/>
          <w:color w:val="auto"/>
          <w:sz w:val="24"/>
          <w:szCs w:val="24"/>
          <w:highlight w:val="none"/>
          <w:lang w:eastAsia="zh-CN"/>
        </w:rPr>
        <w:t>每所</w:t>
      </w:r>
      <w:r>
        <w:rPr>
          <w:rFonts w:hint="eastAsia" w:ascii="宋体" w:hAnsi="宋体"/>
          <w:color w:val="auto"/>
          <w:sz w:val="24"/>
          <w:szCs w:val="24"/>
          <w:highlight w:val="none"/>
        </w:rPr>
        <w:t>配备1名现场专业技术人员（每日驻校≥2 小时，覆盖体育课时段），负责设备校准、数据实时核验、异常数据现场标注；</w:t>
      </w:r>
    </w:p>
    <w:p w14:paraId="36A80D54">
      <w:pPr>
        <w:pStyle w:val="10"/>
        <w:snapToGrid w:val="0"/>
        <w:spacing w:line="360" w:lineRule="auto"/>
        <w:ind w:firstLine="480"/>
        <w:rPr>
          <w:rFonts w:hint="eastAsia" w:ascii="宋体" w:hAnsi="宋体"/>
          <w:color w:val="auto"/>
          <w:sz w:val="24"/>
          <w:szCs w:val="24"/>
          <w:highlight w:val="none"/>
        </w:rPr>
      </w:pPr>
      <w:r>
        <w:rPr>
          <w:rFonts w:hint="eastAsia" w:ascii="宋体" w:hAnsi="宋体"/>
          <w:color w:val="auto"/>
          <w:sz w:val="24"/>
          <w:szCs w:val="24"/>
          <w:highlight w:val="none"/>
        </w:rPr>
        <w:t>3.电话咨询：为用户提供7×24小时技术援助电话，解答用户在系统使用中遇到的问题，及时提出解决问题的建议和操作方法；</w:t>
      </w:r>
    </w:p>
    <w:p w14:paraId="6814187E">
      <w:pPr>
        <w:pStyle w:val="10"/>
        <w:snapToGrid w:val="0"/>
        <w:spacing w:line="360" w:lineRule="auto"/>
        <w:ind w:firstLine="480"/>
        <w:rPr>
          <w:rFonts w:hint="eastAsia" w:ascii="宋体" w:hAnsi="宋体"/>
          <w:color w:val="auto"/>
          <w:sz w:val="24"/>
          <w:szCs w:val="24"/>
          <w:highlight w:val="none"/>
        </w:rPr>
      </w:pPr>
      <w:r>
        <w:rPr>
          <w:rFonts w:hint="eastAsia" w:ascii="宋体" w:hAnsi="宋体"/>
          <w:color w:val="auto"/>
          <w:sz w:val="24"/>
          <w:szCs w:val="24"/>
          <w:highlight w:val="none"/>
        </w:rPr>
        <w:t>4.故障响应：1 小时内响应、4 小时内到达现场</w:t>
      </w:r>
      <w:r>
        <w:rPr>
          <w:rFonts w:hint="eastAsia" w:ascii="宋体" w:hAnsi="宋体"/>
          <w:color w:val="auto"/>
          <w:sz w:val="24"/>
          <w:szCs w:val="24"/>
          <w:highlight w:val="none"/>
          <w:lang w:eastAsia="zh-CN"/>
        </w:rPr>
        <w:t>并</w:t>
      </w:r>
      <w:r>
        <w:rPr>
          <w:rFonts w:hint="eastAsia" w:ascii="宋体" w:hAnsi="宋体"/>
          <w:color w:val="auto"/>
          <w:sz w:val="24"/>
          <w:szCs w:val="24"/>
          <w:highlight w:val="none"/>
          <w:lang w:val="en-US" w:eastAsia="zh-CN"/>
        </w:rPr>
        <w:t>修复，</w:t>
      </w:r>
      <w:r>
        <w:rPr>
          <w:rFonts w:hint="eastAsia" w:ascii="宋体" w:hAnsi="宋体"/>
          <w:color w:val="auto"/>
          <w:sz w:val="24"/>
          <w:szCs w:val="24"/>
          <w:highlight w:val="none"/>
        </w:rPr>
        <w:t>遇到重大技术问题无法在4小时内修复的，在24小时内采取相应措施以确保系统正常操作。如果供应商在接到通知后未及时做出响应，供应商对由于系统故障所造成的损失后果负责；</w:t>
      </w:r>
    </w:p>
    <w:p w14:paraId="65FC96D4">
      <w:pPr>
        <w:pStyle w:val="10"/>
        <w:snapToGrid w:val="0"/>
        <w:spacing w:line="360" w:lineRule="auto"/>
        <w:ind w:firstLine="480"/>
        <w:rPr>
          <w:rFonts w:hint="eastAsia" w:ascii="宋体" w:hAnsi="宋体"/>
          <w:color w:val="auto"/>
          <w:sz w:val="24"/>
          <w:szCs w:val="24"/>
          <w:highlight w:val="none"/>
        </w:rPr>
      </w:pPr>
      <w:r>
        <w:rPr>
          <w:rFonts w:hint="eastAsia" w:ascii="宋体" w:hAnsi="宋体"/>
          <w:color w:val="auto"/>
          <w:sz w:val="24"/>
          <w:szCs w:val="24"/>
          <w:highlight w:val="none"/>
        </w:rPr>
        <w:t>5.远程服务：在网络链路畅通的情况下，提供网络远程维护服务，及时解决用户使用中出现的问题；</w:t>
      </w:r>
    </w:p>
    <w:p w14:paraId="3A4A8BE7">
      <w:pPr>
        <w:pStyle w:val="3"/>
        <w:ind w:left="480" w:leftChars="0" w:firstLineChars="0"/>
        <w:rPr>
          <w:rFonts w:hint="eastAsia"/>
          <w:color w:val="auto"/>
          <w:highlight w:val="none"/>
        </w:rPr>
      </w:pPr>
      <w:bookmarkStart w:id="29" w:name="_Toc63785507"/>
      <w:r>
        <w:rPr>
          <w:rFonts w:hint="eastAsia"/>
          <w:color w:val="auto"/>
          <w:highlight w:val="none"/>
        </w:rPr>
        <w:t>培训要求</w:t>
      </w:r>
      <w:bookmarkEnd w:id="29"/>
    </w:p>
    <w:p w14:paraId="795AE5A0">
      <w:pPr>
        <w:rPr>
          <w:color w:val="auto"/>
          <w:highlight w:val="none"/>
        </w:rPr>
      </w:pPr>
      <w:r>
        <w:rPr>
          <w:rFonts w:hint="eastAsia"/>
          <w:color w:val="auto"/>
          <w:highlight w:val="none"/>
        </w:rPr>
        <w:t>根据项目进度制定对应的</w:t>
      </w:r>
      <w:r>
        <w:rPr>
          <w:color w:val="auto"/>
          <w:highlight w:val="none"/>
        </w:rPr>
        <w:t>用户培训计划</w:t>
      </w:r>
      <w:r>
        <w:rPr>
          <w:rFonts w:hint="eastAsia"/>
          <w:color w:val="auto"/>
          <w:highlight w:val="none"/>
        </w:rPr>
        <w:t>，提供必要的</w:t>
      </w:r>
      <w:r>
        <w:rPr>
          <w:color w:val="auto"/>
          <w:highlight w:val="none"/>
        </w:rPr>
        <w:t>培训材料</w:t>
      </w:r>
      <w:r>
        <w:rPr>
          <w:rFonts w:hint="eastAsia"/>
          <w:color w:val="auto"/>
          <w:highlight w:val="none"/>
        </w:rPr>
        <w:t>并留存</w:t>
      </w:r>
      <w:r>
        <w:rPr>
          <w:color w:val="auto"/>
          <w:highlight w:val="none"/>
        </w:rPr>
        <w:t>培训记录</w:t>
      </w:r>
      <w:r>
        <w:rPr>
          <w:rFonts w:hint="eastAsia"/>
          <w:color w:val="auto"/>
          <w:highlight w:val="none"/>
        </w:rPr>
        <w:t>。</w:t>
      </w:r>
    </w:p>
    <w:p w14:paraId="4D4BEC43">
      <w:pPr>
        <w:pStyle w:val="3"/>
        <w:ind w:left="480" w:leftChars="0" w:firstLineChars="0"/>
        <w:rPr>
          <w:rFonts w:hint="eastAsia"/>
          <w:color w:val="auto"/>
          <w:highlight w:val="none"/>
        </w:rPr>
      </w:pPr>
      <w:bookmarkStart w:id="30" w:name="_Toc63785509"/>
      <w:r>
        <w:rPr>
          <w:rFonts w:hint="eastAsia"/>
          <w:color w:val="auto"/>
          <w:highlight w:val="none"/>
        </w:rPr>
        <w:t>进度要求</w:t>
      </w:r>
      <w:bookmarkEnd w:id="30"/>
    </w:p>
    <w:p w14:paraId="3AE4F435">
      <w:pPr>
        <w:rPr>
          <w:color w:val="auto"/>
          <w:highlight w:val="none"/>
        </w:rPr>
      </w:pPr>
      <w:r>
        <w:rPr>
          <w:rFonts w:hint="eastAsia"/>
          <w:color w:val="auto"/>
          <w:highlight w:val="none"/>
        </w:rPr>
        <w:t>2026年11月15日前完成项目交付</w:t>
      </w:r>
      <w:r>
        <w:rPr>
          <w:rFonts w:hint="eastAsia"/>
          <w:color w:val="auto"/>
          <w:highlight w:val="none"/>
          <w:lang w:eastAsia="zh-CN"/>
        </w:rPr>
        <w:t>，包含</w:t>
      </w:r>
      <w:r>
        <w:rPr>
          <w:rFonts w:hint="eastAsia"/>
          <w:color w:val="auto"/>
          <w:highlight w:val="none"/>
          <w:lang w:val="en-US" w:eastAsia="zh-CN"/>
        </w:rPr>
        <w:t>1个月</w:t>
      </w:r>
      <w:r>
        <w:rPr>
          <w:rFonts w:hint="eastAsia"/>
          <w:color w:val="auto"/>
          <w:highlight w:val="none"/>
          <w:lang w:eastAsia="zh-CN"/>
        </w:rPr>
        <w:t>试运行期</w:t>
      </w:r>
      <w:r>
        <w:rPr>
          <w:rFonts w:hint="eastAsia"/>
          <w:color w:val="auto"/>
          <w:highlight w:val="none"/>
        </w:rPr>
        <w:t>。</w:t>
      </w:r>
    </w:p>
    <w:p w14:paraId="52903A36">
      <w:pPr>
        <w:pStyle w:val="3"/>
        <w:ind w:left="480" w:leftChars="0" w:firstLineChars="0"/>
        <w:rPr>
          <w:rFonts w:hint="eastAsia"/>
          <w:color w:val="auto"/>
          <w:highlight w:val="none"/>
        </w:rPr>
      </w:pPr>
      <w:bookmarkStart w:id="31" w:name="_Toc63785510"/>
      <w:r>
        <w:rPr>
          <w:rFonts w:hint="eastAsia"/>
          <w:color w:val="auto"/>
          <w:highlight w:val="none"/>
        </w:rPr>
        <w:t>项目团队及驻场人员要求</w:t>
      </w:r>
      <w:bookmarkEnd w:id="31"/>
    </w:p>
    <w:p w14:paraId="31EFDCC7">
      <w:pPr>
        <w:rPr>
          <w:color w:val="auto"/>
          <w:highlight w:val="none"/>
        </w:rPr>
      </w:pPr>
      <w:r>
        <w:rPr>
          <w:color w:val="auto"/>
          <w:highlight w:val="none"/>
        </w:rPr>
        <w:t>项目实施团队不少于10人</w:t>
      </w:r>
      <w:r>
        <w:rPr>
          <w:rFonts w:hint="eastAsia"/>
          <w:color w:val="auto"/>
          <w:highlight w:val="none"/>
          <w:lang w:eastAsia="zh-CN"/>
        </w:rPr>
        <w:t>，项目</w:t>
      </w:r>
      <w:r>
        <w:rPr>
          <w:color w:val="auto"/>
          <w:highlight w:val="none"/>
        </w:rPr>
        <w:t>负责人具有体育学或计算机专业硕士及以上学位，并在体育工程、人工智能、大数据等领域</w:t>
      </w:r>
      <w:r>
        <w:rPr>
          <w:rFonts w:hint="eastAsia"/>
          <w:color w:val="auto"/>
          <w:highlight w:val="none"/>
          <w:lang w:eastAsia="zh-CN"/>
        </w:rPr>
        <w:t>具有</w:t>
      </w:r>
      <w:r>
        <w:rPr>
          <w:color w:val="auto"/>
          <w:highlight w:val="none"/>
        </w:rPr>
        <w:t>工作经验。技术负责人具有计算机、电子信息、软件工程、体育工程、体育学等相关专业背景，</w:t>
      </w:r>
      <w:r>
        <w:rPr>
          <w:rFonts w:hint="eastAsia"/>
          <w:color w:val="auto"/>
          <w:highlight w:val="none"/>
          <w:lang w:eastAsia="zh-CN"/>
        </w:rPr>
        <w:t>实施期间提供</w:t>
      </w:r>
      <w:r>
        <w:rPr>
          <w:rFonts w:hint="eastAsia"/>
          <w:color w:val="auto"/>
          <w:highlight w:val="none"/>
          <w:lang w:val="en-US" w:eastAsia="zh-CN"/>
        </w:rPr>
        <w:t>1人</w:t>
      </w:r>
      <w:r>
        <w:rPr>
          <w:rFonts w:hint="eastAsia"/>
          <w:color w:val="auto"/>
          <w:highlight w:val="none"/>
          <w:lang w:val="en-US" w:eastAsia="zh-CN"/>
        </w:rPr>
        <w:t>驻场服务</w:t>
      </w:r>
      <w:r>
        <w:rPr>
          <w:color w:val="auto"/>
          <w:highlight w:val="none"/>
        </w:rPr>
        <w:t>，能随时按要求提供技术支持和服务。</w:t>
      </w:r>
    </w:p>
    <w:p w14:paraId="1B073EC7">
      <w:pPr>
        <w:pStyle w:val="3"/>
        <w:ind w:left="480" w:leftChars="0" w:firstLineChars="0"/>
        <w:rPr>
          <w:rFonts w:hint="eastAsia"/>
          <w:color w:val="auto"/>
          <w:highlight w:val="none"/>
        </w:rPr>
      </w:pPr>
      <w:bookmarkStart w:id="32" w:name="_Toc63785512"/>
      <w:r>
        <w:rPr>
          <w:rFonts w:hint="eastAsia"/>
          <w:color w:val="auto"/>
          <w:highlight w:val="none"/>
          <w:lang w:val="en-US" w:eastAsia="zh-CN"/>
        </w:rPr>
        <w:t>交付物</w:t>
      </w:r>
      <w:r>
        <w:rPr>
          <w:rFonts w:hint="eastAsia"/>
          <w:color w:val="auto"/>
          <w:highlight w:val="none"/>
        </w:rPr>
        <w:t>要求</w:t>
      </w:r>
    </w:p>
    <w:p w14:paraId="2B7002DE">
      <w:pPr>
        <w:numPr>
          <w:ilvl w:val="0"/>
          <w:numId w:val="37"/>
        </w:numPr>
        <w:ind w:left="425" w:leftChars="0" w:hanging="425" w:firstLineChars="0"/>
        <w:rPr>
          <w:rFonts w:hint="eastAsia"/>
          <w:color w:val="auto"/>
          <w:highlight w:val="none"/>
        </w:rPr>
      </w:pPr>
      <w:r>
        <w:rPr>
          <w:rFonts w:hint="eastAsia"/>
          <w:color w:val="auto"/>
          <w:highlight w:val="none"/>
        </w:rPr>
        <w:t>实施方案、详细服务设计文档、数据采集方案（含测试计划）、部署方案、用户培训计划、培训材料、培训记录、技术报告、项目实施总结报告；</w:t>
      </w:r>
    </w:p>
    <w:p w14:paraId="218989CE">
      <w:pPr>
        <w:numPr>
          <w:ilvl w:val="0"/>
          <w:numId w:val="37"/>
        </w:numPr>
        <w:ind w:left="425" w:leftChars="0" w:hanging="425" w:firstLineChars="0"/>
        <w:rPr>
          <w:rFonts w:hint="eastAsia"/>
          <w:color w:val="auto"/>
          <w:highlight w:val="none"/>
        </w:rPr>
      </w:pPr>
      <w:r>
        <w:rPr>
          <w:rFonts w:hint="eastAsia"/>
          <w:color w:val="auto"/>
          <w:highlight w:val="none"/>
        </w:rPr>
        <w:t>青少年运动强体多模态数据集1个；</w:t>
      </w:r>
    </w:p>
    <w:p w14:paraId="45145E9C">
      <w:pPr>
        <w:numPr>
          <w:ilvl w:val="0"/>
          <w:numId w:val="37"/>
        </w:numPr>
        <w:ind w:left="425" w:leftChars="0" w:hanging="425" w:firstLineChars="0"/>
        <w:rPr>
          <w:rFonts w:hint="eastAsia"/>
          <w:color w:val="auto"/>
          <w:highlight w:val="none"/>
        </w:rPr>
      </w:pPr>
      <w:r>
        <w:rPr>
          <w:rFonts w:hint="eastAsia"/>
          <w:color w:val="auto"/>
          <w:highlight w:val="none"/>
        </w:rPr>
        <w:t>3D 数字人动作库、动作说明与参数文档。</w:t>
      </w:r>
    </w:p>
    <w:p w14:paraId="73D0BDB3">
      <w:pPr>
        <w:numPr>
          <w:ilvl w:val="0"/>
          <w:numId w:val="37"/>
        </w:numPr>
        <w:ind w:left="425" w:leftChars="0" w:hanging="425" w:firstLineChars="0"/>
        <w:rPr>
          <w:rFonts w:hint="eastAsia"/>
          <w:color w:val="auto"/>
          <w:highlight w:val="none"/>
        </w:rPr>
      </w:pPr>
      <w:r>
        <w:rPr>
          <w:rFonts w:hint="eastAsia"/>
          <w:color w:val="auto"/>
          <w:highlight w:val="none"/>
        </w:rPr>
        <w:t>上体体育大模型接口适配方案、对接说明、监控机制。</w:t>
      </w:r>
    </w:p>
    <w:p w14:paraId="5E4AE418">
      <w:pPr>
        <w:numPr>
          <w:ilvl w:val="0"/>
          <w:numId w:val="37"/>
        </w:numPr>
        <w:ind w:left="425" w:leftChars="0" w:hanging="425" w:firstLineChars="0"/>
        <w:rPr>
          <w:rFonts w:hint="eastAsia"/>
          <w:color w:val="auto"/>
          <w:highlight w:val="none"/>
        </w:rPr>
      </w:pPr>
      <w:r>
        <w:rPr>
          <w:rFonts w:hint="eastAsia"/>
          <w:color w:val="auto"/>
          <w:highlight w:val="none"/>
        </w:rPr>
        <w:t>分学段推送策略、推送管理工具，及其说明文档和操作手册。</w:t>
      </w:r>
    </w:p>
    <w:p w14:paraId="229A4D4C">
      <w:pPr>
        <w:numPr>
          <w:ilvl w:val="0"/>
          <w:numId w:val="37"/>
        </w:numPr>
        <w:ind w:left="425" w:leftChars="0" w:hanging="425" w:firstLineChars="0"/>
        <w:rPr>
          <w:rFonts w:hint="eastAsia"/>
          <w:color w:val="auto"/>
          <w:highlight w:val="none"/>
        </w:rPr>
      </w:pPr>
      <w:r>
        <w:rPr>
          <w:rFonts w:hint="eastAsia"/>
          <w:color w:val="auto"/>
          <w:highlight w:val="none"/>
        </w:rPr>
        <w:t>源数据处理规范、时序分析模型、模型说明文档和操作手册。</w:t>
      </w:r>
    </w:p>
    <w:p w14:paraId="34864F54">
      <w:pPr>
        <w:numPr>
          <w:ilvl w:val="0"/>
          <w:numId w:val="37"/>
        </w:numPr>
        <w:ind w:left="425" w:leftChars="0" w:hanging="425" w:firstLineChars="0"/>
        <w:rPr>
          <w:rFonts w:hint="eastAsia"/>
          <w:color w:val="auto"/>
          <w:highlight w:val="none"/>
        </w:rPr>
      </w:pPr>
      <w:r>
        <w:rPr>
          <w:rFonts w:hint="eastAsia"/>
          <w:color w:val="auto"/>
          <w:highlight w:val="none"/>
        </w:rPr>
        <w:t>运动健康报告自动化生成系统、报告模板、说明文档和操作手册。</w:t>
      </w:r>
    </w:p>
    <w:p w14:paraId="14457CC1">
      <w:pPr>
        <w:numPr>
          <w:ilvl w:val="0"/>
          <w:numId w:val="37"/>
        </w:numPr>
        <w:ind w:left="425" w:leftChars="0" w:hanging="425" w:firstLineChars="0"/>
        <w:rPr>
          <w:rFonts w:hint="eastAsia"/>
          <w:color w:val="auto"/>
          <w:highlight w:val="none"/>
        </w:rPr>
      </w:pPr>
      <w:r>
        <w:rPr>
          <w:rFonts w:hint="eastAsia"/>
          <w:color w:val="auto"/>
          <w:highlight w:val="none"/>
        </w:rPr>
        <w:t>上海市2-3个区10所中小学生校园运动健康数据分析报告；</w:t>
      </w:r>
    </w:p>
    <w:p w14:paraId="4C79AB22">
      <w:pPr>
        <w:numPr>
          <w:ilvl w:val="0"/>
          <w:numId w:val="37"/>
        </w:numPr>
        <w:ind w:left="425" w:leftChars="0" w:hanging="425" w:firstLineChars="0"/>
        <w:rPr>
          <w:rFonts w:hint="eastAsia"/>
          <w:color w:val="auto"/>
          <w:highlight w:val="none"/>
        </w:rPr>
      </w:pPr>
      <w:r>
        <w:rPr>
          <w:rFonts w:hint="eastAsia"/>
          <w:color w:val="auto"/>
          <w:highlight w:val="none"/>
        </w:rPr>
        <w:t>上海市2-3个区10所中小学生校园运动健体智能指导成效报告；</w:t>
      </w:r>
    </w:p>
    <w:p w14:paraId="29EDD461">
      <w:pPr>
        <w:numPr>
          <w:ilvl w:val="0"/>
          <w:numId w:val="37"/>
        </w:numPr>
        <w:ind w:left="425" w:leftChars="0" w:hanging="425" w:firstLineChars="0"/>
        <w:rPr>
          <w:rFonts w:hint="eastAsia"/>
          <w:color w:val="auto"/>
          <w:highlight w:val="none"/>
        </w:rPr>
      </w:pPr>
      <w:r>
        <w:rPr>
          <w:rFonts w:hint="eastAsia"/>
          <w:color w:val="auto"/>
          <w:highlight w:val="none"/>
        </w:rPr>
        <w:t>本项目服务过程中产出的全部定制化软件源代码；</w:t>
      </w:r>
    </w:p>
    <w:p w14:paraId="5772D60D">
      <w:pPr>
        <w:numPr>
          <w:ilvl w:val="0"/>
          <w:numId w:val="37"/>
        </w:numPr>
        <w:ind w:left="425" w:leftChars="0" w:hanging="425" w:firstLineChars="0"/>
        <w:rPr>
          <w:rFonts w:hint="eastAsia"/>
          <w:color w:val="auto"/>
          <w:highlight w:val="none"/>
        </w:rPr>
      </w:pPr>
      <w:r>
        <w:rPr>
          <w:rFonts w:hint="eastAsia"/>
          <w:color w:val="auto"/>
          <w:highlight w:val="none"/>
        </w:rPr>
        <w:t>所提供的第三方产品的技术说明和操作、维护资料（如有）；</w:t>
      </w:r>
    </w:p>
    <w:p w14:paraId="0F9F7BA7">
      <w:pPr>
        <w:numPr>
          <w:ilvl w:val="0"/>
          <w:numId w:val="37"/>
        </w:numPr>
        <w:ind w:left="425" w:leftChars="0" w:hanging="425" w:firstLineChars="0"/>
        <w:rPr>
          <w:rFonts w:hint="eastAsia"/>
          <w:color w:val="auto"/>
          <w:highlight w:val="none"/>
        </w:rPr>
      </w:pPr>
      <w:r>
        <w:rPr>
          <w:rFonts w:hint="eastAsia"/>
          <w:color w:val="auto"/>
          <w:highlight w:val="none"/>
        </w:rPr>
        <w:t>配合采购人提供项目实施中需要的其他材料。</w:t>
      </w:r>
    </w:p>
    <w:p w14:paraId="269B6912">
      <w:pPr>
        <w:pStyle w:val="3"/>
        <w:ind w:left="480" w:leftChars="0" w:firstLineChars="0"/>
        <w:rPr>
          <w:rFonts w:hint="eastAsia"/>
          <w:color w:val="auto"/>
          <w:highlight w:val="none"/>
        </w:rPr>
      </w:pPr>
      <w:r>
        <w:rPr>
          <w:rFonts w:hint="eastAsia"/>
          <w:color w:val="auto"/>
          <w:highlight w:val="none"/>
          <w:lang w:val="en-US" w:eastAsia="zh-CN"/>
        </w:rPr>
        <w:t>技术指标</w:t>
      </w:r>
      <w:r>
        <w:rPr>
          <w:rFonts w:hint="eastAsia"/>
          <w:color w:val="auto"/>
          <w:highlight w:val="none"/>
        </w:rPr>
        <w:t>要求</w:t>
      </w:r>
    </w:p>
    <w:p w14:paraId="07E0ABC0">
      <w:pPr>
        <w:spacing w:line="360" w:lineRule="auto"/>
        <w:ind w:firstLine="480" w:firstLineChars="200"/>
        <w:rPr>
          <w:rFonts w:hint="eastAsia" w:ascii="宋体" w:hAnsi="宋体" w:cs="宋体"/>
          <w:color w:val="auto"/>
          <w:sz w:val="24"/>
          <w:szCs w:val="24"/>
          <w:highlight w:val="none"/>
        </w:rPr>
      </w:pPr>
      <w:r>
        <w:rPr>
          <w:rFonts w:hint="eastAsia" w:cs="宋体"/>
          <w:color w:val="auto"/>
          <w:sz w:val="24"/>
          <w:szCs w:val="24"/>
          <w:highlight w:val="none"/>
          <w:lang w:val="en-US" w:eastAsia="zh-CN"/>
        </w:rPr>
        <w:t>1.</w:t>
      </w:r>
      <w:r>
        <w:rPr>
          <w:rFonts w:hint="eastAsia" w:ascii="宋体" w:hAnsi="宋体" w:cs="宋体"/>
          <w:color w:val="auto"/>
          <w:sz w:val="24"/>
          <w:szCs w:val="24"/>
          <w:highlight w:val="none"/>
        </w:rPr>
        <w:t>完成试点校多源运动健康数据整合、队列数据库建设及多模态数据采集标注，数据处理合规率100%，标注准确率不低于95%。</w:t>
      </w:r>
    </w:p>
    <w:p w14:paraId="0EAE1FC0">
      <w:pPr>
        <w:spacing w:line="360" w:lineRule="auto"/>
        <w:ind w:firstLine="480" w:firstLineChars="200"/>
        <w:rPr>
          <w:rFonts w:hint="eastAsia" w:ascii="宋体" w:hAnsi="宋体" w:cs="宋体"/>
          <w:color w:val="auto"/>
          <w:sz w:val="24"/>
          <w:szCs w:val="24"/>
          <w:highlight w:val="none"/>
        </w:rPr>
      </w:pPr>
      <w:r>
        <w:rPr>
          <w:rFonts w:hint="eastAsia" w:cs="宋体"/>
          <w:color w:val="auto"/>
          <w:sz w:val="24"/>
          <w:szCs w:val="24"/>
          <w:highlight w:val="none"/>
          <w:lang w:val="en-US" w:eastAsia="zh-CN"/>
        </w:rPr>
        <w:t>2.</w:t>
      </w:r>
      <w:r>
        <w:rPr>
          <w:rFonts w:hint="eastAsia" w:ascii="宋体" w:hAnsi="宋体" w:cs="宋体"/>
          <w:color w:val="auto"/>
          <w:sz w:val="24"/>
          <w:szCs w:val="24"/>
          <w:highlight w:val="none"/>
        </w:rPr>
        <w:t>支持数据接入≥10万条，并发访问≥500，响应时间≤3秒，实现7×24小时稳定运行。</w:t>
      </w:r>
    </w:p>
    <w:p w14:paraId="75A39654">
      <w:pPr>
        <w:spacing w:line="360" w:lineRule="auto"/>
        <w:ind w:firstLine="480" w:firstLineChars="200"/>
        <w:rPr>
          <w:rFonts w:hint="eastAsia" w:ascii="宋体" w:hAnsi="宋体" w:cs="宋体"/>
          <w:color w:val="auto"/>
          <w:sz w:val="24"/>
          <w:szCs w:val="24"/>
          <w:highlight w:val="none"/>
        </w:rPr>
      </w:pPr>
      <w:r>
        <w:rPr>
          <w:rFonts w:hint="eastAsia" w:cs="宋体"/>
          <w:color w:val="auto"/>
          <w:sz w:val="24"/>
          <w:szCs w:val="24"/>
          <w:highlight w:val="none"/>
          <w:lang w:val="en-US" w:eastAsia="zh-CN"/>
        </w:rPr>
        <w:t>3.</w:t>
      </w:r>
      <w:r>
        <w:rPr>
          <w:rFonts w:hint="eastAsia" w:ascii="宋体" w:hAnsi="宋体" w:cs="宋体"/>
          <w:color w:val="auto"/>
          <w:sz w:val="24"/>
          <w:szCs w:val="24"/>
          <w:highlight w:val="none"/>
        </w:rPr>
        <w:t>完成上体体育大模型接口适配，搭建分学段、跨场域多类应用终端的智能推送体系，服务人次≥2000人次，运动处方合规率100%。</w:t>
      </w:r>
    </w:p>
    <w:p w14:paraId="54686604">
      <w:pPr>
        <w:pStyle w:val="3"/>
        <w:ind w:left="480" w:leftChars="0" w:firstLineChars="0"/>
        <w:rPr>
          <w:rFonts w:hint="eastAsia"/>
          <w:color w:val="auto"/>
          <w:highlight w:val="none"/>
        </w:rPr>
      </w:pPr>
      <w:r>
        <w:rPr>
          <w:rFonts w:hint="eastAsia"/>
          <w:color w:val="auto"/>
          <w:highlight w:val="none"/>
          <w:lang w:val="en-US" w:eastAsia="zh-CN"/>
        </w:rPr>
        <w:t>源代码交付要求</w:t>
      </w:r>
    </w:p>
    <w:p w14:paraId="4E2B7AA1">
      <w:pPr>
        <w:spacing w:line="360" w:lineRule="auto"/>
        <w:ind w:firstLine="480" w:firstLineChars="200"/>
        <w:rPr>
          <w:rFonts w:hint="eastAsia" w:ascii="宋体" w:hAnsi="宋体" w:cs="宋体"/>
          <w:color w:val="auto"/>
          <w:sz w:val="24"/>
          <w:szCs w:val="24"/>
          <w:highlight w:val="none"/>
        </w:rPr>
      </w:pPr>
      <w:r>
        <w:rPr>
          <w:rFonts w:hint="eastAsia" w:cs="宋体"/>
          <w:color w:val="auto"/>
          <w:sz w:val="24"/>
          <w:szCs w:val="24"/>
          <w:highlight w:val="none"/>
          <w:lang w:eastAsia="zh-CN"/>
        </w:rPr>
        <w:t>供应商</w:t>
      </w:r>
      <w:r>
        <w:rPr>
          <w:rFonts w:hint="eastAsia" w:ascii="宋体" w:hAnsi="宋体" w:cs="宋体"/>
          <w:color w:val="auto"/>
          <w:sz w:val="24"/>
          <w:szCs w:val="24"/>
          <w:highlight w:val="none"/>
        </w:rPr>
        <w:t>将本项目服务过程中产出的与上体大模型对接等全部按需开发的源代码完整交付给采购人。具体要求如下：</w:t>
      </w:r>
    </w:p>
    <w:p w14:paraId="6C5AEF88">
      <w:pPr>
        <w:numPr>
          <w:ilvl w:val="0"/>
          <w:numId w:val="38"/>
        </w:numPr>
        <w:ind w:left="425" w:leftChars="0" w:hanging="425" w:firstLineChars="0"/>
        <w:rPr>
          <w:rFonts w:hint="eastAsia"/>
          <w:color w:val="auto"/>
          <w:highlight w:val="none"/>
        </w:rPr>
      </w:pPr>
      <w:r>
        <w:rPr>
          <w:rFonts w:hint="eastAsia"/>
          <w:color w:val="auto"/>
          <w:highlight w:val="none"/>
        </w:rPr>
        <w:t>源代码交付范围：包括但不限于标注数据管理、运动健康报告生成、时序分析模型、大模型接口适配组件、综合指导建议、羽毛球与足球专项分析等全部由响应供应商为本项目开发或定制的软件模块的完整源代码。</w:t>
      </w:r>
    </w:p>
    <w:p w14:paraId="3DDE70BD">
      <w:pPr>
        <w:numPr>
          <w:ilvl w:val="0"/>
          <w:numId w:val="38"/>
        </w:numPr>
        <w:ind w:left="425" w:leftChars="0" w:hanging="425" w:firstLineChars="0"/>
        <w:rPr>
          <w:rFonts w:hint="eastAsia"/>
          <w:color w:val="auto"/>
          <w:highlight w:val="none"/>
        </w:rPr>
      </w:pPr>
      <w:r>
        <w:rPr>
          <w:rFonts w:hint="eastAsia"/>
          <w:color w:val="auto"/>
          <w:highlight w:val="none"/>
        </w:rPr>
        <w:t>源代码质量要求：源代码包含完整的注释和说明文档，采用统一的编码规范，确保采购人在接收后能够独立阅读、理解和二次开发。源代码通过编译或运行验证，确保可以正常构建和部署。</w:t>
      </w:r>
    </w:p>
    <w:p w14:paraId="58478994">
      <w:pPr>
        <w:numPr>
          <w:ilvl w:val="0"/>
          <w:numId w:val="38"/>
        </w:numPr>
        <w:ind w:left="425" w:leftChars="0" w:hanging="425" w:firstLineChars="0"/>
        <w:rPr>
          <w:rFonts w:hint="eastAsia"/>
          <w:color w:val="auto"/>
          <w:highlight w:val="none"/>
        </w:rPr>
      </w:pPr>
      <w:r>
        <w:rPr>
          <w:rFonts w:hint="eastAsia"/>
          <w:color w:val="auto"/>
          <w:highlight w:val="none"/>
        </w:rPr>
        <w:t>配套文档要求：源代码交付附带技术架构说明、模块设计说明、API文档、部署手册、开发环境配置说明等配套技术文档。</w:t>
      </w:r>
    </w:p>
    <w:p w14:paraId="0A60E9D1">
      <w:pPr>
        <w:numPr>
          <w:ilvl w:val="0"/>
          <w:numId w:val="38"/>
        </w:numPr>
        <w:ind w:left="425" w:leftChars="0" w:hanging="425" w:firstLineChars="0"/>
        <w:rPr>
          <w:rFonts w:hint="eastAsia"/>
          <w:color w:val="auto"/>
          <w:highlight w:val="none"/>
        </w:rPr>
      </w:pPr>
      <w:r>
        <w:rPr>
          <w:rFonts w:hint="eastAsia"/>
          <w:color w:val="auto"/>
          <w:highlight w:val="none"/>
        </w:rPr>
        <w:t>第三方组件说明：如源代码中使用了第三方开源组件或库，</w:t>
      </w:r>
      <w:r>
        <w:rPr>
          <w:rFonts w:hint="eastAsia"/>
          <w:color w:val="auto"/>
          <w:highlight w:val="none"/>
          <w:lang w:eastAsia="zh-CN"/>
        </w:rPr>
        <w:t>需</w:t>
      </w:r>
      <w:r>
        <w:rPr>
          <w:rFonts w:hint="eastAsia"/>
          <w:color w:val="auto"/>
          <w:highlight w:val="none"/>
        </w:rPr>
        <w:t>附带完整的第三方组件清单及对应的开源许可证说明，确保使用合规。</w:t>
      </w:r>
    </w:p>
    <w:p w14:paraId="6B511E46">
      <w:pPr>
        <w:numPr>
          <w:ilvl w:val="0"/>
          <w:numId w:val="38"/>
        </w:numPr>
        <w:ind w:left="425" w:leftChars="0" w:hanging="425" w:firstLineChars="0"/>
        <w:rPr>
          <w:rFonts w:hint="eastAsia"/>
          <w:color w:val="auto"/>
          <w:highlight w:val="none"/>
        </w:rPr>
      </w:pPr>
      <w:r>
        <w:rPr>
          <w:rFonts w:hint="eastAsia"/>
          <w:color w:val="auto"/>
          <w:highlight w:val="none"/>
          <w:lang w:val="en-US" w:eastAsia="zh-CN"/>
        </w:rPr>
        <w:t>供应商</w:t>
      </w:r>
      <w:r>
        <w:rPr>
          <w:rFonts w:hint="eastAsia"/>
          <w:color w:val="auto"/>
          <w:highlight w:val="none"/>
        </w:rPr>
        <w:t>在</w:t>
      </w:r>
      <w:r>
        <w:rPr>
          <w:rFonts w:hint="eastAsia"/>
          <w:color w:val="auto"/>
          <w:highlight w:val="none"/>
          <w:lang w:val="en-US" w:eastAsia="zh-CN"/>
        </w:rPr>
        <w:t>响应</w:t>
      </w:r>
      <w:r>
        <w:rPr>
          <w:rFonts w:hint="eastAsia"/>
          <w:color w:val="auto"/>
          <w:highlight w:val="none"/>
        </w:rPr>
        <w:t>文件中提交《源代码交付承诺书》（格式自拟），明确承诺满足上述源代码交付要求，并加盖</w:t>
      </w:r>
      <w:r>
        <w:rPr>
          <w:rFonts w:hint="eastAsia"/>
          <w:color w:val="auto"/>
          <w:highlight w:val="none"/>
          <w:lang w:eastAsia="zh-CN"/>
        </w:rPr>
        <w:t>响应供应商</w:t>
      </w:r>
      <w:r>
        <w:rPr>
          <w:rFonts w:hint="eastAsia"/>
          <w:color w:val="auto"/>
          <w:highlight w:val="none"/>
        </w:rPr>
        <w:t>公章。</w:t>
      </w:r>
    </w:p>
    <w:bookmarkEnd w:id="32"/>
    <w:p w14:paraId="006B45D3">
      <w:pPr>
        <w:pStyle w:val="2"/>
        <w:rPr>
          <w:rFonts w:hint="eastAsia"/>
          <w:color w:val="auto"/>
          <w:highlight w:val="none"/>
        </w:rPr>
      </w:pPr>
      <w:bookmarkStart w:id="33" w:name="_Toc68798863"/>
      <w:r>
        <w:rPr>
          <w:rFonts w:hint="eastAsia"/>
          <w:color w:val="auto"/>
          <w:highlight w:val="none"/>
        </w:rPr>
        <w:t>附录</w:t>
      </w:r>
      <w:bookmarkEnd w:id="33"/>
    </w:p>
    <w:p w14:paraId="73333E3F">
      <w:pPr>
        <w:ind w:firstLine="482"/>
        <w:rPr>
          <w:rFonts w:hint="eastAsia" w:eastAsia="宋体"/>
          <w:b/>
          <w:color w:val="auto"/>
          <w:highlight w:val="none"/>
          <w:lang w:eastAsia="zh-CN"/>
        </w:rPr>
      </w:pPr>
      <w:r>
        <w:rPr>
          <w:rFonts w:hint="eastAsia"/>
          <w:b/>
          <w:color w:val="auto"/>
          <w:highlight w:val="none"/>
        </w:rPr>
        <w:t>项目建设过程中需符合</w:t>
      </w:r>
      <w:r>
        <w:rPr>
          <w:rFonts w:hint="eastAsia"/>
          <w:b/>
          <w:color w:val="auto"/>
          <w:highlight w:val="none"/>
          <w:lang w:val="en-US" w:eastAsia="zh-CN"/>
        </w:rPr>
        <w:t>如下</w:t>
      </w:r>
      <w:r>
        <w:rPr>
          <w:rFonts w:hint="eastAsia"/>
          <w:b/>
          <w:color w:val="auto"/>
          <w:highlight w:val="none"/>
        </w:rPr>
        <w:t>相关技术标准或规范文件的要求</w:t>
      </w:r>
      <w:r>
        <w:rPr>
          <w:rFonts w:hint="eastAsia"/>
          <w:b/>
          <w:color w:val="auto"/>
          <w:highlight w:val="none"/>
          <w:lang w:eastAsia="zh-CN"/>
        </w:rPr>
        <w:t>：</w:t>
      </w:r>
    </w:p>
    <w:p w14:paraId="7927D066">
      <w:pPr>
        <w:ind w:firstLine="0" w:firstLineChars="0"/>
        <w:rPr>
          <w:color w:val="auto"/>
          <w:highlight w:val="none"/>
        </w:rPr>
      </w:pPr>
      <w:r>
        <w:rPr>
          <w:rFonts w:hint="eastAsia"/>
          <w:color w:val="auto"/>
          <w:highlight w:val="none"/>
        </w:rPr>
        <w:t>1.《中华人民共和国数据安全法》</w:t>
      </w:r>
    </w:p>
    <w:p w14:paraId="56C10EA3">
      <w:pPr>
        <w:ind w:firstLine="0" w:firstLineChars="0"/>
        <w:rPr>
          <w:rFonts w:hint="eastAsia"/>
          <w:color w:val="auto"/>
          <w:highlight w:val="none"/>
        </w:rPr>
      </w:pPr>
      <w:r>
        <w:rPr>
          <w:rFonts w:hint="eastAsia"/>
          <w:color w:val="auto"/>
          <w:highlight w:val="none"/>
        </w:rPr>
        <w:object>
          <v:shape id="_x0000_i1025" o:spt="75" type="#_x0000_t75" style="height:56.25pt;width:77.25pt;" o:ole="t" filled="f" o:preferrelative="t" stroked="f" coordsize="21600,21600">
            <v:path/>
            <v:fill on="f" focussize="0,0"/>
            <v:stroke on="f" joinstyle="miter"/>
            <v:imagedata r:id="rId9" o:title=""/>
            <o:lock v:ext="edit" aspectratio="t"/>
            <w10:wrap type="none"/>
            <w10:anchorlock/>
          </v:shape>
          <o:OLEObject Type="Embed" ProgID="Package" ShapeID="_x0000_i1025" DrawAspect="Icon" ObjectID="_1468075725" r:id="rId8">
            <o:LockedField>false</o:LockedField>
          </o:OLEObject>
        </w:object>
      </w:r>
    </w:p>
    <w:p w14:paraId="0772C5DB">
      <w:pPr>
        <w:ind w:firstLine="0" w:firstLineChars="0"/>
        <w:rPr>
          <w:color w:val="auto"/>
          <w:highlight w:val="none"/>
        </w:rPr>
      </w:pPr>
      <w:r>
        <w:rPr>
          <w:rFonts w:hint="eastAsia"/>
          <w:color w:val="auto"/>
          <w:highlight w:val="none"/>
        </w:rPr>
        <w:t>2.《中华人民共和国网络安全法》</w:t>
      </w:r>
    </w:p>
    <w:p w14:paraId="2421CADC">
      <w:pPr>
        <w:ind w:firstLine="0" w:firstLineChars="0"/>
        <w:rPr>
          <w:rFonts w:hint="eastAsia"/>
          <w:color w:val="auto"/>
          <w:highlight w:val="none"/>
        </w:rPr>
      </w:pPr>
      <w:r>
        <w:rPr>
          <w:rFonts w:hint="eastAsia"/>
          <w:color w:val="auto"/>
          <w:highlight w:val="none"/>
        </w:rPr>
        <w:object>
          <v:shape id="_x0000_i1026" o:spt="75" type="#_x0000_t75" style="height:56.25pt;width:77.25pt;" o:ole="t" filled="f" o:preferrelative="t" stroked="f" coordsize="21600,21600">
            <v:path/>
            <v:fill on="f" focussize="0,0"/>
            <v:stroke on="f" joinstyle="miter"/>
            <v:imagedata r:id="rId11" o:title=""/>
            <o:lock v:ext="edit" aspectratio="t"/>
            <w10:wrap type="none"/>
            <w10:anchorlock/>
          </v:shape>
          <o:OLEObject Type="Embed" ProgID="Package" ShapeID="_x0000_i1026" DrawAspect="Icon" ObjectID="_1468075726" r:id="rId10">
            <o:LockedField>false</o:LockedField>
          </o:OLEObject>
        </w:object>
      </w:r>
    </w:p>
    <w:p w14:paraId="4A67BA03">
      <w:pPr>
        <w:ind w:firstLine="0" w:firstLineChars="0"/>
        <w:rPr>
          <w:color w:val="auto"/>
          <w:highlight w:val="none"/>
        </w:rPr>
      </w:pPr>
      <w:r>
        <w:rPr>
          <w:rFonts w:hint="eastAsia"/>
          <w:color w:val="auto"/>
          <w:highlight w:val="none"/>
        </w:rPr>
        <w:t>3.《移动互联网应用程序信息服务管理规定》</w:t>
      </w:r>
    </w:p>
    <w:p w14:paraId="76757F1A">
      <w:pPr>
        <w:ind w:firstLine="0" w:firstLineChars="0"/>
        <w:rPr>
          <w:rFonts w:hint="eastAsia"/>
          <w:color w:val="auto"/>
          <w:highlight w:val="none"/>
        </w:rPr>
      </w:pPr>
      <w:r>
        <w:rPr>
          <w:rFonts w:hint="eastAsia"/>
          <w:color w:val="auto"/>
          <w:highlight w:val="none"/>
        </w:rPr>
        <w:object>
          <v:shape id="_x0000_i1027" o:spt="75" type="#_x0000_t75" style="height:56.25pt;width:77.25pt;" o:ole="t" filled="f" o:preferrelative="t" stroked="f" coordsize="21600,21600">
            <v:path/>
            <v:fill on="f" focussize="0,0"/>
            <v:stroke on="f" joinstyle="miter"/>
            <v:imagedata r:id="rId13" o:title=""/>
            <o:lock v:ext="edit" aspectratio="t"/>
            <w10:wrap type="none"/>
            <w10:anchorlock/>
          </v:shape>
          <o:OLEObject Type="Embed" ProgID="Package" ShapeID="_x0000_i1027" DrawAspect="Icon" ObjectID="_1468075727" r:id="rId12">
            <o:LockedField>false</o:LockedField>
          </o:OLEObject>
        </w:object>
      </w:r>
    </w:p>
    <w:p w14:paraId="0857E560">
      <w:pPr>
        <w:ind w:firstLine="0" w:firstLineChars="0"/>
        <w:rPr>
          <w:color w:val="auto"/>
          <w:highlight w:val="none"/>
        </w:rPr>
      </w:pPr>
      <w:r>
        <w:rPr>
          <w:rFonts w:hint="eastAsia"/>
          <w:color w:val="auto"/>
          <w:highlight w:val="none"/>
        </w:rPr>
        <w:t>4.《上海教育数据管理办法（试行）》沪教委信息〔2019〕33号</w:t>
      </w:r>
    </w:p>
    <w:p w14:paraId="53BDF009">
      <w:pPr>
        <w:ind w:firstLine="0" w:firstLineChars="0"/>
        <w:rPr>
          <w:rFonts w:hint="eastAsia"/>
          <w:color w:val="auto"/>
          <w:highlight w:val="none"/>
        </w:rPr>
      </w:pPr>
      <w:r>
        <w:rPr>
          <w:rFonts w:hint="eastAsia"/>
          <w:color w:val="auto"/>
          <w:highlight w:val="none"/>
        </w:rPr>
        <w:object>
          <v:shape id="_x0000_i1028" o:spt="75" type="#_x0000_t75" style="height:56.25pt;width:77.25pt;" o:ole="t" filled="f" o:preferrelative="t" stroked="f" coordsize="21600,21600">
            <v:path/>
            <v:fill on="f" focussize="0,0"/>
            <v:stroke on="f" joinstyle="miter"/>
            <v:imagedata r:id="rId15" o:title=""/>
            <o:lock v:ext="edit" aspectratio="t"/>
            <w10:wrap type="none"/>
            <w10:anchorlock/>
          </v:shape>
          <o:OLEObject Type="Embed" ProgID="Package" ShapeID="_x0000_i1028" DrawAspect="Icon" ObjectID="_1468075728" r:id="rId14">
            <o:LockedField>false</o:LockedField>
          </o:OLEObject>
        </w:object>
      </w:r>
    </w:p>
    <w:p w14:paraId="2F075703">
      <w:pPr>
        <w:ind w:firstLine="0" w:firstLineChars="0"/>
        <w:rPr>
          <w:color w:val="auto"/>
          <w:highlight w:val="none"/>
        </w:rPr>
      </w:pPr>
      <w:r>
        <w:rPr>
          <w:rFonts w:hint="eastAsia"/>
          <w:color w:val="auto"/>
          <w:highlight w:val="none"/>
        </w:rPr>
        <w:t>5.《上海市中小学体育工作管理办法》</w:t>
      </w:r>
    </w:p>
    <w:p w14:paraId="485C6F5C">
      <w:pPr>
        <w:ind w:firstLine="0" w:firstLineChars="0"/>
        <w:rPr>
          <w:rFonts w:hint="eastAsia"/>
          <w:color w:val="auto"/>
          <w:highlight w:val="none"/>
        </w:rPr>
      </w:pPr>
      <w:r>
        <w:rPr>
          <w:rFonts w:hint="eastAsia"/>
          <w:color w:val="auto"/>
          <w:highlight w:val="none"/>
        </w:rPr>
        <w:object>
          <v:shape id="_x0000_i1029" o:spt="75" type="#_x0000_t75" style="height:56.25pt;width:77.25pt;" o:ole="t" filled="f" o:preferrelative="t" stroked="f" coordsize="21600,21600">
            <v:path/>
            <v:fill on="f" focussize="0,0"/>
            <v:stroke on="f" joinstyle="miter"/>
            <v:imagedata r:id="rId17" o:title=""/>
            <o:lock v:ext="edit" aspectratio="t"/>
            <w10:wrap type="none"/>
            <w10:anchorlock/>
          </v:shape>
          <o:OLEObject Type="Embed" ProgID="Package" ShapeID="_x0000_i1029" DrawAspect="Icon" ObjectID="_1468075729" r:id="rId16">
            <o:LockedField>false</o:LockedField>
          </o:OLEObject>
        </w:object>
      </w:r>
    </w:p>
    <w:p w14:paraId="76BBCFE6">
      <w:pPr>
        <w:rPr>
          <w:rFonts w:hint="eastAsia"/>
          <w:color w:val="auto"/>
          <w:highlight w:val="none"/>
        </w:rPr>
      </w:pPr>
    </w:p>
    <w:sectPr>
      <w:footerReference r:id="rId6" w:type="first"/>
      <w:footerReference r:id="rId5" w:type="default"/>
      <w:pgSz w:w="11906" w:h="16838"/>
      <w:pgMar w:top="1134" w:right="1797" w:bottom="1135" w:left="1797" w:header="340" w:footer="7" w:gutter="0"/>
      <w:pgNumType w:start="1"/>
      <w:cols w:space="720" w:num="1"/>
      <w:titlePg/>
      <w:docGrid w:type="linesAndChar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Tahoma">
    <w:altName w:val="DejaVu Sans"/>
    <w:panose1 w:val="020B0604030504040204"/>
    <w:charset w:val="00"/>
    <w:family w:val="swiss"/>
    <w:pitch w:val="default"/>
    <w:sig w:usb0="00000000" w:usb1="00000000" w:usb2="00000029" w:usb3="00000000" w:csb0="200101FF" w:csb1="20280000"/>
  </w:font>
  <w:font w:name="Arial">
    <w:altName w:val="DejaVu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07BFD3">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F33C0E">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BF33C0E">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140C3">
    <w:pPr>
      <w:ind w:firstLine="0" w:firstLineChars="0"/>
      <w:jc w:val="center"/>
      <w:rPr>
        <w:rFonts w:hint="eastAsia"/>
        <w:lang w:val="zh-CN"/>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39CB88">
                          <w:pPr>
                            <w:ind w:firstLine="0" w:firstLineChars="0"/>
                            <w:jc w:val="center"/>
                          </w:pPr>
                          <w:r>
                            <w:rPr>
                              <w:lang w:val="zh-CN"/>
                            </w:rPr>
                            <w:fldChar w:fldCharType="begin"/>
                          </w:r>
                          <w:r>
                            <w:rPr>
                              <w:lang w:val="zh-CN"/>
                            </w:rPr>
                            <w:instrText xml:space="preserve">PAGE   \* MERGEFORMAT</w:instrText>
                          </w:r>
                          <w:r>
                            <w:rPr>
                              <w:lang w:val="zh-CN"/>
                            </w:rPr>
                            <w:fldChar w:fldCharType="separate"/>
                          </w:r>
                          <w:r>
                            <w:rPr>
                              <w:lang w:val="zh-CN"/>
                            </w:rPr>
                            <w:t>1</w:t>
                          </w:r>
                          <w:r>
                            <w:rPr>
                              <w:lang w:val="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F39CB88">
                    <w:pPr>
                      <w:ind w:firstLine="0" w:firstLineChars="0"/>
                      <w:jc w:val="center"/>
                    </w:pPr>
                    <w:r>
                      <w:rPr>
                        <w:lang w:val="zh-CN"/>
                      </w:rPr>
                      <w:fldChar w:fldCharType="begin"/>
                    </w:r>
                    <w:r>
                      <w:rPr>
                        <w:lang w:val="zh-CN"/>
                      </w:rPr>
                      <w:instrText xml:space="preserve">PAGE   \* MERGEFORMAT</w:instrText>
                    </w:r>
                    <w:r>
                      <w:rPr>
                        <w:lang w:val="zh-CN"/>
                      </w:rPr>
                      <w:fldChar w:fldCharType="separate"/>
                    </w:r>
                    <w:r>
                      <w:rPr>
                        <w:lang w:val="zh-CN"/>
                      </w:rPr>
                      <w:t>1</w:t>
                    </w:r>
                    <w:r>
                      <w:rPr>
                        <w:lang w:val="zh-CN"/>
                      </w:rPr>
                      <w:fldChar w:fldCharType="end"/>
                    </w:r>
                  </w:p>
                </w:txbxContent>
              </v:textbox>
            </v:shape>
          </w:pict>
        </mc:Fallback>
      </mc:AlternateContent>
    </w:r>
  </w:p>
  <w:p w14:paraId="0B1E59CD">
    <w:pPr>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F87982"/>
    <w:multiLevelType w:val="singleLevel"/>
    <w:tmpl w:val="8BF87982"/>
    <w:lvl w:ilvl="0" w:tentative="0">
      <w:start w:val="1"/>
      <w:numFmt w:val="decimal"/>
      <w:lvlText w:val="%1."/>
      <w:lvlJc w:val="left"/>
      <w:pPr>
        <w:ind w:left="425" w:hanging="425"/>
      </w:pPr>
      <w:rPr>
        <w:rFonts w:hint="default"/>
      </w:rPr>
    </w:lvl>
  </w:abstractNum>
  <w:abstractNum w:abstractNumId="1">
    <w:nsid w:val="95B0171E"/>
    <w:multiLevelType w:val="singleLevel"/>
    <w:tmpl w:val="95B0171E"/>
    <w:lvl w:ilvl="0" w:tentative="0">
      <w:start w:val="1"/>
      <w:numFmt w:val="decimalEnclosedCircleChinese"/>
      <w:suff w:val="nothing"/>
      <w:lvlText w:val="%1　"/>
      <w:lvlJc w:val="left"/>
      <w:pPr>
        <w:ind w:left="0" w:firstLine="400"/>
      </w:pPr>
      <w:rPr>
        <w:rFonts w:hint="eastAsia"/>
      </w:rPr>
    </w:lvl>
  </w:abstractNum>
  <w:abstractNum w:abstractNumId="2">
    <w:nsid w:val="9732EC07"/>
    <w:multiLevelType w:val="singleLevel"/>
    <w:tmpl w:val="9732EC07"/>
    <w:lvl w:ilvl="0" w:tentative="0">
      <w:start w:val="1"/>
      <w:numFmt w:val="decimalEnclosedCircleChinese"/>
      <w:suff w:val="nothing"/>
      <w:lvlText w:val="%1　"/>
      <w:lvlJc w:val="left"/>
      <w:pPr>
        <w:ind w:left="0" w:firstLine="400"/>
      </w:pPr>
      <w:rPr>
        <w:rFonts w:hint="eastAsia"/>
      </w:rPr>
    </w:lvl>
  </w:abstractNum>
  <w:abstractNum w:abstractNumId="3">
    <w:nsid w:val="98F71672"/>
    <w:multiLevelType w:val="singleLevel"/>
    <w:tmpl w:val="98F71672"/>
    <w:lvl w:ilvl="0" w:tentative="0">
      <w:start w:val="1"/>
      <w:numFmt w:val="decimalEnclosedCircleChinese"/>
      <w:suff w:val="nothing"/>
      <w:lvlText w:val="%1　"/>
      <w:lvlJc w:val="left"/>
      <w:pPr>
        <w:ind w:left="0" w:firstLine="400"/>
      </w:pPr>
      <w:rPr>
        <w:rFonts w:hint="eastAsia"/>
      </w:rPr>
    </w:lvl>
  </w:abstractNum>
  <w:abstractNum w:abstractNumId="4">
    <w:nsid w:val="A60E0F4D"/>
    <w:multiLevelType w:val="singleLevel"/>
    <w:tmpl w:val="A60E0F4D"/>
    <w:lvl w:ilvl="0" w:tentative="0">
      <w:start w:val="1"/>
      <w:numFmt w:val="decimalEnclosedCircleChinese"/>
      <w:suff w:val="nothing"/>
      <w:lvlText w:val="%1　"/>
      <w:lvlJc w:val="left"/>
      <w:pPr>
        <w:ind w:left="0" w:firstLine="400"/>
      </w:pPr>
      <w:rPr>
        <w:rFonts w:hint="eastAsia"/>
      </w:rPr>
    </w:lvl>
  </w:abstractNum>
  <w:abstractNum w:abstractNumId="5">
    <w:nsid w:val="AF15783C"/>
    <w:multiLevelType w:val="singleLevel"/>
    <w:tmpl w:val="AF15783C"/>
    <w:lvl w:ilvl="0" w:tentative="0">
      <w:start w:val="1"/>
      <w:numFmt w:val="decimalEnclosedCircleChinese"/>
      <w:suff w:val="nothing"/>
      <w:lvlText w:val="%1　"/>
      <w:lvlJc w:val="left"/>
      <w:pPr>
        <w:ind w:left="0" w:firstLine="400"/>
      </w:pPr>
      <w:rPr>
        <w:rFonts w:hint="eastAsia"/>
      </w:rPr>
    </w:lvl>
  </w:abstractNum>
  <w:abstractNum w:abstractNumId="6">
    <w:nsid w:val="B3CA04C2"/>
    <w:multiLevelType w:val="singleLevel"/>
    <w:tmpl w:val="B3CA04C2"/>
    <w:lvl w:ilvl="0" w:tentative="0">
      <w:start w:val="1"/>
      <w:numFmt w:val="decimal"/>
      <w:lvlText w:val="%1)"/>
      <w:lvlJc w:val="left"/>
      <w:pPr>
        <w:ind w:left="425" w:hanging="425"/>
      </w:pPr>
      <w:rPr>
        <w:rFonts w:hint="default"/>
      </w:rPr>
    </w:lvl>
  </w:abstractNum>
  <w:abstractNum w:abstractNumId="7">
    <w:nsid w:val="B4A776EE"/>
    <w:multiLevelType w:val="singleLevel"/>
    <w:tmpl w:val="B4A776EE"/>
    <w:lvl w:ilvl="0" w:tentative="0">
      <w:start w:val="1"/>
      <w:numFmt w:val="decimal"/>
      <w:lvlText w:val="%1)"/>
      <w:lvlJc w:val="left"/>
      <w:pPr>
        <w:ind w:left="425" w:hanging="425"/>
      </w:pPr>
      <w:rPr>
        <w:rFonts w:hint="default"/>
      </w:rPr>
    </w:lvl>
  </w:abstractNum>
  <w:abstractNum w:abstractNumId="8">
    <w:nsid w:val="BF866B99"/>
    <w:multiLevelType w:val="singleLevel"/>
    <w:tmpl w:val="BF866B99"/>
    <w:lvl w:ilvl="0" w:tentative="0">
      <w:start w:val="1"/>
      <w:numFmt w:val="decimalEnclosedCircleChinese"/>
      <w:suff w:val="nothing"/>
      <w:lvlText w:val="%1　"/>
      <w:lvlJc w:val="left"/>
      <w:pPr>
        <w:ind w:left="0" w:firstLine="400"/>
      </w:pPr>
      <w:rPr>
        <w:rFonts w:hint="eastAsia"/>
      </w:rPr>
    </w:lvl>
  </w:abstractNum>
  <w:abstractNum w:abstractNumId="9">
    <w:nsid w:val="C9B6B45A"/>
    <w:multiLevelType w:val="singleLevel"/>
    <w:tmpl w:val="C9B6B45A"/>
    <w:lvl w:ilvl="0" w:tentative="0">
      <w:start w:val="1"/>
      <w:numFmt w:val="decimalEnclosedCircleChinese"/>
      <w:suff w:val="nothing"/>
      <w:lvlText w:val="%1　"/>
      <w:lvlJc w:val="left"/>
      <w:pPr>
        <w:ind w:left="0" w:firstLine="400"/>
      </w:pPr>
      <w:rPr>
        <w:rFonts w:hint="eastAsia"/>
      </w:rPr>
    </w:lvl>
  </w:abstractNum>
  <w:abstractNum w:abstractNumId="10">
    <w:nsid w:val="CB6BD4FB"/>
    <w:multiLevelType w:val="singleLevel"/>
    <w:tmpl w:val="CB6BD4FB"/>
    <w:lvl w:ilvl="0" w:tentative="0">
      <w:start w:val="1"/>
      <w:numFmt w:val="decimalEnclosedCircleChinese"/>
      <w:suff w:val="nothing"/>
      <w:lvlText w:val="%1　"/>
      <w:lvlJc w:val="left"/>
      <w:pPr>
        <w:ind w:left="0" w:firstLine="400"/>
      </w:pPr>
      <w:rPr>
        <w:rFonts w:hint="eastAsia"/>
      </w:rPr>
    </w:lvl>
  </w:abstractNum>
  <w:abstractNum w:abstractNumId="11">
    <w:nsid w:val="CF6026FF"/>
    <w:multiLevelType w:val="singleLevel"/>
    <w:tmpl w:val="CF6026FF"/>
    <w:lvl w:ilvl="0" w:tentative="0">
      <w:start w:val="1"/>
      <w:numFmt w:val="decimalEnclosedCircleChinese"/>
      <w:suff w:val="nothing"/>
      <w:lvlText w:val="%1　"/>
      <w:lvlJc w:val="left"/>
      <w:pPr>
        <w:ind w:left="0" w:firstLine="400"/>
      </w:pPr>
      <w:rPr>
        <w:rFonts w:hint="eastAsia"/>
      </w:rPr>
    </w:lvl>
  </w:abstractNum>
  <w:abstractNum w:abstractNumId="12">
    <w:nsid w:val="E987A6AB"/>
    <w:multiLevelType w:val="singleLevel"/>
    <w:tmpl w:val="E987A6AB"/>
    <w:lvl w:ilvl="0" w:tentative="0">
      <w:start w:val="1"/>
      <w:numFmt w:val="decimalEnclosedCircleChinese"/>
      <w:suff w:val="nothing"/>
      <w:lvlText w:val="%1　"/>
      <w:lvlJc w:val="left"/>
      <w:pPr>
        <w:ind w:left="0" w:firstLine="400"/>
      </w:pPr>
      <w:rPr>
        <w:rFonts w:hint="eastAsia"/>
      </w:rPr>
    </w:lvl>
  </w:abstractNum>
  <w:abstractNum w:abstractNumId="13">
    <w:nsid w:val="F25CD272"/>
    <w:multiLevelType w:val="singleLevel"/>
    <w:tmpl w:val="F25CD272"/>
    <w:lvl w:ilvl="0" w:tentative="0">
      <w:start w:val="1"/>
      <w:numFmt w:val="decimal"/>
      <w:lvlText w:val="%1)"/>
      <w:lvlJc w:val="left"/>
      <w:pPr>
        <w:ind w:left="425" w:hanging="425"/>
      </w:pPr>
      <w:rPr>
        <w:rFonts w:hint="default"/>
      </w:rPr>
    </w:lvl>
  </w:abstractNum>
  <w:abstractNum w:abstractNumId="14">
    <w:nsid w:val="F518FB54"/>
    <w:multiLevelType w:val="singleLevel"/>
    <w:tmpl w:val="F518FB54"/>
    <w:lvl w:ilvl="0" w:tentative="0">
      <w:start w:val="1"/>
      <w:numFmt w:val="decimal"/>
      <w:lvlText w:val="%1."/>
      <w:lvlJc w:val="left"/>
      <w:pPr>
        <w:ind w:left="425" w:hanging="425"/>
      </w:pPr>
      <w:rPr>
        <w:rFonts w:hint="default"/>
      </w:rPr>
    </w:lvl>
  </w:abstractNum>
  <w:abstractNum w:abstractNumId="15">
    <w:nsid w:val="FC092046"/>
    <w:multiLevelType w:val="singleLevel"/>
    <w:tmpl w:val="FC092046"/>
    <w:lvl w:ilvl="0" w:tentative="0">
      <w:start w:val="1"/>
      <w:numFmt w:val="decimalEnclosedCircleChinese"/>
      <w:suff w:val="nothing"/>
      <w:lvlText w:val="%1　"/>
      <w:lvlJc w:val="left"/>
      <w:pPr>
        <w:ind w:left="0" w:firstLine="400"/>
      </w:pPr>
      <w:rPr>
        <w:rFonts w:hint="eastAsia"/>
      </w:rPr>
    </w:lvl>
  </w:abstractNum>
  <w:abstractNum w:abstractNumId="16">
    <w:nsid w:val="07703223"/>
    <w:multiLevelType w:val="singleLevel"/>
    <w:tmpl w:val="07703223"/>
    <w:lvl w:ilvl="0" w:tentative="0">
      <w:start w:val="1"/>
      <w:numFmt w:val="decimalEnclosedCircleChinese"/>
      <w:suff w:val="nothing"/>
      <w:lvlText w:val="%1　"/>
      <w:lvlJc w:val="left"/>
      <w:pPr>
        <w:ind w:left="0" w:firstLine="400"/>
      </w:pPr>
      <w:rPr>
        <w:rFonts w:hint="eastAsia"/>
      </w:rPr>
    </w:lvl>
  </w:abstractNum>
  <w:abstractNum w:abstractNumId="17">
    <w:nsid w:val="10175D86"/>
    <w:multiLevelType w:val="singleLevel"/>
    <w:tmpl w:val="10175D86"/>
    <w:lvl w:ilvl="0" w:tentative="0">
      <w:start w:val="1"/>
      <w:numFmt w:val="decimal"/>
      <w:lvlText w:val="%1)"/>
      <w:lvlJc w:val="left"/>
      <w:pPr>
        <w:ind w:left="425" w:hanging="425"/>
      </w:pPr>
      <w:rPr>
        <w:rFonts w:hint="default"/>
      </w:rPr>
    </w:lvl>
  </w:abstractNum>
  <w:abstractNum w:abstractNumId="18">
    <w:nsid w:val="10487523"/>
    <w:multiLevelType w:val="singleLevel"/>
    <w:tmpl w:val="10487523"/>
    <w:lvl w:ilvl="0" w:tentative="0">
      <w:start w:val="1"/>
      <w:numFmt w:val="decimalEnclosedCircleChinese"/>
      <w:suff w:val="nothing"/>
      <w:lvlText w:val="%1　"/>
      <w:lvlJc w:val="left"/>
      <w:pPr>
        <w:ind w:left="0" w:firstLine="400"/>
      </w:pPr>
      <w:rPr>
        <w:rFonts w:hint="eastAsia"/>
      </w:rPr>
    </w:lvl>
  </w:abstractNum>
  <w:abstractNum w:abstractNumId="19">
    <w:nsid w:val="1911556C"/>
    <w:multiLevelType w:val="singleLevel"/>
    <w:tmpl w:val="1911556C"/>
    <w:lvl w:ilvl="0" w:tentative="0">
      <w:start w:val="1"/>
      <w:numFmt w:val="decimal"/>
      <w:lvlText w:val="%1)"/>
      <w:lvlJc w:val="left"/>
      <w:pPr>
        <w:ind w:left="425" w:hanging="425"/>
      </w:pPr>
      <w:rPr>
        <w:rFonts w:hint="default"/>
      </w:rPr>
    </w:lvl>
  </w:abstractNum>
  <w:abstractNum w:abstractNumId="20">
    <w:nsid w:val="1A543ECD"/>
    <w:multiLevelType w:val="singleLevel"/>
    <w:tmpl w:val="1A543ECD"/>
    <w:lvl w:ilvl="0" w:tentative="0">
      <w:start w:val="1"/>
      <w:numFmt w:val="decimalEnclosedCircleChinese"/>
      <w:suff w:val="nothing"/>
      <w:lvlText w:val="%1　"/>
      <w:lvlJc w:val="left"/>
      <w:pPr>
        <w:ind w:left="0" w:firstLine="400"/>
      </w:pPr>
      <w:rPr>
        <w:rFonts w:hint="eastAsia"/>
      </w:rPr>
    </w:lvl>
  </w:abstractNum>
  <w:abstractNum w:abstractNumId="21">
    <w:nsid w:val="1A8C41E7"/>
    <w:multiLevelType w:val="singleLevel"/>
    <w:tmpl w:val="1A8C41E7"/>
    <w:lvl w:ilvl="0" w:tentative="0">
      <w:start w:val="1"/>
      <w:numFmt w:val="decimalEnclosedCircleChinese"/>
      <w:suff w:val="nothing"/>
      <w:lvlText w:val="%1　"/>
      <w:lvlJc w:val="left"/>
      <w:pPr>
        <w:ind w:left="0" w:firstLine="400"/>
      </w:pPr>
      <w:rPr>
        <w:rFonts w:hint="eastAsia"/>
      </w:rPr>
    </w:lvl>
  </w:abstractNum>
  <w:abstractNum w:abstractNumId="22">
    <w:nsid w:val="1E1DC0D2"/>
    <w:multiLevelType w:val="singleLevel"/>
    <w:tmpl w:val="1E1DC0D2"/>
    <w:lvl w:ilvl="0" w:tentative="0">
      <w:start w:val="1"/>
      <w:numFmt w:val="decimalEnclosedCircleChinese"/>
      <w:suff w:val="nothing"/>
      <w:lvlText w:val="%1　"/>
      <w:lvlJc w:val="left"/>
      <w:pPr>
        <w:ind w:left="0" w:firstLine="400"/>
      </w:pPr>
      <w:rPr>
        <w:rFonts w:hint="eastAsia"/>
      </w:rPr>
    </w:lvl>
  </w:abstractNum>
  <w:abstractNum w:abstractNumId="23">
    <w:nsid w:val="23555020"/>
    <w:multiLevelType w:val="singleLevel"/>
    <w:tmpl w:val="23555020"/>
    <w:lvl w:ilvl="0" w:tentative="0">
      <w:start w:val="1"/>
      <w:numFmt w:val="decimalEnclosedCircleChinese"/>
      <w:suff w:val="nothing"/>
      <w:lvlText w:val="%1　"/>
      <w:lvlJc w:val="left"/>
      <w:pPr>
        <w:ind w:left="0" w:firstLine="400"/>
      </w:pPr>
      <w:rPr>
        <w:rFonts w:hint="eastAsia"/>
      </w:rPr>
    </w:lvl>
  </w:abstractNum>
  <w:abstractNum w:abstractNumId="24">
    <w:nsid w:val="272CF371"/>
    <w:multiLevelType w:val="singleLevel"/>
    <w:tmpl w:val="272CF371"/>
    <w:lvl w:ilvl="0" w:tentative="0">
      <w:start w:val="1"/>
      <w:numFmt w:val="decimalEnclosedCircleChinese"/>
      <w:suff w:val="nothing"/>
      <w:lvlText w:val="%1　"/>
      <w:lvlJc w:val="left"/>
      <w:pPr>
        <w:ind w:left="0" w:firstLine="400"/>
      </w:pPr>
      <w:rPr>
        <w:rFonts w:hint="eastAsia"/>
      </w:rPr>
    </w:lvl>
  </w:abstractNum>
  <w:abstractNum w:abstractNumId="25">
    <w:nsid w:val="2975E6CE"/>
    <w:multiLevelType w:val="singleLevel"/>
    <w:tmpl w:val="2975E6CE"/>
    <w:lvl w:ilvl="0" w:tentative="0">
      <w:start w:val="1"/>
      <w:numFmt w:val="decimalEnclosedCircleChinese"/>
      <w:suff w:val="nothing"/>
      <w:lvlText w:val="%1　"/>
      <w:lvlJc w:val="left"/>
      <w:pPr>
        <w:ind w:left="0" w:firstLine="400"/>
      </w:pPr>
      <w:rPr>
        <w:rFonts w:hint="eastAsia"/>
      </w:rPr>
    </w:lvl>
  </w:abstractNum>
  <w:abstractNum w:abstractNumId="26">
    <w:nsid w:val="313B6C22"/>
    <w:multiLevelType w:val="singleLevel"/>
    <w:tmpl w:val="313B6C22"/>
    <w:lvl w:ilvl="0" w:tentative="0">
      <w:start w:val="1"/>
      <w:numFmt w:val="decimalEnclosedCircleChinese"/>
      <w:suff w:val="nothing"/>
      <w:lvlText w:val="%1　"/>
      <w:lvlJc w:val="left"/>
      <w:pPr>
        <w:ind w:left="0" w:firstLine="400"/>
      </w:pPr>
      <w:rPr>
        <w:rFonts w:hint="eastAsia"/>
      </w:rPr>
    </w:lvl>
  </w:abstractNum>
  <w:abstractNum w:abstractNumId="27">
    <w:nsid w:val="34716F3C"/>
    <w:multiLevelType w:val="singleLevel"/>
    <w:tmpl w:val="34716F3C"/>
    <w:lvl w:ilvl="0" w:tentative="0">
      <w:start w:val="1"/>
      <w:numFmt w:val="decimal"/>
      <w:lvlText w:val="%1)"/>
      <w:lvlJc w:val="left"/>
      <w:pPr>
        <w:ind w:left="425" w:hanging="425"/>
      </w:pPr>
      <w:rPr>
        <w:rFonts w:hint="default"/>
      </w:rPr>
    </w:lvl>
  </w:abstractNum>
  <w:abstractNum w:abstractNumId="28">
    <w:nsid w:val="3D0FF170"/>
    <w:multiLevelType w:val="singleLevel"/>
    <w:tmpl w:val="3D0FF170"/>
    <w:lvl w:ilvl="0" w:tentative="0">
      <w:start w:val="1"/>
      <w:numFmt w:val="decimal"/>
      <w:lvlText w:val="%1)"/>
      <w:lvlJc w:val="left"/>
      <w:pPr>
        <w:ind w:left="454" w:leftChars="0" w:firstLine="0" w:firstLineChars="0"/>
      </w:pPr>
      <w:rPr>
        <w:rFonts w:hint="default"/>
      </w:rPr>
    </w:lvl>
  </w:abstractNum>
  <w:abstractNum w:abstractNumId="29">
    <w:nsid w:val="4A78B044"/>
    <w:multiLevelType w:val="singleLevel"/>
    <w:tmpl w:val="4A78B044"/>
    <w:lvl w:ilvl="0" w:tentative="0">
      <w:start w:val="1"/>
      <w:numFmt w:val="decimalEnclosedCircleChinese"/>
      <w:suff w:val="nothing"/>
      <w:lvlText w:val="%1　"/>
      <w:lvlJc w:val="left"/>
      <w:pPr>
        <w:ind w:left="0" w:firstLine="400"/>
      </w:pPr>
      <w:rPr>
        <w:rFonts w:hint="eastAsia"/>
      </w:rPr>
    </w:lvl>
  </w:abstractNum>
  <w:abstractNum w:abstractNumId="30">
    <w:nsid w:val="5488D251"/>
    <w:multiLevelType w:val="singleLevel"/>
    <w:tmpl w:val="5488D251"/>
    <w:lvl w:ilvl="0" w:tentative="0">
      <w:start w:val="1"/>
      <w:numFmt w:val="decimalEnclosedCircleChinese"/>
      <w:suff w:val="nothing"/>
      <w:lvlText w:val="%1　"/>
      <w:lvlJc w:val="left"/>
      <w:pPr>
        <w:ind w:left="0" w:firstLine="400"/>
      </w:pPr>
      <w:rPr>
        <w:rFonts w:hint="eastAsia"/>
      </w:rPr>
    </w:lvl>
  </w:abstractNum>
  <w:abstractNum w:abstractNumId="31">
    <w:nsid w:val="5D483684"/>
    <w:multiLevelType w:val="singleLevel"/>
    <w:tmpl w:val="5D483684"/>
    <w:lvl w:ilvl="0" w:tentative="0">
      <w:start w:val="1"/>
      <w:numFmt w:val="decimal"/>
      <w:lvlText w:val="%1)"/>
      <w:lvlJc w:val="left"/>
      <w:pPr>
        <w:ind w:left="425" w:hanging="425"/>
      </w:pPr>
      <w:rPr>
        <w:rFonts w:hint="default"/>
      </w:rPr>
    </w:lvl>
  </w:abstractNum>
  <w:abstractNum w:abstractNumId="32">
    <w:nsid w:val="60B67378"/>
    <w:multiLevelType w:val="singleLevel"/>
    <w:tmpl w:val="60B67378"/>
    <w:lvl w:ilvl="0" w:tentative="0">
      <w:start w:val="1"/>
      <w:numFmt w:val="decimalEnclosedCircleChinese"/>
      <w:suff w:val="nothing"/>
      <w:lvlText w:val="%1　"/>
      <w:lvlJc w:val="left"/>
      <w:pPr>
        <w:ind w:left="0" w:firstLine="400"/>
      </w:pPr>
      <w:rPr>
        <w:rFonts w:hint="eastAsia"/>
      </w:rPr>
    </w:lvl>
  </w:abstractNum>
  <w:abstractNum w:abstractNumId="33">
    <w:nsid w:val="6A2F4AB3"/>
    <w:multiLevelType w:val="multilevel"/>
    <w:tmpl w:val="6A2F4AB3"/>
    <w:lvl w:ilvl="0" w:tentative="0">
      <w:start w:val="1"/>
      <w:numFmt w:val="chineseCountingThousand"/>
      <w:pStyle w:val="2"/>
      <w:suff w:val="nothing"/>
      <w:lvlText w:val="%1、"/>
      <w:lvlJc w:val="left"/>
      <w:pPr>
        <w:ind w:left="425" w:hanging="425"/>
      </w:pPr>
      <w:rPr>
        <w:rFonts w:hint="eastAsia"/>
        <w:sz w:val="32"/>
        <w:szCs w:val="32"/>
      </w:rPr>
    </w:lvl>
    <w:lvl w:ilvl="1" w:tentative="0">
      <w:start w:val="1"/>
      <w:numFmt w:val="decimal"/>
      <w:pStyle w:val="3"/>
      <w:isLgl/>
      <w:suff w:val="nothing"/>
      <w:lvlText w:val="%1.%2、"/>
      <w:lvlJc w:val="left"/>
      <w:pPr>
        <w:ind w:left="480" w:hanging="567"/>
      </w:pPr>
    </w:lvl>
    <w:lvl w:ilvl="2" w:tentative="0">
      <w:start w:val="1"/>
      <w:numFmt w:val="decimal"/>
      <w:isLgl/>
      <w:suff w:val="nothing"/>
      <w:lvlText w:val="%1.%2.%3、"/>
      <w:lvlJc w:val="left"/>
      <w:pPr>
        <w:ind w:left="1069" w:hanging="1069"/>
      </w:pPr>
      <w:rPr>
        <w:rFonts w:hint="default" w:ascii="宋体" w:hAnsi="宋体" w:eastAsia="宋体" w:cs="Arial"/>
      </w:rPr>
    </w:lvl>
    <w:lvl w:ilvl="3" w:tentative="0">
      <w:start w:val="1"/>
      <w:numFmt w:val="decimal"/>
      <w:isLgl/>
      <w:suff w:val="nothing"/>
      <w:lvlText w:val="%1.%2.%3.%4、"/>
      <w:lvlJc w:val="left"/>
      <w:pPr>
        <w:ind w:left="3403" w:hanging="851"/>
      </w:pPr>
    </w:lvl>
    <w:lvl w:ilvl="4" w:tentative="0">
      <w:start w:val="1"/>
      <w:numFmt w:val="decimal"/>
      <w:isLgl/>
      <w:suff w:val="nothing"/>
      <w:lvlText w:val="%1.%2.%3.%4.%5、"/>
      <w:lvlJc w:val="left"/>
      <w:pPr>
        <w:ind w:left="3544" w:hanging="992"/>
      </w:pPr>
      <w:rPr>
        <w:rFonts w:hint="eastAsia"/>
      </w:rPr>
    </w:lvl>
    <w:lvl w:ilvl="5" w:tentative="0">
      <w:start w:val="1"/>
      <w:numFmt w:val="decimal"/>
      <w:isLgl/>
      <w:suff w:val="nothing"/>
      <w:lvlText w:val="%1.%2.%3.%4.%5.%6、"/>
      <w:lvlJc w:val="left"/>
      <w:pPr>
        <w:ind w:left="1134" w:hanging="1134"/>
      </w:pPr>
      <w:rPr>
        <w:rFonts w:hint="eastAsia"/>
      </w:rPr>
    </w:lvl>
    <w:lvl w:ilvl="6" w:tentative="0">
      <w:start w:val="1"/>
      <w:numFmt w:val="decimal"/>
      <w:isLgl/>
      <w:lvlText w:val="%1.%2.%3.%4.%5.%6.%7"/>
      <w:lvlJc w:val="left"/>
      <w:pPr>
        <w:tabs>
          <w:tab w:val="left" w:pos="1800"/>
        </w:tabs>
        <w:ind w:left="1276" w:hanging="1276"/>
      </w:pPr>
      <w:rPr>
        <w:rFonts w:hint="eastAsia"/>
      </w:rPr>
    </w:lvl>
    <w:lvl w:ilvl="7" w:tentative="0">
      <w:start w:val="1"/>
      <w:numFmt w:val="decimal"/>
      <w:isLgl/>
      <w:lvlText w:val="%1.%2.%3.%4.%5.%6.%7.%8"/>
      <w:lvlJc w:val="left"/>
      <w:pPr>
        <w:tabs>
          <w:tab w:val="left" w:pos="1800"/>
        </w:tabs>
        <w:ind w:left="1418" w:hanging="1418"/>
      </w:pPr>
      <w:rPr>
        <w:rFonts w:hint="eastAsia"/>
      </w:rPr>
    </w:lvl>
    <w:lvl w:ilvl="8" w:tentative="0">
      <w:start w:val="1"/>
      <w:numFmt w:val="decimal"/>
      <w:isLgl/>
      <w:lvlText w:val="%1.%2.%3.%4.%5.%6.%7.%8.%9"/>
      <w:lvlJc w:val="left"/>
      <w:pPr>
        <w:tabs>
          <w:tab w:val="left" w:pos="2160"/>
        </w:tabs>
        <w:ind w:left="1559" w:hanging="1559"/>
      </w:pPr>
      <w:rPr>
        <w:rFonts w:hint="eastAsia"/>
      </w:rPr>
    </w:lvl>
  </w:abstractNum>
  <w:abstractNum w:abstractNumId="34">
    <w:nsid w:val="6D5F570D"/>
    <w:multiLevelType w:val="singleLevel"/>
    <w:tmpl w:val="6D5F570D"/>
    <w:lvl w:ilvl="0" w:tentative="0">
      <w:start w:val="1"/>
      <w:numFmt w:val="decimal"/>
      <w:lvlText w:val="%1)"/>
      <w:lvlJc w:val="left"/>
      <w:pPr>
        <w:ind w:left="425" w:hanging="425"/>
      </w:pPr>
      <w:rPr>
        <w:rFonts w:hint="default"/>
      </w:rPr>
    </w:lvl>
  </w:abstractNum>
  <w:abstractNum w:abstractNumId="35">
    <w:nsid w:val="6E829695"/>
    <w:multiLevelType w:val="singleLevel"/>
    <w:tmpl w:val="6E829695"/>
    <w:lvl w:ilvl="0" w:tentative="0">
      <w:start w:val="1"/>
      <w:numFmt w:val="decimalEnclosedCircleChinese"/>
      <w:suff w:val="nothing"/>
      <w:lvlText w:val="%1　"/>
      <w:lvlJc w:val="left"/>
      <w:pPr>
        <w:ind w:left="0" w:firstLine="400"/>
      </w:pPr>
      <w:rPr>
        <w:rFonts w:hint="eastAsia"/>
      </w:rPr>
    </w:lvl>
  </w:abstractNum>
  <w:abstractNum w:abstractNumId="36">
    <w:nsid w:val="74015E14"/>
    <w:multiLevelType w:val="singleLevel"/>
    <w:tmpl w:val="74015E14"/>
    <w:lvl w:ilvl="0" w:tentative="0">
      <w:start w:val="1"/>
      <w:numFmt w:val="decimalEnclosedCircleChinese"/>
      <w:suff w:val="nothing"/>
      <w:lvlText w:val="%1　"/>
      <w:lvlJc w:val="left"/>
      <w:pPr>
        <w:ind w:left="0" w:firstLine="400"/>
      </w:pPr>
      <w:rPr>
        <w:rFonts w:hint="eastAsia"/>
      </w:rPr>
    </w:lvl>
  </w:abstractNum>
  <w:abstractNum w:abstractNumId="37">
    <w:nsid w:val="7EA93D68"/>
    <w:multiLevelType w:val="singleLevel"/>
    <w:tmpl w:val="7EA93D68"/>
    <w:lvl w:ilvl="0" w:tentative="0">
      <w:start w:val="1"/>
      <w:numFmt w:val="decimalEnclosedCircleChinese"/>
      <w:suff w:val="nothing"/>
      <w:lvlText w:val="%1　"/>
      <w:lvlJc w:val="left"/>
      <w:pPr>
        <w:ind w:left="0" w:firstLine="400"/>
      </w:pPr>
      <w:rPr>
        <w:rFonts w:hint="eastAsia"/>
      </w:rPr>
    </w:lvl>
  </w:abstractNum>
  <w:num w:numId="1">
    <w:abstractNumId w:val="33"/>
  </w:num>
  <w:num w:numId="2">
    <w:abstractNumId w:val="17"/>
  </w:num>
  <w:num w:numId="3">
    <w:abstractNumId w:val="8"/>
  </w:num>
  <w:num w:numId="4">
    <w:abstractNumId w:val="1"/>
  </w:num>
  <w:num w:numId="5">
    <w:abstractNumId w:val="7"/>
  </w:num>
  <w:num w:numId="6">
    <w:abstractNumId w:val="22"/>
  </w:num>
  <w:num w:numId="7">
    <w:abstractNumId w:val="5"/>
  </w:num>
  <w:num w:numId="8">
    <w:abstractNumId w:val="4"/>
  </w:num>
  <w:num w:numId="9">
    <w:abstractNumId w:val="16"/>
  </w:num>
  <w:num w:numId="10">
    <w:abstractNumId w:val="27"/>
  </w:num>
  <w:num w:numId="11">
    <w:abstractNumId w:val="2"/>
  </w:num>
  <w:num w:numId="12">
    <w:abstractNumId w:val="3"/>
  </w:num>
  <w:num w:numId="13">
    <w:abstractNumId w:val="21"/>
  </w:num>
  <w:num w:numId="14">
    <w:abstractNumId w:val="24"/>
  </w:num>
  <w:num w:numId="15">
    <w:abstractNumId w:val="23"/>
  </w:num>
  <w:num w:numId="16">
    <w:abstractNumId w:val="13"/>
  </w:num>
  <w:num w:numId="17">
    <w:abstractNumId w:val="19"/>
  </w:num>
  <w:num w:numId="18">
    <w:abstractNumId w:val="36"/>
  </w:num>
  <w:num w:numId="19">
    <w:abstractNumId w:val="37"/>
  </w:num>
  <w:num w:numId="20">
    <w:abstractNumId w:val="6"/>
  </w:num>
  <w:num w:numId="21">
    <w:abstractNumId w:val="18"/>
  </w:num>
  <w:num w:numId="22">
    <w:abstractNumId w:val="15"/>
  </w:num>
  <w:num w:numId="23">
    <w:abstractNumId w:val="12"/>
  </w:num>
  <w:num w:numId="24">
    <w:abstractNumId w:val="25"/>
  </w:num>
  <w:num w:numId="25">
    <w:abstractNumId w:val="32"/>
  </w:num>
  <w:num w:numId="26">
    <w:abstractNumId w:val="28"/>
  </w:num>
  <w:num w:numId="27">
    <w:abstractNumId w:val="29"/>
  </w:num>
  <w:num w:numId="28">
    <w:abstractNumId w:val="20"/>
  </w:num>
  <w:num w:numId="29">
    <w:abstractNumId w:val="26"/>
  </w:num>
  <w:num w:numId="30">
    <w:abstractNumId w:val="9"/>
  </w:num>
  <w:num w:numId="31">
    <w:abstractNumId w:val="30"/>
  </w:num>
  <w:num w:numId="32">
    <w:abstractNumId w:val="34"/>
  </w:num>
  <w:num w:numId="33">
    <w:abstractNumId w:val="11"/>
  </w:num>
  <w:num w:numId="34">
    <w:abstractNumId w:val="31"/>
  </w:num>
  <w:num w:numId="35">
    <w:abstractNumId w:val="10"/>
  </w:num>
  <w:num w:numId="36">
    <w:abstractNumId w:val="35"/>
  </w:num>
  <w:num w:numId="37">
    <w:abstractNumId w:val="14"/>
  </w:num>
  <w:num w:numId="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NhYmEzMTNhMjdkYThkNDYyOTNhN2M4MTNhMDJiODcifQ=="/>
  </w:docVars>
  <w:rsids>
    <w:rsidRoot w:val="00C005A4"/>
    <w:rsid w:val="00106712"/>
    <w:rsid w:val="00270786"/>
    <w:rsid w:val="003D4142"/>
    <w:rsid w:val="00451CF8"/>
    <w:rsid w:val="0048451B"/>
    <w:rsid w:val="00761CE4"/>
    <w:rsid w:val="0078130B"/>
    <w:rsid w:val="00795852"/>
    <w:rsid w:val="00885D67"/>
    <w:rsid w:val="009D3F3C"/>
    <w:rsid w:val="00C005A4"/>
    <w:rsid w:val="00C02EED"/>
    <w:rsid w:val="00CC6F06"/>
    <w:rsid w:val="00E058CE"/>
    <w:rsid w:val="120C00D2"/>
    <w:rsid w:val="1A06537B"/>
    <w:rsid w:val="22C305F0"/>
    <w:rsid w:val="22C75C81"/>
    <w:rsid w:val="28A21365"/>
    <w:rsid w:val="3F973686"/>
    <w:rsid w:val="420F3F6D"/>
    <w:rsid w:val="46173022"/>
    <w:rsid w:val="54F22AC6"/>
    <w:rsid w:val="5FDD5EBE"/>
    <w:rsid w:val="61110DB5"/>
    <w:rsid w:val="62C236F2"/>
    <w:rsid w:val="645D785C"/>
    <w:rsid w:val="68D9280E"/>
    <w:rsid w:val="711CCB68"/>
    <w:rsid w:val="7D9044F6"/>
    <w:rsid w:val="B7F9DE69"/>
    <w:rsid w:val="DD2FDC87"/>
    <w:rsid w:val="EBFE6255"/>
    <w:rsid w:val="FBDDC813"/>
    <w:rsid w:val="FDDEFCB2"/>
    <w:rsid w:val="FFE7B9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80" w:firstLineChars="200"/>
      <w:jc w:val="both"/>
    </w:pPr>
    <w:rPr>
      <w:rFonts w:ascii="宋体" w:hAnsi="宋体"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120" w:after="120"/>
      <w:ind w:firstLine="0" w:firstLineChars="0"/>
      <w:outlineLvl w:val="0"/>
    </w:pPr>
    <w:rPr>
      <w:rFonts w:eastAsia="黑体"/>
      <w:b/>
      <w:bCs/>
      <w:kern w:val="44"/>
      <w:sz w:val="32"/>
      <w:szCs w:val="28"/>
    </w:rPr>
  </w:style>
  <w:style w:type="paragraph" w:styleId="3">
    <w:name w:val="heading 2"/>
    <w:basedOn w:val="1"/>
    <w:next w:val="1"/>
    <w:qFormat/>
    <w:uiPriority w:val="9"/>
    <w:pPr>
      <w:keepNext/>
      <w:keepLines/>
      <w:numPr>
        <w:ilvl w:val="1"/>
        <w:numId w:val="1"/>
      </w:numPr>
      <w:spacing w:before="120" w:after="120"/>
      <w:ind w:firstLine="0" w:firstLineChars="0"/>
      <w:outlineLvl w:val="1"/>
    </w:pPr>
    <w:rPr>
      <w:b/>
      <w:bCs/>
      <w:sz w:val="30"/>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99"/>
    <w:pPr>
      <w:pBdr>
        <w:bottom w:val="single" w:color="auto" w:sz="4" w:space="0"/>
      </w:pBdr>
      <w:tabs>
        <w:tab w:val="center" w:pos="4153"/>
        <w:tab w:val="right" w:pos="8306"/>
      </w:tabs>
      <w:snapToGrid w:val="0"/>
      <w:jc w:val="center"/>
    </w:pPr>
    <w:rPr>
      <w:rFonts w:ascii="Times New Roman" w:hAnsi="Times New Roman"/>
      <w:sz w:val="18"/>
      <w:szCs w:val="18"/>
    </w:rPr>
  </w:style>
  <w:style w:type="table" w:styleId="8">
    <w:name w:val="Table Grid"/>
    <w:basedOn w:val="7"/>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正文缩进1"/>
    <w:basedOn w:val="1"/>
    <w:autoRedefine/>
    <w:qFormat/>
    <w:uiPriority w:val="0"/>
    <w:pPr>
      <w:spacing w:line="240" w:lineRule="auto"/>
      <w:ind w:firstLine="420"/>
    </w:pPr>
    <w:rPr>
      <w:rFonts w:ascii="Times New Roman" w:hAnsi="Times New Roman"/>
      <w:sz w:val="21"/>
      <w:szCs w:val="20"/>
    </w:rPr>
  </w:style>
  <w:style w:type="paragraph" w:customStyle="1" w:styleId="11">
    <w:name w:val="正文正文2"/>
    <w:basedOn w:val="1"/>
    <w:autoRedefine/>
    <w:qFormat/>
    <w:uiPriority w:val="0"/>
    <w:pPr>
      <w:ind w:firstLine="460"/>
    </w:pPr>
    <w:rPr>
      <w:sz w:val="21"/>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5.emf"/><Relationship Id="rId16" Type="http://schemas.openxmlformats.org/officeDocument/2006/relationships/oleObject" Target="embeddings/oleObject5.bin"/><Relationship Id="rId15" Type="http://schemas.openxmlformats.org/officeDocument/2006/relationships/image" Target="media/image4.emf"/><Relationship Id="rId14" Type="http://schemas.openxmlformats.org/officeDocument/2006/relationships/oleObject" Target="embeddings/oleObject4.bin"/><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10282</Words>
  <Characters>10431</Characters>
  <Lines>24</Lines>
  <Paragraphs>6</Paragraphs>
  <TotalTime>374</TotalTime>
  <ScaleCrop>false</ScaleCrop>
  <LinksUpToDate>false</LinksUpToDate>
  <CharactersWithSpaces>10438</CharactersWithSpaces>
  <Application>WPS Office_12.8.2.18605_F1E327BC-269C-435d-A152-05C5408002CA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2026-07-30T01:39:00Z</dcterms:created>
  <dc:creator>user</dc:creator>
  <cp:lastModifiedBy>user</cp:lastModifiedBy>
  <dcterms:modified xsi:type="dcterms:W3CDTF">2026-08-13T14:58:15Z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2052-12.8.2.18605</vt:lpwstr>
  </property>
  <property fmtid="{D5CDD505-2E9C-101B-9397-08002B2CF9AE}" pid="3" name="ICV">
    <vt:lpwstr>971E901488956E7DD53D7C6A3C8B110E_43</vt:lpwstr>
  </property>
  <property fmtid="{D5CDD505-2E9C-101B-9397-08002B2CF9AE}" pid="4" name="KSOTemplateDocerSaveRecord">
    <vt:lpwstr>eyJoZGlkIjoiYjgxMTk5ZjI4Y2JhYjYyM2YwNWI3ZmIxNTg3M2I4NWMiLCJ1c2VySWQiOiIxMTQ2MDU5ODUxIn0=</vt:lpwstr>
  </property>
</Properties>
</file>