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531273">
      <w:pPr>
        <w:topLinePunct/>
        <w:adjustRightInd w:val="0"/>
        <w:snapToGrid w:val="0"/>
        <w:spacing w:line="360" w:lineRule="auto"/>
        <w:jc w:val="center"/>
        <w:rPr>
          <w:rFonts w:hint="eastAsia" w:ascii="宋体" w:hAnsi="宋体" w:cs="宋体"/>
          <w:b/>
          <w:snapToGrid w:val="0"/>
          <w:kern w:val="0"/>
          <w:szCs w:val="21"/>
        </w:rPr>
      </w:pPr>
      <w:r>
        <w:rPr>
          <w:rFonts w:hint="eastAsia" w:ascii="宋体" w:hAnsi="宋体" w:cs="宋体"/>
          <w:b/>
          <w:snapToGrid w:val="0"/>
          <w:kern w:val="0"/>
          <w:szCs w:val="21"/>
        </w:rPr>
        <w:t>上海市中环路浦西段主线道路绿化日常养护</w:t>
      </w:r>
    </w:p>
    <w:p w14:paraId="39531274">
      <w:pPr>
        <w:topLinePunct/>
        <w:adjustRightInd w:val="0"/>
        <w:snapToGrid w:val="0"/>
        <w:spacing w:line="360" w:lineRule="auto"/>
        <w:jc w:val="center"/>
        <w:rPr>
          <w:rFonts w:hint="eastAsia" w:ascii="宋体" w:hAnsi="宋体" w:cs="宋体"/>
          <w:b/>
          <w:snapToGrid w:val="0"/>
          <w:kern w:val="0"/>
          <w:szCs w:val="21"/>
        </w:rPr>
      </w:pPr>
      <w:r>
        <w:rPr>
          <w:rFonts w:hint="eastAsia" w:ascii="宋体" w:hAnsi="宋体" w:cs="宋体"/>
          <w:b/>
          <w:snapToGrid w:val="0"/>
          <w:kern w:val="0"/>
          <w:szCs w:val="21"/>
        </w:rPr>
        <w:t>采购需求</w:t>
      </w:r>
    </w:p>
    <w:p w14:paraId="1EF9DBCD">
      <w:pPr>
        <w:topLinePunct/>
        <w:adjustRightInd w:val="0"/>
        <w:snapToGrid w:val="0"/>
        <w:spacing w:line="360" w:lineRule="auto"/>
        <w:rPr>
          <w:rFonts w:hint="eastAsia" w:ascii="宋体" w:hAnsi="宋体" w:cs="宋体"/>
          <w:b/>
          <w:snapToGrid w:val="0"/>
          <w:kern w:val="0"/>
          <w:szCs w:val="21"/>
        </w:rPr>
      </w:pPr>
    </w:p>
    <w:p w14:paraId="39531275">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一、项目概况</w:t>
      </w:r>
    </w:p>
    <w:p w14:paraId="39531276">
      <w:pPr>
        <w:topLinePunct/>
        <w:adjustRightInd w:val="0"/>
        <w:snapToGrid w:val="0"/>
        <w:spacing w:line="360" w:lineRule="auto"/>
        <w:ind w:firstLine="420" w:firstLineChars="200"/>
        <w:rPr>
          <w:rFonts w:hint="eastAsia" w:ascii="宋体" w:hAnsi="宋体"/>
          <w:snapToGrid w:val="0"/>
          <w:kern w:val="0"/>
          <w:szCs w:val="21"/>
        </w:rPr>
      </w:pPr>
      <w:r>
        <w:rPr>
          <w:rFonts w:hint="eastAsia" w:ascii="宋体" w:hAnsi="宋体"/>
          <w:snapToGrid w:val="0"/>
          <w:kern w:val="0"/>
          <w:szCs w:val="21"/>
        </w:rPr>
        <w:t>1、项目名称：上海市中环路浦西段主线道路绿化日常养护</w:t>
      </w:r>
    </w:p>
    <w:p w14:paraId="39531277">
      <w:pPr>
        <w:topLinePunct/>
        <w:adjustRightInd w:val="0"/>
        <w:snapToGrid w:val="0"/>
        <w:spacing w:line="360" w:lineRule="auto"/>
        <w:ind w:firstLine="420" w:firstLineChars="200"/>
        <w:rPr>
          <w:rFonts w:hint="eastAsia" w:ascii="宋体" w:hAnsi="宋体"/>
          <w:snapToGrid w:val="0"/>
          <w:kern w:val="0"/>
          <w:szCs w:val="21"/>
        </w:rPr>
      </w:pPr>
      <w:r>
        <w:rPr>
          <w:rFonts w:hint="eastAsia" w:ascii="宋体" w:hAnsi="宋体"/>
          <w:snapToGrid w:val="0"/>
          <w:kern w:val="0"/>
          <w:szCs w:val="21"/>
        </w:rPr>
        <w:t>2、设施概况：</w:t>
      </w:r>
    </w:p>
    <w:p w14:paraId="2E205C2B">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（1）中环路浦西段主线道路绿化日常养护（二标）</w:t>
      </w:r>
    </w:p>
    <w:p w14:paraId="2A7CA7A7">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项目范围：中环路浦西段ZN/ZW802—军工路隧道范围内高架绿化、地面道路绿化（含邯郸路地道进出口）</w:t>
      </w:r>
    </w:p>
    <w:p w14:paraId="0B3876D5">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主要养护内容：高架绿化、地面道路绿化、花盆、托架、花槽等附属设施的日常养护及巡视，损坏花盆及不良绿化的零星更换，保证苗木整体存活率99%以上，设施完好率100%。</w:t>
      </w:r>
    </w:p>
    <w:p w14:paraId="10336F98">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主要设施量：高架绿化养护31380盆，品种为黄馨、月季、三角梅等。地面绿化养护300平方米，品种为冬青珊瑚。苗圃备用苗种植（低维护植物、月季、三角梅）及日常养护共2171盆。</w:t>
      </w:r>
    </w:p>
    <w:p w14:paraId="204CE620">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（2）中环路浦西段主线道路绿化日常养护（一标）</w:t>
      </w:r>
    </w:p>
    <w:p w14:paraId="41250D2D">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项目范围：上中路隧道—Z802高架悬挂绿化、地面道路绿化（含北虹路监控中心内绿化）</w:t>
      </w:r>
    </w:p>
    <w:p w14:paraId="45774FFD">
      <w:pPr>
        <w:topLinePunct/>
        <w:adjustRightInd w:val="0"/>
        <w:snapToGrid w:val="0"/>
        <w:spacing w:line="360" w:lineRule="auto"/>
        <w:ind w:firstLine="420" w:firstLineChars="200"/>
        <w:rPr>
          <w:rFonts w:hint="eastAsia" w:ascii="宋体" w:hAnsi="宋体" w:cs="宋体"/>
          <w:szCs w:val="21"/>
        </w:rPr>
      </w:pPr>
      <w:r>
        <w:rPr>
          <w:rFonts w:hint="eastAsia" w:ascii="宋体" w:hAnsi="宋体" w:cs="宋体"/>
          <w:szCs w:val="21"/>
        </w:rPr>
        <w:t>主要养护内容：高架绿化、地面道路绿化（含北虹路监控中心内绿化）、花盆、托架、花槽等附属设施的日常养护及巡视，损坏花盆及不良绿化的零星更换，保证苗木整体存活率99%以上，设施完好率100%。</w:t>
      </w:r>
    </w:p>
    <w:p w14:paraId="3953127F">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zCs w:val="21"/>
        </w:rPr>
        <w:t>主要设施量：高架绿化养护14442盆，品种为黄馨、三角梅等。地面绿化养护16622平方米，北虹路监控中心绿化养护6085平方米。苗圃备用苗种植（低维护植物、三角梅）及日常养护共1632盆。</w:t>
      </w:r>
    </w:p>
    <w:p w14:paraId="39531280">
      <w:pPr>
        <w:numPr>
          <w:ilvl w:val="255"/>
          <w:numId w:val="0"/>
        </w:num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3、招标范围与内容：</w:t>
      </w:r>
    </w:p>
    <w:p w14:paraId="2BE2968D">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本次采购工作内容为对中环路浦西段主线道路绿化开展养护服务工作，主要包括对所有绿化及附属设施开展日常养护、巡视巡查、环境保洁和采购人要求的其他服务工作等。</w:t>
      </w:r>
    </w:p>
    <w:p w14:paraId="39531281">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本项目共分2个包件，包件一为“上海市中环路浦西段主线道路绿化日常养护（二标）”，包件二为“上海市中环路浦西段主线道路绿化日常养护（一标）”。</w:t>
      </w:r>
    </w:p>
    <w:p w14:paraId="39531282">
      <w:pPr>
        <w:pStyle w:val="79"/>
        <w:topLinePunct/>
        <w:adjustRightInd w:val="0"/>
        <w:snapToGrid w:val="0"/>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snapToGrid w:val="0"/>
          <w:kern w:val="0"/>
          <w:szCs w:val="21"/>
        </w:rPr>
        <w:t>4、</w:t>
      </w:r>
      <w:r>
        <w:rPr>
          <w:rFonts w:hint="eastAsia" w:ascii="宋体" w:hAnsi="宋体" w:cs="宋体"/>
          <w:b/>
          <w:bCs/>
          <w:color w:val="000000" w:themeColor="text1"/>
          <w:szCs w:val="21"/>
          <w14:textFill>
            <w14:solidFill>
              <w14:schemeClr w14:val="tx1"/>
            </w14:solidFill>
          </w14:textFill>
        </w:rPr>
        <w:t>若在养护合同期内因重大活动或主管单位工作要求而需增加养护频率的，经费由中标人自行解决</w:t>
      </w:r>
      <w:r>
        <w:rPr>
          <w:rFonts w:hint="eastAsia" w:ascii="宋体" w:hAnsi="宋体" w:cs="宋体"/>
          <w:color w:val="000000" w:themeColor="text1"/>
          <w:szCs w:val="21"/>
          <w14:textFill>
            <w14:solidFill>
              <w14:schemeClr w14:val="tx1"/>
            </w14:solidFill>
          </w14:textFill>
        </w:rPr>
        <w:t>。</w:t>
      </w:r>
    </w:p>
    <w:p w14:paraId="39531283">
      <w:pPr>
        <w:topLinePunct/>
        <w:adjustRightInd w:val="0"/>
        <w:snapToGrid w:val="0"/>
        <w:spacing w:line="360" w:lineRule="auto"/>
        <w:ind w:firstLine="420" w:firstLineChars="200"/>
        <w:rPr>
          <w:rFonts w:hint="eastAsia" w:ascii="宋体" w:hAnsi="宋体" w:cs="宋体"/>
          <w:snapToGrid w:val="0"/>
          <w:kern w:val="0"/>
          <w:szCs w:val="21"/>
        </w:rPr>
      </w:pPr>
    </w:p>
    <w:p w14:paraId="39531284">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二、技术要求与质量标准</w:t>
      </w:r>
    </w:p>
    <w:p w14:paraId="39531285">
      <w:pPr>
        <w:topLinePunct/>
        <w:adjustRightInd w:val="0"/>
        <w:snapToGrid w:val="0"/>
        <w:spacing w:line="360" w:lineRule="auto"/>
        <w:ind w:firstLine="422" w:firstLineChars="200"/>
        <w:rPr>
          <w:rFonts w:hint="eastAsia" w:ascii="宋体" w:hAnsi="宋体" w:cs="宋体"/>
          <w:snapToGrid w:val="0"/>
          <w:kern w:val="0"/>
          <w:szCs w:val="21"/>
        </w:rPr>
      </w:pPr>
      <w:r>
        <w:rPr>
          <w:rFonts w:hint="eastAsia" w:ascii="宋体" w:hAnsi="宋体" w:cs="宋体"/>
          <w:b/>
          <w:bCs/>
          <w:snapToGrid w:val="0"/>
          <w:kern w:val="0"/>
          <w:szCs w:val="21"/>
        </w:rPr>
        <w:t>本项目应按以下标准、规范（包括但不限于）开展养护作业：</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851"/>
        <w:gridCol w:w="6799"/>
      </w:tblGrid>
      <w:tr w14:paraId="0AE4E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851" w:type="dxa"/>
            <w:vAlign w:val="center"/>
          </w:tcPr>
          <w:p w14:paraId="4436A4F2">
            <w:pPr>
              <w:topLinePunct/>
              <w:adjustRightInd w:val="0"/>
              <w:snapToGrid w:val="0"/>
              <w:jc w:val="center"/>
              <w:rPr>
                <w:rFonts w:hint="eastAsia" w:ascii="宋体" w:hAnsi="宋体"/>
                <w:b/>
                <w:bCs/>
                <w:snapToGrid w:val="0"/>
                <w:kern w:val="0"/>
                <w:sz w:val="20"/>
                <w:szCs w:val="20"/>
              </w:rPr>
            </w:pPr>
            <w:r>
              <w:rPr>
                <w:rFonts w:hint="eastAsia" w:ascii="宋体" w:hAnsi="宋体"/>
                <w:b/>
                <w:bCs/>
                <w:snapToGrid w:val="0"/>
                <w:kern w:val="0"/>
                <w:sz w:val="20"/>
                <w:szCs w:val="20"/>
              </w:rPr>
              <w:t>序号</w:t>
            </w:r>
          </w:p>
        </w:tc>
        <w:tc>
          <w:tcPr>
            <w:tcW w:w="6799" w:type="dxa"/>
            <w:vAlign w:val="center"/>
          </w:tcPr>
          <w:p w14:paraId="7F62C322">
            <w:pPr>
              <w:topLinePunct/>
              <w:adjustRightInd w:val="0"/>
              <w:snapToGrid w:val="0"/>
              <w:jc w:val="center"/>
              <w:rPr>
                <w:rFonts w:hint="eastAsia" w:ascii="宋体" w:hAnsi="宋体"/>
                <w:b/>
                <w:bCs/>
                <w:snapToGrid w:val="0"/>
                <w:kern w:val="0"/>
                <w:sz w:val="20"/>
                <w:szCs w:val="20"/>
              </w:rPr>
            </w:pPr>
            <w:r>
              <w:rPr>
                <w:rFonts w:hint="eastAsia" w:ascii="宋体" w:hAnsi="宋体"/>
                <w:b/>
                <w:bCs/>
                <w:snapToGrid w:val="0"/>
                <w:kern w:val="0"/>
                <w:sz w:val="20"/>
                <w:szCs w:val="20"/>
              </w:rPr>
              <w:t>规范名称</w:t>
            </w:r>
          </w:p>
        </w:tc>
      </w:tr>
      <w:tr w14:paraId="645C1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0B5C9132">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793AEB26">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《上海市城市道路养护技术规程》（SZ-05-2014）</w:t>
            </w:r>
          </w:p>
        </w:tc>
      </w:tr>
      <w:tr w14:paraId="10AAF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3BB78375">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0A3AE68A">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《城市绿化工程施工及验收规范》（1999-08-01）</w:t>
            </w:r>
          </w:p>
        </w:tc>
      </w:tr>
      <w:tr w14:paraId="4C191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09D6786A">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03D6376E">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《上海市园林绿化园艺养管标准》（2001-10-01）</w:t>
            </w:r>
          </w:p>
        </w:tc>
      </w:tr>
      <w:tr w14:paraId="0F5A3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7A9DD1F4">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138C7B13">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《园林项目质量检验评定标准</w:t>
            </w:r>
            <w:r>
              <w:rPr>
                <w:rFonts w:hint="eastAsia" w:ascii="宋体" w:hAnsi="宋体"/>
                <w:snapToGrid w:val="0"/>
                <w:kern w:val="0"/>
                <w:sz w:val="20"/>
                <w:szCs w:val="20"/>
              </w:rPr>
              <w:tab/>
            </w:r>
            <w:r>
              <w:rPr>
                <w:rFonts w:hint="eastAsia" w:ascii="宋体" w:hAnsi="宋体"/>
                <w:snapToGrid w:val="0"/>
                <w:kern w:val="0"/>
                <w:sz w:val="20"/>
                <w:szCs w:val="20"/>
              </w:rPr>
              <w:t>》（2000-10-01）</w:t>
            </w:r>
          </w:p>
        </w:tc>
      </w:tr>
      <w:tr w14:paraId="15027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140C4542">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35C9AD19">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《园林植物保护技术规程》（DG/TJ 08-35-2014）</w:t>
            </w:r>
          </w:p>
        </w:tc>
      </w:tr>
      <w:tr w14:paraId="7031A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1A21192D">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02CF9271">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《园林植物栽植技术规程》（DG/TJ08-18-2011）</w:t>
            </w:r>
          </w:p>
        </w:tc>
      </w:tr>
      <w:tr w14:paraId="7DB80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3C5E4C99">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08AD5C3B">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《园林植物养护技术规程》（DG/TJ08-19-2011）</w:t>
            </w:r>
          </w:p>
        </w:tc>
      </w:tr>
      <w:tr w14:paraId="40150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178AA32B">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3CA27952">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《立体绿化技术规程》（DG/TJ 08-75-2014）</w:t>
            </w:r>
          </w:p>
        </w:tc>
      </w:tr>
      <w:tr w14:paraId="7497A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0239A2DE">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7829BF2A">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《高架桥绿化技术规程》（DB31/T 1151-2019）</w:t>
            </w:r>
          </w:p>
        </w:tc>
      </w:tr>
      <w:tr w14:paraId="056AD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5C37F98D">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6A6D7D3F">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《温室结构设计荷载》（GB/T18622—2002）</w:t>
            </w:r>
          </w:p>
        </w:tc>
      </w:tr>
      <w:tr w14:paraId="73D64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4694E155">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58955477">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《连栋温室建设标准》（NYJ/T06—2005）</w:t>
            </w:r>
          </w:p>
        </w:tc>
      </w:tr>
      <w:tr w14:paraId="0C8B5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777E3A28">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408A166E">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《日光温室建设标准》（NYJ/T07—2005）</w:t>
            </w:r>
          </w:p>
        </w:tc>
      </w:tr>
      <w:tr w14:paraId="71784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3F4ABEDD">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31890B03">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《日光温室结构标准》（JB/T10286—2001）</w:t>
            </w:r>
          </w:p>
        </w:tc>
      </w:tr>
      <w:tr w14:paraId="4402A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4ABF84EF">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305B9227">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《连栋温室结构标准》（JB/T10288-2001）</w:t>
            </w:r>
          </w:p>
        </w:tc>
      </w:tr>
      <w:tr w14:paraId="58677F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37386AF1">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0A6B7B57">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《温室工程质量验收通则》（NY/T1420—2007）</w:t>
            </w:r>
          </w:p>
        </w:tc>
      </w:tr>
      <w:tr w14:paraId="566B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851" w:type="dxa"/>
            <w:vAlign w:val="center"/>
          </w:tcPr>
          <w:p w14:paraId="721A8CAB">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7F93713B">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《温室地基基础设计、施工与验收技术规范》（NY/T1145—2006）</w:t>
            </w:r>
          </w:p>
        </w:tc>
      </w:tr>
      <w:tr w14:paraId="071BA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851" w:type="dxa"/>
            <w:vAlign w:val="center"/>
          </w:tcPr>
          <w:p w14:paraId="60F008AD">
            <w:pPr>
              <w:numPr>
                <w:ilvl w:val="0"/>
                <w:numId w:val="3"/>
              </w:numPr>
              <w:topLinePunct/>
              <w:adjustRightInd w:val="0"/>
              <w:snapToGrid w:val="0"/>
              <w:jc w:val="center"/>
              <w:rPr>
                <w:rFonts w:hint="eastAsia" w:ascii="宋体" w:hAnsi="宋体"/>
                <w:snapToGrid w:val="0"/>
                <w:kern w:val="0"/>
                <w:sz w:val="20"/>
                <w:szCs w:val="20"/>
              </w:rPr>
            </w:pPr>
          </w:p>
        </w:tc>
        <w:tc>
          <w:tcPr>
            <w:tcW w:w="6799" w:type="dxa"/>
            <w:vAlign w:val="center"/>
          </w:tcPr>
          <w:p w14:paraId="7389C370">
            <w:pPr>
              <w:topLinePunct/>
              <w:adjustRightInd w:val="0"/>
              <w:snapToGrid w:val="0"/>
              <w:rPr>
                <w:rFonts w:hint="eastAsia" w:ascii="宋体" w:hAnsi="宋体"/>
                <w:snapToGrid w:val="0"/>
                <w:kern w:val="0"/>
                <w:sz w:val="20"/>
                <w:szCs w:val="20"/>
              </w:rPr>
            </w:pPr>
            <w:r>
              <w:rPr>
                <w:rFonts w:hint="eastAsia" w:ascii="宋体" w:hAnsi="宋体"/>
                <w:snapToGrid w:val="0"/>
                <w:kern w:val="0"/>
                <w:sz w:val="20"/>
                <w:szCs w:val="20"/>
              </w:rPr>
              <w:t>其他国家或上海市相关的管养标准、养护技术要求、规范等。</w:t>
            </w:r>
          </w:p>
        </w:tc>
      </w:tr>
    </w:tbl>
    <w:p w14:paraId="39531290">
      <w:pPr>
        <w:topLinePunct/>
        <w:adjustRightInd w:val="0"/>
        <w:snapToGrid w:val="0"/>
        <w:spacing w:before="240"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以上技术规范、标准供中标人参考，但并不局限于此，如合同执行中有新规范、标准颁布或更新，则按新规范、标准执行，但国家及地方相关的强制性条文必须无条件执行。</w:t>
      </w:r>
    </w:p>
    <w:p w14:paraId="39531291">
      <w:pPr>
        <w:topLinePunct/>
        <w:adjustRightInd w:val="0"/>
        <w:snapToGrid w:val="0"/>
        <w:spacing w:line="360" w:lineRule="auto"/>
        <w:rPr>
          <w:rFonts w:hint="eastAsia" w:ascii="宋体" w:hAnsi="宋体" w:cs="宋体"/>
          <w:snapToGrid w:val="0"/>
          <w:kern w:val="0"/>
          <w:szCs w:val="21"/>
        </w:rPr>
      </w:pPr>
    </w:p>
    <w:p w14:paraId="39531292">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三、主要人员、设备和养护基地配置基本要求</w:t>
      </w:r>
    </w:p>
    <w:p w14:paraId="39531293">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bookmarkStart w:id="0" w:name="_Hlk90815076"/>
      <w:r>
        <w:rPr>
          <w:rFonts w:hint="eastAsia" w:ascii="宋体" w:hAnsi="宋体" w:cs="宋体"/>
          <w:b/>
          <w:snapToGrid w:val="0"/>
          <w:kern w:val="0"/>
          <w:szCs w:val="21"/>
        </w:rPr>
        <w:t>（一）主要管理、技术人员配置基本要求</w:t>
      </w:r>
    </w:p>
    <w:bookmarkEnd w:id="0"/>
    <w:p w14:paraId="39531294">
      <w:pPr>
        <w:tabs>
          <w:tab w:val="left" w:pos="7200"/>
        </w:tabs>
        <w:topLinePunct/>
        <w:adjustRightInd w:val="0"/>
        <w:snapToGrid w:val="0"/>
        <w:spacing w:line="360" w:lineRule="auto"/>
        <w:ind w:firstLine="420" w:firstLineChars="200"/>
        <w:rPr>
          <w:rFonts w:hint="eastAsia" w:ascii="宋体" w:hAnsi="宋体" w:cs="宋体"/>
          <w:bCs/>
          <w:snapToGrid w:val="0"/>
          <w:kern w:val="0"/>
          <w:szCs w:val="21"/>
        </w:rPr>
      </w:pPr>
      <w:bookmarkStart w:id="1" w:name="_Hlk90815067"/>
      <w:r>
        <w:rPr>
          <w:rFonts w:hint="eastAsia" w:ascii="宋体" w:hAnsi="宋体" w:cs="宋体"/>
          <w:bCs/>
          <w:snapToGrid w:val="0"/>
          <w:kern w:val="0"/>
          <w:szCs w:val="21"/>
        </w:rPr>
        <w:t>1、下表所列为最低要求，适用于本项目所有包件。投标人应根据本项目实际需求合理配置管理、技术和一线作业人员。</w:t>
      </w:r>
      <w:bookmarkEnd w:id="1"/>
    </w:p>
    <w:tbl>
      <w:tblPr>
        <w:tblStyle w:val="37"/>
        <w:tblW w:w="9351" w:type="dxa"/>
        <w:jc w:val="center"/>
        <w:tblLayout w:type="fixed"/>
        <w:tblCellMar>
          <w:top w:w="0" w:type="dxa"/>
          <w:left w:w="85" w:type="dxa"/>
          <w:bottom w:w="0" w:type="dxa"/>
          <w:right w:w="85" w:type="dxa"/>
        </w:tblCellMar>
      </w:tblPr>
      <w:tblGrid>
        <w:gridCol w:w="700"/>
        <w:gridCol w:w="1989"/>
        <w:gridCol w:w="6662"/>
      </w:tblGrid>
      <w:tr w14:paraId="39531299">
        <w:tblPrEx>
          <w:tblCellMar>
            <w:top w:w="0" w:type="dxa"/>
            <w:left w:w="85" w:type="dxa"/>
            <w:bottom w:w="0" w:type="dxa"/>
            <w:right w:w="85" w:type="dxa"/>
          </w:tblCellMar>
        </w:tblPrEx>
        <w:trPr>
          <w:trHeight w:val="510" w:hRule="atLeast"/>
          <w:tblHeader/>
          <w:jc w:val="center"/>
        </w:trPr>
        <w:tc>
          <w:tcPr>
            <w:tcW w:w="700" w:type="dxa"/>
            <w:tcBorders>
              <w:top w:val="single" w:color="auto" w:sz="4" w:space="0"/>
              <w:left w:val="single" w:color="auto" w:sz="4" w:space="0"/>
              <w:bottom w:val="single" w:color="auto" w:sz="4" w:space="0"/>
              <w:right w:val="single" w:color="auto" w:sz="4" w:space="0"/>
            </w:tcBorders>
            <w:shd w:val="clear" w:color="000000" w:fill="FFFFFF"/>
            <w:vAlign w:val="center"/>
          </w:tcPr>
          <w:p w14:paraId="39531295">
            <w:pPr>
              <w:topLinePunct/>
              <w:adjustRightInd w:val="0"/>
              <w:snapToGrid w:val="0"/>
              <w:jc w:val="center"/>
              <w:rPr>
                <w:rFonts w:hint="eastAsia" w:ascii="宋体" w:hAnsi="宋体" w:cs="Arial"/>
                <w:kern w:val="0"/>
                <w:sz w:val="20"/>
                <w:szCs w:val="20"/>
              </w:rPr>
            </w:pPr>
            <w:r>
              <w:rPr>
                <w:rFonts w:ascii="宋体" w:hAnsi="宋体" w:cs="Arial"/>
                <w:kern w:val="0"/>
                <w:sz w:val="20"/>
                <w:szCs w:val="20"/>
              </w:rPr>
              <w:t>序号</w:t>
            </w:r>
          </w:p>
        </w:tc>
        <w:tc>
          <w:tcPr>
            <w:tcW w:w="1989" w:type="dxa"/>
            <w:tcBorders>
              <w:top w:val="single" w:color="auto" w:sz="4" w:space="0"/>
              <w:left w:val="single" w:color="auto" w:sz="4" w:space="0"/>
              <w:bottom w:val="single" w:color="auto" w:sz="4" w:space="0"/>
              <w:right w:val="single" w:color="auto" w:sz="4" w:space="0"/>
            </w:tcBorders>
            <w:shd w:val="clear" w:color="000000" w:fill="FFFFFF"/>
            <w:vAlign w:val="center"/>
          </w:tcPr>
          <w:p w14:paraId="39531297">
            <w:pPr>
              <w:topLinePunct/>
              <w:adjustRightInd w:val="0"/>
              <w:snapToGrid w:val="0"/>
              <w:jc w:val="center"/>
              <w:rPr>
                <w:rFonts w:hint="eastAsia" w:ascii="宋体" w:hAnsi="宋体" w:cs="Arial"/>
                <w:kern w:val="0"/>
                <w:sz w:val="20"/>
                <w:szCs w:val="20"/>
              </w:rPr>
            </w:pPr>
            <w:r>
              <w:rPr>
                <w:rFonts w:ascii="宋体" w:hAnsi="宋体" w:cs="Arial"/>
                <w:kern w:val="0"/>
                <w:sz w:val="20"/>
                <w:szCs w:val="20"/>
              </w:rPr>
              <w:t>岗位名称</w:t>
            </w:r>
          </w:p>
        </w:tc>
        <w:tc>
          <w:tcPr>
            <w:tcW w:w="6662" w:type="dxa"/>
            <w:tcBorders>
              <w:top w:val="single" w:color="auto" w:sz="4" w:space="0"/>
              <w:left w:val="single" w:color="auto" w:sz="4" w:space="0"/>
              <w:bottom w:val="single" w:color="auto" w:sz="4" w:space="0"/>
              <w:right w:val="single" w:color="auto" w:sz="4" w:space="0"/>
            </w:tcBorders>
            <w:shd w:val="clear" w:color="000000" w:fill="FFFFFF"/>
            <w:vAlign w:val="center"/>
          </w:tcPr>
          <w:p w14:paraId="39531298">
            <w:pPr>
              <w:topLinePunct/>
              <w:adjustRightInd w:val="0"/>
              <w:snapToGrid w:val="0"/>
              <w:jc w:val="center"/>
              <w:rPr>
                <w:rFonts w:hint="eastAsia" w:ascii="宋体" w:hAnsi="宋体" w:cs="宋体"/>
                <w:kern w:val="0"/>
                <w:sz w:val="20"/>
                <w:szCs w:val="20"/>
              </w:rPr>
            </w:pPr>
            <w:r>
              <w:rPr>
                <w:rFonts w:hint="eastAsia" w:ascii="宋体" w:hAnsi="宋体" w:cs="宋体"/>
                <w:kern w:val="0"/>
                <w:sz w:val="20"/>
                <w:szCs w:val="20"/>
              </w:rPr>
              <w:t>要求</w:t>
            </w:r>
          </w:p>
        </w:tc>
      </w:tr>
      <w:tr w14:paraId="3953129E">
        <w:tblPrEx>
          <w:tblCellMar>
            <w:top w:w="0" w:type="dxa"/>
            <w:left w:w="85" w:type="dxa"/>
            <w:bottom w:w="0" w:type="dxa"/>
            <w:right w:w="85" w:type="dxa"/>
          </w:tblCellMar>
        </w:tblPrEx>
        <w:trPr>
          <w:trHeight w:val="510" w:hRule="atLeast"/>
          <w:jc w:val="center"/>
        </w:trPr>
        <w:tc>
          <w:tcPr>
            <w:tcW w:w="700" w:type="dxa"/>
            <w:tcBorders>
              <w:top w:val="nil"/>
              <w:left w:val="single" w:color="auto" w:sz="4" w:space="0"/>
              <w:bottom w:val="single" w:color="auto" w:sz="4" w:space="0"/>
              <w:right w:val="single" w:color="auto" w:sz="4" w:space="0"/>
            </w:tcBorders>
            <w:shd w:val="clear" w:color="000000" w:fill="FFFFFF"/>
            <w:vAlign w:val="center"/>
          </w:tcPr>
          <w:p w14:paraId="3953129A">
            <w:pPr>
              <w:topLinePunct/>
              <w:adjustRightInd w:val="0"/>
              <w:snapToGrid w:val="0"/>
              <w:jc w:val="center"/>
              <w:rPr>
                <w:rFonts w:hint="eastAsia" w:ascii="宋体" w:hAnsi="宋体" w:cs="Arial"/>
                <w:kern w:val="0"/>
                <w:sz w:val="20"/>
                <w:szCs w:val="20"/>
              </w:rPr>
            </w:pPr>
            <w:r>
              <w:rPr>
                <w:rFonts w:ascii="宋体" w:hAnsi="宋体" w:cs="Arial"/>
                <w:kern w:val="0"/>
                <w:sz w:val="20"/>
                <w:szCs w:val="20"/>
              </w:rPr>
              <w:t>1</w:t>
            </w:r>
          </w:p>
        </w:tc>
        <w:tc>
          <w:tcPr>
            <w:tcW w:w="1989" w:type="dxa"/>
            <w:tcBorders>
              <w:top w:val="nil"/>
              <w:left w:val="nil"/>
              <w:bottom w:val="single" w:color="auto" w:sz="4" w:space="0"/>
              <w:right w:val="single" w:color="auto" w:sz="4" w:space="0"/>
            </w:tcBorders>
            <w:shd w:val="clear" w:color="000000" w:fill="FFFFFF"/>
            <w:vAlign w:val="center"/>
          </w:tcPr>
          <w:p w14:paraId="3953129C">
            <w:pPr>
              <w:widowControl/>
              <w:jc w:val="center"/>
              <w:textAlignment w:val="center"/>
              <w:rPr>
                <w:rFonts w:hint="eastAsia" w:ascii="宋体" w:hAnsi="宋体" w:cs="Arial"/>
                <w:kern w:val="0"/>
                <w:sz w:val="20"/>
                <w:szCs w:val="20"/>
              </w:rPr>
            </w:pPr>
            <w:r>
              <w:rPr>
                <w:rFonts w:hint="eastAsia" w:ascii="宋体" w:hAnsi="宋体"/>
                <w:sz w:val="20"/>
                <w:szCs w:val="20"/>
              </w:rPr>
              <w:t>项目经理（1人）</w:t>
            </w:r>
          </w:p>
        </w:tc>
        <w:tc>
          <w:tcPr>
            <w:tcW w:w="6662" w:type="dxa"/>
            <w:tcBorders>
              <w:top w:val="nil"/>
              <w:left w:val="nil"/>
              <w:bottom w:val="single" w:color="auto" w:sz="4" w:space="0"/>
              <w:right w:val="single" w:color="auto" w:sz="4" w:space="0"/>
            </w:tcBorders>
            <w:shd w:val="clear" w:color="000000" w:fill="FFFFFF"/>
            <w:vAlign w:val="center"/>
          </w:tcPr>
          <w:p w14:paraId="3953129D">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全面负责本项目的养护管理工作，需具有：1、道路绿化养护管理经验；2、专科及以上学历；</w:t>
            </w:r>
            <w:r>
              <w:rPr>
                <w:rFonts w:hint="eastAsia" w:ascii="宋体" w:hAnsi="宋体"/>
                <w:b/>
                <w:bCs/>
                <w:sz w:val="20"/>
                <w:szCs w:val="20"/>
              </w:rPr>
              <w:t>★3、园林绿化类专业工程师及以上职称</w:t>
            </w:r>
            <w:r>
              <w:rPr>
                <w:rFonts w:hint="eastAsia" w:ascii="宋体" w:hAnsi="宋体"/>
                <w:sz w:val="20"/>
                <w:szCs w:val="20"/>
              </w:rPr>
              <w:t>。</w:t>
            </w:r>
          </w:p>
        </w:tc>
      </w:tr>
      <w:tr w14:paraId="395312A3">
        <w:tblPrEx>
          <w:tblCellMar>
            <w:top w:w="0" w:type="dxa"/>
            <w:left w:w="85" w:type="dxa"/>
            <w:bottom w:w="0" w:type="dxa"/>
            <w:right w:w="85" w:type="dxa"/>
          </w:tblCellMar>
        </w:tblPrEx>
        <w:trPr>
          <w:trHeight w:val="510" w:hRule="atLeast"/>
          <w:jc w:val="center"/>
        </w:trPr>
        <w:tc>
          <w:tcPr>
            <w:tcW w:w="700" w:type="dxa"/>
            <w:tcBorders>
              <w:top w:val="nil"/>
              <w:left w:val="single" w:color="auto" w:sz="4" w:space="0"/>
              <w:bottom w:val="single" w:color="auto" w:sz="4" w:space="0"/>
              <w:right w:val="single" w:color="auto" w:sz="4" w:space="0"/>
            </w:tcBorders>
            <w:shd w:val="clear" w:color="000000" w:fill="FFFFFF"/>
            <w:vAlign w:val="center"/>
          </w:tcPr>
          <w:p w14:paraId="3953129F">
            <w:pPr>
              <w:topLinePunct/>
              <w:adjustRightInd w:val="0"/>
              <w:snapToGrid w:val="0"/>
              <w:jc w:val="center"/>
              <w:rPr>
                <w:rFonts w:hint="eastAsia" w:ascii="宋体" w:hAnsi="宋体"/>
                <w:kern w:val="0"/>
                <w:sz w:val="20"/>
                <w:szCs w:val="20"/>
              </w:rPr>
            </w:pPr>
            <w:r>
              <w:rPr>
                <w:rFonts w:ascii="宋体" w:hAnsi="宋体"/>
                <w:kern w:val="0"/>
                <w:sz w:val="20"/>
                <w:szCs w:val="20"/>
              </w:rPr>
              <w:t>2</w:t>
            </w:r>
          </w:p>
        </w:tc>
        <w:tc>
          <w:tcPr>
            <w:tcW w:w="1989" w:type="dxa"/>
            <w:tcBorders>
              <w:top w:val="nil"/>
              <w:left w:val="nil"/>
              <w:bottom w:val="single" w:color="auto" w:sz="4" w:space="0"/>
              <w:right w:val="single" w:color="auto" w:sz="4" w:space="0"/>
            </w:tcBorders>
            <w:shd w:val="clear" w:color="000000" w:fill="FFFFFF"/>
            <w:vAlign w:val="center"/>
          </w:tcPr>
          <w:p w14:paraId="395312A1">
            <w:pPr>
              <w:widowControl/>
              <w:jc w:val="center"/>
              <w:textAlignment w:val="center"/>
              <w:rPr>
                <w:rFonts w:hint="eastAsia" w:ascii="宋体" w:hAnsi="宋体" w:cs="Arial"/>
                <w:kern w:val="0"/>
                <w:sz w:val="20"/>
                <w:szCs w:val="20"/>
              </w:rPr>
            </w:pPr>
            <w:r>
              <w:rPr>
                <w:rFonts w:hint="eastAsia" w:ascii="宋体" w:hAnsi="宋体"/>
                <w:sz w:val="20"/>
                <w:szCs w:val="20"/>
              </w:rPr>
              <w:t>技术负责人（1人）</w:t>
            </w:r>
          </w:p>
        </w:tc>
        <w:tc>
          <w:tcPr>
            <w:tcW w:w="6662" w:type="dxa"/>
            <w:tcBorders>
              <w:top w:val="nil"/>
              <w:left w:val="nil"/>
              <w:bottom w:val="single" w:color="auto" w:sz="4" w:space="0"/>
              <w:right w:val="single" w:color="auto" w:sz="4" w:space="0"/>
            </w:tcBorders>
            <w:shd w:val="clear" w:color="000000" w:fill="FFFFFF"/>
            <w:vAlign w:val="center"/>
          </w:tcPr>
          <w:p w14:paraId="395312A2">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负责专业技术方案的制定和专业技术问题的处理解决等，需具有：1、道路绿化养护管理经验；2、专科及以上学历；3、园林绿化类专业工程师及以上职称。</w:t>
            </w:r>
          </w:p>
        </w:tc>
      </w:tr>
      <w:tr w14:paraId="395312A8">
        <w:tblPrEx>
          <w:tblCellMar>
            <w:top w:w="0" w:type="dxa"/>
            <w:left w:w="85" w:type="dxa"/>
            <w:bottom w:w="0" w:type="dxa"/>
            <w:right w:w="85" w:type="dxa"/>
          </w:tblCellMar>
        </w:tblPrEx>
        <w:trPr>
          <w:trHeight w:val="510" w:hRule="atLeast"/>
          <w:jc w:val="center"/>
        </w:trPr>
        <w:tc>
          <w:tcPr>
            <w:tcW w:w="700" w:type="dxa"/>
            <w:tcBorders>
              <w:top w:val="nil"/>
              <w:left w:val="single" w:color="auto" w:sz="4" w:space="0"/>
              <w:bottom w:val="single" w:color="auto" w:sz="4" w:space="0"/>
              <w:right w:val="single" w:color="auto" w:sz="4" w:space="0"/>
            </w:tcBorders>
            <w:shd w:val="clear" w:color="000000" w:fill="FFFFFF"/>
            <w:vAlign w:val="center"/>
          </w:tcPr>
          <w:p w14:paraId="395312A4">
            <w:pPr>
              <w:topLinePunct/>
              <w:adjustRightInd w:val="0"/>
              <w:snapToGrid w:val="0"/>
              <w:jc w:val="center"/>
              <w:rPr>
                <w:rFonts w:hint="eastAsia" w:ascii="宋体" w:hAnsi="宋体"/>
                <w:kern w:val="0"/>
                <w:sz w:val="20"/>
                <w:szCs w:val="20"/>
              </w:rPr>
            </w:pPr>
            <w:r>
              <w:rPr>
                <w:rFonts w:ascii="宋体" w:hAnsi="宋体"/>
                <w:kern w:val="0"/>
                <w:sz w:val="20"/>
                <w:szCs w:val="20"/>
              </w:rPr>
              <w:t>3</w:t>
            </w:r>
          </w:p>
        </w:tc>
        <w:tc>
          <w:tcPr>
            <w:tcW w:w="1989" w:type="dxa"/>
            <w:tcBorders>
              <w:top w:val="nil"/>
              <w:left w:val="nil"/>
              <w:bottom w:val="single" w:color="auto" w:sz="4" w:space="0"/>
              <w:right w:val="single" w:color="auto" w:sz="4" w:space="0"/>
            </w:tcBorders>
            <w:shd w:val="clear" w:color="000000" w:fill="FFFFFF"/>
            <w:vAlign w:val="center"/>
          </w:tcPr>
          <w:p w14:paraId="395312A6">
            <w:pPr>
              <w:widowControl/>
              <w:jc w:val="center"/>
              <w:textAlignment w:val="center"/>
              <w:rPr>
                <w:rFonts w:hint="eastAsia" w:ascii="宋体" w:hAnsi="宋体" w:cs="宋体"/>
                <w:kern w:val="0"/>
                <w:sz w:val="20"/>
                <w:szCs w:val="20"/>
              </w:rPr>
            </w:pPr>
            <w:r>
              <w:rPr>
                <w:rFonts w:hint="eastAsia" w:ascii="宋体" w:hAnsi="宋体"/>
                <w:sz w:val="20"/>
                <w:szCs w:val="20"/>
              </w:rPr>
              <w:t>专职安全员（1人）</w:t>
            </w:r>
          </w:p>
        </w:tc>
        <w:tc>
          <w:tcPr>
            <w:tcW w:w="6662" w:type="dxa"/>
            <w:tcBorders>
              <w:top w:val="nil"/>
              <w:left w:val="nil"/>
              <w:bottom w:val="single" w:color="auto" w:sz="4" w:space="0"/>
              <w:right w:val="single" w:color="auto" w:sz="4" w:space="0"/>
            </w:tcBorders>
            <w:shd w:val="clear" w:color="000000" w:fill="FFFFFF"/>
            <w:vAlign w:val="center"/>
          </w:tcPr>
          <w:p w14:paraId="395312A7">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负责本项目的安全管理工作，需具有：交通或建设主管部门颁发的交安C证或建安C证。</w:t>
            </w:r>
          </w:p>
        </w:tc>
      </w:tr>
      <w:tr w14:paraId="395312AD">
        <w:tblPrEx>
          <w:tblCellMar>
            <w:top w:w="0" w:type="dxa"/>
            <w:left w:w="85" w:type="dxa"/>
            <w:bottom w:w="0" w:type="dxa"/>
            <w:right w:w="85" w:type="dxa"/>
          </w:tblCellMar>
        </w:tblPrEx>
        <w:trPr>
          <w:trHeight w:val="510" w:hRule="atLeast"/>
          <w:jc w:val="center"/>
        </w:trPr>
        <w:tc>
          <w:tcPr>
            <w:tcW w:w="700" w:type="dxa"/>
            <w:tcBorders>
              <w:top w:val="single" w:color="auto" w:sz="4" w:space="0"/>
              <w:left w:val="single" w:color="auto" w:sz="4" w:space="0"/>
              <w:bottom w:val="single" w:color="auto" w:sz="4" w:space="0"/>
              <w:right w:val="single" w:color="auto" w:sz="4" w:space="0"/>
            </w:tcBorders>
            <w:shd w:val="clear" w:color="000000" w:fill="FFFFFF"/>
            <w:vAlign w:val="center"/>
          </w:tcPr>
          <w:p w14:paraId="395312A9">
            <w:pPr>
              <w:topLinePunct/>
              <w:adjustRightInd w:val="0"/>
              <w:snapToGrid w:val="0"/>
              <w:jc w:val="center"/>
              <w:rPr>
                <w:rFonts w:hint="eastAsia" w:ascii="宋体" w:hAnsi="宋体"/>
                <w:kern w:val="0"/>
                <w:sz w:val="20"/>
                <w:szCs w:val="20"/>
              </w:rPr>
            </w:pPr>
            <w:r>
              <w:rPr>
                <w:rFonts w:hint="eastAsia" w:ascii="宋体" w:hAnsi="宋体"/>
                <w:kern w:val="0"/>
                <w:sz w:val="20"/>
                <w:szCs w:val="20"/>
              </w:rPr>
              <w:t>4</w:t>
            </w:r>
          </w:p>
        </w:tc>
        <w:tc>
          <w:tcPr>
            <w:tcW w:w="1989" w:type="dxa"/>
            <w:tcBorders>
              <w:top w:val="single" w:color="auto" w:sz="4" w:space="0"/>
              <w:left w:val="nil"/>
              <w:bottom w:val="single" w:color="auto" w:sz="4" w:space="0"/>
              <w:right w:val="single" w:color="auto" w:sz="4" w:space="0"/>
            </w:tcBorders>
            <w:shd w:val="clear" w:color="000000" w:fill="FFFFFF"/>
            <w:vAlign w:val="center"/>
          </w:tcPr>
          <w:p w14:paraId="395312AB">
            <w:pPr>
              <w:widowControl/>
              <w:jc w:val="center"/>
              <w:textAlignment w:val="center"/>
              <w:rPr>
                <w:rFonts w:hint="eastAsia" w:ascii="宋体" w:hAnsi="宋体" w:cs="宋体"/>
                <w:kern w:val="0"/>
                <w:sz w:val="20"/>
                <w:szCs w:val="20"/>
              </w:rPr>
            </w:pPr>
            <w:r>
              <w:rPr>
                <w:rFonts w:hint="eastAsia" w:ascii="宋体" w:hAnsi="宋体"/>
                <w:sz w:val="20"/>
                <w:szCs w:val="20"/>
              </w:rPr>
              <w:t>资料员（1人）</w:t>
            </w:r>
          </w:p>
        </w:tc>
        <w:tc>
          <w:tcPr>
            <w:tcW w:w="6662" w:type="dxa"/>
            <w:tcBorders>
              <w:top w:val="single" w:color="auto" w:sz="4" w:space="0"/>
              <w:left w:val="nil"/>
              <w:bottom w:val="single" w:color="auto" w:sz="4" w:space="0"/>
              <w:right w:val="single" w:color="auto" w:sz="4" w:space="0"/>
            </w:tcBorders>
            <w:shd w:val="clear" w:color="000000" w:fill="FFFFFF"/>
            <w:vAlign w:val="center"/>
          </w:tcPr>
          <w:p w14:paraId="395312AC">
            <w:pPr>
              <w:widowControl/>
              <w:spacing w:line="276" w:lineRule="auto"/>
              <w:jc w:val="left"/>
              <w:textAlignment w:val="center"/>
              <w:rPr>
                <w:rFonts w:hint="eastAsia" w:ascii="宋体" w:hAnsi="宋体" w:cs="宋体"/>
                <w:kern w:val="0"/>
                <w:sz w:val="20"/>
                <w:szCs w:val="20"/>
              </w:rPr>
            </w:pPr>
            <w:r>
              <w:rPr>
                <w:rFonts w:hint="eastAsia" w:ascii="宋体" w:hAnsi="宋体"/>
                <w:sz w:val="20"/>
                <w:szCs w:val="20"/>
              </w:rPr>
              <w:t>负责本项目的资料收集、归类、整理。</w:t>
            </w:r>
          </w:p>
        </w:tc>
      </w:tr>
    </w:tbl>
    <w:p w14:paraId="2243C462">
      <w:pPr>
        <w:topLinePunct/>
        <w:adjustRightInd w:val="0"/>
        <w:snapToGrid w:val="0"/>
        <w:spacing w:before="240" w:line="360" w:lineRule="auto"/>
        <w:ind w:firstLine="422" w:firstLineChars="200"/>
        <w:rPr>
          <w:rFonts w:hint="eastAsia" w:ascii="宋体" w:hAnsi="宋体"/>
          <w:b/>
          <w:bCs/>
          <w:snapToGrid w:val="0"/>
          <w:kern w:val="0"/>
          <w:szCs w:val="21"/>
        </w:rPr>
      </w:pPr>
      <w:r>
        <w:rPr>
          <w:rFonts w:hint="eastAsia" w:ascii="宋体" w:hAnsi="宋体"/>
          <w:b/>
          <w:bCs/>
          <w:snapToGrid w:val="0"/>
          <w:kern w:val="0"/>
          <w:szCs w:val="21"/>
        </w:rPr>
        <w:t>★2、中标人须配置项目经理一名，并配置技术负责人和专职安全员至少各一名。上述人员必须是本单位员工，投标人需出具开标日前三个月内任意一个月投标人企业为上述人员缴纳社会保险的证明。</w:t>
      </w:r>
    </w:p>
    <w:p w14:paraId="395312B0">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3</w:t>
      </w:r>
      <w:r>
        <w:rPr>
          <w:rFonts w:hint="eastAsia" w:ascii="宋体" w:hAnsi="宋体" w:cs="宋体"/>
          <w:snapToGrid w:val="0"/>
          <w:kern w:val="0"/>
          <w:szCs w:val="21"/>
        </w:rPr>
        <w:t>、未经采购人同意，中标人不得调换或撤离上述人员。如采购人认为有必要，可要求中标人对上述人员中的部分人员做出更好的调整。</w:t>
      </w:r>
    </w:p>
    <w:p w14:paraId="395312B1">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4</w:t>
      </w:r>
      <w:r>
        <w:rPr>
          <w:rFonts w:hint="eastAsia" w:ascii="宋体" w:hAnsi="宋体" w:cs="宋体"/>
          <w:snapToGrid w:val="0"/>
          <w:kern w:val="0"/>
          <w:szCs w:val="21"/>
        </w:rPr>
        <w:t>、所有根据国家或上海法律、法规、规范要求的特种设备车辆操作人员均必须持证上岗。</w:t>
      </w:r>
    </w:p>
    <w:p w14:paraId="395312B2">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（二）设备配置基本要求</w:t>
      </w:r>
    </w:p>
    <w:p w14:paraId="395312B3">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1</w:t>
      </w:r>
      <w:r>
        <w:rPr>
          <w:rFonts w:hint="eastAsia" w:ascii="宋体" w:hAnsi="宋体" w:cs="宋体"/>
          <w:snapToGrid w:val="0"/>
          <w:kern w:val="0"/>
          <w:szCs w:val="21"/>
        </w:rPr>
        <w:t>、为做好本项目服务工作，中标人应至少配置以下用于养护作业的车辆及机械设备（不包括采购人提供的车辆及设备）。</w:t>
      </w:r>
    </w:p>
    <w:p w14:paraId="7AB915E6">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以下要求适用于本项目所有包件：</w:t>
      </w:r>
    </w:p>
    <w:tbl>
      <w:tblPr>
        <w:tblStyle w:val="37"/>
        <w:tblW w:w="8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85" w:type="dxa"/>
          <w:bottom w:w="0" w:type="dxa"/>
          <w:right w:w="85" w:type="dxa"/>
        </w:tblCellMar>
      </w:tblPr>
      <w:tblGrid>
        <w:gridCol w:w="704"/>
        <w:gridCol w:w="2126"/>
        <w:gridCol w:w="851"/>
        <w:gridCol w:w="3260"/>
        <w:gridCol w:w="1701"/>
      </w:tblGrid>
      <w:tr w14:paraId="395312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tblHeader/>
          <w:jc w:val="center"/>
        </w:trPr>
        <w:tc>
          <w:tcPr>
            <w:tcW w:w="704" w:type="dxa"/>
            <w:vAlign w:val="center"/>
          </w:tcPr>
          <w:p w14:paraId="395312B4">
            <w:pPr>
              <w:topLinePunct/>
              <w:adjustRightInd w:val="0"/>
              <w:snapToGrid w:val="0"/>
              <w:jc w:val="center"/>
              <w:rPr>
                <w:rFonts w:hint="eastAsia" w:ascii="宋体" w:hAnsi="宋体" w:cs="宋体"/>
                <w:b/>
                <w:bCs/>
                <w:kern w:val="0"/>
                <w:sz w:val="20"/>
                <w:szCs w:val="20"/>
              </w:rPr>
            </w:pPr>
            <w:bookmarkStart w:id="2" w:name="_Hlk90817084"/>
            <w:r>
              <w:rPr>
                <w:rFonts w:hint="eastAsia" w:ascii="宋体" w:hAnsi="宋体" w:cs="宋体"/>
                <w:b/>
                <w:bCs/>
                <w:kern w:val="0"/>
                <w:sz w:val="20"/>
                <w:szCs w:val="20"/>
              </w:rPr>
              <w:t>序号</w:t>
            </w:r>
          </w:p>
        </w:tc>
        <w:tc>
          <w:tcPr>
            <w:tcW w:w="2126" w:type="dxa"/>
            <w:vAlign w:val="center"/>
          </w:tcPr>
          <w:p w14:paraId="395312B5">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设备名称</w:t>
            </w:r>
          </w:p>
        </w:tc>
        <w:tc>
          <w:tcPr>
            <w:tcW w:w="851" w:type="dxa"/>
            <w:vAlign w:val="center"/>
          </w:tcPr>
          <w:p w14:paraId="395312B6">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数量</w:t>
            </w:r>
          </w:p>
        </w:tc>
        <w:tc>
          <w:tcPr>
            <w:tcW w:w="3260" w:type="dxa"/>
            <w:vAlign w:val="center"/>
          </w:tcPr>
          <w:p w14:paraId="395312B7">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用途</w:t>
            </w:r>
          </w:p>
        </w:tc>
        <w:tc>
          <w:tcPr>
            <w:tcW w:w="1701" w:type="dxa"/>
            <w:vAlign w:val="center"/>
          </w:tcPr>
          <w:p w14:paraId="395312B8">
            <w:pPr>
              <w:topLinePunct/>
              <w:adjustRightInd w:val="0"/>
              <w:snapToGrid w:val="0"/>
              <w:jc w:val="center"/>
              <w:rPr>
                <w:rFonts w:hint="eastAsia" w:ascii="宋体" w:hAnsi="宋体" w:cs="宋体"/>
                <w:b/>
                <w:bCs/>
                <w:kern w:val="0"/>
                <w:sz w:val="20"/>
                <w:szCs w:val="20"/>
              </w:rPr>
            </w:pPr>
            <w:r>
              <w:rPr>
                <w:rFonts w:hint="eastAsia" w:ascii="宋体" w:hAnsi="宋体" w:cs="宋体"/>
                <w:b/>
                <w:bCs/>
                <w:kern w:val="0"/>
                <w:sz w:val="20"/>
                <w:szCs w:val="20"/>
              </w:rPr>
              <w:t>备注</w:t>
            </w:r>
          </w:p>
        </w:tc>
      </w:tr>
      <w:tr w14:paraId="39531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704" w:type="dxa"/>
            <w:vAlign w:val="center"/>
          </w:tcPr>
          <w:p w14:paraId="395312BA">
            <w:pPr>
              <w:topLinePunct/>
              <w:adjustRightInd w:val="0"/>
              <w:snapToGrid w:val="0"/>
              <w:jc w:val="center"/>
              <w:rPr>
                <w:rFonts w:hint="eastAsia" w:ascii="宋体" w:hAnsi="宋体"/>
                <w:kern w:val="0"/>
                <w:sz w:val="20"/>
                <w:szCs w:val="20"/>
              </w:rPr>
            </w:pPr>
            <w:r>
              <w:rPr>
                <w:rFonts w:ascii="宋体" w:hAnsi="宋体"/>
                <w:kern w:val="0"/>
                <w:sz w:val="20"/>
                <w:szCs w:val="20"/>
              </w:rPr>
              <w:t>1</w:t>
            </w:r>
          </w:p>
        </w:tc>
        <w:tc>
          <w:tcPr>
            <w:tcW w:w="2126" w:type="dxa"/>
            <w:vAlign w:val="center"/>
          </w:tcPr>
          <w:p w14:paraId="395312BB">
            <w:pPr>
              <w:widowControl/>
              <w:jc w:val="center"/>
              <w:textAlignment w:val="center"/>
              <w:rPr>
                <w:rFonts w:hint="eastAsia" w:ascii="宋体" w:hAnsi="宋体" w:cs="宋体"/>
                <w:kern w:val="0"/>
                <w:sz w:val="20"/>
                <w:szCs w:val="20"/>
              </w:rPr>
            </w:pPr>
            <w:r>
              <w:rPr>
                <w:rFonts w:hint="eastAsia" w:ascii="宋体" w:hAnsi="宋体"/>
                <w:sz w:val="20"/>
                <w:szCs w:val="20"/>
              </w:rPr>
              <w:t>洒水车</w:t>
            </w:r>
          </w:p>
        </w:tc>
        <w:tc>
          <w:tcPr>
            <w:tcW w:w="851" w:type="dxa"/>
            <w:vAlign w:val="center"/>
          </w:tcPr>
          <w:p w14:paraId="395312BC">
            <w:pPr>
              <w:widowControl/>
              <w:jc w:val="center"/>
              <w:textAlignment w:val="center"/>
              <w:rPr>
                <w:rFonts w:hint="eastAsia" w:ascii="宋体" w:hAnsi="宋体"/>
                <w:kern w:val="0"/>
                <w:sz w:val="20"/>
                <w:szCs w:val="20"/>
              </w:rPr>
            </w:pPr>
            <w:r>
              <w:rPr>
                <w:rFonts w:hint="eastAsia" w:ascii="宋体" w:hAnsi="宋体"/>
                <w:sz w:val="20"/>
                <w:szCs w:val="20"/>
              </w:rPr>
              <w:t>4</w:t>
            </w:r>
          </w:p>
        </w:tc>
        <w:tc>
          <w:tcPr>
            <w:tcW w:w="3260" w:type="dxa"/>
            <w:vAlign w:val="center"/>
          </w:tcPr>
          <w:p w14:paraId="395312BD">
            <w:pPr>
              <w:widowControl/>
              <w:jc w:val="center"/>
              <w:textAlignment w:val="center"/>
              <w:rPr>
                <w:rFonts w:hint="eastAsia" w:ascii="宋体" w:hAnsi="宋体" w:cs="宋体"/>
                <w:kern w:val="0"/>
                <w:sz w:val="20"/>
                <w:szCs w:val="20"/>
              </w:rPr>
            </w:pPr>
            <w:r>
              <w:rPr>
                <w:rFonts w:hint="eastAsia" w:ascii="宋体" w:hAnsi="宋体"/>
                <w:sz w:val="20"/>
                <w:szCs w:val="20"/>
              </w:rPr>
              <w:t>浇水、施肥</w:t>
            </w:r>
          </w:p>
        </w:tc>
        <w:tc>
          <w:tcPr>
            <w:tcW w:w="1701" w:type="dxa"/>
            <w:vAlign w:val="center"/>
          </w:tcPr>
          <w:p w14:paraId="395312BE">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14:paraId="39531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704" w:type="dxa"/>
            <w:vAlign w:val="center"/>
          </w:tcPr>
          <w:p w14:paraId="395312C0">
            <w:pPr>
              <w:topLinePunct/>
              <w:adjustRightInd w:val="0"/>
              <w:snapToGrid w:val="0"/>
              <w:jc w:val="center"/>
              <w:rPr>
                <w:rFonts w:hint="eastAsia" w:ascii="宋体" w:hAnsi="宋体"/>
                <w:kern w:val="0"/>
                <w:sz w:val="20"/>
                <w:szCs w:val="20"/>
              </w:rPr>
            </w:pPr>
            <w:r>
              <w:rPr>
                <w:rFonts w:hint="eastAsia" w:ascii="宋体" w:hAnsi="宋体"/>
                <w:kern w:val="0"/>
                <w:sz w:val="20"/>
                <w:szCs w:val="20"/>
              </w:rPr>
              <w:t>2</w:t>
            </w:r>
          </w:p>
        </w:tc>
        <w:tc>
          <w:tcPr>
            <w:tcW w:w="2126" w:type="dxa"/>
            <w:vAlign w:val="center"/>
          </w:tcPr>
          <w:p w14:paraId="395312C1">
            <w:pPr>
              <w:widowControl/>
              <w:jc w:val="center"/>
              <w:textAlignment w:val="center"/>
              <w:rPr>
                <w:rFonts w:hint="eastAsia" w:ascii="宋体" w:hAnsi="宋体" w:cs="宋体"/>
                <w:kern w:val="0"/>
                <w:sz w:val="20"/>
                <w:szCs w:val="20"/>
              </w:rPr>
            </w:pPr>
            <w:r>
              <w:rPr>
                <w:rFonts w:hint="eastAsia" w:ascii="宋体" w:hAnsi="宋体"/>
                <w:sz w:val="20"/>
                <w:szCs w:val="20"/>
              </w:rPr>
              <w:t>养护施工作业车辆</w:t>
            </w:r>
          </w:p>
        </w:tc>
        <w:tc>
          <w:tcPr>
            <w:tcW w:w="851" w:type="dxa"/>
            <w:vAlign w:val="center"/>
          </w:tcPr>
          <w:p w14:paraId="395312C2">
            <w:pPr>
              <w:widowControl/>
              <w:jc w:val="center"/>
              <w:textAlignment w:val="center"/>
              <w:rPr>
                <w:rFonts w:hint="eastAsia" w:ascii="宋体" w:hAnsi="宋体"/>
                <w:kern w:val="0"/>
                <w:sz w:val="20"/>
                <w:szCs w:val="20"/>
              </w:rPr>
            </w:pPr>
            <w:r>
              <w:rPr>
                <w:rFonts w:hint="eastAsia" w:ascii="宋体" w:hAnsi="宋体"/>
                <w:sz w:val="20"/>
                <w:szCs w:val="20"/>
              </w:rPr>
              <w:t>3</w:t>
            </w:r>
          </w:p>
        </w:tc>
        <w:tc>
          <w:tcPr>
            <w:tcW w:w="3260" w:type="dxa"/>
            <w:vAlign w:val="center"/>
          </w:tcPr>
          <w:p w14:paraId="395312C3">
            <w:pPr>
              <w:widowControl/>
              <w:jc w:val="center"/>
              <w:textAlignment w:val="center"/>
              <w:rPr>
                <w:rFonts w:hint="eastAsia" w:ascii="宋体" w:hAnsi="宋体" w:cs="宋体"/>
                <w:kern w:val="0"/>
                <w:sz w:val="20"/>
                <w:szCs w:val="20"/>
              </w:rPr>
            </w:pPr>
            <w:r>
              <w:rPr>
                <w:rFonts w:hint="eastAsia" w:ascii="宋体" w:hAnsi="宋体"/>
                <w:sz w:val="20"/>
                <w:szCs w:val="20"/>
              </w:rPr>
              <w:t>修剪、拔草、施肥、病虫害防治、换盆等</w:t>
            </w:r>
          </w:p>
        </w:tc>
        <w:tc>
          <w:tcPr>
            <w:tcW w:w="1701" w:type="dxa"/>
            <w:vAlign w:val="center"/>
          </w:tcPr>
          <w:p w14:paraId="395312C4">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14:paraId="39531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704" w:type="dxa"/>
            <w:vAlign w:val="center"/>
          </w:tcPr>
          <w:p w14:paraId="395312C6">
            <w:pPr>
              <w:topLinePunct/>
              <w:adjustRightInd w:val="0"/>
              <w:snapToGrid w:val="0"/>
              <w:jc w:val="center"/>
              <w:rPr>
                <w:rFonts w:hint="eastAsia" w:ascii="宋体" w:hAnsi="宋体"/>
                <w:kern w:val="0"/>
                <w:sz w:val="20"/>
                <w:szCs w:val="20"/>
              </w:rPr>
            </w:pPr>
            <w:r>
              <w:rPr>
                <w:rFonts w:hint="eastAsia" w:ascii="宋体" w:hAnsi="宋体"/>
                <w:kern w:val="0"/>
                <w:sz w:val="20"/>
                <w:szCs w:val="20"/>
              </w:rPr>
              <w:t>3</w:t>
            </w:r>
          </w:p>
        </w:tc>
        <w:tc>
          <w:tcPr>
            <w:tcW w:w="2126" w:type="dxa"/>
            <w:vAlign w:val="center"/>
          </w:tcPr>
          <w:p w14:paraId="395312C7">
            <w:pPr>
              <w:widowControl/>
              <w:jc w:val="center"/>
              <w:textAlignment w:val="center"/>
              <w:rPr>
                <w:rFonts w:hint="eastAsia" w:ascii="宋体" w:hAnsi="宋体" w:cs="宋体"/>
                <w:kern w:val="0"/>
                <w:sz w:val="20"/>
                <w:szCs w:val="20"/>
              </w:rPr>
            </w:pPr>
            <w:r>
              <w:rPr>
                <w:rFonts w:hint="eastAsia" w:ascii="宋体" w:hAnsi="宋体"/>
                <w:sz w:val="20"/>
                <w:szCs w:val="20"/>
              </w:rPr>
              <w:t>封道车</w:t>
            </w:r>
          </w:p>
        </w:tc>
        <w:tc>
          <w:tcPr>
            <w:tcW w:w="851" w:type="dxa"/>
            <w:vAlign w:val="center"/>
          </w:tcPr>
          <w:p w14:paraId="395312C8">
            <w:pPr>
              <w:widowControl/>
              <w:jc w:val="center"/>
              <w:textAlignment w:val="center"/>
              <w:rPr>
                <w:rFonts w:hint="eastAsia" w:ascii="宋体" w:hAnsi="宋体"/>
                <w:kern w:val="0"/>
                <w:sz w:val="20"/>
                <w:szCs w:val="20"/>
              </w:rPr>
            </w:pPr>
            <w:r>
              <w:rPr>
                <w:rFonts w:hint="eastAsia" w:ascii="宋体" w:hAnsi="宋体"/>
                <w:sz w:val="20"/>
                <w:szCs w:val="20"/>
              </w:rPr>
              <w:t>2</w:t>
            </w:r>
          </w:p>
        </w:tc>
        <w:tc>
          <w:tcPr>
            <w:tcW w:w="3260" w:type="dxa"/>
            <w:vAlign w:val="center"/>
          </w:tcPr>
          <w:p w14:paraId="395312C9">
            <w:pPr>
              <w:widowControl/>
              <w:jc w:val="center"/>
              <w:textAlignment w:val="center"/>
              <w:rPr>
                <w:rFonts w:hint="eastAsia" w:ascii="宋体" w:hAnsi="宋体" w:cs="宋体"/>
                <w:kern w:val="0"/>
                <w:sz w:val="20"/>
                <w:szCs w:val="20"/>
              </w:rPr>
            </w:pPr>
            <w:r>
              <w:rPr>
                <w:rFonts w:hint="eastAsia" w:ascii="宋体" w:hAnsi="宋体"/>
                <w:sz w:val="20"/>
                <w:szCs w:val="20"/>
              </w:rPr>
              <w:t>占道养护、施工安全防护</w:t>
            </w:r>
          </w:p>
        </w:tc>
        <w:tc>
          <w:tcPr>
            <w:tcW w:w="1701" w:type="dxa"/>
            <w:vAlign w:val="center"/>
          </w:tcPr>
          <w:p w14:paraId="395312CA">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14:paraId="39531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704" w:type="dxa"/>
            <w:vAlign w:val="center"/>
          </w:tcPr>
          <w:p w14:paraId="395312CC">
            <w:pPr>
              <w:topLinePunct/>
              <w:adjustRightInd w:val="0"/>
              <w:snapToGrid w:val="0"/>
              <w:jc w:val="center"/>
              <w:rPr>
                <w:rFonts w:hint="eastAsia" w:ascii="宋体" w:hAnsi="宋体"/>
                <w:kern w:val="0"/>
                <w:sz w:val="20"/>
                <w:szCs w:val="20"/>
              </w:rPr>
            </w:pPr>
            <w:r>
              <w:rPr>
                <w:rFonts w:ascii="宋体" w:hAnsi="宋体"/>
                <w:kern w:val="0"/>
                <w:sz w:val="20"/>
                <w:szCs w:val="20"/>
              </w:rPr>
              <w:t>4</w:t>
            </w:r>
          </w:p>
        </w:tc>
        <w:tc>
          <w:tcPr>
            <w:tcW w:w="2126" w:type="dxa"/>
            <w:vAlign w:val="center"/>
          </w:tcPr>
          <w:p w14:paraId="395312CD">
            <w:pPr>
              <w:widowControl/>
              <w:jc w:val="center"/>
              <w:textAlignment w:val="center"/>
              <w:rPr>
                <w:rFonts w:hint="eastAsia" w:ascii="宋体" w:hAnsi="宋体" w:cs="宋体"/>
                <w:kern w:val="0"/>
                <w:sz w:val="20"/>
                <w:szCs w:val="20"/>
              </w:rPr>
            </w:pPr>
            <w:r>
              <w:rPr>
                <w:rFonts w:hint="eastAsia" w:ascii="宋体" w:hAnsi="宋体"/>
                <w:sz w:val="20"/>
                <w:szCs w:val="20"/>
              </w:rPr>
              <w:t>巡视车</w:t>
            </w:r>
          </w:p>
        </w:tc>
        <w:tc>
          <w:tcPr>
            <w:tcW w:w="851" w:type="dxa"/>
            <w:vAlign w:val="center"/>
          </w:tcPr>
          <w:p w14:paraId="395312CE">
            <w:pPr>
              <w:widowControl/>
              <w:jc w:val="center"/>
              <w:textAlignment w:val="center"/>
              <w:rPr>
                <w:rFonts w:hint="eastAsia" w:ascii="宋体" w:hAnsi="宋体"/>
                <w:kern w:val="0"/>
                <w:sz w:val="20"/>
                <w:szCs w:val="20"/>
              </w:rPr>
            </w:pPr>
            <w:r>
              <w:rPr>
                <w:rFonts w:hint="eastAsia" w:ascii="宋体" w:hAnsi="宋体"/>
                <w:sz w:val="20"/>
                <w:szCs w:val="20"/>
              </w:rPr>
              <w:t>1</w:t>
            </w:r>
          </w:p>
        </w:tc>
        <w:tc>
          <w:tcPr>
            <w:tcW w:w="3260" w:type="dxa"/>
            <w:vAlign w:val="center"/>
          </w:tcPr>
          <w:p w14:paraId="395312CF">
            <w:pPr>
              <w:widowControl/>
              <w:jc w:val="center"/>
              <w:textAlignment w:val="center"/>
              <w:rPr>
                <w:rFonts w:hint="eastAsia" w:ascii="宋体" w:hAnsi="宋体" w:cs="宋体"/>
                <w:kern w:val="0"/>
                <w:sz w:val="20"/>
                <w:szCs w:val="20"/>
              </w:rPr>
            </w:pPr>
            <w:r>
              <w:rPr>
                <w:rFonts w:hint="eastAsia" w:ascii="宋体" w:hAnsi="宋体"/>
                <w:sz w:val="20"/>
                <w:szCs w:val="20"/>
              </w:rPr>
              <w:t>巡视</w:t>
            </w:r>
          </w:p>
        </w:tc>
        <w:tc>
          <w:tcPr>
            <w:tcW w:w="1701" w:type="dxa"/>
            <w:vAlign w:val="center"/>
          </w:tcPr>
          <w:p w14:paraId="395312D0">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r w14:paraId="39531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85" w:type="dxa"/>
            <w:bottom w:w="0" w:type="dxa"/>
            <w:right w:w="85" w:type="dxa"/>
          </w:tblCellMar>
        </w:tblPrEx>
        <w:trPr>
          <w:trHeight w:val="454" w:hRule="atLeast"/>
          <w:jc w:val="center"/>
        </w:trPr>
        <w:tc>
          <w:tcPr>
            <w:tcW w:w="704" w:type="dxa"/>
            <w:vAlign w:val="center"/>
          </w:tcPr>
          <w:p w14:paraId="395312D2">
            <w:pPr>
              <w:topLinePunct/>
              <w:adjustRightInd w:val="0"/>
              <w:snapToGrid w:val="0"/>
              <w:jc w:val="center"/>
              <w:rPr>
                <w:rFonts w:hint="eastAsia" w:ascii="宋体" w:hAnsi="宋体"/>
                <w:kern w:val="0"/>
                <w:sz w:val="20"/>
                <w:szCs w:val="20"/>
              </w:rPr>
            </w:pPr>
            <w:r>
              <w:rPr>
                <w:rFonts w:ascii="宋体" w:hAnsi="宋体"/>
                <w:kern w:val="0"/>
                <w:sz w:val="20"/>
                <w:szCs w:val="20"/>
              </w:rPr>
              <w:t>5</w:t>
            </w:r>
          </w:p>
        </w:tc>
        <w:tc>
          <w:tcPr>
            <w:tcW w:w="2126" w:type="dxa"/>
            <w:vAlign w:val="center"/>
          </w:tcPr>
          <w:p w14:paraId="395312D3">
            <w:pPr>
              <w:widowControl/>
              <w:jc w:val="center"/>
              <w:textAlignment w:val="center"/>
              <w:rPr>
                <w:rFonts w:hint="eastAsia" w:ascii="宋体" w:hAnsi="宋体" w:cs="宋体"/>
                <w:kern w:val="0"/>
                <w:sz w:val="20"/>
                <w:szCs w:val="20"/>
              </w:rPr>
            </w:pPr>
            <w:r>
              <w:rPr>
                <w:rFonts w:hint="eastAsia" w:ascii="宋体" w:hAnsi="宋体"/>
                <w:sz w:val="20"/>
                <w:szCs w:val="20"/>
              </w:rPr>
              <w:t>安全防撞车</w:t>
            </w:r>
          </w:p>
        </w:tc>
        <w:tc>
          <w:tcPr>
            <w:tcW w:w="851" w:type="dxa"/>
            <w:vAlign w:val="center"/>
          </w:tcPr>
          <w:p w14:paraId="395312D4">
            <w:pPr>
              <w:widowControl/>
              <w:jc w:val="center"/>
              <w:textAlignment w:val="center"/>
              <w:rPr>
                <w:rFonts w:hint="eastAsia" w:ascii="宋体" w:hAnsi="宋体"/>
                <w:kern w:val="0"/>
                <w:sz w:val="20"/>
                <w:szCs w:val="20"/>
              </w:rPr>
            </w:pPr>
            <w:r>
              <w:rPr>
                <w:rFonts w:hint="eastAsia" w:ascii="宋体" w:hAnsi="宋体"/>
                <w:sz w:val="20"/>
                <w:szCs w:val="20"/>
              </w:rPr>
              <w:t>1</w:t>
            </w:r>
          </w:p>
        </w:tc>
        <w:tc>
          <w:tcPr>
            <w:tcW w:w="3260" w:type="dxa"/>
            <w:vAlign w:val="center"/>
          </w:tcPr>
          <w:p w14:paraId="395312D5">
            <w:pPr>
              <w:jc w:val="center"/>
              <w:rPr>
                <w:rFonts w:hint="eastAsia" w:ascii="宋体" w:hAnsi="宋体" w:cs="宋体"/>
                <w:kern w:val="0"/>
                <w:sz w:val="20"/>
                <w:szCs w:val="20"/>
              </w:rPr>
            </w:pPr>
            <w:r>
              <w:rPr>
                <w:rFonts w:hint="eastAsia" w:ascii="宋体" w:hAnsi="宋体"/>
                <w:sz w:val="20"/>
                <w:szCs w:val="20"/>
              </w:rPr>
              <w:t>占道养护、施工安全防护</w:t>
            </w:r>
          </w:p>
        </w:tc>
        <w:tc>
          <w:tcPr>
            <w:tcW w:w="1701" w:type="dxa"/>
            <w:vAlign w:val="center"/>
          </w:tcPr>
          <w:p w14:paraId="395312D6">
            <w:pPr>
              <w:widowControl/>
              <w:jc w:val="center"/>
              <w:textAlignment w:val="center"/>
              <w:rPr>
                <w:rFonts w:hint="eastAsia" w:ascii="宋体" w:hAnsi="宋体" w:cs="宋体"/>
                <w:kern w:val="0"/>
                <w:sz w:val="20"/>
                <w:szCs w:val="20"/>
              </w:rPr>
            </w:pPr>
            <w:r>
              <w:rPr>
                <w:rFonts w:hint="eastAsia" w:ascii="宋体" w:hAnsi="宋体"/>
                <w:sz w:val="20"/>
                <w:szCs w:val="20"/>
              </w:rPr>
              <w:t>自有或租赁</w:t>
            </w:r>
          </w:p>
        </w:tc>
      </w:tr>
    </w:tbl>
    <w:p w14:paraId="395312DA">
      <w:pPr>
        <w:topLinePunct/>
        <w:adjustRightInd w:val="0"/>
        <w:snapToGrid w:val="0"/>
        <w:spacing w:before="240" w:line="360" w:lineRule="auto"/>
        <w:ind w:firstLine="420" w:firstLineChars="200"/>
        <w:rPr>
          <w:rFonts w:hint="eastAsia" w:ascii="宋体" w:hAnsi="宋体" w:cs="宋体"/>
          <w:snapToGrid w:val="0"/>
          <w:kern w:val="0"/>
          <w:szCs w:val="21"/>
        </w:rPr>
      </w:pPr>
      <w:r>
        <w:rPr>
          <w:rFonts w:ascii="宋体" w:hAnsi="宋体"/>
          <w:snapToGrid w:val="0"/>
          <w:kern w:val="0"/>
          <w:szCs w:val="21"/>
        </w:rPr>
        <w:t>2</w:t>
      </w:r>
      <w:r>
        <w:rPr>
          <w:rFonts w:hint="eastAsia" w:ascii="宋体" w:hAnsi="宋体"/>
          <w:snapToGrid w:val="0"/>
          <w:kern w:val="0"/>
          <w:szCs w:val="21"/>
        </w:rPr>
        <w:t>、</w:t>
      </w:r>
      <w:r>
        <w:rPr>
          <w:rFonts w:hint="eastAsia" w:ascii="宋体" w:hAnsi="宋体" w:cs="宋体"/>
          <w:snapToGrid w:val="0"/>
          <w:kern w:val="0"/>
          <w:szCs w:val="21"/>
        </w:rPr>
        <w:t>上述设备中车辆的尾气排放标准必须符合国家和上海市的有关标准。</w:t>
      </w:r>
    </w:p>
    <w:p w14:paraId="395312DB">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w:t>
      </w:r>
      <w:bookmarkStart w:id="3" w:name="_Hlk151490152"/>
      <w:r>
        <w:rPr>
          <w:rFonts w:hint="eastAsia" w:ascii="宋体" w:hAnsi="宋体" w:cs="宋体"/>
          <w:snapToGrid w:val="0"/>
          <w:kern w:val="0"/>
          <w:szCs w:val="21"/>
        </w:rPr>
        <w:t>上述机械设备或作业车辆应由中标人自行配置，且应满足上述需求表中的数量和配置要求，自有机械设备、车辆须提供车辆行驶证或购买发票或拟采购合同（签订日期应在投标截止日之前）等证明材料（关键页一定要清晰可辨认）。</w:t>
      </w:r>
    </w:p>
    <w:bookmarkEnd w:id="3"/>
    <w:p w14:paraId="395312DC">
      <w:pPr>
        <w:topLinePunct/>
        <w:adjustRightInd w:val="0"/>
        <w:snapToGrid w:val="0"/>
        <w:spacing w:line="360" w:lineRule="auto"/>
        <w:ind w:firstLine="420" w:firstLineChars="200"/>
        <w:rPr>
          <w:rFonts w:hint="eastAsia" w:ascii="宋体" w:hAnsi="宋体" w:cs="宋体"/>
          <w:snapToGrid w:val="0"/>
          <w:kern w:val="0"/>
          <w:szCs w:val="21"/>
        </w:rPr>
      </w:pPr>
      <w:bookmarkStart w:id="4" w:name="_Hlk151490159"/>
      <w:r>
        <w:rPr>
          <w:rFonts w:hint="eastAsia" w:ascii="宋体" w:hAnsi="宋体" w:cs="宋体"/>
          <w:snapToGrid w:val="0"/>
          <w:kern w:val="0"/>
          <w:szCs w:val="21"/>
        </w:rPr>
        <w:t>4、投标人在投</w:t>
      </w:r>
      <w:bookmarkStart w:id="12" w:name="_GoBack"/>
      <w:bookmarkEnd w:id="12"/>
      <w:r>
        <w:rPr>
          <w:rFonts w:hint="eastAsia" w:ascii="宋体" w:hAnsi="宋体" w:cs="宋体"/>
          <w:snapToGrid w:val="0"/>
          <w:kern w:val="0"/>
          <w:szCs w:val="21"/>
        </w:rPr>
        <w:t>标阶段若无全部机械设备、作业车辆的，须</w:t>
      </w:r>
      <w:r>
        <w:rPr>
          <w:rFonts w:hint="eastAsia" w:ascii="宋体" w:hAnsi="宋体" w:cs="宋体"/>
          <w:b/>
          <w:bCs/>
          <w:i/>
          <w:iCs/>
          <w:snapToGrid w:val="0"/>
          <w:kern w:val="0"/>
          <w:szCs w:val="21"/>
        </w:rPr>
        <w:t>承诺</w:t>
      </w:r>
      <w:r>
        <w:rPr>
          <w:rFonts w:hint="eastAsia" w:ascii="宋体" w:hAnsi="宋体" w:cs="宋体"/>
          <w:snapToGrid w:val="0"/>
          <w:kern w:val="0"/>
          <w:szCs w:val="21"/>
        </w:rPr>
        <w:t>中标后</w:t>
      </w:r>
      <w:r>
        <w:rPr>
          <w:rFonts w:hint="eastAsia" w:ascii="宋体" w:hAnsi="宋体" w:cs="宋体"/>
          <w:snapToGrid w:val="0"/>
          <w:kern w:val="0"/>
          <w:szCs w:val="21"/>
          <w:lang w:val="en-US" w:eastAsia="zh-CN"/>
        </w:rPr>
        <w:t>15天</w:t>
      </w:r>
      <w:r>
        <w:rPr>
          <w:rFonts w:hint="eastAsia" w:ascii="宋体" w:hAnsi="宋体" w:cs="宋体"/>
          <w:snapToGrid w:val="0"/>
          <w:kern w:val="0"/>
          <w:szCs w:val="21"/>
        </w:rPr>
        <w:t>内解决满足本项目需求所有机械设备、作业车辆。</w:t>
      </w:r>
    </w:p>
    <w:bookmarkEnd w:id="4"/>
    <w:p w14:paraId="395312DD">
      <w:pPr>
        <w:topLinePunct/>
        <w:adjustRightInd w:val="0"/>
        <w:snapToGrid w:val="0"/>
        <w:spacing w:line="360" w:lineRule="auto"/>
        <w:ind w:firstLine="420" w:firstLineChars="200"/>
        <w:rPr>
          <w:rFonts w:hint="eastAsia" w:ascii="宋体" w:hAnsi="宋体" w:cs="宋体"/>
          <w:snapToGrid w:val="0"/>
          <w:kern w:val="0"/>
          <w:szCs w:val="21"/>
        </w:rPr>
      </w:pPr>
      <w:bookmarkStart w:id="5" w:name="_Hlk151490172"/>
      <w:r>
        <w:rPr>
          <w:rFonts w:hint="eastAsia" w:ascii="宋体" w:hAnsi="宋体" w:cs="宋体"/>
          <w:snapToGrid w:val="0"/>
          <w:kern w:val="0"/>
          <w:szCs w:val="21"/>
        </w:rPr>
        <w:t>5、投标人应</w:t>
      </w:r>
      <w:r>
        <w:rPr>
          <w:rFonts w:hint="eastAsia" w:ascii="宋体" w:hAnsi="宋体" w:cs="宋体"/>
          <w:b/>
          <w:bCs/>
          <w:i/>
          <w:iCs/>
          <w:snapToGrid w:val="0"/>
          <w:kern w:val="0"/>
          <w:szCs w:val="21"/>
        </w:rPr>
        <w:t>承诺</w:t>
      </w:r>
      <w:r>
        <w:rPr>
          <w:rFonts w:hint="eastAsia" w:ascii="宋体" w:hAnsi="宋体" w:cs="宋体"/>
          <w:snapToGrid w:val="0"/>
          <w:kern w:val="0"/>
          <w:szCs w:val="21"/>
        </w:rPr>
        <w:t>一旦中标，将根据实际情况进一步提升日常养护工作的智能化水平，配置一定数量的智能巡查检测设备、日常巡查车辆须安装智能前端感知设备，所有一线养护作业车辆须安装卫星定位系统，并接入采购人的养护在线监管平台。</w:t>
      </w:r>
    </w:p>
    <w:p w14:paraId="395312DE">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6、上述机械设备或作业车辆必须为本设施专用。中标人还应配备一定数量的针对突发事件或自然灾害的应急处置设备，若因突发事件或</w:t>
      </w:r>
      <w:bookmarkStart w:id="6" w:name="_Hlk90300767"/>
      <w:r>
        <w:rPr>
          <w:rFonts w:hint="eastAsia" w:ascii="宋体" w:hAnsi="宋体" w:cs="宋体"/>
          <w:snapToGrid w:val="0"/>
          <w:kern w:val="0"/>
          <w:szCs w:val="21"/>
        </w:rPr>
        <w:t>采购人要求需临时增加养护作业车辆设备</w:t>
      </w:r>
      <w:bookmarkEnd w:id="6"/>
      <w:r>
        <w:rPr>
          <w:rFonts w:hint="eastAsia" w:ascii="宋体" w:hAnsi="宋体" w:cs="宋体"/>
          <w:snapToGrid w:val="0"/>
          <w:kern w:val="0"/>
          <w:szCs w:val="21"/>
        </w:rPr>
        <w:t>的，中标人应予以无条件落实。</w:t>
      </w:r>
    </w:p>
    <w:bookmarkEnd w:id="2"/>
    <w:bookmarkEnd w:id="5"/>
    <w:p w14:paraId="395312DF">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（三）养护基地配置基本要求</w:t>
      </w:r>
    </w:p>
    <w:p w14:paraId="395312E0">
      <w:pPr>
        <w:topLinePunct/>
        <w:adjustRightInd w:val="0"/>
        <w:snapToGrid w:val="0"/>
        <w:spacing w:line="360" w:lineRule="auto"/>
        <w:ind w:firstLine="420" w:firstLineChars="200"/>
        <w:rPr>
          <w:rFonts w:hint="eastAsia" w:ascii="宋体" w:hAnsi="宋体" w:cs="宋体"/>
          <w:snapToGrid w:val="0"/>
          <w:kern w:val="0"/>
          <w:szCs w:val="21"/>
        </w:rPr>
      </w:pPr>
      <w:bookmarkStart w:id="7" w:name="_Hlk90817098"/>
      <w:bookmarkStart w:id="8" w:name="_Hlk90538879"/>
      <w:r>
        <w:rPr>
          <w:rFonts w:ascii="宋体" w:hAnsi="宋体" w:cs="宋体"/>
          <w:snapToGrid w:val="0"/>
          <w:kern w:val="0"/>
          <w:szCs w:val="21"/>
        </w:rPr>
        <w:t>1</w:t>
      </w:r>
      <w:r>
        <w:rPr>
          <w:rFonts w:hint="eastAsia" w:ascii="宋体" w:hAnsi="宋体" w:cs="宋体"/>
          <w:snapToGrid w:val="0"/>
          <w:kern w:val="0"/>
          <w:szCs w:val="21"/>
        </w:rPr>
        <w:t>、中标人应根据本项目需求自行解决养护基地，并</w:t>
      </w:r>
      <w:r>
        <w:rPr>
          <w:rFonts w:hint="eastAsia" w:ascii="宋体" w:hAnsi="宋体" w:cs="宋体"/>
          <w:b/>
          <w:bCs/>
          <w:i/>
          <w:iCs/>
          <w:snapToGrid w:val="0"/>
          <w:kern w:val="0"/>
          <w:szCs w:val="21"/>
        </w:rPr>
        <w:t>承诺</w:t>
      </w:r>
      <w:r>
        <w:rPr>
          <w:rFonts w:hint="eastAsia" w:ascii="宋体" w:hAnsi="宋体" w:cs="宋体"/>
          <w:snapToGrid w:val="0"/>
          <w:kern w:val="0"/>
          <w:szCs w:val="21"/>
        </w:rPr>
        <w:t>将提供不小于500平方米的场地作为道班房及苗圃（养护基地），且道班房在项目实施地5公里范围内。</w:t>
      </w:r>
    </w:p>
    <w:p w14:paraId="395312FD">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管理用房、道班房、苗圃等养护基地应保持环境整洁和设施设备的使用安全。做到各项规章制度上墙，张贴各类警示标识、标志；配置好消防排水器材，做到安全用气、用电、用水；消防通道应全天候保持畅通，严禁发生堆物、私拉乱接线缆等行为。室外环境应保持良好整洁，做到场地平整，无污水、垃圾等。车辆及机械设备应整齐有序停放在固定区域，各种养护维修材料应堆放在专用仓库或场地，满足存放要求。</w:t>
      </w:r>
    </w:p>
    <w:p w14:paraId="395312FE">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3、若因养护工作需要或采购人认为有必要需另行增加管理用房、道班房、苗圃等养护基地的，中标人必须予以增加，并作出明确</w:t>
      </w:r>
      <w:r>
        <w:rPr>
          <w:rFonts w:hint="eastAsia" w:ascii="宋体" w:hAnsi="宋体" w:cs="宋体"/>
          <w:b/>
          <w:bCs/>
          <w:i/>
          <w:iCs/>
          <w:snapToGrid w:val="0"/>
          <w:kern w:val="0"/>
          <w:szCs w:val="21"/>
        </w:rPr>
        <w:t>承诺</w:t>
      </w:r>
      <w:r>
        <w:rPr>
          <w:rFonts w:hint="eastAsia" w:ascii="宋体" w:hAnsi="宋体" w:cs="宋体"/>
          <w:snapToGrid w:val="0"/>
          <w:kern w:val="0"/>
          <w:szCs w:val="21"/>
        </w:rPr>
        <w:t>。中标人应规范合理使用管理用房、道班房等养护基地，并进行经常性养护维修，确保房屋建筑结构安全和外观整洁、干净、完好。</w:t>
      </w:r>
    </w:p>
    <w:bookmarkEnd w:id="7"/>
    <w:p w14:paraId="395312FF">
      <w:pPr>
        <w:topLinePunct/>
        <w:adjustRightInd w:val="0"/>
        <w:snapToGrid w:val="0"/>
        <w:spacing w:line="360" w:lineRule="auto"/>
        <w:ind w:firstLine="420" w:firstLineChars="200"/>
        <w:rPr>
          <w:rFonts w:hint="eastAsia" w:ascii="宋体" w:hAnsi="宋体" w:cs="宋体"/>
          <w:snapToGrid w:val="0"/>
          <w:kern w:val="0"/>
          <w:szCs w:val="21"/>
        </w:rPr>
      </w:pPr>
    </w:p>
    <w:p w14:paraId="39531300">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四、养护工作基本要求</w:t>
      </w:r>
    </w:p>
    <w:p w14:paraId="39531301">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（一）总体要求</w:t>
      </w:r>
    </w:p>
    <w:p w14:paraId="39531302">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1、中标人应根据相关技术规范、标准和招标文件要求对设施及其附属设施进行经常性、及时性、周期性和预防性的维护保养。</w:t>
      </w:r>
    </w:p>
    <w:p w14:paraId="06E9EB14">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2、中标人应按统一的管养标准和作业标准开展养护工作。同一箱内的花卉应确保品种、规格、密度、颜色一致，盛开效果一致。</w:t>
      </w:r>
    </w:p>
    <w:p w14:paraId="39531303">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3、中标人应严格规范养护维修管理作业行为，制定养护工作大纲、操作手册，及时编制和严格落实年度养护工作计划。</w:t>
      </w:r>
    </w:p>
    <w:p w14:paraId="39531304">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对于新接管设施，中标人应及时进行现场设施量排摸、清点，并制定详细的设施设备量清单表；同时，配合采购人开展有关移交接管手续办理。对于临时移交出去的设施，中标人应配合采购人做好移交工作，并开展经常性养护巡查，确保设施完好无损。</w:t>
      </w:r>
    </w:p>
    <w:p w14:paraId="39531305">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5</w:t>
      </w:r>
      <w:r>
        <w:rPr>
          <w:rFonts w:hint="eastAsia" w:ascii="宋体" w:hAnsi="宋体" w:cs="宋体"/>
          <w:snapToGrid w:val="0"/>
          <w:kern w:val="0"/>
          <w:szCs w:val="21"/>
        </w:rPr>
        <w:t>、中标人应严格按招标文件的要求，配置养护管理、技术、一线作业人员和车辆机械设备，并加强人员培训和做好养护车辆机械设备的保养维修工作；同时，中标人应储备好应急队伍和车辆设备。</w:t>
      </w:r>
    </w:p>
    <w:p w14:paraId="39531306">
      <w:pPr>
        <w:topLinePunct/>
        <w:adjustRightInd w:val="0"/>
        <w:snapToGrid w:val="0"/>
        <w:spacing w:line="360" w:lineRule="auto"/>
        <w:ind w:firstLine="420" w:firstLineChars="200"/>
        <w:rPr>
          <w:rFonts w:hint="eastAsia" w:ascii="宋体" w:hAnsi="宋体" w:cs="宋体"/>
          <w:snapToGrid w:val="0"/>
          <w:kern w:val="0"/>
          <w:szCs w:val="21"/>
        </w:rPr>
      </w:pPr>
      <w:r>
        <w:rPr>
          <w:rFonts w:ascii="宋体" w:hAnsi="宋体" w:cs="宋体"/>
          <w:snapToGrid w:val="0"/>
          <w:kern w:val="0"/>
          <w:szCs w:val="21"/>
        </w:rPr>
        <w:t>6</w:t>
      </w:r>
      <w:r>
        <w:rPr>
          <w:rFonts w:hint="eastAsia" w:ascii="宋体" w:hAnsi="宋体" w:cs="宋体"/>
          <w:snapToGrid w:val="0"/>
          <w:kern w:val="0"/>
          <w:szCs w:val="21"/>
        </w:rPr>
        <w:t>、中标人应严格按有关规定做好养护台账、设施信息更新、年度运行状况分析、养护工作资料的收集、整理、汇编、上报等工作，并提升智慧化管理工作水平。</w:t>
      </w:r>
    </w:p>
    <w:p w14:paraId="39531307">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（二）日常养护工作基本要求</w:t>
      </w:r>
    </w:p>
    <w:p w14:paraId="39531308">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1、养护内容</w:t>
      </w:r>
    </w:p>
    <w:p w14:paraId="618958E9">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（1）绿化养护：日常巡视、除草、松土施肥、修剪、浇水、病虫害防治、苗木更新补种、苗圃备苗替换等。</w:t>
      </w:r>
    </w:p>
    <w:p w14:paraId="3953131A">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（2）附属设施：花盆、托架、花槽日常维护，损坏花盆、托架更换等。</w:t>
      </w:r>
    </w:p>
    <w:p w14:paraId="3953131B">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2、中标人应严格按照</w:t>
      </w:r>
      <w:r>
        <w:rPr>
          <w:rFonts w:hint="eastAsia" w:ascii="宋体" w:hAnsi="宋体" w:cs="宋体"/>
          <w:color w:val="000000" w:themeColor="text1"/>
          <w:szCs w:val="21"/>
          <w14:textFill>
            <w14:solidFill>
              <w14:schemeClr w14:val="tx1"/>
            </w14:solidFill>
          </w14:textFill>
        </w:rPr>
        <w:t>有关规范和</w:t>
      </w:r>
      <w:r>
        <w:rPr>
          <w:rFonts w:hint="eastAsia" w:ascii="宋体" w:hAnsi="宋体"/>
          <w:color w:val="000000" w:themeColor="text1"/>
          <w:szCs w:val="21"/>
          <w14:textFill>
            <w14:solidFill>
              <w14:schemeClr w14:val="tx1"/>
            </w14:solidFill>
          </w14:textFill>
        </w:rPr>
        <w:t>标准进行绿化养护作业。</w:t>
      </w:r>
      <w:r>
        <w:rPr>
          <w:rFonts w:hint="eastAsia" w:ascii="宋体" w:hAnsi="宋体" w:cs="宋体"/>
          <w:color w:val="000000" w:themeColor="text1"/>
          <w:szCs w:val="21"/>
          <w14:textFill>
            <w14:solidFill>
              <w14:schemeClr w14:val="tx1"/>
            </w14:solidFill>
          </w14:textFill>
        </w:rPr>
        <w:t>凡涉及本项目的国家、行业和上海市的现行相关规范、规程和标准等，无论其是否在本招标文件中已列明或未列明，中标人均应无条件执行。</w:t>
      </w:r>
    </w:p>
    <w:p w14:paraId="3953131C">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3、绿化范围内垃圾和杂物、地面道路绿化侧石内垃圾和杂物由中标人进行保洁。</w:t>
      </w:r>
    </w:p>
    <w:p w14:paraId="3953131D">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4、除了发生不可抗力的事件外，在任何情况下应保持地面道路畅通，养护浇水应以机械化为主。</w:t>
      </w:r>
    </w:p>
    <w:p w14:paraId="3953131E">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5、通过巡视等方法及时掌握信息，做出预测，制定应急抢险预案，采取必要的预防性措施。每日对管养设施开展全覆盖巡查至少一次。</w:t>
      </w:r>
    </w:p>
    <w:p w14:paraId="3953131F">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6、中标人应及时搜集、掌握有关雨、雪、雾、风、冰冻等气象信息。</w:t>
      </w:r>
    </w:p>
    <w:p w14:paraId="39531320">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7、遇突发事件或自然灾害，中标人必须服从采购人的指挥和安排，协助调查解决有关的来信来访，并按照采购人的要求及时认真处理。</w:t>
      </w:r>
    </w:p>
    <w:p w14:paraId="39531321">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8、中标人应根据采购人提供的资料，通过调查建立养护工作台册，格式应按采购人规定执行，并必须在规定时间内上报各类由采购人规定的报表（如：每月</w:t>
      </w:r>
      <w:r>
        <w:rPr>
          <w:rFonts w:ascii="宋体" w:hAnsi="宋体"/>
          <w:color w:val="000000" w:themeColor="text1"/>
          <w:szCs w:val="21"/>
          <w14:textFill>
            <w14:solidFill>
              <w14:schemeClr w14:val="tx1"/>
            </w14:solidFill>
          </w14:textFill>
        </w:rPr>
        <w:t>25</w:t>
      </w:r>
      <w:r>
        <w:rPr>
          <w:rFonts w:hint="eastAsia" w:ascii="宋体" w:hAnsi="宋体"/>
          <w:color w:val="000000" w:themeColor="text1"/>
          <w:szCs w:val="21"/>
          <w14:textFill>
            <w14:solidFill>
              <w14:schemeClr w14:val="tx1"/>
            </w14:solidFill>
          </w14:textFill>
        </w:rPr>
        <w:t>日前将下月的养护、维护计划报采购人管理部门；每月15日前上报上月度决算；每月15日前将上月的计划执行情况报管理部门等）；</w:t>
      </w:r>
    </w:p>
    <w:p w14:paraId="39531322">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9、中标人对地面道路上的绿化因各种原因需搬迁，应事先征得管理部门的同意，未经批准不得随意搬迁。</w:t>
      </w:r>
    </w:p>
    <w:p w14:paraId="39531323">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10、日常巡视检查发现尼龙网和浸塑网片有险情应及时修理，并上报采购人。</w:t>
      </w:r>
    </w:p>
    <w:p w14:paraId="39531324">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11、绿化修剪符合技术要求，无缺株；控制病虫危害，树木青株绿叶，长势茂盛。</w:t>
      </w:r>
    </w:p>
    <w:p w14:paraId="39531325">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12、所有金属铁件均做到无锈蚀、无锈水流挂。</w:t>
      </w:r>
    </w:p>
    <w:p w14:paraId="39531326">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13、双方对项目质量有争议，由双方同意的质量检测机构鉴定，所需费用及因此造成的损失，由责任方承担。双方均有责任，由双方根据其责任分别承担。</w:t>
      </w:r>
    </w:p>
    <w:p w14:paraId="19754C6D">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（三）三角梅上下高架更换与养护工作要求</w:t>
      </w:r>
    </w:p>
    <w:p w14:paraId="76E1EEA1">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1、中标人应将三角梅苗圃养护（1-6月、12月）和三角梅高架养护（7-11月）工作计划，特别是三角梅高架养护封道计划和上下高架搬运计划等，提前报送采购人、监理人进行审核，并负责办理后续相关审批手续。</w:t>
      </w:r>
    </w:p>
    <w:p w14:paraId="22D361F7">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2、三角梅上下高架搬运时，中标人应配置相应的搬运人员和车辆。</w:t>
      </w:r>
    </w:p>
    <w:p w14:paraId="0EE732EA">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3、苗圃配置面积应能够满足标段范围内高架上换下花卉的摆放。每年高架上花卉换下实施前，应做好苗圃场地平整工作，对苗圃排水设施进行检查维修、确保有效。</w:t>
      </w:r>
    </w:p>
    <w:p w14:paraId="5698E677">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4、高架上花卉换下实施期间，苗圃应设置专门管理人员负责对接，做好相关接受工作，具体如：运输车辆的进出、换下花卉品种和数量的核对、花盆的卸车放置等工作。</w:t>
      </w:r>
    </w:p>
    <w:p w14:paraId="42CE4A8F">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5、换下花卉在苗圃内应严格按绿化养护标准做好日常养护工作，如浇水、修剪、施肥、病虫害防治等各项工作。</w:t>
      </w:r>
    </w:p>
    <w:p w14:paraId="7F0F15EE">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6、当标段范围内高架上摆放花卉为三角梅期间，仍应按要求做好日常巡视养护工作及相关应急抢险工作，重点为：附属设施完好检查、花盆内漂浮物等垃圾发现及时捡除、突发事件抢险等。</w:t>
      </w:r>
    </w:p>
    <w:p w14:paraId="00C93E55">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7、在花卉再次换上高架期间，根据换花计划应有专门人员负责对接工作，做好运输车辆的进出、苗圃花卉装车以及上高架花卉摆放位置、数量、品种正确等管理工作。</w:t>
      </w:r>
    </w:p>
    <w:p w14:paraId="39531327">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（四）信息化管理要求</w:t>
      </w:r>
    </w:p>
    <w:p w14:paraId="39531328">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中标人必须应用CIMS城市基础设施管理系统（以下简称“养护在线监管平台”）等相关业务管理系统做好日常养护管理工作，加强信息化手段在设施管理中的应用，提升日常养护数字化、信息化管理水平，规范数据操作流程、管理行为等。</w:t>
      </w:r>
    </w:p>
    <w:p w14:paraId="39531329">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1、设施资产数字化管理</w:t>
      </w:r>
    </w:p>
    <w:p w14:paraId="3953132A">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（1）应对绿化资产进行全面梳理统计，积极配合主体设施数字化模型建立等相关工作。</w:t>
      </w:r>
    </w:p>
    <w:p w14:paraId="3953132B">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（2）应及时做好养护在线监管系统中资产基础数据的维护及更新工作。</w:t>
      </w:r>
    </w:p>
    <w:p w14:paraId="3953132C">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2、日常养护信息化管理</w:t>
      </w:r>
    </w:p>
    <w:p w14:paraId="3953132D">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（1）应配备人员及手持式设备，每日将巡查发现的问题上报至养护在线监管平台的小程序，及时将病害处置流程进行闭环。</w:t>
      </w:r>
    </w:p>
    <w:p w14:paraId="3953132E">
      <w:pPr>
        <w:topLinePunct/>
        <w:adjustRightInd w:val="0"/>
        <w:snapToGrid w:val="0"/>
        <w:spacing w:line="360" w:lineRule="auto"/>
        <w:ind w:firstLine="420" w:firstLineChars="200"/>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应在所配置的巡视车上安装卫星定位系统，卫星定位轨迹数据应实时传入养护在线监管平台；应在桥梁、地面道路、桥柱上按规定位置安装NFC电子标签，按日常巡查要求按时打卡，严禁弄虚作假、伪造巡查事实等行为。</w:t>
      </w:r>
    </w:p>
    <w:p w14:paraId="3953132F">
      <w:pPr>
        <w:topLinePunct/>
        <w:adjustRightInd w:val="0"/>
        <w:snapToGrid w:val="0"/>
        <w:spacing w:line="360" w:lineRule="auto"/>
        <w:ind w:firstLine="420" w:firstLineChars="200"/>
        <w:rPr>
          <w:rFonts w:hint="eastAsia"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（3）应按时按要求将项目管理基本资料、养护过程管理资料、安全管理资料等各类设施养护内业资料上传至业务管理平台，确保信息真实、完整、准确。</w:t>
      </w:r>
    </w:p>
    <w:p w14:paraId="39531330">
      <w:pPr>
        <w:tabs>
          <w:tab w:val="left" w:pos="7200"/>
        </w:tabs>
        <w:topLinePunct/>
        <w:adjustRightInd w:val="0"/>
        <w:snapToGrid w:val="0"/>
        <w:spacing w:line="360" w:lineRule="auto"/>
        <w:ind w:firstLine="422" w:firstLineChars="200"/>
        <w:outlineLvl w:val="1"/>
        <w:rPr>
          <w:rFonts w:hint="eastAsia" w:ascii="宋体" w:hAnsi="宋体" w:cs="宋体"/>
          <w:b/>
          <w:snapToGrid w:val="0"/>
          <w:kern w:val="0"/>
          <w:szCs w:val="21"/>
        </w:rPr>
      </w:pPr>
      <w:r>
        <w:rPr>
          <w:rFonts w:hint="eastAsia" w:ascii="宋体" w:hAnsi="宋体" w:cs="宋体"/>
          <w:b/>
          <w:snapToGrid w:val="0"/>
          <w:kern w:val="0"/>
          <w:szCs w:val="21"/>
        </w:rPr>
        <w:t>（五）数据资料编制和管理要求</w:t>
      </w:r>
    </w:p>
    <w:p w14:paraId="39531331">
      <w:pPr>
        <w:topLinePunct/>
        <w:adjustRightInd w:val="0"/>
        <w:snapToGrid w:val="0"/>
        <w:spacing w:line="360" w:lineRule="auto"/>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中标人应努力提高技术管理水平，配合采购人做好设施设备基础资料数据的采集和各类设施管理系统的推广应用工作。中标后，应在1个月内向采购人提交养护维修及运行管理工作大纲和手册，并报备各类人员、机械设备等资料；年度养护工作完成后，应在1个月内向采购人提交养护维修及运行管理总结报告和设施年度运行状况报告。上述资料格式、内容由采购人统一制定。</w:t>
      </w:r>
    </w:p>
    <w:p w14:paraId="39531332">
      <w:pPr>
        <w:topLinePunct/>
        <w:adjustRightInd w:val="0"/>
        <w:snapToGrid w:val="0"/>
        <w:spacing w:line="360" w:lineRule="auto"/>
        <w:ind w:firstLine="420" w:firstLineChars="200"/>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2、中标人应根据采购人提供的资料，通过调查建立设施设备量清单及养护工作台账，有条件时</w:t>
      </w:r>
      <w:r>
        <w:rPr>
          <w:rFonts w:hint="eastAsia" w:ascii="宋体" w:hAnsi="宋体" w:cs="宋体"/>
          <w:color w:val="000000" w:themeColor="text1"/>
          <w:kern w:val="0"/>
          <w:szCs w:val="21"/>
          <w14:textFill>
            <w14:solidFill>
              <w14:schemeClr w14:val="tx1"/>
            </w14:solidFill>
          </w14:textFill>
        </w:rPr>
        <w:t>应建立设施养护维修数据信息管理系统，并与采购人的管理系统做好对接，实时上报养护维修情况和数据；中标人应及时上报设施状况及设施量变化情况，并协助做好采购人自有的数据信息管理系统的完善工作。</w:t>
      </w:r>
    </w:p>
    <w:p w14:paraId="39531333">
      <w:pPr>
        <w:topLinePunct/>
        <w:adjustRightInd w:val="0"/>
        <w:snapToGrid w:val="0"/>
        <w:spacing w:line="360" w:lineRule="auto"/>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3、中标人应配备专职的内业资料员，收集、整理、编制以及上报各类养护维修资料，资料要求真实反映中标人的全部养护维修作业实施及管理状况，内容完整准确，按时上报。</w:t>
      </w:r>
    </w:p>
    <w:p w14:paraId="39531334">
      <w:pPr>
        <w:topLinePunct/>
        <w:adjustRightInd w:val="0"/>
        <w:snapToGrid w:val="0"/>
        <w:spacing w:line="360" w:lineRule="auto"/>
        <w:ind w:firstLine="420" w:firstLineChars="2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4、中标人应严格落实采购人在招标文件中提出的有关设施资产数字化、地形测绘等数据信息管理工作要求。</w:t>
      </w:r>
    </w:p>
    <w:p w14:paraId="39531335">
      <w:pPr>
        <w:topLinePunct/>
        <w:adjustRightInd w:val="0"/>
        <w:snapToGrid w:val="0"/>
        <w:spacing w:line="360" w:lineRule="auto"/>
        <w:ind w:firstLine="420" w:firstLineChars="200"/>
        <w:rPr>
          <w:rFonts w:hint="eastAsia" w:ascii="宋体" w:hAnsi="宋体" w:cs="宋体"/>
          <w:color w:val="000000" w:themeColor="text1"/>
          <w:szCs w:val="21"/>
          <w14:textFill>
            <w14:solidFill>
              <w14:schemeClr w14:val="tx1"/>
            </w14:solidFill>
          </w14:textFill>
        </w:rPr>
      </w:pPr>
    </w:p>
    <w:p w14:paraId="39531336">
      <w:pPr>
        <w:topLinePunct/>
        <w:adjustRightInd w:val="0"/>
        <w:snapToGrid w:val="0"/>
        <w:spacing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五、考核与奖惩要求</w:t>
      </w:r>
    </w:p>
    <w:p w14:paraId="4344262B">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1、采购人按照《上海市道路运输事业发展中心市管城市道路日常养护运维工作考核管理办法（试行）》（见附件一）对中标人进行考核，市管城市道路日常养护考核包括月（季）度考核和年度考核两部分组成，主要考核设施规范化管理成效和养护目标计划完成情况。</w:t>
      </w:r>
    </w:p>
    <w:p w14:paraId="28791FC1">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2、采购人有权对月度考核不通过的中标人进行一定范围内的通报，年度有连续两个月月度考核不合格、或累计三个月月度考核不合格、或季度考核不合格，记为年度考核不合格。</w:t>
      </w:r>
    </w:p>
    <w:p w14:paraId="49C40AAD">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3、月度考核中对设施设备养护未完成、养护质量不符合要求、设施和运行管理不到位、资料提交不及时或不完整、媒体舆情曝光批评等情况在日常养护经费中进行单项扣款。</w:t>
      </w:r>
    </w:p>
    <w:p w14:paraId="00DA6758">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4、考核办法仅供参考，以采购人最终发布的通知或文件为准。</w:t>
      </w:r>
    </w:p>
    <w:p w14:paraId="3953133B">
      <w:pPr>
        <w:topLinePunct/>
        <w:adjustRightInd w:val="0"/>
        <w:snapToGrid w:val="0"/>
        <w:spacing w:line="360" w:lineRule="auto"/>
        <w:ind w:firstLine="420" w:firstLineChars="200"/>
        <w:rPr>
          <w:rFonts w:hint="eastAsia" w:ascii="宋体" w:hAnsi="宋体" w:cs="宋体"/>
          <w:snapToGrid w:val="0"/>
          <w:kern w:val="0"/>
          <w:szCs w:val="21"/>
        </w:rPr>
      </w:pPr>
      <w:r>
        <w:rPr>
          <w:rFonts w:hint="eastAsia" w:ascii="宋体" w:hAnsi="宋体" w:cs="宋体"/>
          <w:snapToGrid w:val="0"/>
          <w:kern w:val="0"/>
          <w:szCs w:val="21"/>
        </w:rPr>
        <w:t>5、考核办法的解释权归采购人，采购人有权根据实际情况进行调整。</w:t>
      </w:r>
    </w:p>
    <w:p w14:paraId="3953133C">
      <w:pPr>
        <w:topLinePunct/>
        <w:adjustRightInd w:val="0"/>
        <w:snapToGrid w:val="0"/>
        <w:spacing w:line="360" w:lineRule="auto"/>
        <w:rPr>
          <w:rFonts w:hint="eastAsia" w:ascii="宋体" w:hAnsi="宋体"/>
          <w:snapToGrid w:val="0"/>
          <w:kern w:val="0"/>
          <w:szCs w:val="21"/>
        </w:rPr>
      </w:pPr>
      <w:r>
        <w:rPr>
          <w:rFonts w:ascii="宋体" w:hAnsi="宋体"/>
          <w:snapToGrid w:val="0"/>
          <w:kern w:val="0"/>
          <w:szCs w:val="21"/>
        </w:rPr>
        <w:br w:type="page"/>
      </w:r>
    </w:p>
    <w:p w14:paraId="3953133D">
      <w:pPr>
        <w:topLinePunct/>
        <w:adjustRightInd w:val="0"/>
        <w:snapToGrid w:val="0"/>
        <w:spacing w:before="120" w:beforeLines="50" w:line="360" w:lineRule="auto"/>
        <w:outlineLvl w:val="0"/>
        <w:rPr>
          <w:rFonts w:hint="eastAsia" w:ascii="宋体" w:hAnsi="宋体" w:cs="宋体"/>
          <w:b/>
          <w:snapToGrid w:val="0"/>
          <w:kern w:val="0"/>
          <w:szCs w:val="21"/>
        </w:rPr>
      </w:pPr>
      <w:r>
        <w:rPr>
          <w:rFonts w:hint="eastAsia" w:ascii="宋体" w:hAnsi="宋体" w:cs="宋体"/>
          <w:b/>
          <w:snapToGrid w:val="0"/>
          <w:kern w:val="0"/>
          <w:szCs w:val="21"/>
        </w:rPr>
        <w:t>附件一：考核办法</w:t>
      </w:r>
    </w:p>
    <w:bookmarkEnd w:id="8"/>
    <w:p w14:paraId="2371D460">
      <w:pPr>
        <w:topLinePunct/>
        <w:adjustRightInd w:val="0"/>
        <w:snapToGrid w:val="0"/>
        <w:spacing w:before="120" w:beforeLines="50" w:line="360" w:lineRule="auto"/>
        <w:rPr>
          <w:rFonts w:hint="eastAsia" w:ascii="宋体" w:hAnsi="宋体" w:cs="宋体"/>
          <w:b/>
          <w:snapToGrid w:val="0"/>
          <w:kern w:val="0"/>
          <w:szCs w:val="21"/>
        </w:rPr>
      </w:pPr>
    </w:p>
    <w:p w14:paraId="0332D1CB">
      <w:pPr>
        <w:spacing w:line="600" w:lineRule="exact"/>
        <w:jc w:val="center"/>
        <w:rPr>
          <w:rFonts w:ascii="Times New Roman" w:hAnsi="Times New Roman" w:eastAsia="华文中宋"/>
          <w:b/>
          <w:sz w:val="36"/>
          <w:szCs w:val="36"/>
        </w:rPr>
      </w:pPr>
      <w:r>
        <w:rPr>
          <w:rFonts w:hint="eastAsia" w:ascii="Times New Roman" w:hAnsi="Times New Roman" w:eastAsia="华文中宋"/>
          <w:b/>
          <w:sz w:val="36"/>
          <w:szCs w:val="36"/>
        </w:rPr>
        <w:t>上海市道路运输事业发展中心</w:t>
      </w:r>
      <w:bookmarkStart w:id="9" w:name="_Hlk89870992"/>
      <w:r>
        <w:rPr>
          <w:rFonts w:hint="eastAsia" w:ascii="Times New Roman" w:hAnsi="Times New Roman" w:eastAsia="华文中宋"/>
          <w:b/>
          <w:sz w:val="36"/>
          <w:szCs w:val="36"/>
        </w:rPr>
        <w:t>市管城市道路</w:t>
      </w:r>
      <w:bookmarkEnd w:id="9"/>
    </w:p>
    <w:p w14:paraId="4FA6F897">
      <w:pPr>
        <w:spacing w:line="600" w:lineRule="exact"/>
        <w:jc w:val="center"/>
        <w:rPr>
          <w:rFonts w:ascii="Times New Roman" w:hAnsi="Times New Roman" w:eastAsia="华文中宋"/>
          <w:b/>
          <w:sz w:val="36"/>
          <w:szCs w:val="36"/>
        </w:rPr>
      </w:pPr>
      <w:r>
        <w:rPr>
          <w:rFonts w:hint="eastAsia" w:ascii="Times New Roman" w:hAnsi="Times New Roman" w:eastAsia="华文中宋"/>
          <w:b/>
          <w:sz w:val="36"/>
          <w:szCs w:val="36"/>
        </w:rPr>
        <w:t>日常养护运维工作考核管理办法（试行）</w:t>
      </w:r>
    </w:p>
    <w:p w14:paraId="539B9A44">
      <w:pPr>
        <w:rPr>
          <w:rFonts w:ascii="Times New Roman" w:hAnsi="Times New Roman"/>
          <w:szCs w:val="21"/>
        </w:rPr>
      </w:pPr>
    </w:p>
    <w:p w14:paraId="1379F248">
      <w:pPr>
        <w:spacing w:line="560" w:lineRule="exact"/>
        <w:ind w:firstLine="560" w:firstLineChars="200"/>
        <w:rPr>
          <w:rFonts w:ascii="宋体" w:hAnsi="Times New Roman" w:eastAsia="仿宋_GB2312" w:cs="宋体"/>
          <w:sz w:val="28"/>
          <w:szCs w:val="28"/>
        </w:rPr>
      </w:pPr>
      <w:r>
        <w:rPr>
          <w:rFonts w:ascii="Times New Roman" w:hAnsi="Times New Roman" w:eastAsia="仿宋_GB2312"/>
          <w:sz w:val="28"/>
          <w:szCs w:val="28"/>
        </w:rPr>
        <w:t>为</w:t>
      </w:r>
      <w:r>
        <w:rPr>
          <w:rFonts w:hint="eastAsia" w:ascii="Times New Roman" w:hAnsi="Times New Roman" w:eastAsia="仿宋_GB2312"/>
          <w:sz w:val="28"/>
          <w:szCs w:val="28"/>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14:paraId="485063E3">
      <w:pPr>
        <w:numPr>
          <w:ilvl w:val="0"/>
          <w:numId w:val="4"/>
        </w:numPr>
        <w:spacing w:before="120" w:beforeLines="50" w:line="560" w:lineRule="exact"/>
        <w:ind w:left="843" w:hanging="843" w:hangingChars="300"/>
        <w:jc w:val="center"/>
        <w:rPr>
          <w:rFonts w:hint="eastAsia" w:ascii="黑体" w:hAnsi="黑体" w:eastAsia="黑体"/>
          <w:b/>
          <w:sz w:val="28"/>
          <w:szCs w:val="28"/>
        </w:rPr>
      </w:pPr>
      <w:r>
        <w:rPr>
          <w:rFonts w:hint="eastAsia" w:ascii="黑体" w:hAnsi="黑体" w:eastAsia="黑体"/>
          <w:b/>
          <w:sz w:val="28"/>
          <w:szCs w:val="28"/>
        </w:rPr>
        <w:t>总则</w:t>
      </w:r>
    </w:p>
    <w:p w14:paraId="4F14C9FD">
      <w:pPr>
        <w:numPr>
          <w:ilvl w:val="0"/>
          <w:numId w:val="5"/>
        </w:numPr>
        <w:spacing w:line="600" w:lineRule="exact"/>
        <w:rPr>
          <w:rFonts w:ascii="Times New Roman" w:hAnsi="Times New Roman" w:eastAsia="楷体_GB2312"/>
          <w:b/>
          <w:sz w:val="28"/>
          <w:szCs w:val="28"/>
        </w:rPr>
      </w:pPr>
      <w:bookmarkStart w:id="10" w:name="_Hlk161301422"/>
      <w:r>
        <w:rPr>
          <w:rFonts w:hint="eastAsia" w:ascii="Times New Roman" w:hAnsi="Times New Roman" w:eastAsia="楷体_GB2312"/>
          <w:b/>
          <w:sz w:val="28"/>
          <w:szCs w:val="28"/>
        </w:rPr>
        <w:t>适用范围</w:t>
      </w:r>
    </w:p>
    <w:p w14:paraId="6B95D689">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上海市道路运输事业发展中心（以下简称“市道运中心”）直接管理的市管城市道路及其附属设施。</w:t>
      </w:r>
    </w:p>
    <w:p w14:paraId="6E5427A0">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考核对象</w:t>
      </w:r>
    </w:p>
    <w:p w14:paraId="2D8107A8">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承担市管城市快速路、桥隧、地道及其附属设施日常养护运维工作的各中标单位（以下简称“养护单位”）。</w:t>
      </w:r>
    </w:p>
    <w:p w14:paraId="4A0F8C7A">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考核原则</w:t>
      </w:r>
    </w:p>
    <w:p w14:paraId="518CF2FF">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科学合理、客观公正、公平公开、优胜劣汰。</w:t>
      </w:r>
    </w:p>
    <w:bookmarkEnd w:id="10"/>
    <w:p w14:paraId="2752EFD6">
      <w:pPr>
        <w:numPr>
          <w:ilvl w:val="0"/>
          <w:numId w:val="4"/>
        </w:numPr>
        <w:spacing w:before="120" w:beforeLines="50" w:line="560" w:lineRule="exact"/>
        <w:ind w:left="0" w:firstLine="0"/>
        <w:jc w:val="center"/>
        <w:rPr>
          <w:rFonts w:hint="eastAsia" w:ascii="黑体" w:hAnsi="黑体" w:eastAsia="黑体"/>
          <w:b/>
          <w:sz w:val="28"/>
          <w:szCs w:val="28"/>
        </w:rPr>
      </w:pPr>
      <w:r>
        <w:rPr>
          <w:rFonts w:hint="eastAsia" w:ascii="黑体" w:hAnsi="黑体" w:eastAsia="黑体"/>
          <w:b/>
          <w:sz w:val="28"/>
          <w:szCs w:val="28"/>
        </w:rPr>
        <w:t>考核内容</w:t>
      </w:r>
    </w:p>
    <w:p w14:paraId="33C7BE5C">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考核方式</w:t>
      </w:r>
    </w:p>
    <w:p w14:paraId="10DE8C31">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市管城市快速路、桥隧、地道及其附属设施日常养护运维</w:t>
      </w:r>
      <w:r>
        <w:rPr>
          <w:rFonts w:ascii="Times New Roman" w:hAnsi="Times New Roman" w:eastAsia="仿宋_GB2312"/>
          <w:sz w:val="28"/>
          <w:szCs w:val="28"/>
        </w:rPr>
        <w:t>考核</w:t>
      </w:r>
      <w:r>
        <w:rPr>
          <w:rFonts w:hint="eastAsia" w:ascii="Times New Roman" w:hAnsi="Times New Roman" w:eastAsia="仿宋_GB2312"/>
          <w:sz w:val="28"/>
          <w:szCs w:val="28"/>
        </w:rPr>
        <w:t>包括月度、季度和年度考核，主要考核养护单位是否根据合同约定和有关要求完成所有养护运维工作内容及完成质量、设施结构及运行安全状况、职责履行情况等，采用综合评价打分制形式。</w:t>
      </w:r>
    </w:p>
    <w:p w14:paraId="44B4F331">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所有考核评分保留两位小数并向下取整。</w:t>
      </w:r>
    </w:p>
    <w:p w14:paraId="6CE26BE6">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月度考核</w:t>
      </w:r>
    </w:p>
    <w:p w14:paraId="4552533C">
      <w:pPr>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月开展一次，适用于主体设施养护运维的项目。月度考核由定量、定性和专项考核三个部分组成。其中，定量考核是指对各项养护运维工作完成率进行考核，定性考核是指对养护运维工作开展过程及完成质量进行考核，专项考核是针对本项目设施特点单独列举的考核内容（具体详见附件）。通过各部分累加后得到月度考核评分，满分为1</w:t>
      </w:r>
      <w:r>
        <w:rPr>
          <w:rFonts w:ascii="Times New Roman" w:hAnsi="Times New Roman" w:eastAsia="仿宋_GB2312"/>
          <w:sz w:val="28"/>
          <w:szCs w:val="28"/>
        </w:rPr>
        <w:t>00</w:t>
      </w:r>
      <w:r>
        <w:rPr>
          <w:rFonts w:hint="eastAsia" w:ascii="Times New Roman" w:hAnsi="Times New Roman" w:eastAsia="仿宋_GB2312"/>
          <w:sz w:val="28"/>
          <w:szCs w:val="28"/>
        </w:rPr>
        <w:t>分，计算方式如下：</w:t>
      </w:r>
    </w:p>
    <w:p w14:paraId="0250083B">
      <w:pPr>
        <w:adjustRightInd w:val="0"/>
        <w:snapToGrid w:val="0"/>
        <w:spacing w:line="560" w:lineRule="exact"/>
        <w:ind w:firstLine="562" w:firstLineChars="200"/>
        <w:rPr>
          <w:rFonts w:ascii="Times New Roman" w:hAnsi="Times New Roman" w:eastAsia="仿宋_GB2312"/>
          <w:sz w:val="28"/>
          <w:szCs w:val="28"/>
        </w:rPr>
      </w:pPr>
      <w:r>
        <w:rPr>
          <w:rFonts w:hint="eastAsia" w:ascii="Times New Roman" w:hAnsi="Times New Roman" w:eastAsia="仿宋_GB2312"/>
          <w:b/>
          <w:bCs/>
          <w:sz w:val="28"/>
          <w:szCs w:val="28"/>
        </w:rPr>
        <w:t>主体设施月度考核评分</w:t>
      </w:r>
      <w:r>
        <w:rPr>
          <w:rFonts w:hint="eastAsia" w:ascii="Times New Roman" w:hAnsi="Times New Roman" w:eastAsia="仿宋_GB2312"/>
          <w:sz w:val="28"/>
          <w:szCs w:val="28"/>
        </w:rPr>
        <w:t>=定量考核（6</w:t>
      </w:r>
      <w:r>
        <w:rPr>
          <w:rFonts w:ascii="Times New Roman" w:hAnsi="Times New Roman" w:eastAsia="仿宋_GB2312"/>
          <w:sz w:val="28"/>
          <w:szCs w:val="28"/>
        </w:rPr>
        <w:t>0</w:t>
      </w:r>
      <w:r>
        <w:rPr>
          <w:rFonts w:hint="eastAsia" w:ascii="Times New Roman" w:hAnsi="Times New Roman" w:eastAsia="仿宋_GB2312"/>
          <w:sz w:val="28"/>
          <w:szCs w:val="28"/>
        </w:rPr>
        <w:t>分）+定性考核（4</w:t>
      </w:r>
      <w:r>
        <w:rPr>
          <w:rFonts w:ascii="Times New Roman" w:hAnsi="Times New Roman" w:eastAsia="仿宋_GB2312"/>
          <w:sz w:val="28"/>
          <w:szCs w:val="28"/>
        </w:rPr>
        <w:t>0</w:t>
      </w:r>
      <w:r>
        <w:rPr>
          <w:rFonts w:hint="eastAsia" w:ascii="Times New Roman" w:hAnsi="Times New Roman" w:eastAsia="仿宋_GB2312"/>
          <w:sz w:val="28"/>
          <w:szCs w:val="28"/>
        </w:rPr>
        <w:t>分）+专项考核</w:t>
      </w:r>
    </w:p>
    <w:p w14:paraId="53587455">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季度考核</w:t>
      </w:r>
    </w:p>
    <w:p w14:paraId="0373C3DE">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每季开展一次，一般为3、6、9、1</w:t>
      </w:r>
      <w:r>
        <w:rPr>
          <w:rFonts w:ascii="Times New Roman" w:hAnsi="Times New Roman" w:eastAsia="仿宋_GB2312"/>
          <w:sz w:val="28"/>
          <w:szCs w:val="28"/>
        </w:rPr>
        <w:t>1</w:t>
      </w:r>
      <w:r>
        <w:rPr>
          <w:rFonts w:hint="eastAsia" w:ascii="Times New Roman" w:hAnsi="Times New Roman" w:eastAsia="仿宋_GB2312"/>
          <w:sz w:val="28"/>
          <w:szCs w:val="28"/>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1</w:t>
      </w:r>
      <w:r>
        <w:rPr>
          <w:rFonts w:ascii="Times New Roman" w:hAnsi="Times New Roman" w:eastAsia="仿宋_GB2312"/>
          <w:sz w:val="28"/>
          <w:szCs w:val="28"/>
        </w:rPr>
        <w:t>00</w:t>
      </w:r>
      <w:r>
        <w:rPr>
          <w:rFonts w:hint="eastAsia" w:ascii="Times New Roman" w:hAnsi="Times New Roman" w:eastAsia="仿宋_GB2312"/>
          <w:sz w:val="28"/>
          <w:szCs w:val="28"/>
        </w:rPr>
        <w:t>分，计算方式如下：</w:t>
      </w:r>
    </w:p>
    <w:p w14:paraId="0B2DBDBF">
      <w:pPr>
        <w:adjustRightInd w:val="0"/>
        <w:snapToGrid w:val="0"/>
        <w:spacing w:line="560" w:lineRule="exact"/>
        <w:ind w:firstLine="562" w:firstLineChars="200"/>
        <w:rPr>
          <w:rFonts w:ascii="Times New Roman" w:hAnsi="Times New Roman" w:eastAsia="仿宋_GB2312"/>
          <w:sz w:val="28"/>
          <w:szCs w:val="28"/>
        </w:rPr>
      </w:pPr>
      <w:r>
        <w:rPr>
          <w:rFonts w:hint="eastAsia" w:ascii="Times New Roman" w:hAnsi="Times New Roman" w:eastAsia="仿宋_GB2312"/>
          <w:b/>
          <w:bCs/>
          <w:sz w:val="28"/>
          <w:szCs w:val="28"/>
        </w:rPr>
        <w:t>下部涂装保洁/道路绿化/景观灯光月度考核评分</w:t>
      </w:r>
      <w:r>
        <w:rPr>
          <w:rFonts w:hint="eastAsia" w:ascii="Times New Roman" w:hAnsi="Times New Roman" w:eastAsia="仿宋_GB2312"/>
          <w:sz w:val="28"/>
          <w:szCs w:val="28"/>
        </w:rPr>
        <w:t>=定量考核（</w:t>
      </w:r>
      <w:r>
        <w:rPr>
          <w:rFonts w:ascii="Times New Roman" w:hAnsi="Times New Roman" w:eastAsia="仿宋_GB2312"/>
          <w:sz w:val="28"/>
          <w:szCs w:val="28"/>
        </w:rPr>
        <w:t>60</w:t>
      </w:r>
      <w:r>
        <w:rPr>
          <w:rFonts w:hint="eastAsia" w:ascii="Times New Roman" w:hAnsi="Times New Roman" w:eastAsia="仿宋_GB2312"/>
          <w:sz w:val="28"/>
          <w:szCs w:val="28"/>
        </w:rPr>
        <w:t>分）+定性考核（</w:t>
      </w:r>
      <w:r>
        <w:rPr>
          <w:rFonts w:ascii="Times New Roman" w:hAnsi="Times New Roman" w:eastAsia="仿宋_GB2312"/>
          <w:sz w:val="28"/>
          <w:szCs w:val="28"/>
        </w:rPr>
        <w:t>40</w:t>
      </w:r>
      <w:r>
        <w:rPr>
          <w:rFonts w:hint="eastAsia" w:ascii="Times New Roman" w:hAnsi="Times New Roman" w:eastAsia="仿宋_GB2312"/>
          <w:sz w:val="28"/>
          <w:szCs w:val="28"/>
        </w:rPr>
        <w:t>分）+专项考核</w:t>
      </w:r>
    </w:p>
    <w:p w14:paraId="74D4EE4C">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年度考核</w:t>
      </w:r>
    </w:p>
    <w:p w14:paraId="27C6D65E">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年度考核评分由月度考核或季度考核的算术平均值和年度检测得分（如有）组成，满分为1</w:t>
      </w:r>
      <w:r>
        <w:rPr>
          <w:rFonts w:ascii="Times New Roman" w:hAnsi="Times New Roman" w:eastAsia="仿宋_GB2312"/>
          <w:sz w:val="28"/>
          <w:szCs w:val="28"/>
        </w:rPr>
        <w:t>00</w:t>
      </w:r>
      <w:r>
        <w:rPr>
          <w:rFonts w:hint="eastAsia" w:ascii="Times New Roman" w:hAnsi="Times New Roman" w:eastAsia="仿宋_GB2312"/>
          <w:sz w:val="28"/>
          <w:szCs w:val="28"/>
        </w:rPr>
        <w:t>分。其中，年度检测得分主要是指由市道运中心委托第三方单位出具的有关检测报告计算出来的得分。</w:t>
      </w:r>
    </w:p>
    <w:p w14:paraId="121A9843">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根据上述原则，各设施年度考核评分情况分别为：主体设施年度考核评分为月度考核算数平均值和年度检测得分之和，下部涂装保洁/道路绿化/景观灯光年度考核评分为季度考核算数平均值。</w:t>
      </w:r>
    </w:p>
    <w:p w14:paraId="214FFA17">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考核组织</w:t>
      </w:r>
    </w:p>
    <w:p w14:paraId="1439FD3B">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市道运中心城市道路科（以下简称“城道科”）负责牵头组织开展市管城市道路日常养护运维考核的具体工作，包括但不限于考评资料准备、组建考核工作小组、组织开展具体考核工作、汇总分析考评情况、编制考评报告等。</w:t>
      </w:r>
    </w:p>
    <w:p w14:paraId="0FB46EBE">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考评小组成员由市道运中心城道科、计划财务科、科技信息科和养护监理单位等组成，必要时将邀请上海市政府采购中心、上级单位主管部门和行业专家一并参加考评。</w:t>
      </w:r>
    </w:p>
    <w:p w14:paraId="18092C3E">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考核报告</w:t>
      </w:r>
    </w:p>
    <w:p w14:paraId="32F3095C">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月度、季度考核工作完成后，考评小组负责汇总整理月度、季度考评工作具体情况，对各设施考评情况进行研究分析后，正式编制月度、季度考评报告。年度考评工作完成后，考评小组负责汇总整理年度考评工作具体情况，并编制年度考评报告。上述报告将分送各相关单位。</w:t>
      </w:r>
    </w:p>
    <w:p w14:paraId="30BAE929">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考核标准</w:t>
      </w:r>
    </w:p>
    <w:p w14:paraId="0D8FA277">
      <w:pPr>
        <w:adjustRightInd w:val="0"/>
        <w:snapToGrid w:val="0"/>
        <w:spacing w:line="560" w:lineRule="exact"/>
        <w:ind w:firstLine="562" w:firstLineChars="200"/>
        <w:rPr>
          <w:rFonts w:ascii="Times New Roman" w:hAnsi="Times New Roman" w:eastAsia="仿宋_GB2312"/>
          <w:sz w:val="28"/>
          <w:szCs w:val="28"/>
        </w:rPr>
      </w:pPr>
      <w:r>
        <w:rPr>
          <w:rFonts w:hint="eastAsia" w:ascii="Times New Roman" w:hAnsi="Times New Roman" w:eastAsia="楷体_GB2312"/>
          <w:b/>
          <w:bCs/>
          <w:sz w:val="28"/>
          <w:szCs w:val="28"/>
        </w:rPr>
        <w:t>月度、季度考核：</w:t>
      </w:r>
      <w:r>
        <w:rPr>
          <w:rFonts w:hint="eastAsia" w:ascii="Times New Roman" w:hAnsi="Times New Roman" w:eastAsia="仿宋_GB2312"/>
          <w:sz w:val="28"/>
          <w:szCs w:val="28"/>
        </w:rPr>
        <w:t>考核评分8</w:t>
      </w:r>
      <w:r>
        <w:rPr>
          <w:rFonts w:ascii="Times New Roman" w:hAnsi="Times New Roman" w:eastAsia="仿宋_GB2312"/>
          <w:sz w:val="28"/>
          <w:szCs w:val="28"/>
        </w:rPr>
        <w:t>5</w:t>
      </w:r>
      <w:r>
        <w:rPr>
          <w:rFonts w:hint="eastAsia" w:ascii="Times New Roman" w:hAnsi="Times New Roman" w:eastAsia="仿宋_GB2312"/>
          <w:sz w:val="28"/>
          <w:szCs w:val="28"/>
        </w:rPr>
        <w:t>分及以上为合格，8</w:t>
      </w:r>
      <w:r>
        <w:rPr>
          <w:rFonts w:ascii="Times New Roman" w:hAnsi="Times New Roman" w:eastAsia="仿宋_GB2312"/>
          <w:sz w:val="28"/>
          <w:szCs w:val="28"/>
        </w:rPr>
        <w:t>5</w:t>
      </w:r>
      <w:r>
        <w:rPr>
          <w:rFonts w:hint="eastAsia" w:ascii="Times New Roman" w:hAnsi="Times New Roman" w:eastAsia="仿宋_GB2312"/>
          <w:sz w:val="28"/>
          <w:szCs w:val="28"/>
        </w:rPr>
        <w:t>分以下为不合格。</w:t>
      </w:r>
    </w:p>
    <w:p w14:paraId="5A58572A">
      <w:pPr>
        <w:adjustRightInd w:val="0"/>
        <w:snapToGrid w:val="0"/>
        <w:spacing w:line="560" w:lineRule="exact"/>
        <w:ind w:firstLine="562" w:firstLineChars="200"/>
        <w:rPr>
          <w:rFonts w:ascii="Times New Roman" w:hAnsi="Times New Roman" w:eastAsia="仿宋_GB2312"/>
          <w:sz w:val="28"/>
          <w:szCs w:val="28"/>
        </w:rPr>
      </w:pPr>
      <w:r>
        <w:rPr>
          <w:rFonts w:ascii="Times New Roman" w:hAnsi="Times New Roman" w:eastAsia="楷体_GB2312"/>
          <w:b/>
          <w:bCs/>
          <w:sz w:val="28"/>
          <w:szCs w:val="28"/>
        </w:rPr>
        <w:t>年度考核：</w:t>
      </w:r>
      <w:r>
        <w:rPr>
          <w:rFonts w:hint="eastAsia" w:ascii="Times New Roman" w:hAnsi="Times New Roman" w:eastAsia="仿宋_GB2312"/>
          <w:sz w:val="28"/>
          <w:szCs w:val="28"/>
        </w:rPr>
        <w:t>年度考核评分95分及以上为优秀；90分及以上为良好；85分及以上，且无连续两个月月度考核不合格、无累计三个月月度考核不合格，或无季度考核不合格，则该年度考核结果为合格，其余为不合格。</w:t>
      </w:r>
    </w:p>
    <w:p w14:paraId="0A14DF58">
      <w:pPr>
        <w:numPr>
          <w:ilvl w:val="0"/>
          <w:numId w:val="4"/>
        </w:numPr>
        <w:spacing w:before="120" w:beforeLines="50" w:line="560" w:lineRule="exact"/>
        <w:ind w:left="0" w:firstLine="0"/>
        <w:jc w:val="center"/>
        <w:rPr>
          <w:rFonts w:hint="eastAsia" w:ascii="黑体" w:hAnsi="黑体" w:eastAsia="黑体"/>
          <w:b/>
          <w:sz w:val="28"/>
          <w:szCs w:val="28"/>
        </w:rPr>
      </w:pPr>
      <w:r>
        <w:rPr>
          <w:rFonts w:hint="eastAsia" w:ascii="黑体" w:hAnsi="黑体" w:eastAsia="黑体"/>
          <w:b/>
          <w:sz w:val="28"/>
          <w:szCs w:val="28"/>
        </w:rPr>
        <w:t>考核奖惩</w:t>
      </w:r>
    </w:p>
    <w:p w14:paraId="5DC8FAD3">
      <w:pPr>
        <w:numPr>
          <w:ilvl w:val="0"/>
          <w:numId w:val="5"/>
        </w:numPr>
        <w:spacing w:line="600" w:lineRule="exact"/>
        <w:rPr>
          <w:rFonts w:ascii="Times New Roman" w:hAnsi="Times New Roman" w:eastAsia="楷体_GB2312"/>
          <w:b/>
          <w:sz w:val="28"/>
          <w:szCs w:val="28"/>
        </w:rPr>
      </w:pPr>
      <w:r>
        <w:rPr>
          <w:rFonts w:hint="eastAsia" w:ascii="Times New Roman" w:hAnsi="Times New Roman" w:eastAsia="楷体_GB2312"/>
          <w:b/>
          <w:sz w:val="28"/>
          <w:szCs w:val="28"/>
        </w:rPr>
        <w:t>奖励措施</w:t>
      </w:r>
    </w:p>
    <w:p w14:paraId="024B51EA">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年度考核评分结果优秀的设施在年度报告中通报表扬，并纳入推优范围，在市级、行业优秀称号、先进等各类评比中优先提名推荐。</w:t>
      </w:r>
    </w:p>
    <w:p w14:paraId="1E9228A5">
      <w:pPr>
        <w:numPr>
          <w:ilvl w:val="0"/>
          <w:numId w:val="5"/>
        </w:numPr>
        <w:spacing w:line="600" w:lineRule="exact"/>
        <w:rPr>
          <w:rFonts w:ascii="Times New Roman" w:hAnsi="Times New Roman" w:eastAsia="楷体_GB2312"/>
          <w:b/>
          <w:sz w:val="28"/>
          <w:szCs w:val="28"/>
        </w:rPr>
      </w:pPr>
      <w:r>
        <w:rPr>
          <w:rFonts w:ascii="Times New Roman" w:hAnsi="Times New Roman" w:eastAsia="楷体_GB2312"/>
          <w:b/>
          <w:sz w:val="28"/>
          <w:szCs w:val="28"/>
        </w:rPr>
        <w:t>考核扣款</w:t>
      </w:r>
    </w:p>
    <w:p w14:paraId="682E02FB">
      <w:pPr>
        <w:adjustRightInd w:val="0"/>
        <w:snapToGrid w:val="0"/>
        <w:spacing w:line="560" w:lineRule="exact"/>
        <w:ind w:firstLine="560" w:firstLineChars="200"/>
        <w:rPr>
          <w:rFonts w:ascii="Times New Roman" w:hAnsi="Times New Roman" w:eastAsia="仿宋_GB2312"/>
          <w:sz w:val="28"/>
          <w:szCs w:val="28"/>
        </w:rPr>
      </w:pPr>
      <w:r>
        <w:rPr>
          <w:rFonts w:ascii="Times New Roman" w:hAnsi="Times New Roman" w:eastAsia="仿宋_GB2312"/>
          <w:sz w:val="28"/>
          <w:szCs w:val="28"/>
        </w:rPr>
        <w:t>月</w:t>
      </w:r>
      <w:r>
        <w:rPr>
          <w:rFonts w:hint="eastAsia" w:ascii="Times New Roman" w:hAnsi="Times New Roman" w:eastAsia="仿宋_GB2312"/>
          <w:sz w:val="28"/>
          <w:szCs w:val="28"/>
        </w:rPr>
        <w:t>度、季度考核结果不合格，则按比例扣减该设施项目当月或季度日常养护运维经费，计算方式如下：</w:t>
      </w:r>
    </w:p>
    <w:p w14:paraId="48353B23">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扣减金额=（1-当月或季度考核评分/</w:t>
      </w:r>
      <w:r>
        <w:rPr>
          <w:rFonts w:hint="eastAsia" w:ascii="Times New Roman" w:hAnsi="Times New Roman" w:eastAsia="仿宋_GB2312"/>
          <w:color w:val="000000"/>
          <w:sz w:val="28"/>
          <w:szCs w:val="28"/>
        </w:rPr>
        <w:t>85</w:t>
      </w:r>
      <w:r>
        <w:rPr>
          <w:rFonts w:hint="eastAsia" w:ascii="Times New Roman" w:hAnsi="Times New Roman" w:eastAsia="仿宋_GB2312"/>
          <w:sz w:val="28"/>
          <w:szCs w:val="28"/>
        </w:rPr>
        <w:t>）*当月或季度日常养护运维经费。</w:t>
      </w:r>
    </w:p>
    <w:p w14:paraId="3D2A9365">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履约管理</w:t>
      </w:r>
    </w:p>
    <w:p w14:paraId="25654FD4">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年度考核结果不合格，则视为违约，将扣减该设施项目当年度日常养护运维经费的3%。养护服务期限为3年的设施，年度考核结果在服务期限内连续或累计2年不合格的，则其养护单位3年内不得参与该设施的养护采购项目竞标。</w:t>
      </w:r>
    </w:p>
    <w:p w14:paraId="3AB42C17">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在同类设施的年度考核评分中排名末位的设施，其养护单位之后3年内如若参与本设施养护采购项目竞标的，将予以扣除一定分数，具体以招标文件规定为准。</w:t>
      </w:r>
    </w:p>
    <w:p w14:paraId="2D0C516A">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退出机制</w:t>
      </w:r>
    </w:p>
    <w:p w14:paraId="4C9C07EE">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养护单位出现下列行为之一或在服务期限为3年的设施中前2次年度考核结果不合格的，市道运中心有权提前终止合同，并重新启动招投标。同时，该养护单位应立即整改并承担所有相关费用、责任和经济赔偿。</w:t>
      </w:r>
    </w:p>
    <w:p w14:paraId="18E906B0">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1、忽视制度管理，缺少两项及以上制度。包括安全生产责任制度、检查制度、特种作业管理制度、动火管理制度、安措经费使用管理制度、安全交底制度、带班制度、事故报告与处理制度、安全考核奖罚制度等；</w:t>
      </w:r>
    </w:p>
    <w:p w14:paraId="3EB23D84">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2、违法违规</w:t>
      </w:r>
      <w:r>
        <w:rPr>
          <w:rFonts w:ascii="Times New Roman" w:hAnsi="Times New Roman" w:eastAsia="仿宋_GB2312"/>
          <w:sz w:val="28"/>
          <w:szCs w:val="28"/>
        </w:rPr>
        <w:t>，影响</w:t>
      </w:r>
      <w:r>
        <w:rPr>
          <w:rFonts w:hint="eastAsia" w:ascii="Times New Roman" w:hAnsi="Times New Roman" w:eastAsia="仿宋_GB2312"/>
          <w:sz w:val="28"/>
          <w:szCs w:val="28"/>
        </w:rPr>
        <w:t>设施结构和运行安全、社会稳定</w:t>
      </w:r>
      <w:r>
        <w:rPr>
          <w:rFonts w:ascii="Times New Roman" w:hAnsi="Times New Roman" w:eastAsia="仿宋_GB2312"/>
          <w:sz w:val="28"/>
          <w:szCs w:val="28"/>
        </w:rPr>
        <w:t>的情况。如违法分包、转包、恶意拖欠工人工资、养护资质资格变动不符合招标要求</w:t>
      </w:r>
      <w:r>
        <w:rPr>
          <w:rFonts w:hint="eastAsia" w:ascii="Times New Roman" w:hAnsi="Times New Roman" w:eastAsia="仿宋_GB2312"/>
          <w:sz w:val="28"/>
          <w:szCs w:val="28"/>
        </w:rPr>
        <w:t>、利用设施开展经营性行为</w:t>
      </w:r>
      <w:r>
        <w:rPr>
          <w:rFonts w:ascii="Times New Roman" w:hAnsi="Times New Roman" w:eastAsia="仿宋_GB2312"/>
          <w:sz w:val="28"/>
          <w:szCs w:val="28"/>
        </w:rPr>
        <w:t>等；</w:t>
      </w:r>
    </w:p>
    <w:p w14:paraId="56EED7E7">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3、</w:t>
      </w:r>
      <w:r>
        <w:rPr>
          <w:rFonts w:ascii="Times New Roman" w:hAnsi="Times New Roman" w:eastAsia="仿宋_GB2312"/>
          <w:sz w:val="28"/>
          <w:szCs w:val="28"/>
        </w:rPr>
        <w:t>发生重大安全责任事故或者严重质量问题</w:t>
      </w:r>
      <w:r>
        <w:rPr>
          <w:rFonts w:hint="eastAsia" w:ascii="Times New Roman" w:hAnsi="Times New Roman" w:eastAsia="仿宋_GB2312"/>
          <w:sz w:val="28"/>
          <w:szCs w:val="28"/>
        </w:rPr>
        <w:t>、重大节假日或活动保障不力，</w:t>
      </w:r>
      <w:r>
        <w:rPr>
          <w:rFonts w:ascii="Times New Roman" w:hAnsi="Times New Roman" w:eastAsia="仿宋_GB2312"/>
          <w:sz w:val="28"/>
          <w:szCs w:val="28"/>
        </w:rPr>
        <w:t>造成不良社会影响的。</w:t>
      </w:r>
    </w:p>
    <w:p w14:paraId="23DDA8CA">
      <w:pPr>
        <w:numPr>
          <w:ilvl w:val="0"/>
          <w:numId w:val="4"/>
        </w:numPr>
        <w:spacing w:before="120" w:beforeLines="50" w:line="560" w:lineRule="exact"/>
        <w:ind w:left="0" w:firstLine="0"/>
        <w:jc w:val="center"/>
        <w:rPr>
          <w:rFonts w:hint="eastAsia" w:ascii="黑体" w:hAnsi="黑体" w:eastAsia="黑体"/>
          <w:b/>
          <w:sz w:val="28"/>
          <w:szCs w:val="28"/>
        </w:rPr>
      </w:pPr>
      <w:r>
        <w:rPr>
          <w:rFonts w:ascii="黑体" w:hAnsi="黑体" w:eastAsia="黑体"/>
          <w:b/>
          <w:sz w:val="28"/>
          <w:szCs w:val="28"/>
        </w:rPr>
        <w:t>公示及通报</w:t>
      </w:r>
    </w:p>
    <w:p w14:paraId="09A10821">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 xml:space="preserve">结果公示 </w:t>
      </w:r>
    </w:p>
    <w:p w14:paraId="01C19D0E">
      <w:pPr>
        <w:adjustRightInd w:val="0"/>
        <w:snapToGrid w:val="0"/>
        <w:spacing w:line="560" w:lineRule="exact"/>
        <w:ind w:firstLine="562" w:firstLineChars="200"/>
        <w:rPr>
          <w:rFonts w:ascii="Times New Roman" w:hAnsi="Times New Roman" w:eastAsia="楷体_GB2312"/>
          <w:b/>
          <w:bCs/>
          <w:sz w:val="28"/>
          <w:szCs w:val="28"/>
        </w:rPr>
      </w:pPr>
      <w:r>
        <w:rPr>
          <w:rFonts w:ascii="Times New Roman" w:hAnsi="Times New Roman" w:eastAsia="楷体_GB2312"/>
          <w:b/>
          <w:bCs/>
          <w:sz w:val="28"/>
          <w:szCs w:val="28"/>
        </w:rPr>
        <w:t>月</w:t>
      </w:r>
      <w:r>
        <w:rPr>
          <w:rFonts w:hint="eastAsia" w:ascii="Times New Roman" w:hAnsi="Times New Roman" w:eastAsia="楷体_GB2312"/>
          <w:b/>
          <w:bCs/>
          <w:sz w:val="28"/>
          <w:szCs w:val="28"/>
        </w:rPr>
        <w:t>度考核：</w:t>
      </w:r>
      <w:r>
        <w:rPr>
          <w:rFonts w:hint="eastAsia" w:ascii="Times New Roman" w:hAnsi="Times New Roman" w:eastAsia="仿宋_GB2312"/>
          <w:sz w:val="28"/>
          <w:szCs w:val="28"/>
        </w:rPr>
        <w:t>次月11日，由养护在线监管系统出具定量指标分数；次月11至15日，由中心设施负责人考评定性指标分数，同时养护单位对定量考核结果有异议的可进行申诉；次月1</w:t>
      </w:r>
      <w:r>
        <w:rPr>
          <w:rFonts w:ascii="Times New Roman" w:hAnsi="Times New Roman" w:eastAsia="仿宋_GB2312"/>
          <w:sz w:val="28"/>
          <w:szCs w:val="28"/>
        </w:rPr>
        <w:t>5</w:t>
      </w:r>
      <w:r>
        <w:rPr>
          <w:rFonts w:hint="eastAsia" w:ascii="Times New Roman" w:hAnsi="Times New Roman" w:eastAsia="仿宋_GB2312"/>
          <w:sz w:val="28"/>
          <w:szCs w:val="28"/>
        </w:rPr>
        <w:t>至2</w:t>
      </w:r>
      <w:r>
        <w:rPr>
          <w:rFonts w:ascii="Times New Roman" w:hAnsi="Times New Roman" w:eastAsia="仿宋_GB2312"/>
          <w:sz w:val="28"/>
          <w:szCs w:val="28"/>
        </w:rPr>
        <w:t>0</w:t>
      </w:r>
      <w:r>
        <w:rPr>
          <w:rFonts w:hint="eastAsia" w:ascii="Times New Roman" w:hAnsi="Times New Roman" w:eastAsia="仿宋_GB2312"/>
          <w:sz w:val="28"/>
          <w:szCs w:val="28"/>
        </w:rPr>
        <w:t>日，由部门复核总分；一般于次月2</w:t>
      </w:r>
      <w:r>
        <w:rPr>
          <w:rFonts w:ascii="Times New Roman" w:hAnsi="Times New Roman" w:eastAsia="仿宋_GB2312"/>
          <w:sz w:val="28"/>
          <w:szCs w:val="28"/>
        </w:rPr>
        <w:t>5</w:t>
      </w:r>
      <w:r>
        <w:rPr>
          <w:rFonts w:hint="eastAsia" w:ascii="Times New Roman" w:hAnsi="Times New Roman" w:eastAsia="仿宋_GB2312"/>
          <w:sz w:val="28"/>
          <w:szCs w:val="28"/>
        </w:rPr>
        <w:t>日，形成正式分数并上传云路。</w:t>
      </w:r>
    </w:p>
    <w:p w14:paraId="7BB2C500">
      <w:pPr>
        <w:adjustRightInd w:val="0"/>
        <w:snapToGrid w:val="0"/>
        <w:spacing w:line="560" w:lineRule="exact"/>
        <w:ind w:firstLine="562" w:firstLineChars="200"/>
        <w:rPr>
          <w:rFonts w:ascii="Times New Roman" w:hAnsi="Times New Roman"/>
          <w:szCs w:val="21"/>
        </w:rPr>
      </w:pPr>
      <w:r>
        <w:rPr>
          <w:rFonts w:hint="eastAsia" w:ascii="Times New Roman" w:hAnsi="Times New Roman" w:eastAsia="楷体_GB2312"/>
          <w:b/>
          <w:bCs/>
          <w:sz w:val="28"/>
          <w:szCs w:val="28"/>
        </w:rPr>
        <w:t>季度考核：</w:t>
      </w:r>
      <w:r>
        <w:rPr>
          <w:rFonts w:hint="eastAsia" w:ascii="Times New Roman" w:hAnsi="Times New Roman" w:eastAsia="仿宋_GB2312"/>
          <w:sz w:val="28"/>
          <w:szCs w:val="28"/>
        </w:rPr>
        <w:t>一般于次月2</w:t>
      </w:r>
      <w:r>
        <w:rPr>
          <w:rFonts w:ascii="Times New Roman" w:hAnsi="Times New Roman" w:eastAsia="仿宋_GB2312"/>
          <w:sz w:val="28"/>
          <w:szCs w:val="28"/>
        </w:rPr>
        <w:t>5</w:t>
      </w:r>
      <w:r>
        <w:rPr>
          <w:rFonts w:hint="eastAsia" w:ascii="Times New Roman" w:hAnsi="Times New Roman" w:eastAsia="仿宋_GB2312"/>
          <w:sz w:val="28"/>
          <w:szCs w:val="28"/>
        </w:rPr>
        <w:t>日后形成结果报告并公示，公示期为五个工作日。各相关单位如对结果持有异议可在公示期内以书面形式向城道科申请复核。</w:t>
      </w:r>
    </w:p>
    <w:p w14:paraId="143C8392">
      <w:pPr>
        <w:adjustRightInd w:val="0"/>
        <w:snapToGrid w:val="0"/>
        <w:spacing w:line="560" w:lineRule="exact"/>
        <w:ind w:firstLine="562" w:firstLineChars="200"/>
        <w:rPr>
          <w:rFonts w:ascii="Times New Roman" w:hAnsi="Times New Roman" w:eastAsia="仿宋_GB2312"/>
          <w:sz w:val="28"/>
          <w:szCs w:val="28"/>
        </w:rPr>
      </w:pPr>
      <w:r>
        <w:rPr>
          <w:rFonts w:ascii="Times New Roman" w:hAnsi="Times New Roman" w:eastAsia="楷体_GB2312"/>
          <w:b/>
          <w:bCs/>
          <w:sz w:val="28"/>
          <w:szCs w:val="28"/>
        </w:rPr>
        <w:t>年度考核</w:t>
      </w:r>
      <w:r>
        <w:rPr>
          <w:rFonts w:hint="eastAsia" w:ascii="Times New Roman" w:hAnsi="Times New Roman" w:eastAsia="楷体_GB2312"/>
          <w:b/>
          <w:bCs/>
          <w:sz w:val="28"/>
          <w:szCs w:val="28"/>
        </w:rPr>
        <w:t>：</w:t>
      </w:r>
      <w:r>
        <w:rPr>
          <w:rFonts w:hint="eastAsia" w:ascii="Times New Roman" w:hAnsi="Times New Roman" w:eastAsia="仿宋_GB2312"/>
          <w:sz w:val="28"/>
          <w:szCs w:val="28"/>
        </w:rPr>
        <w:t>一般于次年春节后的两周内形成结果报告并公示，公示期为五个工作日。各相关单位如对结果持有异议可在公示期内以书面形式向城道科申请复核。其中，年度检测得分由科技信息科负责复核。</w:t>
      </w:r>
    </w:p>
    <w:p w14:paraId="7090381A">
      <w:pPr>
        <w:adjustRightInd w:val="0"/>
        <w:snapToGrid w:val="0"/>
        <w:spacing w:line="560" w:lineRule="exact"/>
        <w:ind w:firstLine="562" w:firstLineChars="200"/>
        <w:rPr>
          <w:rFonts w:ascii="Times New Roman" w:hAnsi="Times New Roman" w:eastAsia="仿宋_GB2312"/>
          <w:szCs w:val="21"/>
        </w:rPr>
      </w:pPr>
      <w:r>
        <w:rPr>
          <w:rFonts w:hint="eastAsia" w:ascii="Times New Roman" w:hAnsi="Times New Roman" w:eastAsia="楷体_GB2312"/>
          <w:b/>
          <w:bCs/>
          <w:sz w:val="28"/>
          <w:szCs w:val="28"/>
        </w:rPr>
        <w:t>结果复核：</w:t>
      </w:r>
      <w:r>
        <w:rPr>
          <w:rFonts w:hint="eastAsia" w:ascii="Times New Roman" w:hAnsi="Times New Roman" w:eastAsia="仿宋_GB2312"/>
          <w:sz w:val="28"/>
          <w:szCs w:val="28"/>
        </w:rPr>
        <w:t>内容包括是否有漏评、错统情况；打分是否超出规定阈值；各小项得分合成后是否准确等。超出上述规定事项范围的申请不予受理。</w:t>
      </w:r>
    </w:p>
    <w:p w14:paraId="67C522E5">
      <w:pPr>
        <w:numPr>
          <w:ilvl w:val="0"/>
          <w:numId w:val="5"/>
        </w:numPr>
        <w:spacing w:line="600" w:lineRule="exact"/>
        <w:ind w:left="0" w:firstLine="0"/>
        <w:rPr>
          <w:rFonts w:ascii="Times New Roman" w:hAnsi="Times New Roman" w:eastAsia="楷体_GB2312"/>
          <w:b/>
          <w:sz w:val="28"/>
          <w:szCs w:val="28"/>
        </w:rPr>
      </w:pPr>
      <w:r>
        <w:rPr>
          <w:rFonts w:hint="eastAsia" w:ascii="Times New Roman" w:hAnsi="Times New Roman" w:eastAsia="楷体_GB2312"/>
          <w:b/>
          <w:sz w:val="28"/>
          <w:szCs w:val="28"/>
        </w:rPr>
        <w:t xml:space="preserve">结果通报 </w:t>
      </w:r>
    </w:p>
    <w:p w14:paraId="10D8A94D">
      <w:pPr>
        <w:adjustRightInd w:val="0"/>
        <w:snapToGrid w:val="0"/>
        <w:spacing w:line="560" w:lineRule="exact"/>
        <w:ind w:firstLine="560" w:firstLineChars="200"/>
        <w:rPr>
          <w:rFonts w:ascii="Times New Roman" w:hAnsi="Times New Roman" w:eastAsia="仿宋_GB2312"/>
          <w:sz w:val="28"/>
          <w:szCs w:val="28"/>
        </w:rPr>
      </w:pPr>
      <w:r>
        <w:rPr>
          <w:rFonts w:hint="eastAsia" w:ascii="Times New Roman" w:hAnsi="Times New Roman" w:eastAsia="仿宋_GB2312"/>
          <w:sz w:val="28"/>
          <w:szCs w:val="28"/>
        </w:rPr>
        <w:t>公示期结束后，各类考核结果予以行业通报，年度考核报告同步抄送上级主管部门。</w:t>
      </w:r>
    </w:p>
    <w:p w14:paraId="62E396FC">
      <w:pPr>
        <w:numPr>
          <w:ilvl w:val="0"/>
          <w:numId w:val="4"/>
        </w:numPr>
        <w:spacing w:before="120" w:beforeLines="50" w:line="560" w:lineRule="exact"/>
        <w:ind w:left="0" w:firstLine="0"/>
        <w:jc w:val="center"/>
        <w:rPr>
          <w:rFonts w:hint="eastAsia" w:ascii="黑体" w:hAnsi="黑体" w:eastAsia="黑体"/>
          <w:b/>
          <w:sz w:val="28"/>
          <w:szCs w:val="28"/>
        </w:rPr>
      </w:pPr>
      <w:r>
        <w:rPr>
          <w:rFonts w:hint="eastAsia" w:ascii="黑体" w:hAnsi="黑体" w:eastAsia="黑体"/>
          <w:b/>
          <w:sz w:val="28"/>
          <w:szCs w:val="28"/>
        </w:rPr>
        <w:t>附则</w:t>
      </w:r>
    </w:p>
    <w:p w14:paraId="50241B3C">
      <w:pPr>
        <w:spacing w:line="500" w:lineRule="exact"/>
        <w:rPr>
          <w:rFonts w:ascii="Times New Roman" w:hAnsi="Times New Roman" w:eastAsia="仿宋_GB2312"/>
          <w:sz w:val="28"/>
          <w:szCs w:val="28"/>
        </w:rPr>
      </w:pPr>
      <w:r>
        <w:rPr>
          <w:rFonts w:ascii="Times New Roman" w:hAnsi="Times New Roman" w:eastAsia="楷体_GB2312"/>
          <w:b/>
          <w:sz w:val="28"/>
          <w:szCs w:val="28"/>
        </w:rPr>
        <w:t>第</w:t>
      </w:r>
      <w:r>
        <w:rPr>
          <w:rFonts w:hint="eastAsia" w:ascii="Times New Roman" w:hAnsi="Times New Roman" w:eastAsia="楷体_GB2312"/>
          <w:b/>
          <w:sz w:val="28"/>
          <w:szCs w:val="28"/>
        </w:rPr>
        <w:t>十七</w:t>
      </w:r>
      <w:r>
        <w:rPr>
          <w:rFonts w:ascii="Times New Roman" w:hAnsi="Times New Roman" w:eastAsia="楷体_GB2312"/>
          <w:b/>
          <w:sz w:val="28"/>
          <w:szCs w:val="28"/>
        </w:rPr>
        <w:t>条</w:t>
      </w:r>
      <w:r>
        <w:rPr>
          <w:rFonts w:ascii="仿宋_GB2312" w:hAnsi="宋体" w:eastAsia="仿宋_GB2312"/>
          <w:b/>
          <w:sz w:val="28"/>
          <w:szCs w:val="28"/>
        </w:rPr>
        <w:t xml:space="preserve"> </w:t>
      </w:r>
      <w:r>
        <w:rPr>
          <w:rFonts w:ascii="Times New Roman" w:hAnsi="Times New Roman" w:eastAsia="仿宋_GB2312"/>
          <w:sz w:val="28"/>
          <w:szCs w:val="28"/>
        </w:rPr>
        <w:t>本办法由上海市道路运输事业发展中心负责解释。</w:t>
      </w:r>
    </w:p>
    <w:p w14:paraId="1435B6E6">
      <w:pPr>
        <w:widowControl/>
        <w:spacing w:line="500" w:lineRule="exact"/>
        <w:rPr>
          <w:rFonts w:ascii="Times New Roman" w:hAnsi="Times New Roman" w:eastAsia="仿宋_GB2312"/>
          <w:sz w:val="28"/>
          <w:szCs w:val="28"/>
        </w:rPr>
      </w:pPr>
      <w:r>
        <w:rPr>
          <w:rFonts w:ascii="Times New Roman" w:hAnsi="Times New Roman" w:eastAsia="楷体_GB2312"/>
          <w:b/>
          <w:sz w:val="28"/>
          <w:szCs w:val="28"/>
        </w:rPr>
        <w:t>第十</w:t>
      </w:r>
      <w:r>
        <w:rPr>
          <w:rFonts w:hint="eastAsia" w:ascii="Times New Roman" w:hAnsi="Times New Roman" w:eastAsia="楷体_GB2312"/>
          <w:b/>
          <w:sz w:val="28"/>
          <w:szCs w:val="28"/>
        </w:rPr>
        <w:t>八</w:t>
      </w:r>
      <w:r>
        <w:rPr>
          <w:rFonts w:ascii="Times New Roman" w:hAnsi="Times New Roman" w:eastAsia="楷体_GB2312"/>
          <w:b/>
          <w:sz w:val="28"/>
          <w:szCs w:val="28"/>
        </w:rPr>
        <w:t xml:space="preserve">条 </w:t>
      </w:r>
      <w:r>
        <w:rPr>
          <w:rFonts w:ascii="Times New Roman" w:hAnsi="Times New Roman" w:eastAsia="仿宋_GB2312"/>
          <w:sz w:val="28"/>
          <w:szCs w:val="28"/>
        </w:rPr>
        <w:t>本办法自 2024 年 10 月 1 日起试行。</w:t>
      </w:r>
    </w:p>
    <w:p w14:paraId="6BB650D2">
      <w:pPr>
        <w:widowControl/>
        <w:spacing w:line="500" w:lineRule="exact"/>
        <w:rPr>
          <w:rFonts w:hint="eastAsia" w:ascii="仿宋_GB2312" w:hAnsi="仿宋_GB2312" w:eastAsia="仿宋_GB2312"/>
          <w:sz w:val="24"/>
        </w:rPr>
      </w:pPr>
    </w:p>
    <w:p w14:paraId="4C477C21">
      <w:pPr>
        <w:widowControl/>
        <w:spacing w:line="500" w:lineRule="exact"/>
        <w:rPr>
          <w:rFonts w:hint="eastAsia" w:ascii="仿宋_GB2312" w:hAnsi="仿宋_GB2312" w:eastAsia="仿宋_GB2312"/>
          <w:sz w:val="24"/>
        </w:rPr>
      </w:pPr>
      <w:r>
        <w:rPr>
          <w:rFonts w:hint="eastAsia" w:ascii="仿宋_GB2312" w:hAnsi="仿宋_GB2312" w:eastAsia="仿宋_GB2312"/>
          <w:sz w:val="24"/>
        </w:rPr>
        <w:br w:type="page"/>
      </w:r>
    </w:p>
    <w:p w14:paraId="6D71D0EE">
      <w:pPr>
        <w:topLinePunct/>
        <w:adjustRightInd w:val="0"/>
        <w:snapToGrid w:val="0"/>
        <w:spacing w:line="480" w:lineRule="auto"/>
        <w:jc w:val="center"/>
        <w:rPr>
          <w:rFonts w:hint="eastAsia" w:ascii="黑体" w:hAnsi="黑体" w:eastAsia="黑体"/>
          <w:sz w:val="32"/>
          <w:szCs w:val="40"/>
        </w:rPr>
      </w:pPr>
      <w:r>
        <w:rPr>
          <w:rFonts w:hint="eastAsia" w:ascii="黑体" w:hAnsi="黑体" w:eastAsia="黑体"/>
          <w:sz w:val="32"/>
          <w:szCs w:val="40"/>
        </w:rPr>
        <w:t>附件目录</w:t>
      </w:r>
    </w:p>
    <w:p w14:paraId="42693D96">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一、考核依据</w:t>
      </w:r>
    </w:p>
    <w:p w14:paraId="5A6C7889">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二、市管城市道路主体设施养护运维月度考核评分细则（修订）（略）</w:t>
      </w:r>
    </w:p>
    <w:p w14:paraId="0E58FFD5">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三、市管设施下部涂装保洁工作考核评分细则（略）</w:t>
      </w:r>
    </w:p>
    <w:p w14:paraId="075B3C9D">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四、市管城市道路绿化养护工作考核评分细则</w:t>
      </w:r>
    </w:p>
    <w:p w14:paraId="52310948">
      <w:pPr>
        <w:topLinePunct/>
        <w:adjustRightInd w:val="0"/>
        <w:snapToGrid w:val="0"/>
        <w:spacing w:line="480" w:lineRule="auto"/>
        <w:rPr>
          <w:rFonts w:ascii="仿宋_GB2312" w:eastAsia="仿宋_GB2312"/>
          <w:sz w:val="28"/>
          <w:szCs w:val="36"/>
        </w:rPr>
      </w:pPr>
      <w:r>
        <w:rPr>
          <w:rFonts w:hint="eastAsia" w:ascii="仿宋_GB2312" w:eastAsia="仿宋_GB2312"/>
          <w:sz w:val="28"/>
          <w:szCs w:val="36"/>
        </w:rPr>
        <w:t>五、市管城市道路景观灯光养护运维考核评分细则（略）</w:t>
      </w:r>
    </w:p>
    <w:p w14:paraId="3E3DFC7A">
      <w:pPr>
        <w:topLinePunct/>
        <w:adjustRightInd w:val="0"/>
        <w:snapToGrid w:val="0"/>
        <w:spacing w:line="360" w:lineRule="auto"/>
        <w:rPr>
          <w:rFonts w:ascii="Times New Roman" w:hAnsi="Times New Roman"/>
          <w:b/>
          <w:bCs/>
          <w:sz w:val="32"/>
          <w:szCs w:val="32"/>
        </w:rPr>
      </w:pPr>
      <w:r>
        <w:rPr>
          <w:rFonts w:ascii="Times New Roman" w:hAnsi="Times New Roman"/>
          <w:b/>
          <w:bCs/>
          <w:sz w:val="32"/>
          <w:szCs w:val="32"/>
        </w:rPr>
        <w:br w:type="page"/>
      </w:r>
    </w:p>
    <w:p w14:paraId="6B0BAEAE">
      <w:pPr>
        <w:topLinePunct/>
        <w:adjustRightInd w:val="0"/>
        <w:snapToGrid w:val="0"/>
        <w:spacing w:line="360" w:lineRule="auto"/>
        <w:rPr>
          <w:rFonts w:hint="eastAsia" w:ascii="黑体" w:hAnsi="黑体" w:eastAsia="黑体"/>
          <w:bCs/>
          <w:kern w:val="0"/>
          <w:sz w:val="28"/>
          <w:szCs w:val="28"/>
        </w:rPr>
      </w:pPr>
      <w:r>
        <w:rPr>
          <w:rFonts w:hint="eastAsia" w:ascii="黑体" w:hAnsi="黑体" w:eastAsia="黑体"/>
          <w:bCs/>
          <w:kern w:val="0"/>
          <w:sz w:val="28"/>
          <w:szCs w:val="28"/>
        </w:rPr>
        <w:t>附件一：</w:t>
      </w:r>
    </w:p>
    <w:p w14:paraId="3A394BA9">
      <w:pPr>
        <w:topLinePunct/>
        <w:adjustRightInd w:val="0"/>
        <w:snapToGrid w:val="0"/>
        <w:spacing w:line="360" w:lineRule="auto"/>
        <w:jc w:val="center"/>
        <w:rPr>
          <w:rFonts w:hint="eastAsia" w:ascii="Times New Roman" w:hAnsi="华文中宋" w:eastAsia="华文中宋"/>
          <w:b/>
          <w:kern w:val="0"/>
          <w:sz w:val="32"/>
          <w:szCs w:val="32"/>
        </w:rPr>
      </w:pPr>
      <w:r>
        <w:rPr>
          <w:rFonts w:hint="eastAsia" w:ascii="Times New Roman" w:hAnsi="华文中宋" w:eastAsia="华文中宋"/>
          <w:b/>
          <w:kern w:val="0"/>
          <w:sz w:val="32"/>
          <w:szCs w:val="32"/>
        </w:rPr>
        <w:t>考核依据</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7"/>
        <w:gridCol w:w="7303"/>
      </w:tblGrid>
      <w:tr w14:paraId="063C4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3187560">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编号</w:t>
            </w:r>
          </w:p>
        </w:tc>
        <w:tc>
          <w:tcPr>
            <w:tcW w:w="7303" w:type="dxa"/>
            <w:vAlign w:val="center"/>
          </w:tcPr>
          <w:p w14:paraId="1C5BBBB2">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规范名称</w:t>
            </w:r>
          </w:p>
        </w:tc>
      </w:tr>
      <w:tr w14:paraId="37F81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2087182">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w:t>
            </w:r>
          </w:p>
        </w:tc>
        <w:tc>
          <w:tcPr>
            <w:tcW w:w="7303" w:type="dxa"/>
            <w:vAlign w:val="center"/>
          </w:tcPr>
          <w:p w14:paraId="28F772B4">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《城镇道路养护技术规范》（CJJ36）</w:t>
            </w:r>
          </w:p>
        </w:tc>
      </w:tr>
      <w:tr w14:paraId="3CDAF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435ECF3">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w:t>
            </w:r>
          </w:p>
        </w:tc>
        <w:tc>
          <w:tcPr>
            <w:tcW w:w="7303" w:type="dxa"/>
            <w:vAlign w:val="center"/>
          </w:tcPr>
          <w:p w14:paraId="63CFFAF2">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《城市桥梁养护技术标准》（CJJ99）</w:t>
            </w:r>
          </w:p>
        </w:tc>
      </w:tr>
      <w:tr w14:paraId="66966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7A23FF9">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3</w:t>
            </w:r>
          </w:p>
        </w:tc>
        <w:tc>
          <w:tcPr>
            <w:tcW w:w="7303" w:type="dxa"/>
            <w:vAlign w:val="center"/>
          </w:tcPr>
          <w:p w14:paraId="667D0E31">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《隧道养护技术规程》（DG/TJ08-2175）</w:t>
            </w:r>
          </w:p>
        </w:tc>
      </w:tr>
      <w:tr w14:paraId="5BCFD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3D6103C">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4</w:t>
            </w:r>
          </w:p>
        </w:tc>
        <w:tc>
          <w:tcPr>
            <w:tcW w:w="7303" w:type="dxa"/>
            <w:vAlign w:val="center"/>
          </w:tcPr>
          <w:p w14:paraId="3639A085">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《城市高架道路养护技术规范》（DB31/T 678）</w:t>
            </w:r>
          </w:p>
        </w:tc>
      </w:tr>
      <w:tr w14:paraId="3008D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F58373E">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5</w:t>
            </w:r>
          </w:p>
        </w:tc>
        <w:tc>
          <w:tcPr>
            <w:tcW w:w="7303" w:type="dxa"/>
            <w:vAlign w:val="center"/>
          </w:tcPr>
          <w:p w14:paraId="064C1686">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《城市道路养护技术规程》（DG/TJ08-92）</w:t>
            </w:r>
          </w:p>
        </w:tc>
      </w:tr>
      <w:tr w14:paraId="29150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DAF06CB">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6</w:t>
            </w:r>
          </w:p>
        </w:tc>
        <w:tc>
          <w:tcPr>
            <w:tcW w:w="7303" w:type="dxa"/>
            <w:vAlign w:val="center"/>
          </w:tcPr>
          <w:p w14:paraId="1EA4887E">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《城市桥梁养护技术规程》（DG/TJ08-2145）</w:t>
            </w:r>
          </w:p>
        </w:tc>
      </w:tr>
      <w:tr w14:paraId="5622B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27F07325">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7</w:t>
            </w:r>
          </w:p>
        </w:tc>
        <w:tc>
          <w:tcPr>
            <w:tcW w:w="7303" w:type="dxa"/>
            <w:vAlign w:val="center"/>
          </w:tcPr>
          <w:p w14:paraId="4E7E161A">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《城市综合管廊维护技术规程》（DG/TJ08-2168）</w:t>
            </w:r>
          </w:p>
        </w:tc>
      </w:tr>
      <w:tr w14:paraId="3C2E6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0DE409C6">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8</w:t>
            </w:r>
          </w:p>
        </w:tc>
        <w:tc>
          <w:tcPr>
            <w:tcW w:w="7303" w:type="dxa"/>
            <w:vAlign w:val="center"/>
          </w:tcPr>
          <w:p w14:paraId="00579CFE">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《桥梁结构检测技术规程》（DG/TJ08-2149）</w:t>
            </w:r>
          </w:p>
        </w:tc>
      </w:tr>
      <w:tr w14:paraId="1DFBF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B62775B">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9</w:t>
            </w:r>
          </w:p>
        </w:tc>
        <w:tc>
          <w:tcPr>
            <w:tcW w:w="7303" w:type="dxa"/>
            <w:vAlign w:val="center"/>
          </w:tcPr>
          <w:p w14:paraId="6B89BBF1">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《城市桥梁结构加固技术规程》（CJJ/T 239）</w:t>
            </w:r>
          </w:p>
        </w:tc>
      </w:tr>
      <w:tr w14:paraId="3A6E6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672F148E">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10</w:t>
            </w:r>
          </w:p>
        </w:tc>
        <w:tc>
          <w:tcPr>
            <w:tcW w:w="7303" w:type="dxa"/>
            <w:vAlign w:val="center"/>
          </w:tcPr>
          <w:p w14:paraId="14346E0B">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《城市道路工程施工与质量验收规范》（CJJ1）</w:t>
            </w:r>
          </w:p>
        </w:tc>
      </w:tr>
      <w:tr w14:paraId="4A4AB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8CE39E2">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11</w:t>
            </w:r>
          </w:p>
        </w:tc>
        <w:tc>
          <w:tcPr>
            <w:tcW w:w="7303" w:type="dxa"/>
            <w:vAlign w:val="center"/>
          </w:tcPr>
          <w:p w14:paraId="5A8F660C">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《城市桥梁工程施工与质量验收规范》（CJJ2）</w:t>
            </w:r>
          </w:p>
        </w:tc>
      </w:tr>
      <w:tr w14:paraId="1113D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2F5FF528">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12</w:t>
            </w:r>
          </w:p>
        </w:tc>
        <w:tc>
          <w:tcPr>
            <w:tcW w:w="7303" w:type="dxa"/>
            <w:vAlign w:val="center"/>
          </w:tcPr>
          <w:p w14:paraId="0F4CD1A8">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《城市道路和桥梁数据采集标准》（DG/TJ08-2284）</w:t>
            </w:r>
          </w:p>
        </w:tc>
      </w:tr>
      <w:tr w14:paraId="22305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032C0BA">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13</w:t>
            </w:r>
          </w:p>
        </w:tc>
        <w:tc>
          <w:tcPr>
            <w:tcW w:w="7303" w:type="dxa"/>
            <w:vAlign w:val="center"/>
          </w:tcPr>
          <w:p w14:paraId="76186D91">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《城市道路养护维修作业安全技术规程》（DG/TJ08-2183）</w:t>
            </w:r>
          </w:p>
        </w:tc>
      </w:tr>
      <w:tr w14:paraId="0583C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3900A97">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14</w:t>
            </w:r>
          </w:p>
        </w:tc>
        <w:tc>
          <w:tcPr>
            <w:tcW w:w="7303" w:type="dxa"/>
            <w:vAlign w:val="center"/>
          </w:tcPr>
          <w:p w14:paraId="37F3229D">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《上海市市政道路机电系统维护技术规程》（DG/TJ 08-2171）</w:t>
            </w:r>
          </w:p>
        </w:tc>
      </w:tr>
      <w:tr w14:paraId="493CD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2A6E2BFF">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15</w:t>
            </w:r>
          </w:p>
        </w:tc>
        <w:tc>
          <w:tcPr>
            <w:tcW w:w="7303" w:type="dxa"/>
            <w:vAlign w:val="center"/>
          </w:tcPr>
          <w:p w14:paraId="5F9A9B18">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《城市道路交通标志、标线、信号设施养护技术标准》（DG/TJ08-2256）</w:t>
            </w:r>
          </w:p>
        </w:tc>
      </w:tr>
      <w:tr w14:paraId="7B92D2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D0AE367">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16</w:t>
            </w:r>
          </w:p>
        </w:tc>
        <w:tc>
          <w:tcPr>
            <w:tcW w:w="7303" w:type="dxa"/>
            <w:vAlign w:val="center"/>
          </w:tcPr>
          <w:p w14:paraId="65C2C1D4">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《道路声屏障结构技术规范》（DG/TJ08-2086）</w:t>
            </w:r>
          </w:p>
        </w:tc>
      </w:tr>
      <w:tr w14:paraId="74253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AB2EA66">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17</w:t>
            </w:r>
          </w:p>
        </w:tc>
        <w:tc>
          <w:tcPr>
            <w:tcW w:w="7303" w:type="dxa"/>
            <w:vAlign w:val="center"/>
          </w:tcPr>
          <w:p w14:paraId="4CD7214C">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《斜拉桥养护技术规程》（SZ-09）</w:t>
            </w:r>
          </w:p>
        </w:tc>
      </w:tr>
      <w:tr w14:paraId="34CC0E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53A4BAEC">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18</w:t>
            </w:r>
          </w:p>
        </w:tc>
        <w:tc>
          <w:tcPr>
            <w:tcW w:w="7303" w:type="dxa"/>
            <w:vAlign w:val="center"/>
          </w:tcPr>
          <w:p w14:paraId="71A3D26A">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《卢浦大桥养护技术规程》（市建交委2009行业标准）</w:t>
            </w:r>
          </w:p>
        </w:tc>
      </w:tr>
      <w:tr w14:paraId="1F294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13612765">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19</w:t>
            </w:r>
          </w:p>
        </w:tc>
        <w:tc>
          <w:tcPr>
            <w:tcW w:w="7303" w:type="dxa"/>
            <w:vAlign w:val="center"/>
          </w:tcPr>
          <w:p w14:paraId="1130FB67">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《城市桥梁、隧道安全保护区域技术标准》（</w:t>
            </w:r>
            <w:r>
              <w:rPr>
                <w:rFonts w:hint="eastAsia" w:ascii="仿宋_GB2312" w:hAnsi="宋体" w:eastAsia="仿宋_GB2312" w:cs="宋体"/>
                <w:szCs w:val="21"/>
                <w:lang w:eastAsia="ja-JP"/>
              </w:rPr>
              <w:t>沪建交〔2010〕511号</w:t>
            </w:r>
            <w:r>
              <w:rPr>
                <w:rFonts w:hint="eastAsia" w:ascii="仿宋_GB2312" w:hAnsi="宋体" w:eastAsia="仿宋_GB2312"/>
                <w:color w:val="000000"/>
                <w:kern w:val="0"/>
                <w:sz w:val="20"/>
                <w:szCs w:val="20"/>
                <w:lang w:eastAsia="ja-JP"/>
              </w:rPr>
              <w:t>）</w:t>
            </w:r>
          </w:p>
        </w:tc>
      </w:tr>
      <w:tr w14:paraId="254DC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0E125D0F">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20</w:t>
            </w:r>
          </w:p>
        </w:tc>
        <w:tc>
          <w:tcPr>
            <w:tcW w:w="7303" w:type="dxa"/>
            <w:vAlign w:val="center"/>
          </w:tcPr>
          <w:p w14:paraId="7188B9D3">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《上海城市桥梁限载标准》（SZ-C-E02）</w:t>
            </w:r>
          </w:p>
        </w:tc>
      </w:tr>
      <w:tr w14:paraId="23A75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340D7E2B">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21</w:t>
            </w:r>
          </w:p>
        </w:tc>
        <w:tc>
          <w:tcPr>
            <w:tcW w:w="7303" w:type="dxa"/>
            <w:vAlign w:val="center"/>
          </w:tcPr>
          <w:p w14:paraId="04AE094C">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《桥梁结构健康监测系统设计与实施标准》</w:t>
            </w:r>
          </w:p>
        </w:tc>
      </w:tr>
      <w:tr w14:paraId="22BB5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66734A70">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22</w:t>
            </w:r>
          </w:p>
        </w:tc>
        <w:tc>
          <w:tcPr>
            <w:tcW w:w="7303" w:type="dxa"/>
            <w:vAlign w:val="center"/>
          </w:tcPr>
          <w:p w14:paraId="6FFB9CCD">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上海市防汛防台应急响应规范（沪道运安委办〔2022〕41 号）</w:t>
            </w:r>
          </w:p>
        </w:tc>
      </w:tr>
      <w:tr w14:paraId="7B7B3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07FE4A99">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23</w:t>
            </w:r>
          </w:p>
        </w:tc>
        <w:tc>
          <w:tcPr>
            <w:tcW w:w="7303" w:type="dxa"/>
            <w:vAlign w:val="center"/>
          </w:tcPr>
          <w:p w14:paraId="41808BAD">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《城市道路工程设计规范》(CJJ37-2012)</w:t>
            </w:r>
          </w:p>
        </w:tc>
      </w:tr>
      <w:tr w14:paraId="1A9B1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1501814">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24</w:t>
            </w:r>
          </w:p>
        </w:tc>
        <w:tc>
          <w:tcPr>
            <w:tcW w:w="7303" w:type="dxa"/>
            <w:vAlign w:val="center"/>
          </w:tcPr>
          <w:p w14:paraId="38B88A36">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w:t>
            </w:r>
            <w:r>
              <w:rPr>
                <w:rFonts w:hint="eastAsia" w:ascii="仿宋_GB2312" w:hAnsi="宋体" w:eastAsia="仿宋_GB2312" w:cs="宋体"/>
                <w:szCs w:val="21"/>
                <w:lang w:eastAsia="ja-JP"/>
              </w:rPr>
              <w:t>城镇排水管渠与泵站运行、维护及安全技术规程</w:t>
            </w:r>
            <w:r>
              <w:rPr>
                <w:rFonts w:hint="eastAsia" w:ascii="仿宋_GB2312" w:hAnsi="宋体" w:eastAsia="仿宋_GB2312"/>
                <w:color w:val="000000"/>
                <w:kern w:val="0"/>
                <w:sz w:val="20"/>
                <w:szCs w:val="20"/>
                <w:lang w:eastAsia="ja-JP"/>
              </w:rPr>
              <w:t>》（</w:t>
            </w:r>
            <w:r>
              <w:rPr>
                <w:rFonts w:hint="eastAsia" w:ascii="仿宋_GB2312" w:hAnsi="宋体" w:eastAsia="仿宋_GB2312" w:cs="宋体"/>
                <w:szCs w:val="21"/>
                <w:lang w:eastAsia="ja-JP"/>
              </w:rPr>
              <w:t>CJJ 68—2016</w:t>
            </w:r>
            <w:r>
              <w:rPr>
                <w:rFonts w:hint="eastAsia" w:ascii="仿宋_GB2312" w:hAnsi="宋体" w:eastAsia="仿宋_GB2312"/>
                <w:color w:val="000000"/>
                <w:kern w:val="0"/>
                <w:sz w:val="20"/>
                <w:szCs w:val="20"/>
                <w:lang w:eastAsia="ja-JP"/>
              </w:rPr>
              <w:t>）</w:t>
            </w:r>
          </w:p>
        </w:tc>
      </w:tr>
      <w:tr w14:paraId="08773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4AB65C22">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25</w:t>
            </w:r>
          </w:p>
        </w:tc>
        <w:tc>
          <w:tcPr>
            <w:tcW w:w="7303" w:type="dxa"/>
            <w:vAlign w:val="center"/>
          </w:tcPr>
          <w:p w14:paraId="50F95679">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道路照明设施运行养护标准（DG/TJ08-2215-2016）</w:t>
            </w:r>
          </w:p>
        </w:tc>
      </w:tr>
      <w:tr w14:paraId="5CB9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987" w:type="dxa"/>
            <w:vAlign w:val="center"/>
          </w:tcPr>
          <w:p w14:paraId="6164139B">
            <w:pPr>
              <w:topLinePunct/>
              <w:adjustRightInd w:val="0"/>
              <w:jc w:val="center"/>
              <w:rPr>
                <w:rFonts w:hint="eastAsia" w:ascii="仿宋_GB2312" w:hAnsi="宋体" w:eastAsia="仿宋_GB2312"/>
                <w:color w:val="000000"/>
                <w:kern w:val="0"/>
                <w:sz w:val="20"/>
                <w:szCs w:val="20"/>
                <w:lang w:eastAsia="ja-JP"/>
              </w:rPr>
            </w:pPr>
            <w:r>
              <w:rPr>
                <w:rFonts w:hint="eastAsia" w:ascii="仿宋_GB2312" w:hAnsi="宋体" w:eastAsia="仿宋_GB2312"/>
                <w:color w:val="000000"/>
                <w:kern w:val="0"/>
                <w:sz w:val="20"/>
                <w:szCs w:val="20"/>
                <w:lang w:eastAsia="ja-JP"/>
              </w:rPr>
              <w:t>26</w:t>
            </w:r>
          </w:p>
        </w:tc>
        <w:tc>
          <w:tcPr>
            <w:tcW w:w="7303" w:type="dxa"/>
            <w:vAlign w:val="center"/>
          </w:tcPr>
          <w:p w14:paraId="575115AC">
            <w:pPr>
              <w:topLinePunct/>
              <w:adjustRightInd w:val="0"/>
              <w:rPr>
                <w:rFonts w:hint="eastAsia" w:ascii="仿宋_GB2312" w:hAnsi="宋体" w:eastAsia="仿宋_GB2312"/>
                <w:color w:val="000000"/>
                <w:kern w:val="0"/>
                <w:sz w:val="20"/>
                <w:szCs w:val="20"/>
                <w:lang w:eastAsia="ja-JP"/>
              </w:rPr>
            </w:pPr>
            <w:r>
              <w:rPr>
                <w:rFonts w:hint="eastAsia" w:ascii="仿宋_GB2312" w:hAnsi="宋体" w:eastAsia="仿宋_GB2312" w:cs="宋体"/>
                <w:szCs w:val="21"/>
                <w:lang w:eastAsia="ja-JP"/>
              </w:rPr>
              <w:t>道路隧道养护运行评价技术标准（DG/TJ08-2425-2023）</w:t>
            </w:r>
          </w:p>
        </w:tc>
      </w:tr>
    </w:tbl>
    <w:p w14:paraId="4A8D3901">
      <w:pPr>
        <w:topLinePunct/>
        <w:adjustRightInd w:val="0"/>
        <w:snapToGrid w:val="0"/>
        <w:jc w:val="left"/>
        <w:rPr>
          <w:rFonts w:ascii="Times New Roman" w:hAnsi="Times New Roman"/>
          <w:b/>
          <w:bCs/>
          <w:sz w:val="32"/>
          <w:szCs w:val="32"/>
        </w:rPr>
      </w:pPr>
      <w:r>
        <w:rPr>
          <w:rFonts w:ascii="Times New Roman" w:hAnsi="Times New Roman"/>
          <w:b/>
          <w:bCs/>
          <w:sz w:val="32"/>
          <w:szCs w:val="32"/>
        </w:rPr>
        <w:br w:type="page"/>
      </w:r>
    </w:p>
    <w:p w14:paraId="26D0BB20">
      <w:pPr>
        <w:topLinePunct/>
        <w:adjustRightInd w:val="0"/>
        <w:snapToGrid w:val="0"/>
        <w:jc w:val="left"/>
        <w:rPr>
          <w:rFonts w:hint="eastAsia" w:ascii="黑体" w:hAnsi="黑体" w:eastAsia="黑体"/>
          <w:bCs/>
          <w:kern w:val="0"/>
          <w:sz w:val="28"/>
          <w:szCs w:val="28"/>
        </w:rPr>
      </w:pPr>
      <w:r>
        <w:rPr>
          <w:rFonts w:hint="eastAsia" w:ascii="黑体" w:hAnsi="黑体" w:eastAsia="黑体"/>
          <w:bCs/>
          <w:kern w:val="0"/>
          <w:sz w:val="28"/>
          <w:szCs w:val="28"/>
        </w:rPr>
        <w:t>附件四：</w:t>
      </w:r>
    </w:p>
    <w:p w14:paraId="30A77359">
      <w:pPr>
        <w:widowControl/>
        <w:spacing w:line="500" w:lineRule="exact"/>
        <w:rPr>
          <w:rFonts w:hint="eastAsia" w:ascii="仿宋_GB2312" w:hAnsi="仿宋_GB2312" w:eastAsia="仿宋_GB2312"/>
          <w:sz w:val="24"/>
        </w:rPr>
      </w:pPr>
    </w:p>
    <w:p w14:paraId="2300E411">
      <w:pPr>
        <w:topLinePunct/>
        <w:adjustRightInd w:val="0"/>
        <w:snapToGrid w:val="0"/>
        <w:spacing w:before="120" w:beforeLines="50" w:after="120" w:afterLines="50" w:line="360" w:lineRule="auto"/>
        <w:jc w:val="center"/>
        <w:textAlignment w:val="center"/>
        <w:rPr>
          <w:rFonts w:hint="eastAsia" w:ascii="Times New Roman" w:hAnsi="华文中宋" w:eastAsia="华文中宋"/>
          <w:b/>
          <w:kern w:val="0"/>
          <w:sz w:val="32"/>
          <w:szCs w:val="32"/>
        </w:rPr>
      </w:pPr>
      <w:r>
        <w:rPr>
          <w:rFonts w:hint="eastAsia" w:ascii="Times New Roman" w:hAnsi="华文中宋" w:eastAsia="华文中宋"/>
          <w:b/>
          <w:kern w:val="0"/>
          <w:sz w:val="32"/>
          <w:szCs w:val="32"/>
        </w:rPr>
        <w:t>市管城市道路绿化养护工作考核评分细则</w:t>
      </w:r>
    </w:p>
    <w:p w14:paraId="743A25A2">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为进一步完善市管城市道路日常养护运维考核办法，提高城市道路养护运维质量，保证考核评分工作规范化和可操作性，根据《上海市道路运输事业发展中心市管城市道路日常养护运维工作考核管理办法（试行）》，结合绿化养护技术规范以及检查考核工作实践，修订《市管城市道路绿化养护工作考核评分细则》（以下简称“评分细则”）如下。</w:t>
      </w:r>
    </w:p>
    <w:p w14:paraId="75C2A04C">
      <w:pPr>
        <w:topLinePunct/>
        <w:adjustRightInd w:val="0"/>
        <w:snapToGrid w:val="0"/>
        <w:spacing w:line="360" w:lineRule="auto"/>
        <w:ind w:firstLine="482" w:firstLineChars="200"/>
        <w:rPr>
          <w:rFonts w:hint="eastAsia" w:ascii="黑体" w:hAnsi="黑体" w:eastAsia="黑体"/>
          <w:b/>
          <w:bCs/>
          <w:sz w:val="24"/>
        </w:rPr>
      </w:pPr>
      <w:r>
        <w:rPr>
          <w:rFonts w:hint="eastAsia" w:ascii="黑体" w:hAnsi="黑体" w:eastAsia="黑体"/>
          <w:b/>
          <w:bCs/>
          <w:sz w:val="24"/>
        </w:rPr>
        <w:t>一、定量考核（6</w:t>
      </w:r>
      <w:r>
        <w:rPr>
          <w:rFonts w:ascii="黑体" w:hAnsi="黑体" w:eastAsia="黑体"/>
          <w:b/>
          <w:bCs/>
          <w:sz w:val="24"/>
        </w:rPr>
        <w:t>0</w:t>
      </w:r>
      <w:r>
        <w:rPr>
          <w:rFonts w:hint="eastAsia" w:ascii="黑体" w:hAnsi="黑体" w:eastAsia="黑体"/>
          <w:b/>
          <w:bCs/>
          <w:sz w:val="24"/>
        </w:rPr>
        <w:t>分）</w:t>
      </w:r>
    </w:p>
    <w:p w14:paraId="468C8BE7">
      <w:pPr>
        <w:topLinePunct/>
        <w:adjustRightInd w:val="0"/>
        <w:snapToGrid w:val="0"/>
        <w:spacing w:line="360" w:lineRule="auto"/>
        <w:ind w:firstLine="482" w:firstLineChars="200"/>
        <w:rPr>
          <w:rFonts w:hint="eastAsia" w:ascii="微软雅黑" w:hAnsi="微软雅黑" w:eastAsia="微软雅黑" w:cs="微软雅黑"/>
          <w:color w:val="333333"/>
          <w:szCs w:val="21"/>
          <w:shd w:val="clear" w:color="auto" w:fill="FFFFFF"/>
        </w:rPr>
      </w:pPr>
      <w:r>
        <w:rPr>
          <w:rFonts w:hint="eastAsia" w:ascii="楷体_GB2312" w:hAnsi="宋体" w:eastAsia="楷体_GB2312"/>
          <w:b/>
          <w:bCs/>
          <w:sz w:val="24"/>
        </w:rPr>
        <w:t>1.巡查覆盖率</w:t>
      </w:r>
    </w:p>
    <w:p w14:paraId="18E00658">
      <w:pPr>
        <w:topLinePunct/>
        <w:adjustRightInd w:val="0"/>
        <w:snapToGrid w:val="0"/>
        <w:spacing w:line="360" w:lineRule="auto"/>
        <w:ind w:firstLine="480" w:firstLineChars="200"/>
        <w:rPr>
          <w:rFonts w:hint="eastAsia" w:ascii="仿宋_GB2312" w:hAnsi="仿宋_GB2312" w:eastAsia="仿宋_GB2312"/>
          <w:sz w:val="24"/>
        </w:rPr>
      </w:pPr>
      <w:r>
        <w:rPr>
          <w:rFonts w:hint="eastAsia" w:ascii="仿宋_GB2312" w:hAnsi="仿宋_GB2312" w:eastAsia="仿宋_GB2312"/>
          <w:sz w:val="24"/>
        </w:rPr>
        <w:t xml:space="preserve">满分 10 分。养护单位应每天对管养设施范围全覆盖巡查养护。要求道路巡查覆盖率达到规定作业里程的 </w:t>
      </w:r>
      <w:r>
        <w:rPr>
          <w:rFonts w:ascii="仿宋_GB2312" w:hAnsi="仿宋_GB2312" w:eastAsia="仿宋_GB2312"/>
          <w:sz w:val="24"/>
        </w:rPr>
        <w:t>100%，GPS巡查数据覆盖率达到规定作业里程的 9</w:t>
      </w:r>
      <w:r>
        <w:rPr>
          <w:rFonts w:hint="eastAsia" w:ascii="仿宋_GB2312" w:hAnsi="仿宋_GB2312" w:eastAsia="仿宋_GB2312"/>
          <w:sz w:val="24"/>
        </w:rPr>
        <w:t>0</w:t>
      </w:r>
      <w:r>
        <w:rPr>
          <w:rFonts w:ascii="仿宋_GB2312" w:hAnsi="仿宋_GB2312" w:eastAsia="仿宋_GB2312"/>
          <w:sz w:val="24"/>
        </w:rPr>
        <w:t>%以上</w:t>
      </w:r>
      <w:r>
        <w:rPr>
          <w:rFonts w:hint="eastAsia" w:ascii="仿宋_GB2312" w:hAnsi="仿宋_GB2312" w:eastAsia="仿宋_GB2312"/>
          <w:sz w:val="24"/>
        </w:rPr>
        <w:t>，针对南浦、杨浦大桥地面绿化、嘉闵高架地面绿化要求利用水印相机对桥两侧进行拍照打卡，打卡</w:t>
      </w:r>
      <w:r>
        <w:rPr>
          <w:rFonts w:ascii="仿宋_GB2312" w:hAnsi="仿宋_GB2312" w:eastAsia="仿宋_GB2312"/>
          <w:sz w:val="24"/>
        </w:rPr>
        <w:t>率应达到 100%。</w:t>
      </w:r>
      <w:r>
        <w:rPr>
          <w:rFonts w:hint="eastAsia" w:ascii="仿宋_GB2312" w:hAnsi="仿宋_GB2312" w:eastAsia="仿宋_GB2312"/>
          <w:sz w:val="24"/>
        </w:rPr>
        <w:t>不合格扣1分/天，扣完为止。</w:t>
      </w:r>
    </w:p>
    <w:p w14:paraId="6560273F">
      <w:pPr>
        <w:topLinePunct/>
        <w:adjustRightInd w:val="0"/>
        <w:snapToGrid w:val="0"/>
        <w:spacing w:line="360" w:lineRule="auto"/>
        <w:ind w:firstLine="482" w:firstLineChars="200"/>
        <w:rPr>
          <w:rFonts w:hint="eastAsia" w:ascii="楷体_GB2312" w:hAnsi="宋体" w:eastAsia="楷体_GB2312"/>
          <w:b/>
          <w:bCs/>
          <w:sz w:val="24"/>
        </w:rPr>
      </w:pPr>
      <w:r>
        <w:rPr>
          <w:rFonts w:hint="eastAsia" w:ascii="楷体_GB2312" w:hAnsi="宋体" w:eastAsia="楷体_GB2312"/>
          <w:b/>
          <w:bCs/>
          <w:sz w:val="24"/>
        </w:rPr>
        <w:t>2.病害处置率</w:t>
      </w:r>
    </w:p>
    <w:p w14:paraId="34CE8E74">
      <w:pPr>
        <w:topLinePunct/>
        <w:adjustRightInd w:val="0"/>
        <w:snapToGrid w:val="0"/>
        <w:spacing w:line="360" w:lineRule="auto"/>
        <w:ind w:firstLine="480" w:firstLineChars="200"/>
        <w:jc w:val="left"/>
        <w:rPr>
          <w:rFonts w:hint="eastAsia" w:ascii="仿宋_GB2312" w:hAnsi="仿宋_GB2312" w:eastAsia="仿宋_GB2312"/>
          <w:sz w:val="24"/>
        </w:rPr>
      </w:pPr>
      <w:r>
        <w:rPr>
          <w:rFonts w:hint="eastAsia" w:ascii="仿宋_GB2312" w:hAnsi="仿宋_GB2312" w:eastAsia="仿宋_GB2312"/>
          <w:sz w:val="24"/>
        </w:rPr>
        <w:t>满分 20 分。养护单位日常巡查发现的病害应及时录入至养护在线监管系统，并由监理单位复核其处置情况，在规定的处置时限内完成闭环。</w:t>
      </w:r>
    </w:p>
    <w:p w14:paraId="733BC790">
      <w:pPr>
        <w:topLinePunct/>
        <w:adjustRightInd w:val="0"/>
        <w:snapToGrid w:val="0"/>
        <w:spacing w:line="360" w:lineRule="auto"/>
        <w:ind w:firstLine="480" w:firstLineChars="200"/>
        <w:jc w:val="left"/>
        <w:rPr>
          <w:rFonts w:hint="eastAsia" w:ascii="仿宋_GB2312" w:hAnsi="仿宋_GB2312" w:eastAsia="仿宋_GB2312"/>
          <w:sz w:val="24"/>
        </w:rPr>
      </w:pPr>
      <w:r>
        <w:rPr>
          <w:rFonts w:hint="eastAsia" w:ascii="仿宋_GB2312" w:hAnsi="仿宋_GB2312" w:eastAsia="仿宋_GB2312"/>
          <w:sz w:val="24"/>
        </w:rPr>
        <w:t>（1）每季度上报养护在线监管系统的病害数量应达到相应标准，上报数量不少于150个/季度。未达到季度上报养护在线监管系统病害数量的扣 3 分。</w:t>
      </w:r>
    </w:p>
    <w:p w14:paraId="5763CDD5">
      <w:pPr>
        <w:topLinePunct/>
        <w:adjustRightInd w:val="0"/>
        <w:snapToGrid w:val="0"/>
        <w:spacing w:line="360" w:lineRule="auto"/>
        <w:jc w:val="left"/>
        <w:rPr>
          <w:rFonts w:hint="eastAsia" w:ascii="仿宋_GB2312" w:hAnsi="仿宋_GB2312" w:eastAsia="仿宋_GB2312"/>
          <w:sz w:val="24"/>
        </w:rPr>
      </w:pPr>
      <w:r>
        <w:rPr>
          <w:rFonts w:hint="eastAsia" w:ascii="仿宋_GB2312" w:hAnsi="仿宋_GB2312" w:eastAsia="仿宋_GB2312"/>
          <w:sz w:val="24"/>
        </w:rPr>
        <w:t>（2）病害按规定要求已处置完成，数量不少于 180个/季度（含业主、监理上报病害）。未按规定要求处置完成的扣 2 分。</w:t>
      </w:r>
    </w:p>
    <w:p w14:paraId="2ADC3B39">
      <w:pPr>
        <w:topLinePunct/>
        <w:adjustRightInd w:val="0"/>
        <w:snapToGrid w:val="0"/>
        <w:spacing w:line="360" w:lineRule="auto"/>
        <w:jc w:val="left"/>
        <w:rPr>
          <w:rFonts w:hint="eastAsia" w:ascii="仿宋_GB2312" w:hAnsi="仿宋_GB2312" w:eastAsia="仿宋_GB2312"/>
          <w:sz w:val="24"/>
        </w:rPr>
      </w:pPr>
      <w:r>
        <w:rPr>
          <w:rFonts w:hint="eastAsia" w:ascii="仿宋_GB2312" w:hAnsi="仿宋_GB2312" w:eastAsia="仿宋_GB2312"/>
          <w:sz w:val="24"/>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天。若因特殊原因出现逾期情况，需进行说明，由监理单位进行审核。</w:t>
      </w:r>
    </w:p>
    <w:p w14:paraId="5DD8C130">
      <w:pPr>
        <w:topLinePunct/>
        <w:adjustRightInd w:val="0"/>
        <w:snapToGrid w:val="0"/>
        <w:spacing w:line="360" w:lineRule="auto"/>
        <w:ind w:firstLine="482" w:firstLineChars="200"/>
        <w:rPr>
          <w:rFonts w:hint="eastAsia" w:ascii="楷体_GB2312" w:hAnsi="宋体" w:eastAsia="楷体_GB2312"/>
          <w:b/>
          <w:bCs/>
          <w:sz w:val="24"/>
        </w:rPr>
      </w:pPr>
      <w:r>
        <w:rPr>
          <w:rFonts w:hint="eastAsia" w:ascii="楷体_GB2312" w:hAnsi="宋体" w:eastAsia="楷体_GB2312"/>
          <w:b/>
          <w:bCs/>
          <w:sz w:val="24"/>
        </w:rPr>
        <w:t>3</w:t>
      </w:r>
      <w:r>
        <w:rPr>
          <w:rFonts w:ascii="楷体_GB2312" w:hAnsi="宋体" w:eastAsia="楷体_GB2312"/>
          <w:b/>
          <w:bCs/>
          <w:sz w:val="24"/>
        </w:rPr>
        <w:t xml:space="preserve">. </w:t>
      </w:r>
      <w:r>
        <w:rPr>
          <w:rFonts w:hint="eastAsia" w:ascii="楷体_GB2312" w:hAnsi="宋体" w:eastAsia="楷体_GB2312"/>
          <w:b/>
          <w:bCs/>
          <w:sz w:val="24"/>
        </w:rPr>
        <w:t>计划执行率</w:t>
      </w:r>
    </w:p>
    <w:p w14:paraId="5F783337">
      <w:pPr>
        <w:topLinePunct/>
        <w:adjustRightInd w:val="0"/>
        <w:snapToGrid w:val="0"/>
        <w:spacing w:line="360" w:lineRule="auto"/>
        <w:ind w:firstLine="480" w:firstLineChars="200"/>
        <w:rPr>
          <w:rFonts w:hint="eastAsia" w:ascii="仿宋_GB2312" w:hAnsi="仿宋_GB2312" w:eastAsia="仿宋_GB2312"/>
          <w:sz w:val="24"/>
        </w:rPr>
      </w:pPr>
      <w:r>
        <w:rPr>
          <w:rFonts w:hint="eastAsia" w:ascii="仿宋_GB2312" w:hAnsi="仿宋_GB2312" w:eastAsia="仿宋_GB2312"/>
          <w:sz w:val="24"/>
        </w:rPr>
        <w:t>满分2</w:t>
      </w:r>
      <w:r>
        <w:rPr>
          <w:rFonts w:ascii="仿宋_GB2312" w:hAnsi="仿宋_GB2312" w:eastAsia="仿宋_GB2312"/>
          <w:sz w:val="24"/>
        </w:rPr>
        <w:t>0</w:t>
      </w:r>
      <w:r>
        <w:rPr>
          <w:rFonts w:hint="eastAsia" w:ascii="仿宋_GB2312" w:hAnsi="仿宋_GB2312" w:eastAsia="仿宋_GB2312"/>
          <w:sz w:val="24"/>
        </w:rPr>
        <w:t>分。养护单位应每周报送养护作业计划，并填写实际完成情况，由监理单位进行审核，结果为已完成或未完成。对考核时间内的每日计划完成情况进行统计，季度计划执行率应达到</w:t>
      </w:r>
      <w:r>
        <w:rPr>
          <w:rFonts w:ascii="仿宋_GB2312" w:hAnsi="仿宋_GB2312" w:eastAsia="仿宋_GB2312"/>
          <w:sz w:val="24"/>
        </w:rPr>
        <w:t>100%</w:t>
      </w:r>
      <w:r>
        <w:rPr>
          <w:rFonts w:hint="eastAsia" w:ascii="仿宋_GB2312" w:hAnsi="仿宋_GB2312" w:eastAsia="仿宋_GB2312"/>
          <w:sz w:val="24"/>
        </w:rPr>
        <w:t>，</w:t>
      </w:r>
      <w:r>
        <w:rPr>
          <w:rFonts w:ascii="仿宋_GB2312" w:hAnsi="仿宋_GB2312" w:eastAsia="仿宋_GB2312"/>
          <w:b/>
          <w:sz w:val="24"/>
        </w:rPr>
        <w:t>每降低1%扣2分</w:t>
      </w:r>
      <w:r>
        <w:rPr>
          <w:rFonts w:hint="eastAsia" w:ascii="仿宋_GB2312" w:hAnsi="仿宋_GB2312" w:eastAsia="仿宋_GB2312"/>
          <w:sz w:val="24"/>
        </w:rPr>
        <w:t>，扣完为止。若因特殊原因出现未完成情况，需进行说明，由监理单位进行审核。</w:t>
      </w:r>
    </w:p>
    <w:p w14:paraId="2151AA96">
      <w:pPr>
        <w:topLinePunct/>
        <w:adjustRightInd w:val="0"/>
        <w:snapToGrid w:val="0"/>
        <w:spacing w:line="360" w:lineRule="auto"/>
        <w:jc w:val="center"/>
        <w:rPr>
          <w:rFonts w:hint="eastAsia" w:ascii="宋体" w:hAnsi="宋体"/>
          <w:iCs/>
          <w:sz w:val="24"/>
        </w:rPr>
      </w:pPr>
      <w:r>
        <w:rPr>
          <w:rFonts w:hint="eastAsia" w:ascii="宋体" w:hAnsi="宋体"/>
          <w:sz w:val="24"/>
        </w:rPr>
        <w:t>考核时间内计划执行率 =</w:t>
      </w:r>
      <m:oMath>
        <m:f>
          <m:fPr>
            <m:ctrlPr>
              <w:rPr>
                <w:rFonts w:ascii="Cambria Math" w:hAnsi="Cambria Math"/>
                <w:iCs/>
                <w:sz w:val="24"/>
              </w:rPr>
            </m:ctrlPr>
          </m:fPr>
          <m:num>
            <m:r>
              <m:rPr>
                <m:sty m:val="p"/>
              </m:rPr>
              <w:rPr>
                <w:rFonts w:hint="eastAsia" w:ascii="Cambria Math" w:hAnsi="Cambria Math"/>
                <w:sz w:val="24"/>
              </w:rPr>
              <m:t>已完成保洁作业总量</m:t>
            </m:r>
            <m:ctrlPr>
              <w:rPr>
                <w:rFonts w:ascii="Cambria Math" w:hAnsi="Cambria Math"/>
                <w:iCs/>
                <w:sz w:val="24"/>
              </w:rPr>
            </m:ctrlPr>
          </m:num>
          <m:den>
            <m:r>
              <m:rPr>
                <m:sty m:val="p"/>
              </m:rPr>
              <w:rPr>
                <w:rFonts w:hint="eastAsia" w:ascii="Cambria Math" w:hAnsi="Cambria Math"/>
                <w:sz w:val="24"/>
              </w:rPr>
              <m:t>已报送保洁作业计划总量</m:t>
            </m:r>
            <m:ctrlPr>
              <w:rPr>
                <w:rFonts w:ascii="Cambria Math" w:hAnsi="Cambria Math"/>
                <w:iCs/>
                <w:sz w:val="24"/>
              </w:rPr>
            </m:ctrlPr>
          </m:den>
        </m:f>
      </m:oMath>
    </w:p>
    <w:p w14:paraId="5509FBA8">
      <w:pPr>
        <w:topLinePunct/>
        <w:adjustRightInd w:val="0"/>
        <w:snapToGrid w:val="0"/>
        <w:spacing w:line="360" w:lineRule="auto"/>
        <w:ind w:firstLine="482" w:firstLineChars="200"/>
        <w:rPr>
          <w:rFonts w:hint="eastAsia" w:ascii="楷体_GB2312" w:hAnsi="宋体" w:eastAsia="楷体_GB2312"/>
          <w:b/>
          <w:bCs/>
          <w:sz w:val="24"/>
        </w:rPr>
      </w:pPr>
      <w:r>
        <w:rPr>
          <w:rFonts w:hint="eastAsia" w:ascii="楷体_GB2312" w:hAnsi="宋体" w:eastAsia="楷体_GB2312"/>
          <w:b/>
          <w:bCs/>
          <w:sz w:val="24"/>
        </w:rPr>
        <w:t>4</w:t>
      </w:r>
      <w:r>
        <w:rPr>
          <w:rFonts w:ascii="楷体_GB2312" w:hAnsi="宋体" w:eastAsia="楷体_GB2312"/>
          <w:b/>
          <w:bCs/>
          <w:sz w:val="24"/>
        </w:rPr>
        <w:t xml:space="preserve">. </w:t>
      </w:r>
      <w:r>
        <w:rPr>
          <w:rFonts w:hint="eastAsia" w:ascii="楷体_GB2312" w:hAnsi="宋体" w:eastAsia="楷体_GB2312"/>
          <w:b/>
          <w:bCs/>
          <w:sz w:val="24"/>
        </w:rPr>
        <w:t>内业提交情况</w:t>
      </w:r>
    </w:p>
    <w:p w14:paraId="7B083A96">
      <w:pPr>
        <w:topLinePunct/>
        <w:adjustRightInd w:val="0"/>
        <w:snapToGrid w:val="0"/>
        <w:spacing w:line="360" w:lineRule="auto"/>
        <w:ind w:firstLine="480" w:firstLineChars="200"/>
        <w:rPr>
          <w:rFonts w:hint="eastAsia" w:ascii="仿宋_GB2312" w:hAnsi="仿宋_GB2312" w:eastAsia="仿宋_GB2312"/>
          <w:sz w:val="24"/>
        </w:rPr>
      </w:pPr>
      <w:r>
        <w:rPr>
          <w:rFonts w:hint="eastAsia" w:ascii="仿宋_GB2312" w:hAnsi="仿宋_GB2312" w:eastAsia="仿宋_GB2312"/>
          <w:sz w:val="24"/>
        </w:rPr>
        <w:t>满分</w:t>
      </w:r>
      <w:r>
        <w:rPr>
          <w:rFonts w:ascii="仿宋_GB2312" w:hAnsi="仿宋_GB2312" w:eastAsia="仿宋_GB2312"/>
          <w:sz w:val="24"/>
        </w:rPr>
        <w:t>10</w:t>
      </w:r>
      <w:r>
        <w:rPr>
          <w:rFonts w:hint="eastAsia" w:ascii="仿宋_GB2312" w:hAnsi="仿宋_GB2312" w:eastAsia="仿宋_GB2312"/>
          <w:sz w:val="24"/>
        </w:rPr>
        <w:t>分。养护单位应安排相对固定的人员负责保养护信息化系统管理工作，要求</w:t>
      </w:r>
      <w:r>
        <w:rPr>
          <w:rFonts w:ascii="仿宋_GB2312" w:hAnsi="仿宋_GB2312" w:eastAsia="仿宋_GB2312"/>
          <w:sz w:val="24"/>
        </w:rPr>
        <w:t>内业资料按时上报且齐全</w:t>
      </w:r>
      <w:r>
        <w:rPr>
          <w:rFonts w:hint="eastAsia" w:ascii="仿宋_GB2312" w:hAnsi="仿宋_GB2312" w:eastAsia="仿宋_GB2312"/>
          <w:sz w:val="24"/>
        </w:rPr>
        <w:t>，及时反馈系统问题。养护内业资料目录详见附录八，若未按时提交，扣</w:t>
      </w:r>
      <w:r>
        <w:rPr>
          <w:rFonts w:ascii="仿宋_GB2312" w:hAnsi="仿宋_GB2312" w:eastAsia="仿宋_GB2312"/>
          <w:sz w:val="24"/>
        </w:rPr>
        <w:t>2</w:t>
      </w:r>
      <w:r>
        <w:rPr>
          <w:rFonts w:hint="eastAsia" w:ascii="仿宋_GB2312" w:hAnsi="仿宋_GB2312" w:eastAsia="仿宋_GB2312"/>
          <w:sz w:val="24"/>
        </w:rPr>
        <w:t>分/项，扣完为止。</w:t>
      </w:r>
    </w:p>
    <w:p w14:paraId="05BC958A">
      <w:pPr>
        <w:topLinePunct/>
        <w:adjustRightInd w:val="0"/>
        <w:snapToGrid w:val="0"/>
        <w:spacing w:line="360" w:lineRule="auto"/>
        <w:ind w:firstLine="482" w:firstLineChars="200"/>
        <w:rPr>
          <w:rFonts w:hint="eastAsia" w:ascii="黑体" w:hAnsi="黑体" w:eastAsia="黑体"/>
          <w:b/>
          <w:bCs/>
          <w:sz w:val="24"/>
        </w:rPr>
      </w:pPr>
      <w:r>
        <w:rPr>
          <w:rFonts w:hint="eastAsia" w:ascii="黑体" w:hAnsi="黑体" w:eastAsia="黑体"/>
          <w:b/>
          <w:bCs/>
          <w:sz w:val="24"/>
        </w:rPr>
        <w:t>二、定性考核（4</w:t>
      </w:r>
      <w:r>
        <w:rPr>
          <w:rFonts w:ascii="黑体" w:hAnsi="黑体" w:eastAsia="黑体"/>
          <w:b/>
          <w:bCs/>
          <w:sz w:val="24"/>
        </w:rPr>
        <w:t>0</w:t>
      </w:r>
      <w:r>
        <w:rPr>
          <w:rFonts w:hint="eastAsia" w:ascii="黑体" w:hAnsi="黑体" w:eastAsia="黑体"/>
          <w:b/>
          <w:bCs/>
          <w:sz w:val="24"/>
        </w:rPr>
        <w:t>分）</w:t>
      </w:r>
    </w:p>
    <w:p w14:paraId="2EC18B27">
      <w:pPr>
        <w:topLinePunct/>
        <w:adjustRightInd w:val="0"/>
        <w:snapToGrid w:val="0"/>
        <w:spacing w:line="360" w:lineRule="auto"/>
        <w:ind w:firstLine="482" w:firstLineChars="200"/>
        <w:rPr>
          <w:rFonts w:hint="eastAsia" w:ascii="楷体_GB2312" w:hAnsi="宋体" w:eastAsia="楷体_GB2312"/>
          <w:b/>
          <w:bCs/>
          <w:sz w:val="24"/>
        </w:rPr>
      </w:pPr>
      <w:r>
        <w:rPr>
          <w:rFonts w:hint="eastAsia" w:ascii="楷体_GB2312" w:hAnsi="宋体" w:eastAsia="楷体_GB2312"/>
          <w:b/>
          <w:bCs/>
          <w:sz w:val="24"/>
        </w:rPr>
        <w:t>（一）外场检查（30分）</w:t>
      </w:r>
    </w:p>
    <w:p w14:paraId="52041D9A">
      <w:p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1</w:t>
      </w:r>
      <w:r>
        <w:rPr>
          <w:rFonts w:ascii="楷体_GB2312" w:hAnsi="宋体" w:eastAsia="楷体_GB2312"/>
          <w:b/>
          <w:bCs/>
          <w:sz w:val="24"/>
        </w:rPr>
        <w:t xml:space="preserve">. </w:t>
      </w:r>
      <w:r>
        <w:rPr>
          <w:rFonts w:hint="eastAsia" w:ascii="楷体_GB2312" w:hAnsi="宋体" w:eastAsia="楷体_GB2312"/>
          <w:b/>
          <w:bCs/>
          <w:sz w:val="24"/>
        </w:rPr>
        <w:t>除草保洁</w:t>
      </w:r>
    </w:p>
    <w:p w14:paraId="02F06CE6">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满分5分。基本无杂草，少量杂草高度不得超过10cm；盆内保持清洁，不得留有漂浮物、枯枝烂头等。不合格扣0.5分/处，扣完为止。</w:t>
      </w:r>
    </w:p>
    <w:p w14:paraId="5C8E5FC3">
      <w:p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2</w:t>
      </w:r>
      <w:r>
        <w:rPr>
          <w:rFonts w:ascii="楷体_GB2312" w:hAnsi="宋体" w:eastAsia="楷体_GB2312"/>
          <w:b/>
          <w:bCs/>
          <w:sz w:val="24"/>
        </w:rPr>
        <w:t xml:space="preserve">. </w:t>
      </w:r>
      <w:r>
        <w:rPr>
          <w:rFonts w:hint="eastAsia" w:ascii="楷体_GB2312" w:hAnsi="宋体" w:eastAsia="楷体_GB2312"/>
          <w:b/>
          <w:bCs/>
          <w:sz w:val="24"/>
        </w:rPr>
        <w:t>病虫害治防</w:t>
      </w:r>
    </w:p>
    <w:p w14:paraId="5CFC9C20">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满分5分。发现病虫害后防治要及时；基本无病虫害，少量应不影响生长和外观。不合格扣0.5分/处，扣完为止。</w:t>
      </w:r>
    </w:p>
    <w:p w14:paraId="61FE51C3">
      <w:p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3</w:t>
      </w:r>
      <w:r>
        <w:rPr>
          <w:rFonts w:ascii="楷体_GB2312" w:hAnsi="宋体" w:eastAsia="楷体_GB2312"/>
          <w:b/>
          <w:bCs/>
          <w:sz w:val="24"/>
        </w:rPr>
        <w:t xml:space="preserve">. </w:t>
      </w:r>
      <w:r>
        <w:rPr>
          <w:rFonts w:hint="eastAsia" w:ascii="楷体_GB2312" w:hAnsi="宋体" w:eastAsia="楷体_GB2312"/>
          <w:b/>
          <w:bCs/>
          <w:sz w:val="24"/>
        </w:rPr>
        <w:t>修剪整形</w:t>
      </w:r>
    </w:p>
    <w:p w14:paraId="74939362">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满分5分。按实修剪整形；人为理顺植物生长的方向，以外侧为准，及时清理各种垃圾，做到当夜工清、料清、场清；不遮挡道路设施（指在视线200m范围内遮挡标牌、行车道等）。</w:t>
      </w:r>
    </w:p>
    <w:p w14:paraId="5C8A05DE">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绿篱、花灌木、草坪按时修剪整形；色块和球类植物整齐无空洞、无脱脚；乔木及时除萌蘖枝条；行道树3.2m以下无萌生枝条，并且冠干比例合理；乔木、花灌木主干倾斜不大于20cm（距地面1.3m处，包括护树桩） ；不遮挡标志标识和行车道（指在视线200m范围）。</w:t>
      </w:r>
    </w:p>
    <w:p w14:paraId="36100BD0">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不合格扣0.5分/处，扣完为止。</w:t>
      </w:r>
    </w:p>
    <w:p w14:paraId="20A1EF33">
      <w:p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4</w:t>
      </w:r>
      <w:r>
        <w:rPr>
          <w:rFonts w:ascii="楷体_GB2312" w:hAnsi="宋体" w:eastAsia="楷体_GB2312"/>
          <w:b/>
          <w:bCs/>
          <w:sz w:val="24"/>
        </w:rPr>
        <w:t xml:space="preserve">. </w:t>
      </w:r>
      <w:r>
        <w:rPr>
          <w:rFonts w:hint="eastAsia" w:ascii="楷体_GB2312" w:hAnsi="宋体" w:eastAsia="楷体_GB2312"/>
          <w:b/>
          <w:bCs/>
          <w:sz w:val="24"/>
        </w:rPr>
        <w:t>缺株、死株</w:t>
      </w:r>
    </w:p>
    <w:p w14:paraId="7F6239AF">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满分5分。死枝残桩及时清理；缺株应在季节内及时补种；行道树树型统一、半截枯萎树木于季节内及时换种。不合格扣0.5分/处，扣完为止。</w:t>
      </w:r>
    </w:p>
    <w:p w14:paraId="764BFDAF">
      <w:p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5</w:t>
      </w:r>
      <w:r>
        <w:rPr>
          <w:rFonts w:ascii="楷体_GB2312" w:hAnsi="宋体" w:eastAsia="楷体_GB2312"/>
          <w:b/>
          <w:bCs/>
          <w:sz w:val="24"/>
        </w:rPr>
        <w:t xml:space="preserve">. </w:t>
      </w:r>
      <w:r>
        <w:rPr>
          <w:rFonts w:hint="eastAsia" w:ascii="楷体_GB2312" w:hAnsi="宋体" w:eastAsia="楷体_GB2312"/>
          <w:b/>
          <w:bCs/>
          <w:sz w:val="24"/>
        </w:rPr>
        <w:t>补土追肥</w:t>
      </w:r>
    </w:p>
    <w:p w14:paraId="5C502061">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满分4分。对泥土流失严重的及时添加，土壤不结板。不合格扣0.5分/处，扣完为止。</w:t>
      </w:r>
    </w:p>
    <w:p w14:paraId="08F7022F">
      <w:p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6</w:t>
      </w:r>
      <w:r>
        <w:rPr>
          <w:rFonts w:ascii="楷体_GB2312" w:hAnsi="宋体" w:eastAsia="楷体_GB2312"/>
          <w:b/>
          <w:bCs/>
          <w:sz w:val="24"/>
        </w:rPr>
        <w:t xml:space="preserve">. </w:t>
      </w:r>
      <w:r>
        <w:rPr>
          <w:rFonts w:hint="eastAsia" w:ascii="楷体_GB2312" w:hAnsi="宋体" w:eastAsia="楷体_GB2312"/>
          <w:b/>
          <w:bCs/>
          <w:sz w:val="24"/>
        </w:rPr>
        <w:t>附属构件</w:t>
      </w:r>
    </w:p>
    <w:p w14:paraId="071B697E">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满分3分。花盆完好、整洁。</w:t>
      </w:r>
    </w:p>
    <w:p w14:paraId="41AAC4E4">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不存在绿化盆槽积水、排水堵管的情况。</w:t>
      </w:r>
    </w:p>
    <w:p w14:paraId="4F50288F">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行道树乔木按时刷白，整齐规范；护树桩、绑绳绑扎规范；地形顺适、边沟畅通、绿地范围无积水；绿化无空白路段，无缺土；外形舒展，姿态美观生长势良好，颜色正常。</w:t>
      </w:r>
    </w:p>
    <w:p w14:paraId="5130C599">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不合格扣0.5分/处，扣完为止。</w:t>
      </w:r>
    </w:p>
    <w:p w14:paraId="57195BA4">
      <w:p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7</w:t>
      </w:r>
      <w:r>
        <w:rPr>
          <w:rFonts w:ascii="楷体_GB2312" w:hAnsi="宋体" w:eastAsia="楷体_GB2312"/>
          <w:b/>
          <w:bCs/>
          <w:sz w:val="24"/>
        </w:rPr>
        <w:t xml:space="preserve">. </w:t>
      </w:r>
      <w:r>
        <w:rPr>
          <w:rFonts w:hint="eastAsia" w:ascii="楷体_GB2312" w:hAnsi="宋体" w:eastAsia="楷体_GB2312"/>
          <w:b/>
          <w:bCs/>
          <w:sz w:val="24"/>
        </w:rPr>
        <w:t>苗圃养护</w:t>
      </w:r>
    </w:p>
    <w:p w14:paraId="02DD9359">
      <w:pPr>
        <w:topLinePunct/>
        <w:adjustRightInd w:val="0"/>
        <w:snapToGrid w:val="0"/>
        <w:spacing w:line="360" w:lineRule="auto"/>
        <w:ind w:firstLine="480" w:firstLineChars="200"/>
        <w:jc w:val="left"/>
        <w:textAlignment w:val="center"/>
        <w:rPr>
          <w:rFonts w:hint="eastAsia" w:ascii="仿宋_GB2312" w:hAnsi="仿宋_GB2312" w:eastAsia="仿宋_GB2312"/>
          <w:sz w:val="24"/>
        </w:rPr>
      </w:pPr>
      <w:r>
        <w:rPr>
          <w:rFonts w:hint="eastAsia" w:ascii="仿宋_GB2312" w:hAnsi="仿宋_GB2312" w:eastAsia="仿宋_GB2312"/>
          <w:sz w:val="24"/>
        </w:rPr>
        <w:t>满分3分。备盆养护与高架养护同步，不合格扣0.5分/处，扣完为止。</w:t>
      </w:r>
    </w:p>
    <w:p w14:paraId="096A7EF9">
      <w:pPr>
        <w:numPr>
          <w:ilvl w:val="0"/>
          <w:numId w:val="6"/>
        </w:numPr>
        <w:topLinePunct/>
        <w:adjustRightInd w:val="0"/>
        <w:snapToGrid w:val="0"/>
        <w:spacing w:line="360" w:lineRule="auto"/>
        <w:ind w:firstLine="482" w:firstLineChars="200"/>
        <w:jc w:val="left"/>
        <w:textAlignment w:val="center"/>
        <w:rPr>
          <w:rFonts w:hint="eastAsia" w:ascii="楷体_GB2312" w:hAnsi="宋体" w:eastAsia="楷体_GB2312"/>
          <w:b/>
          <w:bCs/>
          <w:sz w:val="24"/>
        </w:rPr>
      </w:pPr>
      <w:r>
        <w:rPr>
          <w:rFonts w:hint="eastAsia" w:ascii="楷体_GB2312" w:hAnsi="宋体" w:eastAsia="楷体_GB2312"/>
          <w:b/>
          <w:bCs/>
          <w:sz w:val="24"/>
        </w:rPr>
        <w:t>安全管理（10分）</w:t>
      </w:r>
    </w:p>
    <w:p w14:paraId="5595CE6E">
      <w:pPr>
        <w:topLinePunct/>
        <w:adjustRightInd w:val="0"/>
        <w:snapToGrid w:val="0"/>
        <w:spacing w:line="560" w:lineRule="exact"/>
        <w:ind w:left="479" w:leftChars="228"/>
        <w:jc w:val="left"/>
        <w:textAlignment w:val="center"/>
        <w:rPr>
          <w:rFonts w:ascii="Times New Roman" w:hAnsi="Times New Roman" w:eastAsia="仿宋_GB2312"/>
          <w:sz w:val="24"/>
        </w:rPr>
      </w:pPr>
      <w:r>
        <w:rPr>
          <w:rFonts w:hint="eastAsia" w:ascii="Times New Roman" w:hAnsi="Times New Roman" w:eastAsia="仿宋_GB2312"/>
          <w:sz w:val="24"/>
        </w:rPr>
        <w:t>1、道路养护现场安全标准化落实情况（5 分）</w:t>
      </w:r>
    </w:p>
    <w:p w14:paraId="6F1D36BA">
      <w:pPr>
        <w:topLinePunct/>
        <w:adjustRightInd w:val="0"/>
        <w:snapToGrid w:val="0"/>
        <w:spacing w:line="560" w:lineRule="exact"/>
        <w:ind w:firstLine="480" w:firstLineChars="200"/>
        <w:jc w:val="left"/>
        <w:textAlignment w:val="center"/>
        <w:rPr>
          <w:rFonts w:ascii="Times New Roman" w:hAnsi="Times New Roman" w:eastAsia="仿宋_GB2312"/>
          <w:sz w:val="24"/>
        </w:rPr>
      </w:pPr>
      <w:r>
        <w:rPr>
          <w:rFonts w:hint="eastAsia" w:ascii="Times New Roman" w:hAnsi="Times New Roman" w:eastAsia="仿宋_GB2312"/>
          <w:sz w:val="24"/>
        </w:rPr>
        <w:t>养护单位日常养护中应严格按照《道路交通标志和标线第 4 部分：作业区》（GB 5768.4-2017）、《城市道路养护维修作业安全技术规程》（DG/TJ08-2183-2015）、《上海市高速公路和快速路养护维修安全作业指南》（沪道运安〔2021〕315 号）等相关规范落实安全防范措施。设施负责人或监理单位每季度对现场养护安全标准化落实情况进行检查，总分 5分，扣完为止。检查考核表详见附表三。</w:t>
      </w:r>
    </w:p>
    <w:p w14:paraId="4EC97A40">
      <w:pPr>
        <w:topLinePunct/>
        <w:adjustRightInd w:val="0"/>
        <w:snapToGrid w:val="0"/>
        <w:spacing w:line="560" w:lineRule="exact"/>
        <w:ind w:left="479" w:leftChars="228"/>
        <w:jc w:val="left"/>
        <w:textAlignment w:val="center"/>
        <w:rPr>
          <w:rFonts w:ascii="Times New Roman" w:hAnsi="Times New Roman" w:eastAsia="仿宋_GB2312"/>
          <w:sz w:val="24"/>
        </w:rPr>
      </w:pPr>
      <w:r>
        <w:rPr>
          <w:rFonts w:hint="eastAsia" w:ascii="Times New Roman" w:hAnsi="Times New Roman" w:eastAsia="仿宋_GB2312"/>
          <w:sz w:val="24"/>
        </w:rPr>
        <w:t>2、市道运中心安全应急系统填报（1 分）</w:t>
      </w:r>
    </w:p>
    <w:p w14:paraId="2263CCAF">
      <w:pPr>
        <w:topLinePunct/>
        <w:adjustRightInd w:val="0"/>
        <w:snapToGrid w:val="0"/>
        <w:spacing w:line="560" w:lineRule="exact"/>
        <w:ind w:firstLine="480" w:firstLineChars="200"/>
        <w:jc w:val="left"/>
        <w:textAlignment w:val="center"/>
        <w:rPr>
          <w:rFonts w:ascii="Times New Roman" w:hAnsi="Times New Roman" w:eastAsia="仿宋_GB2312"/>
          <w:sz w:val="24"/>
        </w:rPr>
      </w:pPr>
      <w:r>
        <w:rPr>
          <w:rFonts w:hint="eastAsia" w:ascii="Times New Roman" w:hAnsi="Times New Roman" w:eastAsia="仿宋_GB2312"/>
          <w:sz w:val="24"/>
        </w:rPr>
        <w:t>恶劣天气发生预警信息，需要填报应急物资人员出动情况信息时，养护单位应该规定时间内填报相关信息，未及时填报每次扣 0.5 分，总分 1 分，扣完为止。</w:t>
      </w:r>
    </w:p>
    <w:p w14:paraId="69B00A79">
      <w:pPr>
        <w:topLinePunct/>
        <w:adjustRightInd w:val="0"/>
        <w:snapToGrid w:val="0"/>
        <w:spacing w:line="560" w:lineRule="exact"/>
        <w:ind w:left="479" w:leftChars="228"/>
        <w:jc w:val="left"/>
        <w:textAlignment w:val="center"/>
        <w:rPr>
          <w:rFonts w:ascii="Times New Roman" w:hAnsi="Times New Roman" w:eastAsia="仿宋_GB2312"/>
          <w:sz w:val="24"/>
        </w:rPr>
      </w:pPr>
      <w:r>
        <w:rPr>
          <w:rFonts w:hint="eastAsia" w:ascii="Times New Roman" w:hAnsi="Times New Roman" w:eastAsia="仿宋_GB2312"/>
          <w:sz w:val="24"/>
        </w:rPr>
        <w:t>3、安全文件宣贯及学习，安全内业资料（2 分）</w:t>
      </w:r>
    </w:p>
    <w:p w14:paraId="218EA6F1">
      <w:pPr>
        <w:topLinePunct/>
        <w:adjustRightInd w:val="0"/>
        <w:snapToGrid w:val="0"/>
        <w:spacing w:line="560" w:lineRule="exact"/>
        <w:ind w:firstLine="480" w:firstLineChars="200"/>
        <w:jc w:val="left"/>
        <w:textAlignment w:val="center"/>
        <w:rPr>
          <w:rFonts w:ascii="Times New Roman" w:hAnsi="Times New Roman" w:eastAsia="仿宋_GB2312"/>
          <w:sz w:val="24"/>
        </w:rPr>
      </w:pPr>
      <w:r>
        <w:rPr>
          <w:rFonts w:hint="eastAsia" w:ascii="Times New Roman" w:hAnsi="Times New Roman" w:eastAsia="仿宋_GB2312"/>
          <w:sz w:val="24"/>
        </w:rPr>
        <w:t>养护单位对于中心下发的安全文件要对全体人员及时进行宣贯，并组织学习，并形成记录。安全内业资料需按《上海市道路运输事业发展中心安全管理工作基础台账》“沪道运事安（2020）12 号”进行编制归档，文件宣贯少一份扣 0.5分，内业资料不符合基础台账要求扣 0.5 分，总分 2 分，扣完为止。</w:t>
      </w:r>
    </w:p>
    <w:p w14:paraId="78A71D00">
      <w:pPr>
        <w:topLinePunct/>
        <w:adjustRightInd w:val="0"/>
        <w:snapToGrid w:val="0"/>
        <w:spacing w:line="560" w:lineRule="exact"/>
        <w:ind w:left="479" w:leftChars="228"/>
        <w:jc w:val="left"/>
        <w:textAlignment w:val="center"/>
        <w:rPr>
          <w:rFonts w:ascii="Times New Roman" w:hAnsi="Times New Roman" w:eastAsia="仿宋_GB2312"/>
          <w:sz w:val="24"/>
        </w:rPr>
      </w:pPr>
      <w:r>
        <w:rPr>
          <w:rFonts w:hint="eastAsia" w:ascii="Times New Roman" w:hAnsi="Times New Roman" w:eastAsia="仿宋_GB2312"/>
          <w:sz w:val="24"/>
        </w:rPr>
        <w:t>4、养护基地管理（2 分）</w:t>
      </w:r>
    </w:p>
    <w:p w14:paraId="3E1084B5">
      <w:pPr>
        <w:topLinePunct/>
        <w:adjustRightInd w:val="0"/>
        <w:snapToGrid w:val="0"/>
        <w:spacing w:line="560" w:lineRule="exact"/>
        <w:ind w:firstLine="480" w:firstLineChars="200"/>
        <w:jc w:val="left"/>
        <w:textAlignment w:val="center"/>
        <w:rPr>
          <w:rFonts w:ascii="Times New Roman" w:hAnsi="Times New Roman" w:eastAsia="仿宋_GB2312"/>
          <w:sz w:val="24"/>
        </w:rPr>
      </w:pPr>
      <w:r>
        <w:rPr>
          <w:rFonts w:hint="eastAsia" w:ascii="Times New Roman" w:hAnsi="Times New Roman" w:eastAsia="仿宋_GB2312"/>
          <w:sz w:val="24"/>
        </w:rPr>
        <w:t>养护单位日常养护做好管理中心及应急基地的管理。使用桥下空间的需符合《上海市道路桥梁桥下空间内设施设置准则》；设施负责人或监理单位每季度对现场养护安全标准化落实情况进行检查，总分 2 分，扣完为止。检查考核表详见附表四。</w:t>
      </w:r>
    </w:p>
    <w:p w14:paraId="1ABFE966">
      <w:pPr>
        <w:topLinePunct/>
        <w:adjustRightInd w:val="0"/>
        <w:snapToGrid w:val="0"/>
        <w:spacing w:line="560" w:lineRule="exact"/>
        <w:ind w:firstLine="480" w:firstLineChars="200"/>
        <w:jc w:val="left"/>
        <w:textAlignment w:val="center"/>
        <w:rPr>
          <w:rFonts w:ascii="Times New Roman" w:hAnsi="Times New Roman" w:eastAsia="仿宋_GB2312"/>
          <w:sz w:val="24"/>
        </w:rPr>
      </w:pPr>
      <w:r>
        <w:rPr>
          <w:rFonts w:hint="eastAsia" w:ascii="Times New Roman" w:hAnsi="Times New Roman" w:eastAsia="仿宋_GB2312"/>
          <w:sz w:val="24"/>
        </w:rPr>
        <w:t>5、安全生产事故</w:t>
      </w:r>
    </w:p>
    <w:p w14:paraId="4F69B922">
      <w:pPr>
        <w:topLinePunct/>
        <w:adjustRightInd w:val="0"/>
        <w:snapToGrid w:val="0"/>
        <w:spacing w:line="560" w:lineRule="exact"/>
        <w:ind w:firstLine="480" w:firstLineChars="200"/>
        <w:jc w:val="left"/>
        <w:textAlignment w:val="center"/>
        <w:rPr>
          <w:rFonts w:ascii="Times New Roman" w:hAnsi="Times New Roman" w:eastAsia="仿宋_GB2312"/>
          <w:sz w:val="24"/>
        </w:rPr>
      </w:pPr>
      <w:r>
        <w:rPr>
          <w:rFonts w:hint="eastAsia" w:ascii="Times New Roman" w:hAnsi="Times New Roman" w:eastAsia="仿宋_GB2312"/>
          <w:sz w:val="24"/>
        </w:rPr>
        <w:t>养护单位要确保主体设施、附属设施运行安全，无安全隐患。日常养护项目、专项整治项目、养护基地不得发生安全生产事故。发生单次有责事故造成 1 人及以上死亡的扣 10分，单次有责事故扣 5 分；总分 10 分，扣完为止。</w:t>
      </w:r>
    </w:p>
    <w:p w14:paraId="25F02758">
      <w:pPr>
        <w:topLinePunct/>
        <w:adjustRightInd w:val="0"/>
        <w:snapToGrid w:val="0"/>
        <w:ind w:firstLine="482" w:firstLineChars="200"/>
        <w:textAlignment w:val="center"/>
        <w:rPr>
          <w:rFonts w:eastAsia="楷体_GB2312"/>
          <w:b/>
          <w:szCs w:val="21"/>
        </w:rPr>
      </w:pPr>
      <w:bookmarkStart w:id="11" w:name="OLE_LINK5"/>
      <w:r>
        <w:rPr>
          <w:rFonts w:eastAsia="黑体"/>
          <w:b/>
          <w:sz w:val="24"/>
        </w:rPr>
        <w:t>三、专项评分</w:t>
      </w:r>
    </w:p>
    <w:p w14:paraId="09221438">
      <w:pPr>
        <w:topLinePunct/>
        <w:adjustRightInd w:val="0"/>
        <w:snapToGrid w:val="0"/>
        <w:ind w:firstLine="482" w:firstLineChars="200"/>
        <w:textAlignment w:val="center"/>
        <w:rPr>
          <w:rFonts w:eastAsia="楷体_GB2312"/>
          <w:b/>
          <w:sz w:val="24"/>
        </w:rPr>
      </w:pPr>
      <w:r>
        <w:rPr>
          <w:rFonts w:eastAsia="楷体_GB2312"/>
          <w:b/>
          <w:sz w:val="24"/>
        </w:rPr>
        <w:t>（一）专项扣分</w:t>
      </w:r>
    </w:p>
    <w:p w14:paraId="7B6E5320">
      <w:pPr>
        <w:topLinePunct/>
        <w:adjustRightInd w:val="0"/>
        <w:snapToGrid w:val="0"/>
        <w:spacing w:line="560" w:lineRule="exact"/>
        <w:ind w:firstLine="480" w:firstLineChars="200"/>
        <w:textAlignment w:val="center"/>
        <w:rPr>
          <w:rFonts w:eastAsia="仿宋_GB2312"/>
          <w:sz w:val="24"/>
        </w:rPr>
      </w:pPr>
      <w:r>
        <w:rPr>
          <w:rFonts w:eastAsia="仿宋_GB2312"/>
          <w:sz w:val="24"/>
        </w:rPr>
        <w:t>发生下列情况之一的，在</w:t>
      </w:r>
      <w:r>
        <w:rPr>
          <w:rFonts w:hint="eastAsia" w:eastAsia="仿宋_GB2312"/>
          <w:sz w:val="24"/>
        </w:rPr>
        <w:t>季度</w:t>
      </w:r>
      <w:r>
        <w:rPr>
          <w:rFonts w:eastAsia="仿宋_GB2312"/>
          <w:sz w:val="24"/>
        </w:rPr>
        <w:t>考核的基础上另行扣除专项分数</w:t>
      </w:r>
      <w:r>
        <w:rPr>
          <w:rFonts w:hint="eastAsia" w:eastAsia="仿宋_GB2312"/>
          <w:sz w:val="24"/>
        </w:rPr>
        <w:t>，详见下表。</w:t>
      </w:r>
    </w:p>
    <w:p w14:paraId="5277E7F6">
      <w:pPr>
        <w:topLinePunct/>
        <w:adjustRightInd w:val="0"/>
        <w:snapToGrid w:val="0"/>
        <w:spacing w:before="120" w:beforeLines="50"/>
        <w:ind w:firstLine="220"/>
        <w:jc w:val="center"/>
        <w:textAlignment w:val="center"/>
        <w:rPr>
          <w:rFonts w:eastAsia="黑体"/>
          <w:sz w:val="22"/>
          <w:szCs w:val="22"/>
        </w:rPr>
      </w:pPr>
      <w:r>
        <w:rPr>
          <w:rFonts w:eastAsia="黑体"/>
          <w:sz w:val="22"/>
          <w:szCs w:val="22"/>
        </w:rPr>
        <w:t>表</w:t>
      </w:r>
      <w:r>
        <w:rPr>
          <w:rFonts w:eastAsia="黑体"/>
          <w:sz w:val="22"/>
          <w:szCs w:val="22"/>
        </w:rPr>
        <w:fldChar w:fldCharType="begin"/>
      </w:r>
      <w:r>
        <w:rPr>
          <w:rFonts w:eastAsia="黑体"/>
          <w:sz w:val="22"/>
          <w:szCs w:val="22"/>
        </w:rPr>
        <w:instrText xml:space="preserve"> SEQ 表 \* ARABIC </w:instrText>
      </w:r>
      <w:r>
        <w:rPr>
          <w:rFonts w:eastAsia="黑体"/>
          <w:sz w:val="22"/>
          <w:szCs w:val="22"/>
        </w:rPr>
        <w:fldChar w:fldCharType="separate"/>
      </w:r>
      <w:r>
        <w:rPr>
          <w:rFonts w:eastAsia="黑体"/>
          <w:sz w:val="22"/>
          <w:szCs w:val="22"/>
        </w:rPr>
        <w:t>1</w:t>
      </w:r>
      <w:r>
        <w:rPr>
          <w:rFonts w:eastAsia="黑体"/>
          <w:sz w:val="22"/>
          <w:szCs w:val="22"/>
        </w:rPr>
        <w:fldChar w:fldCharType="end"/>
      </w:r>
      <w:r>
        <w:rPr>
          <w:rFonts w:eastAsia="黑体"/>
          <w:sz w:val="22"/>
          <w:szCs w:val="22"/>
        </w:rPr>
        <w:t xml:space="preserve"> </w:t>
      </w:r>
      <w:r>
        <w:rPr>
          <w:rFonts w:hint="eastAsia" w:eastAsia="黑体"/>
          <w:sz w:val="22"/>
          <w:szCs w:val="22"/>
        </w:rPr>
        <w:t>附属</w:t>
      </w:r>
      <w:r>
        <w:rPr>
          <w:rFonts w:eastAsia="黑体"/>
          <w:sz w:val="22"/>
          <w:szCs w:val="22"/>
        </w:rPr>
        <w:t>设施养护运维</w:t>
      </w:r>
      <w:r>
        <w:rPr>
          <w:rFonts w:hint="eastAsia" w:eastAsia="黑体"/>
          <w:sz w:val="22"/>
          <w:szCs w:val="22"/>
        </w:rPr>
        <w:t>季</w:t>
      </w:r>
      <w:r>
        <w:rPr>
          <w:rFonts w:eastAsia="黑体"/>
          <w:sz w:val="22"/>
          <w:szCs w:val="22"/>
        </w:rPr>
        <w:t>度考核专项扣分表</w:t>
      </w:r>
    </w:p>
    <w:tbl>
      <w:tblPr>
        <w:tblStyle w:val="38"/>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384"/>
        <w:gridCol w:w="4672"/>
        <w:gridCol w:w="1599"/>
      </w:tblGrid>
      <w:tr w14:paraId="382C1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6" w:hRule="atLeast"/>
          <w:tblHeader/>
          <w:jc w:val="center"/>
        </w:trPr>
        <w:tc>
          <w:tcPr>
            <w:tcW w:w="704" w:type="dxa"/>
            <w:vAlign w:val="center"/>
          </w:tcPr>
          <w:p w14:paraId="5D0AB397">
            <w:pPr>
              <w:topLinePunct/>
              <w:adjustRightInd w:val="0"/>
              <w:snapToGrid w:val="0"/>
              <w:jc w:val="center"/>
              <w:textAlignment w:val="center"/>
              <w:rPr>
                <w:rFonts w:ascii="仿宋_GB2312" w:eastAsia="仿宋_GB2312"/>
                <w:b/>
                <w:bCs/>
                <w:kern w:val="0"/>
              </w:rPr>
            </w:pPr>
            <w:r>
              <w:rPr>
                <w:rFonts w:ascii="仿宋_GB2312" w:eastAsia="仿宋_GB2312"/>
                <w:b/>
                <w:bCs/>
                <w:kern w:val="0"/>
              </w:rPr>
              <w:t>序号</w:t>
            </w:r>
          </w:p>
        </w:tc>
        <w:tc>
          <w:tcPr>
            <w:tcW w:w="1384" w:type="dxa"/>
            <w:vAlign w:val="center"/>
          </w:tcPr>
          <w:p w14:paraId="7E987EEB">
            <w:pPr>
              <w:topLinePunct/>
              <w:adjustRightInd w:val="0"/>
              <w:snapToGrid w:val="0"/>
              <w:jc w:val="center"/>
              <w:textAlignment w:val="center"/>
              <w:rPr>
                <w:rFonts w:ascii="仿宋_GB2312" w:eastAsia="仿宋_GB2312"/>
                <w:b/>
                <w:bCs/>
                <w:kern w:val="0"/>
              </w:rPr>
            </w:pPr>
            <w:r>
              <w:rPr>
                <w:rFonts w:ascii="仿宋_GB2312" w:eastAsia="仿宋_GB2312"/>
                <w:b/>
                <w:bCs/>
                <w:kern w:val="0"/>
              </w:rPr>
              <w:t>分类</w:t>
            </w:r>
          </w:p>
        </w:tc>
        <w:tc>
          <w:tcPr>
            <w:tcW w:w="4672" w:type="dxa"/>
            <w:vAlign w:val="center"/>
          </w:tcPr>
          <w:p w14:paraId="3B4A001F">
            <w:pPr>
              <w:topLinePunct/>
              <w:adjustRightInd w:val="0"/>
              <w:snapToGrid w:val="0"/>
              <w:jc w:val="center"/>
              <w:textAlignment w:val="center"/>
              <w:rPr>
                <w:rFonts w:ascii="仿宋_GB2312" w:eastAsia="仿宋_GB2312"/>
                <w:b/>
                <w:bCs/>
                <w:kern w:val="0"/>
              </w:rPr>
            </w:pPr>
            <w:r>
              <w:rPr>
                <w:rFonts w:ascii="仿宋_GB2312" w:eastAsia="仿宋_GB2312"/>
                <w:b/>
                <w:bCs/>
                <w:kern w:val="0"/>
              </w:rPr>
              <w:t>扣分事由</w:t>
            </w:r>
          </w:p>
        </w:tc>
        <w:tc>
          <w:tcPr>
            <w:tcW w:w="1599" w:type="dxa"/>
            <w:vAlign w:val="center"/>
          </w:tcPr>
          <w:p w14:paraId="20F37DC1">
            <w:pPr>
              <w:topLinePunct/>
              <w:adjustRightInd w:val="0"/>
              <w:snapToGrid w:val="0"/>
              <w:jc w:val="center"/>
              <w:textAlignment w:val="center"/>
              <w:rPr>
                <w:rFonts w:ascii="仿宋_GB2312" w:eastAsia="仿宋_GB2312"/>
                <w:b/>
                <w:bCs/>
                <w:kern w:val="0"/>
              </w:rPr>
            </w:pPr>
            <w:r>
              <w:rPr>
                <w:rFonts w:ascii="仿宋_GB2312" w:eastAsia="仿宋_GB2312"/>
                <w:b/>
                <w:bCs/>
                <w:kern w:val="0"/>
              </w:rPr>
              <w:t>扣分准则</w:t>
            </w:r>
          </w:p>
        </w:tc>
      </w:tr>
      <w:tr w14:paraId="16621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14:paraId="0F4C1842">
            <w:pPr>
              <w:topLinePunct/>
              <w:adjustRightInd w:val="0"/>
              <w:snapToGrid w:val="0"/>
              <w:jc w:val="center"/>
              <w:textAlignment w:val="center"/>
              <w:rPr>
                <w:rFonts w:ascii="仿宋_GB2312" w:eastAsia="仿宋_GB2312"/>
                <w:kern w:val="0"/>
              </w:rPr>
            </w:pPr>
            <w:r>
              <w:rPr>
                <w:rFonts w:ascii="仿宋_GB2312" w:eastAsia="仿宋_GB2312"/>
                <w:kern w:val="0"/>
              </w:rPr>
              <w:t>1</w:t>
            </w:r>
          </w:p>
        </w:tc>
        <w:tc>
          <w:tcPr>
            <w:tcW w:w="1384" w:type="dxa"/>
            <w:vMerge w:val="restart"/>
            <w:vAlign w:val="center"/>
          </w:tcPr>
          <w:p w14:paraId="754B6375">
            <w:pPr>
              <w:topLinePunct/>
              <w:adjustRightInd w:val="0"/>
              <w:snapToGrid w:val="0"/>
              <w:jc w:val="center"/>
              <w:textAlignment w:val="center"/>
              <w:rPr>
                <w:rFonts w:ascii="仿宋_GB2312" w:eastAsia="仿宋_GB2312"/>
                <w:kern w:val="0"/>
              </w:rPr>
            </w:pPr>
            <w:r>
              <w:rPr>
                <w:rFonts w:ascii="仿宋_GB2312" w:eastAsia="仿宋_GB2312"/>
                <w:kern w:val="0"/>
              </w:rPr>
              <w:t>管理要求</w:t>
            </w:r>
          </w:p>
          <w:p w14:paraId="68336448">
            <w:pPr>
              <w:topLinePunct/>
              <w:adjustRightInd w:val="0"/>
              <w:snapToGrid w:val="0"/>
              <w:jc w:val="center"/>
              <w:textAlignment w:val="center"/>
              <w:rPr>
                <w:rFonts w:ascii="仿宋_GB2312" w:eastAsia="仿宋_GB2312"/>
                <w:kern w:val="0"/>
              </w:rPr>
            </w:pPr>
            <w:r>
              <w:rPr>
                <w:rFonts w:ascii="仿宋_GB2312" w:eastAsia="仿宋_GB2312"/>
                <w:kern w:val="0"/>
              </w:rPr>
              <w:t>执行</w:t>
            </w:r>
          </w:p>
        </w:tc>
        <w:tc>
          <w:tcPr>
            <w:tcW w:w="4672" w:type="dxa"/>
            <w:vAlign w:val="center"/>
          </w:tcPr>
          <w:p w14:paraId="169B03D6">
            <w:pPr>
              <w:topLinePunct/>
              <w:adjustRightInd w:val="0"/>
              <w:snapToGrid w:val="0"/>
              <w:jc w:val="left"/>
              <w:textAlignment w:val="center"/>
              <w:rPr>
                <w:rFonts w:ascii="仿宋_GB2312" w:eastAsia="仿宋_GB2312"/>
                <w:kern w:val="0"/>
              </w:rPr>
            </w:pPr>
            <w:r>
              <w:rPr>
                <w:rFonts w:ascii="仿宋_GB2312" w:eastAsia="仿宋_GB2312"/>
                <w:kern w:val="0"/>
              </w:rPr>
              <w:t>社会舆论和信访投诉：</w:t>
            </w:r>
          </w:p>
          <w:p w14:paraId="53EEEEE0">
            <w:pPr>
              <w:topLinePunct/>
              <w:adjustRightInd w:val="0"/>
              <w:snapToGrid w:val="0"/>
              <w:jc w:val="left"/>
              <w:textAlignment w:val="center"/>
              <w:rPr>
                <w:rFonts w:ascii="仿宋_GB2312" w:eastAsia="仿宋_GB2312"/>
                <w:kern w:val="0"/>
              </w:rPr>
            </w:pPr>
            <w:r>
              <w:rPr>
                <w:rFonts w:ascii="仿宋_GB2312" w:eastAsia="仿宋_GB2312"/>
                <w:kern w:val="0"/>
              </w:rPr>
              <w:t>未在规定时间内及时妥善处理人民来信、来电、来访等诉求工单和社会投诉，每次扣2分；</w:t>
            </w:r>
          </w:p>
          <w:p w14:paraId="104EE1D1">
            <w:pPr>
              <w:topLinePunct/>
              <w:adjustRightInd w:val="0"/>
              <w:snapToGrid w:val="0"/>
              <w:jc w:val="left"/>
              <w:textAlignment w:val="center"/>
              <w:rPr>
                <w:rFonts w:ascii="仿宋_GB2312" w:eastAsia="仿宋_GB2312"/>
                <w:kern w:val="0"/>
              </w:rPr>
            </w:pPr>
            <w:r>
              <w:rPr>
                <w:rFonts w:ascii="仿宋_GB2312" w:eastAsia="仿宋_GB2312"/>
                <w:kern w:val="0"/>
              </w:rPr>
              <w:t>行业、业主、上级部门点名批评或书面通报，每次扣3分；</w:t>
            </w:r>
          </w:p>
          <w:p w14:paraId="3D39CB9E">
            <w:pPr>
              <w:topLinePunct/>
              <w:adjustRightInd w:val="0"/>
              <w:snapToGrid w:val="0"/>
              <w:jc w:val="left"/>
              <w:textAlignment w:val="center"/>
              <w:rPr>
                <w:rFonts w:ascii="仿宋_GB2312" w:eastAsia="仿宋_GB2312"/>
                <w:kern w:val="0"/>
              </w:rPr>
            </w:pPr>
            <w:r>
              <w:rPr>
                <w:rFonts w:ascii="仿宋_GB2312" w:eastAsia="仿宋_GB2312"/>
                <w:kern w:val="0"/>
              </w:rPr>
              <w:t>有责并被社会新闻媒体公开负面报道或造成严重舆情影响，每次扣5分。</w:t>
            </w:r>
          </w:p>
        </w:tc>
        <w:tc>
          <w:tcPr>
            <w:tcW w:w="1599" w:type="dxa"/>
            <w:vAlign w:val="center"/>
          </w:tcPr>
          <w:p w14:paraId="6D454B2E">
            <w:pPr>
              <w:topLinePunct/>
              <w:adjustRightInd w:val="0"/>
              <w:snapToGrid w:val="0"/>
              <w:jc w:val="left"/>
              <w:textAlignment w:val="center"/>
              <w:rPr>
                <w:rFonts w:ascii="仿宋_GB2312" w:eastAsia="仿宋_GB2312"/>
                <w:kern w:val="0"/>
              </w:rPr>
            </w:pPr>
            <w:r>
              <w:rPr>
                <w:rFonts w:ascii="仿宋_GB2312" w:eastAsia="仿宋_GB2312"/>
                <w:kern w:val="0"/>
              </w:rPr>
              <w:t>每次扣2~5分</w:t>
            </w:r>
          </w:p>
        </w:tc>
      </w:tr>
      <w:tr w14:paraId="3007A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14:paraId="4CBE088D">
            <w:pPr>
              <w:topLinePunct/>
              <w:adjustRightInd w:val="0"/>
              <w:snapToGrid w:val="0"/>
              <w:jc w:val="center"/>
              <w:textAlignment w:val="center"/>
              <w:rPr>
                <w:rFonts w:ascii="仿宋_GB2312" w:eastAsia="仿宋_GB2312"/>
                <w:kern w:val="0"/>
              </w:rPr>
            </w:pPr>
            <w:r>
              <w:rPr>
                <w:rFonts w:ascii="仿宋_GB2312" w:eastAsia="仿宋_GB2312"/>
                <w:kern w:val="0"/>
              </w:rPr>
              <w:t>2</w:t>
            </w:r>
          </w:p>
        </w:tc>
        <w:tc>
          <w:tcPr>
            <w:tcW w:w="1384" w:type="dxa"/>
            <w:vMerge w:val="continue"/>
            <w:vAlign w:val="center"/>
          </w:tcPr>
          <w:p w14:paraId="315AF02D">
            <w:pPr>
              <w:topLinePunct/>
              <w:adjustRightInd w:val="0"/>
              <w:snapToGrid w:val="0"/>
              <w:jc w:val="center"/>
              <w:textAlignment w:val="center"/>
              <w:rPr>
                <w:rFonts w:ascii="仿宋_GB2312" w:eastAsia="仿宋_GB2312"/>
                <w:kern w:val="0"/>
              </w:rPr>
            </w:pPr>
          </w:p>
        </w:tc>
        <w:tc>
          <w:tcPr>
            <w:tcW w:w="4672" w:type="dxa"/>
            <w:vAlign w:val="center"/>
          </w:tcPr>
          <w:p w14:paraId="08BCB7DB">
            <w:pPr>
              <w:topLinePunct/>
              <w:adjustRightInd w:val="0"/>
              <w:snapToGrid w:val="0"/>
              <w:jc w:val="left"/>
              <w:textAlignment w:val="center"/>
              <w:rPr>
                <w:rFonts w:ascii="仿宋_GB2312" w:eastAsia="仿宋_GB2312"/>
                <w:kern w:val="0"/>
              </w:rPr>
            </w:pPr>
            <w:r>
              <w:rPr>
                <w:rFonts w:ascii="仿宋_GB2312" w:eastAsia="仿宋_GB2312"/>
                <w:kern w:val="0"/>
              </w:rPr>
              <w:t>人员车辆和设施资源管理：</w:t>
            </w:r>
          </w:p>
          <w:p w14:paraId="4AE6074D">
            <w:pPr>
              <w:topLinePunct/>
              <w:adjustRightInd w:val="0"/>
              <w:snapToGrid w:val="0"/>
              <w:jc w:val="left"/>
              <w:textAlignment w:val="center"/>
              <w:rPr>
                <w:rFonts w:ascii="仿宋_GB2312" w:eastAsia="仿宋_GB2312"/>
                <w:kern w:val="0"/>
              </w:rPr>
            </w:pPr>
            <w:r>
              <w:rPr>
                <w:rFonts w:ascii="仿宋_GB2312" w:eastAsia="仿宋_GB2312"/>
                <w:kern w:val="0"/>
              </w:rPr>
              <w:t>项目管理人员、车辆设备和材料未按招标文件所规定的数量、规格配置到位，每次每项扣1分；</w:t>
            </w:r>
          </w:p>
          <w:p w14:paraId="75B2FE65">
            <w:pPr>
              <w:topLinePunct/>
              <w:adjustRightInd w:val="0"/>
              <w:snapToGrid w:val="0"/>
              <w:jc w:val="left"/>
              <w:textAlignment w:val="center"/>
              <w:rPr>
                <w:rFonts w:ascii="仿宋_GB2312" w:eastAsia="仿宋_GB2312"/>
                <w:kern w:val="0"/>
              </w:rPr>
            </w:pPr>
            <w:r>
              <w:rPr>
                <w:rFonts w:ascii="仿宋_GB2312" w:eastAsia="仿宋_GB2312"/>
                <w:kern w:val="0"/>
              </w:rPr>
              <w:t>擅自出租、出借、挪用设施设备和违规使用或侵占附属设施、应标资源，造成恶劣影响，每次扣5分。</w:t>
            </w:r>
          </w:p>
        </w:tc>
        <w:tc>
          <w:tcPr>
            <w:tcW w:w="1599" w:type="dxa"/>
            <w:vAlign w:val="center"/>
          </w:tcPr>
          <w:p w14:paraId="6ED65855">
            <w:pPr>
              <w:topLinePunct/>
              <w:adjustRightInd w:val="0"/>
              <w:snapToGrid w:val="0"/>
              <w:jc w:val="left"/>
              <w:textAlignment w:val="center"/>
              <w:rPr>
                <w:rFonts w:ascii="仿宋_GB2312" w:eastAsia="仿宋_GB2312"/>
                <w:kern w:val="0"/>
              </w:rPr>
            </w:pPr>
            <w:r>
              <w:rPr>
                <w:rFonts w:ascii="仿宋_GB2312" w:eastAsia="仿宋_GB2312"/>
                <w:kern w:val="0"/>
              </w:rPr>
              <w:t>每次扣1~5分</w:t>
            </w:r>
          </w:p>
        </w:tc>
      </w:tr>
      <w:tr w14:paraId="47058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14:paraId="30B54FA8">
            <w:pPr>
              <w:topLinePunct/>
              <w:adjustRightInd w:val="0"/>
              <w:snapToGrid w:val="0"/>
              <w:jc w:val="center"/>
              <w:textAlignment w:val="center"/>
              <w:rPr>
                <w:rFonts w:ascii="仿宋_GB2312" w:eastAsia="仿宋_GB2312"/>
                <w:kern w:val="0"/>
              </w:rPr>
            </w:pPr>
            <w:r>
              <w:rPr>
                <w:rFonts w:ascii="仿宋_GB2312" w:eastAsia="仿宋_GB2312"/>
                <w:kern w:val="0"/>
              </w:rPr>
              <w:t>3</w:t>
            </w:r>
          </w:p>
        </w:tc>
        <w:tc>
          <w:tcPr>
            <w:tcW w:w="1384" w:type="dxa"/>
            <w:vMerge w:val="continue"/>
            <w:vAlign w:val="center"/>
          </w:tcPr>
          <w:p w14:paraId="36BDA6EA">
            <w:pPr>
              <w:topLinePunct/>
              <w:adjustRightInd w:val="0"/>
              <w:snapToGrid w:val="0"/>
              <w:jc w:val="center"/>
              <w:textAlignment w:val="center"/>
              <w:rPr>
                <w:rFonts w:ascii="仿宋_GB2312" w:eastAsia="仿宋_GB2312"/>
                <w:kern w:val="0"/>
              </w:rPr>
            </w:pPr>
          </w:p>
        </w:tc>
        <w:tc>
          <w:tcPr>
            <w:tcW w:w="4672" w:type="dxa"/>
            <w:vAlign w:val="center"/>
          </w:tcPr>
          <w:p w14:paraId="24B93268">
            <w:pPr>
              <w:topLinePunct/>
              <w:adjustRightInd w:val="0"/>
              <w:snapToGrid w:val="0"/>
              <w:jc w:val="left"/>
              <w:textAlignment w:val="center"/>
              <w:rPr>
                <w:rFonts w:ascii="仿宋_GB2312" w:eastAsia="仿宋_GB2312"/>
                <w:kern w:val="0"/>
              </w:rPr>
            </w:pPr>
            <w:r>
              <w:rPr>
                <w:rFonts w:ascii="仿宋_GB2312" w:eastAsia="仿宋_GB2312"/>
                <w:kern w:val="0"/>
              </w:rPr>
              <w:t>重要条款响应：</w:t>
            </w:r>
          </w:p>
          <w:p w14:paraId="6FCF79A0">
            <w:pPr>
              <w:topLinePunct/>
              <w:adjustRightInd w:val="0"/>
              <w:snapToGrid w:val="0"/>
              <w:jc w:val="left"/>
              <w:textAlignment w:val="center"/>
              <w:rPr>
                <w:rFonts w:ascii="仿宋_GB2312" w:eastAsia="仿宋_GB2312"/>
                <w:kern w:val="0"/>
              </w:rPr>
            </w:pPr>
            <w:r>
              <w:rPr>
                <w:rFonts w:ascii="仿宋_GB2312" w:eastAsia="仿宋_GB2312"/>
                <w:kern w:val="0"/>
              </w:rPr>
              <w:t>在网签合同生成后的15日内（国家法定节假日除外），未提交软件版投标报价文件，每次扣2分；</w:t>
            </w:r>
          </w:p>
          <w:p w14:paraId="0579D1A9">
            <w:pPr>
              <w:topLinePunct/>
              <w:adjustRightInd w:val="0"/>
              <w:snapToGrid w:val="0"/>
              <w:jc w:val="left"/>
              <w:textAlignment w:val="center"/>
              <w:rPr>
                <w:rFonts w:ascii="仿宋_GB2312" w:eastAsia="仿宋_GB2312"/>
                <w:kern w:val="0"/>
              </w:rPr>
            </w:pPr>
            <w:r>
              <w:rPr>
                <w:rFonts w:ascii="仿宋_GB2312" w:eastAsia="仿宋_GB2312"/>
                <w:kern w:val="0"/>
              </w:rPr>
              <w:t>未严格按照养护资金监管相关管理办法及要求提供相关依据、配合实施请款工作，每次扣2分。</w:t>
            </w:r>
          </w:p>
        </w:tc>
        <w:tc>
          <w:tcPr>
            <w:tcW w:w="1599" w:type="dxa"/>
            <w:vAlign w:val="center"/>
          </w:tcPr>
          <w:p w14:paraId="2D6CEE7A">
            <w:pPr>
              <w:topLinePunct/>
              <w:adjustRightInd w:val="0"/>
              <w:snapToGrid w:val="0"/>
              <w:jc w:val="left"/>
              <w:textAlignment w:val="center"/>
              <w:rPr>
                <w:rFonts w:ascii="仿宋_GB2312" w:eastAsia="仿宋_GB2312"/>
                <w:kern w:val="0"/>
              </w:rPr>
            </w:pPr>
            <w:r>
              <w:rPr>
                <w:rFonts w:ascii="仿宋_GB2312" w:eastAsia="仿宋_GB2312"/>
                <w:kern w:val="0"/>
              </w:rPr>
              <w:t>每次扣2分</w:t>
            </w:r>
          </w:p>
        </w:tc>
      </w:tr>
      <w:tr w14:paraId="602D2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14:paraId="3AFEE1D6">
            <w:pPr>
              <w:topLinePunct/>
              <w:adjustRightInd w:val="0"/>
              <w:snapToGrid w:val="0"/>
              <w:jc w:val="center"/>
              <w:textAlignment w:val="center"/>
              <w:rPr>
                <w:rFonts w:ascii="仿宋_GB2312" w:eastAsia="仿宋_GB2312"/>
                <w:kern w:val="0"/>
              </w:rPr>
            </w:pPr>
            <w:r>
              <w:rPr>
                <w:rFonts w:ascii="仿宋_GB2312" w:eastAsia="仿宋_GB2312"/>
                <w:kern w:val="0"/>
              </w:rPr>
              <w:t>4</w:t>
            </w:r>
          </w:p>
        </w:tc>
        <w:tc>
          <w:tcPr>
            <w:tcW w:w="1384" w:type="dxa"/>
            <w:vMerge w:val="continue"/>
            <w:vAlign w:val="center"/>
          </w:tcPr>
          <w:p w14:paraId="5F2AA85B">
            <w:pPr>
              <w:topLinePunct/>
              <w:adjustRightInd w:val="0"/>
              <w:snapToGrid w:val="0"/>
              <w:jc w:val="center"/>
              <w:textAlignment w:val="center"/>
              <w:rPr>
                <w:rFonts w:ascii="仿宋_GB2312" w:eastAsia="仿宋_GB2312"/>
                <w:kern w:val="0"/>
              </w:rPr>
            </w:pPr>
          </w:p>
        </w:tc>
        <w:tc>
          <w:tcPr>
            <w:tcW w:w="4672" w:type="dxa"/>
            <w:vAlign w:val="center"/>
          </w:tcPr>
          <w:p w14:paraId="02898E31">
            <w:pPr>
              <w:topLinePunct/>
              <w:adjustRightInd w:val="0"/>
              <w:snapToGrid w:val="0"/>
              <w:jc w:val="left"/>
              <w:textAlignment w:val="center"/>
              <w:rPr>
                <w:rFonts w:ascii="仿宋_GB2312" w:eastAsia="仿宋_GB2312"/>
                <w:kern w:val="0"/>
              </w:rPr>
            </w:pPr>
            <w:r>
              <w:rPr>
                <w:rFonts w:ascii="仿宋_GB2312" w:eastAsia="仿宋_GB2312"/>
                <w:kern w:val="0"/>
              </w:rPr>
              <w:t>智慧化工作推进：</w:t>
            </w:r>
          </w:p>
          <w:p w14:paraId="7220AD30">
            <w:pPr>
              <w:topLinePunct/>
              <w:adjustRightInd w:val="0"/>
              <w:snapToGrid w:val="0"/>
              <w:jc w:val="left"/>
              <w:textAlignment w:val="center"/>
              <w:rPr>
                <w:rFonts w:ascii="仿宋_GB2312" w:eastAsia="仿宋_GB2312"/>
                <w:kern w:val="0"/>
              </w:rPr>
            </w:pPr>
            <w:r>
              <w:rPr>
                <w:rFonts w:ascii="仿宋_GB2312" w:eastAsia="仿宋_GB2312"/>
                <w:kern w:val="0"/>
              </w:rPr>
              <w:t>未配置智能巡检设备或智能巡检设备未处于良好运行状态的，每次扣1分；</w:t>
            </w:r>
          </w:p>
          <w:p w14:paraId="6AA0FDE7">
            <w:pPr>
              <w:topLinePunct/>
              <w:adjustRightInd w:val="0"/>
              <w:snapToGrid w:val="0"/>
              <w:jc w:val="left"/>
              <w:textAlignment w:val="center"/>
              <w:rPr>
                <w:rFonts w:ascii="仿宋_GB2312" w:eastAsia="仿宋_GB2312"/>
                <w:kern w:val="0"/>
              </w:rPr>
            </w:pPr>
            <w:r>
              <w:rPr>
                <w:rFonts w:ascii="仿宋_GB2312" w:eastAsia="仿宋_GB2312"/>
                <w:kern w:val="0"/>
              </w:rPr>
              <w:t>未按要求响应落实智慧化、信息化管理工作，由云路或中心发现未按要求报送数据、附件，每次扣2分。</w:t>
            </w:r>
          </w:p>
        </w:tc>
        <w:tc>
          <w:tcPr>
            <w:tcW w:w="1599" w:type="dxa"/>
            <w:vAlign w:val="center"/>
          </w:tcPr>
          <w:p w14:paraId="3D39743D">
            <w:pPr>
              <w:topLinePunct/>
              <w:adjustRightInd w:val="0"/>
              <w:snapToGrid w:val="0"/>
              <w:jc w:val="left"/>
              <w:textAlignment w:val="center"/>
              <w:rPr>
                <w:rFonts w:ascii="仿宋_GB2312" w:eastAsia="仿宋_GB2312"/>
                <w:kern w:val="0"/>
              </w:rPr>
            </w:pPr>
            <w:r>
              <w:rPr>
                <w:rFonts w:ascii="仿宋_GB2312" w:eastAsia="仿宋_GB2312"/>
                <w:kern w:val="0"/>
              </w:rPr>
              <w:t>每次扣1~2分</w:t>
            </w:r>
          </w:p>
        </w:tc>
      </w:tr>
      <w:tr w14:paraId="436C9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14:paraId="3E924AC4">
            <w:pPr>
              <w:topLinePunct/>
              <w:adjustRightInd w:val="0"/>
              <w:snapToGrid w:val="0"/>
              <w:jc w:val="center"/>
              <w:textAlignment w:val="center"/>
              <w:rPr>
                <w:rFonts w:ascii="仿宋_GB2312" w:eastAsia="仿宋_GB2312"/>
                <w:kern w:val="0"/>
              </w:rPr>
            </w:pPr>
            <w:r>
              <w:rPr>
                <w:rFonts w:ascii="仿宋_GB2312" w:eastAsia="仿宋_GB2312"/>
                <w:kern w:val="0"/>
              </w:rPr>
              <w:t>5</w:t>
            </w:r>
          </w:p>
        </w:tc>
        <w:tc>
          <w:tcPr>
            <w:tcW w:w="1384" w:type="dxa"/>
            <w:vAlign w:val="center"/>
          </w:tcPr>
          <w:p w14:paraId="0D4B241D">
            <w:pPr>
              <w:topLinePunct/>
              <w:adjustRightInd w:val="0"/>
              <w:snapToGrid w:val="0"/>
              <w:jc w:val="center"/>
              <w:textAlignment w:val="center"/>
              <w:rPr>
                <w:rFonts w:ascii="仿宋_GB2312" w:eastAsia="仿宋_GB2312"/>
                <w:kern w:val="0"/>
              </w:rPr>
            </w:pPr>
            <w:r>
              <w:rPr>
                <w:rFonts w:ascii="仿宋_GB2312" w:eastAsia="仿宋_GB2312"/>
                <w:kern w:val="0"/>
              </w:rPr>
              <w:t>养护作业</w:t>
            </w:r>
          </w:p>
        </w:tc>
        <w:tc>
          <w:tcPr>
            <w:tcW w:w="4672" w:type="dxa"/>
            <w:vAlign w:val="center"/>
          </w:tcPr>
          <w:p w14:paraId="16B51706">
            <w:pPr>
              <w:topLinePunct/>
              <w:adjustRightInd w:val="0"/>
              <w:snapToGrid w:val="0"/>
              <w:jc w:val="left"/>
              <w:textAlignment w:val="center"/>
              <w:rPr>
                <w:rFonts w:ascii="仿宋_GB2312" w:eastAsia="仿宋_GB2312"/>
                <w:kern w:val="0"/>
              </w:rPr>
            </w:pPr>
            <w:r>
              <w:rPr>
                <w:rFonts w:ascii="仿宋_GB2312" w:eastAsia="仿宋_GB2312"/>
                <w:kern w:val="0"/>
              </w:rPr>
              <w:t>对市道运中心委托的第三方单位（专业检测、专业网格化巡查等）发现的问题、病害或缺陷，未及时整改或采取措施，每次扣1分；</w:t>
            </w:r>
          </w:p>
          <w:p w14:paraId="3C40F448">
            <w:pPr>
              <w:topLinePunct/>
              <w:adjustRightInd w:val="0"/>
              <w:snapToGrid w:val="0"/>
              <w:jc w:val="left"/>
              <w:textAlignment w:val="center"/>
              <w:rPr>
                <w:rFonts w:ascii="仿宋_GB2312" w:eastAsia="仿宋_GB2312"/>
                <w:kern w:val="0"/>
              </w:rPr>
            </w:pPr>
            <w:r>
              <w:rPr>
                <w:rFonts w:ascii="仿宋_GB2312" w:eastAsia="仿宋_GB2312"/>
                <w:kern w:val="0"/>
              </w:rPr>
              <w:t>未针对各类检测报告中指出的问题进行有效处置，造成设施病害缺陷加剧、人员财产损失或影响正常通行，每次扣3分。</w:t>
            </w:r>
          </w:p>
        </w:tc>
        <w:tc>
          <w:tcPr>
            <w:tcW w:w="1599" w:type="dxa"/>
            <w:vAlign w:val="center"/>
          </w:tcPr>
          <w:p w14:paraId="22E8435A">
            <w:pPr>
              <w:topLinePunct/>
              <w:adjustRightInd w:val="0"/>
              <w:snapToGrid w:val="0"/>
              <w:jc w:val="left"/>
              <w:textAlignment w:val="center"/>
              <w:rPr>
                <w:rFonts w:ascii="仿宋_GB2312" w:eastAsia="仿宋_GB2312"/>
                <w:kern w:val="0"/>
              </w:rPr>
            </w:pPr>
            <w:r>
              <w:rPr>
                <w:rFonts w:ascii="仿宋_GB2312" w:eastAsia="仿宋_GB2312"/>
                <w:kern w:val="0"/>
              </w:rPr>
              <w:t>每次扣1~3分</w:t>
            </w:r>
          </w:p>
        </w:tc>
      </w:tr>
      <w:tr w14:paraId="7C304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14:paraId="388FB1DE">
            <w:pPr>
              <w:topLinePunct/>
              <w:adjustRightInd w:val="0"/>
              <w:snapToGrid w:val="0"/>
              <w:jc w:val="center"/>
              <w:textAlignment w:val="center"/>
              <w:rPr>
                <w:rFonts w:ascii="仿宋_GB2312" w:eastAsia="仿宋_GB2312"/>
                <w:kern w:val="0"/>
              </w:rPr>
            </w:pPr>
            <w:r>
              <w:rPr>
                <w:rFonts w:ascii="仿宋_GB2312" w:eastAsia="仿宋_GB2312"/>
                <w:kern w:val="0"/>
              </w:rPr>
              <w:t>6</w:t>
            </w:r>
          </w:p>
        </w:tc>
        <w:tc>
          <w:tcPr>
            <w:tcW w:w="1384" w:type="dxa"/>
            <w:vAlign w:val="center"/>
          </w:tcPr>
          <w:p w14:paraId="7BA76F01">
            <w:pPr>
              <w:topLinePunct/>
              <w:adjustRightInd w:val="0"/>
              <w:snapToGrid w:val="0"/>
              <w:jc w:val="center"/>
              <w:textAlignment w:val="center"/>
              <w:rPr>
                <w:rFonts w:ascii="仿宋_GB2312" w:eastAsia="仿宋_GB2312"/>
                <w:kern w:val="0"/>
              </w:rPr>
            </w:pPr>
            <w:r>
              <w:rPr>
                <w:rFonts w:ascii="仿宋_GB2312" w:eastAsia="仿宋_GB2312"/>
                <w:kern w:val="0"/>
              </w:rPr>
              <w:t>运维保障</w:t>
            </w:r>
          </w:p>
        </w:tc>
        <w:tc>
          <w:tcPr>
            <w:tcW w:w="4672" w:type="dxa"/>
            <w:vAlign w:val="center"/>
          </w:tcPr>
          <w:p w14:paraId="615A8601">
            <w:pPr>
              <w:topLinePunct/>
              <w:adjustRightInd w:val="0"/>
              <w:snapToGrid w:val="0"/>
              <w:jc w:val="left"/>
              <w:textAlignment w:val="center"/>
              <w:rPr>
                <w:rFonts w:ascii="仿宋_GB2312" w:eastAsia="仿宋_GB2312"/>
                <w:kern w:val="0"/>
              </w:rPr>
            </w:pPr>
            <w:r>
              <w:rPr>
                <w:rFonts w:ascii="仿宋_GB2312" w:eastAsia="仿宋_GB2312"/>
                <w:kern w:val="0"/>
              </w:rPr>
              <w:t>未能按时、保质保量完成重大任务或指令要求，每次扣3分；</w:t>
            </w:r>
          </w:p>
          <w:p w14:paraId="68D3ABF4">
            <w:pPr>
              <w:topLinePunct/>
              <w:adjustRightInd w:val="0"/>
              <w:snapToGrid w:val="0"/>
              <w:jc w:val="left"/>
              <w:textAlignment w:val="center"/>
              <w:rPr>
                <w:rFonts w:ascii="仿宋_GB2312" w:eastAsia="仿宋_GB2312"/>
                <w:kern w:val="0"/>
              </w:rPr>
            </w:pPr>
            <w:r>
              <w:rPr>
                <w:rFonts w:ascii="仿宋_GB2312" w:eastAsia="仿宋_GB2312"/>
                <w:kern w:val="0"/>
              </w:rPr>
              <w:t>风险隐患、险情或重大事件存在不报、瞒报、误报、处置不力，造成设施人员财产损失或严重影响交通运行，每次扣3分。</w:t>
            </w:r>
          </w:p>
        </w:tc>
        <w:tc>
          <w:tcPr>
            <w:tcW w:w="1599" w:type="dxa"/>
            <w:vAlign w:val="center"/>
          </w:tcPr>
          <w:p w14:paraId="1B789672">
            <w:pPr>
              <w:topLinePunct/>
              <w:adjustRightInd w:val="0"/>
              <w:snapToGrid w:val="0"/>
              <w:jc w:val="left"/>
              <w:textAlignment w:val="center"/>
              <w:rPr>
                <w:rFonts w:ascii="仿宋_GB2312" w:eastAsia="仿宋_GB2312"/>
                <w:kern w:val="0"/>
              </w:rPr>
            </w:pPr>
            <w:r>
              <w:rPr>
                <w:rFonts w:ascii="仿宋_GB2312" w:eastAsia="仿宋_GB2312"/>
                <w:kern w:val="0"/>
              </w:rPr>
              <w:t>每次扣3分</w:t>
            </w:r>
          </w:p>
        </w:tc>
      </w:tr>
      <w:tr w14:paraId="0F763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04" w:type="dxa"/>
            <w:vAlign w:val="center"/>
          </w:tcPr>
          <w:p w14:paraId="6452DC88">
            <w:pPr>
              <w:topLinePunct/>
              <w:adjustRightInd w:val="0"/>
              <w:snapToGrid w:val="0"/>
              <w:jc w:val="center"/>
              <w:textAlignment w:val="center"/>
              <w:rPr>
                <w:rFonts w:ascii="仿宋_GB2312" w:eastAsia="仿宋_GB2312"/>
                <w:kern w:val="0"/>
              </w:rPr>
            </w:pPr>
            <w:r>
              <w:rPr>
                <w:rFonts w:ascii="仿宋_GB2312" w:eastAsia="仿宋_GB2312"/>
                <w:kern w:val="0"/>
              </w:rPr>
              <w:t>7</w:t>
            </w:r>
          </w:p>
        </w:tc>
        <w:tc>
          <w:tcPr>
            <w:tcW w:w="1384" w:type="dxa"/>
            <w:vAlign w:val="center"/>
          </w:tcPr>
          <w:p w14:paraId="59E3363B">
            <w:pPr>
              <w:topLinePunct/>
              <w:adjustRightInd w:val="0"/>
              <w:snapToGrid w:val="0"/>
              <w:jc w:val="center"/>
              <w:textAlignment w:val="center"/>
              <w:rPr>
                <w:rFonts w:ascii="仿宋_GB2312" w:eastAsia="仿宋_GB2312"/>
                <w:kern w:val="0"/>
              </w:rPr>
            </w:pPr>
            <w:r>
              <w:rPr>
                <w:rFonts w:ascii="仿宋_GB2312" w:eastAsia="仿宋_GB2312"/>
                <w:kern w:val="0"/>
              </w:rPr>
              <w:t>安全生产和应急处置</w:t>
            </w:r>
          </w:p>
        </w:tc>
        <w:tc>
          <w:tcPr>
            <w:tcW w:w="4672" w:type="dxa"/>
            <w:vAlign w:val="center"/>
          </w:tcPr>
          <w:p w14:paraId="7CA453B1">
            <w:pPr>
              <w:topLinePunct/>
              <w:adjustRightInd w:val="0"/>
              <w:snapToGrid w:val="0"/>
              <w:jc w:val="left"/>
              <w:textAlignment w:val="center"/>
              <w:rPr>
                <w:rFonts w:ascii="仿宋_GB2312" w:eastAsia="仿宋_GB2312"/>
                <w:kern w:val="0"/>
              </w:rPr>
            </w:pPr>
            <w:r>
              <w:rPr>
                <w:rFonts w:ascii="仿宋_GB2312" w:eastAsia="仿宋_GB2312"/>
                <w:kern w:val="0"/>
              </w:rPr>
              <w:t>因养护运维作业质量不达标，影响设施运行安全或交通运行、受到行业主管部门严肃批评问责或引起社会舆论反响等，每次扣3分；</w:t>
            </w:r>
          </w:p>
          <w:p w14:paraId="472B9A79">
            <w:pPr>
              <w:topLinePunct/>
              <w:adjustRightInd w:val="0"/>
              <w:snapToGrid w:val="0"/>
              <w:jc w:val="left"/>
              <w:textAlignment w:val="center"/>
              <w:rPr>
                <w:rFonts w:ascii="仿宋_GB2312" w:eastAsia="仿宋_GB2312"/>
                <w:kern w:val="0"/>
              </w:rPr>
            </w:pPr>
            <w:r>
              <w:rPr>
                <w:rFonts w:ascii="仿宋_GB2312" w:eastAsia="仿宋_GB2312"/>
                <w:kern w:val="0"/>
              </w:rPr>
              <w:t>因养护运维管理或作业行为的缺失、违规，造成设施人员财产损失或导致第三方发生安全事故、引起次生灾害，每次扣5分；</w:t>
            </w:r>
          </w:p>
          <w:p w14:paraId="6ED1E075">
            <w:pPr>
              <w:topLinePunct/>
              <w:adjustRightInd w:val="0"/>
              <w:snapToGrid w:val="0"/>
              <w:jc w:val="left"/>
              <w:textAlignment w:val="center"/>
              <w:rPr>
                <w:rFonts w:ascii="仿宋_GB2312" w:eastAsia="仿宋_GB2312"/>
                <w:kern w:val="0"/>
              </w:rPr>
            </w:pPr>
            <w:r>
              <w:rPr>
                <w:rFonts w:ascii="仿宋_GB2312" w:eastAsia="仿宋_GB2312"/>
                <w:kern w:val="0"/>
              </w:rPr>
              <w:t>发生有责生产安全事故，造成人员死亡、重伤或致使设施出现重大结构安全隐患，每次扣10分。</w:t>
            </w:r>
          </w:p>
        </w:tc>
        <w:tc>
          <w:tcPr>
            <w:tcW w:w="1599" w:type="dxa"/>
            <w:vAlign w:val="center"/>
          </w:tcPr>
          <w:p w14:paraId="049CD3CE">
            <w:pPr>
              <w:topLinePunct/>
              <w:adjustRightInd w:val="0"/>
              <w:snapToGrid w:val="0"/>
              <w:jc w:val="left"/>
              <w:textAlignment w:val="center"/>
              <w:rPr>
                <w:rFonts w:ascii="仿宋_GB2312" w:eastAsia="仿宋_GB2312"/>
                <w:kern w:val="0"/>
              </w:rPr>
            </w:pPr>
            <w:r>
              <w:rPr>
                <w:rFonts w:ascii="仿宋_GB2312" w:eastAsia="仿宋_GB2312"/>
                <w:kern w:val="0"/>
              </w:rPr>
              <w:t>每次扣3~10分</w:t>
            </w:r>
          </w:p>
        </w:tc>
      </w:tr>
    </w:tbl>
    <w:p w14:paraId="46227C7E">
      <w:pPr>
        <w:topLinePunct/>
        <w:adjustRightInd w:val="0"/>
        <w:snapToGrid w:val="0"/>
        <w:jc w:val="left"/>
        <w:textAlignment w:val="center"/>
      </w:pPr>
    </w:p>
    <w:p w14:paraId="340EC691">
      <w:pPr>
        <w:topLinePunct/>
        <w:adjustRightInd w:val="0"/>
        <w:snapToGrid w:val="0"/>
        <w:ind w:firstLine="482" w:firstLineChars="200"/>
        <w:textAlignment w:val="center"/>
        <w:rPr>
          <w:rFonts w:eastAsia="楷体_GB2312"/>
          <w:b/>
          <w:sz w:val="24"/>
        </w:rPr>
      </w:pPr>
      <w:r>
        <w:rPr>
          <w:rFonts w:eastAsia="楷体_GB2312"/>
          <w:b/>
          <w:sz w:val="24"/>
        </w:rPr>
        <w:t>（二）专项加分</w:t>
      </w:r>
    </w:p>
    <w:p w14:paraId="35E46585">
      <w:pPr>
        <w:topLinePunct/>
        <w:adjustRightInd w:val="0"/>
        <w:snapToGrid w:val="0"/>
        <w:spacing w:line="560" w:lineRule="exact"/>
        <w:ind w:firstLine="480" w:firstLineChars="200"/>
        <w:textAlignment w:val="center"/>
        <w:rPr>
          <w:rFonts w:eastAsia="仿宋_GB2312"/>
          <w:color w:val="FF0000"/>
          <w:sz w:val="24"/>
        </w:rPr>
      </w:pPr>
      <w:r>
        <w:rPr>
          <w:rFonts w:eastAsia="仿宋_GB2312"/>
          <w:sz w:val="24"/>
        </w:rPr>
        <w:t>发生下列情况之一的，在</w:t>
      </w:r>
      <w:r>
        <w:rPr>
          <w:rFonts w:hint="eastAsia" w:eastAsia="仿宋_GB2312"/>
          <w:sz w:val="24"/>
        </w:rPr>
        <w:t>季度</w:t>
      </w:r>
      <w:r>
        <w:rPr>
          <w:rFonts w:eastAsia="仿宋_GB2312"/>
          <w:sz w:val="24"/>
        </w:rPr>
        <w:t>考核（满分100分）的基础上进行加分，上限为10分。养护单位应在当</w:t>
      </w:r>
      <w:r>
        <w:rPr>
          <w:rFonts w:hint="eastAsia" w:eastAsia="仿宋_GB2312"/>
          <w:sz w:val="24"/>
        </w:rPr>
        <w:t>季度</w:t>
      </w:r>
      <w:r>
        <w:rPr>
          <w:rFonts w:eastAsia="仿宋_GB2312"/>
          <w:sz w:val="24"/>
        </w:rPr>
        <w:t>底前主动提供所有加分事项的书面支持文件作为依据，经考评小组认可后方能计入</w:t>
      </w:r>
      <w:r>
        <w:rPr>
          <w:rFonts w:hint="eastAsia" w:eastAsia="仿宋_GB2312"/>
          <w:sz w:val="24"/>
        </w:rPr>
        <w:t>季度</w:t>
      </w:r>
      <w:r>
        <w:rPr>
          <w:rFonts w:eastAsia="仿宋_GB2312"/>
          <w:sz w:val="24"/>
        </w:rPr>
        <w:t>加分</w:t>
      </w:r>
      <w:r>
        <w:rPr>
          <w:rFonts w:hint="eastAsia" w:eastAsia="仿宋_GB2312"/>
          <w:sz w:val="24"/>
        </w:rPr>
        <w:t>，详见下表。</w:t>
      </w:r>
    </w:p>
    <w:p w14:paraId="161765AD">
      <w:pPr>
        <w:topLinePunct/>
        <w:adjustRightInd w:val="0"/>
        <w:snapToGrid w:val="0"/>
        <w:spacing w:before="120" w:beforeLines="50"/>
        <w:ind w:firstLine="220"/>
        <w:jc w:val="center"/>
        <w:textAlignment w:val="center"/>
        <w:rPr>
          <w:rFonts w:eastAsia="黑体"/>
          <w:sz w:val="22"/>
          <w:szCs w:val="22"/>
        </w:rPr>
      </w:pPr>
      <w:r>
        <w:rPr>
          <w:rFonts w:eastAsia="黑体"/>
          <w:sz w:val="22"/>
          <w:szCs w:val="22"/>
        </w:rPr>
        <w:t xml:space="preserve">表 </w:t>
      </w:r>
      <w:r>
        <w:rPr>
          <w:rFonts w:eastAsia="黑体"/>
          <w:sz w:val="22"/>
          <w:szCs w:val="22"/>
        </w:rPr>
        <w:fldChar w:fldCharType="begin"/>
      </w:r>
      <w:r>
        <w:rPr>
          <w:rFonts w:eastAsia="黑体"/>
          <w:sz w:val="22"/>
          <w:szCs w:val="22"/>
        </w:rPr>
        <w:instrText xml:space="preserve"> SEQ 表 \* ARABIC </w:instrText>
      </w:r>
      <w:r>
        <w:rPr>
          <w:rFonts w:eastAsia="黑体"/>
          <w:sz w:val="22"/>
          <w:szCs w:val="22"/>
        </w:rPr>
        <w:fldChar w:fldCharType="separate"/>
      </w:r>
      <w:r>
        <w:rPr>
          <w:rFonts w:eastAsia="黑体"/>
          <w:sz w:val="22"/>
          <w:szCs w:val="22"/>
        </w:rPr>
        <w:t>2</w:t>
      </w:r>
      <w:r>
        <w:rPr>
          <w:rFonts w:eastAsia="黑体"/>
          <w:sz w:val="22"/>
          <w:szCs w:val="22"/>
        </w:rPr>
        <w:fldChar w:fldCharType="end"/>
      </w:r>
      <w:r>
        <w:rPr>
          <w:rFonts w:eastAsia="黑体"/>
          <w:sz w:val="22"/>
          <w:szCs w:val="22"/>
        </w:rPr>
        <w:t xml:space="preserve"> </w:t>
      </w:r>
      <w:r>
        <w:rPr>
          <w:rFonts w:hint="eastAsia" w:eastAsia="黑体"/>
          <w:sz w:val="22"/>
          <w:szCs w:val="22"/>
        </w:rPr>
        <w:t>附属</w:t>
      </w:r>
      <w:r>
        <w:rPr>
          <w:rFonts w:eastAsia="黑体"/>
          <w:sz w:val="22"/>
          <w:szCs w:val="22"/>
        </w:rPr>
        <w:t>设施养护运维</w:t>
      </w:r>
      <w:r>
        <w:rPr>
          <w:rFonts w:hint="eastAsia" w:eastAsia="黑体"/>
          <w:sz w:val="22"/>
          <w:szCs w:val="22"/>
        </w:rPr>
        <w:t>季度</w:t>
      </w:r>
      <w:r>
        <w:rPr>
          <w:rFonts w:eastAsia="黑体"/>
          <w:sz w:val="22"/>
          <w:szCs w:val="22"/>
        </w:rPr>
        <w:t>考核专项加分表</w:t>
      </w:r>
    </w:p>
    <w:tbl>
      <w:tblPr>
        <w:tblStyle w:val="38"/>
        <w:tblW w:w="86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3"/>
        <w:gridCol w:w="1298"/>
        <w:gridCol w:w="4657"/>
        <w:gridCol w:w="2045"/>
      </w:tblGrid>
      <w:tr w14:paraId="07648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1AA466D5">
            <w:pPr>
              <w:topLinePunct/>
              <w:adjustRightInd w:val="0"/>
              <w:snapToGrid w:val="0"/>
              <w:jc w:val="center"/>
              <w:textAlignment w:val="center"/>
              <w:rPr>
                <w:rFonts w:ascii="仿宋_GB2312" w:eastAsia="仿宋_GB2312"/>
                <w:b/>
                <w:bCs/>
                <w:kern w:val="0"/>
              </w:rPr>
            </w:pPr>
            <w:r>
              <w:rPr>
                <w:rFonts w:ascii="仿宋_GB2312" w:eastAsia="仿宋_GB2312"/>
                <w:b/>
                <w:bCs/>
                <w:kern w:val="0"/>
              </w:rPr>
              <w:t>序号</w:t>
            </w:r>
          </w:p>
        </w:tc>
        <w:tc>
          <w:tcPr>
            <w:tcW w:w="1298" w:type="dxa"/>
            <w:vAlign w:val="center"/>
          </w:tcPr>
          <w:p w14:paraId="3009A9B5">
            <w:pPr>
              <w:topLinePunct/>
              <w:adjustRightInd w:val="0"/>
              <w:snapToGrid w:val="0"/>
              <w:jc w:val="center"/>
              <w:textAlignment w:val="center"/>
              <w:rPr>
                <w:rFonts w:ascii="仿宋_GB2312" w:eastAsia="仿宋_GB2312"/>
                <w:b/>
                <w:bCs/>
                <w:kern w:val="0"/>
              </w:rPr>
            </w:pPr>
            <w:r>
              <w:rPr>
                <w:rFonts w:ascii="仿宋_GB2312" w:eastAsia="仿宋_GB2312"/>
                <w:b/>
                <w:bCs/>
                <w:kern w:val="0"/>
              </w:rPr>
              <w:t>分类</w:t>
            </w:r>
          </w:p>
        </w:tc>
        <w:tc>
          <w:tcPr>
            <w:tcW w:w="4657" w:type="dxa"/>
            <w:vAlign w:val="center"/>
          </w:tcPr>
          <w:p w14:paraId="7DC064A9">
            <w:pPr>
              <w:topLinePunct/>
              <w:adjustRightInd w:val="0"/>
              <w:snapToGrid w:val="0"/>
              <w:jc w:val="center"/>
              <w:textAlignment w:val="center"/>
              <w:rPr>
                <w:rFonts w:ascii="仿宋_GB2312" w:eastAsia="仿宋_GB2312"/>
                <w:b/>
                <w:bCs/>
                <w:kern w:val="0"/>
              </w:rPr>
            </w:pPr>
            <w:r>
              <w:rPr>
                <w:rFonts w:ascii="仿宋_GB2312" w:eastAsia="仿宋_GB2312"/>
                <w:b/>
                <w:bCs/>
                <w:kern w:val="0"/>
              </w:rPr>
              <w:t>加分事由</w:t>
            </w:r>
          </w:p>
        </w:tc>
        <w:tc>
          <w:tcPr>
            <w:tcW w:w="2045" w:type="dxa"/>
            <w:vAlign w:val="center"/>
          </w:tcPr>
          <w:p w14:paraId="58E2946A">
            <w:pPr>
              <w:topLinePunct/>
              <w:adjustRightInd w:val="0"/>
              <w:snapToGrid w:val="0"/>
              <w:jc w:val="center"/>
              <w:textAlignment w:val="center"/>
              <w:rPr>
                <w:rFonts w:ascii="仿宋_GB2312" w:eastAsia="仿宋_GB2312"/>
                <w:b/>
                <w:bCs/>
                <w:kern w:val="0"/>
              </w:rPr>
            </w:pPr>
            <w:r>
              <w:rPr>
                <w:rFonts w:ascii="仿宋_GB2312" w:eastAsia="仿宋_GB2312"/>
                <w:b/>
                <w:bCs/>
                <w:kern w:val="0"/>
              </w:rPr>
              <w:t>加分准则</w:t>
            </w:r>
          </w:p>
        </w:tc>
      </w:tr>
      <w:tr w14:paraId="3444D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653" w:type="dxa"/>
            <w:vAlign w:val="center"/>
          </w:tcPr>
          <w:p w14:paraId="374614DD">
            <w:pPr>
              <w:topLinePunct/>
              <w:adjustRightInd w:val="0"/>
              <w:snapToGrid w:val="0"/>
              <w:jc w:val="center"/>
              <w:textAlignment w:val="center"/>
              <w:rPr>
                <w:rFonts w:ascii="仿宋_GB2312" w:eastAsia="仿宋_GB2312"/>
                <w:kern w:val="0"/>
              </w:rPr>
            </w:pPr>
            <w:r>
              <w:rPr>
                <w:rFonts w:ascii="仿宋_GB2312" w:eastAsia="仿宋_GB2312"/>
                <w:kern w:val="0"/>
              </w:rPr>
              <w:t>1</w:t>
            </w:r>
          </w:p>
        </w:tc>
        <w:tc>
          <w:tcPr>
            <w:tcW w:w="1298" w:type="dxa"/>
            <w:vMerge w:val="restart"/>
            <w:vAlign w:val="center"/>
          </w:tcPr>
          <w:p w14:paraId="169B3F93">
            <w:pPr>
              <w:topLinePunct/>
              <w:adjustRightInd w:val="0"/>
              <w:snapToGrid w:val="0"/>
              <w:jc w:val="center"/>
              <w:textAlignment w:val="center"/>
              <w:rPr>
                <w:rFonts w:ascii="仿宋_GB2312" w:eastAsia="仿宋_GB2312"/>
                <w:kern w:val="0"/>
              </w:rPr>
            </w:pPr>
            <w:r>
              <w:rPr>
                <w:rFonts w:hint="eastAsia" w:ascii="仿宋_GB2312" w:eastAsia="仿宋_GB2312"/>
                <w:kern w:val="0"/>
              </w:rPr>
              <w:t>宣传与公众服务</w:t>
            </w:r>
          </w:p>
        </w:tc>
        <w:tc>
          <w:tcPr>
            <w:tcW w:w="4657" w:type="dxa"/>
            <w:vAlign w:val="center"/>
          </w:tcPr>
          <w:p w14:paraId="5CE2A359">
            <w:pPr>
              <w:topLinePunct/>
              <w:adjustRightInd w:val="0"/>
              <w:snapToGrid w:val="0"/>
              <w:jc w:val="left"/>
              <w:textAlignment w:val="center"/>
              <w:rPr>
                <w:rFonts w:ascii="仿宋_GB2312" w:eastAsia="仿宋_GB2312"/>
                <w:kern w:val="0"/>
              </w:rPr>
            </w:pPr>
            <w:r>
              <w:rPr>
                <w:rFonts w:ascii="仿宋_GB2312" w:eastAsia="仿宋_GB2312"/>
                <w:kern w:val="0"/>
              </w:rPr>
              <w:t>通讯稿被上海市道运中心微信公众号或其它新闻媒介采纳发布。</w:t>
            </w:r>
          </w:p>
        </w:tc>
        <w:tc>
          <w:tcPr>
            <w:tcW w:w="2045" w:type="dxa"/>
            <w:vAlign w:val="center"/>
          </w:tcPr>
          <w:p w14:paraId="7DA168F7">
            <w:pPr>
              <w:topLinePunct/>
              <w:adjustRightInd w:val="0"/>
              <w:snapToGrid w:val="0"/>
              <w:jc w:val="left"/>
              <w:textAlignment w:val="center"/>
              <w:rPr>
                <w:rFonts w:ascii="仿宋_GB2312" w:eastAsia="仿宋_GB2312"/>
                <w:kern w:val="0"/>
              </w:rPr>
            </w:pPr>
            <w:r>
              <w:rPr>
                <w:rFonts w:ascii="仿宋_GB2312" w:eastAsia="仿宋_GB2312"/>
                <w:kern w:val="0"/>
              </w:rPr>
              <w:t>每次加2分</w:t>
            </w:r>
          </w:p>
        </w:tc>
      </w:tr>
      <w:tr w14:paraId="55798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4F27F7F2">
            <w:pPr>
              <w:topLinePunct/>
              <w:adjustRightInd w:val="0"/>
              <w:snapToGrid w:val="0"/>
              <w:jc w:val="center"/>
              <w:textAlignment w:val="center"/>
              <w:rPr>
                <w:rFonts w:ascii="仿宋_GB2312" w:eastAsia="仿宋_GB2312"/>
                <w:kern w:val="0"/>
              </w:rPr>
            </w:pPr>
            <w:r>
              <w:rPr>
                <w:rFonts w:ascii="仿宋_GB2312" w:eastAsia="仿宋_GB2312"/>
                <w:kern w:val="0"/>
              </w:rPr>
              <w:t>2</w:t>
            </w:r>
          </w:p>
        </w:tc>
        <w:tc>
          <w:tcPr>
            <w:tcW w:w="1298" w:type="dxa"/>
            <w:vMerge w:val="continue"/>
            <w:vAlign w:val="center"/>
          </w:tcPr>
          <w:p w14:paraId="4B5FE411">
            <w:pPr>
              <w:topLinePunct/>
              <w:adjustRightInd w:val="0"/>
              <w:snapToGrid w:val="0"/>
              <w:jc w:val="center"/>
              <w:textAlignment w:val="center"/>
              <w:rPr>
                <w:rFonts w:ascii="仿宋_GB2312" w:eastAsia="仿宋_GB2312"/>
                <w:kern w:val="0"/>
              </w:rPr>
            </w:pPr>
          </w:p>
        </w:tc>
        <w:tc>
          <w:tcPr>
            <w:tcW w:w="4657" w:type="dxa"/>
            <w:vAlign w:val="center"/>
          </w:tcPr>
          <w:p w14:paraId="38BD4242">
            <w:pPr>
              <w:topLinePunct/>
              <w:adjustRightInd w:val="0"/>
              <w:snapToGrid w:val="0"/>
              <w:jc w:val="left"/>
              <w:textAlignment w:val="center"/>
              <w:rPr>
                <w:rFonts w:ascii="仿宋_GB2312" w:eastAsia="仿宋_GB2312"/>
                <w:kern w:val="0"/>
              </w:rPr>
            </w:pPr>
            <w:r>
              <w:rPr>
                <w:rFonts w:ascii="仿宋_GB2312" w:eastAsia="仿宋_GB2312"/>
                <w:kern w:val="0"/>
              </w:rPr>
              <w:t>妥善处理人民来信、来电、来访等诉求工单和社会投诉，被录用至热线处置工单优秀案例。</w:t>
            </w:r>
          </w:p>
        </w:tc>
        <w:tc>
          <w:tcPr>
            <w:tcW w:w="2045" w:type="dxa"/>
            <w:vAlign w:val="center"/>
          </w:tcPr>
          <w:p w14:paraId="4FA3AEE6">
            <w:pPr>
              <w:topLinePunct/>
              <w:adjustRightInd w:val="0"/>
              <w:snapToGrid w:val="0"/>
              <w:jc w:val="left"/>
              <w:textAlignment w:val="center"/>
              <w:rPr>
                <w:rFonts w:ascii="仿宋_GB2312" w:eastAsia="仿宋_GB2312"/>
                <w:kern w:val="0"/>
              </w:rPr>
            </w:pPr>
            <w:r>
              <w:rPr>
                <w:rFonts w:ascii="仿宋_GB2312" w:eastAsia="仿宋_GB2312"/>
                <w:kern w:val="0"/>
              </w:rPr>
              <w:t>每次加2分</w:t>
            </w:r>
          </w:p>
        </w:tc>
      </w:tr>
      <w:tr w14:paraId="0A93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blHeader/>
          <w:jc w:val="center"/>
        </w:trPr>
        <w:tc>
          <w:tcPr>
            <w:tcW w:w="653" w:type="dxa"/>
            <w:vAlign w:val="center"/>
          </w:tcPr>
          <w:p w14:paraId="3348F3FC">
            <w:pPr>
              <w:topLinePunct/>
              <w:adjustRightInd w:val="0"/>
              <w:snapToGrid w:val="0"/>
              <w:jc w:val="center"/>
              <w:textAlignment w:val="center"/>
              <w:rPr>
                <w:rFonts w:ascii="仿宋_GB2312" w:eastAsia="仿宋_GB2312"/>
                <w:kern w:val="0"/>
              </w:rPr>
            </w:pPr>
            <w:r>
              <w:rPr>
                <w:rFonts w:ascii="仿宋_GB2312" w:eastAsia="仿宋_GB2312"/>
                <w:kern w:val="0"/>
              </w:rPr>
              <w:t>3</w:t>
            </w:r>
          </w:p>
        </w:tc>
        <w:tc>
          <w:tcPr>
            <w:tcW w:w="1298" w:type="dxa"/>
            <w:vMerge w:val="restart"/>
            <w:vAlign w:val="center"/>
          </w:tcPr>
          <w:p w14:paraId="10C4D28E">
            <w:pPr>
              <w:topLinePunct/>
              <w:adjustRightInd w:val="0"/>
              <w:snapToGrid w:val="0"/>
              <w:jc w:val="center"/>
              <w:textAlignment w:val="center"/>
              <w:rPr>
                <w:rFonts w:ascii="仿宋_GB2312" w:eastAsia="仿宋_GB2312"/>
                <w:kern w:val="0"/>
              </w:rPr>
            </w:pPr>
            <w:r>
              <w:rPr>
                <w:rFonts w:ascii="仿宋_GB2312" w:eastAsia="仿宋_GB2312"/>
                <w:kern w:val="0"/>
              </w:rPr>
              <w:t>行业示范带头作用</w:t>
            </w:r>
          </w:p>
        </w:tc>
        <w:tc>
          <w:tcPr>
            <w:tcW w:w="4657" w:type="dxa"/>
            <w:vAlign w:val="center"/>
          </w:tcPr>
          <w:p w14:paraId="69CE5A6A">
            <w:pPr>
              <w:topLinePunct/>
              <w:adjustRightInd w:val="0"/>
              <w:snapToGrid w:val="0"/>
              <w:jc w:val="left"/>
              <w:textAlignment w:val="center"/>
              <w:rPr>
                <w:rFonts w:ascii="仿宋_GB2312" w:eastAsia="仿宋_GB2312"/>
                <w:kern w:val="0"/>
              </w:rPr>
            </w:pPr>
            <w:r>
              <w:rPr>
                <w:rFonts w:ascii="仿宋_GB2312" w:eastAsia="仿宋_GB2312"/>
                <w:kern w:val="0"/>
              </w:rPr>
              <w:t>当</w:t>
            </w:r>
            <w:r>
              <w:rPr>
                <w:rFonts w:hint="eastAsia" w:ascii="仿宋_GB2312" w:eastAsia="仿宋_GB2312"/>
                <w:kern w:val="0"/>
              </w:rPr>
              <w:t>季度</w:t>
            </w:r>
            <w:r>
              <w:rPr>
                <w:rFonts w:ascii="仿宋_GB2312" w:eastAsia="仿宋_GB2312"/>
                <w:kern w:val="0"/>
              </w:rPr>
              <w:t>在各类专项评比中获奖。</w:t>
            </w:r>
          </w:p>
        </w:tc>
        <w:tc>
          <w:tcPr>
            <w:tcW w:w="2045" w:type="dxa"/>
            <w:vAlign w:val="center"/>
          </w:tcPr>
          <w:p w14:paraId="2C6F83A1">
            <w:pPr>
              <w:topLinePunct/>
              <w:adjustRightInd w:val="0"/>
              <w:snapToGrid w:val="0"/>
              <w:jc w:val="left"/>
              <w:textAlignment w:val="center"/>
              <w:rPr>
                <w:rFonts w:ascii="仿宋_GB2312" w:eastAsia="仿宋_GB2312"/>
                <w:kern w:val="0"/>
              </w:rPr>
            </w:pPr>
            <w:r>
              <w:rPr>
                <w:rFonts w:ascii="仿宋_GB2312" w:eastAsia="仿宋_GB2312"/>
                <w:kern w:val="0"/>
              </w:rPr>
              <w:t>一等奖每项加3分</w:t>
            </w:r>
          </w:p>
          <w:p w14:paraId="4D197946">
            <w:pPr>
              <w:topLinePunct/>
              <w:adjustRightInd w:val="0"/>
              <w:snapToGrid w:val="0"/>
              <w:jc w:val="left"/>
              <w:textAlignment w:val="center"/>
              <w:rPr>
                <w:rFonts w:ascii="仿宋_GB2312" w:eastAsia="仿宋_GB2312"/>
                <w:kern w:val="0"/>
              </w:rPr>
            </w:pPr>
            <w:r>
              <w:rPr>
                <w:rFonts w:ascii="仿宋_GB2312" w:eastAsia="仿宋_GB2312"/>
                <w:kern w:val="0"/>
              </w:rPr>
              <w:t>二等奖每项加2分</w:t>
            </w:r>
          </w:p>
          <w:p w14:paraId="654E5EB3">
            <w:pPr>
              <w:topLinePunct/>
              <w:adjustRightInd w:val="0"/>
              <w:snapToGrid w:val="0"/>
              <w:jc w:val="left"/>
              <w:textAlignment w:val="center"/>
              <w:rPr>
                <w:rFonts w:ascii="仿宋_GB2312" w:eastAsia="仿宋_GB2312"/>
                <w:kern w:val="0"/>
              </w:rPr>
            </w:pPr>
            <w:r>
              <w:rPr>
                <w:rFonts w:ascii="仿宋_GB2312" w:eastAsia="仿宋_GB2312"/>
                <w:kern w:val="0"/>
              </w:rPr>
              <w:t>三等奖每项加1分</w:t>
            </w:r>
          </w:p>
        </w:tc>
      </w:tr>
      <w:tr w14:paraId="2375E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653" w:type="dxa"/>
            <w:vAlign w:val="center"/>
          </w:tcPr>
          <w:p w14:paraId="66C22127">
            <w:pPr>
              <w:topLinePunct/>
              <w:adjustRightInd w:val="0"/>
              <w:snapToGrid w:val="0"/>
              <w:jc w:val="center"/>
              <w:textAlignment w:val="center"/>
              <w:rPr>
                <w:rFonts w:ascii="仿宋_GB2312" w:eastAsia="仿宋_GB2312"/>
                <w:kern w:val="0"/>
              </w:rPr>
            </w:pPr>
            <w:r>
              <w:rPr>
                <w:rFonts w:ascii="仿宋_GB2312" w:eastAsia="仿宋_GB2312"/>
                <w:kern w:val="0"/>
              </w:rPr>
              <w:t>4</w:t>
            </w:r>
          </w:p>
        </w:tc>
        <w:tc>
          <w:tcPr>
            <w:tcW w:w="1298" w:type="dxa"/>
            <w:vMerge w:val="continue"/>
            <w:vAlign w:val="center"/>
          </w:tcPr>
          <w:p w14:paraId="407EB2D4">
            <w:pPr>
              <w:topLinePunct/>
              <w:adjustRightInd w:val="0"/>
              <w:snapToGrid w:val="0"/>
              <w:jc w:val="left"/>
              <w:textAlignment w:val="center"/>
              <w:rPr>
                <w:rFonts w:ascii="仿宋_GB2312" w:eastAsia="仿宋_GB2312"/>
                <w:kern w:val="0"/>
              </w:rPr>
            </w:pPr>
          </w:p>
        </w:tc>
        <w:tc>
          <w:tcPr>
            <w:tcW w:w="4657" w:type="dxa"/>
            <w:vAlign w:val="center"/>
          </w:tcPr>
          <w:p w14:paraId="579F4ACD">
            <w:pPr>
              <w:topLinePunct/>
              <w:adjustRightInd w:val="0"/>
              <w:snapToGrid w:val="0"/>
              <w:jc w:val="left"/>
              <w:textAlignment w:val="center"/>
              <w:rPr>
                <w:rFonts w:ascii="仿宋_GB2312" w:eastAsia="仿宋_GB2312"/>
                <w:kern w:val="0"/>
              </w:rPr>
            </w:pPr>
            <w:r>
              <w:rPr>
                <w:rFonts w:ascii="仿宋_GB2312" w:eastAsia="仿宋_GB2312"/>
                <w:kern w:val="0"/>
              </w:rPr>
              <w:t>养护设施获得市级或行业级奖项。</w:t>
            </w:r>
          </w:p>
        </w:tc>
        <w:tc>
          <w:tcPr>
            <w:tcW w:w="2045" w:type="dxa"/>
            <w:vAlign w:val="center"/>
          </w:tcPr>
          <w:p w14:paraId="150587DF">
            <w:pPr>
              <w:topLinePunct/>
              <w:adjustRightInd w:val="0"/>
              <w:snapToGrid w:val="0"/>
              <w:jc w:val="left"/>
              <w:textAlignment w:val="center"/>
              <w:rPr>
                <w:rFonts w:ascii="仿宋_GB2312" w:eastAsia="仿宋_GB2312"/>
                <w:kern w:val="0"/>
              </w:rPr>
            </w:pPr>
            <w:r>
              <w:rPr>
                <w:rFonts w:ascii="仿宋_GB2312" w:eastAsia="仿宋_GB2312"/>
                <w:kern w:val="0"/>
              </w:rPr>
              <w:t>市级每项加5分</w:t>
            </w:r>
          </w:p>
          <w:p w14:paraId="103A30FC">
            <w:pPr>
              <w:topLinePunct/>
              <w:adjustRightInd w:val="0"/>
              <w:snapToGrid w:val="0"/>
              <w:jc w:val="left"/>
              <w:textAlignment w:val="center"/>
              <w:rPr>
                <w:rFonts w:ascii="仿宋_GB2312" w:eastAsia="仿宋_GB2312"/>
                <w:kern w:val="0"/>
              </w:rPr>
            </w:pPr>
            <w:r>
              <w:rPr>
                <w:rFonts w:ascii="仿宋_GB2312" w:eastAsia="仿宋_GB2312"/>
                <w:kern w:val="0"/>
              </w:rPr>
              <w:t>行业级每项加3分</w:t>
            </w:r>
          </w:p>
        </w:tc>
      </w:tr>
    </w:tbl>
    <w:p w14:paraId="7CE4C615">
      <w:pPr>
        <w:topLinePunct/>
        <w:adjustRightInd w:val="0"/>
        <w:snapToGrid w:val="0"/>
        <w:jc w:val="left"/>
        <w:textAlignment w:val="center"/>
      </w:pPr>
    </w:p>
    <w:p w14:paraId="6F900751">
      <w:pPr>
        <w:widowControl/>
        <w:topLinePunct/>
        <w:adjustRightInd w:val="0"/>
        <w:snapToGrid w:val="0"/>
        <w:spacing w:after="180" w:line="259" w:lineRule="auto"/>
        <w:jc w:val="left"/>
        <w:textAlignment w:val="center"/>
      </w:pPr>
      <w:r>
        <w:br w:type="page"/>
      </w:r>
    </w:p>
    <w:p w14:paraId="037599A7">
      <w:pPr>
        <w:topLinePunct/>
        <w:adjustRightInd w:val="0"/>
        <w:snapToGrid w:val="0"/>
        <w:spacing w:line="360" w:lineRule="auto"/>
        <w:jc w:val="left"/>
        <w:textAlignment w:val="center"/>
        <w:rPr>
          <w:rFonts w:eastAsia="华文中宋"/>
          <w:b/>
          <w:sz w:val="28"/>
          <w:szCs w:val="28"/>
        </w:rPr>
      </w:pPr>
      <w:r>
        <w:rPr>
          <w:rFonts w:hint="eastAsia" w:eastAsia="华文中宋"/>
          <w:b/>
          <w:sz w:val="28"/>
          <w:szCs w:val="28"/>
        </w:rPr>
        <w:t>附表三：道路养护现场安全标准化检查表</w:t>
      </w:r>
    </w:p>
    <w:p w14:paraId="51944C72">
      <w:pPr>
        <w:topLinePunct/>
        <w:adjustRightInd w:val="0"/>
        <w:snapToGrid w:val="0"/>
        <w:spacing w:line="360" w:lineRule="auto"/>
        <w:ind w:right="720" w:firstLine="210" w:firstLineChars="100"/>
        <w:jc w:val="left"/>
        <w:textAlignment w:val="center"/>
        <w:rPr>
          <w:rFonts w:hint="eastAsia" w:ascii="仿宋" w:hAnsi="仿宋" w:eastAsia="仿宋" w:cs="Arial Unicode MS"/>
          <w:color w:val="000000"/>
          <w:kern w:val="0"/>
        </w:rPr>
      </w:pPr>
      <w:r>
        <w:rPr>
          <w:rFonts w:hint="eastAsia" w:ascii="仿宋" w:hAnsi="仿宋" w:eastAsia="仿宋" w:cs="Arial Unicode MS"/>
          <w:color w:val="000000"/>
          <w:kern w:val="0"/>
        </w:rPr>
        <w:t xml:space="preserve">项目名称：                     养护单位：                   </w:t>
      </w:r>
    </w:p>
    <w:tbl>
      <w:tblPr>
        <w:tblStyle w:val="37"/>
        <w:tblW w:w="96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4320"/>
        <w:gridCol w:w="780"/>
        <w:gridCol w:w="880"/>
        <w:gridCol w:w="760"/>
        <w:gridCol w:w="720"/>
      </w:tblGrid>
      <w:tr w14:paraId="25691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9620" w:type="dxa"/>
            <w:gridSpan w:val="7"/>
            <w:vAlign w:val="center"/>
          </w:tcPr>
          <w:p w14:paraId="414594C5">
            <w:pPr>
              <w:topLinePunct/>
              <w:adjustRightInd w:val="0"/>
              <w:snapToGrid w:val="0"/>
              <w:jc w:val="center"/>
              <w:textAlignment w:val="center"/>
              <w:rPr>
                <w:rFonts w:eastAsia="仿宋_GB2312"/>
                <w:kern w:val="0"/>
              </w:rPr>
            </w:pPr>
            <w:r>
              <w:rPr>
                <w:rFonts w:hint="eastAsia" w:eastAsia="仿宋_GB2312"/>
                <w:kern w:val="0"/>
              </w:rPr>
              <w:t>道路养护现场安全标准化检查表</w:t>
            </w:r>
          </w:p>
        </w:tc>
      </w:tr>
      <w:tr w14:paraId="70E47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1080" w:type="dxa"/>
            <w:vMerge w:val="restart"/>
            <w:vAlign w:val="center"/>
          </w:tcPr>
          <w:p w14:paraId="4CAB6806">
            <w:pPr>
              <w:topLinePunct/>
              <w:adjustRightInd w:val="0"/>
              <w:snapToGrid w:val="0"/>
              <w:jc w:val="left"/>
              <w:textAlignment w:val="center"/>
              <w:rPr>
                <w:rFonts w:eastAsia="仿宋_GB2312"/>
                <w:kern w:val="0"/>
              </w:rPr>
            </w:pPr>
            <w:r>
              <w:rPr>
                <w:rFonts w:hint="eastAsia" w:eastAsia="仿宋_GB2312"/>
                <w:kern w:val="0"/>
              </w:rPr>
              <w:t>检查项目</w:t>
            </w:r>
          </w:p>
        </w:tc>
        <w:tc>
          <w:tcPr>
            <w:tcW w:w="1080" w:type="dxa"/>
            <w:vMerge w:val="restart"/>
            <w:vAlign w:val="center"/>
          </w:tcPr>
          <w:p w14:paraId="66C2859E">
            <w:pPr>
              <w:topLinePunct/>
              <w:adjustRightInd w:val="0"/>
              <w:snapToGrid w:val="0"/>
              <w:jc w:val="left"/>
              <w:textAlignment w:val="center"/>
              <w:rPr>
                <w:rFonts w:eastAsia="仿宋_GB2312"/>
                <w:kern w:val="0"/>
              </w:rPr>
            </w:pPr>
            <w:r>
              <w:rPr>
                <w:rFonts w:hint="eastAsia" w:eastAsia="仿宋_GB2312"/>
                <w:kern w:val="0"/>
              </w:rPr>
              <w:t>检查内容</w:t>
            </w:r>
          </w:p>
        </w:tc>
        <w:tc>
          <w:tcPr>
            <w:tcW w:w="4320" w:type="dxa"/>
            <w:vMerge w:val="restart"/>
            <w:vAlign w:val="center"/>
          </w:tcPr>
          <w:p w14:paraId="4F8CFDA0">
            <w:pPr>
              <w:topLinePunct/>
              <w:adjustRightInd w:val="0"/>
              <w:snapToGrid w:val="0"/>
              <w:jc w:val="center"/>
              <w:textAlignment w:val="center"/>
              <w:rPr>
                <w:rFonts w:eastAsia="仿宋_GB2312"/>
                <w:kern w:val="0"/>
              </w:rPr>
            </w:pPr>
            <w:r>
              <w:rPr>
                <w:rFonts w:hint="eastAsia" w:eastAsia="仿宋_GB2312"/>
                <w:kern w:val="0"/>
              </w:rPr>
              <w:t>现场检查扣分标准</w:t>
            </w:r>
          </w:p>
        </w:tc>
        <w:tc>
          <w:tcPr>
            <w:tcW w:w="780" w:type="dxa"/>
            <w:vMerge w:val="restart"/>
            <w:vAlign w:val="center"/>
          </w:tcPr>
          <w:p w14:paraId="6EEACD4C">
            <w:pPr>
              <w:topLinePunct/>
              <w:adjustRightInd w:val="0"/>
              <w:snapToGrid w:val="0"/>
              <w:jc w:val="center"/>
              <w:textAlignment w:val="center"/>
              <w:rPr>
                <w:rFonts w:eastAsia="仿宋_GB2312"/>
                <w:kern w:val="0"/>
              </w:rPr>
            </w:pPr>
            <w:r>
              <w:rPr>
                <w:rFonts w:hint="eastAsia" w:eastAsia="仿宋_GB2312"/>
                <w:kern w:val="0"/>
              </w:rPr>
              <w:t>标准分</w:t>
            </w:r>
          </w:p>
        </w:tc>
        <w:tc>
          <w:tcPr>
            <w:tcW w:w="2360" w:type="dxa"/>
            <w:gridSpan w:val="3"/>
            <w:vAlign w:val="center"/>
          </w:tcPr>
          <w:p w14:paraId="40D2C536">
            <w:pPr>
              <w:topLinePunct/>
              <w:adjustRightInd w:val="0"/>
              <w:snapToGrid w:val="0"/>
              <w:jc w:val="center"/>
              <w:textAlignment w:val="center"/>
              <w:rPr>
                <w:rFonts w:eastAsia="仿宋_GB2312"/>
                <w:kern w:val="0"/>
              </w:rPr>
            </w:pPr>
            <w:r>
              <w:rPr>
                <w:rFonts w:hint="eastAsia" w:eastAsia="仿宋_GB2312"/>
                <w:kern w:val="0"/>
              </w:rPr>
              <w:t>检查结果</w:t>
            </w:r>
          </w:p>
        </w:tc>
      </w:tr>
      <w:tr w14:paraId="47D48C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blHeader/>
          <w:jc w:val="center"/>
        </w:trPr>
        <w:tc>
          <w:tcPr>
            <w:tcW w:w="0" w:type="auto"/>
            <w:vMerge w:val="continue"/>
            <w:vAlign w:val="center"/>
          </w:tcPr>
          <w:p w14:paraId="06F530A2">
            <w:pPr>
              <w:topLinePunct/>
              <w:adjustRightInd w:val="0"/>
              <w:snapToGrid w:val="0"/>
              <w:jc w:val="left"/>
              <w:textAlignment w:val="center"/>
              <w:rPr>
                <w:rFonts w:eastAsia="仿宋_GB2312"/>
                <w:kern w:val="0"/>
              </w:rPr>
            </w:pPr>
          </w:p>
        </w:tc>
        <w:tc>
          <w:tcPr>
            <w:tcW w:w="0" w:type="auto"/>
            <w:vMerge w:val="continue"/>
            <w:vAlign w:val="center"/>
          </w:tcPr>
          <w:p w14:paraId="07575BF2">
            <w:pPr>
              <w:topLinePunct/>
              <w:adjustRightInd w:val="0"/>
              <w:snapToGrid w:val="0"/>
              <w:jc w:val="left"/>
              <w:textAlignment w:val="center"/>
              <w:rPr>
                <w:rFonts w:eastAsia="仿宋_GB2312"/>
                <w:kern w:val="0"/>
              </w:rPr>
            </w:pPr>
          </w:p>
        </w:tc>
        <w:tc>
          <w:tcPr>
            <w:tcW w:w="0" w:type="auto"/>
            <w:vMerge w:val="continue"/>
            <w:vAlign w:val="center"/>
          </w:tcPr>
          <w:p w14:paraId="3D6F0305">
            <w:pPr>
              <w:topLinePunct/>
              <w:adjustRightInd w:val="0"/>
              <w:snapToGrid w:val="0"/>
              <w:jc w:val="left"/>
              <w:textAlignment w:val="center"/>
              <w:rPr>
                <w:rFonts w:eastAsia="仿宋_GB2312"/>
                <w:kern w:val="0"/>
              </w:rPr>
            </w:pPr>
          </w:p>
        </w:tc>
        <w:tc>
          <w:tcPr>
            <w:tcW w:w="0" w:type="auto"/>
            <w:vMerge w:val="continue"/>
            <w:vAlign w:val="center"/>
          </w:tcPr>
          <w:p w14:paraId="66D3A1D1">
            <w:pPr>
              <w:topLinePunct/>
              <w:adjustRightInd w:val="0"/>
              <w:snapToGrid w:val="0"/>
              <w:jc w:val="left"/>
              <w:textAlignment w:val="center"/>
              <w:rPr>
                <w:rFonts w:eastAsia="仿宋_GB2312"/>
                <w:kern w:val="0"/>
              </w:rPr>
            </w:pPr>
          </w:p>
        </w:tc>
        <w:tc>
          <w:tcPr>
            <w:tcW w:w="880" w:type="dxa"/>
            <w:vAlign w:val="center"/>
          </w:tcPr>
          <w:p w14:paraId="5FF3C84F">
            <w:pPr>
              <w:topLinePunct/>
              <w:adjustRightInd w:val="0"/>
              <w:snapToGrid w:val="0"/>
              <w:jc w:val="left"/>
              <w:textAlignment w:val="center"/>
              <w:rPr>
                <w:rFonts w:eastAsia="仿宋_GB2312"/>
                <w:kern w:val="0"/>
              </w:rPr>
            </w:pPr>
            <w:r>
              <w:rPr>
                <w:rFonts w:hint="eastAsia" w:eastAsia="仿宋_GB2312"/>
                <w:kern w:val="0"/>
              </w:rPr>
              <w:t>扣分情况</w:t>
            </w:r>
          </w:p>
        </w:tc>
        <w:tc>
          <w:tcPr>
            <w:tcW w:w="760" w:type="dxa"/>
            <w:vAlign w:val="center"/>
          </w:tcPr>
          <w:p w14:paraId="2658626E">
            <w:pPr>
              <w:topLinePunct/>
              <w:adjustRightInd w:val="0"/>
              <w:snapToGrid w:val="0"/>
              <w:jc w:val="left"/>
              <w:textAlignment w:val="center"/>
              <w:rPr>
                <w:rFonts w:eastAsia="仿宋_GB2312"/>
                <w:kern w:val="0"/>
              </w:rPr>
            </w:pPr>
            <w:r>
              <w:rPr>
                <w:rFonts w:hint="eastAsia" w:eastAsia="仿宋_GB2312"/>
                <w:kern w:val="0"/>
              </w:rPr>
              <w:t>扣分</w:t>
            </w:r>
          </w:p>
        </w:tc>
        <w:tc>
          <w:tcPr>
            <w:tcW w:w="720" w:type="dxa"/>
            <w:vAlign w:val="center"/>
          </w:tcPr>
          <w:p w14:paraId="27C4E6BC">
            <w:pPr>
              <w:topLinePunct/>
              <w:adjustRightInd w:val="0"/>
              <w:snapToGrid w:val="0"/>
              <w:jc w:val="left"/>
              <w:textAlignment w:val="center"/>
              <w:rPr>
                <w:rFonts w:eastAsia="仿宋_GB2312"/>
                <w:kern w:val="0"/>
              </w:rPr>
            </w:pPr>
            <w:r>
              <w:rPr>
                <w:rFonts w:hint="eastAsia" w:eastAsia="仿宋_GB2312"/>
                <w:kern w:val="0"/>
              </w:rPr>
              <w:t>得分</w:t>
            </w:r>
          </w:p>
        </w:tc>
      </w:tr>
      <w:tr w14:paraId="61547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5" w:hRule="atLeast"/>
          <w:jc w:val="center"/>
        </w:trPr>
        <w:tc>
          <w:tcPr>
            <w:tcW w:w="1080" w:type="dxa"/>
            <w:vMerge w:val="restart"/>
            <w:vAlign w:val="center"/>
          </w:tcPr>
          <w:p w14:paraId="402A2110">
            <w:pPr>
              <w:topLinePunct/>
              <w:adjustRightInd w:val="0"/>
              <w:snapToGrid w:val="0"/>
              <w:jc w:val="left"/>
              <w:textAlignment w:val="center"/>
              <w:rPr>
                <w:rFonts w:eastAsia="仿宋_GB2312"/>
                <w:kern w:val="0"/>
              </w:rPr>
            </w:pPr>
            <w:r>
              <w:rPr>
                <w:rFonts w:hint="eastAsia" w:eastAsia="仿宋_GB2312"/>
                <w:kern w:val="0"/>
              </w:rPr>
              <w:t>制度管理（2分）</w:t>
            </w:r>
          </w:p>
        </w:tc>
        <w:tc>
          <w:tcPr>
            <w:tcW w:w="1080" w:type="dxa"/>
            <w:vAlign w:val="center"/>
          </w:tcPr>
          <w:p w14:paraId="2B432A12">
            <w:pPr>
              <w:topLinePunct/>
              <w:adjustRightInd w:val="0"/>
              <w:snapToGrid w:val="0"/>
              <w:jc w:val="left"/>
              <w:textAlignment w:val="center"/>
              <w:rPr>
                <w:rFonts w:eastAsia="仿宋_GB2312"/>
                <w:kern w:val="0"/>
              </w:rPr>
            </w:pPr>
            <w:r>
              <w:rPr>
                <w:rFonts w:hint="eastAsia" w:eastAsia="仿宋_GB2312"/>
                <w:kern w:val="0"/>
              </w:rPr>
              <w:t>制度建立</w:t>
            </w:r>
          </w:p>
        </w:tc>
        <w:tc>
          <w:tcPr>
            <w:tcW w:w="4320" w:type="dxa"/>
            <w:vAlign w:val="center"/>
          </w:tcPr>
          <w:p w14:paraId="4AB1C46A">
            <w:pPr>
              <w:topLinePunct/>
              <w:adjustRightInd w:val="0"/>
              <w:snapToGrid w:val="0"/>
              <w:jc w:val="left"/>
              <w:textAlignment w:val="center"/>
              <w:rPr>
                <w:rFonts w:eastAsia="仿宋_GB2312"/>
                <w:kern w:val="0"/>
              </w:rPr>
            </w:pPr>
            <w:r>
              <w:rPr>
                <w:rFonts w:hint="eastAsia" w:eastAsia="仿宋_GB2312"/>
                <w:kern w:val="0"/>
              </w:rPr>
              <w:t>1、安全生产责任制度、检查制度、特种作业管理制度、动火管理制度、安措经费使用管理制度、安全交底制度、带班制度、事故报告与处理制度、安全考核奖罚制度等。每缺一项扣0.5分。</w:t>
            </w:r>
          </w:p>
        </w:tc>
        <w:tc>
          <w:tcPr>
            <w:tcW w:w="780" w:type="dxa"/>
            <w:vMerge w:val="restart"/>
            <w:vAlign w:val="center"/>
          </w:tcPr>
          <w:p w14:paraId="20C8E21D">
            <w:pPr>
              <w:topLinePunct/>
              <w:adjustRightInd w:val="0"/>
              <w:snapToGrid w:val="0"/>
              <w:jc w:val="center"/>
              <w:textAlignment w:val="center"/>
              <w:rPr>
                <w:rFonts w:eastAsia="仿宋_GB2312"/>
                <w:kern w:val="0"/>
              </w:rPr>
            </w:pPr>
            <w:r>
              <w:rPr>
                <w:rFonts w:hint="eastAsia" w:eastAsia="仿宋_GB2312"/>
                <w:kern w:val="0"/>
              </w:rPr>
              <w:t>2</w:t>
            </w:r>
          </w:p>
        </w:tc>
        <w:tc>
          <w:tcPr>
            <w:tcW w:w="880" w:type="dxa"/>
            <w:vAlign w:val="center"/>
          </w:tcPr>
          <w:p w14:paraId="55973093">
            <w:pPr>
              <w:topLinePunct/>
              <w:adjustRightInd w:val="0"/>
              <w:snapToGrid w:val="0"/>
              <w:jc w:val="left"/>
              <w:textAlignment w:val="center"/>
              <w:rPr>
                <w:rFonts w:eastAsia="仿宋_GB2312"/>
                <w:kern w:val="0"/>
              </w:rPr>
            </w:pPr>
          </w:p>
        </w:tc>
        <w:tc>
          <w:tcPr>
            <w:tcW w:w="760" w:type="dxa"/>
            <w:vAlign w:val="center"/>
          </w:tcPr>
          <w:p w14:paraId="242F6087">
            <w:pPr>
              <w:topLinePunct/>
              <w:adjustRightInd w:val="0"/>
              <w:snapToGrid w:val="0"/>
              <w:jc w:val="left"/>
              <w:textAlignment w:val="center"/>
              <w:rPr>
                <w:rFonts w:eastAsia="仿宋_GB2312"/>
                <w:kern w:val="0"/>
              </w:rPr>
            </w:pPr>
          </w:p>
        </w:tc>
        <w:tc>
          <w:tcPr>
            <w:tcW w:w="720" w:type="dxa"/>
            <w:vAlign w:val="center"/>
          </w:tcPr>
          <w:p w14:paraId="4896EED0">
            <w:pPr>
              <w:topLinePunct/>
              <w:adjustRightInd w:val="0"/>
              <w:snapToGrid w:val="0"/>
              <w:jc w:val="left"/>
              <w:textAlignment w:val="center"/>
              <w:rPr>
                <w:rFonts w:eastAsia="仿宋_GB2312"/>
                <w:kern w:val="0"/>
              </w:rPr>
            </w:pPr>
          </w:p>
        </w:tc>
      </w:tr>
      <w:tr w14:paraId="24FBA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0" w:type="auto"/>
            <w:vMerge w:val="continue"/>
            <w:vAlign w:val="center"/>
          </w:tcPr>
          <w:p w14:paraId="017C2B2E">
            <w:pPr>
              <w:topLinePunct/>
              <w:adjustRightInd w:val="0"/>
              <w:snapToGrid w:val="0"/>
              <w:jc w:val="left"/>
              <w:textAlignment w:val="center"/>
              <w:rPr>
                <w:rFonts w:eastAsia="仿宋_GB2312"/>
                <w:kern w:val="0"/>
              </w:rPr>
            </w:pPr>
          </w:p>
        </w:tc>
        <w:tc>
          <w:tcPr>
            <w:tcW w:w="1080" w:type="dxa"/>
            <w:vAlign w:val="center"/>
          </w:tcPr>
          <w:p w14:paraId="13913398">
            <w:pPr>
              <w:topLinePunct/>
              <w:adjustRightInd w:val="0"/>
              <w:snapToGrid w:val="0"/>
              <w:jc w:val="left"/>
              <w:textAlignment w:val="center"/>
              <w:rPr>
                <w:rFonts w:eastAsia="仿宋_GB2312"/>
                <w:kern w:val="0"/>
              </w:rPr>
            </w:pPr>
            <w:r>
              <w:rPr>
                <w:rFonts w:hint="eastAsia" w:eastAsia="仿宋_GB2312"/>
                <w:kern w:val="0"/>
              </w:rPr>
              <w:t>资质、资格</w:t>
            </w:r>
          </w:p>
        </w:tc>
        <w:tc>
          <w:tcPr>
            <w:tcW w:w="4320" w:type="dxa"/>
            <w:vAlign w:val="center"/>
          </w:tcPr>
          <w:p w14:paraId="44750451">
            <w:pPr>
              <w:topLinePunct/>
              <w:adjustRightInd w:val="0"/>
              <w:snapToGrid w:val="0"/>
              <w:jc w:val="left"/>
              <w:textAlignment w:val="center"/>
              <w:rPr>
                <w:rFonts w:eastAsia="仿宋_GB2312"/>
                <w:kern w:val="0"/>
              </w:rPr>
            </w:pPr>
            <w:r>
              <w:rPr>
                <w:rFonts w:hint="eastAsia" w:eastAsia="仿宋_GB2312"/>
                <w:kern w:val="0"/>
              </w:rPr>
              <w:t>2、企业总包、分包资质不符规定，考评为不合格。养护企业无安全许可证的“三类”人员必须参加“贯标”培训，每缺一类人员扣0.5分。</w:t>
            </w:r>
          </w:p>
        </w:tc>
        <w:tc>
          <w:tcPr>
            <w:tcW w:w="780" w:type="dxa"/>
            <w:vMerge w:val="continue"/>
            <w:vAlign w:val="center"/>
          </w:tcPr>
          <w:p w14:paraId="5833824F">
            <w:pPr>
              <w:topLinePunct/>
              <w:adjustRightInd w:val="0"/>
              <w:snapToGrid w:val="0"/>
              <w:jc w:val="left"/>
              <w:textAlignment w:val="center"/>
              <w:rPr>
                <w:rFonts w:eastAsia="仿宋_GB2312"/>
                <w:kern w:val="0"/>
              </w:rPr>
            </w:pPr>
          </w:p>
        </w:tc>
        <w:tc>
          <w:tcPr>
            <w:tcW w:w="880" w:type="dxa"/>
            <w:vAlign w:val="center"/>
          </w:tcPr>
          <w:p w14:paraId="4B1B01FE">
            <w:pPr>
              <w:topLinePunct/>
              <w:adjustRightInd w:val="0"/>
              <w:snapToGrid w:val="0"/>
              <w:jc w:val="left"/>
              <w:textAlignment w:val="center"/>
              <w:rPr>
                <w:rFonts w:eastAsia="仿宋_GB2312"/>
                <w:kern w:val="0"/>
              </w:rPr>
            </w:pPr>
          </w:p>
        </w:tc>
        <w:tc>
          <w:tcPr>
            <w:tcW w:w="760" w:type="dxa"/>
            <w:vAlign w:val="center"/>
          </w:tcPr>
          <w:p w14:paraId="66283953">
            <w:pPr>
              <w:topLinePunct/>
              <w:adjustRightInd w:val="0"/>
              <w:snapToGrid w:val="0"/>
              <w:jc w:val="left"/>
              <w:textAlignment w:val="center"/>
              <w:rPr>
                <w:rFonts w:eastAsia="仿宋_GB2312"/>
                <w:kern w:val="0"/>
              </w:rPr>
            </w:pPr>
          </w:p>
        </w:tc>
        <w:tc>
          <w:tcPr>
            <w:tcW w:w="720" w:type="dxa"/>
            <w:vAlign w:val="center"/>
          </w:tcPr>
          <w:p w14:paraId="302C0D01">
            <w:pPr>
              <w:topLinePunct/>
              <w:adjustRightInd w:val="0"/>
              <w:snapToGrid w:val="0"/>
              <w:jc w:val="left"/>
              <w:textAlignment w:val="center"/>
              <w:rPr>
                <w:rFonts w:eastAsia="仿宋_GB2312"/>
                <w:kern w:val="0"/>
              </w:rPr>
            </w:pPr>
          </w:p>
        </w:tc>
      </w:tr>
      <w:tr w14:paraId="45F903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0" w:type="auto"/>
            <w:vMerge w:val="continue"/>
            <w:vAlign w:val="center"/>
          </w:tcPr>
          <w:p w14:paraId="6692A1DB">
            <w:pPr>
              <w:topLinePunct/>
              <w:adjustRightInd w:val="0"/>
              <w:snapToGrid w:val="0"/>
              <w:jc w:val="left"/>
              <w:textAlignment w:val="center"/>
              <w:rPr>
                <w:rFonts w:eastAsia="仿宋_GB2312"/>
                <w:kern w:val="0"/>
              </w:rPr>
            </w:pPr>
          </w:p>
        </w:tc>
        <w:tc>
          <w:tcPr>
            <w:tcW w:w="1080" w:type="dxa"/>
            <w:vAlign w:val="center"/>
          </w:tcPr>
          <w:p w14:paraId="22583C7B">
            <w:pPr>
              <w:topLinePunct/>
              <w:adjustRightInd w:val="0"/>
              <w:snapToGrid w:val="0"/>
              <w:jc w:val="left"/>
              <w:textAlignment w:val="center"/>
              <w:rPr>
                <w:rFonts w:eastAsia="仿宋_GB2312"/>
                <w:kern w:val="0"/>
              </w:rPr>
            </w:pPr>
            <w:r>
              <w:rPr>
                <w:rFonts w:hint="eastAsia" w:eastAsia="仿宋_GB2312"/>
                <w:kern w:val="0"/>
              </w:rPr>
              <w:t>危险源控制</w:t>
            </w:r>
          </w:p>
        </w:tc>
        <w:tc>
          <w:tcPr>
            <w:tcW w:w="4320" w:type="dxa"/>
            <w:vAlign w:val="center"/>
          </w:tcPr>
          <w:p w14:paraId="2E150012">
            <w:pPr>
              <w:topLinePunct/>
              <w:adjustRightInd w:val="0"/>
              <w:snapToGrid w:val="0"/>
              <w:jc w:val="left"/>
              <w:textAlignment w:val="center"/>
              <w:rPr>
                <w:rFonts w:eastAsia="仿宋_GB2312"/>
                <w:kern w:val="0"/>
              </w:rPr>
            </w:pPr>
            <w:r>
              <w:rPr>
                <w:rFonts w:hint="eastAsia" w:eastAsia="仿宋_GB2312"/>
                <w:kern w:val="0"/>
              </w:rPr>
              <w:t>4、安全专项方案未辨识、审核的；每项扣0.5分；未按应急预案要求落实应急物资储备和演练的，危险品及有毒有害物品管理规定的每项扣0.5分。</w:t>
            </w:r>
          </w:p>
        </w:tc>
        <w:tc>
          <w:tcPr>
            <w:tcW w:w="780" w:type="dxa"/>
            <w:vMerge w:val="continue"/>
            <w:vAlign w:val="center"/>
          </w:tcPr>
          <w:p w14:paraId="76B06DA8">
            <w:pPr>
              <w:topLinePunct/>
              <w:adjustRightInd w:val="0"/>
              <w:snapToGrid w:val="0"/>
              <w:jc w:val="left"/>
              <w:textAlignment w:val="center"/>
              <w:rPr>
                <w:rFonts w:eastAsia="仿宋_GB2312"/>
                <w:kern w:val="0"/>
              </w:rPr>
            </w:pPr>
          </w:p>
        </w:tc>
        <w:tc>
          <w:tcPr>
            <w:tcW w:w="880" w:type="dxa"/>
            <w:vAlign w:val="center"/>
          </w:tcPr>
          <w:p w14:paraId="696BABEE">
            <w:pPr>
              <w:topLinePunct/>
              <w:adjustRightInd w:val="0"/>
              <w:snapToGrid w:val="0"/>
              <w:jc w:val="left"/>
              <w:textAlignment w:val="center"/>
              <w:rPr>
                <w:rFonts w:eastAsia="仿宋_GB2312"/>
                <w:kern w:val="0"/>
              </w:rPr>
            </w:pPr>
          </w:p>
        </w:tc>
        <w:tc>
          <w:tcPr>
            <w:tcW w:w="760" w:type="dxa"/>
            <w:vAlign w:val="center"/>
          </w:tcPr>
          <w:p w14:paraId="62AFCADC">
            <w:pPr>
              <w:topLinePunct/>
              <w:adjustRightInd w:val="0"/>
              <w:snapToGrid w:val="0"/>
              <w:jc w:val="left"/>
              <w:textAlignment w:val="center"/>
              <w:rPr>
                <w:rFonts w:eastAsia="仿宋_GB2312"/>
                <w:kern w:val="0"/>
              </w:rPr>
            </w:pPr>
          </w:p>
        </w:tc>
        <w:tc>
          <w:tcPr>
            <w:tcW w:w="720" w:type="dxa"/>
            <w:vAlign w:val="center"/>
          </w:tcPr>
          <w:p w14:paraId="0D064E5D">
            <w:pPr>
              <w:topLinePunct/>
              <w:adjustRightInd w:val="0"/>
              <w:snapToGrid w:val="0"/>
              <w:jc w:val="left"/>
              <w:textAlignment w:val="center"/>
              <w:rPr>
                <w:rFonts w:eastAsia="仿宋_GB2312"/>
                <w:kern w:val="0"/>
              </w:rPr>
            </w:pPr>
          </w:p>
        </w:tc>
      </w:tr>
      <w:tr w14:paraId="31B5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0" w:type="auto"/>
            <w:vMerge w:val="continue"/>
            <w:vAlign w:val="center"/>
          </w:tcPr>
          <w:p w14:paraId="7D0BFF29">
            <w:pPr>
              <w:topLinePunct/>
              <w:adjustRightInd w:val="0"/>
              <w:snapToGrid w:val="0"/>
              <w:jc w:val="left"/>
              <w:textAlignment w:val="center"/>
              <w:rPr>
                <w:rFonts w:eastAsia="仿宋_GB2312"/>
                <w:kern w:val="0"/>
              </w:rPr>
            </w:pPr>
          </w:p>
        </w:tc>
        <w:tc>
          <w:tcPr>
            <w:tcW w:w="1080" w:type="dxa"/>
            <w:vAlign w:val="center"/>
          </w:tcPr>
          <w:p w14:paraId="5048CE64">
            <w:pPr>
              <w:topLinePunct/>
              <w:adjustRightInd w:val="0"/>
              <w:snapToGrid w:val="0"/>
              <w:jc w:val="left"/>
              <w:textAlignment w:val="center"/>
              <w:rPr>
                <w:rFonts w:eastAsia="仿宋_GB2312"/>
                <w:kern w:val="0"/>
              </w:rPr>
            </w:pPr>
            <w:r>
              <w:rPr>
                <w:rFonts w:hint="eastAsia" w:eastAsia="仿宋_GB2312"/>
                <w:kern w:val="0"/>
              </w:rPr>
              <w:t>安全经费</w:t>
            </w:r>
          </w:p>
        </w:tc>
        <w:tc>
          <w:tcPr>
            <w:tcW w:w="4320" w:type="dxa"/>
            <w:vAlign w:val="center"/>
          </w:tcPr>
          <w:p w14:paraId="1422ADF8">
            <w:pPr>
              <w:topLinePunct/>
              <w:adjustRightInd w:val="0"/>
              <w:snapToGrid w:val="0"/>
              <w:jc w:val="left"/>
              <w:textAlignment w:val="center"/>
              <w:rPr>
                <w:rFonts w:eastAsia="仿宋_GB2312"/>
                <w:kern w:val="0"/>
              </w:rPr>
            </w:pPr>
            <w:r>
              <w:rPr>
                <w:rFonts w:hint="eastAsia" w:eastAsia="仿宋_GB2312"/>
                <w:kern w:val="0"/>
              </w:rPr>
              <w:t>5、未制定专项计划、建立专项台账、未审批、未专款专用的；每项扣0.5分。</w:t>
            </w:r>
          </w:p>
        </w:tc>
        <w:tc>
          <w:tcPr>
            <w:tcW w:w="780" w:type="dxa"/>
            <w:vMerge w:val="continue"/>
            <w:vAlign w:val="center"/>
          </w:tcPr>
          <w:p w14:paraId="1178BC31">
            <w:pPr>
              <w:topLinePunct/>
              <w:adjustRightInd w:val="0"/>
              <w:snapToGrid w:val="0"/>
              <w:jc w:val="left"/>
              <w:textAlignment w:val="center"/>
              <w:rPr>
                <w:rFonts w:eastAsia="仿宋_GB2312"/>
                <w:kern w:val="0"/>
              </w:rPr>
            </w:pPr>
          </w:p>
        </w:tc>
        <w:tc>
          <w:tcPr>
            <w:tcW w:w="880" w:type="dxa"/>
            <w:vAlign w:val="center"/>
          </w:tcPr>
          <w:p w14:paraId="5FD86703">
            <w:pPr>
              <w:topLinePunct/>
              <w:adjustRightInd w:val="0"/>
              <w:snapToGrid w:val="0"/>
              <w:jc w:val="left"/>
              <w:textAlignment w:val="center"/>
              <w:rPr>
                <w:rFonts w:eastAsia="仿宋_GB2312"/>
                <w:kern w:val="0"/>
              </w:rPr>
            </w:pPr>
          </w:p>
        </w:tc>
        <w:tc>
          <w:tcPr>
            <w:tcW w:w="760" w:type="dxa"/>
            <w:vAlign w:val="center"/>
          </w:tcPr>
          <w:p w14:paraId="0BF4B54F">
            <w:pPr>
              <w:topLinePunct/>
              <w:adjustRightInd w:val="0"/>
              <w:snapToGrid w:val="0"/>
              <w:jc w:val="left"/>
              <w:textAlignment w:val="center"/>
              <w:rPr>
                <w:rFonts w:eastAsia="仿宋_GB2312"/>
                <w:kern w:val="0"/>
              </w:rPr>
            </w:pPr>
          </w:p>
        </w:tc>
        <w:tc>
          <w:tcPr>
            <w:tcW w:w="720" w:type="dxa"/>
            <w:vAlign w:val="center"/>
          </w:tcPr>
          <w:p w14:paraId="45DC5BA9">
            <w:pPr>
              <w:topLinePunct/>
              <w:adjustRightInd w:val="0"/>
              <w:snapToGrid w:val="0"/>
              <w:jc w:val="left"/>
              <w:textAlignment w:val="center"/>
              <w:rPr>
                <w:rFonts w:eastAsia="仿宋_GB2312"/>
                <w:kern w:val="0"/>
              </w:rPr>
            </w:pPr>
          </w:p>
        </w:tc>
      </w:tr>
      <w:tr w14:paraId="09E47A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0" w:type="auto"/>
            <w:vMerge w:val="continue"/>
            <w:vAlign w:val="center"/>
          </w:tcPr>
          <w:p w14:paraId="0F61CC28">
            <w:pPr>
              <w:topLinePunct/>
              <w:adjustRightInd w:val="0"/>
              <w:snapToGrid w:val="0"/>
              <w:jc w:val="left"/>
              <w:textAlignment w:val="center"/>
              <w:rPr>
                <w:rFonts w:eastAsia="仿宋_GB2312"/>
                <w:kern w:val="0"/>
              </w:rPr>
            </w:pPr>
          </w:p>
        </w:tc>
        <w:tc>
          <w:tcPr>
            <w:tcW w:w="1080" w:type="dxa"/>
            <w:vAlign w:val="center"/>
          </w:tcPr>
          <w:p w14:paraId="35E1C817">
            <w:pPr>
              <w:topLinePunct/>
              <w:adjustRightInd w:val="0"/>
              <w:snapToGrid w:val="0"/>
              <w:jc w:val="left"/>
              <w:textAlignment w:val="center"/>
              <w:rPr>
                <w:rFonts w:eastAsia="仿宋_GB2312"/>
                <w:kern w:val="0"/>
              </w:rPr>
            </w:pPr>
            <w:r>
              <w:rPr>
                <w:rFonts w:hint="eastAsia" w:eastAsia="仿宋_GB2312"/>
                <w:kern w:val="0"/>
              </w:rPr>
              <w:t>从业人员  维权</w:t>
            </w:r>
          </w:p>
        </w:tc>
        <w:tc>
          <w:tcPr>
            <w:tcW w:w="4320" w:type="dxa"/>
            <w:vAlign w:val="center"/>
          </w:tcPr>
          <w:p w14:paraId="31C5DE9E">
            <w:pPr>
              <w:topLinePunct/>
              <w:adjustRightInd w:val="0"/>
              <w:snapToGrid w:val="0"/>
              <w:jc w:val="left"/>
              <w:textAlignment w:val="center"/>
              <w:rPr>
                <w:rFonts w:eastAsia="仿宋_GB2312"/>
                <w:kern w:val="0"/>
              </w:rPr>
            </w:pPr>
            <w:r>
              <w:rPr>
                <w:rFonts w:hint="eastAsia" w:eastAsia="仿宋_GB2312"/>
                <w:kern w:val="0"/>
              </w:rPr>
              <w:t>6、无用工手续；未按规定办理相关保险；未按标准发放劳动防护用品的；每项扣0.5分。</w:t>
            </w:r>
          </w:p>
        </w:tc>
        <w:tc>
          <w:tcPr>
            <w:tcW w:w="780" w:type="dxa"/>
            <w:vMerge w:val="continue"/>
            <w:vAlign w:val="center"/>
          </w:tcPr>
          <w:p w14:paraId="0EFA1916">
            <w:pPr>
              <w:topLinePunct/>
              <w:adjustRightInd w:val="0"/>
              <w:snapToGrid w:val="0"/>
              <w:jc w:val="left"/>
              <w:textAlignment w:val="center"/>
              <w:rPr>
                <w:rFonts w:eastAsia="仿宋_GB2312"/>
                <w:kern w:val="0"/>
              </w:rPr>
            </w:pPr>
          </w:p>
        </w:tc>
        <w:tc>
          <w:tcPr>
            <w:tcW w:w="880" w:type="dxa"/>
            <w:vAlign w:val="center"/>
          </w:tcPr>
          <w:p w14:paraId="2BA1119F">
            <w:pPr>
              <w:topLinePunct/>
              <w:adjustRightInd w:val="0"/>
              <w:snapToGrid w:val="0"/>
              <w:jc w:val="left"/>
              <w:textAlignment w:val="center"/>
              <w:rPr>
                <w:rFonts w:eastAsia="仿宋_GB2312"/>
                <w:kern w:val="0"/>
              </w:rPr>
            </w:pPr>
          </w:p>
        </w:tc>
        <w:tc>
          <w:tcPr>
            <w:tcW w:w="760" w:type="dxa"/>
            <w:vAlign w:val="center"/>
          </w:tcPr>
          <w:p w14:paraId="5D2DD62E">
            <w:pPr>
              <w:topLinePunct/>
              <w:adjustRightInd w:val="0"/>
              <w:snapToGrid w:val="0"/>
              <w:jc w:val="left"/>
              <w:textAlignment w:val="center"/>
              <w:rPr>
                <w:rFonts w:eastAsia="仿宋_GB2312"/>
                <w:kern w:val="0"/>
              </w:rPr>
            </w:pPr>
          </w:p>
        </w:tc>
        <w:tc>
          <w:tcPr>
            <w:tcW w:w="720" w:type="dxa"/>
            <w:vAlign w:val="center"/>
          </w:tcPr>
          <w:p w14:paraId="427E7F3F">
            <w:pPr>
              <w:topLinePunct/>
              <w:adjustRightInd w:val="0"/>
              <w:snapToGrid w:val="0"/>
              <w:jc w:val="left"/>
              <w:textAlignment w:val="center"/>
              <w:rPr>
                <w:rFonts w:eastAsia="仿宋_GB2312"/>
                <w:kern w:val="0"/>
              </w:rPr>
            </w:pPr>
          </w:p>
        </w:tc>
      </w:tr>
      <w:tr w14:paraId="61D30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1080" w:type="dxa"/>
            <w:vMerge w:val="restart"/>
            <w:vAlign w:val="center"/>
          </w:tcPr>
          <w:p w14:paraId="1D3254A6">
            <w:pPr>
              <w:topLinePunct/>
              <w:adjustRightInd w:val="0"/>
              <w:snapToGrid w:val="0"/>
              <w:jc w:val="left"/>
              <w:textAlignment w:val="center"/>
              <w:rPr>
                <w:rFonts w:eastAsia="仿宋_GB2312"/>
                <w:kern w:val="0"/>
              </w:rPr>
            </w:pPr>
            <w:r>
              <w:rPr>
                <w:rFonts w:hint="eastAsia" w:eastAsia="仿宋_GB2312"/>
                <w:kern w:val="0"/>
              </w:rPr>
              <w:t>现场管理  （3）分</w:t>
            </w:r>
          </w:p>
        </w:tc>
        <w:tc>
          <w:tcPr>
            <w:tcW w:w="1080" w:type="dxa"/>
            <w:vAlign w:val="center"/>
          </w:tcPr>
          <w:p w14:paraId="2EE619A8">
            <w:pPr>
              <w:topLinePunct/>
              <w:adjustRightInd w:val="0"/>
              <w:snapToGrid w:val="0"/>
              <w:jc w:val="left"/>
              <w:textAlignment w:val="center"/>
              <w:rPr>
                <w:rFonts w:eastAsia="仿宋_GB2312"/>
                <w:kern w:val="0"/>
              </w:rPr>
            </w:pPr>
            <w:r>
              <w:rPr>
                <w:rFonts w:hint="eastAsia" w:eastAsia="仿宋_GB2312"/>
                <w:kern w:val="0"/>
              </w:rPr>
              <w:t>安全教育  交底</w:t>
            </w:r>
          </w:p>
        </w:tc>
        <w:tc>
          <w:tcPr>
            <w:tcW w:w="4320" w:type="dxa"/>
            <w:vAlign w:val="center"/>
          </w:tcPr>
          <w:p w14:paraId="4C730218">
            <w:pPr>
              <w:topLinePunct/>
              <w:adjustRightInd w:val="0"/>
              <w:snapToGrid w:val="0"/>
              <w:jc w:val="left"/>
              <w:textAlignment w:val="center"/>
              <w:rPr>
                <w:rFonts w:eastAsia="仿宋_GB2312"/>
                <w:kern w:val="0"/>
              </w:rPr>
            </w:pPr>
            <w:r>
              <w:rPr>
                <w:rFonts w:hint="eastAsia" w:eastAsia="仿宋_GB2312"/>
                <w:kern w:val="0"/>
              </w:rPr>
              <w:t>1、未进行三级教育、安全贯标培训的；未根据各工种的特点进行上岗安全交底、交底无书面记录的；每项扣0.5分。</w:t>
            </w:r>
          </w:p>
        </w:tc>
        <w:tc>
          <w:tcPr>
            <w:tcW w:w="780" w:type="dxa"/>
            <w:vMerge w:val="restart"/>
            <w:vAlign w:val="center"/>
          </w:tcPr>
          <w:p w14:paraId="7324382B">
            <w:pPr>
              <w:topLinePunct/>
              <w:adjustRightInd w:val="0"/>
              <w:snapToGrid w:val="0"/>
              <w:ind w:firstLine="210" w:firstLineChars="100"/>
              <w:jc w:val="left"/>
              <w:textAlignment w:val="center"/>
              <w:rPr>
                <w:rFonts w:eastAsia="仿宋_GB2312"/>
                <w:kern w:val="0"/>
              </w:rPr>
            </w:pPr>
            <w:r>
              <w:rPr>
                <w:rFonts w:hint="eastAsia" w:eastAsia="仿宋_GB2312"/>
                <w:kern w:val="0"/>
              </w:rPr>
              <w:t>3</w:t>
            </w:r>
          </w:p>
        </w:tc>
        <w:tc>
          <w:tcPr>
            <w:tcW w:w="880" w:type="dxa"/>
            <w:vAlign w:val="center"/>
          </w:tcPr>
          <w:p w14:paraId="4F8BC793">
            <w:pPr>
              <w:topLinePunct/>
              <w:adjustRightInd w:val="0"/>
              <w:snapToGrid w:val="0"/>
              <w:jc w:val="left"/>
              <w:textAlignment w:val="center"/>
              <w:rPr>
                <w:rFonts w:eastAsia="仿宋_GB2312"/>
                <w:kern w:val="0"/>
              </w:rPr>
            </w:pPr>
          </w:p>
        </w:tc>
        <w:tc>
          <w:tcPr>
            <w:tcW w:w="760" w:type="dxa"/>
            <w:vAlign w:val="center"/>
          </w:tcPr>
          <w:p w14:paraId="40743947">
            <w:pPr>
              <w:topLinePunct/>
              <w:adjustRightInd w:val="0"/>
              <w:snapToGrid w:val="0"/>
              <w:jc w:val="left"/>
              <w:textAlignment w:val="center"/>
              <w:rPr>
                <w:rFonts w:eastAsia="仿宋_GB2312"/>
                <w:kern w:val="0"/>
              </w:rPr>
            </w:pPr>
          </w:p>
        </w:tc>
        <w:tc>
          <w:tcPr>
            <w:tcW w:w="720" w:type="dxa"/>
            <w:vAlign w:val="center"/>
          </w:tcPr>
          <w:p w14:paraId="45C641B1">
            <w:pPr>
              <w:topLinePunct/>
              <w:adjustRightInd w:val="0"/>
              <w:snapToGrid w:val="0"/>
              <w:jc w:val="left"/>
              <w:textAlignment w:val="center"/>
              <w:rPr>
                <w:rFonts w:eastAsia="仿宋_GB2312"/>
                <w:kern w:val="0"/>
              </w:rPr>
            </w:pPr>
          </w:p>
        </w:tc>
      </w:tr>
      <w:tr w14:paraId="1D08C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7" w:hRule="atLeast"/>
          <w:jc w:val="center"/>
        </w:trPr>
        <w:tc>
          <w:tcPr>
            <w:tcW w:w="1080" w:type="dxa"/>
            <w:vMerge w:val="continue"/>
            <w:vAlign w:val="center"/>
          </w:tcPr>
          <w:p w14:paraId="77FB0C17">
            <w:pPr>
              <w:topLinePunct/>
              <w:adjustRightInd w:val="0"/>
              <w:snapToGrid w:val="0"/>
              <w:jc w:val="left"/>
              <w:textAlignment w:val="center"/>
              <w:rPr>
                <w:rFonts w:eastAsia="仿宋_GB2312"/>
                <w:kern w:val="0"/>
              </w:rPr>
            </w:pPr>
          </w:p>
        </w:tc>
        <w:tc>
          <w:tcPr>
            <w:tcW w:w="1080" w:type="dxa"/>
            <w:vAlign w:val="center"/>
          </w:tcPr>
          <w:p w14:paraId="750BC184">
            <w:pPr>
              <w:topLinePunct/>
              <w:adjustRightInd w:val="0"/>
              <w:snapToGrid w:val="0"/>
              <w:jc w:val="left"/>
              <w:textAlignment w:val="center"/>
              <w:rPr>
                <w:rFonts w:eastAsia="仿宋_GB2312"/>
                <w:kern w:val="0"/>
              </w:rPr>
            </w:pPr>
            <w:r>
              <w:rPr>
                <w:rFonts w:hint="eastAsia" w:eastAsia="仿宋_GB2312"/>
                <w:kern w:val="0"/>
              </w:rPr>
              <w:t>作业           控制与              防护</w:t>
            </w:r>
          </w:p>
        </w:tc>
        <w:tc>
          <w:tcPr>
            <w:tcW w:w="4320" w:type="dxa"/>
            <w:vAlign w:val="center"/>
          </w:tcPr>
          <w:p w14:paraId="5F0BEC32">
            <w:pPr>
              <w:topLinePunct/>
              <w:adjustRightInd w:val="0"/>
              <w:snapToGrid w:val="0"/>
              <w:jc w:val="left"/>
              <w:textAlignment w:val="center"/>
              <w:rPr>
                <w:rFonts w:eastAsia="仿宋_GB2312"/>
                <w:kern w:val="0"/>
              </w:rPr>
            </w:pPr>
            <w:r>
              <w:rPr>
                <w:rFonts w:hint="eastAsia" w:eastAsia="仿宋_GB2312"/>
                <w:kern w:val="0"/>
              </w:rPr>
              <w:t>2、未按规范标准（专项方案）布设和撤除安全作业控制区的；各类施工（交通）标志、标牌制作不符规范标准等；安全围护设施的设置不符规范标准要求或缺失；车辆、机具违反进出现场、停放要求的；每项扣0.5分。</w:t>
            </w:r>
          </w:p>
        </w:tc>
        <w:tc>
          <w:tcPr>
            <w:tcW w:w="780" w:type="dxa"/>
            <w:vMerge w:val="continue"/>
            <w:noWrap/>
            <w:vAlign w:val="center"/>
          </w:tcPr>
          <w:p w14:paraId="6771351F">
            <w:pPr>
              <w:topLinePunct/>
              <w:adjustRightInd w:val="0"/>
              <w:snapToGrid w:val="0"/>
              <w:jc w:val="left"/>
              <w:textAlignment w:val="center"/>
              <w:rPr>
                <w:rFonts w:eastAsia="仿宋_GB2312"/>
                <w:kern w:val="0"/>
              </w:rPr>
            </w:pPr>
          </w:p>
        </w:tc>
        <w:tc>
          <w:tcPr>
            <w:tcW w:w="880" w:type="dxa"/>
            <w:vAlign w:val="center"/>
          </w:tcPr>
          <w:p w14:paraId="7D0FC2DF">
            <w:pPr>
              <w:topLinePunct/>
              <w:adjustRightInd w:val="0"/>
              <w:snapToGrid w:val="0"/>
              <w:jc w:val="left"/>
              <w:textAlignment w:val="center"/>
              <w:rPr>
                <w:rFonts w:eastAsia="仿宋_GB2312"/>
                <w:kern w:val="0"/>
              </w:rPr>
            </w:pPr>
          </w:p>
        </w:tc>
        <w:tc>
          <w:tcPr>
            <w:tcW w:w="760" w:type="dxa"/>
            <w:vAlign w:val="center"/>
          </w:tcPr>
          <w:p w14:paraId="60B3D255">
            <w:pPr>
              <w:topLinePunct/>
              <w:adjustRightInd w:val="0"/>
              <w:snapToGrid w:val="0"/>
              <w:jc w:val="left"/>
              <w:textAlignment w:val="center"/>
              <w:rPr>
                <w:rFonts w:eastAsia="仿宋_GB2312"/>
                <w:kern w:val="0"/>
              </w:rPr>
            </w:pPr>
          </w:p>
        </w:tc>
        <w:tc>
          <w:tcPr>
            <w:tcW w:w="720" w:type="dxa"/>
            <w:vAlign w:val="center"/>
          </w:tcPr>
          <w:p w14:paraId="6D98E151">
            <w:pPr>
              <w:topLinePunct/>
              <w:adjustRightInd w:val="0"/>
              <w:snapToGrid w:val="0"/>
              <w:jc w:val="left"/>
              <w:textAlignment w:val="center"/>
              <w:rPr>
                <w:rFonts w:eastAsia="仿宋_GB2312"/>
                <w:kern w:val="0"/>
              </w:rPr>
            </w:pPr>
          </w:p>
        </w:tc>
      </w:tr>
      <w:tr w14:paraId="66E39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7" w:hRule="atLeast"/>
          <w:jc w:val="center"/>
        </w:trPr>
        <w:tc>
          <w:tcPr>
            <w:tcW w:w="1080" w:type="dxa"/>
            <w:vMerge w:val="continue"/>
            <w:vAlign w:val="center"/>
          </w:tcPr>
          <w:p w14:paraId="7440249D">
            <w:pPr>
              <w:topLinePunct/>
              <w:adjustRightInd w:val="0"/>
              <w:snapToGrid w:val="0"/>
              <w:jc w:val="left"/>
              <w:textAlignment w:val="center"/>
              <w:rPr>
                <w:rFonts w:eastAsia="仿宋_GB2312"/>
                <w:kern w:val="0"/>
              </w:rPr>
            </w:pPr>
          </w:p>
        </w:tc>
        <w:tc>
          <w:tcPr>
            <w:tcW w:w="1080" w:type="dxa"/>
            <w:vAlign w:val="center"/>
          </w:tcPr>
          <w:p w14:paraId="5BC9A08E">
            <w:pPr>
              <w:topLinePunct/>
              <w:adjustRightInd w:val="0"/>
              <w:snapToGrid w:val="0"/>
              <w:jc w:val="left"/>
              <w:textAlignment w:val="center"/>
              <w:rPr>
                <w:rFonts w:eastAsia="仿宋_GB2312"/>
                <w:kern w:val="0"/>
              </w:rPr>
            </w:pPr>
            <w:r>
              <w:rPr>
                <w:rFonts w:hint="eastAsia" w:eastAsia="仿宋_GB2312"/>
                <w:kern w:val="0"/>
              </w:rPr>
              <w:t>人员配备</w:t>
            </w:r>
          </w:p>
        </w:tc>
        <w:tc>
          <w:tcPr>
            <w:tcW w:w="4320" w:type="dxa"/>
            <w:vAlign w:val="center"/>
          </w:tcPr>
          <w:p w14:paraId="61215BCC">
            <w:pPr>
              <w:topLinePunct/>
              <w:adjustRightInd w:val="0"/>
              <w:snapToGrid w:val="0"/>
              <w:jc w:val="left"/>
              <w:textAlignment w:val="center"/>
              <w:rPr>
                <w:rFonts w:eastAsia="仿宋_GB2312"/>
                <w:kern w:val="0"/>
              </w:rPr>
            </w:pPr>
            <w:r>
              <w:rPr>
                <w:rFonts w:hint="eastAsia" w:eastAsia="仿宋_GB2312"/>
                <w:kern w:val="0"/>
              </w:rPr>
              <w:t>3、安全员不到位；班组未按要求配置安全协管员的；每项扣1分；相关人员无安全证书、资料不全的；每项扣0.5分；</w:t>
            </w:r>
          </w:p>
        </w:tc>
        <w:tc>
          <w:tcPr>
            <w:tcW w:w="780" w:type="dxa"/>
            <w:vMerge w:val="continue"/>
            <w:noWrap/>
            <w:vAlign w:val="center"/>
          </w:tcPr>
          <w:p w14:paraId="57CB96BF">
            <w:pPr>
              <w:topLinePunct/>
              <w:adjustRightInd w:val="0"/>
              <w:snapToGrid w:val="0"/>
              <w:jc w:val="left"/>
              <w:textAlignment w:val="center"/>
              <w:rPr>
                <w:rFonts w:eastAsia="仿宋_GB2312"/>
                <w:kern w:val="0"/>
              </w:rPr>
            </w:pPr>
          </w:p>
        </w:tc>
        <w:tc>
          <w:tcPr>
            <w:tcW w:w="880" w:type="dxa"/>
            <w:vAlign w:val="center"/>
          </w:tcPr>
          <w:p w14:paraId="3862FDF8">
            <w:pPr>
              <w:topLinePunct/>
              <w:adjustRightInd w:val="0"/>
              <w:snapToGrid w:val="0"/>
              <w:jc w:val="left"/>
              <w:textAlignment w:val="center"/>
              <w:rPr>
                <w:rFonts w:eastAsia="仿宋_GB2312"/>
                <w:kern w:val="0"/>
              </w:rPr>
            </w:pPr>
          </w:p>
        </w:tc>
        <w:tc>
          <w:tcPr>
            <w:tcW w:w="760" w:type="dxa"/>
            <w:vAlign w:val="center"/>
          </w:tcPr>
          <w:p w14:paraId="48B5F21A">
            <w:pPr>
              <w:topLinePunct/>
              <w:adjustRightInd w:val="0"/>
              <w:snapToGrid w:val="0"/>
              <w:jc w:val="left"/>
              <w:textAlignment w:val="center"/>
              <w:rPr>
                <w:rFonts w:eastAsia="仿宋_GB2312"/>
                <w:kern w:val="0"/>
              </w:rPr>
            </w:pPr>
          </w:p>
        </w:tc>
        <w:tc>
          <w:tcPr>
            <w:tcW w:w="720" w:type="dxa"/>
            <w:vAlign w:val="center"/>
          </w:tcPr>
          <w:p w14:paraId="0715B594">
            <w:pPr>
              <w:topLinePunct/>
              <w:adjustRightInd w:val="0"/>
              <w:snapToGrid w:val="0"/>
              <w:jc w:val="left"/>
              <w:textAlignment w:val="center"/>
              <w:rPr>
                <w:rFonts w:eastAsia="仿宋_GB2312"/>
                <w:kern w:val="0"/>
              </w:rPr>
            </w:pPr>
          </w:p>
        </w:tc>
      </w:tr>
      <w:tr w14:paraId="7D8B0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080" w:type="dxa"/>
            <w:vAlign w:val="center"/>
          </w:tcPr>
          <w:p w14:paraId="43643242">
            <w:pPr>
              <w:topLinePunct/>
              <w:adjustRightInd w:val="0"/>
              <w:snapToGrid w:val="0"/>
              <w:jc w:val="left"/>
              <w:textAlignment w:val="center"/>
              <w:rPr>
                <w:rFonts w:eastAsia="仿宋_GB2312"/>
                <w:kern w:val="0"/>
              </w:rPr>
            </w:pPr>
            <w:r>
              <w:rPr>
                <w:rFonts w:hint="eastAsia" w:eastAsia="仿宋_GB2312"/>
                <w:kern w:val="0"/>
              </w:rPr>
              <w:t>检查项目</w:t>
            </w:r>
          </w:p>
        </w:tc>
        <w:tc>
          <w:tcPr>
            <w:tcW w:w="1080" w:type="dxa"/>
            <w:vAlign w:val="center"/>
          </w:tcPr>
          <w:p w14:paraId="75E8F347">
            <w:pPr>
              <w:topLinePunct/>
              <w:adjustRightInd w:val="0"/>
              <w:snapToGrid w:val="0"/>
              <w:jc w:val="left"/>
              <w:textAlignment w:val="center"/>
              <w:rPr>
                <w:rFonts w:eastAsia="仿宋_GB2312"/>
                <w:kern w:val="0"/>
              </w:rPr>
            </w:pPr>
            <w:r>
              <w:rPr>
                <w:rFonts w:hint="eastAsia" w:eastAsia="仿宋_GB2312"/>
                <w:kern w:val="0"/>
              </w:rPr>
              <w:t>检查内容</w:t>
            </w:r>
          </w:p>
        </w:tc>
        <w:tc>
          <w:tcPr>
            <w:tcW w:w="4320" w:type="dxa"/>
            <w:vAlign w:val="center"/>
          </w:tcPr>
          <w:p w14:paraId="04C9DAD1">
            <w:pPr>
              <w:topLinePunct/>
              <w:adjustRightInd w:val="0"/>
              <w:snapToGrid w:val="0"/>
              <w:jc w:val="left"/>
              <w:textAlignment w:val="center"/>
              <w:rPr>
                <w:rFonts w:eastAsia="仿宋_GB2312"/>
                <w:kern w:val="0"/>
              </w:rPr>
            </w:pPr>
            <w:r>
              <w:rPr>
                <w:rFonts w:hint="eastAsia" w:eastAsia="仿宋_GB2312"/>
                <w:kern w:val="0"/>
              </w:rPr>
              <w:t>现场检查扣分标准</w:t>
            </w:r>
          </w:p>
        </w:tc>
        <w:tc>
          <w:tcPr>
            <w:tcW w:w="780" w:type="dxa"/>
            <w:noWrap/>
            <w:vAlign w:val="center"/>
          </w:tcPr>
          <w:p w14:paraId="4EDC2651">
            <w:pPr>
              <w:topLinePunct/>
              <w:adjustRightInd w:val="0"/>
              <w:snapToGrid w:val="0"/>
              <w:jc w:val="left"/>
              <w:textAlignment w:val="center"/>
              <w:rPr>
                <w:rFonts w:eastAsia="仿宋_GB2312"/>
                <w:kern w:val="0"/>
              </w:rPr>
            </w:pPr>
            <w:r>
              <w:rPr>
                <w:rFonts w:hint="eastAsia" w:eastAsia="仿宋_GB2312"/>
                <w:kern w:val="0"/>
              </w:rPr>
              <w:t>标准分</w:t>
            </w:r>
          </w:p>
        </w:tc>
        <w:tc>
          <w:tcPr>
            <w:tcW w:w="880" w:type="dxa"/>
            <w:vAlign w:val="center"/>
          </w:tcPr>
          <w:p w14:paraId="6EB6D993">
            <w:pPr>
              <w:topLinePunct/>
              <w:adjustRightInd w:val="0"/>
              <w:snapToGrid w:val="0"/>
              <w:jc w:val="left"/>
              <w:textAlignment w:val="center"/>
              <w:rPr>
                <w:rFonts w:eastAsia="仿宋_GB2312"/>
                <w:kern w:val="0"/>
              </w:rPr>
            </w:pPr>
            <w:r>
              <w:rPr>
                <w:rFonts w:hint="eastAsia" w:eastAsia="仿宋_GB2312"/>
                <w:kern w:val="0"/>
              </w:rPr>
              <w:t>扣分情况</w:t>
            </w:r>
          </w:p>
        </w:tc>
        <w:tc>
          <w:tcPr>
            <w:tcW w:w="760" w:type="dxa"/>
            <w:vAlign w:val="center"/>
          </w:tcPr>
          <w:p w14:paraId="77C5C8AC">
            <w:pPr>
              <w:topLinePunct/>
              <w:adjustRightInd w:val="0"/>
              <w:snapToGrid w:val="0"/>
              <w:jc w:val="left"/>
              <w:textAlignment w:val="center"/>
              <w:rPr>
                <w:rFonts w:eastAsia="仿宋_GB2312"/>
                <w:kern w:val="0"/>
              </w:rPr>
            </w:pPr>
            <w:r>
              <w:rPr>
                <w:rFonts w:hint="eastAsia" w:eastAsia="仿宋_GB2312"/>
                <w:kern w:val="0"/>
              </w:rPr>
              <w:t>扣分</w:t>
            </w:r>
          </w:p>
        </w:tc>
        <w:tc>
          <w:tcPr>
            <w:tcW w:w="720" w:type="dxa"/>
            <w:vAlign w:val="center"/>
          </w:tcPr>
          <w:p w14:paraId="79B05A74">
            <w:pPr>
              <w:topLinePunct/>
              <w:adjustRightInd w:val="0"/>
              <w:snapToGrid w:val="0"/>
              <w:jc w:val="left"/>
              <w:textAlignment w:val="center"/>
              <w:rPr>
                <w:rFonts w:eastAsia="仿宋_GB2312"/>
                <w:kern w:val="0"/>
              </w:rPr>
            </w:pPr>
            <w:r>
              <w:rPr>
                <w:rFonts w:hint="eastAsia" w:eastAsia="仿宋_GB2312"/>
                <w:kern w:val="0"/>
              </w:rPr>
              <w:t>实得分</w:t>
            </w:r>
          </w:p>
        </w:tc>
      </w:tr>
      <w:tr w14:paraId="5D3C8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restart"/>
            <w:vAlign w:val="center"/>
          </w:tcPr>
          <w:p w14:paraId="5A229687">
            <w:pPr>
              <w:topLinePunct/>
              <w:adjustRightInd w:val="0"/>
              <w:snapToGrid w:val="0"/>
              <w:jc w:val="left"/>
              <w:textAlignment w:val="center"/>
              <w:rPr>
                <w:rFonts w:eastAsia="仿宋_GB2312"/>
                <w:kern w:val="0"/>
              </w:rPr>
            </w:pPr>
            <w:r>
              <w:rPr>
                <w:rFonts w:hint="eastAsia" w:eastAsia="仿宋_GB2312"/>
                <w:kern w:val="0"/>
              </w:rPr>
              <w:t>现场管理  （3）分</w:t>
            </w:r>
          </w:p>
        </w:tc>
        <w:tc>
          <w:tcPr>
            <w:tcW w:w="1080" w:type="dxa"/>
            <w:vAlign w:val="center"/>
          </w:tcPr>
          <w:p w14:paraId="7BF59820">
            <w:pPr>
              <w:topLinePunct/>
              <w:adjustRightInd w:val="0"/>
              <w:snapToGrid w:val="0"/>
              <w:jc w:val="left"/>
              <w:textAlignment w:val="center"/>
              <w:rPr>
                <w:rFonts w:eastAsia="仿宋_GB2312"/>
                <w:kern w:val="0"/>
              </w:rPr>
            </w:pPr>
            <w:r>
              <w:rPr>
                <w:rFonts w:hint="eastAsia" w:eastAsia="仿宋_GB2312"/>
                <w:kern w:val="0"/>
              </w:rPr>
              <w:t>车辆设置</w:t>
            </w:r>
          </w:p>
        </w:tc>
        <w:tc>
          <w:tcPr>
            <w:tcW w:w="4320" w:type="dxa"/>
            <w:vAlign w:val="center"/>
          </w:tcPr>
          <w:p w14:paraId="17D9F0B9">
            <w:pPr>
              <w:topLinePunct/>
              <w:adjustRightInd w:val="0"/>
              <w:snapToGrid w:val="0"/>
              <w:jc w:val="left"/>
              <w:textAlignment w:val="center"/>
              <w:rPr>
                <w:rFonts w:eastAsia="仿宋_GB2312"/>
                <w:kern w:val="0"/>
              </w:rPr>
            </w:pPr>
            <w:r>
              <w:rPr>
                <w:rFonts w:hint="eastAsia" w:eastAsia="仿宋_GB2312"/>
                <w:kern w:val="0"/>
              </w:rPr>
              <w:t>4、未按规定配备移动式标志车辆和作业人员乘用车辆或不符标准要求；养护作业车辆未设置安全警示灯牌、标识；每项扣0.5分</w:t>
            </w:r>
          </w:p>
        </w:tc>
        <w:tc>
          <w:tcPr>
            <w:tcW w:w="780" w:type="dxa"/>
            <w:vMerge w:val="restart"/>
            <w:noWrap/>
            <w:vAlign w:val="center"/>
          </w:tcPr>
          <w:p w14:paraId="1EF4AEAB">
            <w:pPr>
              <w:topLinePunct/>
              <w:adjustRightInd w:val="0"/>
              <w:snapToGrid w:val="0"/>
              <w:jc w:val="center"/>
              <w:textAlignment w:val="center"/>
              <w:rPr>
                <w:rFonts w:eastAsia="仿宋_GB2312"/>
                <w:kern w:val="0"/>
              </w:rPr>
            </w:pPr>
            <w:r>
              <w:rPr>
                <w:rFonts w:hint="eastAsia" w:eastAsia="仿宋_GB2312"/>
                <w:kern w:val="0"/>
              </w:rPr>
              <w:t>3</w:t>
            </w:r>
          </w:p>
        </w:tc>
        <w:tc>
          <w:tcPr>
            <w:tcW w:w="880" w:type="dxa"/>
            <w:vAlign w:val="center"/>
          </w:tcPr>
          <w:p w14:paraId="2BDD9836">
            <w:pPr>
              <w:topLinePunct/>
              <w:adjustRightInd w:val="0"/>
              <w:snapToGrid w:val="0"/>
              <w:jc w:val="left"/>
              <w:textAlignment w:val="center"/>
              <w:rPr>
                <w:rFonts w:eastAsia="仿宋_GB2312"/>
                <w:kern w:val="0"/>
              </w:rPr>
            </w:pPr>
          </w:p>
        </w:tc>
        <w:tc>
          <w:tcPr>
            <w:tcW w:w="760" w:type="dxa"/>
            <w:vAlign w:val="center"/>
          </w:tcPr>
          <w:p w14:paraId="6F250B08">
            <w:pPr>
              <w:topLinePunct/>
              <w:adjustRightInd w:val="0"/>
              <w:snapToGrid w:val="0"/>
              <w:jc w:val="left"/>
              <w:textAlignment w:val="center"/>
              <w:rPr>
                <w:rFonts w:eastAsia="仿宋_GB2312"/>
                <w:kern w:val="0"/>
              </w:rPr>
            </w:pPr>
          </w:p>
        </w:tc>
        <w:tc>
          <w:tcPr>
            <w:tcW w:w="720" w:type="dxa"/>
            <w:vAlign w:val="center"/>
          </w:tcPr>
          <w:p w14:paraId="7B2533AE">
            <w:pPr>
              <w:topLinePunct/>
              <w:adjustRightInd w:val="0"/>
              <w:snapToGrid w:val="0"/>
              <w:jc w:val="left"/>
              <w:textAlignment w:val="center"/>
              <w:rPr>
                <w:rFonts w:eastAsia="仿宋_GB2312"/>
                <w:kern w:val="0"/>
              </w:rPr>
            </w:pPr>
          </w:p>
        </w:tc>
      </w:tr>
      <w:tr w14:paraId="2A206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0" w:hRule="atLeast"/>
          <w:jc w:val="center"/>
        </w:trPr>
        <w:tc>
          <w:tcPr>
            <w:tcW w:w="1080" w:type="dxa"/>
            <w:vMerge w:val="continue"/>
            <w:vAlign w:val="center"/>
          </w:tcPr>
          <w:p w14:paraId="76B240A2">
            <w:pPr>
              <w:topLinePunct/>
              <w:adjustRightInd w:val="0"/>
              <w:snapToGrid w:val="0"/>
              <w:jc w:val="left"/>
              <w:textAlignment w:val="center"/>
              <w:rPr>
                <w:rFonts w:eastAsia="仿宋_GB2312"/>
                <w:kern w:val="0"/>
              </w:rPr>
            </w:pPr>
          </w:p>
        </w:tc>
        <w:tc>
          <w:tcPr>
            <w:tcW w:w="1080" w:type="dxa"/>
            <w:vAlign w:val="center"/>
          </w:tcPr>
          <w:p w14:paraId="2F668A47">
            <w:pPr>
              <w:topLinePunct/>
              <w:adjustRightInd w:val="0"/>
              <w:snapToGrid w:val="0"/>
              <w:jc w:val="left"/>
              <w:textAlignment w:val="center"/>
              <w:rPr>
                <w:rFonts w:eastAsia="仿宋_GB2312"/>
                <w:kern w:val="0"/>
              </w:rPr>
            </w:pPr>
            <w:r>
              <w:rPr>
                <w:rFonts w:hint="eastAsia" w:eastAsia="仿宋_GB2312"/>
                <w:kern w:val="0"/>
              </w:rPr>
              <w:t>夜间作业</w:t>
            </w:r>
          </w:p>
        </w:tc>
        <w:tc>
          <w:tcPr>
            <w:tcW w:w="4320" w:type="dxa"/>
            <w:vAlign w:val="center"/>
          </w:tcPr>
          <w:p w14:paraId="0BD3905A">
            <w:pPr>
              <w:topLinePunct/>
              <w:adjustRightInd w:val="0"/>
              <w:snapToGrid w:val="0"/>
              <w:jc w:val="left"/>
              <w:textAlignment w:val="center"/>
              <w:rPr>
                <w:rFonts w:eastAsia="仿宋_GB2312"/>
                <w:kern w:val="0"/>
              </w:rPr>
            </w:pPr>
            <w:r>
              <w:rPr>
                <w:rFonts w:hint="eastAsia" w:eastAsia="仿宋_GB2312"/>
                <w:kern w:val="0"/>
              </w:rPr>
              <w:t>5、未按规范标准要求设置高度清晰频闪警示灯、导向灯牌或缺失的每项扣0.5分。</w:t>
            </w:r>
          </w:p>
        </w:tc>
        <w:tc>
          <w:tcPr>
            <w:tcW w:w="780" w:type="dxa"/>
            <w:vMerge w:val="continue"/>
            <w:noWrap/>
            <w:vAlign w:val="center"/>
          </w:tcPr>
          <w:p w14:paraId="4E5575E8">
            <w:pPr>
              <w:topLinePunct/>
              <w:adjustRightInd w:val="0"/>
              <w:snapToGrid w:val="0"/>
              <w:jc w:val="center"/>
              <w:textAlignment w:val="center"/>
              <w:rPr>
                <w:rFonts w:eastAsia="仿宋_GB2312"/>
                <w:kern w:val="0"/>
              </w:rPr>
            </w:pPr>
          </w:p>
        </w:tc>
        <w:tc>
          <w:tcPr>
            <w:tcW w:w="880" w:type="dxa"/>
            <w:vAlign w:val="center"/>
          </w:tcPr>
          <w:p w14:paraId="3F991B60">
            <w:pPr>
              <w:topLinePunct/>
              <w:adjustRightInd w:val="0"/>
              <w:snapToGrid w:val="0"/>
              <w:jc w:val="left"/>
              <w:textAlignment w:val="center"/>
              <w:rPr>
                <w:rFonts w:eastAsia="仿宋_GB2312"/>
                <w:kern w:val="0"/>
              </w:rPr>
            </w:pPr>
          </w:p>
        </w:tc>
        <w:tc>
          <w:tcPr>
            <w:tcW w:w="760" w:type="dxa"/>
            <w:vAlign w:val="center"/>
          </w:tcPr>
          <w:p w14:paraId="6FBC0066">
            <w:pPr>
              <w:topLinePunct/>
              <w:adjustRightInd w:val="0"/>
              <w:snapToGrid w:val="0"/>
              <w:jc w:val="left"/>
              <w:textAlignment w:val="center"/>
              <w:rPr>
                <w:rFonts w:eastAsia="仿宋_GB2312"/>
                <w:kern w:val="0"/>
              </w:rPr>
            </w:pPr>
          </w:p>
        </w:tc>
        <w:tc>
          <w:tcPr>
            <w:tcW w:w="720" w:type="dxa"/>
            <w:vAlign w:val="center"/>
          </w:tcPr>
          <w:p w14:paraId="1A6830AF">
            <w:pPr>
              <w:topLinePunct/>
              <w:adjustRightInd w:val="0"/>
              <w:snapToGrid w:val="0"/>
              <w:jc w:val="left"/>
              <w:textAlignment w:val="center"/>
              <w:rPr>
                <w:rFonts w:eastAsia="仿宋_GB2312"/>
                <w:kern w:val="0"/>
              </w:rPr>
            </w:pPr>
          </w:p>
        </w:tc>
      </w:tr>
      <w:tr w14:paraId="71BD1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jc w:val="center"/>
        </w:trPr>
        <w:tc>
          <w:tcPr>
            <w:tcW w:w="0" w:type="auto"/>
            <w:vMerge w:val="continue"/>
            <w:vAlign w:val="center"/>
          </w:tcPr>
          <w:p w14:paraId="37D4FF6E">
            <w:pPr>
              <w:topLinePunct/>
              <w:adjustRightInd w:val="0"/>
              <w:snapToGrid w:val="0"/>
              <w:jc w:val="left"/>
              <w:textAlignment w:val="center"/>
              <w:rPr>
                <w:rFonts w:eastAsia="仿宋_GB2312"/>
                <w:kern w:val="0"/>
              </w:rPr>
            </w:pPr>
          </w:p>
        </w:tc>
        <w:tc>
          <w:tcPr>
            <w:tcW w:w="1080" w:type="dxa"/>
            <w:vAlign w:val="center"/>
          </w:tcPr>
          <w:p w14:paraId="0157E147">
            <w:pPr>
              <w:topLinePunct/>
              <w:adjustRightInd w:val="0"/>
              <w:snapToGrid w:val="0"/>
              <w:jc w:val="left"/>
              <w:textAlignment w:val="center"/>
              <w:rPr>
                <w:rFonts w:eastAsia="仿宋_GB2312"/>
                <w:kern w:val="0"/>
              </w:rPr>
            </w:pPr>
            <w:r>
              <w:rPr>
                <w:rFonts w:hint="eastAsia" w:eastAsia="仿宋_GB2312"/>
                <w:kern w:val="0"/>
              </w:rPr>
              <w:t>现场防护</w:t>
            </w:r>
          </w:p>
        </w:tc>
        <w:tc>
          <w:tcPr>
            <w:tcW w:w="4320" w:type="dxa"/>
            <w:vAlign w:val="center"/>
          </w:tcPr>
          <w:p w14:paraId="236A0AC1">
            <w:pPr>
              <w:topLinePunct/>
              <w:adjustRightInd w:val="0"/>
              <w:snapToGrid w:val="0"/>
              <w:jc w:val="left"/>
              <w:textAlignment w:val="center"/>
              <w:rPr>
                <w:rFonts w:eastAsia="仿宋_GB2312"/>
                <w:kern w:val="0"/>
              </w:rPr>
            </w:pPr>
            <w:r>
              <w:rPr>
                <w:rFonts w:hint="eastAsia" w:eastAsia="仿宋_GB2312"/>
                <w:kern w:val="0"/>
              </w:rPr>
              <w:t>6、现场未设置安全提示、警示标识标牌安全防护不符规范要求的每项扣0.5分。</w:t>
            </w:r>
          </w:p>
        </w:tc>
        <w:tc>
          <w:tcPr>
            <w:tcW w:w="780" w:type="dxa"/>
            <w:vMerge w:val="continue"/>
            <w:noWrap/>
            <w:vAlign w:val="center"/>
          </w:tcPr>
          <w:p w14:paraId="362B5D2A">
            <w:pPr>
              <w:topLinePunct/>
              <w:adjustRightInd w:val="0"/>
              <w:snapToGrid w:val="0"/>
              <w:jc w:val="center"/>
              <w:textAlignment w:val="center"/>
              <w:rPr>
                <w:rFonts w:eastAsia="仿宋_GB2312"/>
                <w:kern w:val="0"/>
              </w:rPr>
            </w:pPr>
          </w:p>
        </w:tc>
        <w:tc>
          <w:tcPr>
            <w:tcW w:w="880" w:type="dxa"/>
            <w:vAlign w:val="center"/>
          </w:tcPr>
          <w:p w14:paraId="38A1EB70">
            <w:pPr>
              <w:topLinePunct/>
              <w:adjustRightInd w:val="0"/>
              <w:snapToGrid w:val="0"/>
              <w:jc w:val="left"/>
              <w:textAlignment w:val="center"/>
              <w:rPr>
                <w:rFonts w:eastAsia="仿宋_GB2312"/>
                <w:kern w:val="0"/>
              </w:rPr>
            </w:pPr>
          </w:p>
        </w:tc>
        <w:tc>
          <w:tcPr>
            <w:tcW w:w="760" w:type="dxa"/>
            <w:vAlign w:val="center"/>
          </w:tcPr>
          <w:p w14:paraId="36D1FB4F">
            <w:pPr>
              <w:topLinePunct/>
              <w:adjustRightInd w:val="0"/>
              <w:snapToGrid w:val="0"/>
              <w:jc w:val="left"/>
              <w:textAlignment w:val="center"/>
              <w:rPr>
                <w:rFonts w:eastAsia="仿宋_GB2312"/>
                <w:kern w:val="0"/>
              </w:rPr>
            </w:pPr>
          </w:p>
        </w:tc>
        <w:tc>
          <w:tcPr>
            <w:tcW w:w="720" w:type="dxa"/>
            <w:vAlign w:val="center"/>
          </w:tcPr>
          <w:p w14:paraId="30A2D473">
            <w:pPr>
              <w:topLinePunct/>
              <w:adjustRightInd w:val="0"/>
              <w:snapToGrid w:val="0"/>
              <w:jc w:val="left"/>
              <w:textAlignment w:val="center"/>
              <w:rPr>
                <w:rFonts w:eastAsia="仿宋_GB2312"/>
                <w:kern w:val="0"/>
              </w:rPr>
            </w:pPr>
          </w:p>
        </w:tc>
      </w:tr>
      <w:tr w14:paraId="27363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0" w:type="auto"/>
            <w:vMerge w:val="continue"/>
            <w:vAlign w:val="center"/>
          </w:tcPr>
          <w:p w14:paraId="7DFFBA67">
            <w:pPr>
              <w:topLinePunct/>
              <w:adjustRightInd w:val="0"/>
              <w:snapToGrid w:val="0"/>
              <w:jc w:val="left"/>
              <w:textAlignment w:val="center"/>
              <w:rPr>
                <w:rFonts w:eastAsia="仿宋_GB2312"/>
                <w:kern w:val="0"/>
              </w:rPr>
            </w:pPr>
          </w:p>
        </w:tc>
        <w:tc>
          <w:tcPr>
            <w:tcW w:w="1080" w:type="dxa"/>
            <w:vAlign w:val="center"/>
          </w:tcPr>
          <w:p w14:paraId="569F0B5C">
            <w:pPr>
              <w:topLinePunct/>
              <w:adjustRightInd w:val="0"/>
              <w:snapToGrid w:val="0"/>
              <w:jc w:val="left"/>
              <w:textAlignment w:val="center"/>
              <w:rPr>
                <w:rFonts w:eastAsia="仿宋_GB2312"/>
                <w:kern w:val="0"/>
              </w:rPr>
            </w:pPr>
            <w:r>
              <w:rPr>
                <w:rFonts w:hint="eastAsia" w:eastAsia="仿宋_GB2312"/>
                <w:kern w:val="0"/>
              </w:rPr>
              <w:t>人员防护</w:t>
            </w:r>
          </w:p>
        </w:tc>
        <w:tc>
          <w:tcPr>
            <w:tcW w:w="4320" w:type="dxa"/>
            <w:vAlign w:val="center"/>
          </w:tcPr>
          <w:p w14:paraId="2E83B1B3">
            <w:pPr>
              <w:topLinePunct/>
              <w:adjustRightInd w:val="0"/>
              <w:snapToGrid w:val="0"/>
              <w:jc w:val="left"/>
              <w:textAlignment w:val="center"/>
              <w:rPr>
                <w:rFonts w:eastAsia="仿宋_GB2312"/>
                <w:kern w:val="0"/>
              </w:rPr>
            </w:pPr>
            <w:r>
              <w:rPr>
                <w:rFonts w:hint="eastAsia" w:eastAsia="仿宋_GB2312"/>
                <w:kern w:val="0"/>
              </w:rPr>
              <w:t>7、养护施工作业人员未穿着统一桔红色带有反光功能工作套装、管理人员未穿反光背心进入现场的；未正确使用劳动防护用品的；每发现一人扣0.5分。</w:t>
            </w:r>
          </w:p>
        </w:tc>
        <w:tc>
          <w:tcPr>
            <w:tcW w:w="780" w:type="dxa"/>
            <w:vMerge w:val="continue"/>
            <w:noWrap/>
            <w:vAlign w:val="center"/>
          </w:tcPr>
          <w:p w14:paraId="0D44DB60">
            <w:pPr>
              <w:topLinePunct/>
              <w:adjustRightInd w:val="0"/>
              <w:snapToGrid w:val="0"/>
              <w:jc w:val="center"/>
              <w:textAlignment w:val="center"/>
              <w:rPr>
                <w:rFonts w:eastAsia="仿宋_GB2312"/>
                <w:kern w:val="0"/>
              </w:rPr>
            </w:pPr>
          </w:p>
        </w:tc>
        <w:tc>
          <w:tcPr>
            <w:tcW w:w="880" w:type="dxa"/>
            <w:vAlign w:val="center"/>
          </w:tcPr>
          <w:p w14:paraId="25A09FF5">
            <w:pPr>
              <w:topLinePunct/>
              <w:adjustRightInd w:val="0"/>
              <w:snapToGrid w:val="0"/>
              <w:jc w:val="left"/>
              <w:textAlignment w:val="center"/>
              <w:rPr>
                <w:rFonts w:eastAsia="仿宋_GB2312"/>
                <w:kern w:val="0"/>
              </w:rPr>
            </w:pPr>
          </w:p>
        </w:tc>
        <w:tc>
          <w:tcPr>
            <w:tcW w:w="760" w:type="dxa"/>
            <w:vAlign w:val="center"/>
          </w:tcPr>
          <w:p w14:paraId="1E2548AE">
            <w:pPr>
              <w:topLinePunct/>
              <w:adjustRightInd w:val="0"/>
              <w:snapToGrid w:val="0"/>
              <w:jc w:val="left"/>
              <w:textAlignment w:val="center"/>
              <w:rPr>
                <w:rFonts w:eastAsia="仿宋_GB2312"/>
                <w:kern w:val="0"/>
              </w:rPr>
            </w:pPr>
          </w:p>
        </w:tc>
        <w:tc>
          <w:tcPr>
            <w:tcW w:w="720" w:type="dxa"/>
            <w:vAlign w:val="center"/>
          </w:tcPr>
          <w:p w14:paraId="17620A6A">
            <w:pPr>
              <w:topLinePunct/>
              <w:adjustRightInd w:val="0"/>
              <w:snapToGrid w:val="0"/>
              <w:jc w:val="left"/>
              <w:textAlignment w:val="center"/>
              <w:rPr>
                <w:rFonts w:eastAsia="仿宋_GB2312"/>
                <w:kern w:val="0"/>
              </w:rPr>
            </w:pPr>
          </w:p>
        </w:tc>
      </w:tr>
      <w:tr w14:paraId="762C5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0" w:type="auto"/>
            <w:vMerge w:val="continue"/>
            <w:vAlign w:val="center"/>
          </w:tcPr>
          <w:p w14:paraId="6605F09B">
            <w:pPr>
              <w:topLinePunct/>
              <w:adjustRightInd w:val="0"/>
              <w:snapToGrid w:val="0"/>
              <w:jc w:val="left"/>
              <w:textAlignment w:val="center"/>
              <w:rPr>
                <w:rFonts w:eastAsia="仿宋_GB2312"/>
                <w:kern w:val="0"/>
              </w:rPr>
            </w:pPr>
          </w:p>
        </w:tc>
        <w:tc>
          <w:tcPr>
            <w:tcW w:w="1080" w:type="dxa"/>
            <w:vAlign w:val="center"/>
          </w:tcPr>
          <w:p w14:paraId="0CEC5011">
            <w:pPr>
              <w:topLinePunct/>
              <w:adjustRightInd w:val="0"/>
              <w:snapToGrid w:val="0"/>
              <w:jc w:val="left"/>
              <w:textAlignment w:val="center"/>
              <w:rPr>
                <w:rFonts w:eastAsia="仿宋_GB2312"/>
                <w:kern w:val="0"/>
              </w:rPr>
            </w:pPr>
            <w:r>
              <w:rPr>
                <w:rFonts w:hint="eastAsia" w:eastAsia="仿宋_GB2312"/>
                <w:kern w:val="0"/>
              </w:rPr>
              <w:t>安全检查</w:t>
            </w:r>
          </w:p>
        </w:tc>
        <w:tc>
          <w:tcPr>
            <w:tcW w:w="4320" w:type="dxa"/>
            <w:vAlign w:val="center"/>
          </w:tcPr>
          <w:p w14:paraId="60C842E9">
            <w:pPr>
              <w:topLinePunct/>
              <w:adjustRightInd w:val="0"/>
              <w:snapToGrid w:val="0"/>
              <w:jc w:val="left"/>
              <w:textAlignment w:val="center"/>
              <w:rPr>
                <w:rFonts w:eastAsia="仿宋_GB2312"/>
                <w:kern w:val="0"/>
              </w:rPr>
            </w:pPr>
            <w:r>
              <w:rPr>
                <w:rFonts w:hint="eastAsia" w:eastAsia="仿宋_GB2312"/>
                <w:kern w:val="0"/>
              </w:rPr>
              <w:t>8、未按制度落实班组每周安全检查、企业领导带队每季安全检查；安全隐患整改未做到“三定”的；每项扣0.5分；</w:t>
            </w:r>
          </w:p>
        </w:tc>
        <w:tc>
          <w:tcPr>
            <w:tcW w:w="780" w:type="dxa"/>
            <w:vMerge w:val="continue"/>
            <w:noWrap/>
            <w:vAlign w:val="center"/>
          </w:tcPr>
          <w:p w14:paraId="7DBBE152">
            <w:pPr>
              <w:topLinePunct/>
              <w:adjustRightInd w:val="0"/>
              <w:snapToGrid w:val="0"/>
              <w:jc w:val="center"/>
              <w:textAlignment w:val="center"/>
              <w:rPr>
                <w:rFonts w:eastAsia="仿宋_GB2312"/>
                <w:kern w:val="0"/>
              </w:rPr>
            </w:pPr>
          </w:p>
        </w:tc>
        <w:tc>
          <w:tcPr>
            <w:tcW w:w="880" w:type="dxa"/>
            <w:vAlign w:val="center"/>
          </w:tcPr>
          <w:p w14:paraId="2BC01095">
            <w:pPr>
              <w:topLinePunct/>
              <w:adjustRightInd w:val="0"/>
              <w:snapToGrid w:val="0"/>
              <w:jc w:val="left"/>
              <w:textAlignment w:val="center"/>
              <w:rPr>
                <w:rFonts w:eastAsia="仿宋_GB2312"/>
                <w:kern w:val="0"/>
              </w:rPr>
            </w:pPr>
          </w:p>
        </w:tc>
        <w:tc>
          <w:tcPr>
            <w:tcW w:w="760" w:type="dxa"/>
            <w:vAlign w:val="center"/>
          </w:tcPr>
          <w:p w14:paraId="0248FF78">
            <w:pPr>
              <w:topLinePunct/>
              <w:adjustRightInd w:val="0"/>
              <w:snapToGrid w:val="0"/>
              <w:jc w:val="left"/>
              <w:textAlignment w:val="center"/>
              <w:rPr>
                <w:rFonts w:eastAsia="仿宋_GB2312"/>
                <w:kern w:val="0"/>
              </w:rPr>
            </w:pPr>
          </w:p>
        </w:tc>
        <w:tc>
          <w:tcPr>
            <w:tcW w:w="720" w:type="dxa"/>
            <w:vAlign w:val="center"/>
          </w:tcPr>
          <w:p w14:paraId="457D622E">
            <w:pPr>
              <w:topLinePunct/>
              <w:adjustRightInd w:val="0"/>
              <w:snapToGrid w:val="0"/>
              <w:jc w:val="left"/>
              <w:textAlignment w:val="center"/>
              <w:rPr>
                <w:rFonts w:eastAsia="仿宋_GB2312"/>
                <w:kern w:val="0"/>
              </w:rPr>
            </w:pPr>
          </w:p>
        </w:tc>
      </w:tr>
      <w:tr w14:paraId="37C9F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14:paraId="1D624C81">
            <w:pPr>
              <w:topLinePunct/>
              <w:adjustRightInd w:val="0"/>
              <w:snapToGrid w:val="0"/>
              <w:jc w:val="left"/>
              <w:textAlignment w:val="center"/>
              <w:rPr>
                <w:rFonts w:eastAsia="仿宋_GB2312"/>
                <w:kern w:val="0"/>
              </w:rPr>
            </w:pPr>
          </w:p>
        </w:tc>
        <w:tc>
          <w:tcPr>
            <w:tcW w:w="1080" w:type="dxa"/>
            <w:vAlign w:val="center"/>
          </w:tcPr>
          <w:p w14:paraId="5F1DB9EB">
            <w:pPr>
              <w:topLinePunct/>
              <w:adjustRightInd w:val="0"/>
              <w:snapToGrid w:val="0"/>
              <w:jc w:val="left"/>
              <w:textAlignment w:val="center"/>
              <w:rPr>
                <w:rFonts w:eastAsia="仿宋_GB2312"/>
                <w:kern w:val="0"/>
              </w:rPr>
            </w:pPr>
            <w:r>
              <w:rPr>
                <w:rFonts w:hint="eastAsia" w:eastAsia="仿宋_GB2312"/>
                <w:kern w:val="0"/>
              </w:rPr>
              <w:t xml:space="preserve">设施、设备      </w:t>
            </w:r>
          </w:p>
        </w:tc>
        <w:tc>
          <w:tcPr>
            <w:tcW w:w="4320" w:type="dxa"/>
            <w:vAlign w:val="center"/>
          </w:tcPr>
          <w:p w14:paraId="12724A09">
            <w:pPr>
              <w:topLinePunct/>
              <w:adjustRightInd w:val="0"/>
              <w:snapToGrid w:val="0"/>
              <w:jc w:val="left"/>
              <w:textAlignment w:val="center"/>
              <w:rPr>
                <w:rFonts w:eastAsia="仿宋_GB2312"/>
                <w:kern w:val="0"/>
              </w:rPr>
            </w:pPr>
            <w:r>
              <w:rPr>
                <w:rFonts w:hint="eastAsia" w:eastAsia="仿宋_GB2312"/>
                <w:kern w:val="0"/>
              </w:rPr>
              <w:t>9、使用不符安全要求的设施设备、电器、机具；每项扣0.5分。</w:t>
            </w:r>
          </w:p>
        </w:tc>
        <w:tc>
          <w:tcPr>
            <w:tcW w:w="780" w:type="dxa"/>
            <w:vMerge w:val="continue"/>
            <w:noWrap/>
            <w:vAlign w:val="center"/>
          </w:tcPr>
          <w:p w14:paraId="458EF0B2">
            <w:pPr>
              <w:topLinePunct/>
              <w:adjustRightInd w:val="0"/>
              <w:snapToGrid w:val="0"/>
              <w:jc w:val="center"/>
              <w:textAlignment w:val="center"/>
              <w:rPr>
                <w:rFonts w:eastAsia="仿宋_GB2312"/>
                <w:kern w:val="0"/>
              </w:rPr>
            </w:pPr>
          </w:p>
        </w:tc>
        <w:tc>
          <w:tcPr>
            <w:tcW w:w="880" w:type="dxa"/>
            <w:vAlign w:val="center"/>
          </w:tcPr>
          <w:p w14:paraId="17B4A3B3">
            <w:pPr>
              <w:topLinePunct/>
              <w:adjustRightInd w:val="0"/>
              <w:snapToGrid w:val="0"/>
              <w:jc w:val="left"/>
              <w:textAlignment w:val="center"/>
              <w:rPr>
                <w:rFonts w:eastAsia="仿宋_GB2312"/>
                <w:kern w:val="0"/>
              </w:rPr>
            </w:pPr>
          </w:p>
        </w:tc>
        <w:tc>
          <w:tcPr>
            <w:tcW w:w="760" w:type="dxa"/>
            <w:vAlign w:val="center"/>
          </w:tcPr>
          <w:p w14:paraId="07F8C500">
            <w:pPr>
              <w:topLinePunct/>
              <w:adjustRightInd w:val="0"/>
              <w:snapToGrid w:val="0"/>
              <w:jc w:val="left"/>
              <w:textAlignment w:val="center"/>
              <w:rPr>
                <w:rFonts w:eastAsia="仿宋_GB2312"/>
                <w:kern w:val="0"/>
              </w:rPr>
            </w:pPr>
          </w:p>
        </w:tc>
        <w:tc>
          <w:tcPr>
            <w:tcW w:w="720" w:type="dxa"/>
            <w:vAlign w:val="center"/>
          </w:tcPr>
          <w:p w14:paraId="6DAA429A">
            <w:pPr>
              <w:topLinePunct/>
              <w:adjustRightInd w:val="0"/>
              <w:snapToGrid w:val="0"/>
              <w:jc w:val="left"/>
              <w:textAlignment w:val="center"/>
              <w:rPr>
                <w:rFonts w:eastAsia="仿宋_GB2312"/>
                <w:kern w:val="0"/>
              </w:rPr>
            </w:pPr>
          </w:p>
        </w:tc>
      </w:tr>
      <w:tr w14:paraId="1440E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0" w:type="auto"/>
            <w:vMerge w:val="continue"/>
            <w:vAlign w:val="center"/>
          </w:tcPr>
          <w:p w14:paraId="59380B78">
            <w:pPr>
              <w:topLinePunct/>
              <w:adjustRightInd w:val="0"/>
              <w:snapToGrid w:val="0"/>
              <w:jc w:val="left"/>
              <w:textAlignment w:val="center"/>
              <w:rPr>
                <w:rFonts w:eastAsia="仿宋_GB2312"/>
                <w:kern w:val="0"/>
              </w:rPr>
            </w:pPr>
          </w:p>
        </w:tc>
        <w:tc>
          <w:tcPr>
            <w:tcW w:w="1080" w:type="dxa"/>
            <w:vMerge w:val="restart"/>
            <w:vAlign w:val="center"/>
          </w:tcPr>
          <w:p w14:paraId="561CECC9">
            <w:pPr>
              <w:topLinePunct/>
              <w:adjustRightInd w:val="0"/>
              <w:snapToGrid w:val="0"/>
              <w:jc w:val="left"/>
              <w:textAlignment w:val="center"/>
              <w:rPr>
                <w:rFonts w:eastAsia="仿宋_GB2312"/>
                <w:kern w:val="0"/>
              </w:rPr>
            </w:pPr>
            <w:r>
              <w:rPr>
                <w:rFonts w:hint="eastAsia" w:eastAsia="仿宋_GB2312"/>
                <w:kern w:val="0"/>
              </w:rPr>
              <w:t>用电</w:t>
            </w:r>
          </w:p>
        </w:tc>
        <w:tc>
          <w:tcPr>
            <w:tcW w:w="4320" w:type="dxa"/>
            <w:vAlign w:val="center"/>
          </w:tcPr>
          <w:p w14:paraId="2EB4ADF7">
            <w:pPr>
              <w:topLinePunct/>
              <w:adjustRightInd w:val="0"/>
              <w:snapToGrid w:val="0"/>
              <w:jc w:val="left"/>
              <w:textAlignment w:val="center"/>
              <w:rPr>
                <w:rFonts w:eastAsia="仿宋_GB2312"/>
                <w:kern w:val="0"/>
              </w:rPr>
            </w:pPr>
            <w:r>
              <w:rPr>
                <w:rFonts w:hint="eastAsia" w:eastAsia="仿宋_GB2312"/>
                <w:kern w:val="0"/>
              </w:rPr>
              <w:t>10、现场用电不规范；不符三级配电两级保护要求；用电未采用“一机、一箱、一闸、一漏”要求的；每项扣0.5分。</w:t>
            </w:r>
          </w:p>
        </w:tc>
        <w:tc>
          <w:tcPr>
            <w:tcW w:w="780" w:type="dxa"/>
            <w:vMerge w:val="continue"/>
            <w:noWrap/>
            <w:vAlign w:val="center"/>
          </w:tcPr>
          <w:p w14:paraId="6482B97D">
            <w:pPr>
              <w:topLinePunct/>
              <w:adjustRightInd w:val="0"/>
              <w:snapToGrid w:val="0"/>
              <w:jc w:val="center"/>
              <w:textAlignment w:val="center"/>
              <w:rPr>
                <w:rFonts w:eastAsia="仿宋_GB2312"/>
                <w:kern w:val="0"/>
              </w:rPr>
            </w:pPr>
          </w:p>
        </w:tc>
        <w:tc>
          <w:tcPr>
            <w:tcW w:w="880" w:type="dxa"/>
            <w:vAlign w:val="center"/>
          </w:tcPr>
          <w:p w14:paraId="0612EBAC">
            <w:pPr>
              <w:topLinePunct/>
              <w:adjustRightInd w:val="0"/>
              <w:snapToGrid w:val="0"/>
              <w:jc w:val="left"/>
              <w:textAlignment w:val="center"/>
              <w:rPr>
                <w:rFonts w:eastAsia="仿宋_GB2312"/>
                <w:kern w:val="0"/>
              </w:rPr>
            </w:pPr>
          </w:p>
        </w:tc>
        <w:tc>
          <w:tcPr>
            <w:tcW w:w="760" w:type="dxa"/>
            <w:vAlign w:val="center"/>
          </w:tcPr>
          <w:p w14:paraId="1EE7D13F">
            <w:pPr>
              <w:topLinePunct/>
              <w:adjustRightInd w:val="0"/>
              <w:snapToGrid w:val="0"/>
              <w:jc w:val="left"/>
              <w:textAlignment w:val="center"/>
              <w:rPr>
                <w:rFonts w:eastAsia="仿宋_GB2312"/>
                <w:kern w:val="0"/>
              </w:rPr>
            </w:pPr>
          </w:p>
        </w:tc>
        <w:tc>
          <w:tcPr>
            <w:tcW w:w="720" w:type="dxa"/>
            <w:vAlign w:val="center"/>
          </w:tcPr>
          <w:p w14:paraId="3E53145C">
            <w:pPr>
              <w:topLinePunct/>
              <w:adjustRightInd w:val="0"/>
              <w:snapToGrid w:val="0"/>
              <w:jc w:val="left"/>
              <w:textAlignment w:val="center"/>
              <w:rPr>
                <w:rFonts w:eastAsia="仿宋_GB2312"/>
                <w:kern w:val="0"/>
              </w:rPr>
            </w:pPr>
          </w:p>
        </w:tc>
      </w:tr>
      <w:tr w14:paraId="0313F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0" w:type="auto"/>
            <w:vMerge w:val="continue"/>
            <w:vAlign w:val="center"/>
          </w:tcPr>
          <w:p w14:paraId="19426386">
            <w:pPr>
              <w:topLinePunct/>
              <w:adjustRightInd w:val="0"/>
              <w:snapToGrid w:val="0"/>
              <w:jc w:val="left"/>
              <w:textAlignment w:val="center"/>
              <w:rPr>
                <w:rFonts w:eastAsia="仿宋_GB2312"/>
                <w:kern w:val="0"/>
              </w:rPr>
            </w:pPr>
          </w:p>
        </w:tc>
        <w:tc>
          <w:tcPr>
            <w:tcW w:w="0" w:type="auto"/>
            <w:vMerge w:val="continue"/>
            <w:vAlign w:val="center"/>
          </w:tcPr>
          <w:p w14:paraId="22F0C288">
            <w:pPr>
              <w:topLinePunct/>
              <w:adjustRightInd w:val="0"/>
              <w:snapToGrid w:val="0"/>
              <w:jc w:val="left"/>
              <w:textAlignment w:val="center"/>
              <w:rPr>
                <w:rFonts w:eastAsia="仿宋_GB2312"/>
                <w:kern w:val="0"/>
              </w:rPr>
            </w:pPr>
          </w:p>
        </w:tc>
        <w:tc>
          <w:tcPr>
            <w:tcW w:w="4320" w:type="dxa"/>
            <w:vAlign w:val="center"/>
          </w:tcPr>
          <w:p w14:paraId="09638D63">
            <w:pPr>
              <w:topLinePunct/>
              <w:adjustRightInd w:val="0"/>
              <w:snapToGrid w:val="0"/>
              <w:jc w:val="left"/>
              <w:textAlignment w:val="center"/>
              <w:rPr>
                <w:rFonts w:eastAsia="仿宋_GB2312"/>
                <w:kern w:val="0"/>
              </w:rPr>
            </w:pPr>
            <w:r>
              <w:rPr>
                <w:rFonts w:hint="eastAsia" w:eastAsia="仿宋_GB2312"/>
                <w:kern w:val="0"/>
              </w:rPr>
              <w:t>11、未按规定要求对电气设备进行定期检查、检测、记录不全的；每项扣0.5分。</w:t>
            </w:r>
          </w:p>
        </w:tc>
        <w:tc>
          <w:tcPr>
            <w:tcW w:w="780" w:type="dxa"/>
            <w:vMerge w:val="continue"/>
            <w:noWrap/>
            <w:vAlign w:val="center"/>
          </w:tcPr>
          <w:p w14:paraId="4B33C85C">
            <w:pPr>
              <w:topLinePunct/>
              <w:adjustRightInd w:val="0"/>
              <w:snapToGrid w:val="0"/>
              <w:jc w:val="center"/>
              <w:textAlignment w:val="center"/>
              <w:rPr>
                <w:rFonts w:eastAsia="仿宋_GB2312"/>
                <w:kern w:val="0"/>
              </w:rPr>
            </w:pPr>
          </w:p>
        </w:tc>
        <w:tc>
          <w:tcPr>
            <w:tcW w:w="880" w:type="dxa"/>
            <w:vAlign w:val="center"/>
          </w:tcPr>
          <w:p w14:paraId="1C9A5082">
            <w:pPr>
              <w:topLinePunct/>
              <w:adjustRightInd w:val="0"/>
              <w:snapToGrid w:val="0"/>
              <w:jc w:val="left"/>
              <w:textAlignment w:val="center"/>
              <w:rPr>
                <w:rFonts w:eastAsia="仿宋_GB2312"/>
                <w:kern w:val="0"/>
              </w:rPr>
            </w:pPr>
          </w:p>
        </w:tc>
        <w:tc>
          <w:tcPr>
            <w:tcW w:w="760" w:type="dxa"/>
            <w:vAlign w:val="center"/>
          </w:tcPr>
          <w:p w14:paraId="670F51F5">
            <w:pPr>
              <w:topLinePunct/>
              <w:adjustRightInd w:val="0"/>
              <w:snapToGrid w:val="0"/>
              <w:jc w:val="left"/>
              <w:textAlignment w:val="center"/>
              <w:rPr>
                <w:rFonts w:eastAsia="仿宋_GB2312"/>
                <w:kern w:val="0"/>
              </w:rPr>
            </w:pPr>
          </w:p>
        </w:tc>
        <w:tc>
          <w:tcPr>
            <w:tcW w:w="720" w:type="dxa"/>
            <w:vAlign w:val="center"/>
          </w:tcPr>
          <w:p w14:paraId="51C80FD3">
            <w:pPr>
              <w:topLinePunct/>
              <w:adjustRightInd w:val="0"/>
              <w:snapToGrid w:val="0"/>
              <w:jc w:val="left"/>
              <w:textAlignment w:val="center"/>
              <w:rPr>
                <w:rFonts w:eastAsia="仿宋_GB2312"/>
                <w:kern w:val="0"/>
              </w:rPr>
            </w:pPr>
          </w:p>
        </w:tc>
      </w:tr>
      <w:tr w14:paraId="3B57C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080" w:type="dxa"/>
            <w:vAlign w:val="center"/>
          </w:tcPr>
          <w:p w14:paraId="306E993A">
            <w:pPr>
              <w:topLinePunct/>
              <w:adjustRightInd w:val="0"/>
              <w:snapToGrid w:val="0"/>
              <w:jc w:val="center"/>
              <w:textAlignment w:val="center"/>
              <w:rPr>
                <w:rFonts w:eastAsia="仿宋_GB2312"/>
                <w:kern w:val="0"/>
              </w:rPr>
            </w:pPr>
            <w:r>
              <w:rPr>
                <w:rFonts w:hint="eastAsia" w:eastAsia="仿宋_GB2312"/>
                <w:kern w:val="0"/>
              </w:rPr>
              <w:t>合计</w:t>
            </w:r>
          </w:p>
        </w:tc>
        <w:tc>
          <w:tcPr>
            <w:tcW w:w="5400" w:type="dxa"/>
            <w:gridSpan w:val="2"/>
            <w:vAlign w:val="center"/>
          </w:tcPr>
          <w:p w14:paraId="1DF9217D">
            <w:pPr>
              <w:topLinePunct/>
              <w:adjustRightInd w:val="0"/>
              <w:snapToGrid w:val="0"/>
              <w:jc w:val="left"/>
              <w:textAlignment w:val="center"/>
              <w:rPr>
                <w:rFonts w:eastAsia="仿宋_GB2312"/>
                <w:kern w:val="0"/>
              </w:rPr>
            </w:pPr>
          </w:p>
        </w:tc>
        <w:tc>
          <w:tcPr>
            <w:tcW w:w="780" w:type="dxa"/>
            <w:vAlign w:val="center"/>
          </w:tcPr>
          <w:p w14:paraId="7986739A">
            <w:pPr>
              <w:topLinePunct/>
              <w:adjustRightInd w:val="0"/>
              <w:snapToGrid w:val="0"/>
              <w:jc w:val="center"/>
              <w:textAlignment w:val="center"/>
              <w:rPr>
                <w:rFonts w:eastAsia="仿宋_GB2312"/>
                <w:kern w:val="0"/>
              </w:rPr>
            </w:pPr>
            <w:r>
              <w:rPr>
                <w:rFonts w:hint="eastAsia" w:eastAsia="仿宋_GB2312"/>
                <w:kern w:val="0"/>
              </w:rPr>
              <w:t>5</w:t>
            </w:r>
          </w:p>
        </w:tc>
        <w:tc>
          <w:tcPr>
            <w:tcW w:w="880" w:type="dxa"/>
            <w:vAlign w:val="center"/>
          </w:tcPr>
          <w:p w14:paraId="360DC7D1">
            <w:pPr>
              <w:topLinePunct/>
              <w:adjustRightInd w:val="0"/>
              <w:snapToGrid w:val="0"/>
              <w:jc w:val="left"/>
              <w:textAlignment w:val="center"/>
              <w:rPr>
                <w:rFonts w:eastAsia="仿宋_GB2312"/>
                <w:kern w:val="0"/>
              </w:rPr>
            </w:pPr>
          </w:p>
        </w:tc>
        <w:tc>
          <w:tcPr>
            <w:tcW w:w="760" w:type="dxa"/>
            <w:vAlign w:val="center"/>
          </w:tcPr>
          <w:p w14:paraId="49B773EB">
            <w:pPr>
              <w:topLinePunct/>
              <w:adjustRightInd w:val="0"/>
              <w:snapToGrid w:val="0"/>
              <w:jc w:val="left"/>
              <w:textAlignment w:val="center"/>
              <w:rPr>
                <w:rFonts w:eastAsia="仿宋_GB2312"/>
                <w:kern w:val="0"/>
              </w:rPr>
            </w:pPr>
          </w:p>
        </w:tc>
        <w:tc>
          <w:tcPr>
            <w:tcW w:w="720" w:type="dxa"/>
            <w:vAlign w:val="center"/>
          </w:tcPr>
          <w:p w14:paraId="1DE6D3CB">
            <w:pPr>
              <w:topLinePunct/>
              <w:adjustRightInd w:val="0"/>
              <w:snapToGrid w:val="0"/>
              <w:jc w:val="left"/>
              <w:textAlignment w:val="center"/>
              <w:rPr>
                <w:rFonts w:eastAsia="仿宋_GB2312"/>
                <w:kern w:val="0"/>
              </w:rPr>
            </w:pPr>
          </w:p>
        </w:tc>
      </w:tr>
    </w:tbl>
    <w:p w14:paraId="31C3C5B9">
      <w:pPr>
        <w:topLinePunct/>
        <w:adjustRightInd w:val="0"/>
        <w:snapToGrid w:val="0"/>
        <w:ind w:right="720" w:firstLine="210" w:firstLineChars="100"/>
        <w:jc w:val="left"/>
        <w:textAlignment w:val="center"/>
        <w:rPr>
          <w:rFonts w:hint="eastAsia" w:ascii="仿宋" w:hAnsi="仿宋" w:eastAsia="仿宋" w:cs="Arial Unicode MS"/>
          <w:color w:val="000000"/>
          <w:kern w:val="0"/>
        </w:rPr>
      </w:pPr>
      <w:r>
        <w:rPr>
          <w:rFonts w:hint="eastAsia" w:ascii="仿宋" w:hAnsi="仿宋" w:eastAsia="仿宋" w:cs="Arial Unicode MS"/>
          <w:color w:val="000000"/>
          <w:kern w:val="0"/>
        </w:rPr>
        <w:t xml:space="preserve">检查人员：   </w:t>
      </w:r>
    </w:p>
    <w:p w14:paraId="3E8528B1">
      <w:pPr>
        <w:topLinePunct/>
        <w:adjustRightInd w:val="0"/>
        <w:snapToGrid w:val="0"/>
        <w:ind w:right="720" w:firstLine="210" w:firstLineChars="100"/>
        <w:jc w:val="left"/>
        <w:textAlignment w:val="center"/>
        <w:rPr>
          <w:rFonts w:hint="eastAsia" w:ascii="仿宋" w:hAnsi="仿宋" w:eastAsia="仿宋" w:cs="Arial Unicode MS"/>
          <w:color w:val="000000"/>
          <w:kern w:val="0"/>
        </w:rPr>
      </w:pPr>
      <w:r>
        <w:rPr>
          <w:rFonts w:hint="eastAsia" w:ascii="仿宋" w:hAnsi="仿宋" w:eastAsia="仿宋" w:cs="Arial Unicode MS"/>
          <w:color w:val="000000"/>
          <w:kern w:val="0"/>
        </w:rPr>
        <w:t xml:space="preserve">设施负责人签字：              </w:t>
      </w:r>
    </w:p>
    <w:p w14:paraId="1576EA04">
      <w:pPr>
        <w:topLinePunct/>
        <w:adjustRightInd w:val="0"/>
        <w:snapToGrid w:val="0"/>
        <w:ind w:right="720" w:firstLine="210" w:firstLineChars="100"/>
        <w:jc w:val="left"/>
        <w:textAlignment w:val="center"/>
        <w:rPr>
          <w:rFonts w:hint="eastAsia" w:ascii="仿宋" w:hAnsi="仿宋" w:eastAsia="仿宋" w:cs="Arial Unicode MS"/>
          <w:color w:val="000000"/>
          <w:kern w:val="0"/>
        </w:rPr>
      </w:pPr>
      <w:r>
        <w:rPr>
          <w:rFonts w:hint="eastAsia" w:ascii="仿宋" w:hAnsi="仿宋" w:eastAsia="仿宋" w:cs="Arial Unicode MS"/>
          <w:color w:val="000000"/>
          <w:kern w:val="0"/>
        </w:rPr>
        <w:t>日期：      年      月     日</w:t>
      </w:r>
    </w:p>
    <w:p w14:paraId="0DFC5B85">
      <w:pPr>
        <w:topLinePunct/>
        <w:adjustRightInd w:val="0"/>
        <w:snapToGrid w:val="0"/>
        <w:spacing w:before="120" w:beforeLines="50" w:after="120" w:afterLines="50" w:line="360" w:lineRule="auto"/>
        <w:jc w:val="center"/>
        <w:rPr>
          <w:rFonts w:hint="eastAsia" w:ascii="Times New Roman" w:hAnsi="华文中宋" w:eastAsia="华文中宋"/>
          <w:b/>
          <w:kern w:val="0"/>
          <w:sz w:val="32"/>
          <w:szCs w:val="32"/>
        </w:rPr>
      </w:pPr>
    </w:p>
    <w:p w14:paraId="254FBC68">
      <w:pPr>
        <w:topLinePunct/>
        <w:adjustRightInd w:val="0"/>
        <w:snapToGrid w:val="0"/>
        <w:spacing w:before="120" w:beforeLines="50" w:after="120" w:afterLines="50" w:line="360" w:lineRule="auto"/>
        <w:jc w:val="left"/>
        <w:rPr>
          <w:rFonts w:hint="eastAsia" w:ascii="Times New Roman" w:hAnsi="华文中宋" w:eastAsia="华文中宋"/>
          <w:b/>
          <w:kern w:val="0"/>
          <w:sz w:val="32"/>
          <w:szCs w:val="32"/>
        </w:rPr>
      </w:pPr>
      <w:r>
        <w:rPr>
          <w:rFonts w:hint="eastAsia" w:ascii="Times New Roman" w:hAnsi="华文中宋" w:eastAsia="华文中宋"/>
          <w:b/>
          <w:kern w:val="0"/>
          <w:sz w:val="32"/>
          <w:szCs w:val="32"/>
        </w:rPr>
        <w:br w:type="page"/>
      </w:r>
    </w:p>
    <w:p w14:paraId="7EFBB95E">
      <w:pPr>
        <w:topLinePunct/>
        <w:adjustRightInd w:val="0"/>
        <w:snapToGrid w:val="0"/>
        <w:spacing w:before="120" w:beforeLines="50" w:after="120" w:afterLines="50" w:line="360" w:lineRule="auto"/>
        <w:jc w:val="center"/>
        <w:rPr>
          <w:rFonts w:hint="eastAsia" w:ascii="Times New Roman" w:hAnsi="华文中宋" w:eastAsia="华文中宋"/>
          <w:b/>
          <w:kern w:val="0"/>
          <w:sz w:val="32"/>
          <w:szCs w:val="32"/>
        </w:rPr>
      </w:pPr>
      <w:r>
        <w:rPr>
          <w:rFonts w:hint="eastAsia" w:ascii="Times New Roman" w:hAnsi="华文中宋" w:eastAsia="华文中宋"/>
          <w:b/>
          <w:kern w:val="0"/>
          <w:sz w:val="32"/>
          <w:szCs w:val="32"/>
        </w:rPr>
        <w:t>附录八  市管城市道路绿化养护内业资料清单</w:t>
      </w:r>
      <w:bookmarkEnd w:id="11"/>
    </w:p>
    <w:tbl>
      <w:tblPr>
        <w:tblStyle w:val="37"/>
        <w:tblW w:w="10349" w:type="dxa"/>
        <w:jc w:val="center"/>
        <w:tblLayout w:type="autofit"/>
        <w:tblCellMar>
          <w:top w:w="0" w:type="dxa"/>
          <w:left w:w="108" w:type="dxa"/>
          <w:bottom w:w="0" w:type="dxa"/>
          <w:right w:w="108" w:type="dxa"/>
        </w:tblCellMar>
      </w:tblPr>
      <w:tblGrid>
        <w:gridCol w:w="724"/>
        <w:gridCol w:w="3700"/>
        <w:gridCol w:w="2636"/>
        <w:gridCol w:w="1134"/>
        <w:gridCol w:w="2155"/>
      </w:tblGrid>
      <w:tr w14:paraId="5C060623">
        <w:tblPrEx>
          <w:tblCellMar>
            <w:top w:w="0" w:type="dxa"/>
            <w:left w:w="108" w:type="dxa"/>
            <w:bottom w:w="0" w:type="dxa"/>
            <w:right w:w="108" w:type="dxa"/>
          </w:tblCellMar>
        </w:tblPrEx>
        <w:trPr>
          <w:trHeight w:val="454" w:hRule="exact"/>
          <w:jc w:val="center"/>
        </w:trPr>
        <w:tc>
          <w:tcPr>
            <w:tcW w:w="724" w:type="dxa"/>
            <w:tcBorders>
              <w:top w:val="single" w:color="auto" w:sz="4" w:space="0"/>
              <w:left w:val="single" w:color="auto" w:sz="4" w:space="0"/>
              <w:bottom w:val="single" w:color="auto" w:sz="4" w:space="0"/>
              <w:right w:val="single" w:color="auto" w:sz="4" w:space="0"/>
            </w:tcBorders>
            <w:shd w:val="clear" w:color="auto" w:fill="D9D9D9"/>
            <w:vAlign w:val="center"/>
          </w:tcPr>
          <w:p w14:paraId="1A035851">
            <w:pPr>
              <w:topLinePunct/>
              <w:adjustRightInd w:val="0"/>
              <w:snapToGrid w:val="0"/>
              <w:jc w:val="center"/>
              <w:rPr>
                <w:rFonts w:hint="eastAsia" w:ascii="黑体" w:hAnsi="黑体" w:eastAsia="黑体"/>
                <w:b/>
                <w:bCs/>
                <w:color w:val="000000"/>
                <w:kern w:val="0"/>
                <w:sz w:val="20"/>
                <w:szCs w:val="20"/>
              </w:rPr>
            </w:pPr>
            <w:r>
              <w:rPr>
                <w:rFonts w:ascii="黑体" w:hAnsi="黑体" w:eastAsia="黑体"/>
                <w:b/>
                <w:bCs/>
                <w:color w:val="000000"/>
                <w:kern w:val="0"/>
                <w:sz w:val="20"/>
                <w:szCs w:val="20"/>
              </w:rPr>
              <w:t>序号</w:t>
            </w:r>
          </w:p>
        </w:tc>
        <w:tc>
          <w:tcPr>
            <w:tcW w:w="3700" w:type="dxa"/>
            <w:tcBorders>
              <w:top w:val="single" w:color="auto" w:sz="4" w:space="0"/>
              <w:left w:val="nil"/>
              <w:bottom w:val="single" w:color="auto" w:sz="4" w:space="0"/>
              <w:right w:val="single" w:color="auto" w:sz="4" w:space="0"/>
            </w:tcBorders>
            <w:shd w:val="clear" w:color="auto" w:fill="D9D9D9"/>
            <w:vAlign w:val="center"/>
          </w:tcPr>
          <w:p w14:paraId="0D5FD6FF">
            <w:pPr>
              <w:topLinePunct/>
              <w:adjustRightInd w:val="0"/>
              <w:snapToGrid w:val="0"/>
              <w:jc w:val="center"/>
              <w:rPr>
                <w:rFonts w:hint="eastAsia" w:ascii="黑体" w:hAnsi="黑体" w:eastAsia="黑体"/>
                <w:b/>
                <w:bCs/>
                <w:color w:val="000000"/>
                <w:kern w:val="0"/>
                <w:sz w:val="20"/>
                <w:szCs w:val="20"/>
              </w:rPr>
            </w:pPr>
            <w:r>
              <w:rPr>
                <w:rFonts w:ascii="黑体" w:hAnsi="黑体" w:eastAsia="黑体"/>
                <w:b/>
                <w:bCs/>
                <w:color w:val="000000"/>
                <w:kern w:val="0"/>
                <w:sz w:val="20"/>
                <w:szCs w:val="20"/>
              </w:rPr>
              <w:t>审核文件</w:t>
            </w:r>
          </w:p>
        </w:tc>
        <w:tc>
          <w:tcPr>
            <w:tcW w:w="2636" w:type="dxa"/>
            <w:tcBorders>
              <w:top w:val="single" w:color="auto" w:sz="4" w:space="0"/>
              <w:left w:val="nil"/>
              <w:bottom w:val="single" w:color="auto" w:sz="4" w:space="0"/>
              <w:right w:val="single" w:color="auto" w:sz="4" w:space="0"/>
            </w:tcBorders>
            <w:shd w:val="clear" w:color="auto" w:fill="D9D9D9"/>
            <w:vAlign w:val="center"/>
          </w:tcPr>
          <w:p w14:paraId="30C7B7A0">
            <w:pPr>
              <w:topLinePunct/>
              <w:adjustRightInd w:val="0"/>
              <w:snapToGrid w:val="0"/>
              <w:jc w:val="center"/>
              <w:rPr>
                <w:rFonts w:hint="eastAsia" w:ascii="黑体" w:hAnsi="黑体" w:eastAsia="黑体"/>
                <w:b/>
                <w:bCs/>
                <w:color w:val="000000"/>
                <w:kern w:val="0"/>
                <w:sz w:val="20"/>
                <w:szCs w:val="20"/>
              </w:rPr>
            </w:pPr>
            <w:r>
              <w:rPr>
                <w:rFonts w:ascii="黑体" w:hAnsi="黑体" w:eastAsia="黑体"/>
                <w:b/>
                <w:bCs/>
                <w:color w:val="000000"/>
                <w:kern w:val="0"/>
                <w:sz w:val="20"/>
                <w:szCs w:val="20"/>
              </w:rPr>
              <w:t>细化文件</w:t>
            </w:r>
          </w:p>
        </w:tc>
        <w:tc>
          <w:tcPr>
            <w:tcW w:w="1134" w:type="dxa"/>
            <w:tcBorders>
              <w:top w:val="single" w:color="auto" w:sz="4" w:space="0"/>
              <w:left w:val="nil"/>
              <w:bottom w:val="single" w:color="auto" w:sz="4" w:space="0"/>
              <w:right w:val="single" w:color="auto" w:sz="4" w:space="0"/>
            </w:tcBorders>
            <w:shd w:val="clear" w:color="auto" w:fill="D9D9D9"/>
            <w:vAlign w:val="center"/>
          </w:tcPr>
          <w:p w14:paraId="78DC376F">
            <w:pPr>
              <w:topLinePunct/>
              <w:adjustRightInd w:val="0"/>
              <w:snapToGrid w:val="0"/>
              <w:jc w:val="center"/>
              <w:rPr>
                <w:rFonts w:hint="eastAsia" w:ascii="黑体" w:hAnsi="黑体" w:eastAsia="黑体"/>
                <w:b/>
                <w:bCs/>
                <w:color w:val="000000"/>
                <w:kern w:val="0"/>
                <w:sz w:val="20"/>
                <w:szCs w:val="20"/>
              </w:rPr>
            </w:pPr>
            <w:r>
              <w:rPr>
                <w:rFonts w:ascii="黑体" w:hAnsi="黑体" w:eastAsia="黑体"/>
                <w:b/>
                <w:bCs/>
                <w:color w:val="000000"/>
                <w:kern w:val="0"/>
                <w:sz w:val="20"/>
                <w:szCs w:val="20"/>
              </w:rPr>
              <w:t>频次</w:t>
            </w:r>
          </w:p>
        </w:tc>
        <w:tc>
          <w:tcPr>
            <w:tcW w:w="2155" w:type="dxa"/>
            <w:tcBorders>
              <w:top w:val="single" w:color="auto" w:sz="4" w:space="0"/>
              <w:left w:val="nil"/>
              <w:bottom w:val="single" w:color="auto" w:sz="4" w:space="0"/>
              <w:right w:val="single" w:color="auto" w:sz="4" w:space="0"/>
            </w:tcBorders>
            <w:shd w:val="clear" w:color="auto" w:fill="D9D9D9"/>
            <w:vAlign w:val="center"/>
          </w:tcPr>
          <w:p w14:paraId="33479403">
            <w:pPr>
              <w:topLinePunct/>
              <w:adjustRightInd w:val="0"/>
              <w:snapToGrid w:val="0"/>
              <w:jc w:val="center"/>
              <w:rPr>
                <w:rFonts w:hint="eastAsia" w:ascii="黑体" w:hAnsi="黑体" w:eastAsia="黑体"/>
                <w:b/>
                <w:bCs/>
                <w:color w:val="000000"/>
                <w:kern w:val="0"/>
                <w:sz w:val="20"/>
                <w:szCs w:val="20"/>
              </w:rPr>
            </w:pPr>
            <w:r>
              <w:rPr>
                <w:rFonts w:ascii="黑体" w:hAnsi="黑体" w:eastAsia="黑体"/>
                <w:b/>
                <w:bCs/>
                <w:color w:val="000000"/>
                <w:kern w:val="0"/>
                <w:sz w:val="20"/>
                <w:szCs w:val="20"/>
              </w:rPr>
              <w:t>备注</w:t>
            </w:r>
          </w:p>
        </w:tc>
      </w:tr>
      <w:tr w14:paraId="510DFD7C">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noWrap/>
            <w:vAlign w:val="center"/>
          </w:tcPr>
          <w:p w14:paraId="6E265EC1">
            <w:pPr>
              <w:numPr>
                <w:ilvl w:val="0"/>
                <w:numId w:val="7"/>
              </w:numPr>
              <w:topLinePunct/>
              <w:adjustRightInd w:val="0"/>
              <w:snapToGrid w:val="0"/>
              <w:jc w:val="center"/>
              <w:textAlignment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项目管理基本资料</w:t>
            </w:r>
          </w:p>
        </w:tc>
      </w:tr>
      <w:tr w14:paraId="35073A20">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20C26321">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1</w:t>
            </w:r>
          </w:p>
        </w:tc>
        <w:tc>
          <w:tcPr>
            <w:tcW w:w="3700" w:type="dxa"/>
            <w:tcBorders>
              <w:top w:val="nil"/>
              <w:left w:val="nil"/>
              <w:bottom w:val="single" w:color="auto" w:sz="4" w:space="0"/>
              <w:right w:val="single" w:color="auto" w:sz="4" w:space="0"/>
            </w:tcBorders>
            <w:noWrap/>
            <w:vAlign w:val="center"/>
          </w:tcPr>
          <w:p w14:paraId="5C619DBD">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中标通知书、合同</w:t>
            </w:r>
          </w:p>
        </w:tc>
        <w:tc>
          <w:tcPr>
            <w:tcW w:w="2636" w:type="dxa"/>
            <w:tcBorders>
              <w:top w:val="nil"/>
              <w:left w:val="nil"/>
              <w:bottom w:val="single" w:color="auto" w:sz="4" w:space="0"/>
              <w:right w:val="single" w:color="auto" w:sz="4" w:space="0"/>
            </w:tcBorders>
            <w:noWrap/>
            <w:vAlign w:val="center"/>
          </w:tcPr>
          <w:p w14:paraId="27ED30B5">
            <w:pPr>
              <w:topLinePunct/>
              <w:adjustRightInd w:val="0"/>
              <w:snapToGrid w:val="0"/>
              <w:jc w:val="center"/>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51724973">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noWrap/>
            <w:vAlign w:val="center"/>
          </w:tcPr>
          <w:p w14:paraId="28789560">
            <w:pPr>
              <w:topLinePunct/>
              <w:adjustRightInd w:val="0"/>
              <w:snapToGrid w:val="0"/>
              <w:jc w:val="center"/>
              <w:rPr>
                <w:rFonts w:ascii="仿宋_GB2312" w:hAnsi="Times New Roman" w:eastAsia="仿宋_GB2312"/>
                <w:color w:val="000000"/>
                <w:kern w:val="0"/>
                <w:sz w:val="20"/>
                <w:szCs w:val="20"/>
              </w:rPr>
            </w:pPr>
          </w:p>
        </w:tc>
      </w:tr>
      <w:tr w14:paraId="00DAF629">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714DA494">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2</w:t>
            </w:r>
          </w:p>
        </w:tc>
        <w:tc>
          <w:tcPr>
            <w:tcW w:w="3700" w:type="dxa"/>
            <w:tcBorders>
              <w:top w:val="nil"/>
              <w:left w:val="nil"/>
              <w:bottom w:val="single" w:color="auto" w:sz="4" w:space="0"/>
              <w:right w:val="single" w:color="auto" w:sz="4" w:space="0"/>
            </w:tcBorders>
            <w:noWrap/>
            <w:vAlign w:val="center"/>
          </w:tcPr>
          <w:p w14:paraId="4AAFC27E">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设施量汇总清单</w:t>
            </w:r>
          </w:p>
        </w:tc>
        <w:tc>
          <w:tcPr>
            <w:tcW w:w="2636" w:type="dxa"/>
            <w:tcBorders>
              <w:top w:val="nil"/>
              <w:left w:val="nil"/>
              <w:bottom w:val="single" w:color="auto" w:sz="4" w:space="0"/>
              <w:right w:val="single" w:color="auto" w:sz="4" w:space="0"/>
            </w:tcBorders>
            <w:noWrap/>
            <w:vAlign w:val="center"/>
          </w:tcPr>
          <w:p w14:paraId="53C53802">
            <w:pPr>
              <w:topLinePunct/>
              <w:adjustRightInd w:val="0"/>
              <w:snapToGrid w:val="0"/>
              <w:jc w:val="center"/>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50029591">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noWrap/>
            <w:vAlign w:val="center"/>
          </w:tcPr>
          <w:p w14:paraId="0E30CAA6">
            <w:pPr>
              <w:topLinePunct/>
              <w:adjustRightInd w:val="0"/>
              <w:snapToGrid w:val="0"/>
              <w:jc w:val="center"/>
              <w:rPr>
                <w:rFonts w:ascii="仿宋_GB2312" w:hAnsi="Times New Roman" w:eastAsia="仿宋_GB2312"/>
                <w:color w:val="000000"/>
                <w:kern w:val="0"/>
                <w:sz w:val="20"/>
                <w:szCs w:val="20"/>
              </w:rPr>
            </w:pPr>
          </w:p>
        </w:tc>
      </w:tr>
      <w:tr w14:paraId="1D254898">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6B222AAE">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3</w:t>
            </w:r>
          </w:p>
        </w:tc>
        <w:tc>
          <w:tcPr>
            <w:tcW w:w="3700" w:type="dxa"/>
            <w:tcBorders>
              <w:top w:val="nil"/>
              <w:left w:val="nil"/>
              <w:bottom w:val="single" w:color="auto" w:sz="4" w:space="0"/>
              <w:right w:val="single" w:color="auto" w:sz="4" w:space="0"/>
            </w:tcBorders>
            <w:vAlign w:val="center"/>
          </w:tcPr>
          <w:p w14:paraId="18CC405D">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养护大纲（计划）方案</w:t>
            </w:r>
          </w:p>
        </w:tc>
        <w:tc>
          <w:tcPr>
            <w:tcW w:w="2636" w:type="dxa"/>
            <w:tcBorders>
              <w:top w:val="nil"/>
              <w:left w:val="nil"/>
              <w:bottom w:val="single" w:color="auto" w:sz="4" w:space="0"/>
              <w:right w:val="single" w:color="auto" w:sz="4" w:space="0"/>
            </w:tcBorders>
            <w:vAlign w:val="center"/>
          </w:tcPr>
          <w:p w14:paraId="6ECDE50F">
            <w:pPr>
              <w:topLinePunct/>
              <w:adjustRightInd w:val="0"/>
              <w:snapToGrid w:val="0"/>
              <w:jc w:val="center"/>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6BD94FE8">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0ADB6102">
            <w:pPr>
              <w:topLinePunct/>
              <w:adjustRightInd w:val="0"/>
              <w:snapToGrid w:val="0"/>
              <w:jc w:val="center"/>
              <w:rPr>
                <w:rFonts w:ascii="仿宋_GB2312" w:hAnsi="Times New Roman" w:eastAsia="仿宋_GB2312"/>
                <w:color w:val="000000"/>
                <w:kern w:val="0"/>
                <w:sz w:val="20"/>
                <w:szCs w:val="20"/>
              </w:rPr>
            </w:pPr>
          </w:p>
        </w:tc>
      </w:tr>
      <w:tr w14:paraId="168659F4">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3A5EB1E8">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4</w:t>
            </w:r>
          </w:p>
        </w:tc>
        <w:tc>
          <w:tcPr>
            <w:tcW w:w="3700" w:type="dxa"/>
            <w:vMerge w:val="restart"/>
            <w:tcBorders>
              <w:top w:val="nil"/>
              <w:left w:val="single" w:color="auto" w:sz="4" w:space="0"/>
              <w:bottom w:val="single" w:color="000000" w:sz="4" w:space="0"/>
              <w:right w:val="single" w:color="auto" w:sz="4" w:space="0"/>
            </w:tcBorders>
            <w:vAlign w:val="center"/>
          </w:tcPr>
          <w:p w14:paraId="5DDBDE15">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日常养护运行专项方案</w:t>
            </w:r>
          </w:p>
        </w:tc>
        <w:tc>
          <w:tcPr>
            <w:tcW w:w="2636" w:type="dxa"/>
            <w:tcBorders>
              <w:top w:val="nil"/>
              <w:left w:val="nil"/>
              <w:bottom w:val="single" w:color="auto" w:sz="4" w:space="0"/>
              <w:right w:val="single" w:color="auto" w:sz="4" w:space="0"/>
            </w:tcBorders>
            <w:vAlign w:val="center"/>
          </w:tcPr>
          <w:p w14:paraId="56E3AC6F">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日常巡视专项养护方案</w:t>
            </w:r>
          </w:p>
        </w:tc>
        <w:tc>
          <w:tcPr>
            <w:tcW w:w="1134" w:type="dxa"/>
            <w:tcBorders>
              <w:top w:val="nil"/>
              <w:left w:val="nil"/>
              <w:bottom w:val="single" w:color="auto" w:sz="4" w:space="0"/>
              <w:right w:val="single" w:color="auto" w:sz="4" w:space="0"/>
            </w:tcBorders>
            <w:vAlign w:val="center"/>
          </w:tcPr>
          <w:p w14:paraId="775B123C">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7BD787EC">
            <w:pPr>
              <w:topLinePunct/>
              <w:adjustRightInd w:val="0"/>
              <w:snapToGrid w:val="0"/>
              <w:jc w:val="center"/>
              <w:rPr>
                <w:rFonts w:ascii="仿宋_GB2312" w:hAnsi="Times New Roman" w:eastAsia="仿宋_GB2312"/>
                <w:color w:val="000000"/>
                <w:kern w:val="0"/>
                <w:sz w:val="20"/>
                <w:szCs w:val="20"/>
              </w:rPr>
            </w:pPr>
          </w:p>
        </w:tc>
      </w:tr>
      <w:tr w14:paraId="79166BB2">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3B35AACD">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5</w:t>
            </w:r>
          </w:p>
        </w:tc>
        <w:tc>
          <w:tcPr>
            <w:tcW w:w="3700" w:type="dxa"/>
            <w:vMerge w:val="continue"/>
            <w:tcBorders>
              <w:top w:val="nil"/>
              <w:left w:val="single" w:color="auto" w:sz="4" w:space="0"/>
              <w:bottom w:val="single" w:color="000000" w:sz="4" w:space="0"/>
              <w:right w:val="single" w:color="auto" w:sz="4" w:space="0"/>
            </w:tcBorders>
            <w:vAlign w:val="center"/>
          </w:tcPr>
          <w:p w14:paraId="14E6470D">
            <w:pPr>
              <w:topLinePunct/>
              <w:adjustRightInd w:val="0"/>
              <w:snapToGrid w:val="0"/>
              <w:jc w:val="center"/>
              <w:rPr>
                <w:rFonts w:ascii="仿宋_GB2312" w:hAnsi="Times New Roman" w:eastAsia="仿宋_GB2312"/>
                <w:color w:val="000000"/>
                <w:kern w:val="0"/>
                <w:sz w:val="20"/>
                <w:szCs w:val="20"/>
              </w:rPr>
            </w:pPr>
          </w:p>
        </w:tc>
        <w:tc>
          <w:tcPr>
            <w:tcW w:w="2636" w:type="dxa"/>
            <w:tcBorders>
              <w:top w:val="nil"/>
              <w:left w:val="nil"/>
              <w:bottom w:val="single" w:color="auto" w:sz="4" w:space="0"/>
              <w:right w:val="single" w:color="auto" w:sz="4" w:space="0"/>
            </w:tcBorders>
            <w:vAlign w:val="center"/>
          </w:tcPr>
          <w:p w14:paraId="614089A0">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重大活动保障专项养护方案</w:t>
            </w:r>
          </w:p>
        </w:tc>
        <w:tc>
          <w:tcPr>
            <w:tcW w:w="1134" w:type="dxa"/>
            <w:tcBorders>
              <w:top w:val="nil"/>
              <w:left w:val="nil"/>
              <w:bottom w:val="single" w:color="auto" w:sz="4" w:space="0"/>
              <w:right w:val="single" w:color="auto" w:sz="4" w:space="0"/>
            </w:tcBorders>
            <w:vAlign w:val="center"/>
          </w:tcPr>
          <w:p w14:paraId="03EC990B">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26B7ED46">
            <w:pPr>
              <w:topLinePunct/>
              <w:adjustRightInd w:val="0"/>
              <w:snapToGrid w:val="0"/>
              <w:jc w:val="center"/>
              <w:rPr>
                <w:rFonts w:ascii="仿宋_GB2312" w:hAnsi="Times New Roman" w:eastAsia="仿宋_GB2312"/>
                <w:color w:val="000000"/>
                <w:kern w:val="0"/>
                <w:sz w:val="20"/>
                <w:szCs w:val="20"/>
              </w:rPr>
            </w:pPr>
          </w:p>
        </w:tc>
      </w:tr>
      <w:tr w14:paraId="40106D35">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6C2E80A0">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6</w:t>
            </w:r>
          </w:p>
        </w:tc>
        <w:tc>
          <w:tcPr>
            <w:tcW w:w="3700" w:type="dxa"/>
            <w:tcBorders>
              <w:top w:val="nil"/>
              <w:left w:val="nil"/>
              <w:bottom w:val="single" w:color="auto" w:sz="4" w:space="0"/>
              <w:right w:val="single" w:color="auto" w:sz="4" w:space="0"/>
            </w:tcBorders>
            <w:vAlign w:val="center"/>
          </w:tcPr>
          <w:p w14:paraId="4F0968CB">
            <w:pPr>
              <w:topLinePunct/>
              <w:adjustRightInd w:val="0"/>
              <w:snapToGrid w:val="0"/>
              <w:jc w:val="center"/>
              <w:rPr>
                <w:rFonts w:ascii="仿宋_GB2312" w:hAnsi="Times New Roman" w:eastAsia="仿宋_GB2312"/>
                <w:color w:val="000000"/>
                <w:kern w:val="0"/>
                <w:sz w:val="20"/>
                <w:szCs w:val="20"/>
              </w:rPr>
            </w:pPr>
            <w:r>
              <w:rPr>
                <w:rFonts w:hint="eastAsia" w:ascii="仿宋_GB2312" w:hAnsi="宋体" w:eastAsia="仿宋_GB2312"/>
                <w:sz w:val="20"/>
                <w:szCs w:val="20"/>
              </w:rPr>
              <w:t>主要材料供应单位汇总台帐</w:t>
            </w:r>
          </w:p>
        </w:tc>
        <w:tc>
          <w:tcPr>
            <w:tcW w:w="2636" w:type="dxa"/>
            <w:tcBorders>
              <w:top w:val="nil"/>
              <w:left w:val="nil"/>
              <w:bottom w:val="single" w:color="auto" w:sz="4" w:space="0"/>
              <w:right w:val="single" w:color="auto" w:sz="4" w:space="0"/>
            </w:tcBorders>
            <w:vAlign w:val="center"/>
          </w:tcPr>
          <w:p w14:paraId="37061887">
            <w:pPr>
              <w:topLinePunct/>
              <w:adjustRightInd w:val="0"/>
              <w:snapToGrid w:val="0"/>
              <w:jc w:val="center"/>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7FE7B247">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76AF59AE">
            <w:pPr>
              <w:topLinePunct/>
              <w:adjustRightInd w:val="0"/>
              <w:snapToGrid w:val="0"/>
              <w:jc w:val="center"/>
              <w:rPr>
                <w:rFonts w:ascii="仿宋_GB2312" w:hAnsi="Times New Roman" w:eastAsia="仿宋_GB2312"/>
                <w:color w:val="000000"/>
                <w:kern w:val="0"/>
                <w:sz w:val="20"/>
                <w:szCs w:val="20"/>
              </w:rPr>
            </w:pPr>
          </w:p>
        </w:tc>
      </w:tr>
      <w:tr w14:paraId="06EBA765">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513A73FA">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7</w:t>
            </w:r>
          </w:p>
        </w:tc>
        <w:tc>
          <w:tcPr>
            <w:tcW w:w="3700" w:type="dxa"/>
            <w:tcBorders>
              <w:top w:val="nil"/>
              <w:left w:val="nil"/>
              <w:bottom w:val="single" w:color="auto" w:sz="4" w:space="0"/>
              <w:right w:val="single" w:color="auto" w:sz="4" w:space="0"/>
            </w:tcBorders>
            <w:vAlign w:val="center"/>
          </w:tcPr>
          <w:p w14:paraId="4A8022F9">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养护机械设备台账及相关合格证</w:t>
            </w:r>
          </w:p>
        </w:tc>
        <w:tc>
          <w:tcPr>
            <w:tcW w:w="2636" w:type="dxa"/>
            <w:tcBorders>
              <w:top w:val="nil"/>
              <w:left w:val="nil"/>
              <w:bottom w:val="single" w:color="auto" w:sz="4" w:space="0"/>
              <w:right w:val="single" w:color="auto" w:sz="4" w:space="0"/>
            </w:tcBorders>
            <w:vAlign w:val="center"/>
          </w:tcPr>
          <w:p w14:paraId="30CA8C8A">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巡视车、登高车等</w:t>
            </w:r>
          </w:p>
        </w:tc>
        <w:tc>
          <w:tcPr>
            <w:tcW w:w="1134" w:type="dxa"/>
            <w:tcBorders>
              <w:top w:val="nil"/>
              <w:left w:val="nil"/>
              <w:bottom w:val="single" w:color="auto" w:sz="4" w:space="0"/>
              <w:right w:val="single" w:color="auto" w:sz="4" w:space="0"/>
            </w:tcBorders>
            <w:vAlign w:val="center"/>
          </w:tcPr>
          <w:p w14:paraId="657E5B0E">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3B780885">
            <w:pPr>
              <w:topLinePunct/>
              <w:adjustRightInd w:val="0"/>
              <w:snapToGrid w:val="0"/>
              <w:jc w:val="center"/>
              <w:rPr>
                <w:rFonts w:ascii="仿宋_GB2312" w:hAnsi="Times New Roman" w:eastAsia="仿宋_GB2312"/>
                <w:color w:val="000000"/>
                <w:kern w:val="0"/>
                <w:sz w:val="20"/>
                <w:szCs w:val="20"/>
              </w:rPr>
            </w:pPr>
          </w:p>
        </w:tc>
      </w:tr>
      <w:tr w14:paraId="7C43EA27">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19816F56">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8</w:t>
            </w:r>
          </w:p>
        </w:tc>
        <w:tc>
          <w:tcPr>
            <w:tcW w:w="3700" w:type="dxa"/>
            <w:tcBorders>
              <w:top w:val="nil"/>
              <w:left w:val="nil"/>
              <w:bottom w:val="single" w:color="auto" w:sz="4" w:space="0"/>
              <w:right w:val="single" w:color="auto" w:sz="4" w:space="0"/>
            </w:tcBorders>
            <w:vAlign w:val="center"/>
          </w:tcPr>
          <w:p w14:paraId="1598FF13">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企业安全诚信考核表</w:t>
            </w:r>
          </w:p>
        </w:tc>
        <w:tc>
          <w:tcPr>
            <w:tcW w:w="2636" w:type="dxa"/>
            <w:tcBorders>
              <w:top w:val="nil"/>
              <w:left w:val="nil"/>
              <w:bottom w:val="single" w:color="auto" w:sz="4" w:space="0"/>
              <w:right w:val="single" w:color="auto" w:sz="4" w:space="0"/>
            </w:tcBorders>
            <w:vAlign w:val="center"/>
          </w:tcPr>
          <w:p w14:paraId="297E44A9">
            <w:pPr>
              <w:topLinePunct/>
              <w:adjustRightInd w:val="0"/>
              <w:snapToGrid w:val="0"/>
              <w:jc w:val="center"/>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6C1CC92E">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275ED5FC">
            <w:pPr>
              <w:topLinePunct/>
              <w:adjustRightInd w:val="0"/>
              <w:snapToGrid w:val="0"/>
              <w:jc w:val="center"/>
              <w:rPr>
                <w:rFonts w:ascii="仿宋_GB2312" w:hAnsi="Times New Roman" w:eastAsia="仿宋_GB2312"/>
                <w:color w:val="000000"/>
                <w:kern w:val="0"/>
                <w:sz w:val="20"/>
                <w:szCs w:val="20"/>
              </w:rPr>
            </w:pPr>
          </w:p>
        </w:tc>
      </w:tr>
      <w:tr w14:paraId="069FB121">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vAlign w:val="center"/>
          </w:tcPr>
          <w:p w14:paraId="547AD08E">
            <w:pPr>
              <w:numPr>
                <w:ilvl w:val="0"/>
                <w:numId w:val="7"/>
              </w:numPr>
              <w:topLinePunct/>
              <w:adjustRightInd w:val="0"/>
              <w:snapToGrid w:val="0"/>
              <w:jc w:val="center"/>
              <w:textAlignment w:val="center"/>
              <w:rPr>
                <w:rFonts w:ascii="仿宋_GB2312" w:hAnsi="Times New Roman" w:eastAsia="仿宋_GB2312"/>
                <w:color w:val="000000"/>
                <w:kern w:val="0"/>
                <w:sz w:val="20"/>
                <w:szCs w:val="20"/>
              </w:rPr>
            </w:pPr>
            <w:r>
              <w:rPr>
                <w:rFonts w:hint="eastAsia" w:ascii="仿宋_GB2312" w:hAnsi="宋体" w:eastAsia="仿宋_GB2312"/>
                <w:color w:val="000000"/>
                <w:kern w:val="0"/>
                <w:sz w:val="20"/>
                <w:szCs w:val="20"/>
              </w:rPr>
              <w:t>养护过程管理资料</w:t>
            </w:r>
          </w:p>
        </w:tc>
      </w:tr>
      <w:tr w14:paraId="2EE1EB46">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375AF4CA">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1</w:t>
            </w:r>
          </w:p>
        </w:tc>
        <w:tc>
          <w:tcPr>
            <w:tcW w:w="3700" w:type="dxa"/>
            <w:tcBorders>
              <w:top w:val="nil"/>
              <w:left w:val="nil"/>
              <w:bottom w:val="single" w:color="auto" w:sz="4" w:space="0"/>
              <w:right w:val="single" w:color="auto" w:sz="4" w:space="0"/>
            </w:tcBorders>
            <w:vAlign w:val="center"/>
          </w:tcPr>
          <w:p w14:paraId="376DACE5">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月度日常养护工作计划</w:t>
            </w:r>
          </w:p>
        </w:tc>
        <w:tc>
          <w:tcPr>
            <w:tcW w:w="2636" w:type="dxa"/>
            <w:tcBorders>
              <w:top w:val="nil"/>
              <w:left w:val="nil"/>
              <w:bottom w:val="single" w:color="auto" w:sz="4" w:space="0"/>
              <w:right w:val="single" w:color="auto" w:sz="4" w:space="0"/>
            </w:tcBorders>
            <w:vAlign w:val="center"/>
          </w:tcPr>
          <w:p w14:paraId="058E99EC">
            <w:pPr>
              <w:topLinePunct/>
              <w:adjustRightInd w:val="0"/>
              <w:snapToGrid w:val="0"/>
              <w:jc w:val="center"/>
              <w:rPr>
                <w:rFonts w:ascii="仿宋_GB2312" w:hAnsi="Times New Roman" w:eastAsia="仿宋_GB2312"/>
                <w:kern w:val="0"/>
                <w:sz w:val="20"/>
                <w:szCs w:val="20"/>
              </w:rPr>
            </w:pPr>
          </w:p>
        </w:tc>
        <w:tc>
          <w:tcPr>
            <w:tcW w:w="1134" w:type="dxa"/>
            <w:tcBorders>
              <w:top w:val="nil"/>
              <w:left w:val="nil"/>
              <w:bottom w:val="single" w:color="auto" w:sz="4" w:space="0"/>
              <w:right w:val="single" w:color="auto" w:sz="4" w:space="0"/>
            </w:tcBorders>
            <w:vAlign w:val="center"/>
          </w:tcPr>
          <w:p w14:paraId="4AB3A636">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月</w:t>
            </w:r>
          </w:p>
        </w:tc>
        <w:tc>
          <w:tcPr>
            <w:tcW w:w="2155" w:type="dxa"/>
            <w:tcBorders>
              <w:top w:val="nil"/>
              <w:left w:val="nil"/>
              <w:bottom w:val="single" w:color="auto" w:sz="4" w:space="0"/>
              <w:right w:val="single" w:color="auto" w:sz="4" w:space="0"/>
            </w:tcBorders>
            <w:vAlign w:val="center"/>
          </w:tcPr>
          <w:p w14:paraId="68FC3749">
            <w:pPr>
              <w:topLinePunct/>
              <w:adjustRightInd w:val="0"/>
              <w:snapToGrid w:val="0"/>
              <w:jc w:val="center"/>
              <w:rPr>
                <w:rFonts w:ascii="仿宋_GB2312" w:hAnsi="Times New Roman" w:eastAsia="仿宋_GB2312"/>
                <w:kern w:val="0"/>
                <w:sz w:val="20"/>
                <w:szCs w:val="20"/>
              </w:rPr>
            </w:pPr>
          </w:p>
        </w:tc>
      </w:tr>
      <w:tr w14:paraId="5009DC62">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2C0BAAA8">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2</w:t>
            </w:r>
          </w:p>
        </w:tc>
        <w:tc>
          <w:tcPr>
            <w:tcW w:w="3700" w:type="dxa"/>
            <w:tcBorders>
              <w:top w:val="nil"/>
              <w:left w:val="nil"/>
              <w:bottom w:val="single" w:color="auto" w:sz="4" w:space="0"/>
              <w:right w:val="single" w:color="auto" w:sz="4" w:space="0"/>
            </w:tcBorders>
            <w:vAlign w:val="center"/>
          </w:tcPr>
          <w:p w14:paraId="569EBAC8">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月度养护运行工作小结</w:t>
            </w:r>
            <w:r>
              <w:rPr>
                <w:rFonts w:hint="eastAsia" w:ascii="仿宋_GB2312" w:hAnsi="Times New Roman" w:eastAsia="仿宋_GB2312"/>
                <w:color w:val="FF0000"/>
                <w:kern w:val="0"/>
                <w:sz w:val="20"/>
                <w:szCs w:val="20"/>
              </w:rPr>
              <w:t>（月报）</w:t>
            </w:r>
          </w:p>
        </w:tc>
        <w:tc>
          <w:tcPr>
            <w:tcW w:w="2636" w:type="dxa"/>
            <w:tcBorders>
              <w:top w:val="nil"/>
              <w:left w:val="nil"/>
              <w:bottom w:val="single" w:color="auto" w:sz="4" w:space="0"/>
              <w:right w:val="single" w:color="auto" w:sz="4" w:space="0"/>
            </w:tcBorders>
            <w:vAlign w:val="center"/>
          </w:tcPr>
          <w:p w14:paraId="22707D00">
            <w:pPr>
              <w:topLinePunct/>
              <w:adjustRightInd w:val="0"/>
              <w:snapToGrid w:val="0"/>
              <w:jc w:val="center"/>
              <w:rPr>
                <w:rFonts w:ascii="仿宋_GB2312" w:hAnsi="Times New Roman" w:eastAsia="仿宋_GB2312"/>
                <w:kern w:val="0"/>
                <w:sz w:val="20"/>
                <w:szCs w:val="20"/>
              </w:rPr>
            </w:pPr>
          </w:p>
        </w:tc>
        <w:tc>
          <w:tcPr>
            <w:tcW w:w="1134" w:type="dxa"/>
            <w:tcBorders>
              <w:top w:val="nil"/>
              <w:left w:val="nil"/>
              <w:bottom w:val="single" w:color="auto" w:sz="4" w:space="0"/>
              <w:right w:val="single" w:color="auto" w:sz="4" w:space="0"/>
            </w:tcBorders>
            <w:vAlign w:val="center"/>
          </w:tcPr>
          <w:p w14:paraId="50782385">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月</w:t>
            </w:r>
          </w:p>
        </w:tc>
        <w:tc>
          <w:tcPr>
            <w:tcW w:w="2155" w:type="dxa"/>
            <w:tcBorders>
              <w:top w:val="nil"/>
              <w:left w:val="nil"/>
              <w:bottom w:val="single" w:color="auto" w:sz="4" w:space="0"/>
              <w:right w:val="single" w:color="auto" w:sz="4" w:space="0"/>
            </w:tcBorders>
            <w:vAlign w:val="center"/>
          </w:tcPr>
          <w:p w14:paraId="2BF779D6">
            <w:pPr>
              <w:topLinePunct/>
              <w:adjustRightInd w:val="0"/>
              <w:snapToGrid w:val="0"/>
              <w:jc w:val="center"/>
              <w:rPr>
                <w:rFonts w:ascii="仿宋_GB2312" w:hAnsi="Times New Roman" w:eastAsia="仿宋_GB2312"/>
                <w:kern w:val="0"/>
                <w:sz w:val="20"/>
                <w:szCs w:val="20"/>
              </w:rPr>
            </w:pPr>
          </w:p>
        </w:tc>
      </w:tr>
      <w:tr w14:paraId="0024DE06">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25588D0C">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3</w:t>
            </w:r>
          </w:p>
        </w:tc>
        <w:tc>
          <w:tcPr>
            <w:tcW w:w="3700" w:type="dxa"/>
            <w:tcBorders>
              <w:top w:val="nil"/>
              <w:left w:val="nil"/>
              <w:bottom w:val="single" w:color="auto" w:sz="4" w:space="0"/>
              <w:right w:val="single" w:color="auto" w:sz="4" w:space="0"/>
            </w:tcBorders>
            <w:vAlign w:val="center"/>
          </w:tcPr>
          <w:p w14:paraId="5127B8FC">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业主、监理指令回复记录</w:t>
            </w:r>
          </w:p>
        </w:tc>
        <w:tc>
          <w:tcPr>
            <w:tcW w:w="2636" w:type="dxa"/>
            <w:tcBorders>
              <w:top w:val="nil"/>
              <w:left w:val="nil"/>
              <w:bottom w:val="single" w:color="auto" w:sz="4" w:space="0"/>
              <w:right w:val="single" w:color="auto" w:sz="4" w:space="0"/>
            </w:tcBorders>
            <w:vAlign w:val="center"/>
          </w:tcPr>
          <w:p w14:paraId="7BF07B27">
            <w:pPr>
              <w:topLinePunct/>
              <w:adjustRightInd w:val="0"/>
              <w:snapToGrid w:val="0"/>
              <w:jc w:val="center"/>
              <w:rPr>
                <w:rFonts w:ascii="仿宋_GB2312" w:hAnsi="Times New Roman" w:eastAsia="仿宋_GB2312"/>
                <w:kern w:val="0"/>
                <w:sz w:val="20"/>
                <w:szCs w:val="20"/>
              </w:rPr>
            </w:pPr>
          </w:p>
        </w:tc>
        <w:tc>
          <w:tcPr>
            <w:tcW w:w="1134" w:type="dxa"/>
            <w:tcBorders>
              <w:top w:val="nil"/>
              <w:left w:val="nil"/>
              <w:bottom w:val="single" w:color="auto" w:sz="4" w:space="0"/>
              <w:right w:val="single" w:color="auto" w:sz="4" w:space="0"/>
            </w:tcBorders>
            <w:vAlign w:val="center"/>
          </w:tcPr>
          <w:p w14:paraId="53B17EAD">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按时</w:t>
            </w:r>
          </w:p>
        </w:tc>
        <w:tc>
          <w:tcPr>
            <w:tcW w:w="2155" w:type="dxa"/>
            <w:tcBorders>
              <w:top w:val="nil"/>
              <w:left w:val="nil"/>
              <w:bottom w:val="single" w:color="auto" w:sz="4" w:space="0"/>
              <w:right w:val="single" w:color="auto" w:sz="4" w:space="0"/>
            </w:tcBorders>
            <w:vAlign w:val="center"/>
          </w:tcPr>
          <w:p w14:paraId="5B55A842">
            <w:pPr>
              <w:topLinePunct/>
              <w:adjustRightInd w:val="0"/>
              <w:snapToGrid w:val="0"/>
              <w:jc w:val="center"/>
              <w:rPr>
                <w:rFonts w:ascii="仿宋_GB2312" w:hAnsi="Times New Roman" w:eastAsia="仿宋_GB2312"/>
                <w:kern w:val="0"/>
                <w:sz w:val="20"/>
                <w:szCs w:val="20"/>
              </w:rPr>
            </w:pPr>
          </w:p>
        </w:tc>
      </w:tr>
      <w:tr w14:paraId="2623C27A">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noWrap/>
            <w:vAlign w:val="center"/>
          </w:tcPr>
          <w:p w14:paraId="21662AD4">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4</w:t>
            </w:r>
          </w:p>
        </w:tc>
        <w:tc>
          <w:tcPr>
            <w:tcW w:w="3700" w:type="dxa"/>
            <w:tcBorders>
              <w:top w:val="nil"/>
              <w:left w:val="nil"/>
              <w:bottom w:val="single" w:color="auto" w:sz="4" w:space="0"/>
              <w:right w:val="single" w:color="auto" w:sz="4" w:space="0"/>
            </w:tcBorders>
            <w:vAlign w:val="center"/>
          </w:tcPr>
          <w:p w14:paraId="6785C5A8">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媒体曝光、人民来信投诉处理月度汇总</w:t>
            </w:r>
          </w:p>
        </w:tc>
        <w:tc>
          <w:tcPr>
            <w:tcW w:w="2636" w:type="dxa"/>
            <w:tcBorders>
              <w:top w:val="nil"/>
              <w:left w:val="nil"/>
              <w:bottom w:val="single" w:color="auto" w:sz="4" w:space="0"/>
              <w:right w:val="single" w:color="auto" w:sz="4" w:space="0"/>
            </w:tcBorders>
            <w:vAlign w:val="center"/>
          </w:tcPr>
          <w:p w14:paraId="11FCA091">
            <w:pPr>
              <w:topLinePunct/>
              <w:adjustRightInd w:val="0"/>
              <w:snapToGrid w:val="0"/>
              <w:jc w:val="center"/>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23A888AF">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月</w:t>
            </w:r>
          </w:p>
        </w:tc>
        <w:tc>
          <w:tcPr>
            <w:tcW w:w="2155" w:type="dxa"/>
            <w:tcBorders>
              <w:top w:val="nil"/>
              <w:left w:val="nil"/>
              <w:bottom w:val="single" w:color="auto" w:sz="4" w:space="0"/>
              <w:right w:val="single" w:color="auto" w:sz="4" w:space="0"/>
            </w:tcBorders>
            <w:vAlign w:val="center"/>
          </w:tcPr>
          <w:p w14:paraId="13906949">
            <w:pPr>
              <w:topLinePunct/>
              <w:adjustRightInd w:val="0"/>
              <w:snapToGrid w:val="0"/>
              <w:jc w:val="center"/>
              <w:rPr>
                <w:rFonts w:ascii="仿宋_GB2312" w:hAnsi="Times New Roman" w:eastAsia="仿宋_GB2312"/>
                <w:kern w:val="0"/>
                <w:sz w:val="20"/>
                <w:szCs w:val="20"/>
              </w:rPr>
            </w:pPr>
          </w:p>
        </w:tc>
      </w:tr>
      <w:tr w14:paraId="2AA4A39A">
        <w:tblPrEx>
          <w:tblCellMar>
            <w:top w:w="0" w:type="dxa"/>
            <w:left w:w="108" w:type="dxa"/>
            <w:bottom w:w="0" w:type="dxa"/>
            <w:right w:w="108" w:type="dxa"/>
          </w:tblCellMar>
        </w:tblPrEx>
        <w:trPr>
          <w:trHeight w:val="454" w:hRule="exact"/>
          <w:jc w:val="center"/>
        </w:trPr>
        <w:tc>
          <w:tcPr>
            <w:tcW w:w="10349" w:type="dxa"/>
            <w:gridSpan w:val="5"/>
            <w:tcBorders>
              <w:top w:val="nil"/>
              <w:left w:val="single" w:color="auto" w:sz="4" w:space="0"/>
              <w:bottom w:val="single" w:color="auto" w:sz="4" w:space="0"/>
              <w:right w:val="single" w:color="000000" w:sz="4" w:space="0"/>
            </w:tcBorders>
            <w:vAlign w:val="center"/>
          </w:tcPr>
          <w:p w14:paraId="44E89B8F">
            <w:pPr>
              <w:numPr>
                <w:ilvl w:val="0"/>
                <w:numId w:val="7"/>
              </w:numPr>
              <w:topLinePunct/>
              <w:adjustRightInd w:val="0"/>
              <w:snapToGrid w:val="0"/>
              <w:jc w:val="center"/>
              <w:textAlignment w:val="center"/>
              <w:rPr>
                <w:rFonts w:ascii="仿宋_GB2312" w:hAnsi="Times New Roman" w:eastAsia="仿宋_GB2312"/>
                <w:color w:val="000000"/>
                <w:kern w:val="0"/>
                <w:sz w:val="20"/>
                <w:szCs w:val="20"/>
              </w:rPr>
            </w:pPr>
            <w:r>
              <w:rPr>
                <w:rFonts w:hint="eastAsia" w:ascii="仿宋_GB2312" w:hAnsi="宋体" w:eastAsia="仿宋_GB2312"/>
                <w:color w:val="000000"/>
                <w:kern w:val="0"/>
                <w:sz w:val="20"/>
                <w:szCs w:val="20"/>
              </w:rPr>
              <w:t>安全管理资料</w:t>
            </w:r>
          </w:p>
        </w:tc>
      </w:tr>
      <w:tr w14:paraId="047EA647">
        <w:tblPrEx>
          <w:tblCellMar>
            <w:top w:w="0" w:type="dxa"/>
            <w:left w:w="108" w:type="dxa"/>
            <w:bottom w:w="0" w:type="dxa"/>
            <w:right w:w="108" w:type="dxa"/>
          </w:tblCellMar>
        </w:tblPrEx>
        <w:trPr>
          <w:trHeight w:val="454" w:hRule="exact"/>
          <w:jc w:val="center"/>
        </w:trPr>
        <w:tc>
          <w:tcPr>
            <w:tcW w:w="724" w:type="dxa"/>
            <w:tcBorders>
              <w:top w:val="nil"/>
              <w:left w:val="single" w:color="auto" w:sz="4" w:space="0"/>
              <w:bottom w:val="single" w:color="auto" w:sz="4" w:space="0"/>
              <w:right w:val="single" w:color="auto" w:sz="4" w:space="0"/>
            </w:tcBorders>
            <w:vAlign w:val="center"/>
          </w:tcPr>
          <w:p w14:paraId="09251EF2">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1</w:t>
            </w:r>
          </w:p>
        </w:tc>
        <w:tc>
          <w:tcPr>
            <w:tcW w:w="3700" w:type="dxa"/>
            <w:tcBorders>
              <w:top w:val="nil"/>
              <w:left w:val="single" w:color="auto" w:sz="4" w:space="0"/>
              <w:bottom w:val="single" w:color="000000" w:sz="4" w:space="0"/>
              <w:right w:val="single" w:color="auto" w:sz="4" w:space="0"/>
            </w:tcBorders>
            <w:vAlign w:val="center"/>
          </w:tcPr>
          <w:p w14:paraId="7020CEC7">
            <w:pPr>
              <w:topLinePunct/>
              <w:adjustRightInd w:val="0"/>
              <w:snapToGrid w:val="0"/>
              <w:jc w:val="center"/>
              <w:rPr>
                <w:rFonts w:ascii="仿宋_GB2312" w:hAnsi="Times New Roman" w:eastAsia="仿宋_GB2312"/>
                <w:kern w:val="0"/>
                <w:sz w:val="20"/>
                <w:szCs w:val="20"/>
              </w:rPr>
            </w:pPr>
            <w:r>
              <w:rPr>
                <w:rFonts w:hint="eastAsia" w:ascii="仿宋_GB2312" w:hAnsi="Times New Roman" w:eastAsia="仿宋_GB2312"/>
                <w:kern w:val="0"/>
                <w:sz w:val="20"/>
                <w:szCs w:val="20"/>
              </w:rPr>
              <w:t>各类应急预案</w:t>
            </w:r>
          </w:p>
        </w:tc>
        <w:tc>
          <w:tcPr>
            <w:tcW w:w="2636" w:type="dxa"/>
            <w:tcBorders>
              <w:top w:val="nil"/>
              <w:left w:val="nil"/>
              <w:bottom w:val="single" w:color="auto" w:sz="4" w:space="0"/>
              <w:right w:val="single" w:color="auto" w:sz="4" w:space="0"/>
            </w:tcBorders>
            <w:vAlign w:val="center"/>
          </w:tcPr>
          <w:p w14:paraId="35A99038">
            <w:pPr>
              <w:topLinePunct/>
              <w:adjustRightInd w:val="0"/>
              <w:snapToGrid w:val="0"/>
              <w:jc w:val="center"/>
              <w:rPr>
                <w:rFonts w:ascii="仿宋_GB2312" w:hAnsi="Times New Roman" w:eastAsia="仿宋_GB2312"/>
                <w:color w:val="000000"/>
                <w:kern w:val="0"/>
                <w:sz w:val="20"/>
                <w:szCs w:val="20"/>
              </w:rPr>
            </w:pPr>
          </w:p>
        </w:tc>
        <w:tc>
          <w:tcPr>
            <w:tcW w:w="1134" w:type="dxa"/>
            <w:tcBorders>
              <w:top w:val="nil"/>
              <w:left w:val="nil"/>
              <w:bottom w:val="single" w:color="auto" w:sz="4" w:space="0"/>
              <w:right w:val="single" w:color="auto" w:sz="4" w:space="0"/>
            </w:tcBorders>
            <w:vAlign w:val="center"/>
          </w:tcPr>
          <w:p w14:paraId="450E8BC9">
            <w:pPr>
              <w:topLinePunct/>
              <w:adjustRightInd w:val="0"/>
              <w:snapToGrid w:val="0"/>
              <w:jc w:val="center"/>
              <w:rPr>
                <w:rFonts w:ascii="仿宋_GB2312" w:hAnsi="Times New Roman" w:eastAsia="仿宋_GB2312"/>
                <w:color w:val="000000"/>
                <w:kern w:val="0"/>
                <w:sz w:val="20"/>
                <w:szCs w:val="20"/>
              </w:rPr>
            </w:pPr>
            <w:r>
              <w:rPr>
                <w:rFonts w:hint="eastAsia" w:ascii="仿宋_GB2312" w:hAnsi="Times New Roman" w:eastAsia="仿宋_GB2312"/>
                <w:color w:val="000000"/>
                <w:kern w:val="0"/>
                <w:sz w:val="20"/>
                <w:szCs w:val="20"/>
              </w:rPr>
              <w:t>年度</w:t>
            </w:r>
          </w:p>
        </w:tc>
        <w:tc>
          <w:tcPr>
            <w:tcW w:w="2155" w:type="dxa"/>
            <w:tcBorders>
              <w:top w:val="nil"/>
              <w:left w:val="nil"/>
              <w:bottom w:val="single" w:color="auto" w:sz="4" w:space="0"/>
              <w:right w:val="single" w:color="auto" w:sz="4" w:space="0"/>
            </w:tcBorders>
            <w:vAlign w:val="center"/>
          </w:tcPr>
          <w:p w14:paraId="5A1576E2">
            <w:pPr>
              <w:topLinePunct/>
              <w:adjustRightInd w:val="0"/>
              <w:snapToGrid w:val="0"/>
              <w:jc w:val="center"/>
              <w:rPr>
                <w:rFonts w:ascii="仿宋_GB2312" w:hAnsi="Times New Roman" w:eastAsia="仿宋_GB2312"/>
                <w:kern w:val="0"/>
                <w:sz w:val="20"/>
                <w:szCs w:val="20"/>
              </w:rPr>
            </w:pPr>
          </w:p>
        </w:tc>
      </w:tr>
    </w:tbl>
    <w:p w14:paraId="09BDB409">
      <w:pPr>
        <w:topLinePunct/>
        <w:adjustRightInd w:val="0"/>
        <w:snapToGrid w:val="0"/>
        <w:spacing w:line="500" w:lineRule="exact"/>
        <w:jc w:val="center"/>
        <w:rPr>
          <w:rFonts w:ascii="Times New Roman" w:hAnsi="Times New Roman"/>
          <w:b/>
          <w:bCs/>
          <w:sz w:val="32"/>
          <w:szCs w:val="32"/>
        </w:rPr>
      </w:pPr>
      <w:r>
        <w:rPr>
          <w:rFonts w:ascii="Times New Roman" w:hAnsi="Times New Roman"/>
          <w:b/>
          <w:bCs/>
          <w:sz w:val="32"/>
          <w:szCs w:val="32"/>
        </w:rPr>
        <w:br w:type="page"/>
      </w:r>
    </w:p>
    <w:p w14:paraId="4DB06043">
      <w:pPr>
        <w:topLinePunct/>
        <w:adjustRightInd w:val="0"/>
        <w:snapToGrid w:val="0"/>
        <w:spacing w:before="120" w:beforeLines="50" w:after="120" w:afterLines="50" w:line="360" w:lineRule="auto"/>
        <w:jc w:val="center"/>
        <w:rPr>
          <w:rFonts w:hint="eastAsia" w:ascii="Times New Roman" w:hAnsi="华文中宋" w:eastAsia="华文中宋"/>
          <w:b/>
          <w:kern w:val="0"/>
          <w:sz w:val="32"/>
          <w:szCs w:val="32"/>
        </w:rPr>
      </w:pPr>
      <w:r>
        <w:rPr>
          <w:rFonts w:hint="eastAsia" w:ascii="Times New Roman" w:hAnsi="华文中宋" w:eastAsia="华文中宋"/>
          <w:b/>
          <w:kern w:val="0"/>
          <w:sz w:val="32"/>
          <w:szCs w:val="32"/>
        </w:rPr>
        <w:t>附录九  市管城市道路绿化养护季度考核评分表</w:t>
      </w:r>
    </w:p>
    <w:tbl>
      <w:tblPr>
        <w:tblStyle w:val="397"/>
        <w:tblW w:w="10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6"/>
        <w:gridCol w:w="1539"/>
        <w:gridCol w:w="4961"/>
        <w:gridCol w:w="1134"/>
        <w:gridCol w:w="1843"/>
      </w:tblGrid>
      <w:tr w14:paraId="2D981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0343" w:type="dxa"/>
            <w:gridSpan w:val="5"/>
            <w:vAlign w:val="center"/>
          </w:tcPr>
          <w:p w14:paraId="0269BD84">
            <w:pPr>
              <w:topLinePunct/>
              <w:adjustRightInd w:val="0"/>
              <w:snapToGrid w:val="0"/>
              <w:jc w:val="center"/>
              <w:rPr>
                <w:rFonts w:hint="eastAsia" w:ascii="黑体" w:hAnsi="黑体" w:eastAsia="黑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6 </w:t>
            </w:r>
            <w:r>
              <w:rPr>
                <w:rFonts w:hint="eastAsia" w:ascii="黑体" w:hAnsi="黑体" w:eastAsia="黑体"/>
                <w:kern w:val="0"/>
                <w:sz w:val="28"/>
                <w:szCs w:val="32"/>
              </w:rPr>
              <w:t>市管城市道路绿化养护季度定量考核评分表</w:t>
            </w:r>
          </w:p>
        </w:tc>
      </w:tr>
      <w:tr w14:paraId="48E39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366" w:type="dxa"/>
            <w:gridSpan w:val="3"/>
            <w:vMerge w:val="restart"/>
            <w:vAlign w:val="center"/>
          </w:tcPr>
          <w:p w14:paraId="3E8CBABA">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考核设施：</w:t>
            </w:r>
          </w:p>
        </w:tc>
        <w:tc>
          <w:tcPr>
            <w:tcW w:w="2977" w:type="dxa"/>
            <w:gridSpan w:val="2"/>
            <w:vAlign w:val="center"/>
          </w:tcPr>
          <w:p w14:paraId="37E43575">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检查日期：</w:t>
            </w:r>
          </w:p>
        </w:tc>
      </w:tr>
      <w:tr w14:paraId="7F969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366" w:type="dxa"/>
            <w:gridSpan w:val="3"/>
            <w:vMerge w:val="continue"/>
            <w:vAlign w:val="center"/>
          </w:tcPr>
          <w:p w14:paraId="5D801559">
            <w:pPr>
              <w:topLinePunct/>
              <w:adjustRightInd w:val="0"/>
              <w:snapToGrid w:val="0"/>
              <w:rPr>
                <w:rFonts w:hint="eastAsia" w:ascii="仿宋_GB2312" w:hAnsi="宋体" w:eastAsia="仿宋_GB2312"/>
                <w:kern w:val="0"/>
                <w:sz w:val="24"/>
                <w:szCs w:val="28"/>
                <w:u w:val="single"/>
              </w:rPr>
            </w:pPr>
          </w:p>
        </w:tc>
        <w:tc>
          <w:tcPr>
            <w:tcW w:w="2977" w:type="dxa"/>
            <w:gridSpan w:val="2"/>
            <w:vAlign w:val="center"/>
          </w:tcPr>
          <w:p w14:paraId="15BFF13E">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检查人员：</w:t>
            </w:r>
          </w:p>
        </w:tc>
      </w:tr>
      <w:tr w14:paraId="7B11B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66" w:type="dxa"/>
            <w:vAlign w:val="center"/>
          </w:tcPr>
          <w:p w14:paraId="506A4DA0">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序号</w:t>
            </w:r>
          </w:p>
        </w:tc>
        <w:tc>
          <w:tcPr>
            <w:tcW w:w="1539" w:type="dxa"/>
            <w:vAlign w:val="center"/>
          </w:tcPr>
          <w:p w14:paraId="1930C852">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项目</w:t>
            </w:r>
          </w:p>
        </w:tc>
        <w:tc>
          <w:tcPr>
            <w:tcW w:w="4961" w:type="dxa"/>
            <w:vAlign w:val="center"/>
          </w:tcPr>
          <w:p w14:paraId="7F81B96B">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评分标准</w:t>
            </w:r>
          </w:p>
        </w:tc>
        <w:tc>
          <w:tcPr>
            <w:tcW w:w="1134" w:type="dxa"/>
            <w:vAlign w:val="center"/>
          </w:tcPr>
          <w:p w14:paraId="2EB33096">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标准分</w:t>
            </w:r>
          </w:p>
        </w:tc>
        <w:tc>
          <w:tcPr>
            <w:tcW w:w="1843" w:type="dxa"/>
            <w:vAlign w:val="center"/>
          </w:tcPr>
          <w:p w14:paraId="2B5BC7EE">
            <w:pPr>
              <w:topLinePunct/>
              <w:adjustRightInd w:val="0"/>
              <w:snapToGrid w:val="0"/>
              <w:spacing w:line="240" w:lineRule="exact"/>
              <w:jc w:val="center"/>
              <w:rPr>
                <w:rFonts w:hint="eastAsia" w:ascii="仿宋_GB2312" w:hAnsi="宋体" w:eastAsia="仿宋_GB2312"/>
                <w:kern w:val="0"/>
                <w:sz w:val="20"/>
                <w:szCs w:val="20"/>
              </w:rPr>
            </w:pPr>
            <w:r>
              <w:rPr>
                <w:rFonts w:hint="eastAsia" w:ascii="仿宋_GB2312" w:hAnsi="宋体" w:eastAsia="仿宋_GB2312"/>
                <w:kern w:val="0"/>
                <w:sz w:val="20"/>
                <w:szCs w:val="20"/>
              </w:rPr>
              <w:t>考核得分</w:t>
            </w:r>
          </w:p>
        </w:tc>
      </w:tr>
      <w:tr w14:paraId="1E6B1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866" w:type="dxa"/>
            <w:vAlign w:val="center"/>
          </w:tcPr>
          <w:p w14:paraId="72734F5C">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（1）</w:t>
            </w:r>
          </w:p>
        </w:tc>
        <w:tc>
          <w:tcPr>
            <w:tcW w:w="1539" w:type="dxa"/>
            <w:vAlign w:val="center"/>
          </w:tcPr>
          <w:p w14:paraId="4CB88311">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巡查覆盖率</w:t>
            </w:r>
          </w:p>
        </w:tc>
        <w:tc>
          <w:tcPr>
            <w:tcW w:w="4961" w:type="dxa"/>
            <w:vAlign w:val="center"/>
          </w:tcPr>
          <w:p w14:paraId="5D890CC0">
            <w:pPr>
              <w:topLinePunct/>
              <w:adjustRightInd w:val="0"/>
              <w:snapToGrid w:val="0"/>
              <w:jc w:val="left"/>
              <w:rPr>
                <w:rFonts w:hint="eastAsia" w:ascii="仿宋_GB2312" w:hAnsi="宋体" w:eastAsia="仿宋_GB2312"/>
                <w:kern w:val="0"/>
                <w:sz w:val="20"/>
                <w:szCs w:val="20"/>
              </w:rPr>
            </w:pPr>
            <w:r>
              <w:rPr>
                <w:rFonts w:hint="eastAsia" w:ascii="仿宋_GB2312" w:hAnsi="宋体" w:eastAsia="仿宋_GB2312"/>
                <w:kern w:val="0"/>
                <w:sz w:val="20"/>
                <w:szCs w:val="20"/>
              </w:rPr>
              <w:t xml:space="preserve">满分 10 分。养护单位应每天对管养设施范围全覆盖巡查养护。要求道路巡查覆盖率达到规定作业里程的 </w:t>
            </w:r>
            <w:r>
              <w:rPr>
                <w:rFonts w:ascii="仿宋_GB2312" w:hAnsi="宋体" w:eastAsia="仿宋_GB2312"/>
                <w:kern w:val="0"/>
                <w:sz w:val="20"/>
                <w:szCs w:val="20"/>
              </w:rPr>
              <w:t>100%，GPS巡查数据覆盖率达到规定作业里程的 9</w:t>
            </w:r>
            <w:r>
              <w:rPr>
                <w:rFonts w:hint="eastAsia" w:ascii="仿宋_GB2312" w:hAnsi="宋体" w:eastAsia="仿宋_GB2312"/>
                <w:kern w:val="0"/>
                <w:sz w:val="20"/>
                <w:szCs w:val="20"/>
              </w:rPr>
              <w:t>0</w:t>
            </w:r>
            <w:r>
              <w:rPr>
                <w:rFonts w:ascii="仿宋_GB2312" w:hAnsi="宋体" w:eastAsia="仿宋_GB2312"/>
                <w:kern w:val="0"/>
                <w:sz w:val="20"/>
                <w:szCs w:val="20"/>
              </w:rPr>
              <w:t>%以上</w:t>
            </w:r>
            <w:r>
              <w:rPr>
                <w:rFonts w:hint="eastAsia" w:ascii="仿宋_GB2312" w:hAnsi="宋体" w:eastAsia="仿宋_GB2312"/>
                <w:kern w:val="0"/>
                <w:sz w:val="20"/>
                <w:szCs w:val="20"/>
              </w:rPr>
              <w:t>，针对南浦、杨浦大桥地面绿化、嘉闵高架地面绿化要求利用水印相机对桥两侧进行拍照打卡，打卡</w:t>
            </w:r>
            <w:r>
              <w:rPr>
                <w:rFonts w:ascii="仿宋_GB2312" w:hAnsi="宋体" w:eastAsia="仿宋_GB2312"/>
                <w:kern w:val="0"/>
                <w:sz w:val="20"/>
                <w:szCs w:val="20"/>
              </w:rPr>
              <w:t>率应达到 100%。</w:t>
            </w:r>
            <w:r>
              <w:rPr>
                <w:rFonts w:hint="eastAsia" w:ascii="仿宋_GB2312" w:hAnsi="宋体" w:eastAsia="仿宋_GB2312"/>
                <w:kern w:val="0"/>
                <w:sz w:val="20"/>
                <w:szCs w:val="20"/>
              </w:rPr>
              <w:t>不合格扣1分/天，扣完为止。</w:t>
            </w:r>
          </w:p>
        </w:tc>
        <w:tc>
          <w:tcPr>
            <w:tcW w:w="1134" w:type="dxa"/>
            <w:vAlign w:val="center"/>
          </w:tcPr>
          <w:p w14:paraId="6DBAF8F7">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10</w:t>
            </w:r>
          </w:p>
        </w:tc>
        <w:tc>
          <w:tcPr>
            <w:tcW w:w="1843" w:type="dxa"/>
            <w:vAlign w:val="center"/>
          </w:tcPr>
          <w:p w14:paraId="38EE060E">
            <w:pPr>
              <w:topLinePunct/>
              <w:adjustRightInd w:val="0"/>
              <w:snapToGrid w:val="0"/>
              <w:jc w:val="center"/>
              <w:rPr>
                <w:rFonts w:hint="eastAsia" w:ascii="仿宋_GB2312" w:hAnsi="宋体" w:eastAsia="仿宋_GB2312"/>
                <w:kern w:val="0"/>
                <w:sz w:val="20"/>
                <w:szCs w:val="20"/>
              </w:rPr>
            </w:pPr>
          </w:p>
        </w:tc>
      </w:tr>
      <w:tr w14:paraId="1702E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866" w:type="dxa"/>
            <w:vAlign w:val="center"/>
          </w:tcPr>
          <w:p w14:paraId="0D6B0654">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（2）</w:t>
            </w:r>
          </w:p>
        </w:tc>
        <w:tc>
          <w:tcPr>
            <w:tcW w:w="1539" w:type="dxa"/>
            <w:vAlign w:val="center"/>
          </w:tcPr>
          <w:p w14:paraId="5DDE6DF3">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病害处置率</w:t>
            </w:r>
          </w:p>
        </w:tc>
        <w:tc>
          <w:tcPr>
            <w:tcW w:w="4961" w:type="dxa"/>
            <w:vAlign w:val="center"/>
          </w:tcPr>
          <w:p w14:paraId="392CEE47">
            <w:pPr>
              <w:topLinePunct/>
              <w:adjustRightInd w:val="0"/>
              <w:snapToGrid w:val="0"/>
              <w:jc w:val="left"/>
              <w:rPr>
                <w:rFonts w:hint="eastAsia" w:ascii="仿宋_GB2312" w:hAnsi="宋体" w:eastAsia="仿宋_GB2312"/>
                <w:kern w:val="0"/>
                <w:sz w:val="20"/>
                <w:szCs w:val="20"/>
              </w:rPr>
            </w:pPr>
            <w:r>
              <w:rPr>
                <w:rFonts w:hint="eastAsia" w:ascii="仿宋_GB2312" w:hAnsi="宋体" w:eastAsia="仿宋_GB2312"/>
                <w:kern w:val="0"/>
                <w:sz w:val="20"/>
                <w:szCs w:val="20"/>
              </w:rPr>
              <w:t>满分 20 分。养护单位日常巡查发现的病害应及时录入至养护在线监管系统，并由监理单位复核其处置情况，在规定的处置时限内完成闭环。</w:t>
            </w:r>
          </w:p>
          <w:p w14:paraId="0BBDDBF5">
            <w:pPr>
              <w:topLinePunct/>
              <w:adjustRightInd w:val="0"/>
              <w:snapToGrid w:val="0"/>
              <w:jc w:val="left"/>
              <w:rPr>
                <w:rFonts w:hint="eastAsia" w:ascii="仿宋_GB2312" w:hAnsi="宋体" w:eastAsia="仿宋_GB2312"/>
                <w:kern w:val="0"/>
                <w:sz w:val="20"/>
                <w:szCs w:val="20"/>
              </w:rPr>
            </w:pPr>
            <w:r>
              <w:rPr>
                <w:rFonts w:hint="eastAsia" w:ascii="仿宋_GB2312" w:hAnsi="宋体" w:eastAsia="仿宋_GB2312"/>
                <w:kern w:val="0"/>
                <w:sz w:val="20"/>
                <w:szCs w:val="20"/>
              </w:rPr>
              <w:t>（1）每季度上报养护在线监管系统的病害数量应达到相应标准，上报数量不少于150个/季度。未达到季度上报养护在线监管系统病害数量的扣 3 分。</w:t>
            </w:r>
          </w:p>
          <w:p w14:paraId="0DAC0865">
            <w:pPr>
              <w:topLinePunct/>
              <w:adjustRightInd w:val="0"/>
              <w:snapToGrid w:val="0"/>
              <w:jc w:val="left"/>
              <w:rPr>
                <w:rFonts w:hint="eastAsia" w:ascii="仿宋_GB2312" w:hAnsi="宋体" w:eastAsia="仿宋_GB2312"/>
                <w:kern w:val="0"/>
                <w:sz w:val="20"/>
                <w:szCs w:val="20"/>
              </w:rPr>
            </w:pPr>
            <w:r>
              <w:rPr>
                <w:rFonts w:hint="eastAsia" w:ascii="仿宋_GB2312" w:hAnsi="宋体" w:eastAsia="仿宋_GB2312"/>
                <w:kern w:val="0"/>
                <w:sz w:val="20"/>
                <w:szCs w:val="20"/>
              </w:rPr>
              <w:t>（2）病害按规定要求已处置完成，数量不少于 180个/季度（含业主、监理上报病害）。未按规定要求处置完成的扣 2 分。</w:t>
            </w:r>
          </w:p>
          <w:p w14:paraId="1BCABB9F">
            <w:pPr>
              <w:topLinePunct/>
              <w:adjustRightInd w:val="0"/>
              <w:snapToGrid w:val="0"/>
              <w:jc w:val="left"/>
              <w:rPr>
                <w:rFonts w:hint="eastAsia" w:ascii="仿宋_GB2312" w:hAnsi="宋体" w:eastAsia="仿宋_GB2312"/>
                <w:kern w:val="0"/>
                <w:sz w:val="20"/>
                <w:szCs w:val="20"/>
              </w:rPr>
            </w:pPr>
            <w:r>
              <w:rPr>
                <w:rFonts w:hint="eastAsia" w:ascii="仿宋_GB2312" w:hAnsi="宋体" w:eastAsia="仿宋_GB2312"/>
                <w:kern w:val="0"/>
                <w:sz w:val="20"/>
                <w:szCs w:val="20"/>
              </w:rPr>
              <w:t>（3）病害处置率应达到 100%，每降低 1%扣 1 分，季度基础分扣完为止。应处置病害总数是指病害修复截止时间在考核时间内的所有病害总和，已处置病害数是指病害修复截止时间在考核时间内已完成的病害的总和。病害处置时限要求为：普通病害（轻/中度/未做等级划分说明）不超过 10天，重度病害不超过 7 天，危险病害不超过 1 天。若因特殊原因出现逾期情况，需进行说明，由监理单位进行审核。</w:t>
            </w:r>
          </w:p>
        </w:tc>
        <w:tc>
          <w:tcPr>
            <w:tcW w:w="1134" w:type="dxa"/>
            <w:vAlign w:val="center"/>
          </w:tcPr>
          <w:p w14:paraId="4B8C8DB1">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20</w:t>
            </w:r>
          </w:p>
        </w:tc>
        <w:tc>
          <w:tcPr>
            <w:tcW w:w="1843" w:type="dxa"/>
            <w:vAlign w:val="center"/>
          </w:tcPr>
          <w:p w14:paraId="6A248B5A">
            <w:pPr>
              <w:topLinePunct/>
              <w:adjustRightInd w:val="0"/>
              <w:snapToGrid w:val="0"/>
              <w:jc w:val="center"/>
              <w:rPr>
                <w:rFonts w:hint="eastAsia" w:ascii="仿宋_GB2312" w:hAnsi="宋体" w:eastAsia="仿宋_GB2312"/>
                <w:kern w:val="0"/>
                <w:sz w:val="20"/>
                <w:szCs w:val="20"/>
              </w:rPr>
            </w:pPr>
          </w:p>
        </w:tc>
      </w:tr>
      <w:tr w14:paraId="3CEE8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vAlign w:val="center"/>
          </w:tcPr>
          <w:p w14:paraId="64E04241">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（3）</w:t>
            </w:r>
          </w:p>
        </w:tc>
        <w:tc>
          <w:tcPr>
            <w:tcW w:w="1539" w:type="dxa"/>
            <w:vAlign w:val="center"/>
          </w:tcPr>
          <w:p w14:paraId="0A5AB3FF">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计划执行率</w:t>
            </w:r>
          </w:p>
        </w:tc>
        <w:tc>
          <w:tcPr>
            <w:tcW w:w="4961" w:type="dxa"/>
            <w:vAlign w:val="center"/>
          </w:tcPr>
          <w:p w14:paraId="54B80531">
            <w:pPr>
              <w:topLinePunct/>
              <w:adjustRightInd w:val="0"/>
              <w:snapToGrid w:val="0"/>
              <w:jc w:val="left"/>
              <w:rPr>
                <w:rFonts w:hint="eastAsia" w:ascii="仿宋_GB2312" w:hAnsi="宋体" w:eastAsia="仿宋_GB2312"/>
                <w:kern w:val="0"/>
                <w:sz w:val="20"/>
                <w:szCs w:val="20"/>
              </w:rPr>
            </w:pPr>
            <w:r>
              <w:rPr>
                <w:rFonts w:hint="eastAsia" w:ascii="仿宋_GB2312" w:hAnsi="宋体" w:eastAsia="仿宋_GB2312"/>
                <w:kern w:val="0"/>
                <w:sz w:val="20"/>
                <w:szCs w:val="20"/>
              </w:rPr>
              <w:t>满分10分。养护单位应每周报送养护作业计划，并填写实际完成情况，由监理单位进行审核，结果为已完成或未完成。对考核时间内的每日计划完成情况进行统计，季度计划执行率应达到100%，每降低1%扣2分，扣完为止。若因特殊原因出现未完成情况，需进行说明，由监理单位进行审核。</w:t>
            </w:r>
          </w:p>
        </w:tc>
        <w:tc>
          <w:tcPr>
            <w:tcW w:w="1134" w:type="dxa"/>
            <w:vAlign w:val="center"/>
          </w:tcPr>
          <w:p w14:paraId="32AC148C">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20</w:t>
            </w:r>
          </w:p>
        </w:tc>
        <w:tc>
          <w:tcPr>
            <w:tcW w:w="1843" w:type="dxa"/>
            <w:vAlign w:val="center"/>
          </w:tcPr>
          <w:p w14:paraId="0E9D2058">
            <w:pPr>
              <w:topLinePunct/>
              <w:adjustRightInd w:val="0"/>
              <w:snapToGrid w:val="0"/>
              <w:jc w:val="center"/>
              <w:rPr>
                <w:rFonts w:hint="eastAsia" w:ascii="仿宋_GB2312" w:hAnsi="宋体" w:eastAsia="仿宋_GB2312"/>
                <w:kern w:val="0"/>
                <w:sz w:val="20"/>
                <w:szCs w:val="20"/>
              </w:rPr>
            </w:pPr>
          </w:p>
        </w:tc>
      </w:tr>
      <w:tr w14:paraId="74315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6" w:type="dxa"/>
            <w:vAlign w:val="center"/>
          </w:tcPr>
          <w:p w14:paraId="27044944">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（4）</w:t>
            </w:r>
          </w:p>
        </w:tc>
        <w:tc>
          <w:tcPr>
            <w:tcW w:w="1539" w:type="dxa"/>
            <w:vAlign w:val="center"/>
          </w:tcPr>
          <w:p w14:paraId="6A7B83C7">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内业提交情况</w:t>
            </w:r>
          </w:p>
        </w:tc>
        <w:tc>
          <w:tcPr>
            <w:tcW w:w="4961" w:type="dxa"/>
            <w:vAlign w:val="center"/>
          </w:tcPr>
          <w:p w14:paraId="1F7B4D79">
            <w:pPr>
              <w:topLinePunct/>
              <w:adjustRightInd w:val="0"/>
              <w:snapToGrid w:val="0"/>
              <w:jc w:val="left"/>
              <w:rPr>
                <w:rFonts w:hint="eastAsia" w:ascii="仿宋_GB2312" w:hAnsi="宋体" w:eastAsia="仿宋_GB2312"/>
                <w:kern w:val="0"/>
                <w:sz w:val="20"/>
                <w:szCs w:val="20"/>
              </w:rPr>
            </w:pPr>
            <w:r>
              <w:rPr>
                <w:rFonts w:hint="eastAsia" w:ascii="仿宋_GB2312" w:hAnsi="宋体" w:eastAsia="仿宋_GB2312"/>
                <w:kern w:val="0"/>
                <w:sz w:val="20"/>
                <w:szCs w:val="20"/>
              </w:rPr>
              <w:t>满分10分。养护单位应安排相对固定的人员负责养护信息化系统管理工作，要求内业资料按时上报且齐全，及时反馈系统问题。养护内业资料目录详见附录八，若未按时提交，扣2分/项，扣完为止。</w:t>
            </w:r>
          </w:p>
        </w:tc>
        <w:tc>
          <w:tcPr>
            <w:tcW w:w="1134" w:type="dxa"/>
            <w:vAlign w:val="center"/>
          </w:tcPr>
          <w:p w14:paraId="5857EF2D">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10</w:t>
            </w:r>
          </w:p>
        </w:tc>
        <w:tc>
          <w:tcPr>
            <w:tcW w:w="1843" w:type="dxa"/>
            <w:vAlign w:val="center"/>
          </w:tcPr>
          <w:p w14:paraId="407F717B">
            <w:pPr>
              <w:topLinePunct/>
              <w:adjustRightInd w:val="0"/>
              <w:snapToGrid w:val="0"/>
              <w:jc w:val="center"/>
              <w:rPr>
                <w:rFonts w:hint="eastAsia" w:ascii="仿宋_GB2312" w:hAnsi="宋体" w:eastAsia="仿宋_GB2312"/>
                <w:kern w:val="0"/>
                <w:sz w:val="20"/>
                <w:szCs w:val="20"/>
              </w:rPr>
            </w:pPr>
          </w:p>
        </w:tc>
      </w:tr>
      <w:tr w14:paraId="663D5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05" w:type="dxa"/>
            <w:gridSpan w:val="2"/>
            <w:vAlign w:val="center"/>
          </w:tcPr>
          <w:p w14:paraId="23ECE461">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绿化季度</w:t>
            </w:r>
          </w:p>
          <w:p w14:paraId="520224A5">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定量得分</w:t>
            </w:r>
          </w:p>
        </w:tc>
        <w:tc>
          <w:tcPr>
            <w:tcW w:w="4961" w:type="dxa"/>
            <w:vAlign w:val="center"/>
          </w:tcPr>
          <w:p w14:paraId="3744ABC1">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（1）~（4）得分总和</w:t>
            </w:r>
          </w:p>
        </w:tc>
        <w:tc>
          <w:tcPr>
            <w:tcW w:w="1134" w:type="dxa"/>
            <w:vAlign w:val="center"/>
          </w:tcPr>
          <w:p w14:paraId="607DCE79">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60</w:t>
            </w:r>
          </w:p>
        </w:tc>
        <w:tc>
          <w:tcPr>
            <w:tcW w:w="1843" w:type="dxa"/>
            <w:tcBorders>
              <w:bottom w:val="single" w:color="auto" w:sz="4" w:space="0"/>
            </w:tcBorders>
            <w:vAlign w:val="center"/>
          </w:tcPr>
          <w:p w14:paraId="5566DD1C">
            <w:pPr>
              <w:topLinePunct/>
              <w:adjustRightInd w:val="0"/>
              <w:snapToGrid w:val="0"/>
              <w:jc w:val="center"/>
              <w:rPr>
                <w:rFonts w:hint="eastAsia" w:ascii="仿宋_GB2312" w:hAnsi="宋体" w:eastAsia="仿宋_GB2312"/>
                <w:kern w:val="0"/>
                <w:sz w:val="20"/>
                <w:szCs w:val="20"/>
              </w:rPr>
            </w:pPr>
          </w:p>
        </w:tc>
      </w:tr>
    </w:tbl>
    <w:p w14:paraId="5B2F5789">
      <w:pPr>
        <w:topLinePunct/>
        <w:adjustRightInd w:val="0"/>
        <w:snapToGrid w:val="0"/>
        <w:spacing w:line="500" w:lineRule="exact"/>
        <w:rPr>
          <w:rFonts w:ascii="Times New Roman" w:hAnsi="Times New Roman"/>
          <w:szCs w:val="21"/>
        </w:rPr>
      </w:pPr>
    </w:p>
    <w:p w14:paraId="423E0334">
      <w:pPr>
        <w:topLinePunct/>
        <w:adjustRightInd w:val="0"/>
        <w:snapToGrid w:val="0"/>
        <w:spacing w:line="500" w:lineRule="exact"/>
        <w:rPr>
          <w:rFonts w:ascii="Times New Roman" w:hAnsi="Times New Roman"/>
          <w:szCs w:val="21"/>
        </w:rPr>
      </w:pPr>
      <w:r>
        <w:rPr>
          <w:rFonts w:ascii="Times New Roman" w:hAnsi="Times New Roman"/>
          <w:szCs w:val="21"/>
        </w:rPr>
        <w:br w:type="page"/>
      </w:r>
    </w:p>
    <w:tbl>
      <w:tblPr>
        <w:tblStyle w:val="397"/>
        <w:tblpPr w:leftFromText="180" w:rightFromText="180" w:vertAnchor="page" w:horzAnchor="page" w:tblpX="658" w:tblpY="1427"/>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721"/>
        <w:gridCol w:w="1572"/>
        <w:gridCol w:w="3827"/>
        <w:gridCol w:w="992"/>
        <w:gridCol w:w="1134"/>
        <w:gridCol w:w="1134"/>
      </w:tblGrid>
      <w:tr w14:paraId="08977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343" w:type="dxa"/>
            <w:gridSpan w:val="7"/>
            <w:vAlign w:val="center"/>
          </w:tcPr>
          <w:p w14:paraId="600DB2F6">
            <w:pPr>
              <w:topLinePunct/>
              <w:adjustRightInd w:val="0"/>
              <w:snapToGrid w:val="0"/>
              <w:jc w:val="center"/>
              <w:rPr>
                <w:rFonts w:hint="eastAsia" w:ascii="宋体" w:hAnsi="宋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7 </w:t>
            </w:r>
            <w:r>
              <w:rPr>
                <w:rFonts w:hint="eastAsia" w:ascii="黑体" w:hAnsi="黑体" w:eastAsia="黑体"/>
                <w:kern w:val="0"/>
                <w:sz w:val="28"/>
                <w:szCs w:val="32"/>
              </w:rPr>
              <w:t>市管城市道路绿化养护季度定性考核评分表</w:t>
            </w:r>
          </w:p>
        </w:tc>
      </w:tr>
      <w:tr w14:paraId="67706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83" w:type="dxa"/>
            <w:gridSpan w:val="4"/>
            <w:vMerge w:val="restart"/>
            <w:vAlign w:val="center"/>
          </w:tcPr>
          <w:p w14:paraId="358C9C7E">
            <w:pPr>
              <w:topLinePunct/>
              <w:adjustRightInd w:val="0"/>
              <w:snapToGrid w:val="0"/>
              <w:rPr>
                <w:rFonts w:hint="eastAsia" w:ascii="仿宋_GB2312" w:hAnsi="宋体" w:eastAsia="仿宋_GB2312"/>
                <w:kern w:val="0"/>
                <w:sz w:val="24"/>
                <w:szCs w:val="20"/>
              </w:rPr>
            </w:pPr>
            <w:r>
              <w:rPr>
                <w:rFonts w:hint="eastAsia" w:ascii="仿宋_GB2312" w:hAnsi="宋体" w:eastAsia="仿宋_GB2312"/>
                <w:kern w:val="0"/>
                <w:sz w:val="24"/>
                <w:szCs w:val="20"/>
              </w:rPr>
              <w:t>考核设施：</w:t>
            </w:r>
          </w:p>
        </w:tc>
        <w:tc>
          <w:tcPr>
            <w:tcW w:w="3260" w:type="dxa"/>
            <w:gridSpan w:val="3"/>
            <w:vAlign w:val="center"/>
          </w:tcPr>
          <w:p w14:paraId="6E5C5687">
            <w:pPr>
              <w:topLinePunct/>
              <w:adjustRightInd w:val="0"/>
              <w:snapToGrid w:val="0"/>
              <w:rPr>
                <w:rFonts w:hint="eastAsia" w:ascii="仿宋_GB2312" w:hAnsi="宋体" w:eastAsia="仿宋_GB2312"/>
                <w:kern w:val="0"/>
                <w:sz w:val="24"/>
                <w:szCs w:val="20"/>
              </w:rPr>
            </w:pPr>
            <w:r>
              <w:rPr>
                <w:rFonts w:hint="eastAsia" w:ascii="仿宋_GB2312" w:hAnsi="宋体" w:eastAsia="仿宋_GB2312"/>
                <w:kern w:val="0"/>
                <w:sz w:val="24"/>
                <w:szCs w:val="20"/>
              </w:rPr>
              <w:t>检查日期：</w:t>
            </w:r>
          </w:p>
        </w:tc>
      </w:tr>
      <w:tr w14:paraId="56E21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7083" w:type="dxa"/>
            <w:gridSpan w:val="4"/>
            <w:vMerge w:val="continue"/>
            <w:vAlign w:val="center"/>
          </w:tcPr>
          <w:p w14:paraId="5D4D8138">
            <w:pPr>
              <w:topLinePunct/>
              <w:adjustRightInd w:val="0"/>
              <w:snapToGrid w:val="0"/>
              <w:rPr>
                <w:rFonts w:hint="eastAsia" w:ascii="仿宋_GB2312" w:hAnsi="宋体" w:eastAsia="仿宋_GB2312"/>
                <w:kern w:val="0"/>
                <w:sz w:val="24"/>
                <w:szCs w:val="20"/>
                <w:u w:val="single"/>
              </w:rPr>
            </w:pPr>
          </w:p>
        </w:tc>
        <w:tc>
          <w:tcPr>
            <w:tcW w:w="3260" w:type="dxa"/>
            <w:gridSpan w:val="3"/>
            <w:vAlign w:val="center"/>
          </w:tcPr>
          <w:p w14:paraId="01633B2E">
            <w:pPr>
              <w:topLinePunct/>
              <w:adjustRightInd w:val="0"/>
              <w:snapToGrid w:val="0"/>
              <w:rPr>
                <w:rFonts w:hint="eastAsia" w:ascii="仿宋_GB2312" w:hAnsi="宋体" w:eastAsia="仿宋_GB2312"/>
                <w:kern w:val="0"/>
                <w:sz w:val="24"/>
                <w:szCs w:val="20"/>
              </w:rPr>
            </w:pPr>
            <w:r>
              <w:rPr>
                <w:rFonts w:hint="eastAsia" w:ascii="仿宋_GB2312" w:hAnsi="宋体" w:eastAsia="仿宋_GB2312"/>
                <w:kern w:val="0"/>
                <w:sz w:val="24"/>
                <w:szCs w:val="20"/>
              </w:rPr>
              <w:t>检查人员：</w:t>
            </w:r>
          </w:p>
        </w:tc>
      </w:tr>
      <w:tr w14:paraId="78B6E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63" w:type="dxa"/>
            <w:vAlign w:val="center"/>
          </w:tcPr>
          <w:p w14:paraId="3A3A3717">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序号</w:t>
            </w:r>
          </w:p>
        </w:tc>
        <w:tc>
          <w:tcPr>
            <w:tcW w:w="2293" w:type="dxa"/>
            <w:gridSpan w:val="2"/>
            <w:vAlign w:val="center"/>
          </w:tcPr>
          <w:p w14:paraId="66604D90">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项目</w:t>
            </w:r>
          </w:p>
        </w:tc>
        <w:tc>
          <w:tcPr>
            <w:tcW w:w="3827" w:type="dxa"/>
            <w:vAlign w:val="center"/>
          </w:tcPr>
          <w:p w14:paraId="178C6FD9">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评分标准</w:t>
            </w:r>
          </w:p>
        </w:tc>
        <w:tc>
          <w:tcPr>
            <w:tcW w:w="992" w:type="dxa"/>
            <w:vAlign w:val="center"/>
          </w:tcPr>
          <w:p w14:paraId="01AB85D8">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标准分</w:t>
            </w:r>
          </w:p>
        </w:tc>
        <w:tc>
          <w:tcPr>
            <w:tcW w:w="1134" w:type="dxa"/>
            <w:vAlign w:val="center"/>
          </w:tcPr>
          <w:p w14:paraId="2C3A50D0">
            <w:pPr>
              <w:topLinePunct/>
              <w:adjustRightInd w:val="0"/>
              <w:snapToGrid w:val="0"/>
              <w:spacing w:line="240" w:lineRule="exact"/>
              <w:jc w:val="center"/>
              <w:rPr>
                <w:rFonts w:hint="eastAsia" w:ascii="仿宋_GB2312" w:hAnsi="宋体" w:eastAsia="仿宋_GB2312"/>
                <w:kern w:val="0"/>
                <w:sz w:val="20"/>
                <w:szCs w:val="20"/>
              </w:rPr>
            </w:pPr>
            <w:r>
              <w:rPr>
                <w:rFonts w:hint="eastAsia" w:ascii="仿宋_GB2312" w:hAnsi="宋体" w:eastAsia="仿宋_GB2312"/>
                <w:kern w:val="0"/>
                <w:sz w:val="20"/>
                <w:szCs w:val="20"/>
              </w:rPr>
              <w:t>考核得分</w:t>
            </w:r>
          </w:p>
        </w:tc>
        <w:tc>
          <w:tcPr>
            <w:tcW w:w="1134" w:type="dxa"/>
            <w:vAlign w:val="center"/>
          </w:tcPr>
          <w:p w14:paraId="543B0EE2">
            <w:pPr>
              <w:topLinePunct/>
              <w:adjustRightInd w:val="0"/>
              <w:snapToGrid w:val="0"/>
              <w:spacing w:line="240" w:lineRule="exact"/>
              <w:jc w:val="center"/>
              <w:rPr>
                <w:rFonts w:hint="eastAsia" w:ascii="仿宋_GB2312" w:hAnsi="宋体" w:eastAsia="仿宋_GB2312"/>
                <w:kern w:val="0"/>
                <w:sz w:val="20"/>
                <w:szCs w:val="20"/>
              </w:rPr>
            </w:pPr>
            <w:r>
              <w:rPr>
                <w:rFonts w:hint="eastAsia" w:ascii="仿宋_GB2312" w:hAnsi="宋体" w:eastAsia="仿宋_GB2312"/>
                <w:kern w:val="0"/>
                <w:sz w:val="20"/>
                <w:szCs w:val="20"/>
              </w:rPr>
              <w:t>检查记录</w:t>
            </w:r>
          </w:p>
        </w:tc>
      </w:tr>
      <w:tr w14:paraId="4E23C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1B62E18F">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(1)</w:t>
            </w:r>
          </w:p>
        </w:tc>
        <w:tc>
          <w:tcPr>
            <w:tcW w:w="721" w:type="dxa"/>
            <w:vMerge w:val="restart"/>
            <w:vAlign w:val="center"/>
          </w:tcPr>
          <w:p w14:paraId="3B73D97B">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外场检查</w:t>
            </w:r>
          </w:p>
        </w:tc>
        <w:tc>
          <w:tcPr>
            <w:tcW w:w="1572" w:type="dxa"/>
            <w:vAlign w:val="center"/>
          </w:tcPr>
          <w:p w14:paraId="666B15CE">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除草保洁</w:t>
            </w:r>
          </w:p>
        </w:tc>
        <w:tc>
          <w:tcPr>
            <w:tcW w:w="3827" w:type="dxa"/>
            <w:vAlign w:val="center"/>
          </w:tcPr>
          <w:p w14:paraId="35305CAC">
            <w:pPr>
              <w:topLinePunct/>
              <w:adjustRightInd w:val="0"/>
              <w:snapToGrid w:val="0"/>
              <w:rPr>
                <w:rFonts w:hint="eastAsia" w:ascii="仿宋_GB2312" w:hAnsi="宋体" w:eastAsia="仿宋_GB2312"/>
                <w:kern w:val="0"/>
                <w:sz w:val="20"/>
                <w:szCs w:val="20"/>
              </w:rPr>
            </w:pPr>
            <w:r>
              <w:rPr>
                <w:rFonts w:hint="eastAsia" w:ascii="仿宋_GB2312" w:hAnsi="宋体" w:eastAsia="仿宋_GB2312"/>
                <w:kern w:val="0"/>
                <w:sz w:val="20"/>
                <w:szCs w:val="20"/>
              </w:rPr>
              <w:t>基本无杂草，少量杂草高度不得超过10cm；盆内保持清洁，不得留有漂浮物、枯枝烂头等。不合格扣0.5分/处。</w:t>
            </w:r>
          </w:p>
        </w:tc>
        <w:tc>
          <w:tcPr>
            <w:tcW w:w="992" w:type="dxa"/>
            <w:vAlign w:val="center"/>
          </w:tcPr>
          <w:p w14:paraId="1B600E59">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5</w:t>
            </w:r>
          </w:p>
        </w:tc>
        <w:tc>
          <w:tcPr>
            <w:tcW w:w="1134" w:type="dxa"/>
            <w:vAlign w:val="center"/>
          </w:tcPr>
          <w:p w14:paraId="4F133A55">
            <w:pPr>
              <w:topLinePunct/>
              <w:adjustRightInd w:val="0"/>
              <w:snapToGrid w:val="0"/>
              <w:jc w:val="center"/>
              <w:rPr>
                <w:rFonts w:hint="eastAsia" w:ascii="仿宋_GB2312" w:hAnsi="宋体" w:eastAsia="仿宋_GB2312"/>
                <w:kern w:val="0"/>
                <w:sz w:val="20"/>
                <w:szCs w:val="20"/>
              </w:rPr>
            </w:pPr>
          </w:p>
        </w:tc>
        <w:tc>
          <w:tcPr>
            <w:tcW w:w="1134" w:type="dxa"/>
            <w:vAlign w:val="center"/>
          </w:tcPr>
          <w:p w14:paraId="2FB1AC17">
            <w:pPr>
              <w:topLinePunct/>
              <w:adjustRightInd w:val="0"/>
              <w:snapToGrid w:val="0"/>
              <w:jc w:val="center"/>
              <w:rPr>
                <w:rFonts w:hint="eastAsia" w:ascii="仿宋_GB2312" w:hAnsi="宋体" w:eastAsia="仿宋_GB2312"/>
                <w:kern w:val="0"/>
                <w:sz w:val="20"/>
                <w:szCs w:val="20"/>
              </w:rPr>
            </w:pPr>
          </w:p>
        </w:tc>
      </w:tr>
      <w:tr w14:paraId="0395E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4D8A7A6C">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(2)</w:t>
            </w:r>
          </w:p>
        </w:tc>
        <w:tc>
          <w:tcPr>
            <w:tcW w:w="721" w:type="dxa"/>
            <w:vMerge w:val="continue"/>
            <w:vAlign w:val="center"/>
          </w:tcPr>
          <w:p w14:paraId="54876051">
            <w:pPr>
              <w:topLinePunct/>
              <w:adjustRightInd w:val="0"/>
              <w:snapToGrid w:val="0"/>
              <w:jc w:val="center"/>
              <w:rPr>
                <w:rFonts w:hint="eastAsia" w:ascii="仿宋_GB2312" w:hAnsi="宋体" w:eastAsia="仿宋_GB2312"/>
                <w:kern w:val="0"/>
                <w:sz w:val="20"/>
                <w:szCs w:val="20"/>
              </w:rPr>
            </w:pPr>
          </w:p>
        </w:tc>
        <w:tc>
          <w:tcPr>
            <w:tcW w:w="1572" w:type="dxa"/>
            <w:vAlign w:val="center"/>
          </w:tcPr>
          <w:p w14:paraId="6886F085">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病虫害治防</w:t>
            </w:r>
          </w:p>
        </w:tc>
        <w:tc>
          <w:tcPr>
            <w:tcW w:w="3827" w:type="dxa"/>
            <w:vAlign w:val="center"/>
          </w:tcPr>
          <w:p w14:paraId="1BC60A24">
            <w:pPr>
              <w:topLinePunct/>
              <w:adjustRightInd w:val="0"/>
              <w:snapToGrid w:val="0"/>
              <w:rPr>
                <w:rFonts w:hint="eastAsia" w:ascii="仿宋_GB2312" w:hAnsi="宋体" w:eastAsia="仿宋_GB2312"/>
                <w:kern w:val="0"/>
                <w:sz w:val="20"/>
                <w:szCs w:val="20"/>
              </w:rPr>
            </w:pPr>
            <w:r>
              <w:rPr>
                <w:rFonts w:hint="eastAsia" w:ascii="仿宋_GB2312" w:hAnsi="宋体" w:eastAsia="仿宋_GB2312"/>
                <w:kern w:val="0"/>
                <w:sz w:val="20"/>
                <w:szCs w:val="20"/>
              </w:rPr>
              <w:t>发现病虫害后防治要及时；基本无病虫害，少量应不影响生长和外观。不合格扣0.5分/处。</w:t>
            </w:r>
          </w:p>
        </w:tc>
        <w:tc>
          <w:tcPr>
            <w:tcW w:w="992" w:type="dxa"/>
            <w:vAlign w:val="center"/>
          </w:tcPr>
          <w:p w14:paraId="177FC92B">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5</w:t>
            </w:r>
          </w:p>
        </w:tc>
        <w:tc>
          <w:tcPr>
            <w:tcW w:w="1134" w:type="dxa"/>
            <w:vAlign w:val="center"/>
          </w:tcPr>
          <w:p w14:paraId="1C55320B">
            <w:pPr>
              <w:topLinePunct/>
              <w:adjustRightInd w:val="0"/>
              <w:snapToGrid w:val="0"/>
              <w:jc w:val="center"/>
              <w:rPr>
                <w:rFonts w:hint="eastAsia" w:ascii="仿宋_GB2312" w:hAnsi="宋体" w:eastAsia="仿宋_GB2312"/>
                <w:kern w:val="0"/>
                <w:sz w:val="20"/>
                <w:szCs w:val="20"/>
              </w:rPr>
            </w:pPr>
          </w:p>
        </w:tc>
        <w:tc>
          <w:tcPr>
            <w:tcW w:w="1134" w:type="dxa"/>
            <w:vAlign w:val="center"/>
          </w:tcPr>
          <w:p w14:paraId="0B6D850D">
            <w:pPr>
              <w:topLinePunct/>
              <w:adjustRightInd w:val="0"/>
              <w:snapToGrid w:val="0"/>
              <w:jc w:val="center"/>
              <w:rPr>
                <w:rFonts w:hint="eastAsia" w:ascii="仿宋_GB2312" w:hAnsi="宋体" w:eastAsia="仿宋_GB2312"/>
                <w:kern w:val="0"/>
                <w:sz w:val="20"/>
                <w:szCs w:val="20"/>
              </w:rPr>
            </w:pPr>
          </w:p>
        </w:tc>
      </w:tr>
      <w:tr w14:paraId="6BA22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28EECB95">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(3)</w:t>
            </w:r>
          </w:p>
        </w:tc>
        <w:tc>
          <w:tcPr>
            <w:tcW w:w="721" w:type="dxa"/>
            <w:vMerge w:val="continue"/>
            <w:vAlign w:val="center"/>
          </w:tcPr>
          <w:p w14:paraId="6C04E938">
            <w:pPr>
              <w:topLinePunct/>
              <w:adjustRightInd w:val="0"/>
              <w:snapToGrid w:val="0"/>
              <w:jc w:val="center"/>
              <w:rPr>
                <w:rFonts w:hint="eastAsia" w:ascii="仿宋_GB2312" w:hAnsi="宋体" w:eastAsia="仿宋_GB2312"/>
                <w:kern w:val="0"/>
                <w:sz w:val="20"/>
                <w:szCs w:val="20"/>
              </w:rPr>
            </w:pPr>
          </w:p>
        </w:tc>
        <w:tc>
          <w:tcPr>
            <w:tcW w:w="1572" w:type="dxa"/>
            <w:vAlign w:val="center"/>
          </w:tcPr>
          <w:p w14:paraId="1373FE3C">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修剪整形</w:t>
            </w:r>
          </w:p>
        </w:tc>
        <w:tc>
          <w:tcPr>
            <w:tcW w:w="3827" w:type="dxa"/>
            <w:vAlign w:val="center"/>
          </w:tcPr>
          <w:p w14:paraId="63ED050F">
            <w:pPr>
              <w:topLinePunct/>
              <w:adjustRightInd w:val="0"/>
              <w:snapToGrid w:val="0"/>
              <w:rPr>
                <w:rFonts w:hint="eastAsia" w:ascii="仿宋_GB2312" w:hAnsi="宋体" w:eastAsia="仿宋_GB2312"/>
                <w:kern w:val="0"/>
                <w:sz w:val="20"/>
                <w:szCs w:val="20"/>
              </w:rPr>
            </w:pPr>
            <w:r>
              <w:rPr>
                <w:rFonts w:hint="eastAsia" w:ascii="仿宋_GB2312" w:hAnsi="宋体" w:eastAsia="仿宋_GB2312"/>
                <w:kern w:val="0"/>
                <w:sz w:val="20"/>
                <w:szCs w:val="20"/>
              </w:rPr>
              <w:t>按实修剪整形；人为理顺植物生长的方向，以外侧为准，及时清理各种垃圾，做到当夜工清、料清、场清；不遮挡道路设施（指在视线200m范围内遮挡标牌行车道等）。不合格扣0.5分/处。</w:t>
            </w:r>
          </w:p>
        </w:tc>
        <w:tc>
          <w:tcPr>
            <w:tcW w:w="992" w:type="dxa"/>
            <w:vAlign w:val="center"/>
          </w:tcPr>
          <w:p w14:paraId="16E7F24F">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5</w:t>
            </w:r>
          </w:p>
        </w:tc>
        <w:tc>
          <w:tcPr>
            <w:tcW w:w="1134" w:type="dxa"/>
            <w:vAlign w:val="center"/>
          </w:tcPr>
          <w:p w14:paraId="5B477CB7">
            <w:pPr>
              <w:topLinePunct/>
              <w:adjustRightInd w:val="0"/>
              <w:snapToGrid w:val="0"/>
              <w:jc w:val="center"/>
              <w:rPr>
                <w:rFonts w:hint="eastAsia" w:ascii="仿宋_GB2312" w:hAnsi="宋体" w:eastAsia="仿宋_GB2312"/>
                <w:kern w:val="0"/>
                <w:sz w:val="20"/>
                <w:szCs w:val="20"/>
              </w:rPr>
            </w:pPr>
          </w:p>
        </w:tc>
        <w:tc>
          <w:tcPr>
            <w:tcW w:w="1134" w:type="dxa"/>
            <w:vAlign w:val="center"/>
          </w:tcPr>
          <w:p w14:paraId="60886546">
            <w:pPr>
              <w:topLinePunct/>
              <w:adjustRightInd w:val="0"/>
              <w:snapToGrid w:val="0"/>
              <w:jc w:val="center"/>
              <w:rPr>
                <w:rFonts w:hint="eastAsia" w:ascii="仿宋_GB2312" w:hAnsi="宋体" w:eastAsia="仿宋_GB2312"/>
                <w:kern w:val="0"/>
                <w:sz w:val="20"/>
                <w:szCs w:val="20"/>
              </w:rPr>
            </w:pPr>
          </w:p>
        </w:tc>
      </w:tr>
      <w:tr w14:paraId="34441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963" w:type="dxa"/>
            <w:vAlign w:val="center"/>
          </w:tcPr>
          <w:p w14:paraId="46685F98">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(4)</w:t>
            </w:r>
          </w:p>
        </w:tc>
        <w:tc>
          <w:tcPr>
            <w:tcW w:w="721" w:type="dxa"/>
            <w:vMerge w:val="continue"/>
            <w:vAlign w:val="center"/>
          </w:tcPr>
          <w:p w14:paraId="2D282AA7">
            <w:pPr>
              <w:topLinePunct/>
              <w:adjustRightInd w:val="0"/>
              <w:snapToGrid w:val="0"/>
              <w:jc w:val="center"/>
              <w:rPr>
                <w:rFonts w:hint="eastAsia" w:ascii="仿宋_GB2312" w:hAnsi="宋体" w:eastAsia="仿宋_GB2312"/>
                <w:kern w:val="0"/>
                <w:sz w:val="20"/>
                <w:szCs w:val="20"/>
              </w:rPr>
            </w:pPr>
          </w:p>
        </w:tc>
        <w:tc>
          <w:tcPr>
            <w:tcW w:w="1572" w:type="dxa"/>
            <w:vAlign w:val="center"/>
          </w:tcPr>
          <w:p w14:paraId="78F919BD">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缺株、死株</w:t>
            </w:r>
          </w:p>
        </w:tc>
        <w:tc>
          <w:tcPr>
            <w:tcW w:w="3827" w:type="dxa"/>
            <w:vAlign w:val="center"/>
          </w:tcPr>
          <w:p w14:paraId="075D5609">
            <w:pPr>
              <w:topLinePunct/>
              <w:adjustRightInd w:val="0"/>
              <w:snapToGrid w:val="0"/>
              <w:rPr>
                <w:rFonts w:hint="eastAsia" w:ascii="仿宋_GB2312" w:hAnsi="宋体" w:eastAsia="仿宋_GB2312"/>
                <w:kern w:val="0"/>
                <w:sz w:val="20"/>
                <w:szCs w:val="20"/>
              </w:rPr>
            </w:pPr>
            <w:r>
              <w:rPr>
                <w:rFonts w:hint="eastAsia" w:ascii="仿宋_GB2312" w:hAnsi="宋体" w:eastAsia="仿宋_GB2312"/>
                <w:kern w:val="0"/>
                <w:sz w:val="20"/>
                <w:szCs w:val="20"/>
              </w:rPr>
              <w:t>死枝残桩及时清理；缺株应在季节内及时补种；行道树树型统一、半截枯萎树木于季节内及时换种。不合格扣0.5分/处。</w:t>
            </w:r>
          </w:p>
        </w:tc>
        <w:tc>
          <w:tcPr>
            <w:tcW w:w="992" w:type="dxa"/>
            <w:vAlign w:val="center"/>
          </w:tcPr>
          <w:p w14:paraId="22BA39D0">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5</w:t>
            </w:r>
          </w:p>
        </w:tc>
        <w:tc>
          <w:tcPr>
            <w:tcW w:w="1134" w:type="dxa"/>
            <w:vAlign w:val="center"/>
          </w:tcPr>
          <w:p w14:paraId="5D48B049">
            <w:pPr>
              <w:topLinePunct/>
              <w:adjustRightInd w:val="0"/>
              <w:snapToGrid w:val="0"/>
              <w:jc w:val="center"/>
              <w:rPr>
                <w:rFonts w:hint="eastAsia" w:ascii="仿宋_GB2312" w:hAnsi="宋体" w:eastAsia="仿宋_GB2312"/>
                <w:kern w:val="0"/>
                <w:sz w:val="20"/>
                <w:szCs w:val="20"/>
              </w:rPr>
            </w:pPr>
          </w:p>
        </w:tc>
        <w:tc>
          <w:tcPr>
            <w:tcW w:w="1134" w:type="dxa"/>
            <w:vAlign w:val="center"/>
          </w:tcPr>
          <w:p w14:paraId="489FC48C">
            <w:pPr>
              <w:topLinePunct/>
              <w:adjustRightInd w:val="0"/>
              <w:snapToGrid w:val="0"/>
              <w:jc w:val="center"/>
              <w:rPr>
                <w:rFonts w:hint="eastAsia" w:ascii="仿宋_GB2312" w:hAnsi="宋体" w:eastAsia="仿宋_GB2312"/>
                <w:kern w:val="0"/>
                <w:sz w:val="20"/>
                <w:szCs w:val="20"/>
              </w:rPr>
            </w:pPr>
          </w:p>
        </w:tc>
      </w:tr>
      <w:tr w14:paraId="4A7B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963" w:type="dxa"/>
            <w:vAlign w:val="center"/>
          </w:tcPr>
          <w:p w14:paraId="33E00C3D">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(5)</w:t>
            </w:r>
          </w:p>
        </w:tc>
        <w:tc>
          <w:tcPr>
            <w:tcW w:w="721" w:type="dxa"/>
            <w:vMerge w:val="continue"/>
            <w:vAlign w:val="center"/>
          </w:tcPr>
          <w:p w14:paraId="35425AF9">
            <w:pPr>
              <w:topLinePunct/>
              <w:adjustRightInd w:val="0"/>
              <w:snapToGrid w:val="0"/>
              <w:jc w:val="center"/>
              <w:rPr>
                <w:rFonts w:hint="eastAsia" w:ascii="仿宋_GB2312" w:hAnsi="宋体" w:eastAsia="仿宋_GB2312"/>
                <w:kern w:val="0"/>
                <w:sz w:val="20"/>
                <w:szCs w:val="20"/>
              </w:rPr>
            </w:pPr>
          </w:p>
        </w:tc>
        <w:tc>
          <w:tcPr>
            <w:tcW w:w="1572" w:type="dxa"/>
            <w:vAlign w:val="center"/>
          </w:tcPr>
          <w:p w14:paraId="4DA8E1FD">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补土追肥</w:t>
            </w:r>
          </w:p>
        </w:tc>
        <w:tc>
          <w:tcPr>
            <w:tcW w:w="3827" w:type="dxa"/>
            <w:vAlign w:val="center"/>
          </w:tcPr>
          <w:p w14:paraId="62F29773">
            <w:pPr>
              <w:topLinePunct/>
              <w:adjustRightInd w:val="0"/>
              <w:snapToGrid w:val="0"/>
              <w:rPr>
                <w:rFonts w:hint="eastAsia" w:ascii="仿宋_GB2312" w:hAnsi="宋体" w:eastAsia="仿宋_GB2312"/>
                <w:kern w:val="0"/>
                <w:sz w:val="20"/>
                <w:szCs w:val="20"/>
              </w:rPr>
            </w:pPr>
            <w:r>
              <w:rPr>
                <w:rFonts w:hint="eastAsia" w:ascii="仿宋_GB2312" w:hAnsi="宋体" w:eastAsia="仿宋_GB2312"/>
                <w:kern w:val="0"/>
                <w:sz w:val="20"/>
                <w:szCs w:val="20"/>
              </w:rPr>
              <w:t>对泥土流失严重的及时添加，土壤不结板。不合格扣0.5分/处。</w:t>
            </w:r>
          </w:p>
        </w:tc>
        <w:tc>
          <w:tcPr>
            <w:tcW w:w="992" w:type="dxa"/>
            <w:vAlign w:val="center"/>
          </w:tcPr>
          <w:p w14:paraId="0FA9103D">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4</w:t>
            </w:r>
          </w:p>
        </w:tc>
        <w:tc>
          <w:tcPr>
            <w:tcW w:w="1134" w:type="dxa"/>
            <w:vAlign w:val="center"/>
          </w:tcPr>
          <w:p w14:paraId="63E0B87E">
            <w:pPr>
              <w:topLinePunct/>
              <w:adjustRightInd w:val="0"/>
              <w:snapToGrid w:val="0"/>
              <w:jc w:val="center"/>
              <w:rPr>
                <w:rFonts w:hint="eastAsia" w:ascii="仿宋_GB2312" w:hAnsi="宋体" w:eastAsia="仿宋_GB2312"/>
                <w:kern w:val="0"/>
                <w:sz w:val="20"/>
                <w:szCs w:val="20"/>
              </w:rPr>
            </w:pPr>
          </w:p>
        </w:tc>
        <w:tc>
          <w:tcPr>
            <w:tcW w:w="1134" w:type="dxa"/>
            <w:vAlign w:val="center"/>
          </w:tcPr>
          <w:p w14:paraId="3F12ACCA">
            <w:pPr>
              <w:topLinePunct/>
              <w:adjustRightInd w:val="0"/>
              <w:snapToGrid w:val="0"/>
              <w:jc w:val="center"/>
              <w:rPr>
                <w:rFonts w:hint="eastAsia" w:ascii="仿宋_GB2312" w:hAnsi="宋体" w:eastAsia="仿宋_GB2312"/>
                <w:kern w:val="0"/>
                <w:sz w:val="20"/>
                <w:szCs w:val="20"/>
              </w:rPr>
            </w:pPr>
          </w:p>
        </w:tc>
      </w:tr>
      <w:tr w14:paraId="07B34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963" w:type="dxa"/>
            <w:vAlign w:val="center"/>
          </w:tcPr>
          <w:p w14:paraId="01F35769">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(6)</w:t>
            </w:r>
          </w:p>
        </w:tc>
        <w:tc>
          <w:tcPr>
            <w:tcW w:w="721" w:type="dxa"/>
            <w:vMerge w:val="continue"/>
            <w:vAlign w:val="center"/>
          </w:tcPr>
          <w:p w14:paraId="6F6D09CB">
            <w:pPr>
              <w:topLinePunct/>
              <w:adjustRightInd w:val="0"/>
              <w:snapToGrid w:val="0"/>
              <w:jc w:val="center"/>
              <w:rPr>
                <w:rFonts w:hint="eastAsia" w:ascii="仿宋_GB2312" w:hAnsi="宋体" w:eastAsia="仿宋_GB2312"/>
                <w:kern w:val="0"/>
                <w:sz w:val="20"/>
                <w:szCs w:val="20"/>
              </w:rPr>
            </w:pPr>
          </w:p>
        </w:tc>
        <w:tc>
          <w:tcPr>
            <w:tcW w:w="1572" w:type="dxa"/>
            <w:vAlign w:val="center"/>
          </w:tcPr>
          <w:p w14:paraId="451DA8DC">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附属构件</w:t>
            </w:r>
          </w:p>
        </w:tc>
        <w:tc>
          <w:tcPr>
            <w:tcW w:w="3827" w:type="dxa"/>
            <w:vAlign w:val="center"/>
          </w:tcPr>
          <w:p w14:paraId="1DE3D0EC">
            <w:pPr>
              <w:topLinePunct/>
              <w:adjustRightInd w:val="0"/>
              <w:snapToGrid w:val="0"/>
              <w:rPr>
                <w:rFonts w:hint="eastAsia" w:ascii="仿宋_GB2312" w:hAnsi="宋体" w:eastAsia="仿宋_GB2312"/>
                <w:kern w:val="0"/>
                <w:sz w:val="20"/>
                <w:szCs w:val="20"/>
              </w:rPr>
            </w:pPr>
            <w:r>
              <w:rPr>
                <w:rFonts w:hint="eastAsia" w:ascii="仿宋_GB2312" w:hAnsi="宋体" w:eastAsia="仿宋_GB2312"/>
                <w:kern w:val="0"/>
                <w:sz w:val="20"/>
                <w:szCs w:val="20"/>
              </w:rPr>
              <w:t>花盆完好、整洁。不存在绿化盆槽积水、排水堵管的情况。行道树乔木按时刷白，整齐规范；护树桩、绑绳绑扎规范；地形顺适、边沟畅通、绿地范围无积水；绿化无空白路段，无缺土；外形舒展，姿态美观生长势良好，颜色正常。不合格扣0.5分/处。</w:t>
            </w:r>
          </w:p>
        </w:tc>
        <w:tc>
          <w:tcPr>
            <w:tcW w:w="992" w:type="dxa"/>
            <w:vAlign w:val="center"/>
          </w:tcPr>
          <w:p w14:paraId="47D2AEC6">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3</w:t>
            </w:r>
          </w:p>
        </w:tc>
        <w:tc>
          <w:tcPr>
            <w:tcW w:w="1134" w:type="dxa"/>
            <w:vAlign w:val="center"/>
          </w:tcPr>
          <w:p w14:paraId="7887AEE1">
            <w:pPr>
              <w:topLinePunct/>
              <w:adjustRightInd w:val="0"/>
              <w:snapToGrid w:val="0"/>
              <w:jc w:val="center"/>
              <w:rPr>
                <w:rFonts w:hint="eastAsia" w:ascii="仿宋_GB2312" w:hAnsi="宋体" w:eastAsia="仿宋_GB2312"/>
                <w:kern w:val="0"/>
                <w:sz w:val="20"/>
                <w:szCs w:val="20"/>
              </w:rPr>
            </w:pPr>
          </w:p>
        </w:tc>
        <w:tc>
          <w:tcPr>
            <w:tcW w:w="1134" w:type="dxa"/>
            <w:vAlign w:val="center"/>
          </w:tcPr>
          <w:p w14:paraId="084CDC7C">
            <w:pPr>
              <w:topLinePunct/>
              <w:adjustRightInd w:val="0"/>
              <w:snapToGrid w:val="0"/>
              <w:jc w:val="center"/>
              <w:rPr>
                <w:rFonts w:hint="eastAsia" w:ascii="仿宋_GB2312" w:hAnsi="宋体" w:eastAsia="仿宋_GB2312"/>
                <w:kern w:val="0"/>
                <w:sz w:val="20"/>
                <w:szCs w:val="20"/>
              </w:rPr>
            </w:pPr>
          </w:p>
        </w:tc>
      </w:tr>
      <w:tr w14:paraId="4DBD4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03A4AB51">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(7)</w:t>
            </w:r>
          </w:p>
        </w:tc>
        <w:tc>
          <w:tcPr>
            <w:tcW w:w="721" w:type="dxa"/>
            <w:vMerge w:val="continue"/>
            <w:vAlign w:val="center"/>
          </w:tcPr>
          <w:p w14:paraId="5F4CFDD8">
            <w:pPr>
              <w:topLinePunct/>
              <w:adjustRightInd w:val="0"/>
              <w:snapToGrid w:val="0"/>
              <w:jc w:val="center"/>
              <w:rPr>
                <w:rFonts w:hint="eastAsia" w:ascii="仿宋_GB2312" w:hAnsi="宋体" w:eastAsia="仿宋_GB2312"/>
                <w:kern w:val="0"/>
                <w:sz w:val="20"/>
                <w:szCs w:val="20"/>
              </w:rPr>
            </w:pPr>
          </w:p>
        </w:tc>
        <w:tc>
          <w:tcPr>
            <w:tcW w:w="1572" w:type="dxa"/>
            <w:vAlign w:val="center"/>
          </w:tcPr>
          <w:p w14:paraId="27B322E2">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苗圃养护</w:t>
            </w:r>
          </w:p>
        </w:tc>
        <w:tc>
          <w:tcPr>
            <w:tcW w:w="3827" w:type="dxa"/>
            <w:vAlign w:val="center"/>
          </w:tcPr>
          <w:p w14:paraId="1E4E02A8">
            <w:pPr>
              <w:topLinePunct/>
              <w:adjustRightInd w:val="0"/>
              <w:snapToGrid w:val="0"/>
              <w:rPr>
                <w:rFonts w:hint="eastAsia" w:ascii="仿宋_GB2312" w:hAnsi="宋体" w:eastAsia="仿宋_GB2312"/>
                <w:kern w:val="0"/>
                <w:sz w:val="20"/>
                <w:szCs w:val="20"/>
              </w:rPr>
            </w:pPr>
            <w:r>
              <w:rPr>
                <w:rFonts w:hint="eastAsia" w:ascii="仿宋_GB2312" w:hAnsi="宋体" w:eastAsia="仿宋_GB2312"/>
                <w:kern w:val="0"/>
                <w:sz w:val="20"/>
                <w:szCs w:val="20"/>
              </w:rPr>
              <w:t>备盆养护与高架养护同步。不合格扣0.5分/处。</w:t>
            </w:r>
          </w:p>
        </w:tc>
        <w:tc>
          <w:tcPr>
            <w:tcW w:w="992" w:type="dxa"/>
            <w:vAlign w:val="center"/>
          </w:tcPr>
          <w:p w14:paraId="31C8B69B">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3</w:t>
            </w:r>
          </w:p>
        </w:tc>
        <w:tc>
          <w:tcPr>
            <w:tcW w:w="1134" w:type="dxa"/>
            <w:vAlign w:val="center"/>
          </w:tcPr>
          <w:p w14:paraId="7C122E66">
            <w:pPr>
              <w:topLinePunct/>
              <w:adjustRightInd w:val="0"/>
              <w:snapToGrid w:val="0"/>
              <w:jc w:val="center"/>
              <w:rPr>
                <w:rFonts w:hint="eastAsia" w:ascii="仿宋_GB2312" w:hAnsi="宋体" w:eastAsia="仿宋_GB2312"/>
                <w:kern w:val="0"/>
                <w:sz w:val="20"/>
                <w:szCs w:val="20"/>
              </w:rPr>
            </w:pPr>
          </w:p>
        </w:tc>
        <w:tc>
          <w:tcPr>
            <w:tcW w:w="1134" w:type="dxa"/>
            <w:vAlign w:val="center"/>
          </w:tcPr>
          <w:p w14:paraId="608AF3F1">
            <w:pPr>
              <w:topLinePunct/>
              <w:adjustRightInd w:val="0"/>
              <w:snapToGrid w:val="0"/>
              <w:jc w:val="center"/>
              <w:rPr>
                <w:rFonts w:hint="eastAsia" w:ascii="仿宋_GB2312" w:hAnsi="宋体" w:eastAsia="仿宋_GB2312"/>
                <w:kern w:val="0"/>
                <w:sz w:val="20"/>
                <w:szCs w:val="20"/>
              </w:rPr>
            </w:pPr>
          </w:p>
        </w:tc>
      </w:tr>
      <w:tr w14:paraId="19AFF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3" w:type="dxa"/>
            <w:vAlign w:val="center"/>
          </w:tcPr>
          <w:p w14:paraId="72203C34">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（8）</w:t>
            </w:r>
          </w:p>
        </w:tc>
        <w:tc>
          <w:tcPr>
            <w:tcW w:w="2293" w:type="dxa"/>
            <w:gridSpan w:val="2"/>
            <w:vAlign w:val="center"/>
          </w:tcPr>
          <w:p w14:paraId="59B27945">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安全管理</w:t>
            </w:r>
          </w:p>
        </w:tc>
        <w:tc>
          <w:tcPr>
            <w:tcW w:w="3827" w:type="dxa"/>
            <w:vAlign w:val="center"/>
          </w:tcPr>
          <w:p w14:paraId="2EE338F0">
            <w:pPr>
              <w:topLinePunct/>
              <w:adjustRightInd w:val="0"/>
              <w:snapToGrid w:val="0"/>
              <w:jc w:val="left"/>
              <w:textAlignment w:val="center"/>
              <w:rPr>
                <w:rFonts w:eastAsia="仿宋_GB2312"/>
                <w:kern w:val="0"/>
              </w:rPr>
            </w:pPr>
            <w:r>
              <w:rPr>
                <w:rFonts w:hint="eastAsia" w:eastAsia="仿宋_GB2312"/>
                <w:kern w:val="0"/>
              </w:rPr>
              <w:t>1、道路养护现场安全标准化落实情况（5分）</w:t>
            </w:r>
          </w:p>
          <w:p w14:paraId="5E0C261A">
            <w:pPr>
              <w:topLinePunct/>
              <w:adjustRightInd w:val="0"/>
              <w:snapToGrid w:val="0"/>
              <w:jc w:val="left"/>
              <w:textAlignment w:val="center"/>
              <w:rPr>
                <w:rFonts w:eastAsia="仿宋_GB2312"/>
                <w:kern w:val="0"/>
              </w:rPr>
            </w:pPr>
            <w:r>
              <w:rPr>
                <w:rFonts w:hint="eastAsia" w:eastAsia="仿宋_GB2312"/>
                <w:kern w:val="0"/>
              </w:rPr>
              <w:t>养护单位日常养护中应严格按照《道路交通标志和标线 第4部分：作业区》（GB 5768.4-2017）、《城市道路养护维修作业安全技术规程》（DG/TJ 08-2183-2015）、《上海市高速公路和快速路养护维修安全作业指南》（沪道运安〔2021〕315号）等相关规范落实安全防范措施。设施负责人或监理单位每季对现场养护安全标准化落实情况进行检查，总分5分，扣完为止。检查考核表详见附表三。</w:t>
            </w:r>
          </w:p>
          <w:p w14:paraId="131EA843">
            <w:pPr>
              <w:topLinePunct/>
              <w:adjustRightInd w:val="0"/>
              <w:snapToGrid w:val="0"/>
              <w:jc w:val="left"/>
              <w:textAlignment w:val="center"/>
              <w:rPr>
                <w:rFonts w:eastAsia="仿宋_GB2312"/>
                <w:kern w:val="0"/>
              </w:rPr>
            </w:pPr>
            <w:r>
              <w:rPr>
                <w:rFonts w:hint="eastAsia" w:eastAsia="仿宋_GB2312"/>
                <w:kern w:val="0"/>
              </w:rPr>
              <w:t>2、市道运中心安全应急系统填报（1分）</w:t>
            </w:r>
          </w:p>
          <w:p w14:paraId="1A29CCA3">
            <w:pPr>
              <w:topLinePunct/>
              <w:adjustRightInd w:val="0"/>
              <w:snapToGrid w:val="0"/>
              <w:jc w:val="left"/>
              <w:textAlignment w:val="center"/>
              <w:rPr>
                <w:rFonts w:eastAsia="仿宋_GB2312"/>
                <w:kern w:val="0"/>
              </w:rPr>
            </w:pPr>
            <w:r>
              <w:rPr>
                <w:rFonts w:hint="eastAsia" w:eastAsia="仿宋_GB2312"/>
                <w:kern w:val="0"/>
              </w:rPr>
              <w:t>恶劣天气发生预警信息，需要填报应急物资人员出动情况信息时，养护单位应该规定时间内填报相关信息，未及时填报每次扣0.5分，总分1分，扣完为止。</w:t>
            </w:r>
          </w:p>
          <w:p w14:paraId="509C48D4">
            <w:pPr>
              <w:topLinePunct/>
              <w:adjustRightInd w:val="0"/>
              <w:snapToGrid w:val="0"/>
              <w:jc w:val="left"/>
              <w:textAlignment w:val="center"/>
              <w:rPr>
                <w:rFonts w:eastAsia="仿宋_GB2312"/>
                <w:kern w:val="0"/>
              </w:rPr>
            </w:pPr>
            <w:r>
              <w:rPr>
                <w:rFonts w:hint="eastAsia" w:eastAsia="仿宋_GB2312"/>
                <w:kern w:val="0"/>
              </w:rPr>
              <w:t>3、安全文件宣贯及学习，安全内业资料（2分）</w:t>
            </w:r>
          </w:p>
          <w:p w14:paraId="16A2CF06">
            <w:pPr>
              <w:topLinePunct/>
              <w:adjustRightInd w:val="0"/>
              <w:snapToGrid w:val="0"/>
              <w:jc w:val="left"/>
              <w:textAlignment w:val="center"/>
              <w:rPr>
                <w:rFonts w:eastAsia="仿宋_GB2312"/>
                <w:kern w:val="0"/>
              </w:rPr>
            </w:pPr>
            <w:r>
              <w:rPr>
                <w:rFonts w:hint="eastAsia" w:eastAsia="仿宋_GB2312"/>
                <w:kern w:val="0"/>
              </w:rPr>
              <w:t>养护单位对于中心下发的安全文件要对全体人员及时进行宣贯，并组织学习，并形成记录。安全内业资料需按《上海市道路运输事业发展中心安全管理工作基础台账》“沪道运事安（2020）12号”进行编制归档，文件宣贯少一份扣0.5分，内业资料不符合基础台账要求扣0.5分，总分2分，扣完为止。</w:t>
            </w:r>
          </w:p>
          <w:p w14:paraId="7EECE321">
            <w:pPr>
              <w:topLinePunct/>
              <w:adjustRightInd w:val="0"/>
              <w:snapToGrid w:val="0"/>
              <w:jc w:val="left"/>
              <w:textAlignment w:val="center"/>
              <w:rPr>
                <w:rFonts w:eastAsia="仿宋_GB2312"/>
                <w:kern w:val="0"/>
              </w:rPr>
            </w:pPr>
            <w:r>
              <w:rPr>
                <w:rFonts w:hint="eastAsia" w:eastAsia="仿宋_GB2312"/>
                <w:kern w:val="0"/>
              </w:rPr>
              <w:t>4、养护基地管理（2分）</w:t>
            </w:r>
          </w:p>
          <w:p w14:paraId="60D273E7">
            <w:pPr>
              <w:topLinePunct/>
              <w:adjustRightInd w:val="0"/>
              <w:snapToGrid w:val="0"/>
              <w:jc w:val="left"/>
              <w:textAlignment w:val="center"/>
              <w:rPr>
                <w:rFonts w:eastAsia="仿宋_GB2312"/>
                <w:kern w:val="0"/>
              </w:rPr>
            </w:pPr>
            <w:r>
              <w:rPr>
                <w:rFonts w:hint="eastAsia" w:eastAsia="仿宋_GB2312"/>
                <w:kern w:val="0"/>
              </w:rPr>
              <w:t>养护单位日常养护做好管理中心及应急基地的管理。使用桥下空间的需符合《上海市道路桥梁桥下空间内设施设置准则》；设施负责人或监理单位每季对现场养护安全标准化落实情况进行检查，总分2分，扣完为止。检查考核表详见附表四。</w:t>
            </w:r>
          </w:p>
          <w:p w14:paraId="04B55C22">
            <w:pPr>
              <w:topLinePunct/>
              <w:adjustRightInd w:val="0"/>
              <w:snapToGrid w:val="0"/>
              <w:jc w:val="left"/>
              <w:textAlignment w:val="center"/>
              <w:rPr>
                <w:rFonts w:eastAsia="仿宋_GB2312"/>
                <w:kern w:val="0"/>
              </w:rPr>
            </w:pPr>
            <w:r>
              <w:rPr>
                <w:rFonts w:hint="eastAsia" w:eastAsia="仿宋_GB2312"/>
                <w:kern w:val="0"/>
              </w:rPr>
              <w:t>5、安全生产事故</w:t>
            </w:r>
          </w:p>
          <w:p w14:paraId="3C9C3774">
            <w:pPr>
              <w:topLinePunct/>
              <w:adjustRightInd w:val="0"/>
              <w:snapToGrid w:val="0"/>
              <w:rPr>
                <w:rFonts w:hint="eastAsia" w:ascii="仿宋_GB2312" w:hAnsi="Yu Mincho" w:eastAsia="仿宋_GB2312"/>
                <w:kern w:val="0"/>
                <w:sz w:val="20"/>
                <w:szCs w:val="20"/>
              </w:rPr>
            </w:pPr>
            <w:r>
              <w:rPr>
                <w:rFonts w:hint="eastAsia" w:eastAsia="仿宋_GB2312"/>
                <w:kern w:val="0"/>
              </w:rPr>
              <w:t>养护单位要确保主体设施、附属设施运行安全，无安全隐患。日常养护项目、专项整治项目、养护基地不得发生安全生产事故。发生单次有责事故造成1人及以上死亡的扣10分，单次有责事故扣5分；总分10分，扣完为止。</w:t>
            </w:r>
            <w:r>
              <w:rPr>
                <w:rFonts w:hint="eastAsia" w:ascii="仿宋_GB2312" w:hAnsi="宋体" w:eastAsia="仿宋_GB2312"/>
                <w:kern w:val="0"/>
                <w:sz w:val="20"/>
                <w:szCs w:val="20"/>
              </w:rPr>
              <w:t>。</w:t>
            </w:r>
          </w:p>
        </w:tc>
        <w:tc>
          <w:tcPr>
            <w:tcW w:w="992" w:type="dxa"/>
            <w:vAlign w:val="center"/>
          </w:tcPr>
          <w:p w14:paraId="50083255">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10</w:t>
            </w:r>
          </w:p>
        </w:tc>
        <w:tc>
          <w:tcPr>
            <w:tcW w:w="1134" w:type="dxa"/>
            <w:vAlign w:val="center"/>
          </w:tcPr>
          <w:p w14:paraId="657FD4DF">
            <w:pPr>
              <w:topLinePunct/>
              <w:adjustRightInd w:val="0"/>
              <w:snapToGrid w:val="0"/>
              <w:jc w:val="center"/>
              <w:rPr>
                <w:rFonts w:hint="eastAsia" w:ascii="仿宋_GB2312" w:hAnsi="宋体" w:eastAsia="仿宋_GB2312"/>
                <w:kern w:val="0"/>
                <w:sz w:val="20"/>
                <w:szCs w:val="20"/>
              </w:rPr>
            </w:pPr>
          </w:p>
        </w:tc>
        <w:tc>
          <w:tcPr>
            <w:tcW w:w="1134" w:type="dxa"/>
            <w:vAlign w:val="center"/>
          </w:tcPr>
          <w:p w14:paraId="741661B9">
            <w:pPr>
              <w:topLinePunct/>
              <w:adjustRightInd w:val="0"/>
              <w:snapToGrid w:val="0"/>
              <w:jc w:val="center"/>
              <w:rPr>
                <w:rFonts w:hint="eastAsia" w:ascii="仿宋_GB2312" w:hAnsi="宋体" w:eastAsia="仿宋_GB2312"/>
                <w:kern w:val="0"/>
                <w:sz w:val="20"/>
                <w:szCs w:val="20"/>
              </w:rPr>
            </w:pPr>
          </w:p>
        </w:tc>
      </w:tr>
      <w:tr w14:paraId="05F6E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256" w:type="dxa"/>
            <w:gridSpan w:val="3"/>
            <w:vAlign w:val="center"/>
          </w:tcPr>
          <w:p w14:paraId="0F1405E4">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绿化季度</w:t>
            </w:r>
          </w:p>
          <w:p w14:paraId="0E32BAEC">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定性得分</w:t>
            </w:r>
          </w:p>
        </w:tc>
        <w:tc>
          <w:tcPr>
            <w:tcW w:w="3827" w:type="dxa"/>
            <w:vAlign w:val="center"/>
          </w:tcPr>
          <w:p w14:paraId="4B39A0F6">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（1）~（8）得分总和</w:t>
            </w:r>
          </w:p>
        </w:tc>
        <w:tc>
          <w:tcPr>
            <w:tcW w:w="992" w:type="dxa"/>
            <w:vAlign w:val="center"/>
          </w:tcPr>
          <w:p w14:paraId="7CE0E42A">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40</w:t>
            </w:r>
          </w:p>
        </w:tc>
        <w:tc>
          <w:tcPr>
            <w:tcW w:w="1134" w:type="dxa"/>
            <w:tcBorders>
              <w:bottom w:val="single" w:color="auto" w:sz="4" w:space="0"/>
            </w:tcBorders>
            <w:vAlign w:val="center"/>
          </w:tcPr>
          <w:p w14:paraId="5A9E278D">
            <w:pPr>
              <w:topLinePunct/>
              <w:adjustRightInd w:val="0"/>
              <w:snapToGrid w:val="0"/>
              <w:jc w:val="center"/>
              <w:rPr>
                <w:rFonts w:hint="eastAsia" w:ascii="仿宋_GB2312" w:hAnsi="宋体" w:eastAsia="仿宋_GB2312"/>
                <w:kern w:val="0"/>
                <w:sz w:val="20"/>
                <w:szCs w:val="20"/>
              </w:rPr>
            </w:pPr>
          </w:p>
        </w:tc>
        <w:tc>
          <w:tcPr>
            <w:tcW w:w="1134" w:type="dxa"/>
            <w:tcBorders>
              <w:bottom w:val="single" w:color="auto" w:sz="4" w:space="0"/>
            </w:tcBorders>
            <w:vAlign w:val="center"/>
          </w:tcPr>
          <w:p w14:paraId="006035A7">
            <w:pPr>
              <w:topLinePunct/>
              <w:adjustRightInd w:val="0"/>
              <w:snapToGrid w:val="0"/>
              <w:jc w:val="center"/>
              <w:rPr>
                <w:rFonts w:hint="eastAsia" w:ascii="仿宋_GB2312" w:hAnsi="宋体" w:eastAsia="仿宋_GB2312"/>
                <w:kern w:val="0"/>
                <w:sz w:val="20"/>
                <w:szCs w:val="20"/>
              </w:rPr>
            </w:pPr>
          </w:p>
        </w:tc>
      </w:tr>
    </w:tbl>
    <w:p w14:paraId="6C9248B1">
      <w:pPr>
        <w:topLinePunct/>
        <w:adjustRightInd w:val="0"/>
        <w:snapToGrid w:val="0"/>
        <w:spacing w:line="500" w:lineRule="exact"/>
        <w:rPr>
          <w:rFonts w:ascii="Times New Roman" w:hAnsi="Times New Roman"/>
          <w:szCs w:val="21"/>
        </w:rPr>
      </w:pPr>
      <w:r>
        <w:rPr>
          <w:rFonts w:ascii="Times New Roman" w:hAnsi="Times New Roman"/>
          <w:szCs w:val="21"/>
        </w:rPr>
        <w:br w:type="page"/>
      </w:r>
    </w:p>
    <w:tbl>
      <w:tblPr>
        <w:tblStyle w:val="38"/>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
        <w:gridCol w:w="856"/>
        <w:gridCol w:w="859"/>
        <w:gridCol w:w="4242"/>
        <w:gridCol w:w="1556"/>
        <w:gridCol w:w="708"/>
      </w:tblGrid>
      <w:tr w14:paraId="4CFA2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8647" w:type="dxa"/>
            <w:gridSpan w:val="6"/>
            <w:vAlign w:val="center"/>
          </w:tcPr>
          <w:p w14:paraId="42FBB276">
            <w:pPr>
              <w:topLinePunct/>
              <w:adjustRightInd w:val="0"/>
              <w:snapToGrid w:val="0"/>
              <w:jc w:val="center"/>
              <w:textAlignment w:val="center"/>
              <w:rPr>
                <w:rFonts w:eastAsia="仿宋_GB2312"/>
                <w:kern w:val="0"/>
              </w:rPr>
            </w:pPr>
            <w:r>
              <w:rPr>
                <w:rFonts w:hint="eastAsia" w:ascii="黑体" w:hAnsi="黑体" w:eastAsia="黑体"/>
                <w:kern w:val="0"/>
                <w:sz w:val="28"/>
                <w:szCs w:val="32"/>
              </w:rPr>
              <w:t>表8 市管城市道路绿化养护季度专项考核评分表</w:t>
            </w:r>
          </w:p>
        </w:tc>
      </w:tr>
      <w:tr w14:paraId="666F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83" w:type="dxa"/>
            <w:gridSpan w:val="4"/>
            <w:vMerge w:val="restart"/>
            <w:vAlign w:val="center"/>
          </w:tcPr>
          <w:p w14:paraId="346FA753">
            <w:pPr>
              <w:topLinePunct/>
              <w:adjustRightInd w:val="0"/>
              <w:snapToGrid w:val="0"/>
              <w:jc w:val="left"/>
              <w:textAlignment w:val="center"/>
              <w:rPr>
                <w:rFonts w:eastAsia="仿宋_GB2312"/>
                <w:kern w:val="0"/>
              </w:rPr>
            </w:pPr>
            <w:r>
              <w:rPr>
                <w:rFonts w:eastAsia="仿宋_GB2312"/>
                <w:kern w:val="0"/>
              </w:rPr>
              <w:t xml:space="preserve">考核设施：                   </w:t>
            </w:r>
          </w:p>
        </w:tc>
        <w:tc>
          <w:tcPr>
            <w:tcW w:w="2264" w:type="dxa"/>
            <w:gridSpan w:val="2"/>
            <w:vAlign w:val="center"/>
          </w:tcPr>
          <w:p w14:paraId="3A72F00C">
            <w:pPr>
              <w:topLinePunct/>
              <w:adjustRightInd w:val="0"/>
              <w:snapToGrid w:val="0"/>
              <w:jc w:val="left"/>
              <w:textAlignment w:val="center"/>
              <w:rPr>
                <w:rFonts w:eastAsia="仿宋_GB2312"/>
                <w:kern w:val="0"/>
              </w:rPr>
            </w:pPr>
            <w:r>
              <w:rPr>
                <w:rFonts w:eastAsia="仿宋_GB2312"/>
                <w:kern w:val="0"/>
              </w:rPr>
              <w:t>检查日期：</w:t>
            </w:r>
          </w:p>
        </w:tc>
      </w:tr>
      <w:tr w14:paraId="5208F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83" w:type="dxa"/>
            <w:gridSpan w:val="4"/>
            <w:vMerge w:val="continue"/>
            <w:vAlign w:val="center"/>
          </w:tcPr>
          <w:p w14:paraId="6A512184">
            <w:pPr>
              <w:topLinePunct/>
              <w:adjustRightInd w:val="0"/>
              <w:snapToGrid w:val="0"/>
              <w:jc w:val="left"/>
              <w:textAlignment w:val="center"/>
              <w:rPr>
                <w:rFonts w:eastAsia="仿宋_GB2312"/>
                <w:kern w:val="0"/>
              </w:rPr>
            </w:pPr>
          </w:p>
        </w:tc>
        <w:tc>
          <w:tcPr>
            <w:tcW w:w="2264" w:type="dxa"/>
            <w:gridSpan w:val="2"/>
            <w:vAlign w:val="center"/>
          </w:tcPr>
          <w:p w14:paraId="457FC72E">
            <w:pPr>
              <w:topLinePunct/>
              <w:adjustRightInd w:val="0"/>
              <w:snapToGrid w:val="0"/>
              <w:jc w:val="left"/>
              <w:textAlignment w:val="center"/>
              <w:rPr>
                <w:rFonts w:eastAsia="仿宋_GB2312"/>
                <w:kern w:val="0"/>
              </w:rPr>
            </w:pPr>
            <w:r>
              <w:rPr>
                <w:rFonts w:eastAsia="仿宋_GB2312"/>
                <w:kern w:val="0"/>
              </w:rPr>
              <w:t>检查人员：</w:t>
            </w:r>
          </w:p>
        </w:tc>
      </w:tr>
      <w:tr w14:paraId="54BA2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Align w:val="center"/>
          </w:tcPr>
          <w:p w14:paraId="3DFA0C54">
            <w:pPr>
              <w:topLinePunct/>
              <w:adjustRightInd w:val="0"/>
              <w:snapToGrid w:val="0"/>
              <w:jc w:val="left"/>
              <w:textAlignment w:val="center"/>
              <w:rPr>
                <w:rFonts w:eastAsia="仿宋_GB2312"/>
                <w:kern w:val="0"/>
              </w:rPr>
            </w:pPr>
            <w:r>
              <w:rPr>
                <w:rFonts w:eastAsia="仿宋_GB2312"/>
                <w:kern w:val="0"/>
              </w:rPr>
              <w:t>分类</w:t>
            </w:r>
          </w:p>
        </w:tc>
        <w:tc>
          <w:tcPr>
            <w:tcW w:w="856" w:type="dxa"/>
            <w:vAlign w:val="center"/>
          </w:tcPr>
          <w:p w14:paraId="3CB7CADB">
            <w:pPr>
              <w:topLinePunct/>
              <w:adjustRightInd w:val="0"/>
              <w:snapToGrid w:val="0"/>
              <w:jc w:val="left"/>
              <w:textAlignment w:val="center"/>
              <w:rPr>
                <w:rFonts w:eastAsia="仿宋_GB2312"/>
                <w:kern w:val="0"/>
              </w:rPr>
            </w:pPr>
            <w:r>
              <w:rPr>
                <w:rFonts w:eastAsia="仿宋_GB2312"/>
                <w:kern w:val="0"/>
              </w:rPr>
              <w:t>序号</w:t>
            </w:r>
          </w:p>
        </w:tc>
        <w:tc>
          <w:tcPr>
            <w:tcW w:w="859" w:type="dxa"/>
            <w:vAlign w:val="center"/>
          </w:tcPr>
          <w:p w14:paraId="71EE1350">
            <w:pPr>
              <w:topLinePunct/>
              <w:adjustRightInd w:val="0"/>
              <w:snapToGrid w:val="0"/>
              <w:jc w:val="left"/>
              <w:textAlignment w:val="center"/>
              <w:rPr>
                <w:rFonts w:eastAsia="仿宋_GB2312"/>
                <w:kern w:val="0"/>
              </w:rPr>
            </w:pPr>
            <w:r>
              <w:rPr>
                <w:rFonts w:eastAsia="仿宋_GB2312"/>
                <w:kern w:val="0"/>
              </w:rPr>
              <w:t>项目</w:t>
            </w:r>
          </w:p>
        </w:tc>
        <w:tc>
          <w:tcPr>
            <w:tcW w:w="4242" w:type="dxa"/>
            <w:vAlign w:val="center"/>
          </w:tcPr>
          <w:p w14:paraId="5567E982">
            <w:pPr>
              <w:topLinePunct/>
              <w:adjustRightInd w:val="0"/>
              <w:snapToGrid w:val="0"/>
              <w:jc w:val="left"/>
              <w:textAlignment w:val="center"/>
              <w:rPr>
                <w:rFonts w:eastAsia="仿宋_GB2312"/>
                <w:kern w:val="0"/>
              </w:rPr>
            </w:pPr>
            <w:r>
              <w:rPr>
                <w:rFonts w:eastAsia="仿宋_GB2312"/>
                <w:kern w:val="0"/>
              </w:rPr>
              <w:t>评分标准</w:t>
            </w:r>
          </w:p>
        </w:tc>
        <w:tc>
          <w:tcPr>
            <w:tcW w:w="1556" w:type="dxa"/>
            <w:vAlign w:val="center"/>
          </w:tcPr>
          <w:p w14:paraId="0E760D67">
            <w:pPr>
              <w:topLinePunct/>
              <w:adjustRightInd w:val="0"/>
              <w:snapToGrid w:val="0"/>
              <w:jc w:val="left"/>
              <w:textAlignment w:val="center"/>
              <w:rPr>
                <w:rFonts w:eastAsia="仿宋_GB2312"/>
                <w:kern w:val="0"/>
              </w:rPr>
            </w:pPr>
            <w:r>
              <w:rPr>
                <w:rFonts w:eastAsia="仿宋_GB2312"/>
                <w:kern w:val="0"/>
              </w:rPr>
              <w:t>标准分</w:t>
            </w:r>
          </w:p>
        </w:tc>
        <w:tc>
          <w:tcPr>
            <w:tcW w:w="708" w:type="dxa"/>
            <w:vAlign w:val="center"/>
          </w:tcPr>
          <w:p w14:paraId="61ECCE7B">
            <w:pPr>
              <w:topLinePunct/>
              <w:adjustRightInd w:val="0"/>
              <w:snapToGrid w:val="0"/>
              <w:jc w:val="left"/>
              <w:textAlignment w:val="center"/>
              <w:rPr>
                <w:rFonts w:eastAsia="仿宋_GB2312"/>
                <w:kern w:val="0"/>
              </w:rPr>
            </w:pPr>
            <w:r>
              <w:rPr>
                <w:rFonts w:eastAsia="仿宋_GB2312"/>
                <w:kern w:val="0"/>
              </w:rPr>
              <w:t>考核得分</w:t>
            </w:r>
          </w:p>
        </w:tc>
      </w:tr>
      <w:tr w14:paraId="67534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Merge w:val="restart"/>
            <w:vAlign w:val="center"/>
          </w:tcPr>
          <w:p w14:paraId="04C43A40">
            <w:pPr>
              <w:topLinePunct/>
              <w:adjustRightInd w:val="0"/>
              <w:snapToGrid w:val="0"/>
              <w:jc w:val="left"/>
              <w:textAlignment w:val="center"/>
              <w:rPr>
                <w:rFonts w:eastAsia="仿宋_GB2312"/>
                <w:kern w:val="0"/>
              </w:rPr>
            </w:pPr>
            <w:r>
              <w:rPr>
                <w:rFonts w:eastAsia="仿宋_GB2312"/>
                <w:kern w:val="0"/>
              </w:rPr>
              <w:t>扣分</w:t>
            </w:r>
          </w:p>
        </w:tc>
        <w:tc>
          <w:tcPr>
            <w:tcW w:w="856" w:type="dxa"/>
            <w:vAlign w:val="center"/>
          </w:tcPr>
          <w:p w14:paraId="76FB5AC6">
            <w:pPr>
              <w:topLinePunct/>
              <w:adjustRightInd w:val="0"/>
              <w:snapToGrid w:val="0"/>
              <w:jc w:val="center"/>
              <w:textAlignment w:val="center"/>
              <w:rPr>
                <w:rFonts w:eastAsia="仿宋_GB2312"/>
                <w:kern w:val="0"/>
              </w:rPr>
            </w:pPr>
            <w:r>
              <w:rPr>
                <w:rFonts w:eastAsia="仿宋_GB2312"/>
                <w:kern w:val="0"/>
              </w:rPr>
              <w:t>1</w:t>
            </w:r>
          </w:p>
        </w:tc>
        <w:tc>
          <w:tcPr>
            <w:tcW w:w="859" w:type="dxa"/>
            <w:vMerge w:val="restart"/>
            <w:vAlign w:val="center"/>
          </w:tcPr>
          <w:p w14:paraId="23D6609B">
            <w:pPr>
              <w:topLinePunct/>
              <w:adjustRightInd w:val="0"/>
              <w:snapToGrid w:val="0"/>
              <w:jc w:val="left"/>
              <w:textAlignment w:val="center"/>
              <w:rPr>
                <w:rFonts w:eastAsia="仿宋_GB2312"/>
                <w:kern w:val="0"/>
              </w:rPr>
            </w:pPr>
            <w:r>
              <w:rPr>
                <w:rFonts w:eastAsia="仿宋_GB2312"/>
                <w:kern w:val="0"/>
              </w:rPr>
              <w:t>管理要求</w:t>
            </w:r>
          </w:p>
          <w:p w14:paraId="7244EBC1">
            <w:pPr>
              <w:topLinePunct/>
              <w:adjustRightInd w:val="0"/>
              <w:snapToGrid w:val="0"/>
              <w:jc w:val="left"/>
              <w:textAlignment w:val="center"/>
              <w:rPr>
                <w:rFonts w:eastAsia="仿宋_GB2312"/>
                <w:kern w:val="0"/>
              </w:rPr>
            </w:pPr>
            <w:r>
              <w:rPr>
                <w:rFonts w:eastAsia="仿宋_GB2312"/>
                <w:kern w:val="0"/>
              </w:rPr>
              <w:t>执行</w:t>
            </w:r>
          </w:p>
        </w:tc>
        <w:tc>
          <w:tcPr>
            <w:tcW w:w="4242" w:type="dxa"/>
            <w:vAlign w:val="center"/>
          </w:tcPr>
          <w:p w14:paraId="591535F6">
            <w:pPr>
              <w:topLinePunct/>
              <w:adjustRightInd w:val="0"/>
              <w:snapToGrid w:val="0"/>
              <w:jc w:val="left"/>
              <w:textAlignment w:val="center"/>
              <w:rPr>
                <w:rFonts w:eastAsia="仿宋_GB2312"/>
                <w:kern w:val="0"/>
              </w:rPr>
            </w:pPr>
            <w:r>
              <w:rPr>
                <w:rFonts w:eastAsia="仿宋_GB2312"/>
                <w:kern w:val="0"/>
              </w:rPr>
              <w:t>社会舆论和信访投诉：</w:t>
            </w:r>
          </w:p>
          <w:p w14:paraId="1DC3F91C">
            <w:pPr>
              <w:topLinePunct/>
              <w:adjustRightInd w:val="0"/>
              <w:snapToGrid w:val="0"/>
              <w:jc w:val="left"/>
              <w:textAlignment w:val="center"/>
              <w:rPr>
                <w:rFonts w:eastAsia="仿宋_GB2312"/>
                <w:kern w:val="0"/>
              </w:rPr>
            </w:pPr>
            <w:r>
              <w:rPr>
                <w:rFonts w:eastAsia="仿宋_GB2312"/>
                <w:kern w:val="0"/>
              </w:rPr>
              <w:t>未在规定时间内及时妥善处理人民来信、来电、来访等诉求工单和社会投诉，每次扣2分；</w:t>
            </w:r>
          </w:p>
          <w:p w14:paraId="02385961">
            <w:pPr>
              <w:topLinePunct/>
              <w:adjustRightInd w:val="0"/>
              <w:snapToGrid w:val="0"/>
              <w:jc w:val="left"/>
              <w:textAlignment w:val="center"/>
              <w:rPr>
                <w:rFonts w:eastAsia="仿宋_GB2312"/>
                <w:kern w:val="0"/>
              </w:rPr>
            </w:pPr>
            <w:r>
              <w:rPr>
                <w:rFonts w:eastAsia="仿宋_GB2312"/>
                <w:kern w:val="0"/>
              </w:rPr>
              <w:t>行业、业主、上级部门点名批评或书面通报，每次扣3分；</w:t>
            </w:r>
          </w:p>
          <w:p w14:paraId="46C9862D">
            <w:pPr>
              <w:topLinePunct/>
              <w:adjustRightInd w:val="0"/>
              <w:snapToGrid w:val="0"/>
              <w:jc w:val="left"/>
              <w:textAlignment w:val="center"/>
              <w:rPr>
                <w:rFonts w:eastAsia="仿宋_GB2312"/>
                <w:kern w:val="0"/>
              </w:rPr>
            </w:pPr>
            <w:r>
              <w:rPr>
                <w:rFonts w:eastAsia="仿宋_GB2312"/>
                <w:kern w:val="0"/>
              </w:rPr>
              <w:t>有责并被社会新闻媒体公开负面报道或造成严重舆情影响，每次扣5分。</w:t>
            </w:r>
          </w:p>
        </w:tc>
        <w:tc>
          <w:tcPr>
            <w:tcW w:w="1556" w:type="dxa"/>
            <w:vAlign w:val="center"/>
          </w:tcPr>
          <w:p w14:paraId="3C2D3F12">
            <w:pPr>
              <w:topLinePunct/>
              <w:adjustRightInd w:val="0"/>
              <w:snapToGrid w:val="0"/>
              <w:jc w:val="left"/>
              <w:textAlignment w:val="center"/>
              <w:rPr>
                <w:rFonts w:eastAsia="仿宋_GB2312"/>
                <w:kern w:val="0"/>
              </w:rPr>
            </w:pPr>
            <w:r>
              <w:rPr>
                <w:rFonts w:eastAsia="仿宋_GB2312"/>
                <w:kern w:val="0"/>
              </w:rPr>
              <w:t>扣2~5分</w:t>
            </w:r>
            <w:r>
              <w:rPr>
                <w:rFonts w:hint="eastAsia" w:eastAsia="仿宋_GB2312"/>
                <w:kern w:val="0"/>
              </w:rPr>
              <w:t>/次</w:t>
            </w:r>
          </w:p>
        </w:tc>
        <w:tc>
          <w:tcPr>
            <w:tcW w:w="708" w:type="dxa"/>
            <w:vAlign w:val="center"/>
          </w:tcPr>
          <w:p w14:paraId="2ED97466">
            <w:pPr>
              <w:topLinePunct/>
              <w:adjustRightInd w:val="0"/>
              <w:snapToGrid w:val="0"/>
              <w:jc w:val="left"/>
              <w:textAlignment w:val="center"/>
              <w:rPr>
                <w:rFonts w:eastAsia="仿宋_GB2312"/>
                <w:kern w:val="0"/>
              </w:rPr>
            </w:pPr>
          </w:p>
        </w:tc>
      </w:tr>
      <w:tr w14:paraId="78B15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Merge w:val="continue"/>
            <w:vAlign w:val="center"/>
          </w:tcPr>
          <w:p w14:paraId="009453B6">
            <w:pPr>
              <w:topLinePunct/>
              <w:adjustRightInd w:val="0"/>
              <w:snapToGrid w:val="0"/>
              <w:jc w:val="left"/>
              <w:textAlignment w:val="center"/>
              <w:rPr>
                <w:rFonts w:eastAsia="仿宋_GB2312"/>
                <w:kern w:val="0"/>
              </w:rPr>
            </w:pPr>
          </w:p>
        </w:tc>
        <w:tc>
          <w:tcPr>
            <w:tcW w:w="856" w:type="dxa"/>
            <w:vAlign w:val="center"/>
          </w:tcPr>
          <w:p w14:paraId="555C2E14">
            <w:pPr>
              <w:topLinePunct/>
              <w:adjustRightInd w:val="0"/>
              <w:snapToGrid w:val="0"/>
              <w:jc w:val="center"/>
              <w:textAlignment w:val="center"/>
              <w:rPr>
                <w:rFonts w:eastAsia="仿宋_GB2312"/>
                <w:kern w:val="0"/>
              </w:rPr>
            </w:pPr>
            <w:r>
              <w:rPr>
                <w:rFonts w:eastAsia="仿宋_GB2312"/>
                <w:kern w:val="0"/>
              </w:rPr>
              <w:t>2</w:t>
            </w:r>
          </w:p>
        </w:tc>
        <w:tc>
          <w:tcPr>
            <w:tcW w:w="859" w:type="dxa"/>
            <w:vMerge w:val="continue"/>
            <w:vAlign w:val="center"/>
          </w:tcPr>
          <w:p w14:paraId="4C60A19D">
            <w:pPr>
              <w:topLinePunct/>
              <w:adjustRightInd w:val="0"/>
              <w:snapToGrid w:val="0"/>
              <w:jc w:val="center"/>
              <w:textAlignment w:val="center"/>
              <w:rPr>
                <w:rFonts w:eastAsia="仿宋_GB2312"/>
                <w:kern w:val="0"/>
              </w:rPr>
            </w:pPr>
          </w:p>
        </w:tc>
        <w:tc>
          <w:tcPr>
            <w:tcW w:w="4242" w:type="dxa"/>
            <w:vAlign w:val="center"/>
          </w:tcPr>
          <w:p w14:paraId="3224DC01">
            <w:pPr>
              <w:topLinePunct/>
              <w:adjustRightInd w:val="0"/>
              <w:snapToGrid w:val="0"/>
              <w:jc w:val="left"/>
              <w:textAlignment w:val="center"/>
              <w:rPr>
                <w:rFonts w:eastAsia="仿宋_GB2312"/>
                <w:kern w:val="0"/>
              </w:rPr>
            </w:pPr>
            <w:r>
              <w:rPr>
                <w:rFonts w:eastAsia="仿宋_GB2312"/>
                <w:kern w:val="0"/>
              </w:rPr>
              <w:t>人员车辆和设施资源管理：</w:t>
            </w:r>
          </w:p>
          <w:p w14:paraId="4B18CF48">
            <w:pPr>
              <w:topLinePunct/>
              <w:adjustRightInd w:val="0"/>
              <w:snapToGrid w:val="0"/>
              <w:jc w:val="left"/>
              <w:textAlignment w:val="center"/>
              <w:rPr>
                <w:rFonts w:eastAsia="仿宋_GB2312"/>
                <w:kern w:val="0"/>
              </w:rPr>
            </w:pPr>
            <w:r>
              <w:rPr>
                <w:rFonts w:eastAsia="仿宋_GB2312"/>
                <w:kern w:val="0"/>
              </w:rPr>
              <w:t>项目管理人员、车辆设备和材料未按招标文件所规定的数量、规格配置到位，每次每项扣1分；</w:t>
            </w:r>
          </w:p>
          <w:p w14:paraId="11D4CA7C">
            <w:pPr>
              <w:topLinePunct/>
              <w:adjustRightInd w:val="0"/>
              <w:snapToGrid w:val="0"/>
              <w:jc w:val="left"/>
              <w:textAlignment w:val="center"/>
              <w:rPr>
                <w:rFonts w:eastAsia="仿宋_GB2312"/>
                <w:kern w:val="0"/>
              </w:rPr>
            </w:pPr>
            <w:r>
              <w:rPr>
                <w:rFonts w:eastAsia="仿宋_GB2312"/>
                <w:kern w:val="0"/>
              </w:rPr>
              <w:t>擅自出租、出借、挪用设施设备和违规使用或侵占附属设施、应标资源，造成恶劣影响，每次扣5分。</w:t>
            </w:r>
          </w:p>
        </w:tc>
        <w:tc>
          <w:tcPr>
            <w:tcW w:w="1556" w:type="dxa"/>
            <w:vAlign w:val="center"/>
          </w:tcPr>
          <w:p w14:paraId="2B68BBE8">
            <w:pPr>
              <w:topLinePunct/>
              <w:adjustRightInd w:val="0"/>
              <w:snapToGrid w:val="0"/>
              <w:jc w:val="left"/>
              <w:textAlignment w:val="center"/>
              <w:rPr>
                <w:rFonts w:eastAsia="仿宋_GB2312"/>
                <w:kern w:val="0"/>
              </w:rPr>
            </w:pPr>
            <w:r>
              <w:rPr>
                <w:rFonts w:eastAsia="仿宋_GB2312"/>
                <w:kern w:val="0"/>
              </w:rPr>
              <w:t>扣1~5</w:t>
            </w:r>
            <w:r>
              <w:rPr>
                <w:rFonts w:hint="eastAsia" w:eastAsia="仿宋_GB2312"/>
                <w:kern w:val="0"/>
              </w:rPr>
              <w:t>分/次</w:t>
            </w:r>
          </w:p>
        </w:tc>
        <w:tc>
          <w:tcPr>
            <w:tcW w:w="708" w:type="dxa"/>
            <w:vAlign w:val="center"/>
          </w:tcPr>
          <w:p w14:paraId="6BFD8A58">
            <w:pPr>
              <w:topLinePunct/>
              <w:adjustRightInd w:val="0"/>
              <w:snapToGrid w:val="0"/>
              <w:jc w:val="left"/>
              <w:textAlignment w:val="center"/>
              <w:rPr>
                <w:rFonts w:eastAsia="仿宋_GB2312"/>
                <w:kern w:val="0"/>
              </w:rPr>
            </w:pPr>
          </w:p>
        </w:tc>
      </w:tr>
      <w:tr w14:paraId="6F489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Merge w:val="continue"/>
            <w:vAlign w:val="center"/>
          </w:tcPr>
          <w:p w14:paraId="460BEF56">
            <w:pPr>
              <w:topLinePunct/>
              <w:adjustRightInd w:val="0"/>
              <w:snapToGrid w:val="0"/>
              <w:jc w:val="left"/>
              <w:textAlignment w:val="center"/>
              <w:rPr>
                <w:rFonts w:eastAsia="仿宋_GB2312"/>
                <w:kern w:val="0"/>
              </w:rPr>
            </w:pPr>
          </w:p>
        </w:tc>
        <w:tc>
          <w:tcPr>
            <w:tcW w:w="856" w:type="dxa"/>
            <w:vAlign w:val="center"/>
          </w:tcPr>
          <w:p w14:paraId="52E97DA6">
            <w:pPr>
              <w:topLinePunct/>
              <w:adjustRightInd w:val="0"/>
              <w:snapToGrid w:val="0"/>
              <w:jc w:val="center"/>
              <w:textAlignment w:val="center"/>
              <w:rPr>
                <w:rFonts w:eastAsia="仿宋_GB2312"/>
                <w:kern w:val="0"/>
              </w:rPr>
            </w:pPr>
            <w:r>
              <w:rPr>
                <w:rFonts w:eastAsia="仿宋_GB2312"/>
                <w:kern w:val="0"/>
              </w:rPr>
              <w:t>3</w:t>
            </w:r>
          </w:p>
        </w:tc>
        <w:tc>
          <w:tcPr>
            <w:tcW w:w="859" w:type="dxa"/>
            <w:vMerge w:val="continue"/>
            <w:vAlign w:val="center"/>
          </w:tcPr>
          <w:p w14:paraId="6286271D">
            <w:pPr>
              <w:topLinePunct/>
              <w:adjustRightInd w:val="0"/>
              <w:snapToGrid w:val="0"/>
              <w:jc w:val="center"/>
              <w:textAlignment w:val="center"/>
              <w:rPr>
                <w:rFonts w:eastAsia="仿宋_GB2312"/>
                <w:kern w:val="0"/>
              </w:rPr>
            </w:pPr>
          </w:p>
        </w:tc>
        <w:tc>
          <w:tcPr>
            <w:tcW w:w="4242" w:type="dxa"/>
            <w:vAlign w:val="center"/>
          </w:tcPr>
          <w:p w14:paraId="4F976D42">
            <w:pPr>
              <w:topLinePunct/>
              <w:adjustRightInd w:val="0"/>
              <w:snapToGrid w:val="0"/>
              <w:jc w:val="left"/>
              <w:textAlignment w:val="center"/>
              <w:rPr>
                <w:rFonts w:eastAsia="仿宋_GB2312"/>
                <w:kern w:val="0"/>
              </w:rPr>
            </w:pPr>
            <w:r>
              <w:rPr>
                <w:rFonts w:eastAsia="仿宋_GB2312"/>
                <w:kern w:val="0"/>
              </w:rPr>
              <w:t>重要条款响应：</w:t>
            </w:r>
          </w:p>
          <w:p w14:paraId="7F476220">
            <w:pPr>
              <w:topLinePunct/>
              <w:adjustRightInd w:val="0"/>
              <w:snapToGrid w:val="0"/>
              <w:jc w:val="left"/>
              <w:textAlignment w:val="center"/>
              <w:rPr>
                <w:rFonts w:eastAsia="仿宋_GB2312"/>
                <w:kern w:val="0"/>
              </w:rPr>
            </w:pPr>
            <w:r>
              <w:rPr>
                <w:rFonts w:eastAsia="仿宋_GB2312"/>
                <w:kern w:val="0"/>
              </w:rPr>
              <w:t>在网签合同生成后的15日内（国家法定节假日除外），未提交软件版投标报价文件，每次扣2分；</w:t>
            </w:r>
          </w:p>
          <w:p w14:paraId="708C6E11">
            <w:pPr>
              <w:topLinePunct/>
              <w:adjustRightInd w:val="0"/>
              <w:snapToGrid w:val="0"/>
              <w:jc w:val="left"/>
              <w:textAlignment w:val="center"/>
              <w:rPr>
                <w:rFonts w:eastAsia="仿宋_GB2312"/>
                <w:kern w:val="0"/>
              </w:rPr>
            </w:pPr>
            <w:r>
              <w:rPr>
                <w:rFonts w:eastAsia="仿宋_GB2312"/>
                <w:kern w:val="0"/>
              </w:rPr>
              <w:t>未严格按照养护资金监管相关管理办法及要求提供相关依据、配合实施请款工作，每次扣2分。</w:t>
            </w:r>
          </w:p>
        </w:tc>
        <w:tc>
          <w:tcPr>
            <w:tcW w:w="1556" w:type="dxa"/>
            <w:vAlign w:val="center"/>
          </w:tcPr>
          <w:p w14:paraId="56677989">
            <w:pPr>
              <w:topLinePunct/>
              <w:adjustRightInd w:val="0"/>
              <w:snapToGrid w:val="0"/>
              <w:jc w:val="left"/>
              <w:textAlignment w:val="center"/>
              <w:rPr>
                <w:rFonts w:eastAsia="仿宋_GB2312"/>
                <w:kern w:val="0"/>
              </w:rPr>
            </w:pPr>
            <w:r>
              <w:rPr>
                <w:rFonts w:eastAsia="仿宋_GB2312"/>
                <w:kern w:val="0"/>
              </w:rPr>
              <w:t>扣2分</w:t>
            </w:r>
            <w:r>
              <w:rPr>
                <w:rFonts w:hint="eastAsia" w:eastAsia="仿宋_GB2312"/>
                <w:kern w:val="0"/>
              </w:rPr>
              <w:t>/次</w:t>
            </w:r>
          </w:p>
        </w:tc>
        <w:tc>
          <w:tcPr>
            <w:tcW w:w="708" w:type="dxa"/>
            <w:vAlign w:val="center"/>
          </w:tcPr>
          <w:p w14:paraId="5AAE643F">
            <w:pPr>
              <w:topLinePunct/>
              <w:adjustRightInd w:val="0"/>
              <w:snapToGrid w:val="0"/>
              <w:jc w:val="left"/>
              <w:textAlignment w:val="center"/>
              <w:rPr>
                <w:rFonts w:eastAsia="仿宋_GB2312"/>
                <w:kern w:val="0"/>
              </w:rPr>
            </w:pPr>
          </w:p>
        </w:tc>
      </w:tr>
      <w:tr w14:paraId="26B3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Merge w:val="continue"/>
            <w:vAlign w:val="center"/>
          </w:tcPr>
          <w:p w14:paraId="4F1B0175">
            <w:pPr>
              <w:topLinePunct/>
              <w:adjustRightInd w:val="0"/>
              <w:snapToGrid w:val="0"/>
              <w:jc w:val="left"/>
              <w:textAlignment w:val="center"/>
              <w:rPr>
                <w:rFonts w:eastAsia="仿宋_GB2312"/>
                <w:kern w:val="0"/>
              </w:rPr>
            </w:pPr>
          </w:p>
        </w:tc>
        <w:tc>
          <w:tcPr>
            <w:tcW w:w="856" w:type="dxa"/>
            <w:vAlign w:val="center"/>
          </w:tcPr>
          <w:p w14:paraId="5A13D1A0">
            <w:pPr>
              <w:topLinePunct/>
              <w:adjustRightInd w:val="0"/>
              <w:snapToGrid w:val="0"/>
              <w:jc w:val="center"/>
              <w:textAlignment w:val="center"/>
              <w:rPr>
                <w:rFonts w:eastAsia="仿宋_GB2312"/>
                <w:kern w:val="0"/>
              </w:rPr>
            </w:pPr>
            <w:r>
              <w:rPr>
                <w:rFonts w:eastAsia="仿宋_GB2312"/>
                <w:kern w:val="0"/>
              </w:rPr>
              <w:t>4</w:t>
            </w:r>
          </w:p>
        </w:tc>
        <w:tc>
          <w:tcPr>
            <w:tcW w:w="859" w:type="dxa"/>
            <w:vMerge w:val="continue"/>
            <w:vAlign w:val="center"/>
          </w:tcPr>
          <w:p w14:paraId="455DC516">
            <w:pPr>
              <w:topLinePunct/>
              <w:adjustRightInd w:val="0"/>
              <w:snapToGrid w:val="0"/>
              <w:jc w:val="center"/>
              <w:textAlignment w:val="center"/>
              <w:rPr>
                <w:rFonts w:eastAsia="仿宋_GB2312"/>
                <w:kern w:val="0"/>
              </w:rPr>
            </w:pPr>
          </w:p>
        </w:tc>
        <w:tc>
          <w:tcPr>
            <w:tcW w:w="4242" w:type="dxa"/>
            <w:vAlign w:val="center"/>
          </w:tcPr>
          <w:p w14:paraId="395EAE4A">
            <w:pPr>
              <w:topLinePunct/>
              <w:adjustRightInd w:val="0"/>
              <w:snapToGrid w:val="0"/>
              <w:jc w:val="left"/>
              <w:textAlignment w:val="center"/>
              <w:rPr>
                <w:rFonts w:eastAsia="仿宋_GB2312"/>
                <w:kern w:val="0"/>
              </w:rPr>
            </w:pPr>
            <w:r>
              <w:rPr>
                <w:rFonts w:eastAsia="仿宋_GB2312"/>
                <w:kern w:val="0"/>
              </w:rPr>
              <w:t>智慧化工作推进：</w:t>
            </w:r>
          </w:p>
          <w:p w14:paraId="005129CC">
            <w:pPr>
              <w:topLinePunct/>
              <w:adjustRightInd w:val="0"/>
              <w:snapToGrid w:val="0"/>
              <w:jc w:val="left"/>
              <w:textAlignment w:val="center"/>
              <w:rPr>
                <w:rFonts w:eastAsia="仿宋_GB2312"/>
                <w:kern w:val="0"/>
              </w:rPr>
            </w:pPr>
            <w:r>
              <w:rPr>
                <w:rFonts w:eastAsia="仿宋_GB2312"/>
                <w:kern w:val="0"/>
              </w:rPr>
              <w:t>未配置智能巡检设备或智能巡检设备未处于良好运行状态的，每次扣1分；</w:t>
            </w:r>
          </w:p>
          <w:p w14:paraId="44BD3394">
            <w:pPr>
              <w:topLinePunct/>
              <w:adjustRightInd w:val="0"/>
              <w:snapToGrid w:val="0"/>
              <w:jc w:val="left"/>
              <w:textAlignment w:val="center"/>
              <w:rPr>
                <w:rFonts w:eastAsia="仿宋_GB2312"/>
                <w:kern w:val="0"/>
              </w:rPr>
            </w:pPr>
            <w:r>
              <w:rPr>
                <w:rFonts w:eastAsia="仿宋_GB2312"/>
                <w:kern w:val="0"/>
              </w:rPr>
              <w:t>未按要求响应落实智慧化、信息化管理工作，由云路或中心发现未按要求报送数据、附件，每次扣2分。</w:t>
            </w:r>
          </w:p>
        </w:tc>
        <w:tc>
          <w:tcPr>
            <w:tcW w:w="1556" w:type="dxa"/>
            <w:vAlign w:val="center"/>
          </w:tcPr>
          <w:p w14:paraId="29707EA6">
            <w:pPr>
              <w:topLinePunct/>
              <w:adjustRightInd w:val="0"/>
              <w:snapToGrid w:val="0"/>
              <w:jc w:val="left"/>
              <w:textAlignment w:val="center"/>
              <w:rPr>
                <w:rFonts w:eastAsia="仿宋_GB2312"/>
                <w:kern w:val="0"/>
              </w:rPr>
            </w:pPr>
            <w:r>
              <w:rPr>
                <w:rFonts w:eastAsia="仿宋_GB2312"/>
                <w:kern w:val="0"/>
              </w:rPr>
              <w:t>扣1~2分</w:t>
            </w:r>
            <w:r>
              <w:rPr>
                <w:rFonts w:hint="eastAsia" w:eastAsia="仿宋_GB2312"/>
                <w:kern w:val="0"/>
              </w:rPr>
              <w:t>/次</w:t>
            </w:r>
          </w:p>
        </w:tc>
        <w:tc>
          <w:tcPr>
            <w:tcW w:w="708" w:type="dxa"/>
            <w:vAlign w:val="center"/>
          </w:tcPr>
          <w:p w14:paraId="5BB76BE9">
            <w:pPr>
              <w:topLinePunct/>
              <w:adjustRightInd w:val="0"/>
              <w:snapToGrid w:val="0"/>
              <w:jc w:val="left"/>
              <w:textAlignment w:val="center"/>
              <w:rPr>
                <w:rFonts w:eastAsia="仿宋_GB2312"/>
                <w:kern w:val="0"/>
              </w:rPr>
            </w:pPr>
          </w:p>
        </w:tc>
      </w:tr>
      <w:tr w14:paraId="7358F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Merge w:val="continue"/>
            <w:vAlign w:val="center"/>
          </w:tcPr>
          <w:p w14:paraId="58DACC72">
            <w:pPr>
              <w:topLinePunct/>
              <w:adjustRightInd w:val="0"/>
              <w:snapToGrid w:val="0"/>
              <w:jc w:val="left"/>
              <w:textAlignment w:val="center"/>
              <w:rPr>
                <w:rFonts w:eastAsia="仿宋_GB2312"/>
                <w:kern w:val="0"/>
              </w:rPr>
            </w:pPr>
          </w:p>
        </w:tc>
        <w:tc>
          <w:tcPr>
            <w:tcW w:w="856" w:type="dxa"/>
            <w:vAlign w:val="center"/>
          </w:tcPr>
          <w:p w14:paraId="5CE20D93">
            <w:pPr>
              <w:topLinePunct/>
              <w:adjustRightInd w:val="0"/>
              <w:snapToGrid w:val="0"/>
              <w:jc w:val="center"/>
              <w:textAlignment w:val="center"/>
              <w:rPr>
                <w:rFonts w:eastAsia="仿宋_GB2312"/>
                <w:kern w:val="0"/>
              </w:rPr>
            </w:pPr>
            <w:r>
              <w:rPr>
                <w:rFonts w:eastAsia="仿宋_GB2312"/>
                <w:kern w:val="0"/>
              </w:rPr>
              <w:t>5</w:t>
            </w:r>
          </w:p>
        </w:tc>
        <w:tc>
          <w:tcPr>
            <w:tcW w:w="859" w:type="dxa"/>
            <w:vAlign w:val="center"/>
          </w:tcPr>
          <w:p w14:paraId="672FAA46">
            <w:pPr>
              <w:topLinePunct/>
              <w:adjustRightInd w:val="0"/>
              <w:snapToGrid w:val="0"/>
              <w:jc w:val="center"/>
              <w:textAlignment w:val="center"/>
              <w:rPr>
                <w:rFonts w:eastAsia="仿宋_GB2312"/>
                <w:kern w:val="0"/>
              </w:rPr>
            </w:pPr>
            <w:r>
              <w:rPr>
                <w:rFonts w:eastAsia="仿宋_GB2312"/>
                <w:kern w:val="0"/>
              </w:rPr>
              <w:t>养护作业</w:t>
            </w:r>
          </w:p>
        </w:tc>
        <w:tc>
          <w:tcPr>
            <w:tcW w:w="4242" w:type="dxa"/>
            <w:vAlign w:val="center"/>
          </w:tcPr>
          <w:p w14:paraId="2AA43285">
            <w:pPr>
              <w:topLinePunct/>
              <w:adjustRightInd w:val="0"/>
              <w:snapToGrid w:val="0"/>
              <w:jc w:val="left"/>
              <w:textAlignment w:val="center"/>
              <w:rPr>
                <w:rFonts w:eastAsia="仿宋_GB2312"/>
                <w:kern w:val="0"/>
              </w:rPr>
            </w:pPr>
            <w:r>
              <w:rPr>
                <w:rFonts w:eastAsia="仿宋_GB2312"/>
                <w:kern w:val="0"/>
              </w:rPr>
              <w:t>对市道运中心委托的第三方单位（专业检测、专业网格化巡查等）发现的问题、病害或缺陷，未及时整改或采取措施，每次扣1分；</w:t>
            </w:r>
          </w:p>
          <w:p w14:paraId="7832F227">
            <w:pPr>
              <w:topLinePunct/>
              <w:adjustRightInd w:val="0"/>
              <w:snapToGrid w:val="0"/>
              <w:jc w:val="left"/>
              <w:textAlignment w:val="center"/>
              <w:rPr>
                <w:rFonts w:eastAsia="仿宋_GB2312"/>
                <w:kern w:val="0"/>
              </w:rPr>
            </w:pPr>
            <w:r>
              <w:rPr>
                <w:rFonts w:eastAsia="仿宋_GB2312"/>
                <w:kern w:val="0"/>
              </w:rPr>
              <w:t>未针对各类检测报告中指出的问题进行有效处置，造成设施病害缺陷加剧、人员财产损失或影响正常通行，每次扣3分。</w:t>
            </w:r>
          </w:p>
        </w:tc>
        <w:tc>
          <w:tcPr>
            <w:tcW w:w="1556" w:type="dxa"/>
            <w:vAlign w:val="center"/>
          </w:tcPr>
          <w:p w14:paraId="5580BA34">
            <w:pPr>
              <w:topLinePunct/>
              <w:adjustRightInd w:val="0"/>
              <w:snapToGrid w:val="0"/>
              <w:jc w:val="left"/>
              <w:textAlignment w:val="center"/>
              <w:rPr>
                <w:rFonts w:eastAsia="仿宋_GB2312"/>
                <w:kern w:val="0"/>
              </w:rPr>
            </w:pPr>
            <w:r>
              <w:rPr>
                <w:rFonts w:eastAsia="仿宋_GB2312"/>
                <w:kern w:val="0"/>
              </w:rPr>
              <w:t>扣1~3分</w:t>
            </w:r>
            <w:r>
              <w:rPr>
                <w:rFonts w:hint="eastAsia" w:eastAsia="仿宋_GB2312"/>
                <w:kern w:val="0"/>
              </w:rPr>
              <w:t>/次</w:t>
            </w:r>
          </w:p>
        </w:tc>
        <w:tc>
          <w:tcPr>
            <w:tcW w:w="708" w:type="dxa"/>
            <w:vAlign w:val="center"/>
          </w:tcPr>
          <w:p w14:paraId="4674366E">
            <w:pPr>
              <w:topLinePunct/>
              <w:adjustRightInd w:val="0"/>
              <w:snapToGrid w:val="0"/>
              <w:jc w:val="left"/>
              <w:textAlignment w:val="center"/>
              <w:rPr>
                <w:rFonts w:eastAsia="仿宋_GB2312"/>
                <w:kern w:val="0"/>
              </w:rPr>
            </w:pPr>
          </w:p>
        </w:tc>
      </w:tr>
      <w:tr w14:paraId="0A4AA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Merge w:val="continue"/>
            <w:vAlign w:val="center"/>
          </w:tcPr>
          <w:p w14:paraId="36E6ED23">
            <w:pPr>
              <w:topLinePunct/>
              <w:adjustRightInd w:val="0"/>
              <w:snapToGrid w:val="0"/>
              <w:jc w:val="left"/>
              <w:textAlignment w:val="center"/>
              <w:rPr>
                <w:rFonts w:eastAsia="仿宋_GB2312"/>
                <w:kern w:val="0"/>
              </w:rPr>
            </w:pPr>
          </w:p>
        </w:tc>
        <w:tc>
          <w:tcPr>
            <w:tcW w:w="856" w:type="dxa"/>
            <w:vAlign w:val="center"/>
          </w:tcPr>
          <w:p w14:paraId="54242484">
            <w:pPr>
              <w:topLinePunct/>
              <w:adjustRightInd w:val="0"/>
              <w:snapToGrid w:val="0"/>
              <w:jc w:val="center"/>
              <w:textAlignment w:val="center"/>
              <w:rPr>
                <w:rFonts w:eastAsia="仿宋_GB2312"/>
                <w:kern w:val="0"/>
              </w:rPr>
            </w:pPr>
            <w:r>
              <w:rPr>
                <w:rFonts w:eastAsia="仿宋_GB2312"/>
                <w:kern w:val="0"/>
              </w:rPr>
              <w:t>6</w:t>
            </w:r>
          </w:p>
        </w:tc>
        <w:tc>
          <w:tcPr>
            <w:tcW w:w="859" w:type="dxa"/>
            <w:vAlign w:val="center"/>
          </w:tcPr>
          <w:p w14:paraId="0999BCC4">
            <w:pPr>
              <w:topLinePunct/>
              <w:adjustRightInd w:val="0"/>
              <w:snapToGrid w:val="0"/>
              <w:jc w:val="center"/>
              <w:textAlignment w:val="center"/>
              <w:rPr>
                <w:rFonts w:eastAsia="仿宋_GB2312"/>
                <w:kern w:val="0"/>
              </w:rPr>
            </w:pPr>
            <w:r>
              <w:rPr>
                <w:rFonts w:eastAsia="仿宋_GB2312"/>
                <w:kern w:val="0"/>
              </w:rPr>
              <w:t>运维保障</w:t>
            </w:r>
          </w:p>
        </w:tc>
        <w:tc>
          <w:tcPr>
            <w:tcW w:w="4242" w:type="dxa"/>
            <w:vAlign w:val="center"/>
          </w:tcPr>
          <w:p w14:paraId="69EB5263">
            <w:pPr>
              <w:topLinePunct/>
              <w:adjustRightInd w:val="0"/>
              <w:snapToGrid w:val="0"/>
              <w:jc w:val="left"/>
              <w:textAlignment w:val="center"/>
              <w:rPr>
                <w:rFonts w:eastAsia="仿宋_GB2312"/>
                <w:kern w:val="0"/>
              </w:rPr>
            </w:pPr>
            <w:r>
              <w:rPr>
                <w:rFonts w:eastAsia="仿宋_GB2312"/>
                <w:kern w:val="0"/>
              </w:rPr>
              <w:t>未能按时、保质保量完成重大任务或指令要求，每次扣3分；</w:t>
            </w:r>
          </w:p>
          <w:p w14:paraId="03C4A019">
            <w:pPr>
              <w:topLinePunct/>
              <w:adjustRightInd w:val="0"/>
              <w:snapToGrid w:val="0"/>
              <w:jc w:val="left"/>
              <w:textAlignment w:val="center"/>
              <w:rPr>
                <w:rFonts w:eastAsia="仿宋_GB2312"/>
                <w:kern w:val="0"/>
              </w:rPr>
            </w:pPr>
            <w:r>
              <w:rPr>
                <w:rFonts w:eastAsia="仿宋_GB2312"/>
                <w:kern w:val="0"/>
              </w:rPr>
              <w:t>风险隐患、险情或重大事件存在不报、瞒报、误报、处置不力，造成设施人员财产损失或严重影响交通运行，每次扣3分。</w:t>
            </w:r>
          </w:p>
        </w:tc>
        <w:tc>
          <w:tcPr>
            <w:tcW w:w="1556" w:type="dxa"/>
            <w:vAlign w:val="center"/>
          </w:tcPr>
          <w:p w14:paraId="293E836D">
            <w:pPr>
              <w:topLinePunct/>
              <w:adjustRightInd w:val="0"/>
              <w:snapToGrid w:val="0"/>
              <w:jc w:val="left"/>
              <w:textAlignment w:val="center"/>
              <w:rPr>
                <w:rFonts w:eastAsia="仿宋_GB2312"/>
                <w:kern w:val="0"/>
              </w:rPr>
            </w:pPr>
            <w:r>
              <w:rPr>
                <w:rFonts w:eastAsia="仿宋_GB2312"/>
                <w:kern w:val="0"/>
              </w:rPr>
              <w:t>扣3分</w:t>
            </w:r>
            <w:r>
              <w:rPr>
                <w:rFonts w:hint="eastAsia" w:eastAsia="仿宋_GB2312"/>
                <w:kern w:val="0"/>
              </w:rPr>
              <w:t>/次</w:t>
            </w:r>
          </w:p>
        </w:tc>
        <w:tc>
          <w:tcPr>
            <w:tcW w:w="708" w:type="dxa"/>
            <w:vAlign w:val="center"/>
          </w:tcPr>
          <w:p w14:paraId="5E44A3BE">
            <w:pPr>
              <w:topLinePunct/>
              <w:adjustRightInd w:val="0"/>
              <w:snapToGrid w:val="0"/>
              <w:jc w:val="left"/>
              <w:textAlignment w:val="center"/>
              <w:rPr>
                <w:rFonts w:eastAsia="仿宋_GB2312"/>
                <w:kern w:val="0"/>
              </w:rPr>
            </w:pPr>
          </w:p>
        </w:tc>
      </w:tr>
      <w:tr w14:paraId="23789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26" w:type="dxa"/>
            <w:vMerge w:val="continue"/>
            <w:vAlign w:val="center"/>
          </w:tcPr>
          <w:p w14:paraId="6C8B876F">
            <w:pPr>
              <w:topLinePunct/>
              <w:adjustRightInd w:val="0"/>
              <w:snapToGrid w:val="0"/>
              <w:jc w:val="left"/>
              <w:textAlignment w:val="center"/>
              <w:rPr>
                <w:rFonts w:eastAsia="仿宋_GB2312"/>
                <w:kern w:val="0"/>
              </w:rPr>
            </w:pPr>
          </w:p>
        </w:tc>
        <w:tc>
          <w:tcPr>
            <w:tcW w:w="856" w:type="dxa"/>
            <w:vAlign w:val="center"/>
          </w:tcPr>
          <w:p w14:paraId="3FD78DE8">
            <w:pPr>
              <w:topLinePunct/>
              <w:adjustRightInd w:val="0"/>
              <w:snapToGrid w:val="0"/>
              <w:jc w:val="center"/>
              <w:textAlignment w:val="center"/>
              <w:rPr>
                <w:rFonts w:eastAsia="仿宋_GB2312"/>
                <w:kern w:val="0"/>
              </w:rPr>
            </w:pPr>
            <w:r>
              <w:rPr>
                <w:rFonts w:eastAsia="仿宋_GB2312"/>
                <w:kern w:val="0"/>
              </w:rPr>
              <w:t>7</w:t>
            </w:r>
          </w:p>
        </w:tc>
        <w:tc>
          <w:tcPr>
            <w:tcW w:w="859" w:type="dxa"/>
            <w:vAlign w:val="center"/>
          </w:tcPr>
          <w:p w14:paraId="4B6BDC5D">
            <w:pPr>
              <w:topLinePunct/>
              <w:adjustRightInd w:val="0"/>
              <w:snapToGrid w:val="0"/>
              <w:jc w:val="center"/>
              <w:textAlignment w:val="center"/>
              <w:rPr>
                <w:rFonts w:eastAsia="仿宋_GB2312"/>
                <w:kern w:val="0"/>
              </w:rPr>
            </w:pPr>
            <w:r>
              <w:rPr>
                <w:rFonts w:eastAsia="仿宋_GB2312"/>
                <w:kern w:val="0"/>
              </w:rPr>
              <w:t>安全生产和应急处置</w:t>
            </w:r>
          </w:p>
        </w:tc>
        <w:tc>
          <w:tcPr>
            <w:tcW w:w="4242" w:type="dxa"/>
            <w:vAlign w:val="center"/>
          </w:tcPr>
          <w:p w14:paraId="03F1C8E2">
            <w:pPr>
              <w:topLinePunct/>
              <w:adjustRightInd w:val="0"/>
              <w:snapToGrid w:val="0"/>
              <w:jc w:val="left"/>
              <w:textAlignment w:val="center"/>
              <w:rPr>
                <w:rFonts w:eastAsia="仿宋_GB2312"/>
                <w:kern w:val="0"/>
              </w:rPr>
            </w:pPr>
            <w:r>
              <w:rPr>
                <w:rFonts w:eastAsia="仿宋_GB2312"/>
                <w:kern w:val="0"/>
              </w:rPr>
              <w:t>因养护运维作业质量不达标，影响设施运行安全或交通运行、受到行业主管部门严肃批评问责或引起社会舆论反响等，每次扣3分；</w:t>
            </w:r>
          </w:p>
          <w:p w14:paraId="6DB44B8F">
            <w:pPr>
              <w:topLinePunct/>
              <w:adjustRightInd w:val="0"/>
              <w:snapToGrid w:val="0"/>
              <w:jc w:val="left"/>
              <w:textAlignment w:val="center"/>
              <w:rPr>
                <w:rFonts w:eastAsia="仿宋_GB2312"/>
                <w:kern w:val="0"/>
              </w:rPr>
            </w:pPr>
            <w:r>
              <w:rPr>
                <w:rFonts w:eastAsia="仿宋_GB2312"/>
                <w:kern w:val="0"/>
              </w:rPr>
              <w:t>因养护运维管理或作业行为的缺失、违规，造成设施人员财产损失或导致第三方发生安全事故、引起次生灾害，每次扣5分；</w:t>
            </w:r>
          </w:p>
          <w:p w14:paraId="38C39566">
            <w:pPr>
              <w:topLinePunct/>
              <w:adjustRightInd w:val="0"/>
              <w:snapToGrid w:val="0"/>
              <w:jc w:val="left"/>
              <w:textAlignment w:val="center"/>
              <w:rPr>
                <w:rFonts w:eastAsia="仿宋_GB2312"/>
                <w:kern w:val="0"/>
              </w:rPr>
            </w:pPr>
            <w:r>
              <w:rPr>
                <w:rFonts w:eastAsia="仿宋_GB2312"/>
                <w:kern w:val="0"/>
              </w:rPr>
              <w:t>发生有责生产安全事故，造成人员死亡、重伤或致使设施出现重大结构安全隐患，每次扣10分。</w:t>
            </w:r>
          </w:p>
        </w:tc>
        <w:tc>
          <w:tcPr>
            <w:tcW w:w="1556" w:type="dxa"/>
            <w:vAlign w:val="center"/>
          </w:tcPr>
          <w:p w14:paraId="42474BFC">
            <w:pPr>
              <w:topLinePunct/>
              <w:adjustRightInd w:val="0"/>
              <w:snapToGrid w:val="0"/>
              <w:jc w:val="left"/>
              <w:textAlignment w:val="center"/>
              <w:rPr>
                <w:rFonts w:eastAsia="仿宋_GB2312"/>
                <w:kern w:val="0"/>
              </w:rPr>
            </w:pPr>
            <w:r>
              <w:rPr>
                <w:rFonts w:eastAsia="仿宋_GB2312"/>
                <w:kern w:val="0"/>
              </w:rPr>
              <w:t>扣3~10分</w:t>
            </w:r>
            <w:r>
              <w:rPr>
                <w:rFonts w:hint="eastAsia" w:eastAsia="仿宋_GB2312"/>
                <w:kern w:val="0"/>
              </w:rPr>
              <w:t>/次</w:t>
            </w:r>
          </w:p>
        </w:tc>
        <w:tc>
          <w:tcPr>
            <w:tcW w:w="708" w:type="dxa"/>
            <w:vAlign w:val="center"/>
          </w:tcPr>
          <w:p w14:paraId="443AEBE5">
            <w:pPr>
              <w:topLinePunct/>
              <w:adjustRightInd w:val="0"/>
              <w:snapToGrid w:val="0"/>
              <w:jc w:val="left"/>
              <w:textAlignment w:val="center"/>
              <w:rPr>
                <w:rFonts w:eastAsia="仿宋_GB2312"/>
                <w:kern w:val="0"/>
              </w:rPr>
            </w:pPr>
          </w:p>
        </w:tc>
      </w:tr>
      <w:tr w14:paraId="4F8BB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426" w:type="dxa"/>
            <w:vMerge w:val="continue"/>
          </w:tcPr>
          <w:p w14:paraId="648D4CF8">
            <w:pPr>
              <w:topLinePunct/>
              <w:adjustRightInd w:val="0"/>
              <w:snapToGrid w:val="0"/>
              <w:jc w:val="left"/>
              <w:textAlignment w:val="center"/>
              <w:rPr>
                <w:rFonts w:eastAsia="仿宋_GB2312"/>
                <w:kern w:val="0"/>
              </w:rPr>
            </w:pPr>
          </w:p>
        </w:tc>
        <w:tc>
          <w:tcPr>
            <w:tcW w:w="856" w:type="dxa"/>
            <w:vAlign w:val="center"/>
          </w:tcPr>
          <w:p w14:paraId="1BCEBB82">
            <w:pPr>
              <w:topLinePunct/>
              <w:adjustRightInd w:val="0"/>
              <w:snapToGrid w:val="0"/>
              <w:jc w:val="center"/>
              <w:textAlignment w:val="center"/>
              <w:rPr>
                <w:rFonts w:eastAsia="仿宋_GB2312"/>
                <w:kern w:val="0"/>
              </w:rPr>
            </w:pPr>
            <w:r>
              <w:rPr>
                <w:rFonts w:eastAsia="仿宋_GB2312"/>
                <w:kern w:val="0"/>
              </w:rPr>
              <w:t>8</w:t>
            </w:r>
          </w:p>
        </w:tc>
        <w:tc>
          <w:tcPr>
            <w:tcW w:w="859" w:type="dxa"/>
            <w:vMerge w:val="restart"/>
            <w:vAlign w:val="center"/>
          </w:tcPr>
          <w:p w14:paraId="64FC35E7">
            <w:pPr>
              <w:topLinePunct/>
              <w:adjustRightInd w:val="0"/>
              <w:snapToGrid w:val="0"/>
              <w:jc w:val="center"/>
              <w:textAlignment w:val="center"/>
              <w:rPr>
                <w:rFonts w:eastAsia="仿宋_GB2312"/>
                <w:kern w:val="0"/>
              </w:rPr>
            </w:pPr>
            <w:r>
              <w:rPr>
                <w:rFonts w:hint="eastAsia" w:eastAsia="仿宋_GB2312"/>
                <w:kern w:val="0"/>
              </w:rPr>
              <w:t>宣传与公众服务</w:t>
            </w:r>
          </w:p>
        </w:tc>
        <w:tc>
          <w:tcPr>
            <w:tcW w:w="4242" w:type="dxa"/>
            <w:vAlign w:val="center"/>
          </w:tcPr>
          <w:p w14:paraId="3AACCA4A">
            <w:pPr>
              <w:topLinePunct/>
              <w:adjustRightInd w:val="0"/>
              <w:snapToGrid w:val="0"/>
              <w:jc w:val="left"/>
              <w:textAlignment w:val="center"/>
              <w:rPr>
                <w:rFonts w:eastAsia="仿宋_GB2312"/>
                <w:kern w:val="0"/>
              </w:rPr>
            </w:pPr>
            <w:r>
              <w:rPr>
                <w:rFonts w:eastAsia="仿宋_GB2312"/>
                <w:kern w:val="0"/>
              </w:rPr>
              <w:t>通讯稿被上海市道运中心微信公众号采纳。</w:t>
            </w:r>
          </w:p>
        </w:tc>
        <w:tc>
          <w:tcPr>
            <w:tcW w:w="1556" w:type="dxa"/>
            <w:vAlign w:val="center"/>
          </w:tcPr>
          <w:p w14:paraId="11D95DE4">
            <w:pPr>
              <w:topLinePunct/>
              <w:adjustRightInd w:val="0"/>
              <w:snapToGrid w:val="0"/>
              <w:jc w:val="left"/>
              <w:textAlignment w:val="center"/>
              <w:rPr>
                <w:rFonts w:eastAsia="仿宋_GB2312"/>
                <w:kern w:val="0"/>
              </w:rPr>
            </w:pPr>
            <w:r>
              <w:rPr>
                <w:rFonts w:eastAsia="仿宋_GB2312"/>
                <w:kern w:val="0"/>
              </w:rPr>
              <w:t>加2分</w:t>
            </w:r>
            <w:r>
              <w:rPr>
                <w:rFonts w:hint="eastAsia" w:eastAsia="仿宋_GB2312"/>
                <w:kern w:val="0"/>
              </w:rPr>
              <w:t>/次</w:t>
            </w:r>
          </w:p>
        </w:tc>
        <w:tc>
          <w:tcPr>
            <w:tcW w:w="708" w:type="dxa"/>
            <w:vAlign w:val="center"/>
          </w:tcPr>
          <w:p w14:paraId="5AF3A19C">
            <w:pPr>
              <w:topLinePunct/>
              <w:adjustRightInd w:val="0"/>
              <w:snapToGrid w:val="0"/>
              <w:jc w:val="left"/>
              <w:textAlignment w:val="center"/>
              <w:rPr>
                <w:rFonts w:eastAsia="仿宋_GB2312"/>
                <w:kern w:val="0"/>
              </w:rPr>
            </w:pPr>
          </w:p>
        </w:tc>
      </w:tr>
      <w:tr w14:paraId="16FA9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3DF20F6D">
            <w:pPr>
              <w:topLinePunct/>
              <w:adjustRightInd w:val="0"/>
              <w:snapToGrid w:val="0"/>
              <w:jc w:val="left"/>
              <w:textAlignment w:val="center"/>
              <w:rPr>
                <w:rFonts w:eastAsia="仿宋_GB2312"/>
                <w:kern w:val="0"/>
              </w:rPr>
            </w:pPr>
          </w:p>
        </w:tc>
        <w:tc>
          <w:tcPr>
            <w:tcW w:w="856" w:type="dxa"/>
            <w:vAlign w:val="center"/>
          </w:tcPr>
          <w:p w14:paraId="0A46A0B8">
            <w:pPr>
              <w:topLinePunct/>
              <w:adjustRightInd w:val="0"/>
              <w:snapToGrid w:val="0"/>
              <w:jc w:val="center"/>
              <w:textAlignment w:val="center"/>
              <w:rPr>
                <w:rFonts w:eastAsia="仿宋_GB2312"/>
                <w:kern w:val="0"/>
              </w:rPr>
            </w:pPr>
            <w:r>
              <w:rPr>
                <w:rFonts w:eastAsia="仿宋_GB2312"/>
                <w:kern w:val="0"/>
              </w:rPr>
              <w:t>9</w:t>
            </w:r>
          </w:p>
        </w:tc>
        <w:tc>
          <w:tcPr>
            <w:tcW w:w="859" w:type="dxa"/>
            <w:vMerge w:val="continue"/>
            <w:vAlign w:val="center"/>
          </w:tcPr>
          <w:p w14:paraId="52905755">
            <w:pPr>
              <w:topLinePunct/>
              <w:adjustRightInd w:val="0"/>
              <w:snapToGrid w:val="0"/>
              <w:jc w:val="center"/>
              <w:textAlignment w:val="center"/>
              <w:rPr>
                <w:rFonts w:eastAsia="仿宋_GB2312"/>
                <w:kern w:val="0"/>
              </w:rPr>
            </w:pPr>
          </w:p>
        </w:tc>
        <w:tc>
          <w:tcPr>
            <w:tcW w:w="4242" w:type="dxa"/>
            <w:vAlign w:val="center"/>
          </w:tcPr>
          <w:p w14:paraId="06734354">
            <w:pPr>
              <w:topLinePunct/>
              <w:adjustRightInd w:val="0"/>
              <w:snapToGrid w:val="0"/>
              <w:jc w:val="left"/>
              <w:textAlignment w:val="center"/>
              <w:rPr>
                <w:rFonts w:eastAsia="仿宋_GB2312"/>
                <w:kern w:val="0"/>
              </w:rPr>
            </w:pPr>
            <w:r>
              <w:rPr>
                <w:rFonts w:eastAsia="仿宋_GB2312"/>
                <w:kern w:val="0"/>
              </w:rPr>
              <w:t>妥善处理人民来信、来电、来访等诉求工单和社会投诉，被录用至热线处置工单优秀案例。</w:t>
            </w:r>
          </w:p>
        </w:tc>
        <w:tc>
          <w:tcPr>
            <w:tcW w:w="1556" w:type="dxa"/>
            <w:vAlign w:val="center"/>
          </w:tcPr>
          <w:p w14:paraId="0EEAB321">
            <w:pPr>
              <w:topLinePunct/>
              <w:adjustRightInd w:val="0"/>
              <w:snapToGrid w:val="0"/>
              <w:jc w:val="left"/>
              <w:textAlignment w:val="center"/>
              <w:rPr>
                <w:rFonts w:eastAsia="仿宋_GB2312"/>
                <w:kern w:val="0"/>
              </w:rPr>
            </w:pPr>
            <w:r>
              <w:rPr>
                <w:rFonts w:eastAsia="仿宋_GB2312"/>
                <w:kern w:val="0"/>
              </w:rPr>
              <w:t>加2分</w:t>
            </w:r>
            <w:r>
              <w:rPr>
                <w:rFonts w:hint="eastAsia" w:eastAsia="仿宋_GB2312"/>
                <w:kern w:val="0"/>
              </w:rPr>
              <w:t>/次</w:t>
            </w:r>
          </w:p>
        </w:tc>
        <w:tc>
          <w:tcPr>
            <w:tcW w:w="708" w:type="dxa"/>
            <w:vAlign w:val="center"/>
          </w:tcPr>
          <w:p w14:paraId="5CE6A2A6">
            <w:pPr>
              <w:topLinePunct/>
              <w:adjustRightInd w:val="0"/>
              <w:snapToGrid w:val="0"/>
              <w:jc w:val="left"/>
              <w:textAlignment w:val="center"/>
              <w:rPr>
                <w:rFonts w:eastAsia="仿宋_GB2312"/>
                <w:kern w:val="0"/>
              </w:rPr>
            </w:pPr>
          </w:p>
        </w:tc>
      </w:tr>
      <w:tr w14:paraId="55567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2606A1A2">
            <w:pPr>
              <w:topLinePunct/>
              <w:adjustRightInd w:val="0"/>
              <w:snapToGrid w:val="0"/>
              <w:jc w:val="left"/>
              <w:textAlignment w:val="center"/>
              <w:rPr>
                <w:rFonts w:eastAsia="仿宋_GB2312"/>
                <w:kern w:val="0"/>
              </w:rPr>
            </w:pPr>
          </w:p>
        </w:tc>
        <w:tc>
          <w:tcPr>
            <w:tcW w:w="856" w:type="dxa"/>
            <w:vAlign w:val="center"/>
          </w:tcPr>
          <w:p w14:paraId="6773875C">
            <w:pPr>
              <w:topLinePunct/>
              <w:adjustRightInd w:val="0"/>
              <w:snapToGrid w:val="0"/>
              <w:jc w:val="center"/>
              <w:textAlignment w:val="center"/>
              <w:rPr>
                <w:rFonts w:eastAsia="仿宋_GB2312"/>
                <w:kern w:val="0"/>
              </w:rPr>
            </w:pPr>
            <w:r>
              <w:rPr>
                <w:rFonts w:eastAsia="仿宋_GB2312"/>
                <w:kern w:val="0"/>
              </w:rPr>
              <w:t>10</w:t>
            </w:r>
          </w:p>
        </w:tc>
        <w:tc>
          <w:tcPr>
            <w:tcW w:w="859" w:type="dxa"/>
            <w:vMerge w:val="restart"/>
            <w:vAlign w:val="center"/>
          </w:tcPr>
          <w:p w14:paraId="561CC783">
            <w:pPr>
              <w:topLinePunct/>
              <w:adjustRightInd w:val="0"/>
              <w:snapToGrid w:val="0"/>
              <w:jc w:val="center"/>
              <w:textAlignment w:val="center"/>
              <w:rPr>
                <w:rFonts w:eastAsia="仿宋_GB2312"/>
                <w:kern w:val="0"/>
              </w:rPr>
            </w:pPr>
            <w:r>
              <w:rPr>
                <w:rFonts w:eastAsia="仿宋_GB2312"/>
                <w:kern w:val="0"/>
              </w:rPr>
              <w:t>行业示范带头作用</w:t>
            </w:r>
          </w:p>
        </w:tc>
        <w:tc>
          <w:tcPr>
            <w:tcW w:w="4242" w:type="dxa"/>
            <w:vAlign w:val="center"/>
          </w:tcPr>
          <w:p w14:paraId="291EC66E">
            <w:pPr>
              <w:topLinePunct/>
              <w:adjustRightInd w:val="0"/>
              <w:snapToGrid w:val="0"/>
              <w:jc w:val="left"/>
              <w:textAlignment w:val="center"/>
              <w:rPr>
                <w:rFonts w:eastAsia="仿宋_GB2312"/>
                <w:kern w:val="0"/>
              </w:rPr>
            </w:pPr>
            <w:r>
              <w:rPr>
                <w:rFonts w:eastAsia="仿宋_GB2312"/>
                <w:kern w:val="0"/>
              </w:rPr>
              <w:t>当</w:t>
            </w:r>
            <w:r>
              <w:rPr>
                <w:rFonts w:hint="eastAsia" w:eastAsia="仿宋_GB2312"/>
                <w:kern w:val="0"/>
              </w:rPr>
              <w:t>季度</w:t>
            </w:r>
            <w:r>
              <w:rPr>
                <w:rFonts w:eastAsia="仿宋_GB2312"/>
                <w:kern w:val="0"/>
              </w:rPr>
              <w:t>在各类专项评比中获奖。</w:t>
            </w:r>
          </w:p>
        </w:tc>
        <w:tc>
          <w:tcPr>
            <w:tcW w:w="1556" w:type="dxa"/>
            <w:vAlign w:val="center"/>
          </w:tcPr>
          <w:p w14:paraId="1CAF3BA3">
            <w:pPr>
              <w:topLinePunct/>
              <w:adjustRightInd w:val="0"/>
              <w:snapToGrid w:val="0"/>
              <w:jc w:val="left"/>
              <w:textAlignment w:val="center"/>
              <w:rPr>
                <w:rFonts w:eastAsia="仿宋_GB2312"/>
                <w:kern w:val="0"/>
              </w:rPr>
            </w:pPr>
            <w:r>
              <w:rPr>
                <w:rFonts w:eastAsia="仿宋_GB2312"/>
                <w:kern w:val="0"/>
              </w:rPr>
              <w:t>一等奖加3分</w:t>
            </w:r>
            <w:r>
              <w:rPr>
                <w:rFonts w:hint="eastAsia" w:eastAsia="仿宋_GB2312"/>
                <w:kern w:val="0"/>
              </w:rPr>
              <w:t>/项</w:t>
            </w:r>
          </w:p>
          <w:p w14:paraId="098F8F3F">
            <w:pPr>
              <w:topLinePunct/>
              <w:adjustRightInd w:val="0"/>
              <w:snapToGrid w:val="0"/>
              <w:jc w:val="left"/>
              <w:textAlignment w:val="center"/>
              <w:rPr>
                <w:rFonts w:eastAsia="仿宋_GB2312"/>
                <w:kern w:val="0"/>
              </w:rPr>
            </w:pPr>
            <w:r>
              <w:rPr>
                <w:rFonts w:eastAsia="仿宋_GB2312"/>
                <w:kern w:val="0"/>
              </w:rPr>
              <w:t>二等奖加2分</w:t>
            </w:r>
            <w:r>
              <w:rPr>
                <w:rFonts w:hint="eastAsia" w:eastAsia="仿宋_GB2312"/>
                <w:kern w:val="0"/>
              </w:rPr>
              <w:t>/项</w:t>
            </w:r>
          </w:p>
          <w:p w14:paraId="63770BBF">
            <w:pPr>
              <w:topLinePunct/>
              <w:adjustRightInd w:val="0"/>
              <w:snapToGrid w:val="0"/>
              <w:jc w:val="left"/>
              <w:textAlignment w:val="center"/>
              <w:rPr>
                <w:rFonts w:eastAsia="仿宋_GB2312"/>
                <w:kern w:val="0"/>
              </w:rPr>
            </w:pPr>
            <w:r>
              <w:rPr>
                <w:rFonts w:eastAsia="仿宋_GB2312"/>
                <w:kern w:val="0"/>
              </w:rPr>
              <w:t>三等奖加1分</w:t>
            </w:r>
            <w:r>
              <w:rPr>
                <w:rFonts w:hint="eastAsia" w:eastAsia="仿宋_GB2312"/>
                <w:kern w:val="0"/>
              </w:rPr>
              <w:t>/项</w:t>
            </w:r>
          </w:p>
        </w:tc>
        <w:tc>
          <w:tcPr>
            <w:tcW w:w="708" w:type="dxa"/>
            <w:vAlign w:val="center"/>
          </w:tcPr>
          <w:p w14:paraId="690A9080">
            <w:pPr>
              <w:topLinePunct/>
              <w:adjustRightInd w:val="0"/>
              <w:snapToGrid w:val="0"/>
              <w:jc w:val="left"/>
              <w:textAlignment w:val="center"/>
              <w:rPr>
                <w:rFonts w:eastAsia="仿宋_GB2312"/>
                <w:kern w:val="0"/>
              </w:rPr>
            </w:pPr>
          </w:p>
        </w:tc>
      </w:tr>
      <w:tr w14:paraId="51CA4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6" w:type="dxa"/>
            <w:vMerge w:val="continue"/>
          </w:tcPr>
          <w:p w14:paraId="7033C8FC">
            <w:pPr>
              <w:topLinePunct/>
              <w:adjustRightInd w:val="0"/>
              <w:snapToGrid w:val="0"/>
              <w:jc w:val="left"/>
              <w:textAlignment w:val="center"/>
              <w:rPr>
                <w:rFonts w:eastAsia="仿宋_GB2312"/>
                <w:kern w:val="0"/>
              </w:rPr>
            </w:pPr>
          </w:p>
        </w:tc>
        <w:tc>
          <w:tcPr>
            <w:tcW w:w="856" w:type="dxa"/>
            <w:vAlign w:val="center"/>
          </w:tcPr>
          <w:p w14:paraId="0DB2666F">
            <w:pPr>
              <w:topLinePunct/>
              <w:adjustRightInd w:val="0"/>
              <w:snapToGrid w:val="0"/>
              <w:jc w:val="center"/>
              <w:textAlignment w:val="center"/>
              <w:rPr>
                <w:rFonts w:eastAsia="仿宋_GB2312"/>
                <w:kern w:val="0"/>
              </w:rPr>
            </w:pPr>
            <w:r>
              <w:rPr>
                <w:rFonts w:eastAsia="仿宋_GB2312"/>
                <w:kern w:val="0"/>
              </w:rPr>
              <w:t>11</w:t>
            </w:r>
          </w:p>
        </w:tc>
        <w:tc>
          <w:tcPr>
            <w:tcW w:w="859" w:type="dxa"/>
            <w:vMerge w:val="continue"/>
            <w:vAlign w:val="center"/>
          </w:tcPr>
          <w:p w14:paraId="10105F9B">
            <w:pPr>
              <w:topLinePunct/>
              <w:adjustRightInd w:val="0"/>
              <w:snapToGrid w:val="0"/>
              <w:jc w:val="left"/>
              <w:textAlignment w:val="center"/>
              <w:rPr>
                <w:rFonts w:eastAsia="仿宋_GB2312"/>
                <w:kern w:val="0"/>
              </w:rPr>
            </w:pPr>
          </w:p>
        </w:tc>
        <w:tc>
          <w:tcPr>
            <w:tcW w:w="4242" w:type="dxa"/>
            <w:vAlign w:val="center"/>
          </w:tcPr>
          <w:p w14:paraId="5F308863">
            <w:pPr>
              <w:topLinePunct/>
              <w:adjustRightInd w:val="0"/>
              <w:snapToGrid w:val="0"/>
              <w:jc w:val="left"/>
              <w:textAlignment w:val="center"/>
              <w:rPr>
                <w:rFonts w:eastAsia="仿宋_GB2312"/>
                <w:kern w:val="0"/>
              </w:rPr>
            </w:pPr>
            <w:r>
              <w:rPr>
                <w:rFonts w:eastAsia="仿宋_GB2312"/>
                <w:kern w:val="0"/>
              </w:rPr>
              <w:t>养护设施获得市级或行业级奖项。</w:t>
            </w:r>
          </w:p>
        </w:tc>
        <w:tc>
          <w:tcPr>
            <w:tcW w:w="1556" w:type="dxa"/>
            <w:vAlign w:val="center"/>
          </w:tcPr>
          <w:p w14:paraId="63ED17F4">
            <w:pPr>
              <w:topLinePunct/>
              <w:adjustRightInd w:val="0"/>
              <w:snapToGrid w:val="0"/>
              <w:jc w:val="left"/>
              <w:textAlignment w:val="center"/>
              <w:rPr>
                <w:rFonts w:eastAsia="仿宋_GB2312"/>
                <w:kern w:val="0"/>
              </w:rPr>
            </w:pPr>
            <w:r>
              <w:rPr>
                <w:rFonts w:eastAsia="仿宋_GB2312"/>
                <w:kern w:val="0"/>
              </w:rPr>
              <w:t>市级加5分</w:t>
            </w:r>
            <w:r>
              <w:rPr>
                <w:rFonts w:hint="eastAsia" w:eastAsia="仿宋_GB2312"/>
                <w:kern w:val="0"/>
              </w:rPr>
              <w:t>/项</w:t>
            </w:r>
          </w:p>
          <w:p w14:paraId="19BCCB40">
            <w:pPr>
              <w:topLinePunct/>
              <w:adjustRightInd w:val="0"/>
              <w:snapToGrid w:val="0"/>
              <w:jc w:val="left"/>
              <w:textAlignment w:val="center"/>
              <w:rPr>
                <w:rFonts w:eastAsia="仿宋_GB2312"/>
                <w:kern w:val="0"/>
              </w:rPr>
            </w:pPr>
            <w:r>
              <w:rPr>
                <w:rFonts w:eastAsia="仿宋_GB2312"/>
                <w:kern w:val="0"/>
              </w:rPr>
              <w:t>行业级加3分</w:t>
            </w:r>
            <w:r>
              <w:rPr>
                <w:rFonts w:hint="eastAsia" w:eastAsia="仿宋_GB2312"/>
                <w:kern w:val="0"/>
              </w:rPr>
              <w:t>/项</w:t>
            </w:r>
          </w:p>
        </w:tc>
        <w:tc>
          <w:tcPr>
            <w:tcW w:w="708" w:type="dxa"/>
            <w:vAlign w:val="center"/>
          </w:tcPr>
          <w:p w14:paraId="7ACE2765">
            <w:pPr>
              <w:topLinePunct/>
              <w:adjustRightInd w:val="0"/>
              <w:snapToGrid w:val="0"/>
              <w:jc w:val="left"/>
              <w:textAlignment w:val="center"/>
              <w:rPr>
                <w:rFonts w:eastAsia="仿宋_GB2312"/>
                <w:kern w:val="0"/>
              </w:rPr>
            </w:pPr>
          </w:p>
        </w:tc>
      </w:tr>
      <w:tr w14:paraId="48D607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41" w:type="dxa"/>
            <w:gridSpan w:val="3"/>
          </w:tcPr>
          <w:p w14:paraId="577A4EC4">
            <w:pPr>
              <w:topLinePunct/>
              <w:adjustRightInd w:val="0"/>
              <w:snapToGrid w:val="0"/>
              <w:jc w:val="center"/>
              <w:textAlignment w:val="center"/>
              <w:rPr>
                <w:rFonts w:eastAsia="仿宋_GB2312"/>
                <w:kern w:val="0"/>
              </w:rPr>
            </w:pPr>
            <w:r>
              <w:rPr>
                <w:rFonts w:eastAsia="仿宋_GB2312"/>
                <w:kern w:val="0"/>
              </w:rPr>
              <w:t>设施</w:t>
            </w:r>
            <w:r>
              <w:rPr>
                <w:rFonts w:hint="eastAsia" w:eastAsia="仿宋_GB2312"/>
                <w:kern w:val="0"/>
              </w:rPr>
              <w:t>季度</w:t>
            </w:r>
          </w:p>
          <w:p w14:paraId="0A2C8C46">
            <w:pPr>
              <w:topLinePunct/>
              <w:adjustRightInd w:val="0"/>
              <w:snapToGrid w:val="0"/>
              <w:jc w:val="center"/>
              <w:textAlignment w:val="center"/>
              <w:rPr>
                <w:rFonts w:eastAsia="仿宋_GB2312"/>
                <w:kern w:val="0"/>
              </w:rPr>
            </w:pPr>
            <w:r>
              <w:rPr>
                <w:rFonts w:eastAsia="仿宋_GB2312"/>
                <w:kern w:val="0"/>
              </w:rPr>
              <w:t>专项得分</w:t>
            </w:r>
          </w:p>
        </w:tc>
        <w:tc>
          <w:tcPr>
            <w:tcW w:w="4242" w:type="dxa"/>
            <w:vAlign w:val="center"/>
          </w:tcPr>
          <w:p w14:paraId="6A0E0F73">
            <w:pPr>
              <w:topLinePunct/>
              <w:adjustRightInd w:val="0"/>
              <w:snapToGrid w:val="0"/>
              <w:jc w:val="left"/>
              <w:textAlignment w:val="center"/>
              <w:rPr>
                <w:rFonts w:eastAsia="仿宋_GB2312"/>
                <w:kern w:val="0"/>
              </w:rPr>
            </w:pPr>
            <w:r>
              <w:rPr>
                <w:rFonts w:eastAsia="仿宋_GB2312"/>
                <w:kern w:val="0"/>
              </w:rPr>
              <w:t>（1）~（11）得分总和</w:t>
            </w:r>
          </w:p>
        </w:tc>
        <w:tc>
          <w:tcPr>
            <w:tcW w:w="2264" w:type="dxa"/>
            <w:gridSpan w:val="2"/>
            <w:vAlign w:val="center"/>
          </w:tcPr>
          <w:p w14:paraId="3873AD8F">
            <w:pPr>
              <w:topLinePunct/>
              <w:adjustRightInd w:val="0"/>
              <w:snapToGrid w:val="0"/>
              <w:jc w:val="left"/>
              <w:textAlignment w:val="center"/>
              <w:rPr>
                <w:rFonts w:eastAsia="仿宋_GB2312"/>
                <w:kern w:val="0"/>
              </w:rPr>
            </w:pPr>
          </w:p>
        </w:tc>
      </w:tr>
    </w:tbl>
    <w:p w14:paraId="55E36306">
      <w:pPr>
        <w:topLinePunct/>
        <w:adjustRightInd w:val="0"/>
        <w:snapToGrid w:val="0"/>
        <w:spacing w:line="500" w:lineRule="exact"/>
        <w:rPr>
          <w:rFonts w:ascii="Times New Roman" w:hAnsi="Times New Roman"/>
          <w:sz w:val="18"/>
          <w:szCs w:val="18"/>
        </w:rPr>
      </w:pPr>
      <w:r>
        <w:rPr>
          <w:rFonts w:ascii="Times New Roman" w:hAnsi="Times New Roman"/>
          <w:sz w:val="18"/>
          <w:szCs w:val="18"/>
        </w:rPr>
        <w:br w:type="page"/>
      </w:r>
    </w:p>
    <w:p w14:paraId="0F5ACAA7">
      <w:pPr>
        <w:topLinePunct/>
        <w:adjustRightInd w:val="0"/>
        <w:snapToGrid w:val="0"/>
        <w:spacing w:line="500" w:lineRule="exact"/>
        <w:rPr>
          <w:rFonts w:ascii="Times New Roman" w:hAnsi="Times New Roman"/>
          <w:sz w:val="18"/>
          <w:szCs w:val="18"/>
        </w:rPr>
      </w:pPr>
    </w:p>
    <w:tbl>
      <w:tblPr>
        <w:tblStyle w:val="397"/>
        <w:tblpPr w:leftFromText="142" w:rightFromText="142" w:vertAnchor="text" w:horzAnchor="margin" w:tblpXSpec="center" w:tblpY="110"/>
        <w:tblW w:w="103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3"/>
        <w:gridCol w:w="1442"/>
        <w:gridCol w:w="3944"/>
        <w:gridCol w:w="851"/>
        <w:gridCol w:w="3143"/>
      </w:tblGrid>
      <w:tr w14:paraId="5EF85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0343" w:type="dxa"/>
            <w:gridSpan w:val="5"/>
            <w:vAlign w:val="center"/>
          </w:tcPr>
          <w:p w14:paraId="291D2A9B">
            <w:pPr>
              <w:topLinePunct/>
              <w:adjustRightInd w:val="0"/>
              <w:snapToGrid w:val="0"/>
              <w:jc w:val="center"/>
              <w:rPr>
                <w:rFonts w:hint="eastAsia" w:ascii="黑体" w:hAnsi="黑体" w:eastAsia="黑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9 </w:t>
            </w:r>
            <w:r>
              <w:rPr>
                <w:rFonts w:hint="eastAsia" w:ascii="黑体" w:hAnsi="黑体" w:eastAsia="黑体"/>
                <w:kern w:val="0"/>
                <w:sz w:val="28"/>
                <w:szCs w:val="32"/>
              </w:rPr>
              <w:t>市管城市道路绿化养护季度考核评分总表</w:t>
            </w:r>
          </w:p>
        </w:tc>
      </w:tr>
      <w:tr w14:paraId="75CD8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349" w:type="dxa"/>
            <w:gridSpan w:val="3"/>
            <w:vMerge w:val="restart"/>
            <w:vAlign w:val="center"/>
          </w:tcPr>
          <w:p w14:paraId="7727CBD2">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考核设施：</w:t>
            </w:r>
          </w:p>
        </w:tc>
        <w:tc>
          <w:tcPr>
            <w:tcW w:w="3994" w:type="dxa"/>
            <w:gridSpan w:val="2"/>
            <w:vAlign w:val="center"/>
          </w:tcPr>
          <w:p w14:paraId="4CC32775">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检查日期：</w:t>
            </w:r>
          </w:p>
        </w:tc>
      </w:tr>
      <w:tr w14:paraId="4EA09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6349" w:type="dxa"/>
            <w:gridSpan w:val="3"/>
            <w:vMerge w:val="continue"/>
          </w:tcPr>
          <w:p w14:paraId="693B8012">
            <w:pPr>
              <w:topLinePunct/>
              <w:adjustRightInd w:val="0"/>
              <w:snapToGrid w:val="0"/>
              <w:rPr>
                <w:rFonts w:hint="eastAsia" w:ascii="仿宋_GB2312" w:hAnsi="宋体" w:eastAsia="仿宋_GB2312"/>
                <w:kern w:val="0"/>
                <w:sz w:val="24"/>
                <w:szCs w:val="28"/>
                <w:u w:val="single"/>
              </w:rPr>
            </w:pPr>
          </w:p>
        </w:tc>
        <w:tc>
          <w:tcPr>
            <w:tcW w:w="3994" w:type="dxa"/>
            <w:gridSpan w:val="2"/>
            <w:vAlign w:val="center"/>
          </w:tcPr>
          <w:p w14:paraId="2AAD1F90">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检查人员：</w:t>
            </w:r>
          </w:p>
        </w:tc>
      </w:tr>
      <w:tr w14:paraId="7236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Align w:val="center"/>
          </w:tcPr>
          <w:p w14:paraId="019FC60C">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序号</w:t>
            </w:r>
          </w:p>
        </w:tc>
        <w:tc>
          <w:tcPr>
            <w:tcW w:w="1442" w:type="dxa"/>
            <w:vAlign w:val="center"/>
          </w:tcPr>
          <w:p w14:paraId="697D7567">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项目</w:t>
            </w:r>
          </w:p>
        </w:tc>
        <w:tc>
          <w:tcPr>
            <w:tcW w:w="3944" w:type="dxa"/>
            <w:vAlign w:val="center"/>
          </w:tcPr>
          <w:p w14:paraId="0D0DCF5B">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考核内容</w:t>
            </w:r>
          </w:p>
        </w:tc>
        <w:tc>
          <w:tcPr>
            <w:tcW w:w="851" w:type="dxa"/>
            <w:vAlign w:val="center"/>
          </w:tcPr>
          <w:p w14:paraId="65D89A51">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标准分</w:t>
            </w:r>
          </w:p>
        </w:tc>
        <w:tc>
          <w:tcPr>
            <w:tcW w:w="3143" w:type="dxa"/>
            <w:vAlign w:val="center"/>
          </w:tcPr>
          <w:p w14:paraId="41A50179">
            <w:pPr>
              <w:topLinePunct/>
              <w:adjustRightInd w:val="0"/>
              <w:snapToGrid w:val="0"/>
              <w:spacing w:line="240" w:lineRule="exact"/>
              <w:jc w:val="center"/>
              <w:rPr>
                <w:rFonts w:hint="eastAsia" w:ascii="仿宋_GB2312" w:hAnsi="宋体" w:eastAsia="仿宋_GB2312"/>
                <w:kern w:val="0"/>
                <w:sz w:val="20"/>
                <w:szCs w:val="20"/>
              </w:rPr>
            </w:pPr>
            <w:r>
              <w:rPr>
                <w:rFonts w:hint="eastAsia" w:ascii="仿宋_GB2312" w:hAnsi="宋体" w:eastAsia="仿宋_GB2312"/>
                <w:kern w:val="0"/>
                <w:sz w:val="20"/>
                <w:szCs w:val="20"/>
              </w:rPr>
              <w:t>考核得分</w:t>
            </w:r>
          </w:p>
        </w:tc>
      </w:tr>
      <w:tr w14:paraId="44BB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exact"/>
        </w:trPr>
        <w:tc>
          <w:tcPr>
            <w:tcW w:w="963" w:type="dxa"/>
            <w:vMerge w:val="restart"/>
            <w:vAlign w:val="center"/>
          </w:tcPr>
          <w:p w14:paraId="298C20B3">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(1)</w:t>
            </w:r>
          </w:p>
        </w:tc>
        <w:tc>
          <w:tcPr>
            <w:tcW w:w="1442" w:type="dxa"/>
            <w:vMerge w:val="restart"/>
            <w:vAlign w:val="center"/>
          </w:tcPr>
          <w:p w14:paraId="7FCF2932">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定量考核</w:t>
            </w:r>
          </w:p>
        </w:tc>
        <w:tc>
          <w:tcPr>
            <w:tcW w:w="3944" w:type="dxa"/>
            <w:vAlign w:val="center"/>
          </w:tcPr>
          <w:p w14:paraId="496C6FE1">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巡查覆盖率（10）</w:t>
            </w:r>
          </w:p>
        </w:tc>
        <w:tc>
          <w:tcPr>
            <w:tcW w:w="851" w:type="dxa"/>
            <w:vMerge w:val="restart"/>
            <w:vAlign w:val="center"/>
          </w:tcPr>
          <w:p w14:paraId="600CE95F">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60</w:t>
            </w:r>
          </w:p>
        </w:tc>
        <w:tc>
          <w:tcPr>
            <w:tcW w:w="3143" w:type="dxa"/>
            <w:vMerge w:val="restart"/>
            <w:vAlign w:val="center"/>
          </w:tcPr>
          <w:p w14:paraId="6A61CB29">
            <w:pPr>
              <w:topLinePunct/>
              <w:adjustRightInd w:val="0"/>
              <w:snapToGrid w:val="0"/>
              <w:jc w:val="center"/>
              <w:rPr>
                <w:rFonts w:hint="eastAsia" w:ascii="仿宋_GB2312" w:hAnsi="宋体" w:eastAsia="仿宋_GB2312"/>
                <w:kern w:val="0"/>
                <w:sz w:val="20"/>
                <w:szCs w:val="20"/>
              </w:rPr>
            </w:pPr>
          </w:p>
        </w:tc>
      </w:tr>
      <w:tr w14:paraId="34FD2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72115F77">
            <w:pPr>
              <w:topLinePunct/>
              <w:adjustRightInd w:val="0"/>
              <w:snapToGrid w:val="0"/>
              <w:jc w:val="center"/>
              <w:rPr>
                <w:rFonts w:hint="eastAsia" w:ascii="仿宋_GB2312" w:hAnsi="宋体" w:eastAsia="仿宋_GB2312"/>
                <w:kern w:val="0"/>
                <w:sz w:val="20"/>
                <w:szCs w:val="20"/>
              </w:rPr>
            </w:pPr>
          </w:p>
        </w:tc>
        <w:tc>
          <w:tcPr>
            <w:tcW w:w="1442" w:type="dxa"/>
            <w:vMerge w:val="continue"/>
            <w:vAlign w:val="center"/>
          </w:tcPr>
          <w:p w14:paraId="1F884F25">
            <w:pPr>
              <w:topLinePunct/>
              <w:adjustRightInd w:val="0"/>
              <w:snapToGrid w:val="0"/>
              <w:jc w:val="center"/>
              <w:rPr>
                <w:rFonts w:hint="eastAsia" w:ascii="仿宋_GB2312" w:hAnsi="宋体" w:eastAsia="仿宋_GB2312"/>
                <w:color w:val="000000"/>
                <w:kern w:val="0"/>
                <w:sz w:val="20"/>
                <w:szCs w:val="20"/>
              </w:rPr>
            </w:pPr>
          </w:p>
        </w:tc>
        <w:tc>
          <w:tcPr>
            <w:tcW w:w="3944" w:type="dxa"/>
            <w:vAlign w:val="center"/>
          </w:tcPr>
          <w:p w14:paraId="4B50FC1B">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病害处置率（20）</w:t>
            </w:r>
          </w:p>
        </w:tc>
        <w:tc>
          <w:tcPr>
            <w:tcW w:w="851" w:type="dxa"/>
            <w:vMerge w:val="continue"/>
            <w:vAlign w:val="center"/>
          </w:tcPr>
          <w:p w14:paraId="7CE48474">
            <w:pPr>
              <w:topLinePunct/>
              <w:adjustRightInd w:val="0"/>
              <w:snapToGrid w:val="0"/>
              <w:jc w:val="center"/>
              <w:rPr>
                <w:rFonts w:hint="eastAsia" w:ascii="仿宋_GB2312" w:hAnsi="宋体" w:eastAsia="仿宋_GB2312"/>
                <w:kern w:val="0"/>
                <w:sz w:val="20"/>
                <w:szCs w:val="20"/>
              </w:rPr>
            </w:pPr>
          </w:p>
        </w:tc>
        <w:tc>
          <w:tcPr>
            <w:tcW w:w="3143" w:type="dxa"/>
            <w:vMerge w:val="continue"/>
            <w:vAlign w:val="center"/>
          </w:tcPr>
          <w:p w14:paraId="65BA3E84">
            <w:pPr>
              <w:topLinePunct/>
              <w:adjustRightInd w:val="0"/>
              <w:snapToGrid w:val="0"/>
              <w:jc w:val="center"/>
              <w:rPr>
                <w:rFonts w:hint="eastAsia" w:ascii="仿宋_GB2312" w:hAnsi="宋体" w:eastAsia="仿宋_GB2312"/>
                <w:kern w:val="0"/>
                <w:sz w:val="20"/>
                <w:szCs w:val="20"/>
              </w:rPr>
            </w:pPr>
          </w:p>
        </w:tc>
      </w:tr>
      <w:tr w14:paraId="37C6A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6F14A69B">
            <w:pPr>
              <w:topLinePunct/>
              <w:adjustRightInd w:val="0"/>
              <w:snapToGrid w:val="0"/>
              <w:jc w:val="center"/>
              <w:rPr>
                <w:rFonts w:hint="eastAsia" w:ascii="仿宋_GB2312" w:hAnsi="宋体" w:eastAsia="仿宋_GB2312"/>
                <w:kern w:val="0"/>
                <w:sz w:val="20"/>
                <w:szCs w:val="20"/>
              </w:rPr>
            </w:pPr>
          </w:p>
        </w:tc>
        <w:tc>
          <w:tcPr>
            <w:tcW w:w="1442" w:type="dxa"/>
            <w:vMerge w:val="continue"/>
            <w:vAlign w:val="center"/>
          </w:tcPr>
          <w:p w14:paraId="064874BC">
            <w:pPr>
              <w:topLinePunct/>
              <w:adjustRightInd w:val="0"/>
              <w:snapToGrid w:val="0"/>
              <w:jc w:val="center"/>
              <w:rPr>
                <w:rFonts w:hint="eastAsia" w:ascii="仿宋_GB2312" w:hAnsi="宋体" w:eastAsia="仿宋_GB2312"/>
                <w:color w:val="000000"/>
                <w:kern w:val="0"/>
                <w:sz w:val="20"/>
                <w:szCs w:val="20"/>
              </w:rPr>
            </w:pPr>
          </w:p>
        </w:tc>
        <w:tc>
          <w:tcPr>
            <w:tcW w:w="3944" w:type="dxa"/>
            <w:vAlign w:val="center"/>
          </w:tcPr>
          <w:p w14:paraId="24B2FD7B">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kern w:val="0"/>
                <w:sz w:val="20"/>
                <w:szCs w:val="20"/>
              </w:rPr>
              <w:t>计划执行率（20）</w:t>
            </w:r>
          </w:p>
        </w:tc>
        <w:tc>
          <w:tcPr>
            <w:tcW w:w="851" w:type="dxa"/>
            <w:vMerge w:val="continue"/>
            <w:vAlign w:val="center"/>
          </w:tcPr>
          <w:p w14:paraId="01B31F78">
            <w:pPr>
              <w:topLinePunct/>
              <w:adjustRightInd w:val="0"/>
              <w:snapToGrid w:val="0"/>
              <w:jc w:val="center"/>
              <w:rPr>
                <w:rFonts w:hint="eastAsia" w:ascii="仿宋_GB2312" w:hAnsi="宋体" w:eastAsia="仿宋_GB2312"/>
                <w:kern w:val="0"/>
                <w:sz w:val="20"/>
                <w:szCs w:val="20"/>
              </w:rPr>
            </w:pPr>
          </w:p>
        </w:tc>
        <w:tc>
          <w:tcPr>
            <w:tcW w:w="3143" w:type="dxa"/>
            <w:vMerge w:val="continue"/>
            <w:vAlign w:val="center"/>
          </w:tcPr>
          <w:p w14:paraId="4FCAF285">
            <w:pPr>
              <w:topLinePunct/>
              <w:adjustRightInd w:val="0"/>
              <w:snapToGrid w:val="0"/>
              <w:jc w:val="center"/>
              <w:rPr>
                <w:rFonts w:hint="eastAsia" w:ascii="仿宋_GB2312" w:hAnsi="宋体" w:eastAsia="仿宋_GB2312"/>
                <w:kern w:val="0"/>
                <w:sz w:val="20"/>
                <w:szCs w:val="20"/>
              </w:rPr>
            </w:pPr>
          </w:p>
        </w:tc>
      </w:tr>
      <w:tr w14:paraId="0649E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5BF8795A">
            <w:pPr>
              <w:topLinePunct/>
              <w:adjustRightInd w:val="0"/>
              <w:snapToGrid w:val="0"/>
              <w:jc w:val="center"/>
              <w:rPr>
                <w:rFonts w:hint="eastAsia" w:ascii="仿宋_GB2312" w:hAnsi="宋体" w:eastAsia="仿宋_GB2312"/>
                <w:kern w:val="0"/>
                <w:sz w:val="20"/>
                <w:szCs w:val="20"/>
              </w:rPr>
            </w:pPr>
          </w:p>
        </w:tc>
        <w:tc>
          <w:tcPr>
            <w:tcW w:w="1442" w:type="dxa"/>
            <w:vMerge w:val="continue"/>
            <w:vAlign w:val="center"/>
          </w:tcPr>
          <w:p w14:paraId="66545F77">
            <w:pPr>
              <w:topLinePunct/>
              <w:adjustRightInd w:val="0"/>
              <w:snapToGrid w:val="0"/>
              <w:jc w:val="center"/>
              <w:rPr>
                <w:rFonts w:hint="eastAsia" w:ascii="仿宋_GB2312" w:hAnsi="宋体" w:eastAsia="仿宋_GB2312"/>
                <w:color w:val="000000"/>
                <w:kern w:val="0"/>
                <w:sz w:val="20"/>
                <w:szCs w:val="20"/>
              </w:rPr>
            </w:pPr>
          </w:p>
        </w:tc>
        <w:tc>
          <w:tcPr>
            <w:tcW w:w="3944" w:type="dxa"/>
            <w:vAlign w:val="center"/>
          </w:tcPr>
          <w:p w14:paraId="4DDF360A">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color w:val="000000"/>
                <w:kern w:val="0"/>
                <w:sz w:val="20"/>
                <w:szCs w:val="20"/>
              </w:rPr>
              <w:t>内业提交情况（10）</w:t>
            </w:r>
          </w:p>
        </w:tc>
        <w:tc>
          <w:tcPr>
            <w:tcW w:w="851" w:type="dxa"/>
            <w:vMerge w:val="continue"/>
            <w:vAlign w:val="center"/>
          </w:tcPr>
          <w:p w14:paraId="0729075C">
            <w:pPr>
              <w:topLinePunct/>
              <w:adjustRightInd w:val="0"/>
              <w:snapToGrid w:val="0"/>
              <w:jc w:val="center"/>
              <w:rPr>
                <w:rFonts w:hint="eastAsia" w:ascii="仿宋_GB2312" w:hAnsi="宋体" w:eastAsia="仿宋_GB2312"/>
                <w:kern w:val="0"/>
                <w:sz w:val="20"/>
                <w:szCs w:val="20"/>
              </w:rPr>
            </w:pPr>
          </w:p>
        </w:tc>
        <w:tc>
          <w:tcPr>
            <w:tcW w:w="3143" w:type="dxa"/>
            <w:vMerge w:val="continue"/>
            <w:vAlign w:val="center"/>
          </w:tcPr>
          <w:p w14:paraId="4C0C1336">
            <w:pPr>
              <w:topLinePunct/>
              <w:adjustRightInd w:val="0"/>
              <w:snapToGrid w:val="0"/>
              <w:jc w:val="center"/>
              <w:rPr>
                <w:rFonts w:hint="eastAsia" w:ascii="仿宋_GB2312" w:hAnsi="宋体" w:eastAsia="仿宋_GB2312"/>
                <w:kern w:val="0"/>
                <w:sz w:val="20"/>
                <w:szCs w:val="20"/>
              </w:rPr>
            </w:pPr>
          </w:p>
        </w:tc>
      </w:tr>
      <w:tr w14:paraId="392B8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restart"/>
            <w:vAlign w:val="center"/>
          </w:tcPr>
          <w:p w14:paraId="5B3E03F3">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(2)</w:t>
            </w:r>
          </w:p>
        </w:tc>
        <w:tc>
          <w:tcPr>
            <w:tcW w:w="1442" w:type="dxa"/>
            <w:vMerge w:val="restart"/>
            <w:vAlign w:val="center"/>
          </w:tcPr>
          <w:p w14:paraId="752A61B5">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定性考核</w:t>
            </w:r>
          </w:p>
        </w:tc>
        <w:tc>
          <w:tcPr>
            <w:tcW w:w="3944" w:type="dxa"/>
            <w:vAlign w:val="center"/>
          </w:tcPr>
          <w:p w14:paraId="75F35430">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外场检查（30）</w:t>
            </w:r>
          </w:p>
        </w:tc>
        <w:tc>
          <w:tcPr>
            <w:tcW w:w="851" w:type="dxa"/>
            <w:vMerge w:val="restart"/>
            <w:vAlign w:val="center"/>
          </w:tcPr>
          <w:p w14:paraId="12F1A3F6">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40</w:t>
            </w:r>
          </w:p>
        </w:tc>
        <w:tc>
          <w:tcPr>
            <w:tcW w:w="3143" w:type="dxa"/>
            <w:vMerge w:val="restart"/>
            <w:vAlign w:val="center"/>
          </w:tcPr>
          <w:p w14:paraId="5B2BC4D8">
            <w:pPr>
              <w:topLinePunct/>
              <w:adjustRightInd w:val="0"/>
              <w:snapToGrid w:val="0"/>
              <w:jc w:val="center"/>
              <w:rPr>
                <w:rFonts w:hint="eastAsia" w:ascii="仿宋_GB2312" w:hAnsi="宋体" w:eastAsia="仿宋_GB2312"/>
                <w:kern w:val="0"/>
                <w:sz w:val="20"/>
                <w:szCs w:val="20"/>
              </w:rPr>
            </w:pPr>
          </w:p>
        </w:tc>
      </w:tr>
      <w:tr w14:paraId="20C03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54E661D7">
            <w:pPr>
              <w:topLinePunct/>
              <w:adjustRightInd w:val="0"/>
              <w:snapToGrid w:val="0"/>
              <w:jc w:val="center"/>
              <w:rPr>
                <w:rFonts w:hint="eastAsia" w:ascii="仿宋_GB2312" w:hAnsi="宋体" w:eastAsia="仿宋_GB2312"/>
                <w:kern w:val="0"/>
                <w:sz w:val="20"/>
                <w:szCs w:val="20"/>
              </w:rPr>
            </w:pPr>
          </w:p>
        </w:tc>
        <w:tc>
          <w:tcPr>
            <w:tcW w:w="1442" w:type="dxa"/>
            <w:vMerge w:val="continue"/>
            <w:vAlign w:val="center"/>
          </w:tcPr>
          <w:p w14:paraId="25445AB6">
            <w:pPr>
              <w:topLinePunct/>
              <w:adjustRightInd w:val="0"/>
              <w:snapToGrid w:val="0"/>
              <w:jc w:val="center"/>
              <w:rPr>
                <w:rFonts w:hint="eastAsia" w:ascii="仿宋_GB2312" w:hAnsi="宋体" w:eastAsia="仿宋_GB2312"/>
                <w:color w:val="000000"/>
                <w:kern w:val="0"/>
                <w:sz w:val="20"/>
                <w:szCs w:val="20"/>
              </w:rPr>
            </w:pPr>
          </w:p>
        </w:tc>
        <w:tc>
          <w:tcPr>
            <w:tcW w:w="3944" w:type="dxa"/>
            <w:vAlign w:val="center"/>
          </w:tcPr>
          <w:p w14:paraId="4A58B748">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安全管理（10）</w:t>
            </w:r>
          </w:p>
        </w:tc>
        <w:tc>
          <w:tcPr>
            <w:tcW w:w="851" w:type="dxa"/>
            <w:vMerge w:val="continue"/>
            <w:vAlign w:val="center"/>
          </w:tcPr>
          <w:p w14:paraId="487C23B7">
            <w:pPr>
              <w:topLinePunct/>
              <w:adjustRightInd w:val="0"/>
              <w:snapToGrid w:val="0"/>
              <w:jc w:val="center"/>
              <w:rPr>
                <w:rFonts w:hint="eastAsia" w:ascii="仿宋_GB2312" w:hAnsi="宋体" w:eastAsia="仿宋_GB2312"/>
                <w:kern w:val="0"/>
                <w:sz w:val="20"/>
                <w:szCs w:val="20"/>
              </w:rPr>
            </w:pPr>
          </w:p>
        </w:tc>
        <w:tc>
          <w:tcPr>
            <w:tcW w:w="3143" w:type="dxa"/>
            <w:vMerge w:val="continue"/>
            <w:vAlign w:val="center"/>
          </w:tcPr>
          <w:p w14:paraId="5D730629">
            <w:pPr>
              <w:topLinePunct/>
              <w:adjustRightInd w:val="0"/>
              <w:snapToGrid w:val="0"/>
              <w:jc w:val="center"/>
              <w:rPr>
                <w:rFonts w:hint="eastAsia" w:ascii="仿宋_GB2312" w:hAnsi="宋体" w:eastAsia="仿宋_GB2312"/>
                <w:kern w:val="0"/>
                <w:sz w:val="20"/>
                <w:szCs w:val="20"/>
              </w:rPr>
            </w:pPr>
          </w:p>
        </w:tc>
      </w:tr>
      <w:tr w14:paraId="64C4F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restart"/>
            <w:vAlign w:val="center"/>
          </w:tcPr>
          <w:p w14:paraId="08C5CB5C">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(3)</w:t>
            </w:r>
          </w:p>
        </w:tc>
        <w:tc>
          <w:tcPr>
            <w:tcW w:w="1442" w:type="dxa"/>
            <w:vMerge w:val="restart"/>
            <w:vAlign w:val="center"/>
          </w:tcPr>
          <w:p w14:paraId="27173621">
            <w:pPr>
              <w:topLinePunct/>
              <w:adjustRightInd w:val="0"/>
              <w:snapToGrid w:val="0"/>
              <w:jc w:val="center"/>
              <w:rPr>
                <w:rFonts w:hint="eastAsia" w:ascii="仿宋_GB2312" w:hAnsi="宋体" w:eastAsia="仿宋_GB2312"/>
                <w:color w:val="000000"/>
                <w:kern w:val="0"/>
                <w:sz w:val="20"/>
                <w:szCs w:val="20"/>
              </w:rPr>
            </w:pPr>
            <w:r>
              <w:rPr>
                <w:rFonts w:hint="eastAsia" w:ascii="仿宋_GB2312" w:hAnsi="宋体" w:eastAsia="仿宋_GB2312"/>
                <w:color w:val="000000"/>
                <w:kern w:val="0"/>
                <w:sz w:val="20"/>
                <w:szCs w:val="20"/>
              </w:rPr>
              <w:t>专项考核</w:t>
            </w:r>
          </w:p>
        </w:tc>
        <w:tc>
          <w:tcPr>
            <w:tcW w:w="3944" w:type="dxa"/>
            <w:vAlign w:val="center"/>
          </w:tcPr>
          <w:p w14:paraId="4084622F">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管理要求执行</w:t>
            </w:r>
          </w:p>
        </w:tc>
        <w:tc>
          <w:tcPr>
            <w:tcW w:w="851" w:type="dxa"/>
            <w:vMerge w:val="restart"/>
            <w:vAlign w:val="center"/>
          </w:tcPr>
          <w:p w14:paraId="31B788E1">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w:t>
            </w:r>
          </w:p>
        </w:tc>
        <w:tc>
          <w:tcPr>
            <w:tcW w:w="3143" w:type="dxa"/>
            <w:vMerge w:val="restart"/>
            <w:vAlign w:val="center"/>
          </w:tcPr>
          <w:p w14:paraId="690AF77A">
            <w:pPr>
              <w:topLinePunct/>
              <w:adjustRightInd w:val="0"/>
              <w:snapToGrid w:val="0"/>
              <w:jc w:val="center"/>
              <w:rPr>
                <w:rFonts w:hint="eastAsia" w:ascii="仿宋_GB2312" w:hAnsi="宋体" w:eastAsia="仿宋_GB2312"/>
                <w:kern w:val="0"/>
                <w:sz w:val="20"/>
                <w:szCs w:val="20"/>
              </w:rPr>
            </w:pPr>
          </w:p>
        </w:tc>
      </w:tr>
      <w:tr w14:paraId="232A28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736D3123">
            <w:pPr>
              <w:topLinePunct/>
              <w:adjustRightInd w:val="0"/>
              <w:snapToGrid w:val="0"/>
              <w:jc w:val="center"/>
              <w:rPr>
                <w:rFonts w:hint="eastAsia" w:ascii="宋体" w:hAnsi="宋体"/>
                <w:kern w:val="0"/>
                <w:sz w:val="20"/>
                <w:szCs w:val="20"/>
              </w:rPr>
            </w:pPr>
          </w:p>
        </w:tc>
        <w:tc>
          <w:tcPr>
            <w:tcW w:w="1442" w:type="dxa"/>
            <w:vMerge w:val="continue"/>
            <w:vAlign w:val="center"/>
          </w:tcPr>
          <w:p w14:paraId="3F02F5D0">
            <w:pPr>
              <w:topLinePunct/>
              <w:adjustRightInd w:val="0"/>
              <w:snapToGrid w:val="0"/>
              <w:jc w:val="center"/>
              <w:rPr>
                <w:rFonts w:hint="eastAsia" w:ascii="宋体" w:hAnsi="宋体"/>
                <w:color w:val="000000"/>
                <w:kern w:val="0"/>
                <w:sz w:val="20"/>
                <w:szCs w:val="20"/>
              </w:rPr>
            </w:pPr>
          </w:p>
        </w:tc>
        <w:tc>
          <w:tcPr>
            <w:tcW w:w="3944" w:type="dxa"/>
            <w:vAlign w:val="center"/>
          </w:tcPr>
          <w:p w14:paraId="6F9D0E31">
            <w:pPr>
              <w:topLinePunct/>
              <w:adjustRightInd w:val="0"/>
              <w:snapToGrid w:val="0"/>
              <w:jc w:val="center"/>
              <w:rPr>
                <w:rFonts w:hint="eastAsia" w:ascii="仿宋_GB2312" w:hAnsi="Yu Mincho" w:eastAsia="仿宋_GB2312"/>
                <w:kern w:val="0"/>
                <w:sz w:val="20"/>
                <w:szCs w:val="20"/>
              </w:rPr>
            </w:pPr>
            <w:r>
              <w:rPr>
                <w:rFonts w:hint="eastAsia" w:ascii="仿宋_GB2312" w:hAnsi="Yu Mincho" w:eastAsia="仿宋_GB2312"/>
                <w:kern w:val="0"/>
                <w:sz w:val="20"/>
                <w:szCs w:val="20"/>
              </w:rPr>
              <w:t>养护作业</w:t>
            </w:r>
          </w:p>
        </w:tc>
        <w:tc>
          <w:tcPr>
            <w:tcW w:w="851" w:type="dxa"/>
            <w:vMerge w:val="continue"/>
            <w:vAlign w:val="center"/>
          </w:tcPr>
          <w:p w14:paraId="773661A3">
            <w:pPr>
              <w:topLinePunct/>
              <w:adjustRightInd w:val="0"/>
              <w:snapToGrid w:val="0"/>
              <w:jc w:val="center"/>
              <w:rPr>
                <w:rFonts w:hint="eastAsia" w:ascii="宋体" w:hAnsi="宋体"/>
                <w:kern w:val="0"/>
                <w:sz w:val="20"/>
                <w:szCs w:val="20"/>
              </w:rPr>
            </w:pPr>
          </w:p>
        </w:tc>
        <w:tc>
          <w:tcPr>
            <w:tcW w:w="3143" w:type="dxa"/>
            <w:vMerge w:val="continue"/>
            <w:vAlign w:val="center"/>
          </w:tcPr>
          <w:p w14:paraId="7C4CA385">
            <w:pPr>
              <w:topLinePunct/>
              <w:adjustRightInd w:val="0"/>
              <w:snapToGrid w:val="0"/>
              <w:jc w:val="center"/>
              <w:rPr>
                <w:rFonts w:hint="eastAsia" w:ascii="宋体" w:hAnsi="宋体"/>
                <w:kern w:val="0"/>
                <w:sz w:val="20"/>
                <w:szCs w:val="20"/>
              </w:rPr>
            </w:pPr>
          </w:p>
        </w:tc>
      </w:tr>
      <w:tr w14:paraId="572A0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23612BE4">
            <w:pPr>
              <w:topLinePunct/>
              <w:adjustRightInd w:val="0"/>
              <w:snapToGrid w:val="0"/>
              <w:jc w:val="center"/>
              <w:rPr>
                <w:rFonts w:hint="eastAsia" w:ascii="宋体" w:hAnsi="宋体"/>
                <w:kern w:val="0"/>
                <w:sz w:val="20"/>
                <w:szCs w:val="20"/>
              </w:rPr>
            </w:pPr>
          </w:p>
        </w:tc>
        <w:tc>
          <w:tcPr>
            <w:tcW w:w="1442" w:type="dxa"/>
            <w:vMerge w:val="continue"/>
            <w:vAlign w:val="center"/>
          </w:tcPr>
          <w:p w14:paraId="61DD9ECC">
            <w:pPr>
              <w:topLinePunct/>
              <w:adjustRightInd w:val="0"/>
              <w:snapToGrid w:val="0"/>
              <w:jc w:val="center"/>
              <w:rPr>
                <w:rFonts w:hint="eastAsia" w:ascii="宋体" w:hAnsi="宋体"/>
                <w:color w:val="000000"/>
                <w:kern w:val="0"/>
                <w:sz w:val="20"/>
                <w:szCs w:val="20"/>
              </w:rPr>
            </w:pPr>
          </w:p>
        </w:tc>
        <w:tc>
          <w:tcPr>
            <w:tcW w:w="3944" w:type="dxa"/>
            <w:vAlign w:val="center"/>
          </w:tcPr>
          <w:p w14:paraId="0E21D134">
            <w:pPr>
              <w:topLinePunct/>
              <w:adjustRightInd w:val="0"/>
              <w:snapToGrid w:val="0"/>
              <w:jc w:val="center"/>
              <w:rPr>
                <w:rFonts w:hint="eastAsia" w:ascii="仿宋_GB2312" w:hAnsi="Yu Mincho" w:eastAsia="仿宋_GB2312"/>
                <w:kern w:val="0"/>
                <w:sz w:val="20"/>
                <w:szCs w:val="20"/>
              </w:rPr>
            </w:pPr>
            <w:r>
              <w:rPr>
                <w:rFonts w:hint="eastAsia" w:ascii="仿宋_GB2312" w:hAnsi="Yu Mincho" w:eastAsia="仿宋_GB2312"/>
                <w:kern w:val="0"/>
                <w:sz w:val="20"/>
                <w:szCs w:val="20"/>
              </w:rPr>
              <w:t>运行保障</w:t>
            </w:r>
          </w:p>
        </w:tc>
        <w:tc>
          <w:tcPr>
            <w:tcW w:w="851" w:type="dxa"/>
            <w:vMerge w:val="continue"/>
            <w:vAlign w:val="center"/>
          </w:tcPr>
          <w:p w14:paraId="42636A3E">
            <w:pPr>
              <w:topLinePunct/>
              <w:adjustRightInd w:val="0"/>
              <w:snapToGrid w:val="0"/>
              <w:jc w:val="center"/>
              <w:rPr>
                <w:rFonts w:hint="eastAsia" w:ascii="宋体" w:hAnsi="宋体"/>
                <w:kern w:val="0"/>
                <w:sz w:val="20"/>
                <w:szCs w:val="20"/>
              </w:rPr>
            </w:pPr>
          </w:p>
        </w:tc>
        <w:tc>
          <w:tcPr>
            <w:tcW w:w="3143" w:type="dxa"/>
            <w:vMerge w:val="continue"/>
            <w:vAlign w:val="center"/>
          </w:tcPr>
          <w:p w14:paraId="7AEFA8C2">
            <w:pPr>
              <w:topLinePunct/>
              <w:adjustRightInd w:val="0"/>
              <w:snapToGrid w:val="0"/>
              <w:jc w:val="center"/>
              <w:rPr>
                <w:rFonts w:hint="eastAsia" w:ascii="宋体" w:hAnsi="宋体"/>
                <w:kern w:val="0"/>
                <w:sz w:val="20"/>
                <w:szCs w:val="20"/>
              </w:rPr>
            </w:pPr>
          </w:p>
        </w:tc>
      </w:tr>
      <w:tr w14:paraId="28A2A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0301118C">
            <w:pPr>
              <w:topLinePunct/>
              <w:adjustRightInd w:val="0"/>
              <w:snapToGrid w:val="0"/>
              <w:jc w:val="center"/>
              <w:rPr>
                <w:rFonts w:hint="eastAsia" w:ascii="宋体" w:hAnsi="宋体"/>
                <w:kern w:val="0"/>
                <w:sz w:val="20"/>
                <w:szCs w:val="20"/>
              </w:rPr>
            </w:pPr>
          </w:p>
        </w:tc>
        <w:tc>
          <w:tcPr>
            <w:tcW w:w="1442" w:type="dxa"/>
            <w:vMerge w:val="continue"/>
            <w:vAlign w:val="center"/>
          </w:tcPr>
          <w:p w14:paraId="5B0AE9A5">
            <w:pPr>
              <w:topLinePunct/>
              <w:adjustRightInd w:val="0"/>
              <w:snapToGrid w:val="0"/>
              <w:jc w:val="center"/>
              <w:rPr>
                <w:rFonts w:hint="eastAsia" w:ascii="宋体" w:hAnsi="宋体"/>
                <w:color w:val="000000"/>
                <w:kern w:val="0"/>
                <w:sz w:val="20"/>
                <w:szCs w:val="20"/>
              </w:rPr>
            </w:pPr>
          </w:p>
        </w:tc>
        <w:tc>
          <w:tcPr>
            <w:tcW w:w="3944" w:type="dxa"/>
            <w:vAlign w:val="center"/>
          </w:tcPr>
          <w:p w14:paraId="4CB24B37">
            <w:pPr>
              <w:topLinePunct/>
              <w:adjustRightInd w:val="0"/>
              <w:snapToGrid w:val="0"/>
              <w:jc w:val="center"/>
              <w:rPr>
                <w:rFonts w:hint="eastAsia" w:ascii="仿宋_GB2312" w:hAnsi="Yu Mincho" w:eastAsia="仿宋_GB2312"/>
                <w:kern w:val="0"/>
                <w:sz w:val="20"/>
                <w:szCs w:val="20"/>
              </w:rPr>
            </w:pPr>
            <w:r>
              <w:rPr>
                <w:rFonts w:hint="eastAsia" w:ascii="仿宋_GB2312" w:hAnsi="Yu Mincho" w:eastAsia="仿宋_GB2312"/>
                <w:kern w:val="0"/>
                <w:sz w:val="20"/>
                <w:szCs w:val="20"/>
              </w:rPr>
              <w:t>安全生产和应急处置</w:t>
            </w:r>
          </w:p>
        </w:tc>
        <w:tc>
          <w:tcPr>
            <w:tcW w:w="851" w:type="dxa"/>
            <w:vMerge w:val="continue"/>
            <w:vAlign w:val="center"/>
          </w:tcPr>
          <w:p w14:paraId="6EFC5984">
            <w:pPr>
              <w:topLinePunct/>
              <w:adjustRightInd w:val="0"/>
              <w:snapToGrid w:val="0"/>
              <w:jc w:val="center"/>
              <w:rPr>
                <w:rFonts w:hint="eastAsia" w:ascii="宋体" w:hAnsi="宋体"/>
                <w:kern w:val="0"/>
                <w:sz w:val="20"/>
                <w:szCs w:val="20"/>
              </w:rPr>
            </w:pPr>
          </w:p>
        </w:tc>
        <w:tc>
          <w:tcPr>
            <w:tcW w:w="3143" w:type="dxa"/>
            <w:vMerge w:val="continue"/>
            <w:vAlign w:val="center"/>
          </w:tcPr>
          <w:p w14:paraId="6203034E">
            <w:pPr>
              <w:topLinePunct/>
              <w:adjustRightInd w:val="0"/>
              <w:snapToGrid w:val="0"/>
              <w:jc w:val="center"/>
              <w:rPr>
                <w:rFonts w:hint="eastAsia" w:ascii="宋体" w:hAnsi="宋体"/>
                <w:kern w:val="0"/>
                <w:sz w:val="20"/>
                <w:szCs w:val="20"/>
              </w:rPr>
            </w:pPr>
          </w:p>
        </w:tc>
      </w:tr>
      <w:tr w14:paraId="5BCC2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963" w:type="dxa"/>
            <w:vMerge w:val="continue"/>
            <w:vAlign w:val="center"/>
          </w:tcPr>
          <w:p w14:paraId="02C604BF">
            <w:pPr>
              <w:topLinePunct/>
              <w:adjustRightInd w:val="0"/>
              <w:snapToGrid w:val="0"/>
              <w:jc w:val="center"/>
              <w:rPr>
                <w:rFonts w:hint="eastAsia" w:ascii="宋体" w:hAnsi="宋体"/>
                <w:kern w:val="0"/>
                <w:sz w:val="20"/>
                <w:szCs w:val="20"/>
              </w:rPr>
            </w:pPr>
          </w:p>
        </w:tc>
        <w:tc>
          <w:tcPr>
            <w:tcW w:w="1442" w:type="dxa"/>
            <w:vMerge w:val="continue"/>
            <w:vAlign w:val="center"/>
          </w:tcPr>
          <w:p w14:paraId="01B0CB36">
            <w:pPr>
              <w:topLinePunct/>
              <w:adjustRightInd w:val="0"/>
              <w:snapToGrid w:val="0"/>
              <w:jc w:val="center"/>
              <w:rPr>
                <w:rFonts w:hint="eastAsia" w:ascii="宋体" w:hAnsi="宋体"/>
                <w:color w:val="000000"/>
                <w:kern w:val="0"/>
                <w:sz w:val="20"/>
                <w:szCs w:val="20"/>
              </w:rPr>
            </w:pPr>
          </w:p>
        </w:tc>
        <w:tc>
          <w:tcPr>
            <w:tcW w:w="3944" w:type="dxa"/>
            <w:vAlign w:val="center"/>
          </w:tcPr>
          <w:p w14:paraId="76709675">
            <w:pPr>
              <w:topLinePunct/>
              <w:adjustRightInd w:val="0"/>
              <w:snapToGrid w:val="0"/>
              <w:jc w:val="center"/>
              <w:rPr>
                <w:rFonts w:hint="eastAsia" w:ascii="仿宋_GB2312" w:hAnsi="Yu Mincho" w:eastAsia="仿宋_GB2312"/>
                <w:kern w:val="0"/>
                <w:sz w:val="20"/>
                <w:szCs w:val="20"/>
              </w:rPr>
            </w:pPr>
            <w:r>
              <w:rPr>
                <w:rFonts w:hint="eastAsia" w:ascii="仿宋_GB2312" w:hAnsi="Yu Mincho" w:eastAsia="仿宋_GB2312"/>
                <w:kern w:val="0"/>
                <w:sz w:val="20"/>
                <w:szCs w:val="20"/>
              </w:rPr>
              <w:t>宣传与公众服务</w:t>
            </w:r>
          </w:p>
        </w:tc>
        <w:tc>
          <w:tcPr>
            <w:tcW w:w="851" w:type="dxa"/>
            <w:vMerge w:val="continue"/>
            <w:vAlign w:val="center"/>
          </w:tcPr>
          <w:p w14:paraId="5848EE0D">
            <w:pPr>
              <w:topLinePunct/>
              <w:adjustRightInd w:val="0"/>
              <w:snapToGrid w:val="0"/>
              <w:jc w:val="center"/>
              <w:rPr>
                <w:rFonts w:hint="eastAsia" w:ascii="宋体" w:hAnsi="宋体"/>
                <w:kern w:val="0"/>
                <w:sz w:val="20"/>
                <w:szCs w:val="20"/>
              </w:rPr>
            </w:pPr>
          </w:p>
        </w:tc>
        <w:tc>
          <w:tcPr>
            <w:tcW w:w="3143" w:type="dxa"/>
            <w:vMerge w:val="continue"/>
            <w:vAlign w:val="center"/>
          </w:tcPr>
          <w:p w14:paraId="00E13C1F">
            <w:pPr>
              <w:topLinePunct/>
              <w:adjustRightInd w:val="0"/>
              <w:snapToGrid w:val="0"/>
              <w:jc w:val="center"/>
              <w:rPr>
                <w:rFonts w:hint="eastAsia" w:ascii="宋体" w:hAnsi="宋体"/>
                <w:kern w:val="0"/>
                <w:sz w:val="20"/>
                <w:szCs w:val="20"/>
              </w:rPr>
            </w:pPr>
          </w:p>
        </w:tc>
      </w:tr>
      <w:tr w14:paraId="06D1B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963" w:type="dxa"/>
            <w:vMerge w:val="continue"/>
            <w:vAlign w:val="center"/>
          </w:tcPr>
          <w:p w14:paraId="429E8D57">
            <w:pPr>
              <w:topLinePunct/>
              <w:adjustRightInd w:val="0"/>
              <w:snapToGrid w:val="0"/>
              <w:jc w:val="center"/>
              <w:rPr>
                <w:rFonts w:hint="eastAsia" w:ascii="宋体" w:hAnsi="宋体"/>
                <w:kern w:val="0"/>
                <w:sz w:val="20"/>
                <w:szCs w:val="20"/>
              </w:rPr>
            </w:pPr>
          </w:p>
        </w:tc>
        <w:tc>
          <w:tcPr>
            <w:tcW w:w="1442" w:type="dxa"/>
            <w:vMerge w:val="continue"/>
            <w:vAlign w:val="center"/>
          </w:tcPr>
          <w:p w14:paraId="57A12270">
            <w:pPr>
              <w:topLinePunct/>
              <w:adjustRightInd w:val="0"/>
              <w:snapToGrid w:val="0"/>
              <w:jc w:val="center"/>
              <w:rPr>
                <w:rFonts w:hint="eastAsia" w:ascii="宋体" w:hAnsi="宋体"/>
                <w:color w:val="000000"/>
                <w:kern w:val="0"/>
                <w:sz w:val="20"/>
                <w:szCs w:val="20"/>
              </w:rPr>
            </w:pPr>
          </w:p>
        </w:tc>
        <w:tc>
          <w:tcPr>
            <w:tcW w:w="3944" w:type="dxa"/>
            <w:vAlign w:val="center"/>
          </w:tcPr>
          <w:p w14:paraId="5BB308BD">
            <w:pPr>
              <w:topLinePunct/>
              <w:adjustRightInd w:val="0"/>
              <w:snapToGrid w:val="0"/>
              <w:jc w:val="center"/>
              <w:rPr>
                <w:rFonts w:hint="eastAsia" w:ascii="仿宋_GB2312" w:hAnsi="宋体" w:eastAsia="仿宋_GB2312"/>
                <w:kern w:val="0"/>
                <w:sz w:val="20"/>
                <w:szCs w:val="20"/>
              </w:rPr>
            </w:pPr>
            <w:r>
              <w:rPr>
                <w:rFonts w:hint="eastAsia" w:ascii="仿宋_GB2312" w:hAnsi="Yu Mincho" w:eastAsia="仿宋_GB2312"/>
                <w:kern w:val="0"/>
                <w:sz w:val="20"/>
                <w:szCs w:val="20"/>
              </w:rPr>
              <w:t>行业示范带头作用</w:t>
            </w:r>
          </w:p>
        </w:tc>
        <w:tc>
          <w:tcPr>
            <w:tcW w:w="851" w:type="dxa"/>
            <w:vMerge w:val="continue"/>
            <w:vAlign w:val="center"/>
          </w:tcPr>
          <w:p w14:paraId="7E6323A2">
            <w:pPr>
              <w:topLinePunct/>
              <w:adjustRightInd w:val="0"/>
              <w:snapToGrid w:val="0"/>
              <w:jc w:val="center"/>
              <w:rPr>
                <w:rFonts w:hint="eastAsia" w:ascii="宋体" w:hAnsi="宋体"/>
                <w:kern w:val="0"/>
                <w:sz w:val="20"/>
                <w:szCs w:val="20"/>
              </w:rPr>
            </w:pPr>
          </w:p>
        </w:tc>
        <w:tc>
          <w:tcPr>
            <w:tcW w:w="3143" w:type="dxa"/>
            <w:vMerge w:val="continue"/>
            <w:vAlign w:val="center"/>
          </w:tcPr>
          <w:p w14:paraId="3C5AEA0C">
            <w:pPr>
              <w:topLinePunct/>
              <w:adjustRightInd w:val="0"/>
              <w:snapToGrid w:val="0"/>
              <w:jc w:val="center"/>
              <w:rPr>
                <w:rFonts w:hint="eastAsia" w:ascii="宋体" w:hAnsi="宋体"/>
                <w:kern w:val="0"/>
                <w:sz w:val="20"/>
                <w:szCs w:val="20"/>
              </w:rPr>
            </w:pPr>
          </w:p>
        </w:tc>
      </w:tr>
      <w:tr w14:paraId="5D73F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gridSpan w:val="2"/>
            <w:vAlign w:val="center"/>
          </w:tcPr>
          <w:p w14:paraId="35D7EB0F">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绿化季度</w:t>
            </w:r>
          </w:p>
          <w:p w14:paraId="37617BBC">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考核得分</w:t>
            </w:r>
          </w:p>
        </w:tc>
        <w:tc>
          <w:tcPr>
            <w:tcW w:w="3944" w:type="dxa"/>
            <w:vAlign w:val="center"/>
          </w:tcPr>
          <w:p w14:paraId="31D4BA9B">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（1）~（3）得分总和</w:t>
            </w:r>
          </w:p>
        </w:tc>
        <w:tc>
          <w:tcPr>
            <w:tcW w:w="851" w:type="dxa"/>
            <w:vAlign w:val="center"/>
          </w:tcPr>
          <w:p w14:paraId="4907A7F2">
            <w:pPr>
              <w:topLinePunct/>
              <w:adjustRightInd w:val="0"/>
              <w:snapToGrid w:val="0"/>
              <w:jc w:val="center"/>
              <w:rPr>
                <w:rFonts w:hint="eastAsia" w:ascii="宋体" w:hAnsi="宋体"/>
                <w:b/>
                <w:bCs/>
                <w:kern w:val="0"/>
                <w:sz w:val="20"/>
                <w:szCs w:val="20"/>
              </w:rPr>
            </w:pPr>
            <w:r>
              <w:rPr>
                <w:rFonts w:ascii="宋体" w:hAnsi="宋体"/>
                <w:b/>
                <w:bCs/>
                <w:kern w:val="0"/>
                <w:sz w:val="20"/>
                <w:szCs w:val="20"/>
              </w:rPr>
              <w:t>-</w:t>
            </w:r>
          </w:p>
        </w:tc>
        <w:tc>
          <w:tcPr>
            <w:tcW w:w="3143" w:type="dxa"/>
            <w:vAlign w:val="center"/>
          </w:tcPr>
          <w:p w14:paraId="45C2CE5F">
            <w:pPr>
              <w:topLinePunct/>
              <w:adjustRightInd w:val="0"/>
              <w:snapToGrid w:val="0"/>
              <w:jc w:val="center"/>
              <w:rPr>
                <w:rFonts w:hint="eastAsia" w:ascii="宋体" w:hAnsi="宋体"/>
                <w:kern w:val="0"/>
                <w:sz w:val="20"/>
                <w:szCs w:val="20"/>
              </w:rPr>
            </w:pPr>
          </w:p>
        </w:tc>
      </w:tr>
    </w:tbl>
    <w:p w14:paraId="459AAF35">
      <w:pPr>
        <w:topLinePunct/>
        <w:adjustRightInd w:val="0"/>
        <w:snapToGrid w:val="0"/>
        <w:spacing w:line="500" w:lineRule="exact"/>
        <w:ind w:firstLine="420" w:firstLineChars="200"/>
        <w:rPr>
          <w:rFonts w:ascii="Times New Roman" w:hAnsi="Times New Roman"/>
          <w:szCs w:val="21"/>
        </w:rPr>
      </w:pPr>
    </w:p>
    <w:p w14:paraId="5A406E93">
      <w:pPr>
        <w:topLinePunct/>
        <w:adjustRightInd w:val="0"/>
        <w:snapToGrid w:val="0"/>
        <w:spacing w:line="500" w:lineRule="exact"/>
        <w:ind w:firstLine="422" w:firstLineChars="200"/>
        <w:rPr>
          <w:rFonts w:hint="eastAsia" w:ascii="宋体" w:hAnsi="宋体"/>
          <w:b/>
          <w:bCs/>
          <w:szCs w:val="21"/>
        </w:rPr>
      </w:pPr>
      <w:r>
        <w:rPr>
          <w:rFonts w:ascii="宋体" w:hAnsi="宋体"/>
          <w:b/>
          <w:bCs/>
          <w:szCs w:val="21"/>
        </w:rPr>
        <w:br w:type="page"/>
      </w:r>
    </w:p>
    <w:p w14:paraId="74DEF3F0">
      <w:pPr>
        <w:topLinePunct/>
        <w:adjustRightInd w:val="0"/>
        <w:snapToGrid w:val="0"/>
        <w:spacing w:before="120" w:beforeLines="50" w:after="120" w:afterLines="50" w:line="360" w:lineRule="auto"/>
        <w:jc w:val="center"/>
        <w:rPr>
          <w:rFonts w:hint="eastAsia" w:ascii="Times New Roman" w:hAnsi="华文中宋" w:eastAsia="华文中宋"/>
          <w:b/>
          <w:kern w:val="0"/>
          <w:sz w:val="32"/>
          <w:szCs w:val="32"/>
        </w:rPr>
      </w:pPr>
      <w:r>
        <w:rPr>
          <w:rFonts w:hint="eastAsia" w:ascii="Times New Roman" w:hAnsi="华文中宋" w:eastAsia="华文中宋"/>
          <w:b/>
          <w:kern w:val="0"/>
          <w:sz w:val="32"/>
          <w:szCs w:val="32"/>
        </w:rPr>
        <w:t>附录十  市管城市道路绿化养护年度考核评分表</w:t>
      </w:r>
    </w:p>
    <w:tbl>
      <w:tblPr>
        <w:tblStyle w:val="397"/>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7"/>
        <w:gridCol w:w="2127"/>
        <w:gridCol w:w="2810"/>
        <w:gridCol w:w="1017"/>
        <w:gridCol w:w="1984"/>
      </w:tblGrid>
      <w:tr w14:paraId="664EB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355" w:type="dxa"/>
            <w:gridSpan w:val="5"/>
            <w:vAlign w:val="center"/>
          </w:tcPr>
          <w:p w14:paraId="284125AA">
            <w:pPr>
              <w:topLinePunct/>
              <w:adjustRightInd w:val="0"/>
              <w:snapToGrid w:val="0"/>
              <w:jc w:val="center"/>
              <w:rPr>
                <w:rFonts w:hint="eastAsia" w:ascii="黑体" w:hAnsi="黑体" w:eastAsia="黑体"/>
                <w:kern w:val="0"/>
                <w:sz w:val="20"/>
                <w:szCs w:val="21"/>
              </w:rPr>
            </w:pPr>
            <w:r>
              <w:rPr>
                <w:rFonts w:hint="eastAsia" w:ascii="黑体" w:hAnsi="黑体" w:eastAsia="黑体"/>
                <w:kern w:val="0"/>
                <w:sz w:val="28"/>
                <w:szCs w:val="32"/>
              </w:rPr>
              <w:t>表</w:t>
            </w:r>
            <w:r>
              <w:rPr>
                <w:rFonts w:ascii="黑体" w:hAnsi="黑体" w:eastAsia="黑体"/>
                <w:kern w:val="0"/>
                <w:sz w:val="28"/>
                <w:szCs w:val="32"/>
              </w:rPr>
              <w:t xml:space="preserve">10 </w:t>
            </w:r>
            <w:r>
              <w:rPr>
                <w:rFonts w:hint="eastAsia" w:ascii="黑体" w:hAnsi="黑体" w:eastAsia="黑体"/>
                <w:kern w:val="0"/>
                <w:sz w:val="28"/>
                <w:szCs w:val="32"/>
              </w:rPr>
              <w:t>市管城市道路绿化养护年度考核评分表</w:t>
            </w:r>
          </w:p>
        </w:tc>
      </w:tr>
      <w:tr w14:paraId="14292A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6354" w:type="dxa"/>
            <w:gridSpan w:val="3"/>
            <w:vMerge w:val="restart"/>
            <w:vAlign w:val="center"/>
          </w:tcPr>
          <w:p w14:paraId="75F8BD57">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考核设施：</w:t>
            </w:r>
          </w:p>
        </w:tc>
        <w:tc>
          <w:tcPr>
            <w:tcW w:w="3001" w:type="dxa"/>
            <w:gridSpan w:val="2"/>
            <w:vAlign w:val="center"/>
          </w:tcPr>
          <w:p w14:paraId="62849A87">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检查日期：</w:t>
            </w:r>
          </w:p>
        </w:tc>
      </w:tr>
      <w:tr w14:paraId="3BB74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6354" w:type="dxa"/>
            <w:gridSpan w:val="3"/>
            <w:vMerge w:val="continue"/>
            <w:vAlign w:val="center"/>
          </w:tcPr>
          <w:p w14:paraId="0A5D9FB3">
            <w:pPr>
              <w:topLinePunct/>
              <w:adjustRightInd w:val="0"/>
              <w:snapToGrid w:val="0"/>
              <w:rPr>
                <w:rFonts w:hint="eastAsia" w:ascii="仿宋_GB2312" w:hAnsi="宋体" w:eastAsia="仿宋_GB2312"/>
                <w:kern w:val="0"/>
                <w:sz w:val="24"/>
                <w:szCs w:val="28"/>
              </w:rPr>
            </w:pPr>
          </w:p>
        </w:tc>
        <w:tc>
          <w:tcPr>
            <w:tcW w:w="3001" w:type="dxa"/>
            <w:gridSpan w:val="2"/>
            <w:vAlign w:val="center"/>
          </w:tcPr>
          <w:p w14:paraId="44C459D6">
            <w:pPr>
              <w:topLinePunct/>
              <w:adjustRightInd w:val="0"/>
              <w:snapToGrid w:val="0"/>
              <w:rPr>
                <w:rFonts w:hint="eastAsia" w:ascii="仿宋_GB2312" w:hAnsi="宋体" w:eastAsia="仿宋_GB2312"/>
                <w:kern w:val="0"/>
                <w:sz w:val="24"/>
                <w:szCs w:val="28"/>
              </w:rPr>
            </w:pPr>
            <w:r>
              <w:rPr>
                <w:rFonts w:hint="eastAsia" w:ascii="仿宋_GB2312" w:hAnsi="宋体" w:eastAsia="仿宋_GB2312"/>
                <w:kern w:val="0"/>
                <w:sz w:val="24"/>
                <w:szCs w:val="28"/>
              </w:rPr>
              <w:t>检查人员：</w:t>
            </w:r>
          </w:p>
        </w:tc>
      </w:tr>
      <w:tr w14:paraId="24062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417" w:type="dxa"/>
            <w:vAlign w:val="center"/>
          </w:tcPr>
          <w:p w14:paraId="026BAC54">
            <w:pPr>
              <w:topLinePunct/>
              <w:adjustRightInd w:val="0"/>
              <w:snapToGrid w:val="0"/>
              <w:jc w:val="center"/>
              <w:rPr>
                <w:rFonts w:hint="eastAsia" w:ascii="宋体" w:hAnsi="宋体"/>
                <w:kern w:val="0"/>
                <w:sz w:val="20"/>
                <w:szCs w:val="20"/>
              </w:rPr>
            </w:pPr>
            <w:r>
              <w:rPr>
                <w:rFonts w:hint="eastAsia" w:ascii="宋体" w:hAnsi="宋体"/>
                <w:kern w:val="0"/>
                <w:sz w:val="20"/>
                <w:szCs w:val="20"/>
              </w:rPr>
              <w:t>项目</w:t>
            </w:r>
          </w:p>
        </w:tc>
        <w:tc>
          <w:tcPr>
            <w:tcW w:w="2127" w:type="dxa"/>
            <w:vAlign w:val="center"/>
          </w:tcPr>
          <w:p w14:paraId="77BEBF52">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考核内容</w:t>
            </w:r>
          </w:p>
        </w:tc>
        <w:tc>
          <w:tcPr>
            <w:tcW w:w="2810" w:type="dxa"/>
            <w:vAlign w:val="center"/>
          </w:tcPr>
          <w:p w14:paraId="6BBE9E75">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考核得分</w:t>
            </w:r>
          </w:p>
        </w:tc>
        <w:tc>
          <w:tcPr>
            <w:tcW w:w="1017" w:type="dxa"/>
            <w:vAlign w:val="center"/>
          </w:tcPr>
          <w:p w14:paraId="0AD1CE0B">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标准分</w:t>
            </w:r>
          </w:p>
        </w:tc>
        <w:tc>
          <w:tcPr>
            <w:tcW w:w="1984" w:type="dxa"/>
            <w:vAlign w:val="center"/>
          </w:tcPr>
          <w:p w14:paraId="2DDA1FE3">
            <w:pPr>
              <w:topLinePunct/>
              <w:adjustRightInd w:val="0"/>
              <w:snapToGrid w:val="0"/>
              <w:spacing w:line="240" w:lineRule="exact"/>
              <w:jc w:val="center"/>
              <w:rPr>
                <w:rFonts w:hint="eastAsia" w:ascii="仿宋_GB2312" w:hAnsi="宋体" w:eastAsia="仿宋_GB2312"/>
                <w:kern w:val="0"/>
                <w:sz w:val="20"/>
                <w:szCs w:val="20"/>
              </w:rPr>
            </w:pPr>
            <w:r>
              <w:rPr>
                <w:rFonts w:hint="eastAsia" w:ascii="仿宋_GB2312" w:hAnsi="宋体" w:eastAsia="仿宋_GB2312"/>
                <w:kern w:val="0"/>
                <w:sz w:val="20"/>
                <w:szCs w:val="20"/>
              </w:rPr>
              <w:t>考核总分</w:t>
            </w:r>
          </w:p>
        </w:tc>
      </w:tr>
      <w:tr w14:paraId="1245A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restart"/>
            <w:vAlign w:val="center"/>
          </w:tcPr>
          <w:p w14:paraId="1A411E9F">
            <w:pPr>
              <w:topLinePunct/>
              <w:adjustRightInd w:val="0"/>
              <w:snapToGrid w:val="0"/>
              <w:jc w:val="center"/>
              <w:rPr>
                <w:rFonts w:hint="eastAsia" w:ascii="宋体" w:hAnsi="宋体"/>
                <w:color w:val="000000"/>
                <w:kern w:val="0"/>
                <w:sz w:val="20"/>
                <w:szCs w:val="20"/>
              </w:rPr>
            </w:pPr>
            <w:r>
              <w:rPr>
                <w:rFonts w:hint="eastAsia" w:ascii="宋体" w:hAnsi="宋体"/>
                <w:color w:val="000000"/>
                <w:kern w:val="0"/>
                <w:sz w:val="20"/>
                <w:szCs w:val="20"/>
              </w:rPr>
              <w:t>季度考核分</w:t>
            </w:r>
          </w:p>
        </w:tc>
        <w:tc>
          <w:tcPr>
            <w:tcW w:w="2127" w:type="dxa"/>
            <w:vAlign w:val="center"/>
          </w:tcPr>
          <w:p w14:paraId="4F4086CA">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第一次考核</w:t>
            </w:r>
          </w:p>
        </w:tc>
        <w:tc>
          <w:tcPr>
            <w:tcW w:w="2810" w:type="dxa"/>
            <w:vAlign w:val="center"/>
          </w:tcPr>
          <w:p w14:paraId="797FC2BB">
            <w:pPr>
              <w:topLinePunct/>
              <w:adjustRightInd w:val="0"/>
              <w:snapToGrid w:val="0"/>
              <w:jc w:val="center"/>
              <w:rPr>
                <w:rFonts w:hint="eastAsia" w:ascii="仿宋_GB2312" w:hAnsi="宋体" w:eastAsia="仿宋_GB2312"/>
                <w:kern w:val="0"/>
                <w:sz w:val="20"/>
                <w:szCs w:val="20"/>
              </w:rPr>
            </w:pPr>
          </w:p>
        </w:tc>
        <w:tc>
          <w:tcPr>
            <w:tcW w:w="1017" w:type="dxa"/>
            <w:vMerge w:val="restart"/>
            <w:vAlign w:val="center"/>
          </w:tcPr>
          <w:p w14:paraId="355E677C">
            <w:pPr>
              <w:topLinePunct/>
              <w:adjustRightInd w:val="0"/>
              <w:snapToGrid w:val="0"/>
              <w:jc w:val="center"/>
              <w:rPr>
                <w:rFonts w:hint="eastAsia" w:ascii="仿宋_GB2312" w:hAnsi="宋体" w:eastAsia="仿宋_GB2312"/>
                <w:kern w:val="0"/>
                <w:sz w:val="20"/>
                <w:szCs w:val="20"/>
              </w:rPr>
            </w:pPr>
          </w:p>
        </w:tc>
        <w:tc>
          <w:tcPr>
            <w:tcW w:w="1984" w:type="dxa"/>
            <w:vMerge w:val="restart"/>
            <w:vAlign w:val="center"/>
          </w:tcPr>
          <w:p w14:paraId="01B4DB17">
            <w:pPr>
              <w:topLinePunct/>
              <w:adjustRightInd w:val="0"/>
              <w:snapToGrid w:val="0"/>
              <w:jc w:val="center"/>
              <w:rPr>
                <w:rFonts w:hint="eastAsia" w:ascii="仿宋_GB2312" w:hAnsi="宋体" w:eastAsia="仿宋_GB2312"/>
                <w:kern w:val="0"/>
                <w:sz w:val="20"/>
                <w:szCs w:val="20"/>
              </w:rPr>
            </w:pPr>
          </w:p>
        </w:tc>
      </w:tr>
      <w:tr w14:paraId="3D602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417" w:type="dxa"/>
            <w:vMerge w:val="continue"/>
            <w:vAlign w:val="center"/>
          </w:tcPr>
          <w:p w14:paraId="1573D55C">
            <w:pPr>
              <w:topLinePunct/>
              <w:adjustRightInd w:val="0"/>
              <w:snapToGrid w:val="0"/>
              <w:jc w:val="center"/>
              <w:rPr>
                <w:rFonts w:hint="eastAsia" w:ascii="宋体" w:hAnsi="宋体"/>
                <w:color w:val="000000"/>
                <w:kern w:val="0"/>
                <w:sz w:val="20"/>
                <w:szCs w:val="20"/>
              </w:rPr>
            </w:pPr>
          </w:p>
        </w:tc>
        <w:tc>
          <w:tcPr>
            <w:tcW w:w="2127" w:type="dxa"/>
            <w:vAlign w:val="center"/>
          </w:tcPr>
          <w:p w14:paraId="17CCEF49">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第二次考核</w:t>
            </w:r>
          </w:p>
        </w:tc>
        <w:tc>
          <w:tcPr>
            <w:tcW w:w="2810" w:type="dxa"/>
            <w:vAlign w:val="center"/>
          </w:tcPr>
          <w:p w14:paraId="2C047439">
            <w:pPr>
              <w:topLinePunct/>
              <w:adjustRightInd w:val="0"/>
              <w:snapToGrid w:val="0"/>
              <w:jc w:val="center"/>
              <w:rPr>
                <w:rFonts w:hint="eastAsia" w:ascii="仿宋_GB2312" w:hAnsi="宋体" w:eastAsia="仿宋_GB2312"/>
                <w:kern w:val="0"/>
                <w:sz w:val="20"/>
                <w:szCs w:val="20"/>
              </w:rPr>
            </w:pPr>
          </w:p>
        </w:tc>
        <w:tc>
          <w:tcPr>
            <w:tcW w:w="1017" w:type="dxa"/>
            <w:vMerge w:val="continue"/>
            <w:vAlign w:val="center"/>
          </w:tcPr>
          <w:p w14:paraId="41EB8B18">
            <w:pPr>
              <w:topLinePunct/>
              <w:adjustRightInd w:val="0"/>
              <w:snapToGrid w:val="0"/>
              <w:jc w:val="center"/>
              <w:rPr>
                <w:rFonts w:hint="eastAsia" w:ascii="仿宋_GB2312" w:hAnsi="宋体" w:eastAsia="仿宋_GB2312"/>
                <w:kern w:val="0"/>
                <w:sz w:val="20"/>
                <w:szCs w:val="20"/>
              </w:rPr>
            </w:pPr>
          </w:p>
        </w:tc>
        <w:tc>
          <w:tcPr>
            <w:tcW w:w="1984" w:type="dxa"/>
            <w:vMerge w:val="continue"/>
            <w:vAlign w:val="center"/>
          </w:tcPr>
          <w:p w14:paraId="0443F023">
            <w:pPr>
              <w:topLinePunct/>
              <w:adjustRightInd w:val="0"/>
              <w:snapToGrid w:val="0"/>
              <w:jc w:val="center"/>
              <w:rPr>
                <w:rFonts w:hint="eastAsia" w:ascii="仿宋_GB2312" w:hAnsi="宋体" w:eastAsia="仿宋_GB2312"/>
                <w:kern w:val="0"/>
                <w:sz w:val="20"/>
                <w:szCs w:val="20"/>
              </w:rPr>
            </w:pPr>
          </w:p>
        </w:tc>
      </w:tr>
      <w:tr w14:paraId="47644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1417" w:type="dxa"/>
            <w:vMerge w:val="continue"/>
            <w:vAlign w:val="center"/>
          </w:tcPr>
          <w:p w14:paraId="2DFAED3B">
            <w:pPr>
              <w:topLinePunct/>
              <w:adjustRightInd w:val="0"/>
              <w:snapToGrid w:val="0"/>
              <w:jc w:val="center"/>
              <w:rPr>
                <w:rFonts w:hint="eastAsia" w:ascii="宋体" w:hAnsi="宋体"/>
                <w:color w:val="000000"/>
                <w:kern w:val="0"/>
                <w:sz w:val="20"/>
                <w:szCs w:val="20"/>
              </w:rPr>
            </w:pPr>
          </w:p>
        </w:tc>
        <w:tc>
          <w:tcPr>
            <w:tcW w:w="2127" w:type="dxa"/>
            <w:vAlign w:val="center"/>
          </w:tcPr>
          <w:p w14:paraId="0E6BB78B">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第三次考核</w:t>
            </w:r>
          </w:p>
        </w:tc>
        <w:tc>
          <w:tcPr>
            <w:tcW w:w="2810" w:type="dxa"/>
            <w:vAlign w:val="center"/>
          </w:tcPr>
          <w:p w14:paraId="556D116F">
            <w:pPr>
              <w:topLinePunct/>
              <w:adjustRightInd w:val="0"/>
              <w:snapToGrid w:val="0"/>
              <w:jc w:val="center"/>
              <w:rPr>
                <w:rFonts w:hint="eastAsia" w:ascii="仿宋_GB2312" w:hAnsi="宋体" w:eastAsia="仿宋_GB2312"/>
                <w:kern w:val="0"/>
                <w:sz w:val="20"/>
                <w:szCs w:val="20"/>
              </w:rPr>
            </w:pPr>
          </w:p>
        </w:tc>
        <w:tc>
          <w:tcPr>
            <w:tcW w:w="1017" w:type="dxa"/>
            <w:vMerge w:val="continue"/>
            <w:vAlign w:val="center"/>
          </w:tcPr>
          <w:p w14:paraId="5442A32B">
            <w:pPr>
              <w:topLinePunct/>
              <w:adjustRightInd w:val="0"/>
              <w:snapToGrid w:val="0"/>
              <w:jc w:val="center"/>
              <w:rPr>
                <w:rFonts w:hint="eastAsia" w:ascii="仿宋_GB2312" w:hAnsi="宋体" w:eastAsia="仿宋_GB2312"/>
                <w:kern w:val="0"/>
                <w:sz w:val="20"/>
                <w:szCs w:val="20"/>
              </w:rPr>
            </w:pPr>
          </w:p>
        </w:tc>
        <w:tc>
          <w:tcPr>
            <w:tcW w:w="1984" w:type="dxa"/>
            <w:vMerge w:val="continue"/>
            <w:vAlign w:val="center"/>
          </w:tcPr>
          <w:p w14:paraId="1B7A8C47">
            <w:pPr>
              <w:topLinePunct/>
              <w:adjustRightInd w:val="0"/>
              <w:snapToGrid w:val="0"/>
              <w:jc w:val="center"/>
              <w:rPr>
                <w:rFonts w:hint="eastAsia" w:ascii="仿宋_GB2312" w:hAnsi="宋体" w:eastAsia="仿宋_GB2312"/>
                <w:kern w:val="0"/>
                <w:sz w:val="20"/>
                <w:szCs w:val="20"/>
              </w:rPr>
            </w:pPr>
          </w:p>
        </w:tc>
      </w:tr>
      <w:tr w14:paraId="76911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exact"/>
          <w:jc w:val="center"/>
        </w:trPr>
        <w:tc>
          <w:tcPr>
            <w:tcW w:w="1417" w:type="dxa"/>
            <w:vMerge w:val="continue"/>
            <w:vAlign w:val="center"/>
          </w:tcPr>
          <w:p w14:paraId="6D684932">
            <w:pPr>
              <w:topLinePunct/>
              <w:adjustRightInd w:val="0"/>
              <w:snapToGrid w:val="0"/>
              <w:jc w:val="center"/>
              <w:rPr>
                <w:rFonts w:hint="eastAsia" w:ascii="宋体" w:hAnsi="宋体"/>
                <w:color w:val="000000"/>
                <w:kern w:val="0"/>
                <w:sz w:val="20"/>
                <w:szCs w:val="20"/>
              </w:rPr>
            </w:pPr>
          </w:p>
        </w:tc>
        <w:tc>
          <w:tcPr>
            <w:tcW w:w="2127" w:type="dxa"/>
            <w:vAlign w:val="center"/>
          </w:tcPr>
          <w:p w14:paraId="54CD0277">
            <w:pPr>
              <w:topLinePunct/>
              <w:adjustRightInd w:val="0"/>
              <w:snapToGrid w:val="0"/>
              <w:jc w:val="center"/>
              <w:rPr>
                <w:rFonts w:hint="eastAsia" w:ascii="仿宋_GB2312" w:hAnsi="宋体" w:eastAsia="仿宋_GB2312"/>
                <w:kern w:val="0"/>
                <w:sz w:val="20"/>
                <w:szCs w:val="20"/>
              </w:rPr>
            </w:pPr>
            <w:r>
              <w:rPr>
                <w:rFonts w:hint="eastAsia" w:ascii="仿宋_GB2312" w:hAnsi="宋体" w:eastAsia="仿宋_GB2312"/>
                <w:kern w:val="0"/>
                <w:sz w:val="20"/>
                <w:szCs w:val="20"/>
              </w:rPr>
              <w:t>第四次考核</w:t>
            </w:r>
          </w:p>
        </w:tc>
        <w:tc>
          <w:tcPr>
            <w:tcW w:w="2810" w:type="dxa"/>
            <w:vAlign w:val="center"/>
          </w:tcPr>
          <w:p w14:paraId="57E48072">
            <w:pPr>
              <w:topLinePunct/>
              <w:adjustRightInd w:val="0"/>
              <w:snapToGrid w:val="0"/>
              <w:jc w:val="center"/>
              <w:rPr>
                <w:rFonts w:hint="eastAsia" w:ascii="仿宋_GB2312" w:hAnsi="宋体" w:eastAsia="仿宋_GB2312"/>
                <w:kern w:val="0"/>
                <w:sz w:val="20"/>
                <w:szCs w:val="20"/>
              </w:rPr>
            </w:pPr>
          </w:p>
        </w:tc>
        <w:tc>
          <w:tcPr>
            <w:tcW w:w="1017" w:type="dxa"/>
            <w:vMerge w:val="continue"/>
            <w:vAlign w:val="center"/>
          </w:tcPr>
          <w:p w14:paraId="742080DC">
            <w:pPr>
              <w:topLinePunct/>
              <w:adjustRightInd w:val="0"/>
              <w:snapToGrid w:val="0"/>
              <w:jc w:val="center"/>
              <w:rPr>
                <w:rFonts w:hint="eastAsia" w:ascii="仿宋_GB2312" w:hAnsi="宋体" w:eastAsia="仿宋_GB2312"/>
                <w:kern w:val="0"/>
                <w:sz w:val="20"/>
                <w:szCs w:val="20"/>
              </w:rPr>
            </w:pPr>
          </w:p>
        </w:tc>
        <w:tc>
          <w:tcPr>
            <w:tcW w:w="1984" w:type="dxa"/>
            <w:vMerge w:val="continue"/>
            <w:vAlign w:val="center"/>
          </w:tcPr>
          <w:p w14:paraId="1DFC63E5">
            <w:pPr>
              <w:topLinePunct/>
              <w:adjustRightInd w:val="0"/>
              <w:snapToGrid w:val="0"/>
              <w:jc w:val="center"/>
              <w:rPr>
                <w:rFonts w:hint="eastAsia" w:ascii="仿宋_GB2312" w:hAnsi="宋体" w:eastAsia="仿宋_GB2312"/>
                <w:kern w:val="0"/>
                <w:sz w:val="20"/>
                <w:szCs w:val="20"/>
              </w:rPr>
            </w:pPr>
          </w:p>
        </w:tc>
      </w:tr>
      <w:tr w14:paraId="39444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17" w:type="dxa"/>
            <w:vAlign w:val="center"/>
          </w:tcPr>
          <w:p w14:paraId="375DAF64">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绿化年度</w:t>
            </w:r>
          </w:p>
          <w:p w14:paraId="201E675F">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考核得分</w:t>
            </w:r>
          </w:p>
        </w:tc>
        <w:tc>
          <w:tcPr>
            <w:tcW w:w="4937" w:type="dxa"/>
            <w:gridSpan w:val="2"/>
            <w:vAlign w:val="center"/>
          </w:tcPr>
          <w:p w14:paraId="49706B66">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color w:val="000000"/>
                <w:kern w:val="0"/>
                <w:sz w:val="20"/>
                <w:szCs w:val="20"/>
                <w:lang w:eastAsia="ja-JP"/>
              </w:rPr>
              <w:t>各季度考核分的算术平均值</w:t>
            </w:r>
          </w:p>
        </w:tc>
        <w:tc>
          <w:tcPr>
            <w:tcW w:w="1017" w:type="dxa"/>
            <w:vAlign w:val="center"/>
          </w:tcPr>
          <w:p w14:paraId="78D4F142">
            <w:pPr>
              <w:topLinePunct/>
              <w:adjustRightInd w:val="0"/>
              <w:snapToGrid w:val="0"/>
              <w:jc w:val="center"/>
              <w:rPr>
                <w:rFonts w:hint="eastAsia" w:ascii="仿宋_GB2312" w:hAnsi="宋体" w:eastAsia="仿宋_GB2312"/>
                <w:b/>
                <w:bCs/>
                <w:kern w:val="0"/>
                <w:sz w:val="20"/>
                <w:szCs w:val="20"/>
              </w:rPr>
            </w:pPr>
            <w:r>
              <w:rPr>
                <w:rFonts w:hint="eastAsia" w:ascii="仿宋_GB2312" w:hAnsi="宋体" w:eastAsia="仿宋_GB2312"/>
                <w:b/>
                <w:bCs/>
                <w:kern w:val="0"/>
                <w:sz w:val="20"/>
                <w:szCs w:val="20"/>
              </w:rPr>
              <w:t>-</w:t>
            </w:r>
          </w:p>
        </w:tc>
        <w:tc>
          <w:tcPr>
            <w:tcW w:w="1984" w:type="dxa"/>
            <w:tcBorders>
              <w:bottom w:val="single" w:color="auto" w:sz="4" w:space="0"/>
            </w:tcBorders>
            <w:vAlign w:val="center"/>
          </w:tcPr>
          <w:p w14:paraId="1C385C93">
            <w:pPr>
              <w:topLinePunct/>
              <w:adjustRightInd w:val="0"/>
              <w:snapToGrid w:val="0"/>
              <w:jc w:val="center"/>
              <w:rPr>
                <w:rFonts w:hint="eastAsia" w:ascii="仿宋_GB2312" w:hAnsi="宋体" w:eastAsia="仿宋_GB2312"/>
                <w:kern w:val="0"/>
                <w:sz w:val="20"/>
                <w:szCs w:val="20"/>
              </w:rPr>
            </w:pPr>
          </w:p>
        </w:tc>
      </w:tr>
    </w:tbl>
    <w:p w14:paraId="0B62A010">
      <w:pPr>
        <w:topLinePunct/>
        <w:adjustRightInd w:val="0"/>
        <w:snapToGrid w:val="0"/>
        <w:jc w:val="left"/>
        <w:rPr>
          <w:rFonts w:ascii="Cambria Math" w:hAnsi="Cambria Math" w:cs="Cambria Math"/>
          <w:sz w:val="20"/>
          <w:szCs w:val="20"/>
        </w:rPr>
      </w:pPr>
      <w:r>
        <w:rPr>
          <w:rFonts w:hint="eastAsia" w:ascii="仿宋" w:hAnsi="仿宋" w:eastAsia="仿宋"/>
          <w:sz w:val="20"/>
          <w:szCs w:val="20"/>
        </w:rPr>
        <w:t>备</w:t>
      </w:r>
      <w:r>
        <w:rPr>
          <w:rFonts w:ascii="仿宋" w:hAnsi="仿宋" w:eastAsia="仿宋"/>
          <w:sz w:val="20"/>
          <w:szCs w:val="20"/>
        </w:rPr>
        <w:t>注：</w:t>
      </w:r>
      <w:r>
        <w:rPr>
          <w:rFonts w:hint="eastAsia" w:ascii="仿宋" w:hAnsi="仿宋" w:eastAsia="仿宋"/>
          <w:sz w:val="20"/>
          <w:szCs w:val="20"/>
        </w:rPr>
        <w:t>绿化无年度检测分，年度考核期间各季度考核分的算术平均值即为年度考核得分。</w:t>
      </w:r>
    </w:p>
    <w:p w14:paraId="61A339BC">
      <w:pPr>
        <w:widowControl/>
        <w:spacing w:line="500" w:lineRule="exact"/>
        <w:rPr>
          <w:rFonts w:hint="eastAsia" w:ascii="仿宋_GB2312" w:hAnsi="仿宋_GB2312" w:eastAsia="仿宋_GB2312"/>
          <w:sz w:val="24"/>
        </w:rPr>
      </w:pPr>
    </w:p>
    <w:p w14:paraId="6658C70D">
      <w:pPr>
        <w:topLinePunct/>
        <w:adjustRightInd w:val="0"/>
        <w:snapToGrid w:val="0"/>
        <w:spacing w:line="500" w:lineRule="exact"/>
        <w:rPr>
          <w:rFonts w:hint="eastAsia" w:ascii="宋体" w:hAnsi="宋体" w:cs="宋体"/>
          <w:b/>
          <w:snapToGrid w:val="0"/>
          <w:kern w:val="0"/>
          <w:szCs w:val="21"/>
        </w:rPr>
      </w:pPr>
      <w:r>
        <w:rPr>
          <w:rFonts w:hint="eastAsia" w:ascii="仿宋" w:hAnsi="仿宋" w:eastAsia="仿宋"/>
          <w:sz w:val="20"/>
          <w:szCs w:val="20"/>
        </w:rPr>
        <w:br w:type="page"/>
      </w:r>
    </w:p>
    <w:p w14:paraId="39531340">
      <w:pPr>
        <w:topLinePunct/>
        <w:adjustRightInd w:val="0"/>
        <w:snapToGrid w:val="0"/>
        <w:spacing w:line="360" w:lineRule="auto"/>
        <w:jc w:val="left"/>
        <w:outlineLvl w:val="0"/>
        <w:rPr>
          <w:rFonts w:hint="eastAsia" w:ascii="宋体" w:hAnsi="宋体" w:cs="宋体"/>
          <w:b/>
          <w:snapToGrid w:val="0"/>
          <w:kern w:val="0"/>
          <w:szCs w:val="21"/>
        </w:rPr>
      </w:pPr>
      <w:r>
        <w:rPr>
          <w:rFonts w:hint="eastAsia" w:ascii="宋体" w:hAnsi="宋体" w:cs="宋体"/>
          <w:b/>
          <w:snapToGrid w:val="0"/>
          <w:kern w:val="0"/>
          <w:szCs w:val="21"/>
        </w:rPr>
        <w:t>附件二：养护工作量清单（另行提供）</w:t>
      </w:r>
    </w:p>
    <w:p w14:paraId="39531341">
      <w:pPr>
        <w:topLinePunct/>
        <w:adjustRightInd w:val="0"/>
        <w:snapToGrid w:val="0"/>
        <w:spacing w:line="360" w:lineRule="auto"/>
        <w:jc w:val="left"/>
        <w:rPr>
          <w:rFonts w:hint="eastAsia" w:ascii="宋体" w:hAnsi="宋体" w:cs="宋体"/>
          <w:b/>
          <w:bCs/>
          <w:snapToGrid w:val="0"/>
          <w:kern w:val="0"/>
          <w:szCs w:val="21"/>
        </w:rPr>
      </w:pPr>
    </w:p>
    <w:p w14:paraId="39531342">
      <w:pPr>
        <w:topLinePunct/>
        <w:adjustRightInd w:val="0"/>
        <w:snapToGrid w:val="0"/>
        <w:spacing w:line="360" w:lineRule="auto"/>
        <w:jc w:val="left"/>
        <w:rPr>
          <w:rFonts w:hint="eastAsia" w:ascii="宋体" w:hAnsi="宋体" w:cs="宋体"/>
          <w:b/>
          <w:bCs/>
          <w:snapToGrid w:val="0"/>
          <w:kern w:val="0"/>
          <w:szCs w:val="21"/>
        </w:rPr>
      </w:pPr>
    </w:p>
    <w:p w14:paraId="39531343">
      <w:pPr>
        <w:topLinePunct/>
        <w:adjustRightInd w:val="0"/>
        <w:snapToGrid w:val="0"/>
        <w:spacing w:before="120" w:beforeLines="50" w:line="360" w:lineRule="auto"/>
        <w:jc w:val="left"/>
        <w:outlineLvl w:val="0"/>
        <w:rPr>
          <w:rFonts w:hint="eastAsia" w:ascii="宋体" w:hAnsi="宋体" w:cs="宋体"/>
          <w:b/>
          <w:snapToGrid w:val="0"/>
          <w:kern w:val="0"/>
          <w:szCs w:val="21"/>
        </w:rPr>
      </w:pPr>
      <w:r>
        <w:rPr>
          <w:rFonts w:hint="eastAsia" w:ascii="宋体" w:hAnsi="宋体" w:cs="宋体"/>
          <w:b/>
          <w:snapToGrid w:val="0"/>
          <w:kern w:val="0"/>
          <w:szCs w:val="21"/>
        </w:rPr>
        <w:t>附件三：设施设备量清单（另行提供）</w:t>
      </w:r>
    </w:p>
    <w:p w14:paraId="39531344">
      <w:pPr>
        <w:topLinePunct/>
        <w:adjustRightInd w:val="0"/>
        <w:snapToGrid w:val="0"/>
        <w:spacing w:line="360" w:lineRule="auto"/>
        <w:jc w:val="left"/>
        <w:rPr>
          <w:rFonts w:hint="eastAsia" w:ascii="宋体" w:hAnsi="宋体" w:cs="宋体"/>
          <w:b/>
          <w:bCs/>
          <w:snapToGrid w:val="0"/>
          <w:kern w:val="0"/>
          <w:szCs w:val="21"/>
        </w:rPr>
      </w:pPr>
    </w:p>
    <w:p w14:paraId="39531345">
      <w:pPr>
        <w:topLinePunct/>
        <w:adjustRightInd w:val="0"/>
        <w:snapToGrid w:val="0"/>
        <w:spacing w:line="360" w:lineRule="auto"/>
        <w:jc w:val="left"/>
        <w:rPr>
          <w:rFonts w:hint="eastAsia" w:ascii="宋体" w:hAnsi="宋体" w:cs="宋体"/>
          <w:b/>
          <w:bCs/>
          <w:snapToGrid w:val="0"/>
          <w:kern w:val="0"/>
          <w:szCs w:val="21"/>
        </w:rPr>
      </w:pPr>
    </w:p>
    <w:sectPr>
      <w:footerReference r:id="rId3" w:type="even"/>
      <w:pgSz w:w="11906" w:h="16838"/>
      <w:pgMar w:top="1361" w:right="1361" w:bottom="1361" w:left="136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Light">
    <w:altName w:val="汉仪中圆B5"/>
    <w:panose1 w:val="02010600030101010101"/>
    <w:charset w:val="86"/>
    <w:family w:val="auto"/>
    <w:pitch w:val="default"/>
    <w:sig w:usb0="00000000" w:usb1="00000000" w:usb2="00000016" w:usb3="00000000" w:csb0="0004000F" w:csb1="00000000"/>
  </w:font>
  <w:font w:name="汉仪中圆B5">
    <w:panose1 w:val="02010600000101010101"/>
    <w:charset w:val="88"/>
    <w:family w:val="auto"/>
    <w:pitch w:val="default"/>
    <w:sig w:usb0="00000001" w:usb1="080E0800" w:usb2="00000002" w:usb3="00000000" w:csb0="00100000" w:csb1="00000000"/>
  </w:font>
  <w:font w:name="Arial">
    <w:altName w:val="DejaVu Sans"/>
    <w:panose1 w:val="020B0604020202020204"/>
    <w:charset w:val="00"/>
    <w:family w:val="swiss"/>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等线">
    <w:altName w:val="Noto Sans CJK SC"/>
    <w:panose1 w:val="02010600030101010101"/>
    <w:charset w:val="86"/>
    <w:family w:val="auto"/>
    <w:pitch w:val="default"/>
    <w:sig w:usb0="00000000" w:usb1="00000000" w:usb2="00000016" w:usb3="00000000" w:csb0="0004000F" w:csb1="00000000"/>
  </w:font>
  <w:font w:name="Noto Sans CJK SC">
    <w:panose1 w:val="020B0500000000000000"/>
    <w:charset w:val="86"/>
    <w:family w:val="auto"/>
    <w:pitch w:val="default"/>
    <w:sig w:usb0="30000003" w:usb1="2BDF3C10" w:usb2="00000016" w:usb3="00000000" w:csb0="602E0107" w:csb1="00000000"/>
  </w:font>
  <w:font w:name="隶书">
    <w:altName w:val="方正隶书_GBK"/>
    <w:panose1 w:val="02010509060101010101"/>
    <w:charset w:val="86"/>
    <w:family w:val="modern"/>
    <w:pitch w:val="default"/>
    <w:sig w:usb0="00000000" w:usb1="00000000" w:usb2="00000010" w:usb3="00000000" w:csb0="00040000" w:csb1="00000000"/>
  </w:font>
  <w:font w:name="方正隶书_GBK">
    <w:panose1 w:val="02000000000000000000"/>
    <w:charset w:val="86"/>
    <w:family w:val="auto"/>
    <w:pitch w:val="default"/>
    <w:sig w:usb0="00000001" w:usb1="08000000" w:usb2="00000000" w:usb3="00000000" w:csb0="00040000" w:csb1="00000000"/>
  </w:font>
  <w:font w:name="Courier New">
    <w:altName w:val="DejaVu Sans"/>
    <w:panose1 w:val="02070309020205020404"/>
    <w:charset w:val="00"/>
    <w:family w:val="modern"/>
    <w:pitch w:val="default"/>
    <w:sig w:usb0="00000000" w:usb1="00000000" w:usb2="00000009" w:usb3="00000000" w:csb0="000001FF" w:csb1="00000000"/>
  </w:font>
  <w:font w:name="Cambria">
    <w:altName w:val="Noto Sans Syriac Eastern"/>
    <w:panose1 w:val="02040503050406030204"/>
    <w:charset w:val="00"/>
    <w:family w:val="roman"/>
    <w:pitch w:val="default"/>
    <w:sig w:usb0="00000000" w:usb1="00000000" w:usb2="02000000" w:usb3="00000000" w:csb0="0000019F" w:csb1="00000000"/>
  </w:font>
  <w:font w:name="Noto Sans Syriac Eastern">
    <w:panose1 w:val="02040503050306020203"/>
    <w:charset w:val="86"/>
    <w:family w:val="auto"/>
    <w:pitch w:val="default"/>
    <w:sig w:usb0="00000000" w:usb1="00000000" w:usb2="00000080" w:usb3="00000000" w:csb0="203E0161" w:csb1="D7FF0000"/>
  </w:font>
  <w:font w:name="楷体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Arial Narrow">
    <w:altName w:val="DejaVu Sans"/>
    <w:panose1 w:val="020B0606020202030204"/>
    <w:charset w:val="00"/>
    <w:family w:val="swiss"/>
    <w:pitch w:val="default"/>
    <w:sig w:usb0="00000000" w:usb1="00000000" w:usb2="00000000" w:usb3="00000000" w:csb0="0000009F" w:csb1="00000000"/>
  </w:font>
  <w:font w:name="Tahoma">
    <w:altName w:val="DejaVu Sans"/>
    <w:panose1 w:val="020B0604030504040204"/>
    <w:charset w:val="00"/>
    <w:family w:val="swiss"/>
    <w:pitch w:val="default"/>
    <w:sig w:usb0="00000000" w:usb1="00000000" w:usb2="00000029" w:usb3="00000000" w:csb0="000101FF" w:csb1="00000000"/>
  </w:font>
  <w:font w:name="楷体">
    <w:altName w:val="楷体_GB2312"/>
    <w:panose1 w:val="02010609060101010101"/>
    <w:charset w:val="86"/>
    <w:family w:val="modern"/>
    <w:pitch w:val="default"/>
    <w:sig w:usb0="00000000" w:usb1="00000000" w:usb2="00000016" w:usb3="00000000" w:csb0="00040001" w:csb1="00000000"/>
  </w:font>
  <w:font w:name="Arial Unicode MS">
    <w:altName w:val="DejaVu Sans"/>
    <w:panose1 w:val="020B0604020202020204"/>
    <w:charset w:val="86"/>
    <w:family w:val="swiss"/>
    <w:pitch w:val="default"/>
    <w:sig w:usb0="00000000" w:usb1="00000000" w:usb2="0000003F" w:usb3="00000000" w:csb0="003F01FF" w:csb1="00000000"/>
  </w:font>
  <w:font w:name="华文中宋">
    <w:altName w:val="汉仪中宋简"/>
    <w:panose1 w:val="02010600040101010101"/>
    <w:charset w:val="86"/>
    <w:family w:val="auto"/>
    <w:pitch w:val="default"/>
    <w:sig w:usb0="00000000" w:usb1="00000000" w:usb2="00000010" w:usb3="00000000" w:csb0="0004009F" w:csb1="00000000"/>
  </w:font>
  <w:font w:name="汉仪中宋简">
    <w:panose1 w:val="02010600000101010101"/>
    <w:charset w:val="86"/>
    <w:family w:val="auto"/>
    <w:pitch w:val="default"/>
    <w:sig w:usb0="00000001" w:usb1="080E0800" w:usb2="00000002"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Cambria Math">
    <w:altName w:val="DejaVu Math TeX Gyre"/>
    <w:panose1 w:val="02040503050406030204"/>
    <w:charset w:val="00"/>
    <w:family w:val="roman"/>
    <w:pitch w:val="default"/>
    <w:sig w:usb0="00000000" w:usb1="00000000" w:usb2="02000000" w:usb3="00000000" w:csb0="0000019F" w:csb1="00000000"/>
  </w:font>
  <w:font w:name="DejaVu Math TeX Gyre">
    <w:panose1 w:val="02000503000000000000"/>
    <w:charset w:val="00"/>
    <w:family w:val="auto"/>
    <w:pitch w:val="default"/>
    <w:sig w:usb0="A10000EF" w:usb1="4201F9EE" w:usb2="02000000" w:usb3="00000000" w:csb0="60000193" w:csb1="0DD40000"/>
  </w:font>
  <w:font w:name="仿宋">
    <w:altName w:val="仿宋_GB2312"/>
    <w:panose1 w:val="02010609060101010101"/>
    <w:charset w:val="86"/>
    <w:family w:val="modern"/>
    <w:pitch w:val="default"/>
    <w:sig w:usb0="00000000" w:usb1="00000000" w:usb2="00000016" w:usb3="00000000" w:csb0="00040001" w:csb1="00000000"/>
  </w:font>
  <w:font w:name="Yu Mincho">
    <w:altName w:val="方正书宋_GBK"/>
    <w:panose1 w:val="00000000000000000000"/>
    <w:charset w:val="80"/>
    <w:family w:val="roman"/>
    <w:pitch w:val="default"/>
    <w:sig w:usb0="00000000" w:usb1="00000000" w:usb2="00000012" w:usb3="00000000" w:csb0="0002009F" w:csb1="00000000"/>
  </w:font>
  <w:font w:name="等线 Light">
    <w:altName w:val="仿宋_GB2312"/>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Style w:val="42"/>
      </w:rPr>
      <w:id w:val="1966849730"/>
      <w:docPartObj>
        <w:docPartGallery w:val="autotext"/>
      </w:docPartObj>
    </w:sdtPr>
    <w:sdtEndPr>
      <w:rPr>
        <w:rStyle w:val="42"/>
      </w:rPr>
    </w:sdtEndPr>
    <w:sdtContent>
      <w:p w14:paraId="10BCE6C5">
        <w:pPr>
          <w:pStyle w:val="25"/>
          <w:framePr w:wrap="auto" w:vAnchor="text" w:hAnchor="margin" w:xAlign="center" w:y="1"/>
          <w:rPr>
            <w:rStyle w:val="42"/>
          </w:rPr>
        </w:pPr>
        <w:r>
          <w:rPr>
            <w:rStyle w:val="42"/>
          </w:rPr>
          <w:fldChar w:fldCharType="begin"/>
        </w:r>
        <w:r>
          <w:rPr>
            <w:rStyle w:val="42"/>
          </w:rPr>
          <w:instrText xml:space="preserve"> PAGE </w:instrText>
        </w:r>
        <w:r>
          <w:rPr>
            <w:rStyle w:val="42"/>
          </w:rPr>
          <w:fldChar w:fldCharType="separate"/>
        </w:r>
        <w:r>
          <w:rPr>
            <w:rStyle w:val="42"/>
          </w:rPr>
          <w:t>1</w:t>
        </w:r>
        <w:r>
          <w:rPr>
            <w:rStyle w:val="42"/>
          </w:rPr>
          <w:fldChar w:fldCharType="end"/>
        </w:r>
      </w:p>
    </w:sdtContent>
  </w:sdt>
  <w:p w14:paraId="39EDCA44">
    <w:pPr>
      <w:pStyle w:val="2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2"/>
      <w:numFmt w:val="decimal"/>
      <w:lvlText w:val="%1"/>
      <w:lvlJc w:val="left"/>
      <w:pPr>
        <w:tabs>
          <w:tab w:val="left" w:pos="425"/>
        </w:tabs>
        <w:ind w:left="425" w:hanging="425"/>
      </w:pPr>
    </w:lvl>
    <w:lvl w:ilvl="1" w:tentative="0">
      <w:start w:val="2"/>
      <w:numFmt w:val="decimal"/>
      <w:lvlText w:val="%1.%2"/>
      <w:lvlJc w:val="left"/>
      <w:pPr>
        <w:tabs>
          <w:tab w:val="left" w:pos="992"/>
        </w:tabs>
        <w:ind w:left="992" w:hanging="567"/>
      </w:pPr>
    </w:lvl>
    <w:lvl w:ilvl="2" w:tentative="0">
      <w:start w:val="1"/>
      <w:numFmt w:val="decimal"/>
      <w:lvlText w:val="%1.%2.%3"/>
      <w:lvlJc w:val="left"/>
      <w:pPr>
        <w:tabs>
          <w:tab w:val="left" w:pos="1571"/>
        </w:tabs>
        <w:ind w:left="1418" w:hanging="567"/>
      </w:pPr>
    </w:lvl>
    <w:lvl w:ilvl="3" w:tentative="0">
      <w:start w:val="1"/>
      <w:numFmt w:val="decimal"/>
      <w:pStyle w:val="5"/>
      <w:lvlText w:val="%1.%2.%3.%4"/>
      <w:lvlJc w:val="left"/>
      <w:pPr>
        <w:tabs>
          <w:tab w:val="left" w:pos="2356"/>
        </w:tabs>
        <w:ind w:left="1984" w:hanging="708"/>
      </w:pPr>
    </w:lvl>
    <w:lvl w:ilvl="4" w:tentative="0">
      <w:start w:val="1"/>
      <w:numFmt w:val="decimal"/>
      <w:lvlText w:val="%1.%2.%3.%4.%5"/>
      <w:lvlJc w:val="left"/>
      <w:pPr>
        <w:tabs>
          <w:tab w:val="left" w:pos="3141"/>
        </w:tabs>
        <w:ind w:left="2551" w:hanging="850"/>
      </w:pPr>
    </w:lvl>
    <w:lvl w:ilvl="5" w:tentative="0">
      <w:start w:val="1"/>
      <w:numFmt w:val="decimal"/>
      <w:lvlText w:val="%1.%2.%3.%4.%5.%6"/>
      <w:lvlJc w:val="left"/>
      <w:pPr>
        <w:tabs>
          <w:tab w:val="left" w:pos="3926"/>
        </w:tabs>
        <w:ind w:left="3260" w:hanging="1134"/>
      </w:pPr>
    </w:lvl>
    <w:lvl w:ilvl="6" w:tentative="0">
      <w:start w:val="1"/>
      <w:numFmt w:val="decimal"/>
      <w:lvlText w:val="%1.%2.%3.%4.%5.%6.%7"/>
      <w:lvlJc w:val="left"/>
      <w:pPr>
        <w:tabs>
          <w:tab w:val="left" w:pos="4711"/>
        </w:tabs>
        <w:ind w:left="3827" w:hanging="1276"/>
      </w:pPr>
    </w:lvl>
    <w:lvl w:ilvl="7" w:tentative="0">
      <w:start w:val="1"/>
      <w:numFmt w:val="decimal"/>
      <w:lvlText w:val="%1.%2.%3.%4.%5.%6.%7.%8"/>
      <w:lvlJc w:val="left"/>
      <w:pPr>
        <w:tabs>
          <w:tab w:val="left" w:pos="5136"/>
        </w:tabs>
        <w:ind w:left="4394" w:hanging="1418"/>
      </w:pPr>
    </w:lvl>
    <w:lvl w:ilvl="8" w:tentative="0">
      <w:start w:val="1"/>
      <w:numFmt w:val="decimal"/>
      <w:lvlText w:val="%1.%2.%3.%4.%5.%6.%7.%8.%9"/>
      <w:lvlJc w:val="left"/>
      <w:pPr>
        <w:tabs>
          <w:tab w:val="left" w:pos="5922"/>
        </w:tabs>
        <w:ind w:left="5102" w:hanging="1700"/>
      </w:pPr>
    </w:lvl>
  </w:abstractNum>
  <w:abstractNum w:abstractNumId="1">
    <w:nsid w:val="07938C92"/>
    <w:multiLevelType w:val="singleLevel"/>
    <w:tmpl w:val="07938C92"/>
    <w:lvl w:ilvl="0" w:tentative="0">
      <w:start w:val="2"/>
      <w:numFmt w:val="chineseCounting"/>
      <w:suff w:val="nothing"/>
      <w:lvlText w:val="（%1）"/>
      <w:lvlJc w:val="left"/>
      <w:rPr>
        <w:rFonts w:hint="eastAsia"/>
      </w:rPr>
    </w:lvl>
  </w:abstractNum>
  <w:abstractNum w:abstractNumId="2">
    <w:nsid w:val="11C27D60"/>
    <w:multiLevelType w:val="multilevel"/>
    <w:tmpl w:val="11C27D60"/>
    <w:lvl w:ilvl="0" w:tentative="0">
      <w:start w:val="1"/>
      <w:numFmt w:val="japaneseCounting"/>
      <w:lvlText w:val="第%1条"/>
      <w:lvlJc w:val="left"/>
      <w:pPr>
        <w:ind w:left="1110" w:hanging="11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0AB4ADA"/>
    <w:multiLevelType w:val="multilevel"/>
    <w:tmpl w:val="30AB4ADA"/>
    <w:lvl w:ilvl="0" w:tentative="0">
      <w:start w:val="1"/>
      <w:numFmt w:val="decimal"/>
      <w:lvlText w:val="(%1)"/>
      <w:lvlJc w:val="left"/>
      <w:pPr>
        <w:tabs>
          <w:tab w:val="left" w:pos="845"/>
        </w:tabs>
        <w:ind w:left="845"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pStyle w:val="262"/>
      <w:lvlText w:val="%3."/>
      <w:lvlJc w:val="right"/>
      <w:pPr>
        <w:tabs>
          <w:tab w:val="left" w:pos="1260"/>
        </w:tabs>
        <w:ind w:left="1260" w:hanging="420"/>
      </w:pPr>
    </w:lvl>
    <w:lvl w:ilvl="3" w:tentative="0">
      <w:start w:val="1"/>
      <w:numFmt w:val="decimal"/>
      <w:pStyle w:val="350"/>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BB747D5"/>
    <w:multiLevelType w:val="multilevel"/>
    <w:tmpl w:val="5BB747D5"/>
    <w:lvl w:ilvl="0" w:tentative="0">
      <w:start w:val="1"/>
      <w:numFmt w:val="japaneseCounting"/>
      <w:lvlText w:val="第%1章"/>
      <w:lvlJc w:val="left"/>
      <w:pPr>
        <w:ind w:left="1792" w:hanging="1230"/>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abstractNum w:abstractNumId="5">
    <w:nsid w:val="5BD83592"/>
    <w:multiLevelType w:val="multilevel"/>
    <w:tmpl w:val="5BD83592"/>
    <w:lvl w:ilvl="0" w:tentative="0">
      <w:start w:val="1"/>
      <w:numFmt w:val="japaneseCounting"/>
      <w:lvlText w:val="%1、"/>
      <w:lvlJc w:val="left"/>
      <w:pPr>
        <w:ind w:left="400" w:hanging="400"/>
      </w:pPr>
      <w:rPr>
        <w:rFonts w:hint="default" w:ascii="宋体" w:hAnsi="宋体" w:eastAsia="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7EC52A99"/>
    <w:multiLevelType w:val="multilevel"/>
    <w:tmpl w:val="7EC52A99"/>
    <w:lvl w:ilvl="0" w:tentative="0">
      <w:start w:val="1"/>
      <w:numFmt w:val="decimal"/>
      <w:lvlText w:val="%1"/>
      <w:lvlJc w:val="center"/>
      <w:pPr>
        <w:ind w:left="440" w:hanging="152"/>
      </w:pPr>
      <w:rPr>
        <w:rFonts w:hint="eastAsia"/>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3"/>
  </w:num>
  <w:num w:numId="3">
    <w:abstractNumId w:val="6"/>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hZmI4MDVmMTQ2MjVkZjFlZGQ5NmFkYTRlMjc0MmEifQ=="/>
    <w:docVar w:name="KSO_WPS_MARK_KEY" w:val="c3fb30f2-d639-4644-91b7-cea44f77d85f"/>
  </w:docVars>
  <w:rsids>
    <w:rsidRoot w:val="009F3C28"/>
    <w:rsid w:val="00003AAF"/>
    <w:rsid w:val="000052D3"/>
    <w:rsid w:val="00006966"/>
    <w:rsid w:val="00007FD9"/>
    <w:rsid w:val="000135FD"/>
    <w:rsid w:val="0001468D"/>
    <w:rsid w:val="00017257"/>
    <w:rsid w:val="00024D5F"/>
    <w:rsid w:val="00037134"/>
    <w:rsid w:val="0004389B"/>
    <w:rsid w:val="00047E2F"/>
    <w:rsid w:val="00050D89"/>
    <w:rsid w:val="00051475"/>
    <w:rsid w:val="00057228"/>
    <w:rsid w:val="000626C7"/>
    <w:rsid w:val="0007008F"/>
    <w:rsid w:val="000704B9"/>
    <w:rsid w:val="00075048"/>
    <w:rsid w:val="000763D4"/>
    <w:rsid w:val="0007674C"/>
    <w:rsid w:val="00083AC4"/>
    <w:rsid w:val="000847EF"/>
    <w:rsid w:val="00090D84"/>
    <w:rsid w:val="00091AC0"/>
    <w:rsid w:val="000936B8"/>
    <w:rsid w:val="00094A94"/>
    <w:rsid w:val="00095FB2"/>
    <w:rsid w:val="000976C7"/>
    <w:rsid w:val="000A268E"/>
    <w:rsid w:val="000A3D7D"/>
    <w:rsid w:val="000A4E10"/>
    <w:rsid w:val="000B0A7E"/>
    <w:rsid w:val="000B28A5"/>
    <w:rsid w:val="000B5A08"/>
    <w:rsid w:val="000D29A6"/>
    <w:rsid w:val="000D5609"/>
    <w:rsid w:val="000D5F8A"/>
    <w:rsid w:val="000D7D2E"/>
    <w:rsid w:val="000E376E"/>
    <w:rsid w:val="000E773C"/>
    <w:rsid w:val="000E7B56"/>
    <w:rsid w:val="000F2C80"/>
    <w:rsid w:val="000F580D"/>
    <w:rsid w:val="00106A29"/>
    <w:rsid w:val="001075A3"/>
    <w:rsid w:val="0011052E"/>
    <w:rsid w:val="001203A0"/>
    <w:rsid w:val="001305F1"/>
    <w:rsid w:val="001310BB"/>
    <w:rsid w:val="0014093B"/>
    <w:rsid w:val="0014141F"/>
    <w:rsid w:val="00141DB7"/>
    <w:rsid w:val="0014292F"/>
    <w:rsid w:val="00142C6B"/>
    <w:rsid w:val="001449EA"/>
    <w:rsid w:val="0015057E"/>
    <w:rsid w:val="001525F6"/>
    <w:rsid w:val="00161B23"/>
    <w:rsid w:val="00181507"/>
    <w:rsid w:val="00185094"/>
    <w:rsid w:val="00196495"/>
    <w:rsid w:val="001A063A"/>
    <w:rsid w:val="001A0FDA"/>
    <w:rsid w:val="001A52C6"/>
    <w:rsid w:val="001A58CD"/>
    <w:rsid w:val="001A664E"/>
    <w:rsid w:val="001A7436"/>
    <w:rsid w:val="001B2D72"/>
    <w:rsid w:val="001B4375"/>
    <w:rsid w:val="001B6002"/>
    <w:rsid w:val="001C0E11"/>
    <w:rsid w:val="001C4D9A"/>
    <w:rsid w:val="001C7F00"/>
    <w:rsid w:val="001D1D5B"/>
    <w:rsid w:val="001D3E8D"/>
    <w:rsid w:val="001D4B7A"/>
    <w:rsid w:val="001D56DF"/>
    <w:rsid w:val="001D63EF"/>
    <w:rsid w:val="001E3E8E"/>
    <w:rsid w:val="001F3B32"/>
    <w:rsid w:val="00200FFE"/>
    <w:rsid w:val="002018AC"/>
    <w:rsid w:val="00204F91"/>
    <w:rsid w:val="0021183D"/>
    <w:rsid w:val="002136BF"/>
    <w:rsid w:val="00214335"/>
    <w:rsid w:val="00215316"/>
    <w:rsid w:val="00227DB7"/>
    <w:rsid w:val="00230DB5"/>
    <w:rsid w:val="0023150A"/>
    <w:rsid w:val="00231A96"/>
    <w:rsid w:val="002360E6"/>
    <w:rsid w:val="00236814"/>
    <w:rsid w:val="00236AFB"/>
    <w:rsid w:val="00237D6B"/>
    <w:rsid w:val="00240224"/>
    <w:rsid w:val="00242EFB"/>
    <w:rsid w:val="00247443"/>
    <w:rsid w:val="00253CEE"/>
    <w:rsid w:val="00262567"/>
    <w:rsid w:val="0026263F"/>
    <w:rsid w:val="002727C3"/>
    <w:rsid w:val="00275F96"/>
    <w:rsid w:val="0028076D"/>
    <w:rsid w:val="0028376E"/>
    <w:rsid w:val="00285430"/>
    <w:rsid w:val="00294298"/>
    <w:rsid w:val="0029496C"/>
    <w:rsid w:val="00297599"/>
    <w:rsid w:val="002A24EF"/>
    <w:rsid w:val="002A32FE"/>
    <w:rsid w:val="002B7449"/>
    <w:rsid w:val="002C3370"/>
    <w:rsid w:val="002C4146"/>
    <w:rsid w:val="002C6534"/>
    <w:rsid w:val="002D1A15"/>
    <w:rsid w:val="002D346C"/>
    <w:rsid w:val="002E1229"/>
    <w:rsid w:val="002E1440"/>
    <w:rsid w:val="002E3241"/>
    <w:rsid w:val="002E496A"/>
    <w:rsid w:val="002E732E"/>
    <w:rsid w:val="002F0556"/>
    <w:rsid w:val="002F0CBE"/>
    <w:rsid w:val="002F14D7"/>
    <w:rsid w:val="002F35BD"/>
    <w:rsid w:val="002F784A"/>
    <w:rsid w:val="00300072"/>
    <w:rsid w:val="00301002"/>
    <w:rsid w:val="00305FDC"/>
    <w:rsid w:val="00311A06"/>
    <w:rsid w:val="00311F54"/>
    <w:rsid w:val="00313D9D"/>
    <w:rsid w:val="0031561A"/>
    <w:rsid w:val="00320659"/>
    <w:rsid w:val="00330E07"/>
    <w:rsid w:val="00331642"/>
    <w:rsid w:val="00331F43"/>
    <w:rsid w:val="003357E9"/>
    <w:rsid w:val="003363CE"/>
    <w:rsid w:val="00342186"/>
    <w:rsid w:val="0034219B"/>
    <w:rsid w:val="00342432"/>
    <w:rsid w:val="0034614C"/>
    <w:rsid w:val="003479E3"/>
    <w:rsid w:val="00350CB3"/>
    <w:rsid w:val="00363879"/>
    <w:rsid w:val="0036724B"/>
    <w:rsid w:val="00374E55"/>
    <w:rsid w:val="00374EBC"/>
    <w:rsid w:val="00376752"/>
    <w:rsid w:val="003812B4"/>
    <w:rsid w:val="00393839"/>
    <w:rsid w:val="00396142"/>
    <w:rsid w:val="0039757B"/>
    <w:rsid w:val="003B2F6B"/>
    <w:rsid w:val="003C1743"/>
    <w:rsid w:val="003C4A05"/>
    <w:rsid w:val="003C653A"/>
    <w:rsid w:val="003C6BCB"/>
    <w:rsid w:val="003C6DED"/>
    <w:rsid w:val="003D1266"/>
    <w:rsid w:val="003D57D2"/>
    <w:rsid w:val="003E3567"/>
    <w:rsid w:val="003F0B20"/>
    <w:rsid w:val="003F1DAE"/>
    <w:rsid w:val="003F213B"/>
    <w:rsid w:val="003F4AD7"/>
    <w:rsid w:val="003F4C3D"/>
    <w:rsid w:val="003F4EC2"/>
    <w:rsid w:val="003F7089"/>
    <w:rsid w:val="00400A65"/>
    <w:rsid w:val="00411AB7"/>
    <w:rsid w:val="004138A1"/>
    <w:rsid w:val="00420637"/>
    <w:rsid w:val="004244F3"/>
    <w:rsid w:val="00425C5C"/>
    <w:rsid w:val="00425FD8"/>
    <w:rsid w:val="00430E52"/>
    <w:rsid w:val="00431DB9"/>
    <w:rsid w:val="0043557E"/>
    <w:rsid w:val="00435758"/>
    <w:rsid w:val="00437BB7"/>
    <w:rsid w:val="004405B5"/>
    <w:rsid w:val="00443B6F"/>
    <w:rsid w:val="0044686B"/>
    <w:rsid w:val="00446B1A"/>
    <w:rsid w:val="00454696"/>
    <w:rsid w:val="00455D7E"/>
    <w:rsid w:val="00457BFD"/>
    <w:rsid w:val="0046138B"/>
    <w:rsid w:val="00462131"/>
    <w:rsid w:val="00463B5B"/>
    <w:rsid w:val="00466AA0"/>
    <w:rsid w:val="0047104D"/>
    <w:rsid w:val="00471340"/>
    <w:rsid w:val="00475CB6"/>
    <w:rsid w:val="0047751B"/>
    <w:rsid w:val="0048304D"/>
    <w:rsid w:val="00484AC4"/>
    <w:rsid w:val="00486928"/>
    <w:rsid w:val="00491AEF"/>
    <w:rsid w:val="004A1718"/>
    <w:rsid w:val="004A1DAA"/>
    <w:rsid w:val="004A510C"/>
    <w:rsid w:val="004A5228"/>
    <w:rsid w:val="004A5AF8"/>
    <w:rsid w:val="004B77EB"/>
    <w:rsid w:val="004B7956"/>
    <w:rsid w:val="004C04D1"/>
    <w:rsid w:val="004C47C0"/>
    <w:rsid w:val="004C5EE1"/>
    <w:rsid w:val="004E183B"/>
    <w:rsid w:val="004E2B31"/>
    <w:rsid w:val="004E4CC3"/>
    <w:rsid w:val="004F17BE"/>
    <w:rsid w:val="004F281F"/>
    <w:rsid w:val="004F602A"/>
    <w:rsid w:val="00500F72"/>
    <w:rsid w:val="0050381B"/>
    <w:rsid w:val="00504D3E"/>
    <w:rsid w:val="0050640F"/>
    <w:rsid w:val="00506A05"/>
    <w:rsid w:val="00506E1D"/>
    <w:rsid w:val="00507B8F"/>
    <w:rsid w:val="00515141"/>
    <w:rsid w:val="00517A28"/>
    <w:rsid w:val="00517C71"/>
    <w:rsid w:val="005230CD"/>
    <w:rsid w:val="00523927"/>
    <w:rsid w:val="005245A7"/>
    <w:rsid w:val="0053160D"/>
    <w:rsid w:val="0053342A"/>
    <w:rsid w:val="00534985"/>
    <w:rsid w:val="00537C6C"/>
    <w:rsid w:val="005409DE"/>
    <w:rsid w:val="005527E1"/>
    <w:rsid w:val="00554EBC"/>
    <w:rsid w:val="00555465"/>
    <w:rsid w:val="0055604A"/>
    <w:rsid w:val="00564243"/>
    <w:rsid w:val="00564B27"/>
    <w:rsid w:val="00571092"/>
    <w:rsid w:val="005737D1"/>
    <w:rsid w:val="00573E35"/>
    <w:rsid w:val="00574938"/>
    <w:rsid w:val="00580DAD"/>
    <w:rsid w:val="005858DE"/>
    <w:rsid w:val="00586D0C"/>
    <w:rsid w:val="005918C3"/>
    <w:rsid w:val="00591FB8"/>
    <w:rsid w:val="00592988"/>
    <w:rsid w:val="0059765C"/>
    <w:rsid w:val="005A5AE8"/>
    <w:rsid w:val="005A7430"/>
    <w:rsid w:val="005B1F4D"/>
    <w:rsid w:val="005B6488"/>
    <w:rsid w:val="005C0B38"/>
    <w:rsid w:val="005C31B4"/>
    <w:rsid w:val="005C58F9"/>
    <w:rsid w:val="005D20F0"/>
    <w:rsid w:val="005D2F0E"/>
    <w:rsid w:val="005D6C37"/>
    <w:rsid w:val="005D7106"/>
    <w:rsid w:val="005D7CEC"/>
    <w:rsid w:val="005E0C35"/>
    <w:rsid w:val="005E25FB"/>
    <w:rsid w:val="005F112F"/>
    <w:rsid w:val="005F510F"/>
    <w:rsid w:val="005F6CEE"/>
    <w:rsid w:val="00606325"/>
    <w:rsid w:val="00617321"/>
    <w:rsid w:val="00617E3B"/>
    <w:rsid w:val="006254A8"/>
    <w:rsid w:val="006255FB"/>
    <w:rsid w:val="006279DC"/>
    <w:rsid w:val="00630F54"/>
    <w:rsid w:val="00635F30"/>
    <w:rsid w:val="00640133"/>
    <w:rsid w:val="00641C95"/>
    <w:rsid w:val="00646567"/>
    <w:rsid w:val="00656C24"/>
    <w:rsid w:val="00663622"/>
    <w:rsid w:val="00665CF4"/>
    <w:rsid w:val="00665DE5"/>
    <w:rsid w:val="00671592"/>
    <w:rsid w:val="00671C75"/>
    <w:rsid w:val="00673B45"/>
    <w:rsid w:val="00680971"/>
    <w:rsid w:val="00680B24"/>
    <w:rsid w:val="00684012"/>
    <w:rsid w:val="00684BA2"/>
    <w:rsid w:val="00684D97"/>
    <w:rsid w:val="00694D5D"/>
    <w:rsid w:val="0069552A"/>
    <w:rsid w:val="006957A8"/>
    <w:rsid w:val="00697246"/>
    <w:rsid w:val="006A4A57"/>
    <w:rsid w:val="006A7422"/>
    <w:rsid w:val="006B6B5A"/>
    <w:rsid w:val="006C05AA"/>
    <w:rsid w:val="006C3A6A"/>
    <w:rsid w:val="006C409A"/>
    <w:rsid w:val="006C619C"/>
    <w:rsid w:val="006D072A"/>
    <w:rsid w:val="006D15E7"/>
    <w:rsid w:val="006D2500"/>
    <w:rsid w:val="006D488E"/>
    <w:rsid w:val="006D4FDB"/>
    <w:rsid w:val="006D6CFE"/>
    <w:rsid w:val="006E4CD6"/>
    <w:rsid w:val="006F4074"/>
    <w:rsid w:val="00700B37"/>
    <w:rsid w:val="00704FB1"/>
    <w:rsid w:val="00715CA9"/>
    <w:rsid w:val="0072745F"/>
    <w:rsid w:val="00736292"/>
    <w:rsid w:val="0074061A"/>
    <w:rsid w:val="007441EE"/>
    <w:rsid w:val="00746316"/>
    <w:rsid w:val="00750A30"/>
    <w:rsid w:val="007529FA"/>
    <w:rsid w:val="00753936"/>
    <w:rsid w:val="00753F9E"/>
    <w:rsid w:val="00762D64"/>
    <w:rsid w:val="00765E84"/>
    <w:rsid w:val="0077027D"/>
    <w:rsid w:val="0077509E"/>
    <w:rsid w:val="00775203"/>
    <w:rsid w:val="00776534"/>
    <w:rsid w:val="00780935"/>
    <w:rsid w:val="00782078"/>
    <w:rsid w:val="00782468"/>
    <w:rsid w:val="0078380C"/>
    <w:rsid w:val="0078503F"/>
    <w:rsid w:val="00790D7E"/>
    <w:rsid w:val="00790D8A"/>
    <w:rsid w:val="00791D08"/>
    <w:rsid w:val="007942A7"/>
    <w:rsid w:val="00795F3E"/>
    <w:rsid w:val="00797E9C"/>
    <w:rsid w:val="007A0D31"/>
    <w:rsid w:val="007B2B21"/>
    <w:rsid w:val="007B51E1"/>
    <w:rsid w:val="007C2C6A"/>
    <w:rsid w:val="007C355F"/>
    <w:rsid w:val="007C370B"/>
    <w:rsid w:val="007C4FCF"/>
    <w:rsid w:val="007D2FFD"/>
    <w:rsid w:val="007D690F"/>
    <w:rsid w:val="007D69D5"/>
    <w:rsid w:val="007E2370"/>
    <w:rsid w:val="007F2762"/>
    <w:rsid w:val="00801C1A"/>
    <w:rsid w:val="00805C7A"/>
    <w:rsid w:val="00805D57"/>
    <w:rsid w:val="00813A7A"/>
    <w:rsid w:val="0082543E"/>
    <w:rsid w:val="008279C3"/>
    <w:rsid w:val="00830FF5"/>
    <w:rsid w:val="00835A8F"/>
    <w:rsid w:val="00840B78"/>
    <w:rsid w:val="008432D8"/>
    <w:rsid w:val="008437E6"/>
    <w:rsid w:val="00851970"/>
    <w:rsid w:val="0085320D"/>
    <w:rsid w:val="00854D73"/>
    <w:rsid w:val="00857B24"/>
    <w:rsid w:val="008614AC"/>
    <w:rsid w:val="00862551"/>
    <w:rsid w:val="008643D5"/>
    <w:rsid w:val="00865CE0"/>
    <w:rsid w:val="00867678"/>
    <w:rsid w:val="00870323"/>
    <w:rsid w:val="008716F7"/>
    <w:rsid w:val="00872C28"/>
    <w:rsid w:val="00873E12"/>
    <w:rsid w:val="008747A3"/>
    <w:rsid w:val="0087723A"/>
    <w:rsid w:val="0088111C"/>
    <w:rsid w:val="00881B4D"/>
    <w:rsid w:val="00882642"/>
    <w:rsid w:val="008832F5"/>
    <w:rsid w:val="00885370"/>
    <w:rsid w:val="008869D9"/>
    <w:rsid w:val="00897D65"/>
    <w:rsid w:val="00897D6B"/>
    <w:rsid w:val="008B22AB"/>
    <w:rsid w:val="008B4E56"/>
    <w:rsid w:val="008B5A18"/>
    <w:rsid w:val="008C33EE"/>
    <w:rsid w:val="008C3577"/>
    <w:rsid w:val="008D1C22"/>
    <w:rsid w:val="008D6F2A"/>
    <w:rsid w:val="008E3FB0"/>
    <w:rsid w:val="008E4191"/>
    <w:rsid w:val="008E5C08"/>
    <w:rsid w:val="008E5D09"/>
    <w:rsid w:val="008E78D9"/>
    <w:rsid w:val="008F3A19"/>
    <w:rsid w:val="008F6E7F"/>
    <w:rsid w:val="009025C2"/>
    <w:rsid w:val="009031D2"/>
    <w:rsid w:val="00905195"/>
    <w:rsid w:val="00906A75"/>
    <w:rsid w:val="00912E82"/>
    <w:rsid w:val="00917682"/>
    <w:rsid w:val="00922E62"/>
    <w:rsid w:val="00930BA2"/>
    <w:rsid w:val="00932151"/>
    <w:rsid w:val="00932DCD"/>
    <w:rsid w:val="00937E2A"/>
    <w:rsid w:val="009408EF"/>
    <w:rsid w:val="00950367"/>
    <w:rsid w:val="00951E68"/>
    <w:rsid w:val="00955A59"/>
    <w:rsid w:val="00960B02"/>
    <w:rsid w:val="00964C55"/>
    <w:rsid w:val="00976588"/>
    <w:rsid w:val="0098588B"/>
    <w:rsid w:val="0098600C"/>
    <w:rsid w:val="00987171"/>
    <w:rsid w:val="009913F2"/>
    <w:rsid w:val="009919D0"/>
    <w:rsid w:val="00995FFE"/>
    <w:rsid w:val="009968A9"/>
    <w:rsid w:val="009A22C3"/>
    <w:rsid w:val="009B1A1B"/>
    <w:rsid w:val="009C0F03"/>
    <w:rsid w:val="009C182C"/>
    <w:rsid w:val="009C355A"/>
    <w:rsid w:val="009C5CDE"/>
    <w:rsid w:val="009C7BE6"/>
    <w:rsid w:val="009D3F3E"/>
    <w:rsid w:val="009D4738"/>
    <w:rsid w:val="009F095C"/>
    <w:rsid w:val="009F18CC"/>
    <w:rsid w:val="009F3C28"/>
    <w:rsid w:val="009F6B0E"/>
    <w:rsid w:val="009F751B"/>
    <w:rsid w:val="009F75E8"/>
    <w:rsid w:val="00A04000"/>
    <w:rsid w:val="00A04C2F"/>
    <w:rsid w:val="00A0517F"/>
    <w:rsid w:val="00A060F3"/>
    <w:rsid w:val="00A073EE"/>
    <w:rsid w:val="00A100E9"/>
    <w:rsid w:val="00A14E89"/>
    <w:rsid w:val="00A166B6"/>
    <w:rsid w:val="00A234A9"/>
    <w:rsid w:val="00A23B83"/>
    <w:rsid w:val="00A37E60"/>
    <w:rsid w:val="00A40E5F"/>
    <w:rsid w:val="00A462EC"/>
    <w:rsid w:val="00A51180"/>
    <w:rsid w:val="00A57519"/>
    <w:rsid w:val="00A674C0"/>
    <w:rsid w:val="00A74223"/>
    <w:rsid w:val="00A85AF3"/>
    <w:rsid w:val="00A86D5B"/>
    <w:rsid w:val="00A91705"/>
    <w:rsid w:val="00A94FAE"/>
    <w:rsid w:val="00A97073"/>
    <w:rsid w:val="00AA1B68"/>
    <w:rsid w:val="00AA2886"/>
    <w:rsid w:val="00AA4A89"/>
    <w:rsid w:val="00AA5A0A"/>
    <w:rsid w:val="00AB1123"/>
    <w:rsid w:val="00AB2405"/>
    <w:rsid w:val="00AC306A"/>
    <w:rsid w:val="00AD25F9"/>
    <w:rsid w:val="00AD6458"/>
    <w:rsid w:val="00AE0150"/>
    <w:rsid w:val="00AE133D"/>
    <w:rsid w:val="00AE1BC8"/>
    <w:rsid w:val="00AE2A1B"/>
    <w:rsid w:val="00AE3A16"/>
    <w:rsid w:val="00AF027C"/>
    <w:rsid w:val="00AF24C3"/>
    <w:rsid w:val="00AF31E7"/>
    <w:rsid w:val="00AF5A78"/>
    <w:rsid w:val="00AF5F8C"/>
    <w:rsid w:val="00B00940"/>
    <w:rsid w:val="00B00ACF"/>
    <w:rsid w:val="00B0393F"/>
    <w:rsid w:val="00B04FDA"/>
    <w:rsid w:val="00B1376C"/>
    <w:rsid w:val="00B20512"/>
    <w:rsid w:val="00B220B8"/>
    <w:rsid w:val="00B23A7D"/>
    <w:rsid w:val="00B27A3E"/>
    <w:rsid w:val="00B30C90"/>
    <w:rsid w:val="00B30F83"/>
    <w:rsid w:val="00B33620"/>
    <w:rsid w:val="00B54DF9"/>
    <w:rsid w:val="00B65C28"/>
    <w:rsid w:val="00B8452B"/>
    <w:rsid w:val="00B856EE"/>
    <w:rsid w:val="00B857AD"/>
    <w:rsid w:val="00B9066B"/>
    <w:rsid w:val="00B90F6F"/>
    <w:rsid w:val="00B94CEA"/>
    <w:rsid w:val="00B95DC2"/>
    <w:rsid w:val="00B960E4"/>
    <w:rsid w:val="00BA1483"/>
    <w:rsid w:val="00BA2E47"/>
    <w:rsid w:val="00BA34CB"/>
    <w:rsid w:val="00BB23B8"/>
    <w:rsid w:val="00BB3BA1"/>
    <w:rsid w:val="00BB5B6F"/>
    <w:rsid w:val="00BC0E22"/>
    <w:rsid w:val="00BC4A78"/>
    <w:rsid w:val="00BD2831"/>
    <w:rsid w:val="00BE18AF"/>
    <w:rsid w:val="00BE1E50"/>
    <w:rsid w:val="00BE48B3"/>
    <w:rsid w:val="00BF2876"/>
    <w:rsid w:val="00BF54CE"/>
    <w:rsid w:val="00BF578C"/>
    <w:rsid w:val="00C057C7"/>
    <w:rsid w:val="00C06A8D"/>
    <w:rsid w:val="00C1029C"/>
    <w:rsid w:val="00C15DE9"/>
    <w:rsid w:val="00C26189"/>
    <w:rsid w:val="00C30ACE"/>
    <w:rsid w:val="00C3691D"/>
    <w:rsid w:val="00C37F33"/>
    <w:rsid w:val="00C4380A"/>
    <w:rsid w:val="00C47608"/>
    <w:rsid w:val="00C51EE2"/>
    <w:rsid w:val="00C6769B"/>
    <w:rsid w:val="00C71615"/>
    <w:rsid w:val="00C73FBE"/>
    <w:rsid w:val="00C74AC0"/>
    <w:rsid w:val="00C83E88"/>
    <w:rsid w:val="00C85A34"/>
    <w:rsid w:val="00C92947"/>
    <w:rsid w:val="00CA13C3"/>
    <w:rsid w:val="00CA486F"/>
    <w:rsid w:val="00CA6520"/>
    <w:rsid w:val="00CB3969"/>
    <w:rsid w:val="00CB5BCA"/>
    <w:rsid w:val="00CB7723"/>
    <w:rsid w:val="00CB7FD6"/>
    <w:rsid w:val="00CC7628"/>
    <w:rsid w:val="00CD0281"/>
    <w:rsid w:val="00CD4A20"/>
    <w:rsid w:val="00CD5F97"/>
    <w:rsid w:val="00CE49BC"/>
    <w:rsid w:val="00CE76A1"/>
    <w:rsid w:val="00CF2E9C"/>
    <w:rsid w:val="00D07051"/>
    <w:rsid w:val="00D12D2F"/>
    <w:rsid w:val="00D13710"/>
    <w:rsid w:val="00D177B3"/>
    <w:rsid w:val="00D3174C"/>
    <w:rsid w:val="00D32FCE"/>
    <w:rsid w:val="00D346AB"/>
    <w:rsid w:val="00D34A08"/>
    <w:rsid w:val="00D36A4F"/>
    <w:rsid w:val="00D41FA0"/>
    <w:rsid w:val="00D52940"/>
    <w:rsid w:val="00D54FF4"/>
    <w:rsid w:val="00D61B46"/>
    <w:rsid w:val="00D770E5"/>
    <w:rsid w:val="00D84F06"/>
    <w:rsid w:val="00D86044"/>
    <w:rsid w:val="00D8695D"/>
    <w:rsid w:val="00D94914"/>
    <w:rsid w:val="00D94C71"/>
    <w:rsid w:val="00DA19BE"/>
    <w:rsid w:val="00DA3B5E"/>
    <w:rsid w:val="00DA7658"/>
    <w:rsid w:val="00DB4527"/>
    <w:rsid w:val="00DB6A59"/>
    <w:rsid w:val="00DB703E"/>
    <w:rsid w:val="00DC09D3"/>
    <w:rsid w:val="00DC241E"/>
    <w:rsid w:val="00DD065D"/>
    <w:rsid w:val="00DE2840"/>
    <w:rsid w:val="00DE3D74"/>
    <w:rsid w:val="00DE423B"/>
    <w:rsid w:val="00DE49B0"/>
    <w:rsid w:val="00DE6220"/>
    <w:rsid w:val="00DF3439"/>
    <w:rsid w:val="00E05523"/>
    <w:rsid w:val="00E1533F"/>
    <w:rsid w:val="00E16D2B"/>
    <w:rsid w:val="00E20F26"/>
    <w:rsid w:val="00E26AFE"/>
    <w:rsid w:val="00E27677"/>
    <w:rsid w:val="00E27C33"/>
    <w:rsid w:val="00E354D1"/>
    <w:rsid w:val="00E36742"/>
    <w:rsid w:val="00E36F97"/>
    <w:rsid w:val="00E40965"/>
    <w:rsid w:val="00E44171"/>
    <w:rsid w:val="00E44B3F"/>
    <w:rsid w:val="00E46605"/>
    <w:rsid w:val="00E658AF"/>
    <w:rsid w:val="00E67862"/>
    <w:rsid w:val="00E75F71"/>
    <w:rsid w:val="00E9020D"/>
    <w:rsid w:val="00E905B1"/>
    <w:rsid w:val="00E926EE"/>
    <w:rsid w:val="00EA0BC3"/>
    <w:rsid w:val="00EA1729"/>
    <w:rsid w:val="00EA3AC0"/>
    <w:rsid w:val="00EA4388"/>
    <w:rsid w:val="00EA46AA"/>
    <w:rsid w:val="00EB1890"/>
    <w:rsid w:val="00EB4540"/>
    <w:rsid w:val="00EB6CE5"/>
    <w:rsid w:val="00EC0D39"/>
    <w:rsid w:val="00EC2D93"/>
    <w:rsid w:val="00ED3A53"/>
    <w:rsid w:val="00EE1735"/>
    <w:rsid w:val="00EE194D"/>
    <w:rsid w:val="00EE401B"/>
    <w:rsid w:val="00EE52F3"/>
    <w:rsid w:val="00EF25C3"/>
    <w:rsid w:val="00EF3EB8"/>
    <w:rsid w:val="00F011BF"/>
    <w:rsid w:val="00F0229A"/>
    <w:rsid w:val="00F03796"/>
    <w:rsid w:val="00F04B10"/>
    <w:rsid w:val="00F155AA"/>
    <w:rsid w:val="00F25807"/>
    <w:rsid w:val="00F259D1"/>
    <w:rsid w:val="00F360F9"/>
    <w:rsid w:val="00F36705"/>
    <w:rsid w:val="00F37D4F"/>
    <w:rsid w:val="00F40595"/>
    <w:rsid w:val="00F44DD0"/>
    <w:rsid w:val="00F455BC"/>
    <w:rsid w:val="00F47601"/>
    <w:rsid w:val="00F47827"/>
    <w:rsid w:val="00F56558"/>
    <w:rsid w:val="00F57302"/>
    <w:rsid w:val="00F579A4"/>
    <w:rsid w:val="00F613CA"/>
    <w:rsid w:val="00F64E17"/>
    <w:rsid w:val="00F76A6D"/>
    <w:rsid w:val="00F837AB"/>
    <w:rsid w:val="00FA163A"/>
    <w:rsid w:val="00FA441F"/>
    <w:rsid w:val="00FA5DA4"/>
    <w:rsid w:val="00FB1A33"/>
    <w:rsid w:val="00FC2C3F"/>
    <w:rsid w:val="00FC570D"/>
    <w:rsid w:val="00FC6934"/>
    <w:rsid w:val="00FD42DA"/>
    <w:rsid w:val="00FE5EC9"/>
    <w:rsid w:val="00FF387B"/>
    <w:rsid w:val="00FF5DBD"/>
    <w:rsid w:val="01E4364B"/>
    <w:rsid w:val="020255DA"/>
    <w:rsid w:val="028C47E9"/>
    <w:rsid w:val="03F107CC"/>
    <w:rsid w:val="067577F9"/>
    <w:rsid w:val="076E16F2"/>
    <w:rsid w:val="08D878EA"/>
    <w:rsid w:val="096E4E82"/>
    <w:rsid w:val="0A0B269C"/>
    <w:rsid w:val="0AA47D81"/>
    <w:rsid w:val="0B005F1C"/>
    <w:rsid w:val="0CB664E7"/>
    <w:rsid w:val="0D4D415A"/>
    <w:rsid w:val="0FCB7901"/>
    <w:rsid w:val="0FF423D4"/>
    <w:rsid w:val="104015AC"/>
    <w:rsid w:val="109158BE"/>
    <w:rsid w:val="112C6175"/>
    <w:rsid w:val="1171712A"/>
    <w:rsid w:val="12931517"/>
    <w:rsid w:val="129D5B7D"/>
    <w:rsid w:val="12F71682"/>
    <w:rsid w:val="135F0ED4"/>
    <w:rsid w:val="13A76F3E"/>
    <w:rsid w:val="146F641A"/>
    <w:rsid w:val="14AA2906"/>
    <w:rsid w:val="14AD3BD1"/>
    <w:rsid w:val="161E671F"/>
    <w:rsid w:val="16C519F8"/>
    <w:rsid w:val="174C2783"/>
    <w:rsid w:val="17CD749A"/>
    <w:rsid w:val="18080D66"/>
    <w:rsid w:val="180F082F"/>
    <w:rsid w:val="184A4865"/>
    <w:rsid w:val="18B04E35"/>
    <w:rsid w:val="1B4F25E6"/>
    <w:rsid w:val="1CA03585"/>
    <w:rsid w:val="1CAA4493"/>
    <w:rsid w:val="1D2109B3"/>
    <w:rsid w:val="1D7644E2"/>
    <w:rsid w:val="1F485A62"/>
    <w:rsid w:val="1FC31B28"/>
    <w:rsid w:val="20974BB9"/>
    <w:rsid w:val="210C2DC4"/>
    <w:rsid w:val="215E343C"/>
    <w:rsid w:val="22583EFD"/>
    <w:rsid w:val="22F2729C"/>
    <w:rsid w:val="234C0E46"/>
    <w:rsid w:val="246065A9"/>
    <w:rsid w:val="26592A51"/>
    <w:rsid w:val="27AA0FB2"/>
    <w:rsid w:val="282D52E1"/>
    <w:rsid w:val="28897809"/>
    <w:rsid w:val="28D202CC"/>
    <w:rsid w:val="297536FB"/>
    <w:rsid w:val="29933D47"/>
    <w:rsid w:val="29F52A7C"/>
    <w:rsid w:val="2C3E23A2"/>
    <w:rsid w:val="2CDE7D2D"/>
    <w:rsid w:val="2D1E2EC8"/>
    <w:rsid w:val="2D49615A"/>
    <w:rsid w:val="2D584B67"/>
    <w:rsid w:val="2DA907C3"/>
    <w:rsid w:val="2DBD58A5"/>
    <w:rsid w:val="2E8E096D"/>
    <w:rsid w:val="2F266DBF"/>
    <w:rsid w:val="2F631C4A"/>
    <w:rsid w:val="2F6B056E"/>
    <w:rsid w:val="30232088"/>
    <w:rsid w:val="3073310C"/>
    <w:rsid w:val="30EF5972"/>
    <w:rsid w:val="31673619"/>
    <w:rsid w:val="317B5FA6"/>
    <w:rsid w:val="32A51FD4"/>
    <w:rsid w:val="334C7BFA"/>
    <w:rsid w:val="33BB606C"/>
    <w:rsid w:val="36157C82"/>
    <w:rsid w:val="36405F7D"/>
    <w:rsid w:val="37122244"/>
    <w:rsid w:val="37646CF7"/>
    <w:rsid w:val="3790083E"/>
    <w:rsid w:val="37903539"/>
    <w:rsid w:val="38111509"/>
    <w:rsid w:val="382175A5"/>
    <w:rsid w:val="383374BF"/>
    <w:rsid w:val="3869593B"/>
    <w:rsid w:val="394551CE"/>
    <w:rsid w:val="39A460F8"/>
    <w:rsid w:val="3A8C2E48"/>
    <w:rsid w:val="3B2E23D2"/>
    <w:rsid w:val="3D004BF7"/>
    <w:rsid w:val="3EA21AE5"/>
    <w:rsid w:val="40FC2E5B"/>
    <w:rsid w:val="4125361D"/>
    <w:rsid w:val="43962AEF"/>
    <w:rsid w:val="43AF64F0"/>
    <w:rsid w:val="45406320"/>
    <w:rsid w:val="459A22C0"/>
    <w:rsid w:val="46765B61"/>
    <w:rsid w:val="46AE6F33"/>
    <w:rsid w:val="4761087A"/>
    <w:rsid w:val="476C711C"/>
    <w:rsid w:val="48F61D17"/>
    <w:rsid w:val="4A1D0E57"/>
    <w:rsid w:val="4AC13386"/>
    <w:rsid w:val="4B0D06CC"/>
    <w:rsid w:val="4B412124"/>
    <w:rsid w:val="4C3B15EE"/>
    <w:rsid w:val="4C844AD6"/>
    <w:rsid w:val="4E686830"/>
    <w:rsid w:val="4F7943BA"/>
    <w:rsid w:val="4FFE0850"/>
    <w:rsid w:val="50093D5E"/>
    <w:rsid w:val="50113369"/>
    <w:rsid w:val="50744CDE"/>
    <w:rsid w:val="511F44F1"/>
    <w:rsid w:val="521E0406"/>
    <w:rsid w:val="527D4B05"/>
    <w:rsid w:val="52CC4866"/>
    <w:rsid w:val="5382152B"/>
    <w:rsid w:val="540E28F4"/>
    <w:rsid w:val="55B00AB8"/>
    <w:rsid w:val="56412C14"/>
    <w:rsid w:val="58895E0A"/>
    <w:rsid w:val="58EC27F2"/>
    <w:rsid w:val="59A72F25"/>
    <w:rsid w:val="5A1C09BD"/>
    <w:rsid w:val="5ABC71EA"/>
    <w:rsid w:val="5BD7470F"/>
    <w:rsid w:val="5C520904"/>
    <w:rsid w:val="5CA90A11"/>
    <w:rsid w:val="5DB062C3"/>
    <w:rsid w:val="5DF21F7F"/>
    <w:rsid w:val="5ECF5150"/>
    <w:rsid w:val="5F6D7533"/>
    <w:rsid w:val="60320161"/>
    <w:rsid w:val="60B62355"/>
    <w:rsid w:val="61374B25"/>
    <w:rsid w:val="61526439"/>
    <w:rsid w:val="619A2136"/>
    <w:rsid w:val="62D916A8"/>
    <w:rsid w:val="62E30E34"/>
    <w:rsid w:val="63065872"/>
    <w:rsid w:val="63392A57"/>
    <w:rsid w:val="668279D5"/>
    <w:rsid w:val="670D4A21"/>
    <w:rsid w:val="67334BBF"/>
    <w:rsid w:val="67D11EA1"/>
    <w:rsid w:val="67D17A3D"/>
    <w:rsid w:val="67E104CE"/>
    <w:rsid w:val="680074AC"/>
    <w:rsid w:val="685F585F"/>
    <w:rsid w:val="69F3315F"/>
    <w:rsid w:val="6B990F28"/>
    <w:rsid w:val="6BA37623"/>
    <w:rsid w:val="6BFC160C"/>
    <w:rsid w:val="6C6B0957"/>
    <w:rsid w:val="6D6B41F6"/>
    <w:rsid w:val="6E4459DE"/>
    <w:rsid w:val="6F3351AD"/>
    <w:rsid w:val="70813B3F"/>
    <w:rsid w:val="7081672F"/>
    <w:rsid w:val="70F86666"/>
    <w:rsid w:val="70F9191D"/>
    <w:rsid w:val="71B17625"/>
    <w:rsid w:val="71F272E6"/>
    <w:rsid w:val="723D0AFC"/>
    <w:rsid w:val="73992FB6"/>
    <w:rsid w:val="75E044E4"/>
    <w:rsid w:val="7635037C"/>
    <w:rsid w:val="764C3824"/>
    <w:rsid w:val="76714436"/>
    <w:rsid w:val="76DB00CA"/>
    <w:rsid w:val="7715546B"/>
    <w:rsid w:val="788E0645"/>
    <w:rsid w:val="799F32B5"/>
    <w:rsid w:val="7B0B3EAF"/>
    <w:rsid w:val="7BDE06A1"/>
    <w:rsid w:val="7C57180B"/>
    <w:rsid w:val="7CE41E52"/>
    <w:rsid w:val="7D387BFF"/>
    <w:rsid w:val="7DD4587F"/>
    <w:rsid w:val="7DDC172F"/>
    <w:rsid w:val="7E0D7209"/>
    <w:rsid w:val="7E4412E8"/>
    <w:rsid w:val="7E607661"/>
    <w:rsid w:val="7F0A0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39"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nhideWhenUsed="0" w:uiPriority="99" w:semiHidden="0"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0" w:semiHidden="0" w:name="Body Text 2"/>
    <w:lsdException w:qFormat="1" w:unhideWhenUsed="0" w:uiPriority="0" w:semiHidden="0" w:name="Body Text 3"/>
    <w:lsdException w:qFormat="1"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48"/>
    <w:autoRedefine/>
    <w:qFormat/>
    <w:uiPriority w:val="9"/>
    <w:pPr>
      <w:keepNext/>
      <w:keepLines/>
      <w:spacing w:before="340" w:after="330" w:line="576" w:lineRule="auto"/>
      <w:outlineLvl w:val="0"/>
    </w:pPr>
    <w:rPr>
      <w:b/>
      <w:kern w:val="44"/>
      <w:sz w:val="44"/>
      <w:szCs w:val="20"/>
      <w:lang w:val="zh-CN"/>
    </w:rPr>
  </w:style>
  <w:style w:type="paragraph" w:styleId="3">
    <w:name w:val="heading 2"/>
    <w:basedOn w:val="1"/>
    <w:next w:val="1"/>
    <w:link w:val="49"/>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0"/>
    <w:autoRedefine/>
    <w:unhideWhenUsed/>
    <w:qFormat/>
    <w:uiPriority w:val="9"/>
    <w:pPr>
      <w:keepNext/>
      <w:keepLines/>
      <w:spacing w:before="260" w:after="260" w:line="416" w:lineRule="auto"/>
      <w:outlineLvl w:val="2"/>
    </w:pPr>
    <w:rPr>
      <w:rFonts w:ascii="Times New Roman" w:hAnsi="Times New Roman"/>
      <w:b/>
      <w:bCs/>
      <w:sz w:val="32"/>
      <w:szCs w:val="32"/>
    </w:rPr>
  </w:style>
  <w:style w:type="paragraph" w:styleId="5">
    <w:name w:val="heading 4"/>
    <w:basedOn w:val="1"/>
    <w:next w:val="1"/>
    <w:link w:val="51"/>
    <w:autoRedefine/>
    <w:qFormat/>
    <w:uiPriority w:val="9"/>
    <w:pPr>
      <w:keepNext/>
      <w:widowControl/>
      <w:numPr>
        <w:ilvl w:val="3"/>
        <w:numId w:val="1"/>
      </w:numPr>
      <w:spacing w:before="240" w:after="60" w:line="360" w:lineRule="auto"/>
      <w:ind w:left="0" w:firstLine="0"/>
      <w:outlineLvl w:val="3"/>
    </w:pPr>
    <w:rPr>
      <w:rFonts w:ascii="宋体" w:hAnsi="Arial"/>
      <w:b/>
      <w:kern w:val="0"/>
      <w:sz w:val="24"/>
      <w:szCs w:val="20"/>
    </w:rPr>
  </w:style>
  <w:style w:type="paragraph" w:styleId="6">
    <w:name w:val="heading 5"/>
    <w:basedOn w:val="1"/>
    <w:next w:val="1"/>
    <w:link w:val="52"/>
    <w:autoRedefine/>
    <w:qFormat/>
    <w:uiPriority w:val="9"/>
    <w:pPr>
      <w:keepNext/>
      <w:keepLines/>
      <w:adjustRightInd w:val="0"/>
      <w:spacing w:before="280" w:after="290" w:line="376" w:lineRule="atLeast"/>
      <w:textAlignment w:val="baseline"/>
      <w:outlineLvl w:val="4"/>
    </w:pPr>
    <w:rPr>
      <w:rFonts w:ascii="宋体" w:eastAsia="仿宋_GB2312"/>
      <w:b/>
      <w:kern w:val="0"/>
      <w:sz w:val="28"/>
      <w:szCs w:val="20"/>
    </w:rPr>
  </w:style>
  <w:style w:type="paragraph" w:styleId="7">
    <w:name w:val="heading 6"/>
    <w:basedOn w:val="1"/>
    <w:next w:val="1"/>
    <w:link w:val="102"/>
    <w:autoRedefine/>
    <w:qFormat/>
    <w:uiPriority w:val="9"/>
    <w:pPr>
      <w:keepNext/>
      <w:keepLines/>
      <w:tabs>
        <w:tab w:val="left" w:pos="992"/>
      </w:tabs>
      <w:adjustRightInd w:val="0"/>
      <w:spacing w:before="240" w:after="64" w:line="320" w:lineRule="atLeast"/>
      <w:textAlignment w:val="baseline"/>
      <w:outlineLvl w:val="5"/>
    </w:pPr>
    <w:rPr>
      <w:rFonts w:ascii="Arial" w:hAnsi="Arial" w:eastAsia="黑体"/>
      <w:b/>
      <w:kern w:val="0"/>
      <w:sz w:val="24"/>
      <w:szCs w:val="20"/>
    </w:rPr>
  </w:style>
  <w:style w:type="paragraph" w:styleId="8">
    <w:name w:val="heading 7"/>
    <w:basedOn w:val="1"/>
    <w:next w:val="1"/>
    <w:link w:val="103"/>
    <w:autoRedefine/>
    <w:qFormat/>
    <w:uiPriority w:val="9"/>
    <w:pPr>
      <w:keepNext/>
      <w:keepLines/>
      <w:tabs>
        <w:tab w:val="left" w:pos="1571"/>
      </w:tabs>
      <w:adjustRightInd w:val="0"/>
      <w:spacing w:before="240" w:after="64" w:line="320" w:lineRule="atLeast"/>
      <w:textAlignment w:val="baseline"/>
      <w:outlineLvl w:val="6"/>
    </w:pPr>
    <w:rPr>
      <w:rFonts w:ascii="宋体" w:hAnsi="Times New Roman" w:eastAsia="仿宋_GB2312"/>
      <w:b/>
      <w:kern w:val="0"/>
      <w:sz w:val="24"/>
      <w:szCs w:val="20"/>
    </w:rPr>
  </w:style>
  <w:style w:type="paragraph" w:styleId="9">
    <w:name w:val="heading 8"/>
    <w:basedOn w:val="1"/>
    <w:next w:val="1"/>
    <w:link w:val="104"/>
    <w:autoRedefine/>
    <w:qFormat/>
    <w:uiPriority w:val="9"/>
    <w:pPr>
      <w:keepNext/>
      <w:keepLines/>
      <w:adjustRightInd w:val="0"/>
      <w:spacing w:before="240" w:after="64" w:line="320" w:lineRule="atLeast"/>
      <w:textAlignment w:val="baseline"/>
      <w:outlineLvl w:val="7"/>
    </w:pPr>
    <w:rPr>
      <w:rFonts w:ascii="Arial" w:hAnsi="Arial" w:eastAsia="黑体"/>
      <w:kern w:val="0"/>
      <w:sz w:val="24"/>
      <w:szCs w:val="20"/>
    </w:rPr>
  </w:style>
  <w:style w:type="paragraph" w:styleId="10">
    <w:name w:val="heading 9"/>
    <w:basedOn w:val="1"/>
    <w:next w:val="1"/>
    <w:link w:val="105"/>
    <w:autoRedefine/>
    <w:qFormat/>
    <w:uiPriority w:val="9"/>
    <w:pPr>
      <w:keepNext/>
      <w:keepLines/>
      <w:adjustRightInd w:val="0"/>
      <w:spacing w:before="240" w:after="64" w:line="320" w:lineRule="atLeast"/>
      <w:textAlignment w:val="baseline"/>
      <w:outlineLvl w:val="8"/>
    </w:pPr>
    <w:rPr>
      <w:rFonts w:ascii="Arial" w:hAnsi="Arial" w:eastAsia="黑体"/>
      <w:kern w:val="0"/>
      <w:sz w:val="28"/>
      <w:szCs w:val="20"/>
    </w:rPr>
  </w:style>
  <w:style w:type="character" w:default="1" w:styleId="39">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autoRedefine/>
    <w:qFormat/>
    <w:uiPriority w:val="0"/>
    <w:pPr>
      <w:ind w:firstLine="425"/>
    </w:pPr>
    <w:rPr>
      <w:rFonts w:ascii="Times New Roman" w:hAnsi="Times New Roman"/>
      <w:szCs w:val="20"/>
    </w:rPr>
  </w:style>
  <w:style w:type="paragraph" w:styleId="12">
    <w:name w:val="caption"/>
    <w:basedOn w:val="1"/>
    <w:next w:val="1"/>
    <w:autoRedefine/>
    <w:qFormat/>
    <w:uiPriority w:val="35"/>
    <w:pPr>
      <w:widowControl/>
      <w:spacing w:after="200"/>
      <w:jc w:val="left"/>
    </w:pPr>
    <w:rPr>
      <w:b/>
      <w:bCs/>
      <w:color w:val="4F81BD"/>
      <w:kern w:val="0"/>
      <w:sz w:val="18"/>
      <w:szCs w:val="18"/>
      <w:lang w:eastAsia="en-US" w:bidi="en-US"/>
    </w:rPr>
  </w:style>
  <w:style w:type="paragraph" w:styleId="13">
    <w:name w:val="Document Map"/>
    <w:basedOn w:val="1"/>
    <w:link w:val="106"/>
    <w:autoRedefine/>
    <w:qFormat/>
    <w:uiPriority w:val="0"/>
    <w:pPr>
      <w:shd w:val="clear" w:color="auto" w:fill="000080"/>
    </w:pPr>
    <w:rPr>
      <w:rFonts w:asciiTheme="minorHAnsi" w:hAnsiTheme="minorHAnsi" w:eastAsiaTheme="minorEastAsia" w:cstheme="minorBidi"/>
    </w:rPr>
  </w:style>
  <w:style w:type="paragraph" w:styleId="14">
    <w:name w:val="annotation text"/>
    <w:basedOn w:val="1"/>
    <w:link w:val="53"/>
    <w:autoRedefine/>
    <w:unhideWhenUsed/>
    <w:qFormat/>
    <w:uiPriority w:val="99"/>
    <w:pPr>
      <w:jc w:val="left"/>
    </w:pPr>
  </w:style>
  <w:style w:type="paragraph" w:styleId="15">
    <w:name w:val="Body Text 3"/>
    <w:basedOn w:val="1"/>
    <w:link w:val="107"/>
    <w:autoRedefine/>
    <w:qFormat/>
    <w:uiPriority w:val="0"/>
    <w:pPr>
      <w:spacing w:after="120"/>
    </w:pPr>
    <w:rPr>
      <w:rFonts w:asciiTheme="minorHAnsi" w:hAnsiTheme="minorHAnsi" w:eastAsiaTheme="minorEastAsia" w:cstheme="minorBidi"/>
      <w:sz w:val="16"/>
      <w:szCs w:val="16"/>
    </w:rPr>
  </w:style>
  <w:style w:type="paragraph" w:styleId="16">
    <w:name w:val="Body Text"/>
    <w:basedOn w:val="1"/>
    <w:link w:val="54"/>
    <w:autoRedefine/>
    <w:qFormat/>
    <w:uiPriority w:val="0"/>
    <w:pPr>
      <w:widowControl/>
      <w:spacing w:line="320" w:lineRule="atLeast"/>
    </w:pPr>
    <w:rPr>
      <w:rFonts w:eastAsia="隶书"/>
      <w:b/>
      <w:kern w:val="0"/>
      <w:sz w:val="44"/>
      <w:szCs w:val="20"/>
    </w:rPr>
  </w:style>
  <w:style w:type="paragraph" w:styleId="17">
    <w:name w:val="Body Text Indent"/>
    <w:basedOn w:val="1"/>
    <w:link w:val="55"/>
    <w:autoRedefine/>
    <w:unhideWhenUsed/>
    <w:qFormat/>
    <w:uiPriority w:val="0"/>
    <w:pPr>
      <w:spacing w:after="120"/>
      <w:ind w:left="420" w:leftChars="200"/>
    </w:pPr>
    <w:rPr>
      <w:rFonts w:ascii="宋体" w:hAnsi="宋体"/>
      <w:sz w:val="28"/>
      <w:szCs w:val="22"/>
    </w:rPr>
  </w:style>
  <w:style w:type="paragraph" w:styleId="18">
    <w:name w:val="List 2"/>
    <w:basedOn w:val="1"/>
    <w:autoRedefine/>
    <w:qFormat/>
    <w:uiPriority w:val="0"/>
    <w:pPr>
      <w:ind w:left="100" w:leftChars="200" w:hanging="200" w:hangingChars="200"/>
    </w:pPr>
    <w:rPr>
      <w:rFonts w:ascii="Times New Roman" w:hAnsi="Times New Roman"/>
      <w:sz w:val="28"/>
    </w:rPr>
  </w:style>
  <w:style w:type="paragraph" w:styleId="19">
    <w:name w:val="toc 3"/>
    <w:basedOn w:val="1"/>
    <w:next w:val="1"/>
    <w:autoRedefine/>
    <w:qFormat/>
    <w:uiPriority w:val="0"/>
    <w:pPr>
      <w:tabs>
        <w:tab w:val="left" w:pos="1680"/>
        <w:tab w:val="right" w:leader="dot" w:pos="9743"/>
      </w:tabs>
      <w:jc w:val="left"/>
    </w:pPr>
    <w:rPr>
      <w:rFonts w:ascii="Times New Roman" w:hAnsi="Times New Roman"/>
      <w:b/>
      <w:szCs w:val="21"/>
    </w:rPr>
  </w:style>
  <w:style w:type="paragraph" w:styleId="20">
    <w:name w:val="Plain Text"/>
    <w:basedOn w:val="1"/>
    <w:link w:val="56"/>
    <w:autoRedefine/>
    <w:qFormat/>
    <w:uiPriority w:val="0"/>
    <w:rPr>
      <w:rFonts w:ascii="宋体" w:hAnsi="Courier New"/>
      <w:szCs w:val="20"/>
    </w:rPr>
  </w:style>
  <w:style w:type="paragraph" w:styleId="21">
    <w:name w:val="Date"/>
    <w:basedOn w:val="1"/>
    <w:next w:val="1"/>
    <w:link w:val="108"/>
    <w:autoRedefine/>
    <w:qFormat/>
    <w:uiPriority w:val="0"/>
    <w:rPr>
      <w:rFonts w:asciiTheme="minorHAnsi" w:hAnsiTheme="minorHAnsi" w:eastAsiaTheme="minorEastAsia" w:cstheme="minorBidi"/>
      <w:szCs w:val="22"/>
    </w:rPr>
  </w:style>
  <w:style w:type="paragraph" w:styleId="22">
    <w:name w:val="Body Text Indent 2"/>
    <w:basedOn w:val="1"/>
    <w:link w:val="100"/>
    <w:autoRedefine/>
    <w:unhideWhenUsed/>
    <w:qFormat/>
    <w:uiPriority w:val="0"/>
    <w:pPr>
      <w:spacing w:after="120" w:line="480" w:lineRule="auto"/>
      <w:ind w:left="420" w:leftChars="200"/>
    </w:pPr>
  </w:style>
  <w:style w:type="paragraph" w:styleId="23">
    <w:name w:val="endnote text"/>
    <w:basedOn w:val="1"/>
    <w:link w:val="385"/>
    <w:semiHidden/>
    <w:unhideWhenUsed/>
    <w:qFormat/>
    <w:uiPriority w:val="99"/>
    <w:pPr>
      <w:snapToGrid w:val="0"/>
      <w:jc w:val="left"/>
    </w:pPr>
    <w:rPr>
      <w:rFonts w:ascii="Times New Roman" w:hAnsi="Times New Roman"/>
      <w:szCs w:val="21"/>
    </w:rPr>
  </w:style>
  <w:style w:type="paragraph" w:styleId="24">
    <w:name w:val="Balloon Text"/>
    <w:basedOn w:val="1"/>
    <w:link w:val="57"/>
    <w:autoRedefine/>
    <w:qFormat/>
    <w:uiPriority w:val="99"/>
    <w:rPr>
      <w:rFonts w:asciiTheme="minorHAnsi" w:hAnsiTheme="minorHAnsi" w:eastAsiaTheme="minorEastAsia" w:cstheme="minorBidi"/>
      <w:sz w:val="18"/>
      <w:szCs w:val="18"/>
    </w:rPr>
  </w:style>
  <w:style w:type="paragraph" w:styleId="25">
    <w:name w:val="footer"/>
    <w:basedOn w:val="1"/>
    <w:link w:val="58"/>
    <w:autoRedefine/>
    <w:qFormat/>
    <w:uiPriority w:val="99"/>
    <w:pPr>
      <w:tabs>
        <w:tab w:val="center" w:pos="4153"/>
        <w:tab w:val="right" w:pos="8306"/>
      </w:tabs>
      <w:snapToGrid w:val="0"/>
      <w:jc w:val="left"/>
    </w:pPr>
    <w:rPr>
      <w:sz w:val="18"/>
      <w:szCs w:val="18"/>
    </w:rPr>
  </w:style>
  <w:style w:type="paragraph" w:styleId="26">
    <w:name w:val="header"/>
    <w:basedOn w:val="1"/>
    <w:link w:val="59"/>
    <w:autoRedefine/>
    <w:qFormat/>
    <w:uiPriority w:val="99"/>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0"/>
    <w:rPr>
      <w:rFonts w:ascii="Times New Roman" w:hAnsi="Times New Roman"/>
      <w:szCs w:val="20"/>
    </w:rPr>
  </w:style>
  <w:style w:type="paragraph" w:styleId="28">
    <w:name w:val="Subtitle"/>
    <w:basedOn w:val="1"/>
    <w:next w:val="1"/>
    <w:link w:val="109"/>
    <w:autoRedefine/>
    <w:qFormat/>
    <w:uiPriority w:val="11"/>
    <w:pPr>
      <w:spacing w:before="240" w:after="60" w:line="312" w:lineRule="auto"/>
      <w:jc w:val="center"/>
      <w:outlineLvl w:val="1"/>
    </w:pPr>
    <w:rPr>
      <w:rFonts w:ascii="黑体" w:hAnsi="黑体" w:eastAsia="黑体" w:cstheme="minorBidi"/>
      <w:bCs/>
      <w:kern w:val="28"/>
      <w:sz w:val="24"/>
      <w:szCs w:val="32"/>
    </w:rPr>
  </w:style>
  <w:style w:type="paragraph" w:styleId="29">
    <w:name w:val="List"/>
    <w:basedOn w:val="1"/>
    <w:autoRedefine/>
    <w:qFormat/>
    <w:uiPriority w:val="0"/>
    <w:pPr>
      <w:ind w:left="200" w:hanging="200" w:hangingChars="200"/>
    </w:pPr>
    <w:rPr>
      <w:rFonts w:ascii="Times New Roman" w:hAnsi="Times New Roman"/>
    </w:rPr>
  </w:style>
  <w:style w:type="paragraph" w:styleId="30">
    <w:name w:val="footnote text"/>
    <w:basedOn w:val="1"/>
    <w:link w:val="101"/>
    <w:autoRedefine/>
    <w:semiHidden/>
    <w:unhideWhenUsed/>
    <w:qFormat/>
    <w:uiPriority w:val="99"/>
    <w:pPr>
      <w:snapToGrid w:val="0"/>
      <w:jc w:val="left"/>
    </w:pPr>
    <w:rPr>
      <w:rFonts w:ascii="Times New Roman" w:hAnsi="Times New Roman"/>
      <w:sz w:val="18"/>
      <w:szCs w:val="18"/>
    </w:rPr>
  </w:style>
  <w:style w:type="paragraph" w:styleId="31">
    <w:name w:val="Body Text Indent 3"/>
    <w:basedOn w:val="1"/>
    <w:link w:val="60"/>
    <w:autoRedefine/>
    <w:qFormat/>
    <w:uiPriority w:val="0"/>
    <w:pPr>
      <w:spacing w:after="120"/>
      <w:ind w:left="420" w:leftChars="200"/>
    </w:pPr>
    <w:rPr>
      <w:rFonts w:asciiTheme="minorHAnsi" w:hAnsiTheme="minorHAnsi" w:eastAsiaTheme="minorEastAsia" w:cstheme="minorBidi"/>
      <w:sz w:val="16"/>
      <w:szCs w:val="16"/>
    </w:rPr>
  </w:style>
  <w:style w:type="paragraph" w:styleId="32">
    <w:name w:val="Body Text 2"/>
    <w:basedOn w:val="1"/>
    <w:link w:val="110"/>
    <w:autoRedefine/>
    <w:unhideWhenUsed/>
    <w:qFormat/>
    <w:uiPriority w:val="0"/>
    <w:pPr>
      <w:spacing w:after="120" w:line="480" w:lineRule="auto"/>
    </w:pPr>
    <w:rPr>
      <w:rFonts w:asciiTheme="minorHAnsi" w:hAnsiTheme="minorHAnsi" w:eastAsiaTheme="minorEastAsia" w:cstheme="minorBidi"/>
    </w:rPr>
  </w:style>
  <w:style w:type="paragraph" w:styleId="33">
    <w:name w:val="HTML Preformatted"/>
    <w:basedOn w:val="1"/>
    <w:link w:val="111"/>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eastAsiaTheme="minorEastAsia"/>
      <w:szCs w:val="21"/>
    </w:rPr>
  </w:style>
  <w:style w:type="paragraph" w:styleId="34">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35">
    <w:name w:val="Title"/>
    <w:basedOn w:val="1"/>
    <w:next w:val="1"/>
    <w:link w:val="112"/>
    <w:autoRedefine/>
    <w:qFormat/>
    <w:uiPriority w:val="10"/>
    <w:pPr>
      <w:spacing w:before="240" w:after="60"/>
      <w:jc w:val="center"/>
      <w:outlineLvl w:val="0"/>
    </w:pPr>
    <w:rPr>
      <w:rFonts w:ascii="Cambria" w:hAnsi="Cambria" w:eastAsiaTheme="minorEastAsia" w:cstheme="minorBidi"/>
      <w:b/>
      <w:bCs/>
      <w:sz w:val="32"/>
      <w:szCs w:val="32"/>
    </w:rPr>
  </w:style>
  <w:style w:type="paragraph" w:styleId="36">
    <w:name w:val="annotation subject"/>
    <w:basedOn w:val="14"/>
    <w:next w:val="14"/>
    <w:link w:val="61"/>
    <w:autoRedefine/>
    <w:qFormat/>
    <w:uiPriority w:val="99"/>
    <w:rPr>
      <w:rFonts w:asciiTheme="minorHAnsi" w:hAnsiTheme="minorHAnsi" w:eastAsiaTheme="minorEastAsia" w:cstheme="minorBidi"/>
      <w:b/>
      <w:bCs/>
    </w:rPr>
  </w:style>
  <w:style w:type="table" w:styleId="38">
    <w:name w:val="Table Grid"/>
    <w:basedOn w:val="3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Strong"/>
    <w:autoRedefine/>
    <w:qFormat/>
    <w:uiPriority w:val="0"/>
    <w:rPr>
      <w:b/>
      <w:bCs/>
    </w:rPr>
  </w:style>
  <w:style w:type="character" w:styleId="41">
    <w:name w:val="endnote reference"/>
    <w:basedOn w:val="39"/>
    <w:semiHidden/>
    <w:unhideWhenUsed/>
    <w:qFormat/>
    <w:uiPriority w:val="99"/>
    <w:rPr>
      <w:vertAlign w:val="superscript"/>
    </w:rPr>
  </w:style>
  <w:style w:type="character" w:styleId="42">
    <w:name w:val="page number"/>
    <w:autoRedefine/>
    <w:qFormat/>
    <w:uiPriority w:val="99"/>
  </w:style>
  <w:style w:type="character" w:styleId="43">
    <w:name w:val="FollowedHyperlink"/>
    <w:autoRedefine/>
    <w:unhideWhenUsed/>
    <w:qFormat/>
    <w:uiPriority w:val="99"/>
    <w:rPr>
      <w:color w:val="954F72"/>
      <w:u w:val="single"/>
    </w:rPr>
  </w:style>
  <w:style w:type="character" w:styleId="44">
    <w:name w:val="Emphasis"/>
    <w:autoRedefine/>
    <w:qFormat/>
    <w:uiPriority w:val="20"/>
    <w:rPr>
      <w:color w:val="CC0033"/>
    </w:rPr>
  </w:style>
  <w:style w:type="character" w:styleId="45">
    <w:name w:val="Hyperlink"/>
    <w:autoRedefine/>
    <w:qFormat/>
    <w:uiPriority w:val="99"/>
    <w:rPr>
      <w:color w:val="0000FF"/>
      <w:u w:val="single"/>
    </w:rPr>
  </w:style>
  <w:style w:type="character" w:styleId="46">
    <w:name w:val="annotation reference"/>
    <w:autoRedefine/>
    <w:unhideWhenUsed/>
    <w:qFormat/>
    <w:uiPriority w:val="99"/>
    <w:rPr>
      <w:sz w:val="21"/>
      <w:szCs w:val="21"/>
    </w:rPr>
  </w:style>
  <w:style w:type="character" w:styleId="47">
    <w:name w:val="footnote reference"/>
    <w:basedOn w:val="39"/>
    <w:autoRedefine/>
    <w:semiHidden/>
    <w:unhideWhenUsed/>
    <w:qFormat/>
    <w:uiPriority w:val="99"/>
    <w:rPr>
      <w:vertAlign w:val="superscript"/>
    </w:rPr>
  </w:style>
  <w:style w:type="character" w:customStyle="1" w:styleId="48">
    <w:name w:val="标题 1 字符"/>
    <w:basedOn w:val="39"/>
    <w:link w:val="2"/>
    <w:autoRedefine/>
    <w:qFormat/>
    <w:uiPriority w:val="9"/>
    <w:rPr>
      <w:rFonts w:ascii="Calibri" w:hAnsi="Calibri" w:eastAsia="宋体" w:cs="Times New Roman"/>
      <w:b/>
      <w:kern w:val="44"/>
      <w:sz w:val="44"/>
      <w:szCs w:val="20"/>
      <w:lang w:val="zh-CN" w:eastAsia="zh-CN"/>
    </w:rPr>
  </w:style>
  <w:style w:type="character" w:customStyle="1" w:styleId="49">
    <w:name w:val="标题 2 字符"/>
    <w:basedOn w:val="39"/>
    <w:link w:val="3"/>
    <w:autoRedefine/>
    <w:qFormat/>
    <w:uiPriority w:val="9"/>
    <w:rPr>
      <w:rFonts w:asciiTheme="majorHAnsi" w:hAnsiTheme="majorHAnsi" w:eastAsiaTheme="majorEastAsia" w:cstheme="majorBidi"/>
      <w:b/>
      <w:bCs/>
      <w:kern w:val="2"/>
      <w:sz w:val="32"/>
      <w:szCs w:val="32"/>
    </w:rPr>
  </w:style>
  <w:style w:type="character" w:customStyle="1" w:styleId="50">
    <w:name w:val="标题 3 字符"/>
    <w:basedOn w:val="39"/>
    <w:link w:val="4"/>
    <w:autoRedefine/>
    <w:qFormat/>
    <w:uiPriority w:val="9"/>
    <w:rPr>
      <w:rFonts w:ascii="Times New Roman" w:hAnsi="Times New Roman" w:eastAsia="宋体" w:cs="Times New Roman"/>
      <w:b/>
      <w:bCs/>
      <w:kern w:val="2"/>
      <w:sz w:val="32"/>
      <w:szCs w:val="32"/>
    </w:rPr>
  </w:style>
  <w:style w:type="character" w:customStyle="1" w:styleId="51">
    <w:name w:val="标题 4 字符"/>
    <w:basedOn w:val="39"/>
    <w:link w:val="5"/>
    <w:autoRedefine/>
    <w:qFormat/>
    <w:uiPriority w:val="9"/>
    <w:rPr>
      <w:rFonts w:ascii="宋体" w:hAnsi="Arial" w:eastAsia="宋体" w:cs="Times New Roman"/>
      <w:b/>
      <w:kern w:val="0"/>
      <w:sz w:val="24"/>
      <w:szCs w:val="20"/>
    </w:rPr>
  </w:style>
  <w:style w:type="character" w:customStyle="1" w:styleId="52">
    <w:name w:val="标题 5 字符"/>
    <w:basedOn w:val="39"/>
    <w:link w:val="6"/>
    <w:autoRedefine/>
    <w:qFormat/>
    <w:uiPriority w:val="9"/>
    <w:rPr>
      <w:rFonts w:ascii="宋体" w:hAnsi="Calibri" w:eastAsia="仿宋_GB2312" w:cs="Times New Roman"/>
      <w:b/>
      <w:kern w:val="0"/>
      <w:sz w:val="28"/>
      <w:szCs w:val="20"/>
    </w:rPr>
  </w:style>
  <w:style w:type="character" w:customStyle="1" w:styleId="53">
    <w:name w:val="批注文字 字符1"/>
    <w:basedOn w:val="39"/>
    <w:link w:val="14"/>
    <w:autoRedefine/>
    <w:semiHidden/>
    <w:qFormat/>
    <w:uiPriority w:val="99"/>
    <w:rPr>
      <w:rFonts w:ascii="Calibri" w:hAnsi="Calibri" w:eastAsia="宋体" w:cs="Times New Roman"/>
      <w:szCs w:val="24"/>
    </w:rPr>
  </w:style>
  <w:style w:type="character" w:customStyle="1" w:styleId="54">
    <w:name w:val="正文文本 字符"/>
    <w:basedOn w:val="39"/>
    <w:link w:val="16"/>
    <w:autoRedefine/>
    <w:qFormat/>
    <w:uiPriority w:val="99"/>
    <w:rPr>
      <w:rFonts w:ascii="Calibri" w:hAnsi="Calibri" w:eastAsia="隶书" w:cs="Times New Roman"/>
      <w:b/>
      <w:kern w:val="0"/>
      <w:sz w:val="44"/>
      <w:szCs w:val="20"/>
    </w:rPr>
  </w:style>
  <w:style w:type="character" w:customStyle="1" w:styleId="55">
    <w:name w:val="正文文本缩进 字符"/>
    <w:basedOn w:val="39"/>
    <w:link w:val="17"/>
    <w:autoRedefine/>
    <w:qFormat/>
    <w:uiPriority w:val="99"/>
    <w:rPr>
      <w:rFonts w:ascii="宋体" w:hAnsi="宋体" w:eastAsia="宋体" w:cs="Times New Roman"/>
      <w:sz w:val="28"/>
    </w:rPr>
  </w:style>
  <w:style w:type="character" w:customStyle="1" w:styleId="56">
    <w:name w:val="纯文本 字符"/>
    <w:basedOn w:val="39"/>
    <w:link w:val="20"/>
    <w:autoRedefine/>
    <w:qFormat/>
    <w:uiPriority w:val="0"/>
    <w:rPr>
      <w:rFonts w:ascii="宋体" w:hAnsi="Courier New" w:eastAsia="宋体" w:cs="Times New Roman"/>
      <w:szCs w:val="20"/>
    </w:rPr>
  </w:style>
  <w:style w:type="character" w:customStyle="1" w:styleId="57">
    <w:name w:val="批注框文本 字符"/>
    <w:link w:val="24"/>
    <w:autoRedefine/>
    <w:qFormat/>
    <w:uiPriority w:val="99"/>
    <w:rPr>
      <w:sz w:val="18"/>
      <w:szCs w:val="18"/>
    </w:rPr>
  </w:style>
  <w:style w:type="character" w:customStyle="1" w:styleId="58">
    <w:name w:val="页脚 字符"/>
    <w:basedOn w:val="39"/>
    <w:link w:val="25"/>
    <w:autoRedefine/>
    <w:qFormat/>
    <w:uiPriority w:val="99"/>
    <w:rPr>
      <w:rFonts w:ascii="Calibri" w:hAnsi="Calibri" w:eastAsia="宋体" w:cs="Times New Roman"/>
      <w:sz w:val="18"/>
      <w:szCs w:val="18"/>
    </w:rPr>
  </w:style>
  <w:style w:type="character" w:customStyle="1" w:styleId="59">
    <w:name w:val="页眉 字符"/>
    <w:basedOn w:val="39"/>
    <w:link w:val="26"/>
    <w:autoRedefine/>
    <w:qFormat/>
    <w:uiPriority w:val="99"/>
    <w:rPr>
      <w:rFonts w:ascii="Calibri" w:hAnsi="Calibri" w:eastAsia="宋体" w:cs="Times New Roman"/>
      <w:sz w:val="18"/>
      <w:szCs w:val="18"/>
    </w:rPr>
  </w:style>
  <w:style w:type="character" w:customStyle="1" w:styleId="60">
    <w:name w:val="正文文本缩进 3 字符"/>
    <w:link w:val="31"/>
    <w:autoRedefine/>
    <w:qFormat/>
    <w:uiPriority w:val="99"/>
    <w:rPr>
      <w:sz w:val="16"/>
      <w:szCs w:val="16"/>
    </w:rPr>
  </w:style>
  <w:style w:type="character" w:customStyle="1" w:styleId="61">
    <w:name w:val="批注主题 字符"/>
    <w:link w:val="36"/>
    <w:autoRedefine/>
    <w:qFormat/>
    <w:uiPriority w:val="99"/>
    <w:rPr>
      <w:b/>
      <w:bCs/>
      <w:szCs w:val="24"/>
    </w:rPr>
  </w:style>
  <w:style w:type="character" w:customStyle="1" w:styleId="62">
    <w:name w:val="批注文字 字符"/>
    <w:autoRedefine/>
    <w:qFormat/>
    <w:uiPriority w:val="99"/>
    <w:rPr>
      <w:kern w:val="2"/>
      <w:sz w:val="21"/>
      <w:szCs w:val="24"/>
    </w:rPr>
  </w:style>
  <w:style w:type="character" w:customStyle="1" w:styleId="63">
    <w:name w:val="msoins"/>
    <w:autoRedefine/>
    <w:qFormat/>
    <w:uiPriority w:val="0"/>
  </w:style>
  <w:style w:type="paragraph" w:customStyle="1" w:styleId="64">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65">
    <w:name w:val="No Spacing"/>
    <w:link w:val="229"/>
    <w:autoRedefine/>
    <w:qFormat/>
    <w:uiPriority w:val="0"/>
    <w:rPr>
      <w:rFonts w:ascii="Calibri" w:hAnsi="Calibri" w:eastAsia="宋体" w:cs="Times New Roman"/>
      <w:kern w:val="2"/>
      <w:sz w:val="22"/>
      <w:szCs w:val="22"/>
      <w:lang w:val="en-US" w:eastAsia="en-US" w:bidi="en-US"/>
    </w:rPr>
  </w:style>
  <w:style w:type="paragraph" w:customStyle="1" w:styleId="66">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7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68">
    <w:name w:val="xl7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character" w:customStyle="1" w:styleId="69">
    <w:name w:val="批注主题 字符1"/>
    <w:basedOn w:val="53"/>
    <w:autoRedefine/>
    <w:semiHidden/>
    <w:qFormat/>
    <w:uiPriority w:val="99"/>
    <w:rPr>
      <w:rFonts w:ascii="Calibri" w:hAnsi="Calibri" w:eastAsia="宋体" w:cs="Times New Roman"/>
      <w:b/>
      <w:bCs/>
      <w:szCs w:val="24"/>
    </w:rPr>
  </w:style>
  <w:style w:type="paragraph" w:customStyle="1" w:styleId="70">
    <w:name w:val="xl7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character" w:customStyle="1" w:styleId="71">
    <w:name w:val="批注框文本 字符1"/>
    <w:basedOn w:val="39"/>
    <w:autoRedefine/>
    <w:semiHidden/>
    <w:qFormat/>
    <w:uiPriority w:val="99"/>
    <w:rPr>
      <w:rFonts w:ascii="Calibri" w:hAnsi="Calibri" w:eastAsia="宋体" w:cs="Times New Roman"/>
      <w:sz w:val="18"/>
      <w:szCs w:val="18"/>
    </w:rPr>
  </w:style>
  <w:style w:type="character" w:customStyle="1" w:styleId="72">
    <w:name w:val="正文文本缩进 3 字符1"/>
    <w:basedOn w:val="39"/>
    <w:autoRedefine/>
    <w:semiHidden/>
    <w:qFormat/>
    <w:uiPriority w:val="99"/>
    <w:rPr>
      <w:rFonts w:ascii="Calibri" w:hAnsi="Calibri" w:eastAsia="宋体" w:cs="Times New Roman"/>
      <w:sz w:val="16"/>
      <w:szCs w:val="16"/>
    </w:rPr>
  </w:style>
  <w:style w:type="paragraph" w:customStyle="1" w:styleId="73">
    <w:name w:val="xl7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4">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75">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6">
    <w:name w:val="xl7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77">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78">
    <w:name w:val="xl6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styleId="79">
    <w:name w:val="List Paragraph"/>
    <w:basedOn w:val="1"/>
    <w:qFormat/>
    <w:uiPriority w:val="34"/>
    <w:pPr>
      <w:ind w:firstLine="420" w:firstLineChars="200"/>
    </w:pPr>
    <w:rPr>
      <w:szCs w:val="22"/>
    </w:rPr>
  </w:style>
  <w:style w:type="paragraph" w:customStyle="1" w:styleId="80">
    <w:name w:val="msonormal"/>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81">
    <w:name w:val="xl6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 w:val="20"/>
      <w:szCs w:val="20"/>
    </w:rPr>
  </w:style>
  <w:style w:type="paragraph" w:customStyle="1" w:styleId="82">
    <w:name w:val="font6"/>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83">
    <w:name w:val="xl7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84">
    <w:name w:val="xl7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85">
    <w:name w:val="xl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86">
    <w:name w:val="xl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87">
    <w:name w:val="xl8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paragraph" w:customStyle="1" w:styleId="88">
    <w:name w:val="xl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89">
    <w:name w:val="xl8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0">
    <w:name w:val="xl8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0"/>
      <w:szCs w:val="20"/>
    </w:rPr>
  </w:style>
  <w:style w:type="paragraph" w:customStyle="1" w:styleId="91">
    <w:name w:val="xl8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2">
    <w:name w:val="xl8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3">
    <w:name w:val="xl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94">
    <w:name w:val="xl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95">
    <w:name w:val="xl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6">
    <w:name w:val="xl9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7">
    <w:name w:val="xl9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0"/>
      <w:szCs w:val="20"/>
    </w:rPr>
  </w:style>
  <w:style w:type="paragraph" w:customStyle="1" w:styleId="98">
    <w:name w:val="xl9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0"/>
      <w:szCs w:val="20"/>
    </w:rPr>
  </w:style>
  <w:style w:type="paragraph" w:customStyle="1" w:styleId="99">
    <w:name w:val="xl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0"/>
      <w:szCs w:val="20"/>
    </w:rPr>
  </w:style>
  <w:style w:type="character" w:customStyle="1" w:styleId="100">
    <w:name w:val="正文文本缩进 2 字符"/>
    <w:basedOn w:val="39"/>
    <w:link w:val="22"/>
    <w:autoRedefine/>
    <w:qFormat/>
    <w:uiPriority w:val="0"/>
    <w:rPr>
      <w:rFonts w:ascii="Calibri" w:hAnsi="Calibri" w:eastAsia="宋体" w:cs="Times New Roman"/>
      <w:kern w:val="2"/>
      <w:sz w:val="21"/>
      <w:szCs w:val="24"/>
    </w:rPr>
  </w:style>
  <w:style w:type="character" w:customStyle="1" w:styleId="101">
    <w:name w:val="脚注文本 字符"/>
    <w:basedOn w:val="39"/>
    <w:link w:val="30"/>
    <w:autoRedefine/>
    <w:semiHidden/>
    <w:qFormat/>
    <w:uiPriority w:val="99"/>
    <w:rPr>
      <w:rFonts w:ascii="Times New Roman" w:hAnsi="Times New Roman" w:eastAsia="宋体" w:cs="Times New Roman"/>
      <w:kern w:val="2"/>
      <w:sz w:val="18"/>
      <w:szCs w:val="18"/>
    </w:rPr>
  </w:style>
  <w:style w:type="character" w:customStyle="1" w:styleId="102">
    <w:name w:val="标题 6 字符"/>
    <w:basedOn w:val="39"/>
    <w:link w:val="7"/>
    <w:autoRedefine/>
    <w:qFormat/>
    <w:uiPriority w:val="9"/>
    <w:rPr>
      <w:rFonts w:ascii="Arial" w:hAnsi="Arial" w:eastAsia="黑体" w:cs="Times New Roman"/>
      <w:b/>
      <w:sz w:val="24"/>
    </w:rPr>
  </w:style>
  <w:style w:type="character" w:customStyle="1" w:styleId="103">
    <w:name w:val="标题 7 字符"/>
    <w:basedOn w:val="39"/>
    <w:link w:val="8"/>
    <w:autoRedefine/>
    <w:qFormat/>
    <w:uiPriority w:val="9"/>
    <w:rPr>
      <w:rFonts w:ascii="宋体" w:hAnsi="Times New Roman" w:eastAsia="仿宋_GB2312" w:cs="Times New Roman"/>
      <w:b/>
      <w:sz w:val="24"/>
    </w:rPr>
  </w:style>
  <w:style w:type="character" w:customStyle="1" w:styleId="104">
    <w:name w:val="标题 8 字符"/>
    <w:basedOn w:val="39"/>
    <w:link w:val="9"/>
    <w:autoRedefine/>
    <w:qFormat/>
    <w:uiPriority w:val="9"/>
    <w:rPr>
      <w:rFonts w:ascii="Arial" w:hAnsi="Arial" w:eastAsia="黑体" w:cs="Times New Roman"/>
      <w:sz w:val="24"/>
    </w:rPr>
  </w:style>
  <w:style w:type="character" w:customStyle="1" w:styleId="105">
    <w:name w:val="标题 9 字符"/>
    <w:basedOn w:val="39"/>
    <w:link w:val="10"/>
    <w:autoRedefine/>
    <w:qFormat/>
    <w:uiPriority w:val="9"/>
    <w:rPr>
      <w:rFonts w:ascii="Arial" w:hAnsi="Arial" w:eastAsia="黑体" w:cs="Times New Roman"/>
      <w:sz w:val="28"/>
    </w:rPr>
  </w:style>
  <w:style w:type="character" w:customStyle="1" w:styleId="106">
    <w:name w:val="文档结构图 字符"/>
    <w:basedOn w:val="39"/>
    <w:link w:val="13"/>
    <w:autoRedefine/>
    <w:qFormat/>
    <w:uiPriority w:val="0"/>
    <w:rPr>
      <w:kern w:val="2"/>
      <w:sz w:val="21"/>
      <w:szCs w:val="24"/>
      <w:shd w:val="clear" w:color="auto" w:fill="000080"/>
    </w:rPr>
  </w:style>
  <w:style w:type="character" w:customStyle="1" w:styleId="107">
    <w:name w:val="正文文本 3 字符"/>
    <w:basedOn w:val="39"/>
    <w:link w:val="15"/>
    <w:autoRedefine/>
    <w:qFormat/>
    <w:uiPriority w:val="0"/>
    <w:rPr>
      <w:kern w:val="2"/>
      <w:sz w:val="16"/>
      <w:szCs w:val="16"/>
    </w:rPr>
  </w:style>
  <w:style w:type="character" w:customStyle="1" w:styleId="108">
    <w:name w:val="日期 字符"/>
    <w:basedOn w:val="39"/>
    <w:link w:val="21"/>
    <w:qFormat/>
    <w:uiPriority w:val="0"/>
    <w:rPr>
      <w:kern w:val="2"/>
      <w:sz w:val="21"/>
      <w:szCs w:val="22"/>
    </w:rPr>
  </w:style>
  <w:style w:type="character" w:customStyle="1" w:styleId="109">
    <w:name w:val="副标题 字符"/>
    <w:basedOn w:val="39"/>
    <w:link w:val="28"/>
    <w:autoRedefine/>
    <w:qFormat/>
    <w:uiPriority w:val="11"/>
    <w:rPr>
      <w:rFonts w:ascii="黑体" w:hAnsi="黑体" w:eastAsia="黑体"/>
      <w:bCs/>
      <w:kern w:val="28"/>
      <w:sz w:val="24"/>
      <w:szCs w:val="32"/>
    </w:rPr>
  </w:style>
  <w:style w:type="character" w:customStyle="1" w:styleId="110">
    <w:name w:val="正文文本 2 字符"/>
    <w:basedOn w:val="39"/>
    <w:link w:val="32"/>
    <w:autoRedefine/>
    <w:qFormat/>
    <w:uiPriority w:val="0"/>
    <w:rPr>
      <w:kern w:val="2"/>
      <w:sz w:val="21"/>
      <w:szCs w:val="24"/>
    </w:rPr>
  </w:style>
  <w:style w:type="character" w:customStyle="1" w:styleId="111">
    <w:name w:val="HTML 预设格式 字符"/>
    <w:basedOn w:val="39"/>
    <w:link w:val="33"/>
    <w:autoRedefine/>
    <w:qFormat/>
    <w:uiPriority w:val="99"/>
    <w:rPr>
      <w:rFonts w:ascii="Arial" w:hAnsi="Arial" w:cs="Arial"/>
      <w:kern w:val="2"/>
      <w:sz w:val="21"/>
      <w:szCs w:val="21"/>
    </w:rPr>
  </w:style>
  <w:style w:type="character" w:customStyle="1" w:styleId="112">
    <w:name w:val="标题 字符"/>
    <w:basedOn w:val="39"/>
    <w:link w:val="35"/>
    <w:autoRedefine/>
    <w:qFormat/>
    <w:uiPriority w:val="10"/>
    <w:rPr>
      <w:rFonts w:ascii="Cambria" w:hAnsi="Cambria"/>
      <w:b/>
      <w:bCs/>
      <w:kern w:val="2"/>
      <w:sz w:val="32"/>
      <w:szCs w:val="32"/>
    </w:rPr>
  </w:style>
  <w:style w:type="character" w:customStyle="1" w:styleId="113">
    <w:name w:val="标题 3 Char"/>
    <w:basedOn w:val="39"/>
    <w:autoRedefine/>
    <w:qFormat/>
    <w:uiPriority w:val="0"/>
    <w:rPr>
      <w:b/>
      <w:bCs/>
      <w:sz w:val="32"/>
      <w:szCs w:val="32"/>
    </w:rPr>
  </w:style>
  <w:style w:type="character" w:customStyle="1" w:styleId="114">
    <w:name w:val="标题 1 1 Char"/>
    <w:qFormat/>
    <w:locked/>
    <w:uiPriority w:val="0"/>
    <w:rPr>
      <w:rFonts w:eastAsia="宋体"/>
      <w:kern w:val="2"/>
      <w:sz w:val="28"/>
      <w:szCs w:val="24"/>
      <w:lang w:val="en-US" w:eastAsia="zh-CN" w:bidi="ar-SA"/>
    </w:rPr>
  </w:style>
  <w:style w:type="character" w:customStyle="1" w:styleId="115">
    <w:name w:val="apple-style-span"/>
    <w:autoRedefine/>
    <w:qFormat/>
    <w:uiPriority w:val="0"/>
  </w:style>
  <w:style w:type="character" w:customStyle="1" w:styleId="116">
    <w:name w:val="章 Char"/>
    <w:autoRedefine/>
    <w:qFormat/>
    <w:locked/>
    <w:uiPriority w:val="0"/>
    <w:rPr>
      <w:rFonts w:eastAsia="宋体"/>
      <w:sz w:val="24"/>
      <w:lang w:val="en-US" w:eastAsia="zh-CN" w:bidi="ar-SA"/>
    </w:rPr>
  </w:style>
  <w:style w:type="character" w:customStyle="1" w:styleId="117">
    <w:name w:val="页眉 Char1"/>
    <w:autoRedefine/>
    <w:semiHidden/>
    <w:qFormat/>
    <w:uiPriority w:val="0"/>
    <w:rPr>
      <w:rFonts w:ascii="Times New Roman" w:hAnsi="Times New Roman" w:eastAsia="宋体" w:cs="Times New Roman"/>
      <w:sz w:val="18"/>
      <w:szCs w:val="18"/>
    </w:rPr>
  </w:style>
  <w:style w:type="character" w:customStyle="1" w:styleId="118">
    <w:name w:val="+正文 Char Char"/>
    <w:link w:val="119"/>
    <w:autoRedefine/>
    <w:qFormat/>
    <w:uiPriority w:val="0"/>
    <w:rPr>
      <w:rFonts w:ascii="楷体_GB2312"/>
      <w:sz w:val="24"/>
    </w:rPr>
  </w:style>
  <w:style w:type="paragraph" w:customStyle="1" w:styleId="119">
    <w:name w:val="+正文 Char Char Char"/>
    <w:basedOn w:val="1"/>
    <w:link w:val="118"/>
    <w:autoRedefine/>
    <w:qFormat/>
    <w:uiPriority w:val="0"/>
    <w:pPr>
      <w:spacing w:line="360" w:lineRule="auto"/>
      <w:ind w:firstLine="200" w:firstLineChars="200"/>
    </w:pPr>
    <w:rPr>
      <w:rFonts w:ascii="楷体_GB2312" w:hAnsiTheme="minorHAnsi" w:eastAsiaTheme="minorEastAsia" w:cstheme="minorBidi"/>
      <w:kern w:val="0"/>
      <w:sz w:val="24"/>
      <w:szCs w:val="20"/>
    </w:rPr>
  </w:style>
  <w:style w:type="character" w:customStyle="1" w:styleId="120">
    <w:name w:val="（1） Char"/>
    <w:autoRedefine/>
    <w:qFormat/>
    <w:locked/>
    <w:uiPriority w:val="0"/>
    <w:rPr>
      <w:rFonts w:eastAsia="宋体"/>
      <w:b/>
      <w:sz w:val="24"/>
      <w:szCs w:val="24"/>
      <w:lang w:val="en-US" w:eastAsia="zh-CN" w:bidi="ar-SA"/>
    </w:rPr>
  </w:style>
  <w:style w:type="character" w:customStyle="1" w:styleId="121">
    <w:name w:val="批注框文本 Char"/>
    <w:autoRedefine/>
    <w:qFormat/>
    <w:locked/>
    <w:uiPriority w:val="0"/>
    <w:rPr>
      <w:sz w:val="18"/>
      <w:szCs w:val="18"/>
    </w:rPr>
  </w:style>
  <w:style w:type="character" w:customStyle="1" w:styleId="122">
    <w:name w:val="+正文 Char5 Char Char Char Char Char"/>
    <w:link w:val="123"/>
    <w:autoRedefine/>
    <w:qFormat/>
    <w:uiPriority w:val="0"/>
    <w:rPr>
      <w:rFonts w:ascii="宋体" w:hAnsi="宋体"/>
      <w:sz w:val="24"/>
    </w:rPr>
  </w:style>
  <w:style w:type="paragraph" w:customStyle="1" w:styleId="123">
    <w:name w:val="+正文 Char5 Char Char Char"/>
    <w:basedOn w:val="1"/>
    <w:link w:val="122"/>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24">
    <w:name w:val="一 Char"/>
    <w:autoRedefine/>
    <w:qFormat/>
    <w:locked/>
    <w:uiPriority w:val="0"/>
    <w:rPr>
      <w:rFonts w:eastAsia="宋体"/>
      <w:sz w:val="24"/>
      <w:szCs w:val="24"/>
      <w:lang w:val="en-US" w:eastAsia="zh-CN" w:bidi="ar-SA"/>
    </w:rPr>
  </w:style>
  <w:style w:type="character" w:customStyle="1" w:styleId="125">
    <w:name w:val="普通文字 Char Char2"/>
    <w:autoRedefine/>
    <w:qFormat/>
    <w:locked/>
    <w:uiPriority w:val="0"/>
    <w:rPr>
      <w:rFonts w:ascii="宋体" w:hAnsi="Courier New" w:eastAsia="宋体"/>
    </w:rPr>
  </w:style>
  <w:style w:type="character" w:customStyle="1" w:styleId="126">
    <w:name w:val="书籍标题3"/>
    <w:autoRedefine/>
    <w:qFormat/>
    <w:uiPriority w:val="33"/>
    <w:rPr>
      <w:b/>
      <w:bCs/>
      <w:smallCaps/>
      <w:spacing w:val="5"/>
    </w:rPr>
  </w:style>
  <w:style w:type="character" w:customStyle="1" w:styleId="127">
    <w:name w:val="文档结构图 Char"/>
    <w:autoRedefine/>
    <w:qFormat/>
    <w:locked/>
    <w:uiPriority w:val="0"/>
    <w:rPr>
      <w:szCs w:val="24"/>
      <w:shd w:val="clear" w:color="auto" w:fill="000080"/>
    </w:rPr>
  </w:style>
  <w:style w:type="character" w:customStyle="1" w:styleId="128">
    <w:name w:val="正文文本缩进 2 Char1"/>
    <w:autoRedefine/>
    <w:qFormat/>
    <w:locked/>
    <w:uiPriority w:val="0"/>
    <w:rPr>
      <w:rFonts w:ascii="Times New Roman" w:hAnsi="Times New Roman" w:eastAsia="宋体" w:cs="Times New Roman"/>
      <w:szCs w:val="24"/>
    </w:rPr>
  </w:style>
  <w:style w:type="character" w:customStyle="1" w:styleId="129">
    <w:name w:val="+正文 Char2 Char"/>
    <w:autoRedefine/>
    <w:qFormat/>
    <w:locked/>
    <w:uiPriority w:val="0"/>
    <w:rPr>
      <w:rFonts w:ascii="宋体" w:hAnsi="宋体"/>
      <w:sz w:val="24"/>
      <w:szCs w:val="28"/>
    </w:rPr>
  </w:style>
  <w:style w:type="character" w:customStyle="1" w:styleId="130">
    <w:name w:val="正文文本缩进 Char1"/>
    <w:autoRedefine/>
    <w:semiHidden/>
    <w:qFormat/>
    <w:uiPriority w:val="0"/>
    <w:rPr>
      <w:rFonts w:ascii="Times New Roman" w:hAnsi="Times New Roman"/>
      <w:kern w:val="2"/>
      <w:sz w:val="21"/>
      <w:szCs w:val="24"/>
    </w:rPr>
  </w:style>
  <w:style w:type="character" w:customStyle="1" w:styleId="131">
    <w:name w:val="不明显参考3"/>
    <w:autoRedefine/>
    <w:qFormat/>
    <w:uiPriority w:val="31"/>
    <w:rPr>
      <w:smallCaps/>
      <w:color w:val="C0504D"/>
      <w:u w:val="single"/>
    </w:rPr>
  </w:style>
  <w:style w:type="character" w:customStyle="1" w:styleId="132">
    <w:name w:val="PIM 9 Char Char"/>
    <w:autoRedefine/>
    <w:qFormat/>
    <w:locked/>
    <w:uiPriority w:val="0"/>
    <w:rPr>
      <w:rFonts w:eastAsia="宋体"/>
      <w:b/>
      <w:sz w:val="24"/>
      <w:szCs w:val="24"/>
      <w:lang w:val="en-US" w:eastAsia="zh-CN" w:bidi="ar-SA"/>
    </w:rPr>
  </w:style>
  <w:style w:type="character" w:customStyle="1" w:styleId="133">
    <w:name w:val="明显引用 Char"/>
    <w:autoRedefine/>
    <w:qFormat/>
    <w:uiPriority w:val="0"/>
    <w:rPr>
      <w:rFonts w:ascii="Calibri" w:hAnsi="Calibri"/>
      <w:b/>
      <w:bCs/>
      <w:i/>
      <w:iCs/>
      <w:color w:val="4F81BD"/>
      <w:sz w:val="22"/>
      <w:lang w:eastAsia="en-US" w:bidi="en-US"/>
    </w:rPr>
  </w:style>
  <w:style w:type="paragraph" w:styleId="134">
    <w:name w:val="Intense Quote"/>
    <w:basedOn w:val="1"/>
    <w:next w:val="1"/>
    <w:link w:val="135"/>
    <w:autoRedefine/>
    <w:qFormat/>
    <w:uiPriority w:val="30"/>
    <w:pPr>
      <w:widowControl/>
      <w:pBdr>
        <w:bottom w:val="single" w:color="4F81BD" w:sz="4" w:space="4"/>
      </w:pBdr>
      <w:spacing w:before="200" w:after="280" w:line="276" w:lineRule="auto"/>
      <w:ind w:left="936" w:right="936"/>
      <w:jc w:val="left"/>
    </w:pPr>
    <w:rPr>
      <w:rFonts w:eastAsiaTheme="minorEastAsia" w:cstheme="minorBidi"/>
      <w:b/>
      <w:bCs/>
      <w:i/>
      <w:iCs/>
      <w:color w:val="4F81BD"/>
      <w:sz w:val="22"/>
      <w:szCs w:val="22"/>
      <w:lang w:eastAsia="en-US" w:bidi="en-US"/>
    </w:rPr>
  </w:style>
  <w:style w:type="character" w:customStyle="1" w:styleId="135">
    <w:name w:val="明显引用 字符"/>
    <w:basedOn w:val="39"/>
    <w:link w:val="134"/>
    <w:autoRedefine/>
    <w:qFormat/>
    <w:uiPriority w:val="30"/>
    <w:rPr>
      <w:rFonts w:ascii="Calibri" w:hAnsi="Calibri"/>
      <w:b/>
      <w:bCs/>
      <w:i/>
      <w:iCs/>
      <w:color w:val="4F81BD"/>
      <w:kern w:val="2"/>
      <w:sz w:val="22"/>
      <w:szCs w:val="22"/>
      <w:lang w:eastAsia="en-US" w:bidi="en-US"/>
    </w:rPr>
  </w:style>
  <w:style w:type="character" w:customStyle="1" w:styleId="136">
    <w:name w:val="+正文 Char2 Char Char"/>
    <w:link w:val="137"/>
    <w:autoRedefine/>
    <w:qFormat/>
    <w:uiPriority w:val="0"/>
    <w:rPr>
      <w:rFonts w:ascii="宋体" w:hAnsi="宋体"/>
      <w:sz w:val="24"/>
    </w:rPr>
  </w:style>
  <w:style w:type="paragraph" w:customStyle="1" w:styleId="137">
    <w:name w:val="+正文 Char2"/>
    <w:basedOn w:val="1"/>
    <w:link w:val="136"/>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38">
    <w:name w:val="ind:txt Char"/>
    <w:autoRedefine/>
    <w:qFormat/>
    <w:uiPriority w:val="0"/>
    <w:rPr>
      <w:rFonts w:eastAsia="宋体"/>
      <w:kern w:val="2"/>
      <w:sz w:val="28"/>
      <w:szCs w:val="24"/>
      <w:lang w:val="en-US" w:eastAsia="zh-CN" w:bidi="ar-SA"/>
    </w:rPr>
  </w:style>
  <w:style w:type="character" w:customStyle="1" w:styleId="139">
    <w:name w:val="明显参考1"/>
    <w:autoRedefine/>
    <w:qFormat/>
    <w:uiPriority w:val="32"/>
    <w:rPr>
      <w:b/>
      <w:bCs/>
      <w:smallCaps/>
      <w:color w:val="C0504D"/>
      <w:spacing w:val="5"/>
      <w:u w:val="single"/>
    </w:rPr>
  </w:style>
  <w:style w:type="character" w:customStyle="1" w:styleId="140">
    <w:name w:val="+1. Char Char Char"/>
    <w:link w:val="141"/>
    <w:autoRedefine/>
    <w:qFormat/>
    <w:uiPriority w:val="0"/>
    <w:rPr>
      <w:rFonts w:ascii="楷体_GB2312"/>
      <w:sz w:val="24"/>
    </w:rPr>
  </w:style>
  <w:style w:type="paragraph" w:customStyle="1" w:styleId="141">
    <w:name w:val="+1. Char"/>
    <w:basedOn w:val="119"/>
    <w:link w:val="140"/>
    <w:autoRedefine/>
    <w:qFormat/>
    <w:uiPriority w:val="0"/>
    <w:pPr>
      <w:ind w:firstLine="0" w:firstLineChars="0"/>
    </w:pPr>
  </w:style>
  <w:style w:type="character" w:customStyle="1" w:styleId="142">
    <w:name w:val="书籍标题1"/>
    <w:autoRedefine/>
    <w:qFormat/>
    <w:uiPriority w:val="33"/>
    <w:rPr>
      <w:b/>
      <w:bCs/>
      <w:smallCaps/>
      <w:spacing w:val="5"/>
    </w:rPr>
  </w:style>
  <w:style w:type="character" w:customStyle="1" w:styleId="143">
    <w:name w:val="正文文本 Char1"/>
    <w:autoRedefine/>
    <w:qFormat/>
    <w:uiPriority w:val="0"/>
    <w:rPr>
      <w:rFonts w:ascii="Times New Roman" w:hAnsi="Times New Roman"/>
      <w:kern w:val="2"/>
      <w:sz w:val="21"/>
      <w:szCs w:val="24"/>
    </w:rPr>
  </w:style>
  <w:style w:type="character" w:customStyle="1" w:styleId="144">
    <w:name w:val="正文文本缩进 Char"/>
    <w:autoRedefine/>
    <w:qFormat/>
    <w:locked/>
    <w:uiPriority w:val="0"/>
    <w:rPr>
      <w:rFonts w:ascii="宋体"/>
      <w:sz w:val="28"/>
    </w:rPr>
  </w:style>
  <w:style w:type="character" w:customStyle="1" w:styleId="145">
    <w:name w:val="+正文 Char5 Char Char Char Char"/>
    <w:autoRedefine/>
    <w:qFormat/>
    <w:locked/>
    <w:uiPriority w:val="0"/>
    <w:rPr>
      <w:rFonts w:ascii="宋体" w:hAnsi="宋体"/>
      <w:sz w:val="24"/>
      <w:szCs w:val="24"/>
    </w:rPr>
  </w:style>
  <w:style w:type="character" w:customStyle="1" w:styleId="146">
    <w:name w:val="样式 (西文) 宋体 小四 黑色"/>
    <w:autoRedefine/>
    <w:qFormat/>
    <w:uiPriority w:val="0"/>
    <w:rPr>
      <w:rFonts w:hint="eastAsia" w:ascii="宋体" w:hAnsi="宋体" w:eastAsia="宋体"/>
      <w:color w:val="000000"/>
      <w:sz w:val="21"/>
    </w:rPr>
  </w:style>
  <w:style w:type="character" w:customStyle="1" w:styleId="147">
    <w:name w:val="明显强调2"/>
    <w:autoRedefine/>
    <w:qFormat/>
    <w:uiPriority w:val="21"/>
    <w:rPr>
      <w:b/>
      <w:bCs/>
      <w:i/>
      <w:iCs/>
      <w:color w:val="4F81BD"/>
    </w:rPr>
  </w:style>
  <w:style w:type="character" w:customStyle="1" w:styleId="148">
    <w:name w:val="HTML 预设格式 Char1"/>
    <w:qFormat/>
    <w:locked/>
    <w:uiPriority w:val="99"/>
    <w:rPr>
      <w:rFonts w:ascii="Arial" w:hAnsi="Arial" w:cs="Arial"/>
      <w:szCs w:val="21"/>
    </w:rPr>
  </w:style>
  <w:style w:type="character" w:customStyle="1" w:styleId="149">
    <w:name w:val="正文文本缩进 2 Char2"/>
    <w:autoRedefine/>
    <w:semiHidden/>
    <w:qFormat/>
    <w:uiPriority w:val="99"/>
    <w:rPr>
      <w:rFonts w:ascii="Times New Roman" w:hAnsi="Times New Roman" w:eastAsia="宋体" w:cs="Times New Roman"/>
      <w:szCs w:val="24"/>
    </w:rPr>
  </w:style>
  <w:style w:type="character" w:customStyle="1" w:styleId="150">
    <w:name w:val="+正文 Char Char3 Char Char Char Char"/>
    <w:link w:val="151"/>
    <w:autoRedefine/>
    <w:qFormat/>
    <w:uiPriority w:val="0"/>
    <w:rPr>
      <w:rFonts w:ascii="宋体" w:hAnsi="宋体"/>
      <w:sz w:val="24"/>
    </w:rPr>
  </w:style>
  <w:style w:type="paragraph" w:customStyle="1" w:styleId="151">
    <w:name w:val="+正文 Char Char3 Char Char"/>
    <w:basedOn w:val="1"/>
    <w:link w:val="150"/>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52">
    <w:name w:val="正文缩进 Char Char"/>
    <w:autoRedefine/>
    <w:qFormat/>
    <w:uiPriority w:val="0"/>
    <w:rPr>
      <w:rFonts w:ascii="宋体" w:hAnsi="宋体" w:eastAsia="宋体"/>
      <w:kern w:val="2"/>
      <w:sz w:val="28"/>
      <w:szCs w:val="24"/>
      <w:lang w:val="en-US" w:eastAsia="zh-CN" w:bidi="ar-SA"/>
    </w:rPr>
  </w:style>
  <w:style w:type="character" w:customStyle="1" w:styleId="153">
    <w:name w:val="style18"/>
    <w:basedOn w:val="39"/>
    <w:autoRedefine/>
    <w:qFormat/>
    <w:uiPriority w:val="0"/>
  </w:style>
  <w:style w:type="character" w:customStyle="1" w:styleId="154">
    <w:name w:val="+列表1 Char Char Char Char Char"/>
    <w:link w:val="155"/>
    <w:autoRedefine/>
    <w:qFormat/>
    <w:uiPriority w:val="0"/>
    <w:rPr>
      <w:rFonts w:ascii="宋体" w:hAnsi="宋体"/>
    </w:rPr>
  </w:style>
  <w:style w:type="paragraph" w:customStyle="1" w:styleId="155">
    <w:name w:val="+列表1 Char Char Char"/>
    <w:basedOn w:val="1"/>
    <w:link w:val="154"/>
    <w:autoRedefine/>
    <w:qFormat/>
    <w:uiPriority w:val="0"/>
    <w:pPr>
      <w:jc w:val="center"/>
    </w:pPr>
    <w:rPr>
      <w:rFonts w:ascii="宋体" w:hAnsi="宋体" w:eastAsiaTheme="minorEastAsia" w:cstheme="minorBidi"/>
      <w:kern w:val="0"/>
      <w:sz w:val="20"/>
      <w:szCs w:val="20"/>
    </w:rPr>
  </w:style>
  <w:style w:type="character" w:customStyle="1" w:styleId="156">
    <w:name w:val="不明显强调1"/>
    <w:autoRedefine/>
    <w:qFormat/>
    <w:uiPriority w:val="19"/>
    <w:rPr>
      <w:i/>
      <w:iCs/>
      <w:color w:val="808080"/>
    </w:rPr>
  </w:style>
  <w:style w:type="character" w:customStyle="1" w:styleId="157">
    <w:name w:val="正文文本 3 Char"/>
    <w:autoRedefine/>
    <w:qFormat/>
    <w:locked/>
    <w:uiPriority w:val="0"/>
    <w:rPr>
      <w:sz w:val="16"/>
      <w:szCs w:val="16"/>
    </w:rPr>
  </w:style>
  <w:style w:type="character" w:customStyle="1" w:styleId="158">
    <w:name w:val="批注文字 Char2"/>
    <w:autoRedefine/>
    <w:qFormat/>
    <w:uiPriority w:val="0"/>
    <w:rPr>
      <w:rFonts w:ascii="Times New Roman" w:hAnsi="Times New Roman" w:eastAsia="宋体" w:cs="Times New Roman"/>
      <w:szCs w:val="24"/>
    </w:rPr>
  </w:style>
  <w:style w:type="character" w:customStyle="1" w:styleId="159">
    <w:name w:val="不明显参考2"/>
    <w:autoRedefine/>
    <w:qFormat/>
    <w:uiPriority w:val="31"/>
    <w:rPr>
      <w:smallCaps/>
      <w:color w:val="C0504D"/>
      <w:u w:val="single"/>
    </w:rPr>
  </w:style>
  <w:style w:type="character" w:customStyle="1" w:styleId="160">
    <w:name w:val="标题 1.1 Char"/>
    <w:autoRedefine/>
    <w:qFormat/>
    <w:locked/>
    <w:uiPriority w:val="0"/>
    <w:rPr>
      <w:rFonts w:eastAsia="黑体"/>
      <w:kern w:val="2"/>
      <w:sz w:val="28"/>
      <w:szCs w:val="32"/>
      <w:lang w:val="en-US" w:eastAsia="zh-CN" w:bidi="ar-SA"/>
    </w:rPr>
  </w:style>
  <w:style w:type="character" w:customStyle="1" w:styleId="161">
    <w:name w:val="h6 Char"/>
    <w:autoRedefine/>
    <w:qFormat/>
    <w:locked/>
    <w:uiPriority w:val="0"/>
    <w:rPr>
      <w:rFonts w:eastAsia="宋体"/>
      <w:sz w:val="24"/>
      <w:szCs w:val="24"/>
      <w:lang w:val="en-US" w:eastAsia="zh-CN" w:bidi="ar-SA"/>
    </w:rPr>
  </w:style>
  <w:style w:type="character" w:customStyle="1" w:styleId="162">
    <w:name w:val="正文文本缩进 3 Char1"/>
    <w:autoRedefine/>
    <w:qFormat/>
    <w:uiPriority w:val="0"/>
    <w:rPr>
      <w:kern w:val="2"/>
      <w:sz w:val="16"/>
      <w:szCs w:val="16"/>
    </w:rPr>
  </w:style>
  <w:style w:type="character" w:customStyle="1" w:styleId="163">
    <w:name w:val="副标题 Char"/>
    <w:autoRedefine/>
    <w:qFormat/>
    <w:locked/>
    <w:uiPriority w:val="11"/>
    <w:rPr>
      <w:rFonts w:ascii="黑体" w:hAnsi="黑体" w:eastAsia="黑体"/>
      <w:bCs/>
      <w:kern w:val="28"/>
      <w:sz w:val="24"/>
      <w:szCs w:val="32"/>
    </w:rPr>
  </w:style>
  <w:style w:type="character" w:customStyle="1" w:styleId="164">
    <w:name w:val="明显引用 Char1"/>
    <w:autoRedefine/>
    <w:qFormat/>
    <w:uiPriority w:val="30"/>
    <w:rPr>
      <w:b/>
      <w:bCs/>
      <w:i/>
      <w:iCs/>
      <w:color w:val="4F81BD"/>
      <w:kern w:val="2"/>
      <w:sz w:val="21"/>
      <w:szCs w:val="24"/>
    </w:rPr>
  </w:style>
  <w:style w:type="character" w:customStyle="1" w:styleId="165">
    <w:name w:val="+正文 Char4"/>
    <w:link w:val="166"/>
    <w:autoRedefine/>
    <w:qFormat/>
    <w:uiPriority w:val="0"/>
    <w:rPr>
      <w:rFonts w:ascii="宋体" w:hAnsi="宋体"/>
      <w:sz w:val="24"/>
    </w:rPr>
  </w:style>
  <w:style w:type="paragraph" w:customStyle="1" w:styleId="166">
    <w:name w:val="+正文"/>
    <w:basedOn w:val="1"/>
    <w:link w:val="165"/>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167">
    <w:name w:val="正文文本缩进 2 Char"/>
    <w:autoRedefine/>
    <w:qFormat/>
    <w:locked/>
    <w:uiPriority w:val="0"/>
    <w:rPr>
      <w:szCs w:val="24"/>
    </w:rPr>
  </w:style>
  <w:style w:type="character" w:customStyle="1" w:styleId="168">
    <w:name w:val="日期 Char1"/>
    <w:autoRedefine/>
    <w:semiHidden/>
    <w:qFormat/>
    <w:locked/>
    <w:uiPriority w:val="99"/>
    <w:rPr>
      <w:rFonts w:ascii="Times New Roman" w:hAnsi="Times New Roman" w:eastAsia="宋体" w:cs="Times New Roman"/>
      <w:szCs w:val="20"/>
    </w:rPr>
  </w:style>
  <w:style w:type="character" w:customStyle="1" w:styleId="169">
    <w:name w:val="明显强调3"/>
    <w:autoRedefine/>
    <w:qFormat/>
    <w:uiPriority w:val="21"/>
    <w:rPr>
      <w:b/>
      <w:bCs/>
      <w:i/>
      <w:iCs/>
      <w:color w:val="4F81BD"/>
    </w:rPr>
  </w:style>
  <w:style w:type="character" w:customStyle="1" w:styleId="170">
    <w:name w:val="表文字 Char Char"/>
    <w:link w:val="171"/>
    <w:autoRedefine/>
    <w:qFormat/>
    <w:uiPriority w:val="0"/>
    <w:rPr>
      <w:rFonts w:ascii="楷体_GB2312" w:hAnsi="宋体" w:eastAsia="楷体_GB2312"/>
      <w:spacing w:val="-8"/>
      <w:sz w:val="24"/>
      <w:lang w:val="zh-CN"/>
    </w:rPr>
  </w:style>
  <w:style w:type="paragraph" w:customStyle="1" w:styleId="171">
    <w:name w:val="表文字"/>
    <w:basedOn w:val="1"/>
    <w:link w:val="170"/>
    <w:autoRedefine/>
    <w:qFormat/>
    <w:uiPriority w:val="0"/>
    <w:pPr>
      <w:adjustRightInd w:val="0"/>
      <w:snapToGrid w:val="0"/>
      <w:spacing w:line="320" w:lineRule="exact"/>
      <w:ind w:right="-31" w:rightChars="-31" w:firstLine="448" w:firstLineChars="200"/>
      <w:jc w:val="center"/>
    </w:pPr>
    <w:rPr>
      <w:rFonts w:ascii="楷体_GB2312" w:hAnsi="宋体" w:eastAsia="楷体_GB2312" w:cstheme="minorBidi"/>
      <w:spacing w:val="-8"/>
      <w:kern w:val="0"/>
      <w:sz w:val="24"/>
      <w:szCs w:val="20"/>
      <w:lang w:val="zh-CN"/>
    </w:rPr>
  </w:style>
  <w:style w:type="character" w:customStyle="1" w:styleId="172">
    <w:name w:val="（A） Char Char"/>
    <w:autoRedefine/>
    <w:qFormat/>
    <w:locked/>
    <w:uiPriority w:val="0"/>
    <w:rPr>
      <w:rFonts w:eastAsia="宋体"/>
      <w:b/>
      <w:sz w:val="24"/>
      <w:szCs w:val="24"/>
      <w:lang w:val="en-US" w:eastAsia="zh-CN" w:bidi="ar-SA"/>
    </w:rPr>
  </w:style>
  <w:style w:type="character" w:customStyle="1" w:styleId="173">
    <w:name w:val="列表编号3 Char"/>
    <w:autoRedefine/>
    <w:qFormat/>
    <w:locked/>
    <w:uiPriority w:val="0"/>
    <w:rPr>
      <w:rFonts w:eastAsia="宋体"/>
      <w:kern w:val="2"/>
      <w:sz w:val="32"/>
      <w:szCs w:val="32"/>
      <w:lang w:val="en-US" w:eastAsia="zh-CN" w:bidi="ar-SA"/>
    </w:rPr>
  </w:style>
  <w:style w:type="character" w:customStyle="1" w:styleId="174">
    <w:name w:val="Char Char8"/>
    <w:autoRedefine/>
    <w:qFormat/>
    <w:locked/>
    <w:uiPriority w:val="0"/>
    <w:rPr>
      <w:rFonts w:ascii="宋体" w:hAnsi="宋体" w:eastAsia="宋体"/>
      <w:b/>
      <w:kern w:val="2"/>
      <w:sz w:val="18"/>
      <w:szCs w:val="24"/>
      <w:lang w:val="en-US" w:eastAsia="zh-CN" w:bidi="ar-SA"/>
    </w:rPr>
  </w:style>
  <w:style w:type="character" w:customStyle="1" w:styleId="175">
    <w:name w:val="普通(网站) Char1"/>
    <w:autoRedefine/>
    <w:semiHidden/>
    <w:qFormat/>
    <w:locked/>
    <w:uiPriority w:val="99"/>
    <w:rPr>
      <w:rFonts w:ascii="Times New Roman" w:hAnsi="Times New Roman"/>
      <w:kern w:val="2"/>
      <w:sz w:val="18"/>
      <w:szCs w:val="18"/>
    </w:rPr>
  </w:style>
  <w:style w:type="character" w:customStyle="1" w:styleId="176">
    <w:name w:val="标题 3 Char1"/>
    <w:autoRedefine/>
    <w:semiHidden/>
    <w:qFormat/>
    <w:uiPriority w:val="0"/>
    <w:rPr>
      <w:b/>
      <w:bCs/>
      <w:kern w:val="2"/>
      <w:sz w:val="32"/>
      <w:szCs w:val="32"/>
    </w:rPr>
  </w:style>
  <w:style w:type="character" w:customStyle="1" w:styleId="177">
    <w:name w:val="日期 Char"/>
    <w:autoRedefine/>
    <w:qFormat/>
    <w:locked/>
    <w:uiPriority w:val="0"/>
  </w:style>
  <w:style w:type="character" w:customStyle="1" w:styleId="178">
    <w:name w:val="+列表1 Char Char Char Char"/>
    <w:autoRedefine/>
    <w:qFormat/>
    <w:locked/>
    <w:uiPriority w:val="0"/>
    <w:rPr>
      <w:rFonts w:ascii="宋体" w:hAnsi="宋体"/>
      <w:szCs w:val="24"/>
    </w:rPr>
  </w:style>
  <w:style w:type="character" w:customStyle="1" w:styleId="179">
    <w:name w:val="批注框文本 Char1"/>
    <w:autoRedefine/>
    <w:qFormat/>
    <w:uiPriority w:val="0"/>
    <w:rPr>
      <w:rFonts w:ascii="Times New Roman" w:hAnsi="Times New Roman"/>
      <w:kern w:val="2"/>
      <w:sz w:val="18"/>
      <w:szCs w:val="18"/>
    </w:rPr>
  </w:style>
  <w:style w:type="character" w:customStyle="1" w:styleId="180">
    <w:name w:val="正文文本缩进 3 Char2"/>
    <w:autoRedefine/>
    <w:semiHidden/>
    <w:qFormat/>
    <w:uiPriority w:val="99"/>
    <w:rPr>
      <w:rFonts w:ascii="Times New Roman" w:hAnsi="Times New Roman" w:eastAsia="宋体" w:cs="Times New Roman"/>
      <w:sz w:val="16"/>
      <w:szCs w:val="16"/>
    </w:rPr>
  </w:style>
  <w:style w:type="character" w:customStyle="1" w:styleId="181">
    <w:name w:val="样式 标题 2标题 1.1编号标题21.1head:2#2 headlinehheadlineS&amp;R2ERMH...1 Char"/>
    <w:autoRedefine/>
    <w:qFormat/>
    <w:uiPriority w:val="0"/>
    <w:rPr>
      <w:rFonts w:eastAsia="黑体"/>
      <w:b/>
      <w:bCs/>
      <w:kern w:val="2"/>
      <w:sz w:val="28"/>
      <w:szCs w:val="32"/>
      <w:lang w:val="en-US" w:eastAsia="zh-CN" w:bidi="ar-SA"/>
    </w:rPr>
  </w:style>
  <w:style w:type="character" w:customStyle="1" w:styleId="182">
    <w:name w:val="文档结构图 Char1"/>
    <w:autoRedefine/>
    <w:semiHidden/>
    <w:qFormat/>
    <w:uiPriority w:val="99"/>
    <w:rPr>
      <w:rFonts w:ascii="宋体" w:hAnsi="Times New Roman"/>
      <w:kern w:val="2"/>
      <w:sz w:val="18"/>
      <w:szCs w:val="18"/>
    </w:rPr>
  </w:style>
  <w:style w:type="character" w:customStyle="1" w:styleId="183">
    <w:name w:val="明显强调1"/>
    <w:autoRedefine/>
    <w:qFormat/>
    <w:uiPriority w:val="21"/>
    <w:rPr>
      <w:b/>
      <w:bCs/>
      <w:i/>
      <w:iCs/>
      <w:color w:val="4F81BD"/>
    </w:rPr>
  </w:style>
  <w:style w:type="character" w:customStyle="1" w:styleId="184">
    <w:name w:val="批注主题 Char2"/>
    <w:autoRedefine/>
    <w:semiHidden/>
    <w:qFormat/>
    <w:uiPriority w:val="99"/>
    <w:rPr>
      <w:rFonts w:ascii="Times New Roman" w:hAnsi="Times New Roman" w:eastAsia="宋体" w:cs="Times New Roman"/>
      <w:b/>
      <w:bCs/>
      <w:szCs w:val="24"/>
    </w:rPr>
  </w:style>
  <w:style w:type="character" w:customStyle="1" w:styleId="185">
    <w:name w:val="批注主题 Char1"/>
    <w:autoRedefine/>
    <w:qFormat/>
    <w:uiPriority w:val="0"/>
    <w:rPr>
      <w:b/>
      <w:bCs/>
      <w:kern w:val="2"/>
      <w:sz w:val="21"/>
      <w:szCs w:val="24"/>
    </w:rPr>
  </w:style>
  <w:style w:type="character" w:customStyle="1" w:styleId="186">
    <w:name w:val="+正文 Char Char5 Char Char"/>
    <w:autoRedefine/>
    <w:qFormat/>
    <w:locked/>
    <w:uiPriority w:val="0"/>
    <w:rPr>
      <w:rFonts w:ascii="宋体" w:hAnsi="宋体"/>
      <w:sz w:val="24"/>
      <w:szCs w:val="24"/>
    </w:rPr>
  </w:style>
  <w:style w:type="character" w:customStyle="1" w:styleId="187">
    <w:name w:val="纯文本 Char1"/>
    <w:autoRedefine/>
    <w:qFormat/>
    <w:locked/>
    <w:uiPriority w:val="0"/>
    <w:rPr>
      <w:rFonts w:ascii="宋体" w:hAnsi="Courier New" w:eastAsia="宋体"/>
      <w:kern w:val="2"/>
      <w:sz w:val="21"/>
      <w:lang w:val="en-US" w:eastAsia="zh-CN" w:bidi="ar-SA"/>
    </w:rPr>
  </w:style>
  <w:style w:type="character" w:customStyle="1" w:styleId="188">
    <w:name w:val="正文文本 3 Char1"/>
    <w:autoRedefine/>
    <w:semiHidden/>
    <w:qFormat/>
    <w:uiPriority w:val="0"/>
    <w:rPr>
      <w:kern w:val="2"/>
      <w:sz w:val="16"/>
      <w:szCs w:val="16"/>
    </w:rPr>
  </w:style>
  <w:style w:type="character" w:customStyle="1" w:styleId="189">
    <w:name w:val="明显引用 Char2"/>
    <w:autoRedefine/>
    <w:qFormat/>
    <w:locked/>
    <w:uiPriority w:val="30"/>
    <w:rPr>
      <w:rFonts w:ascii="Calibri" w:hAnsi="Calibri"/>
      <w:b/>
      <w:bCs/>
      <w:i/>
      <w:iCs/>
      <w:color w:val="4F81BD"/>
      <w:sz w:val="22"/>
      <w:lang w:eastAsia="en-US" w:bidi="en-US"/>
    </w:rPr>
  </w:style>
  <w:style w:type="character" w:customStyle="1" w:styleId="190">
    <w:name w:val="引用 Char2"/>
    <w:autoRedefine/>
    <w:qFormat/>
    <w:uiPriority w:val="29"/>
    <w:rPr>
      <w:rFonts w:ascii="Times New Roman" w:hAnsi="Times New Roman" w:eastAsia="宋体" w:cs="Times New Roman"/>
      <w:i/>
      <w:iCs/>
      <w:color w:val="000000"/>
      <w:szCs w:val="24"/>
    </w:rPr>
  </w:style>
  <w:style w:type="character" w:customStyle="1" w:styleId="191">
    <w:name w:val="明显引用 Char3"/>
    <w:link w:val="192"/>
    <w:autoRedefine/>
    <w:qFormat/>
    <w:uiPriority w:val="30"/>
    <w:rPr>
      <w:b/>
      <w:bCs/>
      <w:i/>
      <w:iCs/>
      <w:color w:val="4F81BD"/>
      <w:szCs w:val="24"/>
    </w:rPr>
  </w:style>
  <w:style w:type="paragraph" w:customStyle="1" w:styleId="192">
    <w:name w:val="明显引用1"/>
    <w:basedOn w:val="1"/>
    <w:next w:val="1"/>
    <w:link w:val="191"/>
    <w:autoRedefine/>
    <w:qFormat/>
    <w:uiPriority w:val="30"/>
    <w:pPr>
      <w:pBdr>
        <w:bottom w:val="single" w:color="4F81BD" w:sz="4" w:space="4"/>
      </w:pBdr>
      <w:spacing w:before="200" w:after="280"/>
      <w:ind w:left="936" w:right="936"/>
    </w:pPr>
    <w:rPr>
      <w:rFonts w:asciiTheme="minorHAnsi" w:hAnsiTheme="minorHAnsi" w:eastAsiaTheme="minorEastAsia" w:cstheme="minorBidi"/>
      <w:b/>
      <w:bCs/>
      <w:i/>
      <w:iCs/>
      <w:color w:val="4F81BD"/>
      <w:kern w:val="0"/>
      <w:sz w:val="20"/>
    </w:rPr>
  </w:style>
  <w:style w:type="character" w:customStyle="1" w:styleId="193">
    <w:name w:val="书籍标题2"/>
    <w:autoRedefine/>
    <w:qFormat/>
    <w:uiPriority w:val="33"/>
    <w:rPr>
      <w:b/>
      <w:bCs/>
      <w:smallCaps/>
      <w:spacing w:val="5"/>
    </w:rPr>
  </w:style>
  <w:style w:type="character" w:customStyle="1" w:styleId="194">
    <w:name w:val="+正文 Char Char2 Char Char"/>
    <w:autoRedefine/>
    <w:qFormat/>
    <w:locked/>
    <w:uiPriority w:val="0"/>
    <w:rPr>
      <w:rFonts w:ascii="宋体" w:hAnsi="宋体"/>
      <w:sz w:val="24"/>
      <w:szCs w:val="28"/>
    </w:rPr>
  </w:style>
  <w:style w:type="character" w:customStyle="1" w:styleId="195">
    <w:name w:val="批注框文本 Char2"/>
    <w:autoRedefine/>
    <w:semiHidden/>
    <w:qFormat/>
    <w:uiPriority w:val="99"/>
    <w:rPr>
      <w:rFonts w:ascii="Times New Roman" w:hAnsi="Times New Roman" w:eastAsia="宋体" w:cs="Times New Roman"/>
      <w:sz w:val="18"/>
      <w:szCs w:val="18"/>
    </w:rPr>
  </w:style>
  <w:style w:type="character" w:customStyle="1" w:styleId="196">
    <w:name w:val="不明显参考1"/>
    <w:autoRedefine/>
    <w:qFormat/>
    <w:uiPriority w:val="31"/>
    <w:rPr>
      <w:smallCaps/>
      <w:color w:val="C0504D"/>
      <w:u w:val="single"/>
    </w:rPr>
  </w:style>
  <w:style w:type="character" w:customStyle="1" w:styleId="197">
    <w:name w:val="不明显强调2"/>
    <w:autoRedefine/>
    <w:qFormat/>
    <w:uiPriority w:val="19"/>
    <w:rPr>
      <w:i/>
      <w:iCs/>
      <w:color w:val="808080"/>
    </w:rPr>
  </w:style>
  <w:style w:type="character" w:customStyle="1" w:styleId="198">
    <w:name w:val="+1. Char Char"/>
    <w:autoRedefine/>
    <w:qFormat/>
    <w:locked/>
    <w:uiPriority w:val="0"/>
    <w:rPr>
      <w:rFonts w:ascii="楷体_GB2312"/>
      <w:sz w:val="24"/>
      <w:szCs w:val="28"/>
    </w:rPr>
  </w:style>
  <w:style w:type="character" w:customStyle="1" w:styleId="199">
    <w:name w:val="标题 Char1"/>
    <w:autoRedefine/>
    <w:qFormat/>
    <w:uiPriority w:val="10"/>
    <w:rPr>
      <w:rFonts w:ascii="Cambria" w:hAnsi="Cambria" w:cs="Times New Roman"/>
      <w:b/>
      <w:bCs/>
      <w:kern w:val="2"/>
      <w:sz w:val="32"/>
      <w:szCs w:val="32"/>
    </w:rPr>
  </w:style>
  <w:style w:type="character" w:customStyle="1" w:styleId="200">
    <w:name w:val="正文文本 2 Char"/>
    <w:autoRedefine/>
    <w:qFormat/>
    <w:uiPriority w:val="0"/>
    <w:rPr>
      <w:szCs w:val="24"/>
    </w:rPr>
  </w:style>
  <w:style w:type="character" w:customStyle="1" w:styleId="201">
    <w:name w:val="标题 1 Char1"/>
    <w:autoRedefine/>
    <w:qFormat/>
    <w:uiPriority w:val="0"/>
    <w:rPr>
      <w:b/>
      <w:bCs/>
      <w:kern w:val="44"/>
      <w:sz w:val="44"/>
      <w:szCs w:val="44"/>
    </w:rPr>
  </w:style>
  <w:style w:type="character" w:customStyle="1" w:styleId="202">
    <w:name w:val="标题 Char"/>
    <w:autoRedefine/>
    <w:qFormat/>
    <w:locked/>
    <w:uiPriority w:val="10"/>
    <w:rPr>
      <w:rFonts w:ascii="Cambria" w:hAnsi="Cambria"/>
      <w:b/>
      <w:bCs/>
      <w:sz w:val="32"/>
      <w:szCs w:val="32"/>
    </w:rPr>
  </w:style>
  <w:style w:type="character" w:customStyle="1" w:styleId="203">
    <w:name w:val="正文文本 Char"/>
    <w:autoRedefine/>
    <w:qFormat/>
    <w:locked/>
    <w:uiPriority w:val="0"/>
    <w:rPr>
      <w:rFonts w:eastAsia="隶书"/>
      <w:b/>
      <w:sz w:val="44"/>
    </w:rPr>
  </w:style>
  <w:style w:type="character" w:customStyle="1" w:styleId="204">
    <w:name w:val="明显参考3"/>
    <w:autoRedefine/>
    <w:qFormat/>
    <w:uiPriority w:val="32"/>
    <w:rPr>
      <w:b/>
      <w:bCs/>
      <w:smallCaps/>
      <w:color w:val="C0504D"/>
      <w:spacing w:val="5"/>
      <w:u w:val="single"/>
    </w:rPr>
  </w:style>
  <w:style w:type="character" w:customStyle="1" w:styleId="205">
    <w:name w:val="表文字 Char"/>
    <w:autoRedefine/>
    <w:qFormat/>
    <w:locked/>
    <w:uiPriority w:val="0"/>
    <w:rPr>
      <w:rFonts w:ascii="楷体_GB2312" w:hAnsi="宋体" w:eastAsia="楷体_GB2312"/>
      <w:spacing w:val="-8"/>
      <w:sz w:val="24"/>
      <w:szCs w:val="24"/>
      <w:lang w:val="zh-CN"/>
    </w:rPr>
  </w:style>
  <w:style w:type="character" w:customStyle="1" w:styleId="206">
    <w:name w:val="+正文 Char Char5 Char Char Char"/>
    <w:link w:val="207"/>
    <w:autoRedefine/>
    <w:qFormat/>
    <w:uiPriority w:val="0"/>
    <w:rPr>
      <w:rFonts w:ascii="宋体" w:hAnsi="宋体"/>
      <w:sz w:val="24"/>
    </w:rPr>
  </w:style>
  <w:style w:type="paragraph" w:customStyle="1" w:styleId="207">
    <w:name w:val="+正文 Char Char5 Char"/>
    <w:basedOn w:val="1"/>
    <w:link w:val="206"/>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208">
    <w:name w:val="纯文本 Char"/>
    <w:autoRedefine/>
    <w:qFormat/>
    <w:locked/>
    <w:uiPriority w:val="0"/>
    <w:rPr>
      <w:rFonts w:ascii="宋体" w:hAnsi="Courier New"/>
    </w:rPr>
  </w:style>
  <w:style w:type="character" w:customStyle="1" w:styleId="209">
    <w:name w:val="标题 8 Char1"/>
    <w:autoRedefine/>
    <w:semiHidden/>
    <w:qFormat/>
    <w:uiPriority w:val="0"/>
    <w:rPr>
      <w:rFonts w:ascii="Cambria" w:hAnsi="Cambria" w:eastAsia="宋体" w:cs="Times New Roman"/>
      <w:kern w:val="2"/>
      <w:sz w:val="24"/>
      <w:szCs w:val="24"/>
    </w:rPr>
  </w:style>
  <w:style w:type="character" w:customStyle="1" w:styleId="210">
    <w:name w:val="不明显强调3"/>
    <w:autoRedefine/>
    <w:qFormat/>
    <w:uiPriority w:val="19"/>
    <w:rPr>
      <w:i/>
      <w:iCs/>
      <w:color w:val="808080"/>
    </w:rPr>
  </w:style>
  <w:style w:type="character" w:customStyle="1" w:styleId="211">
    <w:name w:val="规范正文 Char Char Char Char"/>
    <w:autoRedefine/>
    <w:qFormat/>
    <w:uiPriority w:val="0"/>
    <w:rPr>
      <w:rFonts w:eastAsia="宋体"/>
      <w:kern w:val="2"/>
      <w:sz w:val="24"/>
      <w:szCs w:val="24"/>
      <w:lang w:val="en-US" w:eastAsia="zh-CN" w:bidi="ar-SA"/>
    </w:rPr>
  </w:style>
  <w:style w:type="character" w:customStyle="1" w:styleId="212">
    <w:name w:val="+正文 Char Char2 Char Char Char"/>
    <w:link w:val="213"/>
    <w:autoRedefine/>
    <w:qFormat/>
    <w:uiPriority w:val="0"/>
    <w:rPr>
      <w:rFonts w:ascii="宋体" w:hAnsi="宋体"/>
      <w:sz w:val="24"/>
    </w:rPr>
  </w:style>
  <w:style w:type="paragraph" w:customStyle="1" w:styleId="213">
    <w:name w:val="+正文 Char Char2 Char"/>
    <w:basedOn w:val="1"/>
    <w:link w:val="212"/>
    <w:autoRedefine/>
    <w:qFormat/>
    <w:uiPriority w:val="0"/>
    <w:pPr>
      <w:spacing w:line="360" w:lineRule="auto"/>
      <w:ind w:firstLine="200" w:firstLineChars="200"/>
    </w:pPr>
    <w:rPr>
      <w:rFonts w:ascii="宋体" w:hAnsi="宋体" w:eastAsiaTheme="minorEastAsia" w:cstheme="minorBidi"/>
      <w:kern w:val="0"/>
      <w:sz w:val="24"/>
      <w:szCs w:val="20"/>
    </w:rPr>
  </w:style>
  <w:style w:type="character" w:customStyle="1" w:styleId="214">
    <w:name w:val="标题 Char2"/>
    <w:autoRedefine/>
    <w:qFormat/>
    <w:uiPriority w:val="10"/>
    <w:rPr>
      <w:rFonts w:ascii="Cambria" w:hAnsi="Cambria" w:eastAsia="宋体" w:cs="Times New Roman"/>
      <w:b/>
      <w:bCs/>
      <w:sz w:val="32"/>
      <w:szCs w:val="32"/>
    </w:rPr>
  </w:style>
  <w:style w:type="character" w:customStyle="1" w:styleId="215">
    <w:name w:val="+正文 Char Char3 Char Char Char"/>
    <w:autoRedefine/>
    <w:qFormat/>
    <w:locked/>
    <w:uiPriority w:val="0"/>
    <w:rPr>
      <w:rFonts w:ascii="宋体" w:hAnsi="宋体"/>
      <w:sz w:val="24"/>
      <w:szCs w:val="24"/>
    </w:rPr>
  </w:style>
  <w:style w:type="character" w:customStyle="1" w:styleId="216">
    <w:name w:val="批注文字 Char"/>
    <w:autoRedefine/>
    <w:qFormat/>
    <w:locked/>
    <w:uiPriority w:val="0"/>
    <w:rPr>
      <w:kern w:val="2"/>
      <w:sz w:val="21"/>
      <w:szCs w:val="24"/>
    </w:rPr>
  </w:style>
  <w:style w:type="character" w:customStyle="1" w:styleId="217">
    <w:name w:val="正文文本缩进 Char2"/>
    <w:autoRedefine/>
    <w:semiHidden/>
    <w:qFormat/>
    <w:uiPriority w:val="99"/>
    <w:rPr>
      <w:rFonts w:ascii="Times New Roman" w:hAnsi="Times New Roman" w:eastAsia="宋体" w:cs="Times New Roman"/>
      <w:szCs w:val="24"/>
    </w:rPr>
  </w:style>
  <w:style w:type="character" w:customStyle="1" w:styleId="218">
    <w:name w:val="引用 Char"/>
    <w:autoRedefine/>
    <w:qFormat/>
    <w:uiPriority w:val="0"/>
    <w:rPr>
      <w:rFonts w:ascii="Calibri" w:hAnsi="Calibri"/>
      <w:i/>
      <w:iCs/>
      <w:color w:val="000000"/>
      <w:sz w:val="22"/>
      <w:lang w:eastAsia="en-US" w:bidi="en-US"/>
    </w:rPr>
  </w:style>
  <w:style w:type="paragraph" w:styleId="219">
    <w:name w:val="Quote"/>
    <w:basedOn w:val="1"/>
    <w:next w:val="1"/>
    <w:link w:val="220"/>
    <w:autoRedefine/>
    <w:qFormat/>
    <w:uiPriority w:val="29"/>
    <w:pPr>
      <w:widowControl/>
      <w:spacing w:after="200" w:line="276" w:lineRule="auto"/>
      <w:jc w:val="left"/>
    </w:pPr>
    <w:rPr>
      <w:rFonts w:eastAsiaTheme="minorEastAsia" w:cstheme="minorBidi"/>
      <w:i/>
      <w:iCs/>
      <w:color w:val="000000"/>
      <w:sz w:val="22"/>
      <w:szCs w:val="22"/>
      <w:lang w:eastAsia="en-US" w:bidi="en-US"/>
    </w:rPr>
  </w:style>
  <w:style w:type="character" w:customStyle="1" w:styleId="220">
    <w:name w:val="引用 字符"/>
    <w:basedOn w:val="39"/>
    <w:link w:val="219"/>
    <w:autoRedefine/>
    <w:qFormat/>
    <w:uiPriority w:val="29"/>
    <w:rPr>
      <w:rFonts w:ascii="Calibri" w:hAnsi="Calibri"/>
      <w:i/>
      <w:iCs/>
      <w:color w:val="000000"/>
      <w:kern w:val="2"/>
      <w:sz w:val="22"/>
      <w:szCs w:val="22"/>
      <w:lang w:eastAsia="en-US" w:bidi="en-US"/>
    </w:rPr>
  </w:style>
  <w:style w:type="character" w:customStyle="1" w:styleId="221">
    <w:name w:val="明显参考2"/>
    <w:autoRedefine/>
    <w:qFormat/>
    <w:uiPriority w:val="32"/>
    <w:rPr>
      <w:b/>
      <w:bCs/>
      <w:smallCaps/>
      <w:color w:val="C0504D"/>
      <w:spacing w:val="5"/>
      <w:u w:val="single"/>
    </w:rPr>
  </w:style>
  <w:style w:type="character" w:customStyle="1" w:styleId="222">
    <w:name w:val="+标题3 Char Char"/>
    <w:link w:val="223"/>
    <w:autoRedefine/>
    <w:qFormat/>
    <w:uiPriority w:val="0"/>
    <w:rPr>
      <w:rFonts w:ascii="宋体" w:hAnsi="宋体"/>
      <w:b/>
      <w:sz w:val="32"/>
    </w:rPr>
  </w:style>
  <w:style w:type="paragraph" w:customStyle="1" w:styleId="223">
    <w:name w:val="+标题3 Char"/>
    <w:basedOn w:val="4"/>
    <w:link w:val="222"/>
    <w:autoRedefine/>
    <w:qFormat/>
    <w:uiPriority w:val="0"/>
    <w:pPr>
      <w:spacing w:line="360" w:lineRule="auto"/>
    </w:pPr>
    <w:rPr>
      <w:rFonts w:ascii="宋体" w:hAnsi="宋体" w:eastAsiaTheme="minorEastAsia" w:cstheme="minorBidi"/>
      <w:bCs w:val="0"/>
      <w:kern w:val="0"/>
      <w:szCs w:val="20"/>
    </w:rPr>
  </w:style>
  <w:style w:type="character" w:customStyle="1" w:styleId="224">
    <w:name w:val="页脚 Char1"/>
    <w:autoRedefine/>
    <w:semiHidden/>
    <w:qFormat/>
    <w:uiPriority w:val="0"/>
    <w:rPr>
      <w:rFonts w:ascii="Times New Roman" w:hAnsi="Times New Roman" w:eastAsia="宋体" w:cs="Times New Roman"/>
      <w:sz w:val="18"/>
      <w:szCs w:val="18"/>
    </w:rPr>
  </w:style>
  <w:style w:type="character" w:customStyle="1" w:styleId="225">
    <w:name w:val="批注主题 Char"/>
    <w:autoRedefine/>
    <w:qFormat/>
    <w:locked/>
    <w:uiPriority w:val="0"/>
    <w:rPr>
      <w:b/>
      <w:bCs/>
      <w:szCs w:val="24"/>
    </w:rPr>
  </w:style>
  <w:style w:type="character" w:customStyle="1" w:styleId="226">
    <w:name w:val="Char Char7"/>
    <w:autoRedefine/>
    <w:qFormat/>
    <w:locked/>
    <w:uiPriority w:val="0"/>
    <w:rPr>
      <w:rFonts w:ascii="宋体" w:hAnsi="Courier New" w:eastAsia="宋体"/>
      <w:b/>
      <w:kern w:val="2"/>
      <w:sz w:val="24"/>
      <w:szCs w:val="24"/>
      <w:lang w:val="en-US" w:eastAsia="zh-CN" w:bidi="ar-SA"/>
    </w:rPr>
  </w:style>
  <w:style w:type="character" w:customStyle="1" w:styleId="227">
    <w:name w:val="引用 Char1"/>
    <w:autoRedefine/>
    <w:qFormat/>
    <w:uiPriority w:val="29"/>
    <w:rPr>
      <w:rFonts w:ascii="Times New Roman" w:hAnsi="Times New Roman" w:eastAsia="宋体" w:cs="Times New Roman"/>
      <w:i/>
      <w:iCs/>
      <w:color w:val="000000"/>
      <w:szCs w:val="24"/>
    </w:rPr>
  </w:style>
  <w:style w:type="character" w:customStyle="1" w:styleId="228">
    <w:name w:val="批注文字 Char1"/>
    <w:autoRedefine/>
    <w:qFormat/>
    <w:uiPriority w:val="0"/>
    <w:rPr>
      <w:kern w:val="2"/>
      <w:sz w:val="21"/>
      <w:szCs w:val="24"/>
    </w:rPr>
  </w:style>
  <w:style w:type="character" w:customStyle="1" w:styleId="229">
    <w:name w:val="无间隔 字符"/>
    <w:link w:val="65"/>
    <w:autoRedefine/>
    <w:qFormat/>
    <w:uiPriority w:val="0"/>
    <w:rPr>
      <w:rFonts w:ascii="Calibri" w:hAnsi="Calibri" w:eastAsia="宋体" w:cs="Times New Roman"/>
      <w:kern w:val="2"/>
      <w:sz w:val="22"/>
      <w:szCs w:val="22"/>
      <w:lang w:eastAsia="en-US" w:bidi="en-US"/>
    </w:rPr>
  </w:style>
  <w:style w:type="character" w:customStyle="1" w:styleId="230">
    <w:name w:val="正文文本缩进 3 Char"/>
    <w:autoRedefine/>
    <w:qFormat/>
    <w:locked/>
    <w:uiPriority w:val="0"/>
    <w:rPr>
      <w:rFonts w:ascii="宋体" w:hAnsi="宋体"/>
      <w:sz w:val="24"/>
    </w:rPr>
  </w:style>
  <w:style w:type="character" w:customStyle="1" w:styleId="231">
    <w:name w:val="正文文本 2 Char1"/>
    <w:autoRedefine/>
    <w:semiHidden/>
    <w:qFormat/>
    <w:uiPriority w:val="99"/>
    <w:rPr>
      <w:rFonts w:ascii="Times New Roman" w:hAnsi="Times New Roman"/>
      <w:kern w:val="2"/>
      <w:sz w:val="21"/>
      <w:szCs w:val="24"/>
    </w:rPr>
  </w:style>
  <w:style w:type="character" w:customStyle="1" w:styleId="232">
    <w:name w:val="副标题 Char1"/>
    <w:autoRedefine/>
    <w:qFormat/>
    <w:uiPriority w:val="11"/>
    <w:rPr>
      <w:rFonts w:ascii="Cambria" w:hAnsi="Cambria" w:cs="Times New Roman"/>
      <w:b/>
      <w:bCs/>
      <w:kern w:val="28"/>
      <w:sz w:val="32"/>
      <w:szCs w:val="32"/>
    </w:rPr>
  </w:style>
  <w:style w:type="character" w:customStyle="1" w:styleId="233">
    <w:name w:val="HTML 预设格式 Char"/>
    <w:autoRedefine/>
    <w:qFormat/>
    <w:uiPriority w:val="0"/>
    <w:rPr>
      <w:rFonts w:ascii="Courier New" w:hAnsi="Courier New" w:cs="Courier New"/>
      <w:sz w:val="20"/>
      <w:szCs w:val="20"/>
    </w:rPr>
  </w:style>
  <w:style w:type="character" w:customStyle="1" w:styleId="234">
    <w:name w:val="副标题 Char2"/>
    <w:autoRedefine/>
    <w:qFormat/>
    <w:uiPriority w:val="11"/>
    <w:rPr>
      <w:rFonts w:ascii="Cambria" w:hAnsi="Cambria" w:eastAsia="宋体" w:cs="Times New Roman"/>
      <w:b/>
      <w:bCs/>
      <w:kern w:val="28"/>
      <w:sz w:val="32"/>
      <w:szCs w:val="32"/>
    </w:rPr>
  </w:style>
  <w:style w:type="character" w:customStyle="1" w:styleId="235">
    <w:name w:val="Char Char10"/>
    <w:autoRedefine/>
    <w:qFormat/>
    <w:locked/>
    <w:uiPriority w:val="0"/>
    <w:rPr>
      <w:rFonts w:ascii="仿宋_GB2312" w:eastAsia="仿宋_GB2312"/>
      <w:b/>
      <w:kern w:val="2"/>
      <w:sz w:val="24"/>
      <w:szCs w:val="24"/>
      <w:lang w:val="en-US" w:eastAsia="zh-CN" w:bidi="ar-SA"/>
    </w:rPr>
  </w:style>
  <w:style w:type="character" w:customStyle="1" w:styleId="236">
    <w:name w:val="even Char Char"/>
    <w:autoRedefine/>
    <w:qFormat/>
    <w:locked/>
    <w:uiPriority w:val="0"/>
    <w:rPr>
      <w:rFonts w:ascii="宋体" w:hAnsi="宋体" w:eastAsia="宋体"/>
      <w:b/>
      <w:kern w:val="2"/>
      <w:sz w:val="18"/>
      <w:szCs w:val="24"/>
      <w:lang w:val="en-US" w:eastAsia="zh-CN" w:bidi="ar-SA"/>
    </w:rPr>
  </w:style>
  <w:style w:type="character" w:customStyle="1" w:styleId="237">
    <w:name w:val="页脚 Char2"/>
    <w:basedOn w:val="39"/>
    <w:autoRedefine/>
    <w:semiHidden/>
    <w:qFormat/>
    <w:uiPriority w:val="99"/>
    <w:rPr>
      <w:kern w:val="2"/>
      <w:sz w:val="18"/>
      <w:szCs w:val="18"/>
    </w:rPr>
  </w:style>
  <w:style w:type="character" w:customStyle="1" w:styleId="238">
    <w:name w:val="页眉 Char2"/>
    <w:basedOn w:val="39"/>
    <w:autoRedefine/>
    <w:semiHidden/>
    <w:qFormat/>
    <w:uiPriority w:val="99"/>
    <w:rPr>
      <w:kern w:val="2"/>
      <w:sz w:val="18"/>
      <w:szCs w:val="18"/>
    </w:rPr>
  </w:style>
  <w:style w:type="paragraph" w:customStyle="1" w:styleId="239">
    <w:name w:val="xl10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240">
    <w:name w:val="xl99"/>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241">
    <w:name w:val="xl4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kern w:val="0"/>
      <w:sz w:val="20"/>
      <w:szCs w:val="20"/>
    </w:rPr>
  </w:style>
  <w:style w:type="paragraph" w:customStyle="1" w:styleId="242">
    <w:name w:val="font8"/>
    <w:basedOn w:val="1"/>
    <w:autoRedefine/>
    <w:qFormat/>
    <w:uiPriority w:val="0"/>
    <w:pPr>
      <w:widowControl/>
      <w:spacing w:before="100" w:beforeAutospacing="1" w:after="100" w:afterAutospacing="1"/>
      <w:jc w:val="left"/>
    </w:pPr>
    <w:rPr>
      <w:rFonts w:hint="eastAsia" w:ascii="宋体" w:hAnsi="宋体"/>
      <w:b/>
      <w:bCs/>
      <w:kern w:val="0"/>
      <w:sz w:val="20"/>
      <w:szCs w:val="20"/>
    </w:rPr>
  </w:style>
  <w:style w:type="paragraph" w:customStyle="1" w:styleId="243">
    <w:name w:val="Char Char Char Char"/>
    <w:basedOn w:val="1"/>
    <w:next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44">
    <w:name w:val="引用3"/>
    <w:basedOn w:val="1"/>
    <w:next w:val="1"/>
    <w:autoRedefine/>
    <w:qFormat/>
    <w:uiPriority w:val="0"/>
    <w:rPr>
      <w:i/>
      <w:iCs/>
      <w:color w:val="000000"/>
      <w:kern w:val="0"/>
      <w:sz w:val="22"/>
      <w:szCs w:val="22"/>
      <w:lang w:eastAsia="en-US" w:bidi="en-US"/>
    </w:rPr>
  </w:style>
  <w:style w:type="paragraph" w:customStyle="1" w:styleId="245">
    <w:name w:val="xl2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46">
    <w:name w:val="xl51"/>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247">
    <w:name w:val="+列表1"/>
    <w:basedOn w:val="1"/>
    <w:autoRedefine/>
    <w:qFormat/>
    <w:uiPriority w:val="0"/>
    <w:pPr>
      <w:jc w:val="center"/>
    </w:pPr>
    <w:rPr>
      <w:rFonts w:ascii="Times New Roman" w:hAnsi="Times New Roman"/>
    </w:rPr>
  </w:style>
  <w:style w:type="paragraph" w:customStyle="1" w:styleId="248">
    <w:name w:val="xl3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Arial Narrow" w:hAnsi="Arial Narrow"/>
      <w:kern w:val="0"/>
      <w:sz w:val="20"/>
      <w:szCs w:val="20"/>
    </w:rPr>
  </w:style>
  <w:style w:type="paragraph" w:customStyle="1" w:styleId="249">
    <w:name w:val="xl2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50">
    <w:name w:val="font11"/>
    <w:basedOn w:val="1"/>
    <w:autoRedefine/>
    <w:qFormat/>
    <w:uiPriority w:val="0"/>
    <w:pPr>
      <w:widowControl/>
      <w:spacing w:before="100" w:beforeAutospacing="1" w:after="100" w:afterAutospacing="1"/>
      <w:jc w:val="left"/>
    </w:pPr>
    <w:rPr>
      <w:rFonts w:hint="eastAsia" w:ascii="宋体" w:hAnsi="宋体"/>
      <w:kern w:val="0"/>
      <w:sz w:val="20"/>
      <w:szCs w:val="20"/>
    </w:rPr>
  </w:style>
  <w:style w:type="paragraph" w:customStyle="1" w:styleId="251">
    <w:name w:val="正文文本 23"/>
    <w:basedOn w:val="1"/>
    <w:autoRedefine/>
    <w:qFormat/>
    <w:uiPriority w:val="0"/>
    <w:pPr>
      <w:adjustRightInd w:val="0"/>
      <w:jc w:val="left"/>
    </w:pPr>
    <w:rPr>
      <w:rFonts w:ascii="宋体" w:hAnsi="Times New Roman"/>
      <w:i/>
      <w:sz w:val="28"/>
      <w:szCs w:val="20"/>
    </w:rPr>
  </w:style>
  <w:style w:type="paragraph" w:customStyle="1" w:styleId="252">
    <w:name w:val="规范正文 Char Char"/>
    <w:basedOn w:val="1"/>
    <w:autoRedefine/>
    <w:qFormat/>
    <w:uiPriority w:val="0"/>
    <w:pPr>
      <w:adjustRightInd w:val="0"/>
      <w:spacing w:line="360" w:lineRule="auto"/>
      <w:ind w:left="227" w:firstLine="454"/>
      <w:textAlignment w:val="baseline"/>
    </w:pPr>
    <w:rPr>
      <w:rFonts w:ascii="Times New Roman" w:hAnsi="Times New Roman"/>
      <w:kern w:val="0"/>
      <w:sz w:val="24"/>
      <w:szCs w:val="20"/>
    </w:rPr>
  </w:style>
  <w:style w:type="paragraph" w:customStyle="1" w:styleId="253">
    <w:name w:val="xl49"/>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pPr>
    <w:rPr>
      <w:rFonts w:ascii="宋体" w:hAnsi="宋体"/>
      <w:kern w:val="0"/>
      <w:sz w:val="20"/>
      <w:szCs w:val="20"/>
    </w:rPr>
  </w:style>
  <w:style w:type="paragraph" w:customStyle="1" w:styleId="254">
    <w:name w:val="IBM 正文"/>
    <w:basedOn w:val="1"/>
    <w:autoRedefine/>
    <w:qFormat/>
    <w:uiPriority w:val="0"/>
    <w:pPr>
      <w:spacing w:line="400" w:lineRule="exact"/>
    </w:pPr>
    <w:rPr>
      <w:rFonts w:ascii="Times New Roman" w:hAnsi="Times New Roman"/>
      <w:spacing w:val="20"/>
      <w:sz w:val="24"/>
    </w:rPr>
  </w:style>
  <w:style w:type="paragraph" w:customStyle="1" w:styleId="255">
    <w:name w:val="msoplaintextcxspmiddle"/>
    <w:basedOn w:val="1"/>
    <w:autoRedefine/>
    <w:qFormat/>
    <w:uiPriority w:val="0"/>
    <w:pPr>
      <w:widowControl/>
      <w:spacing w:before="100" w:after="100"/>
      <w:jc w:val="left"/>
    </w:pPr>
    <w:rPr>
      <w:rFonts w:ascii="宋体" w:hAnsi="宋体"/>
      <w:b/>
      <w:color w:val="000000"/>
      <w:kern w:val="0"/>
      <w:sz w:val="18"/>
    </w:rPr>
  </w:style>
  <w:style w:type="paragraph" w:customStyle="1" w:styleId="256">
    <w:name w:val="xl9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257">
    <w:name w:val="无间隔2"/>
    <w:basedOn w:val="1"/>
    <w:autoRedefine/>
    <w:qFormat/>
    <w:uiPriority w:val="0"/>
    <w:pPr>
      <w:widowControl/>
      <w:jc w:val="left"/>
    </w:pPr>
    <w:rPr>
      <w:rFonts w:ascii="宋体" w:hAnsi="宋体"/>
      <w:kern w:val="0"/>
      <w:sz w:val="24"/>
      <w:szCs w:val="32"/>
      <w:lang w:eastAsia="en-US" w:bidi="en-US"/>
    </w:rPr>
  </w:style>
  <w:style w:type="paragraph" w:customStyle="1" w:styleId="258">
    <w:name w:val="Default Text"/>
    <w:basedOn w:val="1"/>
    <w:autoRedefine/>
    <w:qFormat/>
    <w:uiPriority w:val="0"/>
    <w:pPr>
      <w:widowControl/>
      <w:overflowPunct w:val="0"/>
      <w:autoSpaceDE w:val="0"/>
      <w:autoSpaceDN w:val="0"/>
      <w:adjustRightInd w:val="0"/>
      <w:jc w:val="left"/>
      <w:textAlignment w:val="baseline"/>
    </w:pPr>
    <w:rPr>
      <w:rFonts w:ascii="Times New Roman" w:hAnsi="Times New Roman" w:eastAsia="仿宋_GB2312"/>
      <w:kern w:val="0"/>
      <w:sz w:val="24"/>
      <w:szCs w:val="20"/>
      <w:lang w:val="en-GB"/>
    </w:rPr>
  </w:style>
  <w:style w:type="paragraph" w:customStyle="1" w:styleId="259">
    <w:name w:val="Char Char11"/>
    <w:basedOn w:val="1"/>
    <w:autoRedefine/>
    <w:qFormat/>
    <w:uiPriority w:val="0"/>
    <w:pPr>
      <w:widowControl/>
      <w:spacing w:before="312" w:after="160" w:line="240" w:lineRule="exact"/>
      <w:jc w:val="left"/>
    </w:pPr>
    <w:rPr>
      <w:rFonts w:ascii="Verdana" w:hAnsi="Verdana" w:cs="Verdana"/>
      <w:b/>
      <w:kern w:val="0"/>
      <w:sz w:val="20"/>
      <w:lang w:eastAsia="en-US"/>
    </w:rPr>
  </w:style>
  <w:style w:type="paragraph" w:customStyle="1" w:styleId="260">
    <w:name w:val="msoplaintextcxsplast"/>
    <w:basedOn w:val="1"/>
    <w:autoRedefine/>
    <w:qFormat/>
    <w:uiPriority w:val="0"/>
    <w:pPr>
      <w:widowControl/>
      <w:spacing w:before="100" w:after="100"/>
      <w:jc w:val="left"/>
    </w:pPr>
    <w:rPr>
      <w:rFonts w:ascii="宋体" w:hAnsi="宋体"/>
      <w:b/>
      <w:color w:val="000000"/>
      <w:kern w:val="0"/>
      <w:sz w:val="18"/>
    </w:rPr>
  </w:style>
  <w:style w:type="paragraph" w:customStyle="1" w:styleId="261">
    <w:name w:val="xl3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262">
    <w:name w:val="一级条标题"/>
    <w:basedOn w:val="1"/>
    <w:next w:val="1"/>
    <w:autoRedefine/>
    <w:qFormat/>
    <w:uiPriority w:val="0"/>
    <w:pPr>
      <w:widowControl/>
      <w:numPr>
        <w:ilvl w:val="2"/>
        <w:numId w:val="2"/>
      </w:numPr>
      <w:outlineLvl w:val="2"/>
    </w:pPr>
    <w:rPr>
      <w:rFonts w:ascii="黑体" w:hAnsi="Times New Roman" w:eastAsia="黑体"/>
      <w:kern w:val="0"/>
      <w:sz w:val="24"/>
      <w:szCs w:val="20"/>
    </w:rPr>
  </w:style>
  <w:style w:type="paragraph" w:customStyle="1" w:styleId="263">
    <w:name w:val="xl5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Times New Roman" w:hAnsi="Times New Roman"/>
      <w:kern w:val="0"/>
      <w:sz w:val="20"/>
      <w:szCs w:val="20"/>
    </w:rPr>
  </w:style>
  <w:style w:type="paragraph" w:customStyle="1" w:styleId="264">
    <w:name w:val="样式 标题 2标题 1.1编号标题21.1head:2#2 headlinehheadlineS&amp;R2ERMH...1"/>
    <w:basedOn w:val="3"/>
    <w:autoRedefine/>
    <w:qFormat/>
    <w:uiPriority w:val="0"/>
    <w:pPr>
      <w:tabs>
        <w:tab w:val="left" w:pos="576"/>
      </w:tabs>
      <w:adjustRightInd w:val="0"/>
      <w:spacing w:before="0" w:after="0" w:line="360" w:lineRule="atLeast"/>
      <w:ind w:left="576" w:hanging="576"/>
    </w:pPr>
    <w:rPr>
      <w:rFonts w:ascii="Times New Roman" w:hAnsi="Times New Roman" w:eastAsia="黑体" w:cs="Times New Roman"/>
      <w:sz w:val="28"/>
    </w:rPr>
  </w:style>
  <w:style w:type="paragraph" w:customStyle="1" w:styleId="265">
    <w:name w:val="Char Char"/>
    <w:basedOn w:val="1"/>
    <w:autoRedefine/>
    <w:qFormat/>
    <w:uiPriority w:val="0"/>
    <w:pPr>
      <w:widowControl/>
      <w:spacing w:after="160" w:line="240" w:lineRule="exact"/>
      <w:jc w:val="left"/>
    </w:pPr>
    <w:rPr>
      <w:rFonts w:ascii="Verdana" w:hAnsi="Verdana" w:cs="Verdana"/>
      <w:kern w:val="0"/>
      <w:sz w:val="20"/>
      <w:szCs w:val="20"/>
      <w:lang w:eastAsia="en-US"/>
    </w:rPr>
  </w:style>
  <w:style w:type="paragraph" w:customStyle="1" w:styleId="266">
    <w:name w:val="msonormal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67">
    <w:name w:val="列出段落1"/>
    <w:basedOn w:val="1"/>
    <w:autoRedefine/>
    <w:qFormat/>
    <w:uiPriority w:val="0"/>
    <w:pPr>
      <w:ind w:firstLine="420" w:firstLineChars="200"/>
    </w:pPr>
    <w:rPr>
      <w:rFonts w:ascii="Times New Roman" w:hAnsi="Times New Roman"/>
      <w:szCs w:val="20"/>
    </w:rPr>
  </w:style>
  <w:style w:type="paragraph" w:customStyle="1" w:styleId="268">
    <w:name w:val="样式4"/>
    <w:basedOn w:val="1"/>
    <w:autoRedefine/>
    <w:qFormat/>
    <w:uiPriority w:val="0"/>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269">
    <w:name w:val="引用2"/>
    <w:basedOn w:val="1"/>
    <w:next w:val="1"/>
    <w:autoRedefine/>
    <w:qFormat/>
    <w:uiPriority w:val="0"/>
    <w:rPr>
      <w:i/>
      <w:iCs/>
      <w:color w:val="000000"/>
      <w:kern w:val="0"/>
      <w:sz w:val="22"/>
      <w:szCs w:val="22"/>
      <w:lang w:eastAsia="en-US" w:bidi="en-US"/>
    </w:rPr>
  </w:style>
  <w:style w:type="paragraph" w:customStyle="1" w:styleId="270">
    <w:name w:val="xl42"/>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71">
    <w:name w:val="样式 标题 2标题 1.1编号标题21.1head:2#2 headlinehheadlineS&amp;R2ERMH..."/>
    <w:basedOn w:val="3"/>
    <w:autoRedefine/>
    <w:qFormat/>
    <w:uiPriority w:val="0"/>
    <w:pPr>
      <w:tabs>
        <w:tab w:val="left" w:pos="576"/>
      </w:tabs>
      <w:adjustRightInd w:val="0"/>
      <w:spacing w:before="0" w:after="0" w:line="360" w:lineRule="atLeast"/>
      <w:ind w:left="576" w:hanging="576"/>
      <w:outlineLvl w:val="2"/>
    </w:pPr>
    <w:rPr>
      <w:rFonts w:ascii="Times New Roman" w:hAnsi="Times New Roman" w:eastAsia="宋体" w:cs="Times New Roman"/>
      <w:b w:val="0"/>
      <w:bCs w:val="0"/>
      <w:kern w:val="0"/>
      <w:sz w:val="28"/>
      <w:szCs w:val="24"/>
    </w:rPr>
  </w:style>
  <w:style w:type="paragraph" w:customStyle="1" w:styleId="272">
    <w:name w:val="xl94"/>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center"/>
    </w:pPr>
    <w:rPr>
      <w:rFonts w:ascii="宋体" w:hAnsi="宋体" w:cs="宋体"/>
      <w:b/>
      <w:bCs/>
      <w:kern w:val="0"/>
      <w:szCs w:val="21"/>
    </w:rPr>
  </w:style>
  <w:style w:type="paragraph" w:customStyle="1" w:styleId="273">
    <w:name w:val="样式 标题 4 + 左侧:  0 厘米 悬挂缩进: 8.64 字符 行距: 最小值 18.8 磅"/>
    <w:basedOn w:val="5"/>
    <w:autoRedefine/>
    <w:qFormat/>
    <w:uiPriority w:val="0"/>
    <w:pPr>
      <w:keepLines/>
      <w:widowControl w:val="0"/>
      <w:numPr>
        <w:ilvl w:val="0"/>
        <w:numId w:val="0"/>
      </w:numPr>
      <w:spacing w:before="120" w:after="120"/>
      <w:ind w:left="862" w:hanging="862"/>
    </w:pPr>
    <w:rPr>
      <w:rFonts w:ascii="Arial"/>
      <w:bCs/>
      <w:kern w:val="2"/>
      <w:szCs w:val="24"/>
    </w:rPr>
  </w:style>
  <w:style w:type="paragraph" w:customStyle="1" w:styleId="274">
    <w:name w:val="Char Char3"/>
    <w:basedOn w:val="1"/>
    <w:next w:val="17"/>
    <w:autoRedefine/>
    <w:qFormat/>
    <w:uiPriority w:val="0"/>
    <w:pPr>
      <w:spacing w:line="360" w:lineRule="auto"/>
      <w:ind w:left="-360" w:firstLine="570"/>
    </w:pPr>
    <w:rPr>
      <w:rFonts w:ascii="仿宋_GB2312" w:hAnsi="Times New Roman" w:eastAsia="仿宋_GB2312"/>
      <w:b/>
      <w:sz w:val="24"/>
      <w:szCs w:val="20"/>
    </w:rPr>
  </w:style>
  <w:style w:type="paragraph" w:customStyle="1" w:styleId="275">
    <w:name w:val="Char"/>
    <w:basedOn w:val="1"/>
    <w:next w:val="1"/>
    <w:autoRedefine/>
    <w:qFormat/>
    <w:uiPriority w:val="0"/>
    <w:pPr>
      <w:widowControl/>
      <w:spacing w:after="160" w:line="240" w:lineRule="exact"/>
      <w:jc w:val="left"/>
    </w:pPr>
    <w:rPr>
      <w:rFonts w:ascii="Verdana" w:hAnsi="Verdana"/>
      <w:kern w:val="0"/>
      <w:sz w:val="20"/>
      <w:szCs w:val="20"/>
      <w:lang w:eastAsia="en-US"/>
    </w:rPr>
  </w:style>
  <w:style w:type="paragraph" w:customStyle="1" w:styleId="276">
    <w:name w:val="默认段落字体 Para Char Char Char Char"/>
    <w:basedOn w:val="1"/>
    <w:autoRedefine/>
    <w:qFormat/>
    <w:uiPriority w:val="0"/>
    <w:rPr>
      <w:rFonts w:ascii="Times New Roman" w:hAnsi="Times New Roman"/>
    </w:rPr>
  </w:style>
  <w:style w:type="paragraph" w:customStyle="1" w:styleId="277">
    <w:name w:val="xl59"/>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78">
    <w:name w:val="正文文本 22"/>
    <w:basedOn w:val="1"/>
    <w:autoRedefine/>
    <w:qFormat/>
    <w:uiPriority w:val="0"/>
    <w:pPr>
      <w:adjustRightInd w:val="0"/>
      <w:jc w:val="left"/>
    </w:pPr>
    <w:rPr>
      <w:rFonts w:ascii="宋体" w:hAnsi="Times New Roman"/>
      <w:i/>
      <w:sz w:val="28"/>
      <w:szCs w:val="20"/>
    </w:rPr>
  </w:style>
  <w:style w:type="paragraph" w:customStyle="1" w:styleId="279">
    <w:name w:val="xl48"/>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280">
    <w:name w:val="列出段落3"/>
    <w:basedOn w:val="1"/>
    <w:autoRedefine/>
    <w:qFormat/>
    <w:uiPriority w:val="0"/>
    <w:pPr>
      <w:ind w:firstLine="420" w:firstLineChars="200"/>
    </w:pPr>
    <w:rPr>
      <w:rFonts w:ascii="Times New Roman" w:hAnsi="Times New Roman"/>
      <w:szCs w:val="20"/>
    </w:rPr>
  </w:style>
  <w:style w:type="paragraph" w:customStyle="1" w:styleId="281">
    <w:name w:val="xl44"/>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82">
    <w:name w:val="a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283">
    <w:name w:val="样式 标题 3 + (中文) 黑体 小四 非加粗 段前: 7.8 磅 段后: 0 磅 行距: 固定值 20 磅"/>
    <w:basedOn w:val="4"/>
    <w:autoRedefine/>
    <w:qFormat/>
    <w:uiPriority w:val="0"/>
    <w:pPr>
      <w:spacing w:before="0" w:after="0" w:line="400" w:lineRule="exact"/>
    </w:pPr>
    <w:rPr>
      <w:rFonts w:eastAsia="黑体" w:cs="宋体"/>
      <w:b w:val="0"/>
      <w:bCs w:val="0"/>
      <w:sz w:val="24"/>
      <w:szCs w:val="20"/>
    </w:rPr>
  </w:style>
  <w:style w:type="paragraph" w:customStyle="1" w:styleId="284">
    <w:name w:val="xl3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85">
    <w:name w:val="xl103"/>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286">
    <w:name w:val="Char Char5"/>
    <w:basedOn w:val="1"/>
    <w:autoRedefine/>
    <w:qFormat/>
    <w:uiPriority w:val="0"/>
    <w:pPr>
      <w:widowControl/>
      <w:spacing w:after="160" w:line="240" w:lineRule="exact"/>
      <w:jc w:val="left"/>
    </w:pPr>
    <w:rPr>
      <w:rFonts w:ascii="Verdana" w:hAnsi="Verdana" w:cs="Verdana"/>
      <w:kern w:val="0"/>
      <w:sz w:val="20"/>
      <w:szCs w:val="20"/>
      <w:lang w:eastAsia="en-US"/>
    </w:rPr>
  </w:style>
  <w:style w:type="paragraph" w:customStyle="1" w:styleId="287">
    <w:name w:val="表格"/>
    <w:basedOn w:val="1"/>
    <w:autoRedefine/>
    <w:qFormat/>
    <w:uiPriority w:val="0"/>
    <w:pPr>
      <w:tabs>
        <w:tab w:val="left" w:pos="1080"/>
      </w:tabs>
      <w:snapToGrid w:val="0"/>
      <w:jc w:val="center"/>
    </w:pPr>
    <w:rPr>
      <w:rFonts w:ascii="Times New Roman" w:hAnsi="Times New Roman"/>
      <w:szCs w:val="21"/>
    </w:rPr>
  </w:style>
  <w:style w:type="paragraph" w:customStyle="1" w:styleId="288">
    <w:name w:val="TOC 标题2"/>
    <w:basedOn w:val="2"/>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289">
    <w:name w:val="四号楷体缩进2"/>
    <w:basedOn w:val="1"/>
    <w:autoRedefine/>
    <w:qFormat/>
    <w:uiPriority w:val="0"/>
    <w:pPr>
      <w:spacing w:line="520" w:lineRule="exact"/>
      <w:ind w:firstLine="200" w:firstLineChars="200"/>
    </w:pPr>
    <w:rPr>
      <w:rFonts w:ascii="Times New Roman" w:hAnsi="Times New Roman" w:eastAsia="楷体_GB2312"/>
      <w:sz w:val="28"/>
      <w:szCs w:val="28"/>
    </w:rPr>
  </w:style>
  <w:style w:type="paragraph" w:customStyle="1" w:styleId="290">
    <w:name w:val="xl3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91">
    <w:name w:val="bb"/>
    <w:basedOn w:val="1"/>
    <w:autoRedefine/>
    <w:qFormat/>
    <w:uiPriority w:val="34"/>
    <w:pPr>
      <w:widowControl/>
      <w:spacing w:before="100" w:beforeAutospacing="1" w:after="100" w:afterAutospacing="1"/>
      <w:jc w:val="left"/>
    </w:pPr>
    <w:rPr>
      <w:rFonts w:ascii="宋体" w:hAnsi="宋体" w:cs="宋体"/>
      <w:b/>
      <w:bCs/>
      <w:color w:val="990000"/>
      <w:kern w:val="0"/>
      <w:szCs w:val="21"/>
    </w:rPr>
  </w:style>
  <w:style w:type="paragraph" w:customStyle="1" w:styleId="292">
    <w:name w:val="明显引用2"/>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293">
    <w:name w:val="xl57"/>
    <w:basedOn w:val="1"/>
    <w:autoRedefine/>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294">
    <w:name w:val="+列表2"/>
    <w:basedOn w:val="1"/>
    <w:autoRedefine/>
    <w:qFormat/>
    <w:uiPriority w:val="0"/>
    <w:pPr>
      <w:jc w:val="center"/>
    </w:pPr>
    <w:rPr>
      <w:rFonts w:ascii="Times New Roman" w:hAnsi="Times New Roman"/>
      <w:sz w:val="18"/>
      <w:szCs w:val="21"/>
    </w:rPr>
  </w:style>
  <w:style w:type="paragraph" w:customStyle="1" w:styleId="295">
    <w:name w:val="xl3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296">
    <w:name w:val="xl62"/>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297">
    <w:name w:val="xl52"/>
    <w:basedOn w:val="1"/>
    <w:autoRedefine/>
    <w:qFormat/>
    <w:uiPriority w:val="0"/>
    <w:pPr>
      <w:widowControl/>
      <w:pBdr>
        <w:top w:val="single" w:color="auto" w:sz="4" w:space="0"/>
        <w:left w:val="single" w:color="auto" w:sz="4" w:space="0"/>
        <w:bottom w:val="single" w:color="auto" w:sz="8" w:space="0"/>
        <w:right w:val="single" w:color="auto" w:sz="8" w:space="0"/>
      </w:pBdr>
      <w:spacing w:before="100" w:beforeAutospacing="1" w:after="100" w:afterAutospacing="1"/>
      <w:jc w:val="left"/>
    </w:pPr>
    <w:rPr>
      <w:rFonts w:ascii="宋体" w:hAnsi="宋体"/>
      <w:kern w:val="0"/>
      <w:sz w:val="20"/>
      <w:szCs w:val="20"/>
    </w:rPr>
  </w:style>
  <w:style w:type="paragraph" w:customStyle="1" w:styleId="298">
    <w:name w:val="xl4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299">
    <w:name w:val="TOC 标题1"/>
    <w:basedOn w:val="2"/>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00">
    <w:name w:val="无间隔1"/>
    <w:basedOn w:val="1"/>
    <w:autoRedefine/>
    <w:qFormat/>
    <w:uiPriority w:val="0"/>
    <w:pPr>
      <w:widowControl/>
      <w:jc w:val="left"/>
    </w:pPr>
    <w:rPr>
      <w:rFonts w:ascii="宋体" w:hAnsi="宋体"/>
      <w:sz w:val="24"/>
      <w:szCs w:val="32"/>
      <w:lang w:eastAsia="en-US" w:bidi="en-US"/>
    </w:rPr>
  </w:style>
  <w:style w:type="paragraph" w:customStyle="1" w:styleId="301">
    <w:name w:val="样式1"/>
    <w:basedOn w:val="1"/>
    <w:autoRedefine/>
    <w:qFormat/>
    <w:uiPriority w:val="0"/>
    <w:pPr>
      <w:tabs>
        <w:tab w:val="left" w:pos="547"/>
        <w:tab w:val="left" w:pos="1080"/>
      </w:tabs>
      <w:spacing w:line="480" w:lineRule="atLeast"/>
      <w:jc w:val="center"/>
    </w:pPr>
    <w:rPr>
      <w:rFonts w:ascii="Times New Roman" w:hAnsi="Times New Roman" w:eastAsia="黑体"/>
      <w:b/>
      <w:sz w:val="44"/>
    </w:rPr>
  </w:style>
  <w:style w:type="paragraph" w:customStyle="1" w:styleId="302">
    <w:name w:val="四号楷体"/>
    <w:autoRedefine/>
    <w:qFormat/>
    <w:uiPriority w:val="0"/>
    <w:pPr>
      <w:spacing w:line="560" w:lineRule="exact"/>
      <w:jc w:val="both"/>
    </w:pPr>
    <w:rPr>
      <w:rFonts w:ascii="Times New Roman" w:hAnsi="Times New Roman" w:eastAsia="楷体_GB2312" w:cs="Times New Roman"/>
      <w:kern w:val="2"/>
      <w:sz w:val="28"/>
      <w:szCs w:val="28"/>
      <w:lang w:val="en-US" w:eastAsia="zh-CN" w:bidi="ar-SA"/>
    </w:rPr>
  </w:style>
  <w:style w:type="paragraph" w:customStyle="1" w:styleId="303">
    <w:name w:val="font7"/>
    <w:basedOn w:val="1"/>
    <w:autoRedefine/>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04">
    <w:name w:val="a3cxspmiddle"/>
    <w:basedOn w:val="1"/>
    <w:autoRedefine/>
    <w:qFormat/>
    <w:uiPriority w:val="0"/>
    <w:pPr>
      <w:widowControl/>
      <w:spacing w:before="100" w:after="100"/>
      <w:jc w:val="left"/>
    </w:pPr>
    <w:rPr>
      <w:rFonts w:ascii="宋体" w:hAnsi="宋体"/>
      <w:b/>
      <w:color w:val="000000"/>
      <w:kern w:val="0"/>
      <w:sz w:val="18"/>
    </w:rPr>
  </w:style>
  <w:style w:type="paragraph" w:customStyle="1" w:styleId="305">
    <w:name w:val="样式 标题 4标题4样式标题 4，标题4样式 + 段前: 0 磅"/>
    <w:basedOn w:val="5"/>
    <w:autoRedefine/>
    <w:qFormat/>
    <w:uiPriority w:val="0"/>
    <w:pPr>
      <w:numPr>
        <w:ilvl w:val="0"/>
        <w:numId w:val="0"/>
      </w:numPr>
      <w:tabs>
        <w:tab w:val="left" w:pos="864"/>
      </w:tabs>
      <w:adjustRightInd w:val="0"/>
      <w:snapToGrid w:val="0"/>
      <w:spacing w:before="0" w:after="0"/>
      <w:ind w:left="851" w:hanging="851"/>
    </w:pPr>
    <w:rPr>
      <w:rFonts w:hAnsi="Times New Roman" w:cs="宋体"/>
      <w:bCs/>
      <w:kern w:val="2"/>
      <w:szCs w:val="24"/>
    </w:rPr>
  </w:style>
  <w:style w:type="paragraph" w:customStyle="1" w:styleId="306">
    <w:name w:val="明显引用3"/>
    <w:basedOn w:val="1"/>
    <w:next w:val="1"/>
    <w:autoRedefine/>
    <w:qFormat/>
    <w:uiPriority w:val="0"/>
    <w:pPr>
      <w:pBdr>
        <w:bottom w:val="single" w:color="4F81BD" w:sz="4" w:space="4"/>
      </w:pBdr>
      <w:spacing w:before="200" w:after="280"/>
      <w:ind w:left="936" w:right="936"/>
    </w:pPr>
    <w:rPr>
      <w:b/>
      <w:bCs/>
      <w:i/>
      <w:iCs/>
      <w:color w:val="4F81BD"/>
      <w:kern w:val="0"/>
      <w:sz w:val="22"/>
      <w:szCs w:val="22"/>
      <w:lang w:eastAsia="en-US" w:bidi="en-US"/>
    </w:rPr>
  </w:style>
  <w:style w:type="paragraph" w:customStyle="1" w:styleId="307">
    <w:name w:val="xl2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08">
    <w:name w:val="无间隔3"/>
    <w:basedOn w:val="1"/>
    <w:autoRedefine/>
    <w:qFormat/>
    <w:uiPriority w:val="0"/>
    <w:pPr>
      <w:widowControl/>
      <w:jc w:val="left"/>
    </w:pPr>
    <w:rPr>
      <w:rFonts w:ascii="宋体" w:hAnsi="宋体"/>
      <w:kern w:val="0"/>
      <w:sz w:val="24"/>
      <w:szCs w:val="32"/>
      <w:lang w:eastAsia="en-US" w:bidi="en-US"/>
    </w:rPr>
  </w:style>
  <w:style w:type="paragraph" w:customStyle="1" w:styleId="309">
    <w:name w:val="xl53"/>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10">
    <w:name w:val="font12"/>
    <w:basedOn w:val="1"/>
    <w:autoRedefine/>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311">
    <w:name w:val="Char Char1 Char Char Char Char Char1 Char Char Char Char"/>
    <w:basedOn w:val="13"/>
    <w:autoRedefine/>
    <w:qFormat/>
    <w:uiPriority w:val="0"/>
    <w:rPr>
      <w:rFonts w:ascii="Tahoma" w:hAnsi="Tahoma" w:eastAsia="仿宋_GB2312"/>
      <w:sz w:val="30"/>
      <w:szCs w:val="30"/>
    </w:rPr>
  </w:style>
  <w:style w:type="paragraph" w:customStyle="1" w:styleId="312">
    <w:name w:val="xl2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13">
    <w:name w:val="xl5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314">
    <w:name w:val="样式2"/>
    <w:basedOn w:val="1"/>
    <w:autoRedefine/>
    <w:qFormat/>
    <w:uiPriority w:val="0"/>
    <w:pPr>
      <w:tabs>
        <w:tab w:val="left" w:pos="425"/>
        <w:tab w:val="left" w:pos="547"/>
        <w:tab w:val="left" w:pos="1050"/>
        <w:tab w:val="left" w:pos="1080"/>
        <w:tab w:val="left" w:pos="1275"/>
      </w:tabs>
      <w:spacing w:line="360" w:lineRule="auto"/>
      <w:ind w:left="1275" w:hanging="705"/>
    </w:pPr>
    <w:rPr>
      <w:rFonts w:ascii="Times New Roman" w:hAnsi="Times New Roman" w:eastAsia="仿宋_GB2312"/>
      <w:sz w:val="24"/>
    </w:rPr>
  </w:style>
  <w:style w:type="paragraph" w:customStyle="1" w:styleId="315">
    <w:name w:val="xl50"/>
    <w:basedOn w:val="1"/>
    <w:autoRedefine/>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16">
    <w:name w:val="xl54"/>
    <w:basedOn w:val="1"/>
    <w:autoRedefine/>
    <w:qFormat/>
    <w:uiPriority w:val="0"/>
    <w:pPr>
      <w:widowControl/>
      <w:spacing w:before="100" w:beforeAutospacing="1" w:after="100" w:afterAutospacing="1"/>
      <w:jc w:val="left"/>
      <w:textAlignment w:val="center"/>
    </w:pPr>
    <w:rPr>
      <w:rFonts w:ascii="宋体" w:hAnsi="宋体"/>
      <w:kern w:val="0"/>
      <w:sz w:val="20"/>
      <w:szCs w:val="20"/>
    </w:rPr>
  </w:style>
  <w:style w:type="paragraph" w:customStyle="1" w:styleId="317">
    <w:name w:val="xl105"/>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18">
    <w:name w:val="xl31"/>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19">
    <w:name w:val="编号项"/>
    <w:basedOn w:val="1"/>
    <w:autoRedefine/>
    <w:qFormat/>
    <w:uiPriority w:val="0"/>
    <w:pPr>
      <w:tabs>
        <w:tab w:val="left" w:pos="1020"/>
      </w:tabs>
      <w:ind w:left="1020" w:hanging="525"/>
    </w:pPr>
    <w:rPr>
      <w:rFonts w:ascii="Times New Roman" w:hAnsi="Times New Roman"/>
    </w:rPr>
  </w:style>
  <w:style w:type="paragraph" w:customStyle="1" w:styleId="320">
    <w:name w:val="xl107"/>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21">
    <w:name w:val="TOC 标题3"/>
    <w:basedOn w:val="2"/>
    <w:next w:val="1"/>
    <w:autoRedefine/>
    <w:qFormat/>
    <w:uiPriority w:val="39"/>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322">
    <w:name w:val="默认段落字体 Para Char Char Char Char Char Char Char Char Char1 Char Char Char Char"/>
    <w:basedOn w:val="1"/>
    <w:autoRedefine/>
    <w:qFormat/>
    <w:uiPriority w:val="0"/>
    <w:rPr>
      <w:rFonts w:ascii="Tahoma" w:hAnsi="Tahoma"/>
      <w:sz w:val="24"/>
      <w:szCs w:val="20"/>
    </w:rPr>
  </w:style>
  <w:style w:type="paragraph" w:customStyle="1" w:styleId="323">
    <w:name w:val="xl45"/>
    <w:basedOn w:val="1"/>
    <w:autoRedefine/>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24">
    <w:name w:val="xl97"/>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325">
    <w:name w:val="Char Char31"/>
    <w:basedOn w:val="1"/>
    <w:next w:val="17"/>
    <w:autoRedefine/>
    <w:qFormat/>
    <w:uiPriority w:val="0"/>
    <w:pPr>
      <w:spacing w:line="360" w:lineRule="auto"/>
      <w:ind w:left="-360" w:firstLine="570"/>
    </w:pPr>
    <w:rPr>
      <w:rFonts w:ascii="仿宋_GB2312" w:hAnsi="Times New Roman" w:eastAsia="仿宋_GB2312"/>
      <w:b/>
      <w:sz w:val="24"/>
      <w:szCs w:val="20"/>
    </w:rPr>
  </w:style>
  <w:style w:type="paragraph" w:customStyle="1" w:styleId="326">
    <w:name w:val="Char2"/>
    <w:basedOn w:val="1"/>
    <w:autoRedefine/>
    <w:qFormat/>
    <w:uiPriority w:val="0"/>
    <w:pPr>
      <w:spacing w:line="400" w:lineRule="exact"/>
    </w:pPr>
    <w:rPr>
      <w:rFonts w:ascii="Tahoma" w:hAnsi="Tahoma"/>
      <w:sz w:val="24"/>
      <w:szCs w:val="20"/>
    </w:rPr>
  </w:style>
  <w:style w:type="paragraph" w:customStyle="1" w:styleId="327">
    <w:name w:val="样式 首行缩进:  2 字符"/>
    <w:basedOn w:val="1"/>
    <w:autoRedefine/>
    <w:qFormat/>
    <w:uiPriority w:val="0"/>
    <w:pPr>
      <w:spacing w:line="360" w:lineRule="auto"/>
      <w:ind w:firstLine="200" w:firstLineChars="200"/>
    </w:pPr>
    <w:rPr>
      <w:rFonts w:ascii="Times New Roman" w:hAnsi="Times New Roman"/>
      <w:sz w:val="24"/>
    </w:rPr>
  </w:style>
  <w:style w:type="paragraph" w:customStyle="1" w:styleId="328">
    <w:name w:val="xl104"/>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329">
    <w:name w:val="xl3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30">
    <w:name w:val="+标题2"/>
    <w:basedOn w:val="3"/>
    <w:autoRedefine/>
    <w:qFormat/>
    <w:uiPriority w:val="0"/>
    <w:pPr>
      <w:tabs>
        <w:tab w:val="left" w:pos="1440"/>
      </w:tabs>
      <w:spacing w:before="120" w:after="120" w:line="360" w:lineRule="auto"/>
      <w:ind w:left="1440" w:hanging="360"/>
    </w:pPr>
    <w:rPr>
      <w:rFonts w:ascii="Times New Roman" w:hAnsi="Times New Roman" w:eastAsia="宋体" w:cs="Times New Roman"/>
      <w:sz w:val="24"/>
      <w:szCs w:val="28"/>
    </w:rPr>
  </w:style>
  <w:style w:type="paragraph" w:customStyle="1" w:styleId="331">
    <w:name w:val="font10"/>
    <w:basedOn w:val="1"/>
    <w:autoRedefine/>
    <w:qFormat/>
    <w:uiPriority w:val="0"/>
    <w:pPr>
      <w:widowControl/>
      <w:spacing w:before="100" w:beforeAutospacing="1" w:after="100" w:afterAutospacing="1"/>
      <w:jc w:val="left"/>
    </w:pPr>
    <w:rPr>
      <w:rFonts w:ascii="Arial Narrow" w:hAnsi="Arial Narrow"/>
      <w:kern w:val="0"/>
      <w:sz w:val="20"/>
      <w:szCs w:val="20"/>
    </w:rPr>
  </w:style>
  <w:style w:type="paragraph" w:customStyle="1" w:styleId="332">
    <w:name w:val="正文样式"/>
    <w:autoRedefine/>
    <w:qFormat/>
    <w:uiPriority w:val="0"/>
    <w:pPr>
      <w:adjustRightInd w:val="0"/>
      <w:snapToGrid w:val="0"/>
      <w:spacing w:line="360" w:lineRule="auto"/>
      <w:ind w:firstLine="482"/>
      <w:jc w:val="both"/>
    </w:pPr>
    <w:rPr>
      <w:rFonts w:ascii="宋体" w:hAnsi="Times New Roman" w:eastAsia="宋体" w:cs="宋体"/>
      <w:kern w:val="2"/>
      <w:sz w:val="24"/>
      <w:lang w:val="en-US" w:eastAsia="zh-CN" w:bidi="ar-SA"/>
    </w:rPr>
  </w:style>
  <w:style w:type="paragraph" w:customStyle="1" w:styleId="333">
    <w:name w:val="font9"/>
    <w:basedOn w:val="1"/>
    <w:autoRedefine/>
    <w:qFormat/>
    <w:uiPriority w:val="0"/>
    <w:pPr>
      <w:widowControl/>
      <w:spacing w:before="100" w:beforeAutospacing="1" w:after="100" w:afterAutospacing="1"/>
      <w:jc w:val="left"/>
    </w:pPr>
    <w:rPr>
      <w:rFonts w:ascii="Times New Roman" w:hAnsi="Times New Roman"/>
      <w:b/>
      <w:bCs/>
      <w:kern w:val="0"/>
      <w:sz w:val="20"/>
      <w:szCs w:val="20"/>
    </w:rPr>
  </w:style>
  <w:style w:type="paragraph" w:customStyle="1" w:styleId="334">
    <w:name w:val="样式 标题 2 + 小二 段前: 0.5 行 段后: 0.5 行"/>
    <w:basedOn w:val="3"/>
    <w:autoRedefine/>
    <w:qFormat/>
    <w:uiPriority w:val="0"/>
    <w:pPr>
      <w:keepLines w:val="0"/>
      <w:spacing w:beforeLines="50" w:afterLines="50" w:line="360" w:lineRule="auto"/>
    </w:pPr>
    <w:rPr>
      <w:rFonts w:ascii="宋体" w:hAnsi="Times New Roman" w:eastAsia="宋体" w:cs="Times New Roman"/>
      <w:sz w:val="30"/>
      <w:szCs w:val="30"/>
    </w:rPr>
  </w:style>
  <w:style w:type="paragraph" w:customStyle="1" w:styleId="335">
    <w:name w:val="正文文本 21"/>
    <w:basedOn w:val="1"/>
    <w:autoRedefine/>
    <w:qFormat/>
    <w:uiPriority w:val="0"/>
    <w:pPr>
      <w:adjustRightInd w:val="0"/>
      <w:jc w:val="left"/>
    </w:pPr>
    <w:rPr>
      <w:rFonts w:ascii="宋体" w:hAnsi="Times New Roman"/>
      <w:i/>
      <w:sz w:val="28"/>
      <w:szCs w:val="20"/>
    </w:rPr>
  </w:style>
  <w:style w:type="paragraph" w:customStyle="1" w:styleId="336">
    <w:name w:val="_Style 186"/>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37">
    <w:name w:val="样式7"/>
    <w:basedOn w:val="1"/>
    <w:autoRedefine/>
    <w:qFormat/>
    <w:uiPriority w:val="34"/>
    <w:pPr>
      <w:spacing w:line="500" w:lineRule="exact"/>
      <w:jc w:val="center"/>
    </w:pPr>
    <w:rPr>
      <w:rFonts w:ascii="宋体" w:hAnsi="Times New Roman"/>
      <w:b/>
      <w:sz w:val="32"/>
      <w:szCs w:val="20"/>
    </w:rPr>
  </w:style>
  <w:style w:type="paragraph" w:customStyle="1" w:styleId="338">
    <w:name w:val="规范正文 Char Char Char"/>
    <w:basedOn w:val="1"/>
    <w:autoRedefine/>
    <w:qFormat/>
    <w:uiPriority w:val="0"/>
    <w:pPr>
      <w:adjustRightInd w:val="0"/>
      <w:spacing w:line="360" w:lineRule="auto"/>
      <w:ind w:left="227" w:firstLine="454"/>
      <w:textAlignment w:val="baseline"/>
    </w:pPr>
    <w:rPr>
      <w:rFonts w:ascii="Times New Roman" w:hAnsi="Times New Roman"/>
      <w:sz w:val="24"/>
    </w:rPr>
  </w:style>
  <w:style w:type="paragraph" w:customStyle="1" w:styleId="339">
    <w:name w:val="xl6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40">
    <w:name w:val="样式 宋体 小四 首行缩进:  1.11 厘米 行距: 1.5 倍行距"/>
    <w:basedOn w:val="1"/>
    <w:autoRedefine/>
    <w:qFormat/>
    <w:uiPriority w:val="0"/>
    <w:pPr>
      <w:spacing w:line="360" w:lineRule="auto"/>
      <w:ind w:left="708" w:leftChars="337" w:firstLine="1"/>
    </w:pPr>
    <w:rPr>
      <w:rFonts w:ascii="宋体" w:hAnsi="Times New Roman"/>
      <w:sz w:val="24"/>
      <w:szCs w:val="20"/>
    </w:rPr>
  </w:style>
  <w:style w:type="paragraph" w:customStyle="1" w:styleId="341">
    <w:name w:val="xl61"/>
    <w:basedOn w:val="1"/>
    <w:autoRedefine/>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42">
    <w:name w:val="xl43"/>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left"/>
      <w:textAlignment w:val="center"/>
    </w:pPr>
    <w:rPr>
      <w:rFonts w:ascii="宋体" w:hAnsi="宋体"/>
      <w:kern w:val="0"/>
      <w:sz w:val="20"/>
      <w:szCs w:val="20"/>
    </w:rPr>
  </w:style>
  <w:style w:type="paragraph" w:customStyle="1" w:styleId="343">
    <w:name w:val="+标题3"/>
    <w:basedOn w:val="4"/>
    <w:qFormat/>
    <w:uiPriority w:val="0"/>
    <w:pPr>
      <w:tabs>
        <w:tab w:val="left" w:pos="2160"/>
      </w:tabs>
      <w:spacing w:before="120" w:after="120" w:line="360" w:lineRule="auto"/>
      <w:ind w:left="2160" w:hanging="360"/>
    </w:pPr>
    <w:rPr>
      <w:sz w:val="24"/>
      <w:szCs w:val="28"/>
    </w:rPr>
  </w:style>
  <w:style w:type="paragraph" w:customStyle="1" w:styleId="344">
    <w:name w:val="xl101"/>
    <w:basedOn w:val="1"/>
    <w:autoRedefine/>
    <w:qFormat/>
    <w:uiPriority w:val="0"/>
    <w:pPr>
      <w:widowControl/>
      <w:pBdr>
        <w:top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45">
    <w:name w:val="xl3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0"/>
      <w:szCs w:val="20"/>
    </w:rPr>
  </w:style>
  <w:style w:type="paragraph" w:customStyle="1" w:styleId="346">
    <w:name w:val="xl46"/>
    <w:basedOn w:val="1"/>
    <w:autoRedefine/>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kern w:val="0"/>
      <w:sz w:val="20"/>
      <w:szCs w:val="20"/>
    </w:rPr>
  </w:style>
  <w:style w:type="paragraph" w:customStyle="1" w:styleId="347">
    <w:name w:val="xl6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kern w:val="0"/>
      <w:sz w:val="20"/>
      <w:szCs w:val="20"/>
    </w:rPr>
  </w:style>
  <w:style w:type="paragraph" w:customStyle="1" w:styleId="348">
    <w:name w:val="正文2字符缩进"/>
    <w:basedOn w:val="11"/>
    <w:autoRedefine/>
    <w:qFormat/>
    <w:uiPriority w:val="0"/>
    <w:pPr>
      <w:widowControl/>
      <w:tabs>
        <w:tab w:val="left" w:pos="360"/>
        <w:tab w:val="left" w:pos="720"/>
        <w:tab w:val="left" w:pos="1260"/>
      </w:tabs>
      <w:adjustRightInd w:val="0"/>
      <w:snapToGrid w:val="0"/>
      <w:spacing w:line="360" w:lineRule="auto"/>
      <w:ind w:left="720" w:firstLine="200" w:firstLineChars="200"/>
    </w:pPr>
    <w:rPr>
      <w:rFonts w:cs="宋体"/>
      <w:sz w:val="28"/>
    </w:rPr>
  </w:style>
  <w:style w:type="paragraph" w:customStyle="1" w:styleId="349">
    <w:name w:val="xl65"/>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kern w:val="0"/>
      <w:sz w:val="20"/>
      <w:szCs w:val="20"/>
    </w:rPr>
  </w:style>
  <w:style w:type="paragraph" w:customStyle="1" w:styleId="350">
    <w:name w:val="二级条标题"/>
    <w:basedOn w:val="262"/>
    <w:next w:val="1"/>
    <w:autoRedefine/>
    <w:qFormat/>
    <w:uiPriority w:val="0"/>
    <w:pPr>
      <w:numPr>
        <w:ilvl w:val="3"/>
      </w:numPr>
      <w:tabs>
        <w:tab w:val="left" w:pos="1290"/>
      </w:tabs>
      <w:ind w:left="1290" w:hanging="720"/>
      <w:outlineLvl w:val="3"/>
    </w:pPr>
  </w:style>
  <w:style w:type="paragraph" w:customStyle="1" w:styleId="351">
    <w:name w:val="缺省文本"/>
    <w:basedOn w:val="1"/>
    <w:autoRedefine/>
    <w:qFormat/>
    <w:uiPriority w:val="0"/>
    <w:pPr>
      <w:widowControl/>
      <w:overflowPunct w:val="0"/>
      <w:autoSpaceDE w:val="0"/>
      <w:autoSpaceDN w:val="0"/>
      <w:adjustRightInd w:val="0"/>
      <w:spacing w:line="360" w:lineRule="auto"/>
      <w:ind w:firstLine="720"/>
      <w:textAlignment w:val="baseline"/>
    </w:pPr>
    <w:rPr>
      <w:rFonts w:ascii="宋体" w:hAnsi="Times New Roman" w:eastAsia="仿宋_GB2312"/>
      <w:kern w:val="0"/>
      <w:sz w:val="28"/>
      <w:szCs w:val="20"/>
    </w:rPr>
  </w:style>
  <w:style w:type="paragraph" w:customStyle="1" w:styleId="352">
    <w:name w:val="编号1."/>
    <w:basedOn w:val="1"/>
    <w:autoRedefine/>
    <w:qFormat/>
    <w:uiPriority w:val="0"/>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353">
    <w:name w:val="样式 标题 3列表编号31.1.1h33rd level3H3l3CTHeading 3 - oldsect..."/>
    <w:basedOn w:val="4"/>
    <w:autoRedefine/>
    <w:qFormat/>
    <w:uiPriority w:val="0"/>
    <w:pPr>
      <w:tabs>
        <w:tab w:val="left" w:pos="720"/>
      </w:tabs>
      <w:adjustRightInd w:val="0"/>
      <w:spacing w:before="0" w:after="0" w:line="360" w:lineRule="atLeast"/>
      <w:ind w:left="720" w:hanging="720"/>
    </w:pPr>
    <w:rPr>
      <w:rFonts w:cs="宋体"/>
      <w:kern w:val="0"/>
      <w:sz w:val="28"/>
      <w:szCs w:val="24"/>
    </w:rPr>
  </w:style>
  <w:style w:type="paragraph" w:customStyle="1" w:styleId="354">
    <w:name w:val="xl26"/>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b/>
      <w:bCs/>
      <w:kern w:val="0"/>
      <w:sz w:val="20"/>
      <w:szCs w:val="20"/>
    </w:rPr>
  </w:style>
  <w:style w:type="paragraph" w:customStyle="1" w:styleId="355">
    <w:name w:val="列出段落2"/>
    <w:basedOn w:val="1"/>
    <w:autoRedefine/>
    <w:qFormat/>
    <w:uiPriority w:val="0"/>
    <w:pPr>
      <w:ind w:firstLine="420" w:firstLineChars="200"/>
    </w:pPr>
    <w:rPr>
      <w:rFonts w:ascii="Times New Roman" w:hAnsi="Times New Roman"/>
      <w:szCs w:val="20"/>
    </w:rPr>
  </w:style>
  <w:style w:type="paragraph" w:customStyle="1" w:styleId="356">
    <w:name w:val="修订1"/>
    <w:autoRedefine/>
    <w:semiHidden/>
    <w:qFormat/>
    <w:uiPriority w:val="99"/>
    <w:rPr>
      <w:rFonts w:ascii="Times New Roman" w:hAnsi="Times New Roman" w:eastAsia="宋体" w:cs="Times New Roman"/>
      <w:kern w:val="2"/>
      <w:sz w:val="21"/>
      <w:szCs w:val="24"/>
      <w:lang w:val="en-US" w:eastAsia="zh-CN" w:bidi="ar-SA"/>
    </w:rPr>
  </w:style>
  <w:style w:type="paragraph" w:customStyle="1" w:styleId="357">
    <w:name w:val="xl3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Times New Roman" w:hAnsi="Times New Roman"/>
      <w:kern w:val="0"/>
      <w:sz w:val="20"/>
      <w:szCs w:val="20"/>
    </w:rPr>
  </w:style>
  <w:style w:type="paragraph" w:customStyle="1" w:styleId="358">
    <w:name w:val="样式 标题 1 + (中文) 黑体"/>
    <w:basedOn w:val="2"/>
    <w:autoRedefine/>
    <w:qFormat/>
    <w:uiPriority w:val="0"/>
    <w:pPr>
      <w:adjustRightInd w:val="0"/>
      <w:spacing w:before="120" w:after="120" w:line="240" w:lineRule="auto"/>
      <w:jc w:val="center"/>
    </w:pPr>
    <w:rPr>
      <w:rFonts w:ascii="Times New Roman" w:hAnsi="Times New Roman" w:eastAsia="楷体"/>
      <w:bCs/>
      <w:sz w:val="36"/>
      <w:szCs w:val="44"/>
      <w:lang w:val="en-US"/>
    </w:rPr>
  </w:style>
  <w:style w:type="paragraph" w:customStyle="1" w:styleId="359">
    <w:name w:val="xl2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kern w:val="0"/>
      <w:sz w:val="20"/>
      <w:szCs w:val="20"/>
    </w:rPr>
  </w:style>
  <w:style w:type="paragraph" w:customStyle="1" w:styleId="360">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eastAsia="黑体" w:cs="宋体"/>
      <w:b w:val="0"/>
      <w:bCs w:val="0"/>
      <w:sz w:val="28"/>
      <w:szCs w:val="20"/>
    </w:rPr>
  </w:style>
  <w:style w:type="paragraph" w:customStyle="1" w:styleId="361">
    <w:name w:val="acxspmiddle"/>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62">
    <w:name w:val="xl47"/>
    <w:basedOn w:val="1"/>
    <w:autoRedefine/>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63">
    <w:name w:val="xl108"/>
    <w:basedOn w:val="1"/>
    <w:autoRedefine/>
    <w:qFormat/>
    <w:uiPriority w:val="0"/>
    <w:pPr>
      <w:widowControl/>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64">
    <w:name w:val="a3cxsplast"/>
    <w:basedOn w:val="1"/>
    <w:autoRedefine/>
    <w:qFormat/>
    <w:uiPriority w:val="0"/>
    <w:pPr>
      <w:widowControl/>
      <w:spacing w:before="100" w:after="100"/>
      <w:jc w:val="left"/>
    </w:pPr>
    <w:rPr>
      <w:rFonts w:ascii="宋体" w:hAnsi="宋体"/>
      <w:b/>
      <w:color w:val="000000"/>
      <w:kern w:val="0"/>
      <w:sz w:val="18"/>
    </w:rPr>
  </w:style>
  <w:style w:type="paragraph" w:customStyle="1" w:styleId="365">
    <w:name w:val="样式 标题 2 + 左侧:  0 厘米 首行缩进:  0 厘米 右侧:  2 字符"/>
    <w:basedOn w:val="3"/>
    <w:autoRedefine/>
    <w:qFormat/>
    <w:uiPriority w:val="0"/>
    <w:pPr>
      <w:spacing w:before="120" w:after="120" w:line="360" w:lineRule="auto"/>
      <w:ind w:right="420" w:rightChars="200"/>
    </w:pPr>
    <w:rPr>
      <w:rFonts w:ascii="Arial" w:hAnsi="Arial" w:eastAsia="黑体" w:cs="Times New Roman"/>
      <w:sz w:val="24"/>
      <w:szCs w:val="20"/>
    </w:rPr>
  </w:style>
  <w:style w:type="paragraph" w:customStyle="1" w:styleId="366">
    <w:name w:val="xl9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367">
    <w:name w:val="msonormalcxsplast"/>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68">
    <w:name w:val="xl58"/>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9">
    <w:name w:val="样式 样式 样式 样式 样式 样式 首行缩进:  2 字符 + 首行缩进:  2 字符 + 首行缩进:  2 字符 + 首行缩进..."/>
    <w:basedOn w:val="1"/>
    <w:autoRedefine/>
    <w:qFormat/>
    <w:uiPriority w:val="0"/>
    <w:pPr>
      <w:spacing w:line="360" w:lineRule="auto"/>
      <w:ind w:firstLine="480" w:firstLineChars="200"/>
    </w:pPr>
    <w:rPr>
      <w:rFonts w:ascii="Times New Roman" w:hAnsi="Times New Roman" w:cs="宋体"/>
      <w:sz w:val="24"/>
      <w:szCs w:val="20"/>
    </w:rPr>
  </w:style>
  <w:style w:type="paragraph" w:customStyle="1" w:styleId="370">
    <w:name w:val="Char3"/>
    <w:basedOn w:val="1"/>
    <w:autoRedefine/>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rPr>
  </w:style>
  <w:style w:type="paragraph" w:customStyle="1" w:styleId="371">
    <w:name w:val="xl100"/>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72">
    <w:name w:val="xl102"/>
    <w:basedOn w:val="1"/>
    <w:autoRedefine/>
    <w:qFormat/>
    <w:uiPriority w:val="0"/>
    <w:pPr>
      <w:widowControl/>
      <w:spacing w:before="100" w:beforeAutospacing="1" w:after="100" w:afterAutospacing="1"/>
      <w:jc w:val="center"/>
    </w:pPr>
    <w:rPr>
      <w:rFonts w:ascii="Arial Unicode MS" w:hAnsi="Arial Unicode MS"/>
      <w:color w:val="FF0000"/>
      <w:kern w:val="0"/>
      <w:sz w:val="28"/>
      <w:szCs w:val="28"/>
    </w:rPr>
  </w:style>
  <w:style w:type="paragraph" w:customStyle="1" w:styleId="373">
    <w:name w:val="Char1 Char Char Char Char Char Char"/>
    <w:basedOn w:val="1"/>
    <w:autoRedefine/>
    <w:qFormat/>
    <w:uiPriority w:val="0"/>
    <w:pPr>
      <w:ind w:firstLine="360" w:firstLineChars="150"/>
    </w:pPr>
    <w:rPr>
      <w:rFonts w:ascii="Tahoma" w:hAnsi="Tahoma"/>
      <w:sz w:val="24"/>
      <w:szCs w:val="20"/>
    </w:rPr>
  </w:style>
  <w:style w:type="paragraph" w:customStyle="1" w:styleId="374">
    <w:name w:val="xl106"/>
    <w:basedOn w:val="1"/>
    <w:autoRedefine/>
    <w:qFormat/>
    <w:uiPriority w:val="0"/>
    <w:pPr>
      <w:widowControl/>
      <w:pBdr>
        <w:top w:val="single" w:color="auto" w:sz="4" w:space="0"/>
        <w:left w:val="single" w:color="auto" w:sz="4" w:space="0"/>
        <w:bottom w:val="single" w:color="auto" w:sz="4" w:space="0"/>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375">
    <w:name w:val="Blockquote"/>
    <w:basedOn w:val="1"/>
    <w:autoRedefine/>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376">
    <w:name w:val="正文文本 211"/>
    <w:basedOn w:val="1"/>
    <w:autoRedefine/>
    <w:qFormat/>
    <w:uiPriority w:val="0"/>
    <w:pPr>
      <w:adjustRightInd w:val="0"/>
      <w:jc w:val="left"/>
    </w:pPr>
    <w:rPr>
      <w:rFonts w:ascii="宋体" w:hAnsi="Times New Roman"/>
      <w:i/>
      <w:sz w:val="28"/>
      <w:szCs w:val="20"/>
    </w:rPr>
  </w:style>
  <w:style w:type="paragraph" w:customStyle="1" w:styleId="377">
    <w:name w:val="xl60"/>
    <w:basedOn w:val="1"/>
    <w:autoRedefine/>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kern w:val="0"/>
      <w:sz w:val="20"/>
      <w:szCs w:val="20"/>
    </w:rPr>
  </w:style>
  <w:style w:type="paragraph" w:customStyle="1" w:styleId="378">
    <w:name w:val="xl98"/>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379">
    <w:name w:val="xl110"/>
    <w:basedOn w:val="1"/>
    <w:autoRedefine/>
    <w:qFormat/>
    <w:uiPriority w:val="0"/>
    <w:pPr>
      <w:widowControl/>
      <w:pBdr>
        <w:bottom w:val="single" w:color="auto" w:sz="4" w:space="0"/>
      </w:pBdr>
      <w:spacing w:before="100" w:beforeAutospacing="1" w:after="100" w:afterAutospacing="1"/>
      <w:jc w:val="center"/>
    </w:pPr>
    <w:rPr>
      <w:rFonts w:ascii="宋体" w:hAnsi="宋体" w:cs="宋体"/>
      <w:b/>
      <w:bCs/>
      <w:kern w:val="0"/>
      <w:sz w:val="28"/>
      <w:szCs w:val="28"/>
    </w:rPr>
  </w:style>
  <w:style w:type="paragraph" w:customStyle="1" w:styleId="380">
    <w:name w:val="表格文字"/>
    <w:basedOn w:val="1"/>
    <w:autoRedefine/>
    <w:qFormat/>
    <w:uiPriority w:val="34"/>
    <w:pPr>
      <w:adjustRightInd w:val="0"/>
      <w:spacing w:line="420" w:lineRule="atLeast"/>
      <w:jc w:val="left"/>
    </w:pPr>
    <w:rPr>
      <w:rFonts w:ascii="Times New Roman" w:hAnsi="Times New Roman"/>
      <w:kern w:val="0"/>
      <w:szCs w:val="20"/>
    </w:rPr>
  </w:style>
  <w:style w:type="paragraph" w:customStyle="1" w:styleId="381">
    <w:name w:val="引用1"/>
    <w:basedOn w:val="1"/>
    <w:next w:val="1"/>
    <w:autoRedefine/>
    <w:qFormat/>
    <w:uiPriority w:val="0"/>
    <w:rPr>
      <w:i/>
      <w:iCs/>
      <w:color w:val="000000"/>
      <w:kern w:val="0"/>
      <w:sz w:val="22"/>
      <w:szCs w:val="22"/>
      <w:lang w:eastAsia="en-US" w:bidi="en-US"/>
    </w:rPr>
  </w:style>
  <w:style w:type="paragraph" w:customStyle="1" w:styleId="382">
    <w:name w:val="xl3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kern w:val="0"/>
      <w:sz w:val="20"/>
      <w:szCs w:val="20"/>
    </w:rPr>
  </w:style>
  <w:style w:type="paragraph" w:customStyle="1" w:styleId="383">
    <w:name w:val="修订2"/>
    <w:autoRedefine/>
    <w:hidden/>
    <w:semiHidden/>
    <w:qFormat/>
    <w:uiPriority w:val="99"/>
    <w:rPr>
      <w:rFonts w:ascii="Calibri" w:hAnsi="Calibri" w:eastAsia="宋体" w:cs="Times New Roman"/>
      <w:kern w:val="2"/>
      <w:sz w:val="21"/>
      <w:szCs w:val="24"/>
      <w:lang w:val="en-US" w:eastAsia="zh-CN" w:bidi="ar-SA"/>
    </w:rPr>
  </w:style>
  <w:style w:type="character" w:customStyle="1" w:styleId="384">
    <w:name w:val="font21"/>
    <w:basedOn w:val="39"/>
    <w:qFormat/>
    <w:uiPriority w:val="0"/>
    <w:rPr>
      <w:rFonts w:hint="eastAsia" w:ascii="宋体" w:hAnsi="宋体" w:eastAsia="宋体" w:cs="宋体"/>
      <w:color w:val="FF0000"/>
      <w:sz w:val="18"/>
      <w:szCs w:val="18"/>
      <w:u w:val="none"/>
    </w:rPr>
  </w:style>
  <w:style w:type="character" w:customStyle="1" w:styleId="385">
    <w:name w:val="尾注文本 字符"/>
    <w:basedOn w:val="39"/>
    <w:link w:val="23"/>
    <w:semiHidden/>
    <w:qFormat/>
    <w:uiPriority w:val="99"/>
    <w:rPr>
      <w:kern w:val="2"/>
      <w:sz w:val="21"/>
      <w:szCs w:val="21"/>
    </w:rPr>
  </w:style>
  <w:style w:type="table" w:customStyle="1" w:styleId="386">
    <w:name w:val="网格型1"/>
    <w:basedOn w:val="37"/>
    <w:qFormat/>
    <w:uiPriority w:val="39"/>
    <w:rPr>
      <w:rFonts w:asciiTheme="minorHAnsi" w:hAnsiTheme="minorHAnsi" w:eastAsiaTheme="minorEastAsia" w:cstheme="minorBidi"/>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7">
    <w:name w:val="Placeholder Text"/>
    <w:basedOn w:val="39"/>
    <w:semiHidden/>
    <w:qFormat/>
    <w:uiPriority w:val="99"/>
    <w:rPr>
      <w:color w:val="808080"/>
    </w:rPr>
  </w:style>
  <w:style w:type="character" w:customStyle="1" w:styleId="388">
    <w:name w:val="con-all2"/>
    <w:basedOn w:val="39"/>
    <w:qFormat/>
    <w:uiPriority w:val="0"/>
  </w:style>
  <w:style w:type="paragraph" w:customStyle="1" w:styleId="389">
    <w:name w:val="Revision"/>
    <w:hidden/>
    <w:unhideWhenUsed/>
    <w:qFormat/>
    <w:uiPriority w:val="99"/>
    <w:rPr>
      <w:rFonts w:ascii="Times New Roman" w:hAnsi="Times New Roman" w:eastAsia="宋体" w:cs="Times New Roman"/>
      <w:kern w:val="2"/>
      <w:sz w:val="21"/>
      <w:szCs w:val="21"/>
      <w:lang w:val="en-US" w:eastAsia="zh-CN" w:bidi="ar-SA"/>
    </w:rPr>
  </w:style>
  <w:style w:type="table" w:customStyle="1" w:styleId="390">
    <w:name w:val="网格型11"/>
    <w:basedOn w:val="37"/>
    <w:qFormat/>
    <w:uiPriority w:val="39"/>
    <w:rPr>
      <w:rFonts w:ascii="等线" w:hAnsi="等线" w:eastAsia="等线"/>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1">
    <w:name w:val="网格型2"/>
    <w:basedOn w:val="37"/>
    <w:qFormat/>
    <w:uiPriority w:val="39"/>
    <w:rPr>
      <w:rFonts w:ascii="等线" w:hAnsi="等线" w:eastAsia="等线"/>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92">
    <w:name w:val="网格型13"/>
    <w:basedOn w:val="37"/>
    <w:autoRedefine/>
    <w:qFormat/>
    <w:uiPriority w:val="39"/>
    <w:rPr>
      <w:rFonts w:ascii="等线" w:hAnsi="等线" w:eastAsia="等线"/>
      <w:lang w:eastAsia="ja-JP"/>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3">
    <w:name w:val="明显强调4"/>
    <w:basedOn w:val="39"/>
    <w:qFormat/>
    <w:uiPriority w:val="21"/>
    <w:rPr>
      <w:i/>
      <w:iCs/>
      <w:color w:val="0F4761"/>
    </w:rPr>
  </w:style>
  <w:style w:type="character" w:customStyle="1" w:styleId="394">
    <w:name w:val="明显参考4"/>
    <w:basedOn w:val="39"/>
    <w:qFormat/>
    <w:uiPriority w:val="32"/>
    <w:rPr>
      <w:b/>
      <w:bCs/>
      <w:smallCaps/>
      <w:color w:val="0F4761"/>
      <w:spacing w:val="5"/>
    </w:rPr>
  </w:style>
  <w:style w:type="paragraph" w:customStyle="1" w:styleId="395">
    <w:name w:val="题注1"/>
    <w:basedOn w:val="1"/>
    <w:next w:val="1"/>
    <w:autoRedefine/>
    <w:unhideWhenUsed/>
    <w:qFormat/>
    <w:uiPriority w:val="35"/>
    <w:pPr>
      <w:spacing w:before="180" w:beforeLines="50" w:line="600" w:lineRule="exact"/>
      <w:jc w:val="center"/>
    </w:pPr>
    <w:rPr>
      <w:rFonts w:ascii="Times New Roman" w:hAnsi="Times New Roman" w:eastAsia="黑体"/>
      <w:sz w:val="22"/>
      <w:szCs w:val="22"/>
    </w:rPr>
  </w:style>
  <w:style w:type="paragraph" w:customStyle="1" w:styleId="396">
    <w:name w:val="题注2"/>
    <w:basedOn w:val="1"/>
    <w:next w:val="1"/>
    <w:unhideWhenUsed/>
    <w:qFormat/>
    <w:uiPriority w:val="35"/>
    <w:pPr>
      <w:topLinePunct/>
      <w:adjustRightInd w:val="0"/>
      <w:snapToGrid w:val="0"/>
      <w:spacing w:beforeLines="50"/>
      <w:jc w:val="center"/>
      <w:textAlignment w:val="center"/>
    </w:pPr>
    <w:rPr>
      <w:rFonts w:eastAsia="黑体"/>
      <w:sz w:val="22"/>
      <w:szCs w:val="22"/>
    </w:rPr>
  </w:style>
  <w:style w:type="table" w:customStyle="1" w:styleId="397">
    <w:name w:val="网格型12"/>
    <w:basedOn w:val="3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398">
    <w:name w:val="Intense Emphasis"/>
    <w:basedOn w:val="39"/>
    <w:qFormat/>
    <w:uiPriority w:val="21"/>
    <w:rPr>
      <w:i/>
      <w:iCs/>
      <w:color w:val="4472C4" w:themeColor="accent1"/>
      <w14:textFill>
        <w14:solidFill>
          <w14:schemeClr w14:val="accent1"/>
        </w14:solidFill>
      </w14:textFill>
    </w:rPr>
  </w:style>
  <w:style w:type="character" w:customStyle="1" w:styleId="399">
    <w:name w:val="Intense Reference"/>
    <w:basedOn w:val="39"/>
    <w:qFormat/>
    <w:uiPriority w:val="32"/>
    <w:rPr>
      <w:b/>
      <w:bCs/>
      <w:smallCaps/>
      <w:color w:val="4472C4" w:themeColor="accent1"/>
      <w:spacing w:val="5"/>
      <w14:textFill>
        <w14:solidFill>
          <w14:schemeClr w14:val="accent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53235E7B-D6F3-44FB-AD46-F4CF58564328}">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29</Pages>
  <Words>2845</Words>
  <Characters>16222</Characters>
  <Lines>135</Lines>
  <Paragraphs>38</Paragraphs>
  <TotalTime>117</TotalTime>
  <ScaleCrop>false</ScaleCrop>
  <LinksUpToDate>false</LinksUpToDate>
  <CharactersWithSpaces>19029</CharactersWithSpaces>
  <Application>WPS Office_12.8.2.18605_F1E327BC-269C-435d-A152-05C5408002CA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2025-11-30T14:26:00Z</dcterms:created>
  <dc:creator>道运中心</dc:creator>
  <cp:lastModifiedBy>user</cp:lastModifiedBy>
  <cp:lastPrinted>2022-12-02T14:08:00Z</cp:lastPrinted>
  <dcterms:modified xsi:type="dcterms:W3CDTF">2025-12-25T08:28:16Z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2052-12.8.2.18605</vt:lpwstr>
  </property>
  <property fmtid="{D5CDD505-2E9C-101B-9397-08002B2CF9AE}" pid="3" name="ICV">
    <vt:lpwstr>13A1FCD91380422F9313191C4F0025A1</vt:lpwstr>
  </property>
</Properties>
</file>