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rPr>
      </w:pPr>
    </w:p>
    <w:p>
      <w:pPr>
        <w:ind w:firstLine="0" w:firstLineChars="0"/>
        <w:jc w:val="center"/>
        <w:rPr>
          <w:rFonts w:hint="eastAsia" w:ascii="黑体" w:hAnsi="黑体" w:eastAsia="黑体"/>
          <w:sz w:val="48"/>
          <w:szCs w:val="48"/>
        </w:rPr>
      </w:pPr>
    </w:p>
    <w:p>
      <w:pPr>
        <w:pStyle w:val="2"/>
        <w:ind w:firstLine="960"/>
        <w:rPr>
          <w:rFonts w:hint="eastAsia" w:ascii="黑体" w:hAnsi="黑体" w:eastAsia="黑体"/>
          <w:sz w:val="48"/>
          <w:szCs w:val="48"/>
        </w:rPr>
      </w:pPr>
    </w:p>
    <w:p>
      <w:pPr>
        <w:pStyle w:val="2"/>
        <w:ind w:firstLine="960"/>
        <w:rPr>
          <w:rFonts w:hint="eastAsia" w:ascii="黑体" w:hAnsi="黑体" w:eastAsia="黑体"/>
          <w:sz w:val="48"/>
          <w:szCs w:val="48"/>
        </w:rPr>
      </w:pPr>
    </w:p>
    <w:p>
      <w:pPr>
        <w:pStyle w:val="2"/>
        <w:ind w:firstLine="960"/>
        <w:rPr>
          <w:rFonts w:hint="eastAsia" w:ascii="黑体" w:hAnsi="黑体" w:eastAsia="黑体"/>
          <w:sz w:val="48"/>
          <w:szCs w:val="48"/>
        </w:rPr>
      </w:pPr>
    </w:p>
    <w:p>
      <w:pPr>
        <w:ind w:firstLine="0" w:firstLineChars="0"/>
        <w:jc w:val="center"/>
        <w:rPr>
          <w:rFonts w:hint="eastAsia" w:ascii="黑体" w:hAnsi="黑体" w:eastAsia="黑体"/>
          <w:sz w:val="52"/>
          <w:szCs w:val="52"/>
        </w:rPr>
      </w:pPr>
      <w:r>
        <w:rPr>
          <w:rFonts w:hint="eastAsia" w:ascii="黑体" w:hAnsi="黑体" w:eastAsia="黑体"/>
          <w:sz w:val="52"/>
          <w:szCs w:val="52"/>
        </w:rPr>
        <w:t>城市基础设施建设与维护项目管理信息系统建设项目</w:t>
      </w:r>
    </w:p>
    <w:p>
      <w:pPr>
        <w:ind w:firstLine="0" w:firstLineChars="0"/>
        <w:jc w:val="center"/>
        <w:rPr>
          <w:rFonts w:hint="eastAsia" w:ascii="黑体" w:hAnsi="黑体" w:eastAsia="黑体"/>
          <w:sz w:val="52"/>
          <w:szCs w:val="52"/>
        </w:rPr>
      </w:pPr>
      <w:r>
        <w:rPr>
          <w:rFonts w:hint="eastAsia" w:ascii="黑体" w:hAnsi="黑体" w:eastAsia="黑体"/>
          <w:sz w:val="52"/>
          <w:szCs w:val="52"/>
        </w:rPr>
        <w:t>(2026年升级改造)</w:t>
      </w:r>
    </w:p>
    <w:p>
      <w:pPr>
        <w:ind w:firstLine="0" w:firstLineChars="0"/>
        <w:jc w:val="center"/>
        <w:rPr>
          <w:rFonts w:hint="eastAsia" w:ascii="黑体" w:hAnsi="黑体" w:eastAsia="黑体"/>
          <w:sz w:val="52"/>
          <w:szCs w:val="52"/>
        </w:rPr>
      </w:pPr>
      <w:r>
        <w:rPr>
          <w:rFonts w:hint="eastAsia" w:ascii="黑体" w:hAnsi="黑体" w:eastAsia="黑体"/>
          <w:sz w:val="52"/>
          <w:szCs w:val="52"/>
        </w:rPr>
        <w:t>采购需求</w:t>
      </w:r>
    </w:p>
    <w:p>
      <w:pPr>
        <w:ind w:firstLine="0" w:firstLineChars="0"/>
        <w:jc w:val="center"/>
        <w:rPr>
          <w:rFonts w:hint="eastAsia" w:ascii="黑体" w:hAnsi="黑体" w:eastAsia="黑体"/>
          <w:sz w:val="72"/>
          <w:szCs w:val="72"/>
        </w:rPr>
      </w:pPr>
    </w:p>
    <w:p>
      <w:pPr>
        <w:ind w:firstLine="0" w:firstLineChars="0"/>
        <w:jc w:val="center"/>
        <w:rPr>
          <w:rFonts w:hint="eastAsia" w:ascii="黑体" w:hAnsi="黑体" w:eastAsia="黑体"/>
          <w:sz w:val="48"/>
          <w:szCs w:val="48"/>
        </w:rPr>
      </w:pPr>
    </w:p>
    <w:p>
      <w:pPr>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3"/>
        <w:rPr>
          <w:rFonts w:hint="eastAsia"/>
        </w:rPr>
      </w:pPr>
      <w:bookmarkStart w:id="0" w:name="_Toc63785461"/>
      <w:r>
        <w:rPr>
          <w:rFonts w:hint="eastAsia"/>
        </w:rPr>
        <w:t>项目概况</w:t>
      </w:r>
      <w:bookmarkEnd w:id="0"/>
    </w:p>
    <w:p>
      <w:pPr>
        <w:spacing w:line="560" w:lineRule="exact"/>
        <w:rPr>
          <w:rFonts w:hint="eastAsia"/>
        </w:rPr>
      </w:pPr>
      <w:r>
        <w:rPr>
          <w:rFonts w:hint="eastAsia"/>
        </w:rPr>
        <w:t>1、项目背景：</w:t>
      </w:r>
    </w:p>
    <w:p>
      <w:pPr>
        <w:spacing w:line="560" w:lineRule="exact"/>
        <w:rPr>
          <w:rFonts w:hint="eastAsia"/>
        </w:rPr>
      </w:pPr>
      <w:r>
        <w:rPr>
          <w:rFonts w:hint="eastAsia"/>
        </w:rPr>
        <w:t>为深入贯彻落实党的二十大精神，全面践行人民城市理念，贯彻落实中共中央、国务院《数字中国建设整体布局规划》、住房城乡建设部《“数字住建”建设整体布局规划》与市委、市政府《关于全面推进数字化转型的意见》，持续推进本市住房城乡建设管理行业数字化转型工作，服务上海“五个中心”建设和长三角一体化发展战略，按照夯实基础、赋能全局、强化能力、优化环境的战略路径，全面提升住建行业数字化建设的整体性、系统性、协同性，以数字化驱动城市建设和治理方式变革，推动行业高质量发展，培育发展新质生产力，实现政府、社会和企业共建共治共享，为中国式现代化城市发展注入强大活力，上海市住房和城乡建设管理委员会印发《上海市住房和城乡建设管理行业数字化转型实施方案（2024-2026年）》。</w:t>
      </w:r>
    </w:p>
    <w:p>
      <w:pPr>
        <w:spacing w:line="560" w:lineRule="exact"/>
        <w:rPr>
          <w:rFonts w:hint="eastAsia"/>
        </w:rPr>
      </w:pPr>
      <w:r>
        <w:rPr>
          <w:rFonts w:hint="eastAsia"/>
        </w:rPr>
        <w:t>基于上述考虑，委综合计划处根据数字化转型实施方案内容和时间要求，以城市韧性安全为突破点，开展数字城市提升行动，升级完善上海城市基础设施建设与维护项目管理信息系统，实现城维项目全过程管理的业务功能。</w:t>
      </w:r>
    </w:p>
    <w:p>
      <w:pPr>
        <w:spacing w:line="560" w:lineRule="exact"/>
        <w:rPr>
          <w:rFonts w:hint="eastAsia"/>
        </w:rPr>
      </w:pPr>
      <w:r>
        <w:rPr>
          <w:rFonts w:hint="eastAsia"/>
        </w:rPr>
        <w:t>2、项目现状：</w:t>
      </w:r>
    </w:p>
    <w:p>
      <w:pPr>
        <w:spacing w:line="560" w:lineRule="exact"/>
        <w:rPr>
          <w:rFonts w:hint="eastAsia"/>
        </w:rPr>
      </w:pPr>
      <w:r>
        <w:t>城市基础设施建设与维护项目管理信息系统于2010年完成建设并投入运行使用。该平台为实现本市城市基础设施维护项目统一管理、系统统筹、协调平衡，提升本市基础设施维护项目的整体管理水平，提供信息和技术支撑，建立了城维项目数据库、项目管理应用。其中项目管理应用主要包括：建设储备项目管理、城市维护项目管理和城市维护项目考核评估管理。</w:t>
      </w:r>
    </w:p>
    <w:p>
      <w:pPr>
        <w:spacing w:line="560" w:lineRule="exact"/>
        <w:rPr>
          <w:rFonts w:hint="eastAsia"/>
        </w:rPr>
      </w:pPr>
      <w:r>
        <w:rPr>
          <w:rFonts w:hint="eastAsia"/>
        </w:rPr>
        <w:t>建设期限：自合同签订之日起至2026年11月30日</w:t>
      </w:r>
    </w:p>
    <w:p>
      <w:pPr>
        <w:spacing w:line="560" w:lineRule="exact"/>
        <w:rPr>
          <w:rFonts w:hint="eastAsia"/>
        </w:rPr>
      </w:pPr>
      <w:r>
        <w:rPr>
          <w:rFonts w:hint="eastAsia"/>
        </w:rPr>
        <w:t>建设地点：上海市黄浦区大沽路100号</w:t>
      </w:r>
    </w:p>
    <w:p>
      <w:pPr>
        <w:spacing w:line="560" w:lineRule="exact"/>
        <w:rPr>
          <w:rFonts w:hint="eastAsia"/>
        </w:rPr>
      </w:pPr>
      <w:r>
        <w:rPr>
          <w:rFonts w:hint="eastAsia"/>
        </w:rPr>
        <w:t>预算金额：1,375,000元</w:t>
      </w:r>
    </w:p>
    <w:p>
      <w:pPr>
        <w:spacing w:line="560" w:lineRule="exact"/>
        <w:rPr>
          <w:rFonts w:hint="eastAsia"/>
        </w:rPr>
      </w:pPr>
      <w:r>
        <w:rPr>
          <w:rFonts w:hint="eastAsia"/>
        </w:rPr>
        <w:t>当年度预算金额：1,375,000元</w:t>
      </w:r>
    </w:p>
    <w:p>
      <w:pPr>
        <w:spacing w:line="560" w:lineRule="exact"/>
        <w:rPr>
          <w:rFonts w:hint="eastAsia"/>
        </w:rPr>
      </w:pPr>
      <w:r>
        <w:rPr>
          <w:rFonts w:hint="eastAsia"/>
        </w:rPr>
        <w:t>采购金额（最高限价）：1,375,000元</w:t>
      </w:r>
    </w:p>
    <w:p>
      <w:pPr>
        <w:rPr>
          <w:rFonts w:hint="eastAsia"/>
        </w:rPr>
      </w:pPr>
      <w:r>
        <w:rPr>
          <w:rFonts w:hint="eastAsia"/>
        </w:rPr>
        <w:t>组织形式：集中采购</w:t>
      </w:r>
    </w:p>
    <w:p>
      <w:pPr>
        <w:rPr>
          <w:rFonts w:hint="eastAsia"/>
        </w:rPr>
      </w:pPr>
      <w:r>
        <w:rPr>
          <w:rFonts w:hint="eastAsia"/>
        </w:rPr>
        <w:t>采购人式：竞争性磋商</w:t>
      </w:r>
    </w:p>
    <w:p>
      <w:pPr>
        <w:rPr>
          <w:rFonts w:hint="eastAsia"/>
        </w:rPr>
      </w:pPr>
      <w:r>
        <w:rPr>
          <w:rFonts w:hint="eastAsia"/>
        </w:rPr>
        <w:t>是否接受联合体</w:t>
      </w:r>
      <w:r>
        <w:rPr>
          <w:rFonts w:hint="eastAsia"/>
          <w:lang w:eastAsia="zh-CN"/>
        </w:rPr>
        <w:t>响应</w:t>
      </w:r>
      <w:r>
        <w:rPr>
          <w:rFonts w:hint="eastAsia"/>
        </w:rPr>
        <w:t>：否</w:t>
      </w:r>
    </w:p>
    <w:p>
      <w:pPr>
        <w:rPr>
          <w:rFonts w:hint="eastAsia"/>
        </w:rPr>
      </w:pPr>
      <w:r>
        <w:t>是否按</w:t>
      </w:r>
      <w:r>
        <w:rPr>
          <w:rFonts w:hint="eastAsia"/>
        </w:rPr>
        <w:t>XC</w:t>
      </w:r>
      <w:r>
        <w:t>要求建设：是</w:t>
      </w:r>
    </w:p>
    <w:p>
      <w:pPr>
        <w:tabs>
          <w:tab w:val="left" w:pos="3120"/>
        </w:tabs>
        <w:rPr>
          <w:rFonts w:hint="eastAsia"/>
        </w:rPr>
      </w:pPr>
      <w:r>
        <w:rPr>
          <w:rFonts w:hint="eastAsia"/>
        </w:rPr>
        <w:t>是否采用低代码建设：否</w:t>
      </w:r>
    </w:p>
    <w:p>
      <w:pPr>
        <w:rPr>
          <w:rFonts w:hint="eastAsia"/>
        </w:rPr>
      </w:pPr>
      <w:r>
        <w:rPr>
          <w:rFonts w:hint="eastAsia"/>
        </w:rPr>
        <w:t>运维后所属大系统：市住建委综合业务管理平台</w:t>
      </w:r>
    </w:p>
    <w:p>
      <w:pPr>
        <w:pStyle w:val="3"/>
        <w:rPr>
          <w:rFonts w:hint="eastAsia"/>
        </w:rPr>
      </w:pPr>
      <w:bookmarkStart w:id="1" w:name="_Toc47533256"/>
      <w:bookmarkEnd w:id="1"/>
      <w:bookmarkStart w:id="2" w:name="_Toc47531634"/>
      <w:bookmarkEnd w:id="2"/>
      <w:bookmarkStart w:id="3" w:name="_Toc47539070"/>
      <w:bookmarkEnd w:id="3"/>
      <w:bookmarkStart w:id="4" w:name="_Toc47536644"/>
      <w:bookmarkEnd w:id="4"/>
      <w:bookmarkStart w:id="5" w:name="_Toc47537134"/>
      <w:bookmarkEnd w:id="5"/>
      <w:bookmarkStart w:id="6" w:name="_Toc47532255"/>
      <w:bookmarkEnd w:id="6"/>
      <w:bookmarkStart w:id="7" w:name="_Toc47532891"/>
      <w:bookmarkEnd w:id="7"/>
      <w:bookmarkStart w:id="8" w:name="_Toc47536272"/>
      <w:bookmarkEnd w:id="8"/>
      <w:bookmarkStart w:id="9" w:name="_Toc63785463"/>
      <w:bookmarkStart w:id="10" w:name="_Toc48223882"/>
      <w:r>
        <w:rPr>
          <w:rFonts w:hint="eastAsia"/>
        </w:rPr>
        <w:t>建设目标</w:t>
      </w:r>
      <w:bookmarkEnd w:id="9"/>
      <w:bookmarkEnd w:id="10"/>
    </w:p>
    <w:p>
      <w:pPr>
        <w:spacing w:line="560" w:lineRule="exact"/>
        <w:rPr>
          <w:rFonts w:hint="eastAsia"/>
        </w:rPr>
      </w:pPr>
      <w:r>
        <w:rPr>
          <w:rFonts w:hint="eastAsia"/>
        </w:rPr>
        <w:t>围绕城市设施维护管理的全生命周期构建智能化管理平台，涵盖规划编制、资源统筹、过程监管到绩效评估的全链条业务体系，按照"安全重构、集约赋能、密码护航、数据传承"四大核心，打造国产化适配、全流程可控、全周期贯通的城市基础设施建设与维护项目管理信息系统。通过业务流程再造与数字技术深度融合，形成"规划-项目-资金-实施-评价"的闭环管理体系，全面提升城市设施维护的精细化管理水平。</w:t>
      </w:r>
    </w:p>
    <w:p>
      <w:pPr>
        <w:spacing w:line="560" w:lineRule="exact"/>
        <w:rPr>
          <w:rFonts w:hint="eastAsia"/>
        </w:rPr>
      </w:pPr>
      <w:r>
        <w:rPr>
          <w:rFonts w:hint="eastAsia"/>
        </w:rPr>
        <w:t xml:space="preserve">具体目标如下： </w:t>
      </w:r>
    </w:p>
    <w:p>
      <w:pPr>
        <w:spacing w:line="560" w:lineRule="exact"/>
        <w:rPr>
          <w:rFonts w:hint="eastAsia"/>
        </w:rPr>
      </w:pPr>
      <w:r>
        <w:rPr>
          <w:rFonts w:hint="eastAsia"/>
        </w:rPr>
        <w:t>（1）安全重构，XC合规改造;完成系统全栈国产化改造（操作系统、数据库、中间件等），确保符合XC安全保护及密码应用要求，实现关键业务模块在国产化环境下稳定运行；优化项目全周期管理流程，强化预算动态调整、资金合规申请等核心功能，提升政务资源配置精准性。</w:t>
      </w:r>
    </w:p>
    <w:p>
      <w:pPr>
        <w:spacing w:line="560" w:lineRule="exact"/>
        <w:rPr>
          <w:rFonts w:hint="eastAsia"/>
        </w:rPr>
      </w:pPr>
      <w:r>
        <w:rPr>
          <w:rFonts w:hint="eastAsia"/>
        </w:rPr>
        <w:t>（2）集约赋能，支撑平台建设;基于"六个统一"原则（标准、接口、数据等），抽取用户管理、权限控制、流程引擎等共性服务，构建可复用的系统支撑平台，降低多系统协同复杂度；集成行业政策规则库，实现预算编制与资金申请自动合规校验，减少人工干预风险。</w:t>
      </w:r>
    </w:p>
    <w:p>
      <w:pPr>
        <w:spacing w:line="560" w:lineRule="exact"/>
        <w:rPr>
          <w:rFonts w:hint="eastAsia"/>
        </w:rPr>
      </w:pPr>
      <w:r>
        <w:rPr>
          <w:rFonts w:hint="eastAsia"/>
        </w:rPr>
        <w:t>（3）密码护航，安全体系升级;采用国产密码算法，覆盖身份认证、数据传输、存储加密等环节，构建"四重防护"（身份可信、网络隔离、数据保密、操作留痕），通过国家密码管理局合规性测评；建立密码应用态势感知模块，实时监控密钥管理、加密设备运行状态，确保系统安全闭环。</w:t>
      </w:r>
    </w:p>
    <w:p>
      <w:pPr>
        <w:spacing w:line="560" w:lineRule="exact"/>
        <w:rPr>
          <w:rFonts w:hint="eastAsia"/>
        </w:rPr>
      </w:pPr>
      <w:r>
        <w:rPr>
          <w:rFonts w:hint="eastAsia"/>
        </w:rPr>
        <w:t>（4）数据传承，实现迁移与治理;通过基础数据全量迁移、业务数据逻辑清洗等分级分类迁移策略，实现10年历史数据99%以上完整迁移，保障业务连续性；构建项目主题数据库，打通与财政、审计部门的数据接口，为城市基础设施效能分析提供数据支撑。</w:t>
      </w:r>
    </w:p>
    <w:p>
      <w:pPr>
        <w:spacing w:line="560" w:lineRule="exact"/>
        <w:rPr>
          <w:rFonts w:hint="eastAsia"/>
        </w:rPr>
      </w:pPr>
      <w:r>
        <w:rPr>
          <w:rFonts w:hint="eastAsia"/>
        </w:rPr>
        <w:t>本项目应实现的产出指标及应用指标如下：</w:t>
      </w:r>
    </w:p>
    <w:tbl>
      <w:tblPr>
        <w:tblStyle w:val="35"/>
        <w:tblW w:w="7837" w:type="dxa"/>
        <w:tblInd w:w="113" w:type="dxa"/>
        <w:tblLayout w:type="autofit"/>
        <w:tblCellMar>
          <w:top w:w="0" w:type="dxa"/>
          <w:left w:w="108" w:type="dxa"/>
          <w:bottom w:w="0" w:type="dxa"/>
          <w:right w:w="108" w:type="dxa"/>
        </w:tblCellMar>
      </w:tblPr>
      <w:tblGrid>
        <w:gridCol w:w="641"/>
        <w:gridCol w:w="964"/>
        <w:gridCol w:w="1242"/>
        <w:gridCol w:w="1692"/>
        <w:gridCol w:w="2270"/>
        <w:gridCol w:w="1028"/>
      </w:tblGrid>
      <w:tr>
        <w:tblPrEx>
          <w:tblCellMar>
            <w:top w:w="0" w:type="dxa"/>
            <w:left w:w="108" w:type="dxa"/>
            <w:bottom w:w="0" w:type="dxa"/>
            <w:right w:w="108" w:type="dxa"/>
          </w:tblCellMar>
        </w:tblPrEx>
        <w:trPr>
          <w:trHeight w:val="576" w:hRule="atLeast"/>
        </w:trPr>
        <w:tc>
          <w:tcPr>
            <w:tcW w:w="60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b/>
                <w:bCs/>
                <w:color w:val="000000"/>
                <w:kern w:val="0"/>
                <w:sz w:val="21"/>
                <w:szCs w:val="21"/>
              </w:rPr>
            </w:pPr>
            <w:r>
              <w:rPr>
                <w:rFonts w:hint="eastAsia" w:ascii="仿宋" w:hAnsi="仿宋" w:eastAsia="仿宋" w:cs="宋体"/>
                <w:b/>
                <w:bCs/>
                <w:color w:val="000000"/>
                <w:kern w:val="0"/>
                <w:sz w:val="21"/>
                <w:szCs w:val="21"/>
              </w:rPr>
              <w:t>序号</w:t>
            </w:r>
          </w:p>
        </w:tc>
        <w:tc>
          <w:tcPr>
            <w:tcW w:w="90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b/>
                <w:bCs/>
                <w:color w:val="000000"/>
                <w:kern w:val="0"/>
                <w:sz w:val="21"/>
                <w:szCs w:val="21"/>
              </w:rPr>
            </w:pPr>
            <w:r>
              <w:rPr>
                <w:rFonts w:hint="eastAsia" w:ascii="仿宋" w:hAnsi="仿宋" w:eastAsia="仿宋" w:cs="宋体"/>
                <w:b/>
                <w:bCs/>
                <w:color w:val="000000"/>
                <w:kern w:val="0"/>
                <w:sz w:val="21"/>
                <w:szCs w:val="21"/>
              </w:rPr>
              <w:t>一级指标</w:t>
            </w:r>
          </w:p>
        </w:tc>
        <w:tc>
          <w:tcPr>
            <w:tcW w:w="116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b/>
                <w:bCs/>
                <w:color w:val="000000"/>
                <w:kern w:val="0"/>
                <w:sz w:val="21"/>
                <w:szCs w:val="21"/>
              </w:rPr>
            </w:pPr>
            <w:r>
              <w:rPr>
                <w:rFonts w:hint="eastAsia" w:ascii="仿宋" w:hAnsi="仿宋" w:eastAsia="仿宋" w:cs="宋体"/>
                <w:b/>
                <w:bCs/>
                <w:color w:val="000000"/>
                <w:kern w:val="0"/>
                <w:sz w:val="21"/>
                <w:szCs w:val="21"/>
              </w:rPr>
              <w:t>二级指标</w:t>
            </w:r>
          </w:p>
        </w:tc>
        <w:tc>
          <w:tcPr>
            <w:tcW w:w="158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b/>
                <w:bCs/>
                <w:color w:val="000000"/>
                <w:kern w:val="0"/>
                <w:sz w:val="21"/>
                <w:szCs w:val="21"/>
              </w:rPr>
            </w:pPr>
            <w:r>
              <w:rPr>
                <w:rFonts w:hint="eastAsia" w:ascii="仿宋" w:hAnsi="仿宋" w:eastAsia="仿宋" w:cs="宋体"/>
                <w:b/>
                <w:bCs/>
                <w:color w:val="000000"/>
                <w:kern w:val="0"/>
                <w:sz w:val="21"/>
                <w:szCs w:val="21"/>
              </w:rPr>
              <w:t>三级指标</w:t>
            </w:r>
          </w:p>
        </w:tc>
        <w:tc>
          <w:tcPr>
            <w:tcW w:w="212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b/>
                <w:bCs/>
                <w:color w:val="000000"/>
                <w:kern w:val="0"/>
                <w:sz w:val="21"/>
                <w:szCs w:val="21"/>
              </w:rPr>
            </w:pPr>
            <w:r>
              <w:rPr>
                <w:rFonts w:hint="eastAsia" w:ascii="仿宋" w:hAnsi="仿宋" w:eastAsia="仿宋" w:cs="宋体"/>
                <w:b/>
                <w:bCs/>
                <w:color w:val="000000"/>
                <w:kern w:val="0"/>
                <w:sz w:val="21"/>
                <w:szCs w:val="21"/>
              </w:rPr>
              <w:t>四级指标</w:t>
            </w:r>
          </w:p>
        </w:tc>
        <w:tc>
          <w:tcPr>
            <w:tcW w:w="96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b/>
                <w:bCs/>
                <w:color w:val="000000"/>
                <w:kern w:val="0"/>
                <w:sz w:val="21"/>
                <w:szCs w:val="21"/>
              </w:rPr>
            </w:pPr>
            <w:r>
              <w:rPr>
                <w:rFonts w:hint="eastAsia" w:ascii="仿宋" w:hAnsi="仿宋" w:eastAsia="仿宋" w:cs="宋体"/>
                <w:b/>
                <w:bCs/>
                <w:color w:val="000000"/>
                <w:kern w:val="0"/>
                <w:sz w:val="21"/>
                <w:szCs w:val="21"/>
              </w:rPr>
              <w:t>指标值</w:t>
            </w:r>
          </w:p>
        </w:tc>
      </w:tr>
      <w:tr>
        <w:tblPrEx>
          <w:tblCellMar>
            <w:top w:w="0" w:type="dxa"/>
            <w:left w:w="108" w:type="dxa"/>
            <w:bottom w:w="0" w:type="dxa"/>
            <w:right w:w="108" w:type="dxa"/>
          </w:tblCellMar>
        </w:tblPrEx>
        <w:trPr>
          <w:trHeight w:val="288"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1</w:t>
            </w:r>
          </w:p>
        </w:tc>
        <w:tc>
          <w:tcPr>
            <w:tcW w:w="90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业务绩效目标</w:t>
            </w:r>
          </w:p>
        </w:tc>
        <w:tc>
          <w:tcPr>
            <w:tcW w:w="116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产出指标</w:t>
            </w:r>
          </w:p>
        </w:tc>
        <w:tc>
          <w:tcPr>
            <w:tcW w:w="158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产出质量</w:t>
            </w: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一次性验收合格率</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100%</w:t>
            </w:r>
          </w:p>
        </w:tc>
      </w:tr>
      <w:tr>
        <w:tblPrEx>
          <w:tblCellMar>
            <w:top w:w="0" w:type="dxa"/>
            <w:left w:w="108" w:type="dxa"/>
            <w:bottom w:w="0" w:type="dxa"/>
            <w:right w:w="108" w:type="dxa"/>
          </w:tblCellMar>
        </w:tblPrEx>
        <w:trPr>
          <w:trHeight w:val="576"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2</w:t>
            </w:r>
          </w:p>
        </w:tc>
        <w:tc>
          <w:tcPr>
            <w:tcW w:w="9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1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5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数据安全事件发生次数</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0</w:t>
            </w:r>
            <w:r>
              <w:rPr>
                <w:rFonts w:hint="eastAsia" w:ascii="Times New Roman" w:hAnsi="Times New Roman" w:eastAsia="等线"/>
                <w:color w:val="000000"/>
                <w:kern w:val="0"/>
                <w:sz w:val="21"/>
                <w:szCs w:val="21"/>
              </w:rPr>
              <w:t>次</w:t>
            </w:r>
          </w:p>
        </w:tc>
      </w:tr>
      <w:tr>
        <w:tblPrEx>
          <w:tblCellMar>
            <w:top w:w="0" w:type="dxa"/>
            <w:left w:w="108" w:type="dxa"/>
            <w:bottom w:w="0" w:type="dxa"/>
            <w:right w:w="108" w:type="dxa"/>
          </w:tblCellMar>
        </w:tblPrEx>
        <w:trPr>
          <w:trHeight w:val="288"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3</w:t>
            </w:r>
          </w:p>
        </w:tc>
        <w:tc>
          <w:tcPr>
            <w:tcW w:w="9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1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58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产出时效</w:t>
            </w: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项目建设周期</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≤10个月</w:t>
            </w:r>
          </w:p>
        </w:tc>
      </w:tr>
      <w:tr>
        <w:tblPrEx>
          <w:tblCellMar>
            <w:top w:w="0" w:type="dxa"/>
            <w:left w:w="108" w:type="dxa"/>
            <w:bottom w:w="0" w:type="dxa"/>
            <w:right w:w="108" w:type="dxa"/>
          </w:tblCellMar>
        </w:tblPrEx>
        <w:trPr>
          <w:trHeight w:val="576"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4</w:t>
            </w:r>
          </w:p>
        </w:tc>
        <w:tc>
          <w:tcPr>
            <w:tcW w:w="9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1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应用系统</w:t>
            </w:r>
          </w:p>
        </w:tc>
        <w:tc>
          <w:tcPr>
            <w:tcW w:w="158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用户使用情况</w:t>
            </w: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系统用户量</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不少于</w:t>
            </w:r>
            <w:r>
              <w:rPr>
                <w:rFonts w:hint="eastAsia" w:ascii="Times New Roman" w:hAnsi="Times New Roman" w:eastAsia="仿宋"/>
                <w:color w:val="000000"/>
                <w:kern w:val="0"/>
                <w:sz w:val="21"/>
                <w:szCs w:val="21"/>
              </w:rPr>
              <w:t>20</w:t>
            </w:r>
            <w:r>
              <w:rPr>
                <w:rFonts w:hint="eastAsia" w:ascii="仿宋" w:hAnsi="仿宋" w:eastAsia="仿宋" w:cs="宋体"/>
                <w:color w:val="000000"/>
                <w:kern w:val="0"/>
                <w:sz w:val="21"/>
                <w:szCs w:val="21"/>
              </w:rPr>
              <w:t>人</w:t>
            </w:r>
          </w:p>
        </w:tc>
      </w:tr>
      <w:tr>
        <w:tblPrEx>
          <w:tblCellMar>
            <w:top w:w="0" w:type="dxa"/>
            <w:left w:w="108" w:type="dxa"/>
            <w:bottom w:w="0" w:type="dxa"/>
            <w:right w:w="108" w:type="dxa"/>
          </w:tblCellMar>
        </w:tblPrEx>
        <w:trPr>
          <w:trHeight w:val="288"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5</w:t>
            </w:r>
          </w:p>
        </w:tc>
        <w:tc>
          <w:tcPr>
            <w:tcW w:w="90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技术绩效</w:t>
            </w:r>
          </w:p>
        </w:tc>
        <w:tc>
          <w:tcPr>
            <w:tcW w:w="116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产出指标</w:t>
            </w:r>
          </w:p>
        </w:tc>
        <w:tc>
          <w:tcPr>
            <w:tcW w:w="158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产出数量</w:t>
            </w: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软件开发完成率</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100%</w:t>
            </w:r>
          </w:p>
        </w:tc>
      </w:tr>
      <w:tr>
        <w:tblPrEx>
          <w:tblCellMar>
            <w:top w:w="0" w:type="dxa"/>
            <w:left w:w="108" w:type="dxa"/>
            <w:bottom w:w="0" w:type="dxa"/>
            <w:right w:w="108" w:type="dxa"/>
          </w:tblCellMar>
        </w:tblPrEx>
        <w:trPr>
          <w:trHeight w:val="288"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6</w:t>
            </w:r>
          </w:p>
        </w:tc>
        <w:tc>
          <w:tcPr>
            <w:tcW w:w="9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1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58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产出质量</w:t>
            </w: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系统可靠性</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hint="eastAsia" w:ascii="Times New Roman" w:hAnsi="Times New Roman" w:eastAsia="等线"/>
                <w:color w:val="000000"/>
                <w:kern w:val="0"/>
                <w:sz w:val="21"/>
                <w:szCs w:val="21"/>
              </w:rPr>
              <w:t>≥</w:t>
            </w:r>
            <w:r>
              <w:rPr>
                <w:rFonts w:ascii="Times New Roman" w:hAnsi="Times New Roman" w:eastAsia="等线"/>
                <w:color w:val="000000"/>
                <w:kern w:val="0"/>
                <w:sz w:val="21"/>
                <w:szCs w:val="21"/>
              </w:rPr>
              <w:t>9</w:t>
            </w:r>
            <w:r>
              <w:rPr>
                <w:rFonts w:hint="eastAsia" w:ascii="Times New Roman" w:hAnsi="Times New Roman" w:eastAsia="等线"/>
                <w:color w:val="000000"/>
                <w:kern w:val="0"/>
                <w:sz w:val="21"/>
                <w:szCs w:val="21"/>
              </w:rPr>
              <w:t>8</w:t>
            </w:r>
            <w:r>
              <w:rPr>
                <w:rFonts w:ascii="Times New Roman" w:hAnsi="Times New Roman" w:eastAsia="等线"/>
                <w:color w:val="000000"/>
                <w:kern w:val="0"/>
                <w:sz w:val="21"/>
                <w:szCs w:val="21"/>
              </w:rPr>
              <w:t>%</w:t>
            </w:r>
          </w:p>
        </w:tc>
      </w:tr>
      <w:tr>
        <w:tblPrEx>
          <w:tblCellMar>
            <w:top w:w="0" w:type="dxa"/>
            <w:left w:w="108" w:type="dxa"/>
            <w:bottom w:w="0" w:type="dxa"/>
            <w:right w:w="108" w:type="dxa"/>
          </w:tblCellMar>
        </w:tblPrEx>
        <w:trPr>
          <w:trHeight w:val="288"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7</w:t>
            </w:r>
          </w:p>
        </w:tc>
        <w:tc>
          <w:tcPr>
            <w:tcW w:w="9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1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5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软件测试达标</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hint="eastAsia" w:ascii="Times New Roman" w:hAnsi="Times New Roman" w:eastAsia="等线"/>
                <w:color w:val="000000"/>
                <w:kern w:val="0"/>
                <w:sz w:val="21"/>
                <w:szCs w:val="21"/>
              </w:rPr>
              <w:t>通过</w:t>
            </w:r>
          </w:p>
        </w:tc>
      </w:tr>
      <w:tr>
        <w:tblPrEx>
          <w:tblCellMar>
            <w:top w:w="0" w:type="dxa"/>
            <w:left w:w="108" w:type="dxa"/>
            <w:bottom w:w="0" w:type="dxa"/>
            <w:right w:w="108" w:type="dxa"/>
          </w:tblCellMar>
        </w:tblPrEx>
        <w:trPr>
          <w:trHeight w:val="288"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8</w:t>
            </w:r>
          </w:p>
        </w:tc>
        <w:tc>
          <w:tcPr>
            <w:tcW w:w="9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1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5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密码测试达标</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hint="eastAsia" w:ascii="Times New Roman" w:hAnsi="Times New Roman" w:eastAsia="等线"/>
                <w:color w:val="000000"/>
                <w:kern w:val="0"/>
                <w:sz w:val="21"/>
                <w:szCs w:val="21"/>
              </w:rPr>
              <w:t>通过</w:t>
            </w:r>
          </w:p>
        </w:tc>
      </w:tr>
      <w:tr>
        <w:tblPrEx>
          <w:tblCellMar>
            <w:top w:w="0" w:type="dxa"/>
            <w:left w:w="108" w:type="dxa"/>
            <w:bottom w:w="0" w:type="dxa"/>
            <w:right w:w="108" w:type="dxa"/>
          </w:tblCellMar>
        </w:tblPrEx>
        <w:trPr>
          <w:trHeight w:val="288" w:hRule="atLeast"/>
        </w:trPr>
        <w:tc>
          <w:tcPr>
            <w:tcW w:w="60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ascii="Times New Roman" w:hAnsi="Times New Roman" w:eastAsia="等线"/>
                <w:color w:val="000000"/>
                <w:kern w:val="0"/>
                <w:sz w:val="21"/>
                <w:szCs w:val="21"/>
              </w:rPr>
              <w:t>9</w:t>
            </w:r>
          </w:p>
        </w:tc>
        <w:tc>
          <w:tcPr>
            <w:tcW w:w="90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16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15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left"/>
              <w:rPr>
                <w:rFonts w:hint="eastAsia" w:ascii="仿宋" w:hAnsi="仿宋" w:eastAsia="仿宋" w:cs="宋体"/>
                <w:color w:val="000000"/>
                <w:kern w:val="0"/>
                <w:sz w:val="21"/>
                <w:szCs w:val="21"/>
              </w:rPr>
            </w:pP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仿宋" w:hAnsi="仿宋" w:eastAsia="仿宋" w:cs="宋体"/>
                <w:color w:val="000000"/>
                <w:kern w:val="0"/>
                <w:sz w:val="21"/>
                <w:szCs w:val="21"/>
              </w:rPr>
            </w:pPr>
            <w:r>
              <w:rPr>
                <w:rFonts w:hint="eastAsia" w:ascii="仿宋" w:hAnsi="仿宋" w:eastAsia="仿宋" w:cs="宋体"/>
                <w:color w:val="000000"/>
                <w:kern w:val="0"/>
                <w:sz w:val="21"/>
                <w:szCs w:val="21"/>
              </w:rPr>
              <w:t>安全测试达标</w:t>
            </w:r>
          </w:p>
        </w:tc>
        <w:tc>
          <w:tcPr>
            <w:tcW w:w="96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Times New Roman" w:hAnsi="Times New Roman" w:eastAsia="等线"/>
                <w:color w:val="000000"/>
                <w:kern w:val="0"/>
                <w:sz w:val="21"/>
                <w:szCs w:val="21"/>
              </w:rPr>
            </w:pPr>
            <w:r>
              <w:rPr>
                <w:rFonts w:hint="eastAsia" w:ascii="Times New Roman" w:hAnsi="Times New Roman" w:eastAsia="等线"/>
                <w:color w:val="000000"/>
                <w:kern w:val="0"/>
                <w:sz w:val="21"/>
                <w:szCs w:val="21"/>
              </w:rPr>
              <w:t>通过</w:t>
            </w:r>
          </w:p>
        </w:tc>
      </w:tr>
    </w:tbl>
    <w:p>
      <w:pPr>
        <w:pStyle w:val="3"/>
        <w:rPr>
          <w:rFonts w:hint="eastAsia"/>
        </w:rPr>
      </w:pPr>
      <w:bookmarkStart w:id="11" w:name="_Toc47536676"/>
      <w:bookmarkEnd w:id="11"/>
      <w:bookmarkStart w:id="12" w:name="_Toc47536304"/>
      <w:bookmarkEnd w:id="12"/>
      <w:bookmarkStart w:id="13" w:name="_Toc47539102"/>
      <w:bookmarkEnd w:id="13"/>
      <w:bookmarkStart w:id="14" w:name="_Toc47532923"/>
      <w:bookmarkEnd w:id="14"/>
      <w:bookmarkStart w:id="15" w:name="_Toc47537166"/>
      <w:bookmarkEnd w:id="15"/>
      <w:bookmarkStart w:id="16" w:name="_Toc47533288"/>
      <w:bookmarkEnd w:id="16"/>
      <w:r>
        <w:rPr>
          <w:rFonts w:hint="eastAsia"/>
        </w:rPr>
        <w:t>项目建设内容</w:t>
      </w:r>
    </w:p>
    <w:p>
      <w:pPr>
        <w:pStyle w:val="4"/>
        <w:rPr>
          <w:rFonts w:hint="eastAsia"/>
        </w:rPr>
      </w:pPr>
      <w:r>
        <w:rPr>
          <w:rFonts w:hint="eastAsia"/>
        </w:rPr>
        <w:t>系统架构及部署环境</w:t>
      </w:r>
    </w:p>
    <w:p>
      <w:pPr>
        <w:pStyle w:val="2"/>
        <w:spacing w:line="360" w:lineRule="auto"/>
        <w:ind w:firstLine="480"/>
        <w:rPr>
          <w:rFonts w:hint="eastAsia" w:ascii="宋体" w:hAnsi="宋体" w:cs="宋体"/>
          <w:sz w:val="24"/>
        </w:rPr>
      </w:pPr>
      <w:r>
        <w:rPr>
          <w:rFonts w:hint="eastAsia" w:ascii="宋体" w:hAnsi="宋体" w:cs="宋体"/>
          <w:sz w:val="24"/>
        </w:rPr>
        <w:t>本项目的相关应用服务器及数据库服务器主要部署在市电子政务云平台的政务外网区，需符合XC要求。</w:t>
      </w:r>
    </w:p>
    <w:p>
      <w:pPr>
        <w:pStyle w:val="2"/>
        <w:spacing w:line="360" w:lineRule="auto"/>
        <w:ind w:firstLine="480"/>
        <w:rPr>
          <w:rFonts w:hint="eastAsia" w:ascii="宋体" w:hAnsi="宋体" w:cs="宋体"/>
          <w:sz w:val="24"/>
        </w:rPr>
      </w:pPr>
      <w:r>
        <w:rPr>
          <w:rFonts w:hint="eastAsia" w:ascii="宋体" w:hAnsi="宋体" w:cs="宋体"/>
          <w:sz w:val="24"/>
        </w:rPr>
        <w:t>城市基础设施建设与维护项目管理信息系统的总体架构需遵循分层设计理念，共划分为五个层级，以实现系统的稳定性、安全性、可扩展性与业务协同性。第一层为基础设施层，系统应依托上海市电子政务云（XC云）所提供的基础设施运行，确保基础环境安全可靠；第二层为数据层，数据层作为平台数据核心存储区域，集中存放全市城市维护项目相关的全量业务数据，构建统一、规范的数据资源体系；第三层为服务层，该层承担系统“核心枢纽”角色，实现各业务模块之间的高效通信与协同。同时，内嵌多重安全控制与数据保障机制，确保业务流转安全、稳定；第四层为应用层，以业务主题为导向，整合形成各类功能模块与应用场景，灵活响应不同上层业务与管理需求，为项目全生命周期管理提供具体的信息化功能支持；第五层为用户层，根据系统使用主体与业务需求，平台主要面向市级与区级管理单位、各行业预算管理单位等多类用户，提供分级分权、界面统一的访问与服务入口。</w:t>
      </w:r>
    </w:p>
    <w:p>
      <w:pPr>
        <w:pStyle w:val="4"/>
        <w:rPr>
          <w:rFonts w:hint="eastAsia" w:cs="宋体"/>
          <w:szCs w:val="30"/>
        </w:rPr>
      </w:pPr>
      <w:r>
        <w:rPr>
          <w:rFonts w:hint="eastAsia" w:cs="宋体"/>
          <w:szCs w:val="30"/>
        </w:rPr>
        <w:t>主要建设内容</w:t>
      </w:r>
    </w:p>
    <w:p>
      <w:pPr>
        <w:ind w:firstLine="482"/>
        <w:rPr>
          <w:rFonts w:hint="eastAsia"/>
          <w:b/>
        </w:rPr>
      </w:pPr>
      <w:r>
        <w:rPr>
          <w:rFonts w:hint="eastAsia"/>
          <w:b/>
        </w:rPr>
        <w:t>1、软件开发清单：</w:t>
      </w:r>
    </w:p>
    <w:tbl>
      <w:tblPr>
        <w:tblStyle w:val="35"/>
        <w:tblW w:w="4998" w:type="pct"/>
        <w:tblInd w:w="0" w:type="dxa"/>
        <w:tblLayout w:type="autofit"/>
        <w:tblCellMar>
          <w:top w:w="0" w:type="dxa"/>
          <w:left w:w="108" w:type="dxa"/>
          <w:bottom w:w="0" w:type="dxa"/>
          <w:right w:w="108" w:type="dxa"/>
        </w:tblCellMar>
      </w:tblPr>
      <w:tblGrid>
        <w:gridCol w:w="496"/>
        <w:gridCol w:w="538"/>
        <w:gridCol w:w="1619"/>
        <w:gridCol w:w="4883"/>
        <w:gridCol w:w="989"/>
      </w:tblGrid>
      <w:tr>
        <w:tblPrEx>
          <w:tblCellMar>
            <w:top w:w="0" w:type="dxa"/>
            <w:left w:w="108" w:type="dxa"/>
            <w:bottom w:w="0" w:type="dxa"/>
            <w:right w:w="108" w:type="dxa"/>
          </w:tblCellMar>
        </w:tblPrEx>
        <w:trPr>
          <w:trHeight w:val="420" w:hRule="atLeast"/>
          <w:tblHeader/>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序号</w:t>
            </w:r>
          </w:p>
        </w:tc>
        <w:tc>
          <w:tcPr>
            <w:tcW w:w="316"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子系统名称</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模块名称</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功能描述</w:t>
            </w:r>
          </w:p>
        </w:tc>
        <w:tc>
          <w:tcPr>
            <w:tcW w:w="58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hint="eastAsia" w:cs="宋体"/>
                <w:b/>
                <w:color w:val="000000"/>
                <w:kern w:val="0"/>
                <w:sz w:val="22"/>
                <w:szCs w:val="22"/>
              </w:rPr>
            </w:pPr>
            <w:r>
              <w:rPr>
                <w:rFonts w:hint="eastAsia" w:cs="宋体"/>
                <w:b/>
                <w:color w:val="000000"/>
                <w:kern w:val="0"/>
                <w:sz w:val="22"/>
                <w:szCs w:val="22"/>
              </w:rPr>
              <w:t>类型</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发展规划管理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规划项目申报与审批</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具体包含新建、编辑、删除、项目设施绑定等功能。具体包含提交、退回、归档等功能。支持年度规划项目规划性文件附件上传及提交。</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新建</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规划项目信息查询与发布</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用户可通过发展规划管理模块查询规划项目具体信息。</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规划项目综合分析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用于对规划项目进行全面、多维度的数据分析。</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项目设施管理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城维设施清单与关系维护</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设施清单具体包含设施新建、编辑、删除等功能。用于管理城市维护设施与城市维护项目之间的关联关系。</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新建</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存量设施认领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主要用于对已存在的城市基础设施进行认领管理。</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项目储备管理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储备项目专项申报</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具体包含新建、编辑、删除等功能。</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升级改造</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7</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储备项目审批</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具体包含提交、退回、归档、流程时间表、信息查询等功能。</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8</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储备项目综合分析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对工程类和日常养护类储备项目进行全面的分析，按年度、行业大类、项目性质等维度进行综合分析</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9</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养护类储备项目信息管理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支持对城维养护类储备项目的基础信息进行全面维护和管理</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10</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工程类储备项目信息管理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支持对城维工程类储备项目的基础信息进行全面维护和管理</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11</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储备项目信息附件管理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该模块用于对储备项目的附件信息进行集中管理和维护。</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12</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城维项目综合信息导出</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用于将城维项目的各类信息导出为结构化的报表文件。</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13</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储备项目出库管理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对储备项目进行出库操作。该功能确保项目在储备阶段的有效管理和及时清理。</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14</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项目预算管理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年初预算申报</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具体包含新建、编辑、删除等功能。</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升级改造</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15</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年初预算审批</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具体包含提交、退回、归档等功能。</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16</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年初预算信息查询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用户可通过该模块查询项目预算申报的具体信息。</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17</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年初计划信息维护与分析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年初计划信息维护模块的核心功能包括预算项目更名操作。支持按单一预算单位或所有预算单位进行汇总导出。</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18</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预算调整申报与审批</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用于管理年初预算内的信息调整，支持用户申请预算调整。</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19</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预算调整信息查询与分析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支持用户查询预算调整的详细记录。包含年初预算与调整预算情况对比、导出当前预算情况表、导出预算待办情况表等功能。</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20</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项目指标调整申报与审批</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用户完成项目指标调整后提交，进入审批环节。</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21</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项目指标调整信息查询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支持用户查询项目指标调整的详细记录。</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22</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项目指标调整综合分析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用于对项目指标调整进行多维度的数据分析。</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23</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项目明细调整申报与审批</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用户能够对项目明细进行灵活调整，确保项目信息的准确性和时效性。用户完成项目明细调整后提交，进入审批环节。</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24</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项目明细调整信息查询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支持用户查询项目明细调整详细记录。</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25</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资金申请管理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项目请款申报</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项目请款申报模块用于管理项目的请款申请流程。申请项目用款时，支持用户上传相关凭证文件。</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升级改造</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26</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项目请款信息审批</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具体包含提交、退回、归档等功能。</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27</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资金申请管理与分析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为用户提供全面、准确的资金申请数据支持，提供多种导出功能。用于高效管理和组织项目用款申请的批次处理。规范资金申请流程，确保请款有据可依，支持文件上传，以便完整留存请款依据。</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28</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项目实施管理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前期预备进度跟踪</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用于跟踪和管理项目在前期预备阶段的进度情况及月度实施进度。</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升级改造</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29</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项目实施附件管理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支持附件的上传、下载和预览，为项目的实施管理提供数据支持。</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30</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项目实施附件综合统计分析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对项目实施过程中的数据进行全面统计和分析。</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31</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城维项目全过程项目单篇</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聚焦于城维项目全生命周期管理，涵盖项目前期、项目实施与项目竣工三大阶段。</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32</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项目进度查询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包含关键信息查询和系统超期预警等功能。</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33</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项目合同管理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合同目录管理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对合同进行系统化管理和分类。</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新建</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34</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合同信息管理与查询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对合同的基本信息进行全面管理。对项目合同附件进行集中管理和维护。支持按项目名称、年份等条件进行查询。</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35</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项目销项管理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项目销项申请与审批</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用于管理项目在实施过程中的销项申请。用于管理项目销项申请审批。</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新建</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36</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销项材料管理与汇总统计</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支持附件的上传、下载和预览，确保附件信息的完整性。按预算单位、年份等维度进行数据分类统计。</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37</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绩效评价管理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绩效评价信息管理与统计</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具体包含新建、编辑、删除等功能。按行业、预算单位对项目的评分及等级进行分类汇总。</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新建</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38</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绩效评价报告管理与评价追踪</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用于管理绩效评价过程中的相关文件。对项目绩效评价结果中发现的问题进行跟踪和管理。</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39</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系统及接口管理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城维项目流转及日期控制</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对项目的流转过程和填报时间进行精细化管理。</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升级改造</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40</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待办事项提醒</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用于提醒用户待处理的事项。</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41</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定额库管理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标准定额库存储城市维护标准、规范和定额信息，作为城市维护项目预算编制的依据。</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42</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通知通告</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用于展示、查看各类重要文件和通知。</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43</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权限管理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对系统中的角色进行权限管理。</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44</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用户管理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对系统中的用户账号进行全面管理。</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45</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单位管理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对参与项目的各单位信息进行全面管理。</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46</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人员通讯录</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维护预算单位财务专管员的人员通讯录信息。</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47</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角色管理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对系统中的角色进行全面管理。</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48</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日志管理</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重点涵盖登录日志和管理员日志的记录功能。</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49</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CA证书认证登录</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平台用户利用Ukey数字证书进行登录访问系统。</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50</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市财政数据对接</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与市财政局进行数据对接。</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51</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各区城维预算数据对接</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提供与各区城维预算系统数据对接的能力。</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52</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密码应用功能模块</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基于密码支撑平台提供的安全认证网关、签名验签、数据加解密、等密码服务以及系统的应用功能，需开发适配若干密码应用功能模块，以实现网络和通信、设备和计算、应用和数据等层面的密码应用功能。</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53</w:t>
            </w:r>
          </w:p>
        </w:tc>
        <w:tc>
          <w:tcPr>
            <w:tcW w:w="316" w:type="pct"/>
            <w:vMerge w:val="restar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辅助决策管理</w:t>
            </w: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上报单位建设项目储备阶段数据查询及分析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为用户提供个性化查询服务，全面涵盖建设项目储备阶段的各类关键信息。</w:t>
            </w:r>
          </w:p>
        </w:tc>
        <w:tc>
          <w:tcPr>
            <w:tcW w:w="580" w:type="pct"/>
            <w:vMerge w:val="restart"/>
            <w:tcBorders>
              <w:top w:val="single" w:color="000000" w:sz="4" w:space="0"/>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升级改造</w:t>
            </w: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54</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季度情况分析报表</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提供一个全面的项目动态洞察工具，按季度为周期，生成详细的分析报表。</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55</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建设项目管理和推进阶段数据查询及分析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提供全面的数据查询和深入的分析服务。</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56</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历年实施维护项目（按专业类型）图形查询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专为便捷查询历年实施维护项目设计，提供可视化图形查询服务。</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57</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历年实施维护项目（按资金使用）图形查询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以图标形式展示项目情况等，同时具备分析功能。</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58</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各申报阶段维护项目统计报表查看、导出、查询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提供对各申报阶段维护项目的全面统计报表管理。</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59</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历年实施维护项目统计报表查看、导出、查询</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提供历年实施维护项目的统计报表管理服务。</w:t>
            </w:r>
          </w:p>
        </w:tc>
        <w:tc>
          <w:tcPr>
            <w:tcW w:w="580" w:type="pct"/>
            <w:vMerge w:val="continue"/>
            <w:tcBorders>
              <w:left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r>
        <w:tblPrEx>
          <w:tblCellMar>
            <w:top w:w="0" w:type="dxa"/>
            <w:left w:w="108" w:type="dxa"/>
            <w:bottom w:w="0" w:type="dxa"/>
            <w:right w:w="108" w:type="dxa"/>
          </w:tblCellMar>
        </w:tblPrEx>
        <w:trPr>
          <w:trHeight w:val="420" w:hRule="atLeast"/>
        </w:trPr>
        <w:tc>
          <w:tcPr>
            <w:tcW w:w="290"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60</w:t>
            </w:r>
          </w:p>
        </w:tc>
        <w:tc>
          <w:tcPr>
            <w:tcW w:w="316" w:type="pct"/>
            <w:vMerge w:val="continue"/>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c>
          <w:tcPr>
            <w:tcW w:w="949"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动态报表生成</w:t>
            </w:r>
          </w:p>
        </w:tc>
        <w:tc>
          <w:tcPr>
            <w:tcW w:w="2862" w:type="pct"/>
            <w:tcBorders>
              <w:top w:val="single" w:color="000000" w:sz="4" w:space="0"/>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r>
              <w:rPr>
                <w:rFonts w:hint="eastAsia" w:ascii="Tahoma" w:hAnsi="Tahoma" w:cs="Tahoma"/>
                <w:color w:val="000000"/>
                <w:kern w:val="0"/>
                <w:sz w:val="22"/>
                <w:szCs w:val="22"/>
              </w:rPr>
              <w:t>支持选取特定字段生成并导出报表。</w:t>
            </w:r>
          </w:p>
        </w:tc>
        <w:tc>
          <w:tcPr>
            <w:tcW w:w="580" w:type="pct"/>
            <w:vMerge w:val="continue"/>
            <w:tcBorders>
              <w:left w:val="single" w:color="000000" w:sz="4" w:space="0"/>
              <w:bottom w:val="single" w:color="000000" w:sz="4" w:space="0"/>
              <w:right w:val="single" w:color="000000" w:sz="4" w:space="0"/>
            </w:tcBorders>
            <w:vAlign w:val="center"/>
          </w:tcPr>
          <w:p>
            <w:pPr>
              <w:widowControl/>
              <w:spacing w:line="240" w:lineRule="auto"/>
              <w:ind w:firstLine="0" w:firstLineChars="0"/>
              <w:jc w:val="center"/>
              <w:rPr>
                <w:rFonts w:ascii="Tahoma" w:hAnsi="Tahoma" w:cs="Tahoma"/>
                <w:color w:val="000000"/>
                <w:kern w:val="0"/>
                <w:sz w:val="22"/>
                <w:szCs w:val="22"/>
              </w:rPr>
            </w:pPr>
          </w:p>
        </w:tc>
      </w:tr>
    </w:tbl>
    <w:p>
      <w:pPr>
        <w:pStyle w:val="3"/>
        <w:rPr>
          <w:rFonts w:hint="eastAsia"/>
        </w:rPr>
      </w:pPr>
      <w:r>
        <w:rPr>
          <w:rFonts w:hint="eastAsia"/>
        </w:rPr>
        <w:t>低代码建设要求</w:t>
      </w:r>
    </w:p>
    <w:p>
      <w:pPr>
        <w:pStyle w:val="106"/>
        <w:snapToGrid w:val="0"/>
        <w:spacing w:line="360" w:lineRule="auto"/>
        <w:ind w:firstLine="480"/>
        <w:rPr>
          <w:rFonts w:hint="eastAsia" w:ascii="宋体" w:hAnsi="宋体"/>
          <w:sz w:val="24"/>
          <w:szCs w:val="24"/>
        </w:rPr>
      </w:pPr>
      <w:r>
        <w:rPr>
          <w:rFonts w:hint="eastAsia" w:ascii="宋体" w:hAnsi="宋体"/>
          <w:sz w:val="24"/>
          <w:szCs w:val="24"/>
        </w:rPr>
        <w:t>本项目不使用低代码平台建设。</w:t>
      </w:r>
    </w:p>
    <w:p>
      <w:pPr>
        <w:pStyle w:val="3"/>
        <w:rPr>
          <w:rFonts w:hint="eastAsia"/>
        </w:rPr>
      </w:pPr>
      <w:bookmarkStart w:id="17" w:name="_Toc63785503"/>
      <w:r>
        <w:rPr>
          <w:rFonts w:hint="eastAsia"/>
        </w:rPr>
        <w:t>其他工作要求</w:t>
      </w:r>
      <w:bookmarkEnd w:id="17"/>
    </w:p>
    <w:p>
      <w:pPr>
        <w:keepNext/>
        <w:keepLines/>
        <w:numPr>
          <w:ilvl w:val="1"/>
          <w:numId w:val="3"/>
        </w:numPr>
        <w:tabs>
          <w:tab w:val="left" w:pos="360"/>
        </w:tabs>
        <w:spacing w:before="120" w:line="240" w:lineRule="auto"/>
        <w:ind w:left="0" w:firstLine="0" w:firstLineChars="0"/>
        <w:outlineLvl w:val="1"/>
        <w:rPr>
          <w:rFonts w:hint="eastAsia" w:ascii="仿宋" w:hAnsi="仿宋" w:eastAsia="仿宋"/>
          <w:b/>
          <w:vanish/>
          <w:color w:val="000000"/>
          <w:sz w:val="28"/>
          <w:szCs w:val="20"/>
        </w:rPr>
      </w:pPr>
      <w:bookmarkStart w:id="18" w:name="_Toc63785504"/>
      <w:bookmarkEnd w:id="18"/>
      <w:bookmarkStart w:id="19" w:name="_Toc62219358"/>
      <w:bookmarkEnd w:id="19"/>
      <w:bookmarkStart w:id="20" w:name="_Toc61968111"/>
      <w:bookmarkEnd w:id="20"/>
      <w:bookmarkStart w:id="21" w:name="_Toc63785439"/>
      <w:bookmarkEnd w:id="21"/>
      <w:bookmarkStart w:id="22" w:name="_Toc63151871"/>
      <w:bookmarkEnd w:id="22"/>
      <w:bookmarkStart w:id="23" w:name="_Toc63585480"/>
      <w:bookmarkEnd w:id="23"/>
      <w:bookmarkStart w:id="24" w:name="_Toc62209488"/>
      <w:bookmarkEnd w:id="24"/>
      <w:bookmarkStart w:id="25" w:name="_Toc63762370"/>
      <w:bookmarkEnd w:id="25"/>
    </w:p>
    <w:p>
      <w:pPr>
        <w:pStyle w:val="4"/>
        <w:rPr>
          <w:rFonts w:hint="eastAsia"/>
        </w:rPr>
      </w:pPr>
      <w:bookmarkStart w:id="26" w:name="_Toc63785505"/>
      <w:r>
        <w:rPr>
          <w:rFonts w:hint="eastAsia"/>
        </w:rPr>
        <w:t>售后服务要求</w:t>
      </w:r>
      <w:bookmarkEnd w:id="26"/>
    </w:p>
    <w:p>
      <w:pPr>
        <w:pStyle w:val="106"/>
        <w:snapToGrid w:val="0"/>
        <w:spacing w:line="360" w:lineRule="auto"/>
        <w:ind w:firstLine="480"/>
        <w:rPr>
          <w:rFonts w:hint="eastAsia" w:ascii="宋体" w:hAnsi="宋体"/>
          <w:sz w:val="24"/>
          <w:szCs w:val="24"/>
        </w:rPr>
      </w:pPr>
      <w:r>
        <w:rPr>
          <w:rFonts w:hint="eastAsia" w:ascii="宋体" w:hAnsi="宋体"/>
          <w:sz w:val="24"/>
          <w:szCs w:val="24"/>
        </w:rPr>
        <w:t>本项目从系统验收通过之日起1年内提供</w:t>
      </w:r>
      <w:r>
        <w:rPr>
          <w:rFonts w:ascii="宋体" w:hAnsi="宋体"/>
          <w:sz w:val="24"/>
          <w:szCs w:val="24"/>
        </w:rPr>
        <w:t>7*24小时免费技术支持</w:t>
      </w:r>
      <w:r>
        <w:rPr>
          <w:rFonts w:hint="eastAsia" w:ascii="宋体" w:hAnsi="宋体"/>
          <w:sz w:val="24"/>
          <w:szCs w:val="24"/>
        </w:rPr>
        <w:t>和售后服务，1年后进入有偿维护期。</w:t>
      </w:r>
    </w:p>
    <w:p>
      <w:pPr>
        <w:pStyle w:val="106"/>
        <w:snapToGrid w:val="0"/>
        <w:spacing w:line="360" w:lineRule="auto"/>
        <w:ind w:firstLine="480"/>
        <w:rPr>
          <w:rFonts w:hint="eastAsia" w:ascii="宋体" w:hAnsi="宋体"/>
          <w:sz w:val="24"/>
          <w:szCs w:val="24"/>
        </w:rPr>
      </w:pPr>
      <w:r>
        <w:rPr>
          <w:rFonts w:hint="eastAsia" w:ascii="宋体" w:hAnsi="宋体"/>
          <w:sz w:val="24"/>
          <w:szCs w:val="24"/>
        </w:rPr>
        <w:t>在质量保证期内，供应商负责信息系统的运行维护工作，确保信息系统安全、稳定、可靠地运行。本项目涉及的运行维护工作范围为城市基础设施建设与维护项目管理信息系统所涉及的功能模块。</w:t>
      </w:r>
    </w:p>
    <w:p>
      <w:pPr>
        <w:pStyle w:val="4"/>
        <w:rPr>
          <w:rFonts w:hint="eastAsia"/>
        </w:rPr>
      </w:pPr>
      <w:bookmarkStart w:id="27" w:name="_Toc63785506"/>
      <w:r>
        <w:rPr>
          <w:rFonts w:hint="eastAsia"/>
        </w:rPr>
        <w:t>应急响应要求</w:t>
      </w:r>
      <w:bookmarkEnd w:id="27"/>
    </w:p>
    <w:p>
      <w:pPr>
        <w:spacing w:line="600" w:lineRule="exact"/>
        <w:rPr>
          <w:rFonts w:hint="eastAsia"/>
        </w:rPr>
      </w:pPr>
      <w:r>
        <w:rPr>
          <w:rFonts w:hint="eastAsia"/>
        </w:rPr>
        <w:t>供应商对系统故障应能够实时响应，若系统发生故障，接到通知后30分钟之内响应，专业工程师2小时内到达现场。特殊故障与采购人沟通协商后，按照协商的方式制定解决方案并进行处理。</w:t>
      </w:r>
    </w:p>
    <w:p>
      <w:pPr>
        <w:spacing w:line="600" w:lineRule="exact"/>
        <w:rPr>
          <w:rFonts w:hint="eastAsia"/>
        </w:rPr>
      </w:pPr>
      <w:r>
        <w:rPr>
          <w:rFonts w:hint="eastAsia"/>
        </w:rPr>
        <w:t>具体故障级别及对应的应急响应要求如下：</w:t>
      </w:r>
    </w:p>
    <w:p>
      <w:pPr>
        <w:spacing w:line="600" w:lineRule="exact"/>
        <w:rPr>
          <w:rFonts w:hint="eastAsia"/>
        </w:rPr>
      </w:pPr>
      <w:r>
        <w:rPr>
          <w:rFonts w:hint="eastAsia"/>
        </w:rPr>
        <w:t>一级故障：在1小时内确诊，总故障解决时间不超过4小时。</w:t>
      </w:r>
    </w:p>
    <w:p>
      <w:pPr>
        <w:spacing w:line="600" w:lineRule="exact"/>
        <w:rPr>
          <w:rFonts w:hint="eastAsia"/>
        </w:rPr>
      </w:pPr>
      <w:r>
        <w:rPr>
          <w:rFonts w:hint="eastAsia"/>
        </w:rPr>
        <w:t>二级故障：在2小时内确诊，并在4小时内由专家到达现场确诊并解决，总故障解决时间不超过8小时；</w:t>
      </w:r>
    </w:p>
    <w:p>
      <w:pPr>
        <w:spacing w:line="600" w:lineRule="exact"/>
        <w:rPr>
          <w:rFonts w:hint="eastAsia"/>
        </w:rPr>
      </w:pPr>
      <w:r>
        <w:rPr>
          <w:rFonts w:hint="eastAsia"/>
        </w:rPr>
        <w:t>三、四级故障：在4小时内确诊故障，总故障解决时间不超过16小时。</w:t>
      </w:r>
    </w:p>
    <w:p>
      <w:pPr>
        <w:spacing w:line="600" w:lineRule="exact"/>
        <w:rPr>
          <w:rFonts w:hint="eastAsia"/>
        </w:rPr>
      </w:pPr>
      <w:r>
        <w:rPr>
          <w:rFonts w:hint="eastAsia"/>
        </w:rPr>
        <w:t>依据故障时间及故障范围划分故障级别，故障级别分为四级，依次为Ⅰ级（紧急）、Ⅱ级（严重）、Ⅲ级（较大）和Ⅳ级（一般），分别定义如下：</w:t>
      </w:r>
    </w:p>
    <w:p>
      <w:pPr>
        <w:spacing w:line="600" w:lineRule="exact"/>
        <w:rPr>
          <w:rFonts w:hint="eastAsia"/>
        </w:rPr>
      </w:pPr>
      <w:r>
        <w:rPr>
          <w:rFonts w:hint="eastAsia"/>
        </w:rPr>
        <w:t>Ⅰ级（紧急）故障为工作时间段（8:30——17:30）内大范围故障；</w:t>
      </w:r>
    </w:p>
    <w:p>
      <w:pPr>
        <w:spacing w:line="600" w:lineRule="exact"/>
        <w:rPr>
          <w:rFonts w:hint="eastAsia"/>
        </w:rPr>
      </w:pPr>
      <w:r>
        <w:rPr>
          <w:rFonts w:hint="eastAsia"/>
        </w:rPr>
        <w:t>Ⅱ级（严重）故障为非工作时间段（17:30——次日8:30）内大范围故障；</w:t>
      </w:r>
    </w:p>
    <w:p>
      <w:pPr>
        <w:spacing w:line="600" w:lineRule="exact"/>
        <w:rPr>
          <w:rFonts w:hint="eastAsia"/>
        </w:rPr>
      </w:pPr>
      <w:r>
        <w:rPr>
          <w:rFonts w:hint="eastAsia"/>
        </w:rPr>
        <w:t>Ⅲ级（较大）故障为工作时间段（8:30——17:30）内小范围故障；</w:t>
      </w:r>
    </w:p>
    <w:p>
      <w:pPr>
        <w:spacing w:line="600" w:lineRule="exact"/>
        <w:rPr>
          <w:rFonts w:hint="eastAsia"/>
        </w:rPr>
      </w:pPr>
      <w:r>
        <w:rPr>
          <w:rFonts w:hint="eastAsia"/>
        </w:rPr>
        <w:t>Ⅳ级（一般）故障为非工作时间段（17:30——次日8:30）内小范围故障；</w:t>
      </w:r>
    </w:p>
    <w:p>
      <w:pPr>
        <w:pStyle w:val="4"/>
        <w:rPr>
          <w:rFonts w:hint="eastAsia"/>
        </w:rPr>
      </w:pPr>
      <w:r>
        <w:rPr>
          <w:rFonts w:hint="eastAsia"/>
        </w:rPr>
        <w:t>网络与数据安全</w:t>
      </w:r>
    </w:p>
    <w:p>
      <w:pPr>
        <w:rPr>
          <w:rFonts w:hint="eastAsia"/>
        </w:rPr>
      </w:pPr>
      <w:r>
        <w:rPr>
          <w:rFonts w:hint="eastAsia"/>
        </w:rPr>
        <w:t>(1)供应商应在项目深化设计阶段，应开展安全需求调研和数据分类分级工作，制定网络和数据安全设计方案，制定总体安全技术架构，明确边界防护、访问控制、权限管理、系统安全配置、身份鉴别、入侵防范等系统安全防护措施，制定差异化的数据安全防护手段，确保数据全生命周期安全。</w:t>
      </w:r>
    </w:p>
    <w:p>
      <w:pPr>
        <w:rPr>
          <w:rFonts w:hint="eastAsia"/>
        </w:rPr>
      </w:pPr>
      <w:r>
        <w:rPr>
          <w:rFonts w:hint="eastAsia"/>
        </w:rPr>
        <w:t>(2)供应商应配合采购人开展相关安全制度和规范的制定，并根据项目实际，制定项目实施过程安全管理方案。</w:t>
      </w:r>
    </w:p>
    <w:p>
      <w:pPr>
        <w:rPr>
          <w:rFonts w:hint="eastAsia"/>
        </w:rPr>
      </w:pPr>
      <w:r>
        <w:rPr>
          <w:rFonts w:hint="eastAsia"/>
        </w:rPr>
        <w:t>(3)供应商应确保所提供的软件产品和定制开发内容所涉及的供应链满足采购人的管理要求，提供供应链物料清单，落实供应链安全控制措施，包括代码安全检测和质量评估、漏洞扫描、第三方组件评估等工作，并于系统上线前，完成信息化资产的梳理。</w:t>
      </w:r>
    </w:p>
    <w:p>
      <w:pPr>
        <w:rPr>
          <w:rFonts w:hint="eastAsia"/>
        </w:rPr>
      </w:pPr>
      <w:r>
        <w:rPr>
          <w:rFonts w:hint="eastAsia"/>
        </w:rPr>
        <w:t>(4)供应商应在项目实施过程中，推动安全开发控制工作的实施，按照安全设计方案和采购人安全开发要求，落实安全开发规范，确保代码质量和安全性。供应商应确保系统开发及生产环境安全，落实安全管理策略及安全配置。</w:t>
      </w:r>
    </w:p>
    <w:p>
      <w:pPr>
        <w:rPr>
          <w:rFonts w:hint="eastAsia"/>
        </w:rPr>
      </w:pPr>
      <w:r>
        <w:rPr>
          <w:rFonts w:hint="eastAsia"/>
        </w:rPr>
        <w:t>(5)供应商应在项目实施过程中，按照数据差异化安全防护策略，根据系统需要采取数据加密、数据访问控制、日志记录、流转监测等防护能力及相关管理流程，切实保障数据安全。</w:t>
      </w:r>
    </w:p>
    <w:p>
      <w:pPr>
        <w:rPr>
          <w:rFonts w:hint="eastAsia"/>
        </w:rPr>
      </w:pPr>
      <w:r>
        <w:rPr>
          <w:rFonts w:hint="eastAsia"/>
        </w:rPr>
        <w:t>(6)供应商应按照采购人场地及人员安全管理制度，加强人员管理，配合采购人落实人员背调、入离场、终端管理、网络限制、数据权限最小化等管控措施。</w:t>
      </w:r>
    </w:p>
    <w:p>
      <w:pPr>
        <w:rPr>
          <w:rFonts w:hint="eastAsia"/>
        </w:rPr>
      </w:pPr>
      <w:r>
        <w:rPr>
          <w:rFonts w:hint="eastAsia"/>
        </w:rPr>
        <w:t>(7)供应商应于系统上线部署前对系统运行环境、应用软件等开展安全自查，并于项目初验及系统试运行阶段，配合采购人开展安测、密测、等保、密评、数据安全风险评估等系列安全测试、评估工作，针对发现的问题及时完成整改，确保系统上线安全。</w:t>
      </w:r>
    </w:p>
    <w:p>
      <w:pPr>
        <w:rPr>
          <w:rFonts w:hint="eastAsia"/>
        </w:rPr>
      </w:pPr>
      <w:r>
        <w:rPr>
          <w:rFonts w:hint="eastAsia"/>
        </w:rPr>
        <w:t>(8)供应商应在系统免维期内承担系统安全运维管理责任，落实安全管理保障措施，包括但不限于制度修订、风险排查、应急响应、漏洞修复、重保等工作。</w:t>
      </w:r>
    </w:p>
    <w:p>
      <w:pPr>
        <w:pStyle w:val="4"/>
        <w:rPr>
          <w:rFonts w:hint="eastAsia"/>
        </w:rPr>
      </w:pPr>
      <w:bookmarkStart w:id="28" w:name="_Toc63785507"/>
      <w:r>
        <w:rPr>
          <w:rFonts w:hint="eastAsia"/>
        </w:rPr>
        <w:t>培训要求</w:t>
      </w:r>
      <w:bookmarkEnd w:id="28"/>
    </w:p>
    <w:p>
      <w:pPr>
        <w:rPr>
          <w:rFonts w:hint="eastAsia"/>
        </w:rPr>
      </w:pPr>
      <w:r>
        <w:rPr>
          <w:rFonts w:hint="eastAsia"/>
        </w:rPr>
        <w:t>对系统使用单位提供业务操作培训，应提供详细培训方案。</w:t>
      </w:r>
    </w:p>
    <w:p>
      <w:pPr>
        <w:rPr>
          <w:rFonts w:hint="eastAsia"/>
        </w:rPr>
      </w:pPr>
      <w:r>
        <w:rPr>
          <w:rFonts w:hint="eastAsia"/>
        </w:rPr>
        <w:t>(1)在12个月的质量保证期内，提供2次与项目相关的必要培训。</w:t>
      </w:r>
    </w:p>
    <w:p>
      <w:pPr>
        <w:rPr>
          <w:rFonts w:hint="eastAsia"/>
        </w:rPr>
      </w:pPr>
      <w:r>
        <w:rPr>
          <w:rFonts w:hint="eastAsia"/>
        </w:rPr>
        <w:t>(2)供应商需要开展分层次的人员培训工作，每次培训后应对参加培训人员进行测试，评估培训成果。培训应具有培训教材、培训环境和高水平的培训讲师。</w:t>
      </w:r>
    </w:p>
    <w:p>
      <w:pPr>
        <w:rPr>
          <w:rFonts w:hint="eastAsia"/>
        </w:rPr>
      </w:pPr>
      <w:r>
        <w:rPr>
          <w:rFonts w:hint="eastAsia"/>
        </w:rPr>
        <w:t>(3)供应商应提供一般用户的基础操作培训和部门信息管理员的日常应用维护的培训，确保用户对象能够掌握对应的操作技能。</w:t>
      </w:r>
    </w:p>
    <w:p>
      <w:pPr>
        <w:pStyle w:val="4"/>
        <w:rPr>
          <w:rFonts w:hint="eastAsia"/>
        </w:rPr>
      </w:pPr>
      <w:bookmarkStart w:id="29" w:name="_Toc63785508"/>
      <w:r>
        <w:rPr>
          <w:rFonts w:hint="eastAsia"/>
        </w:rPr>
        <w:t>验收要求</w:t>
      </w:r>
      <w:bookmarkEnd w:id="29"/>
    </w:p>
    <w:p>
      <w:pPr>
        <w:rPr>
          <w:rFonts w:hint="eastAsia"/>
          <w:szCs w:val="21"/>
        </w:rPr>
      </w:pPr>
      <w:r>
        <w:rPr>
          <w:rFonts w:hint="eastAsia"/>
          <w:szCs w:val="21"/>
        </w:rPr>
        <w:t>本项目按下述方式开展验收。</w:t>
      </w:r>
    </w:p>
    <w:p>
      <w:pPr>
        <w:rPr>
          <w:rFonts w:hint="eastAsia"/>
          <w:szCs w:val="21"/>
        </w:rPr>
      </w:pPr>
      <w:r>
        <w:rPr>
          <w:rFonts w:hint="eastAsia"/>
          <w:szCs w:val="21"/>
        </w:rPr>
        <w:t>（</w:t>
      </w:r>
      <w:r>
        <w:rPr>
          <w:szCs w:val="21"/>
        </w:rPr>
        <w:t>1）验收分初验和终验。</w:t>
      </w:r>
    </w:p>
    <w:p>
      <w:pPr>
        <w:rPr>
          <w:rFonts w:hint="eastAsia"/>
          <w:szCs w:val="21"/>
        </w:rPr>
      </w:pPr>
      <w:r>
        <w:rPr>
          <w:rFonts w:hint="eastAsia"/>
          <w:szCs w:val="21"/>
        </w:rPr>
        <w:t>（</w:t>
      </w:r>
      <w:r>
        <w:rPr>
          <w:szCs w:val="21"/>
        </w:rPr>
        <w:t>2）初验前，供应商须完成软件开发、软硬件安装和信息系统的调试等，并对本项目进行功能和运行检测，确保所有信息系统功能模块能够正常运行且已达到本项目约定的各类标准要求。供应商应以书面形式向招标方递交初验通知书。招标方应当在接到通知后的5个工作日内确定初验的具体日期，由双方按照本项目的约定完成本项目的初验。招标方有权委托第三方检测机构进行验收，对此供应商应当配合。</w:t>
      </w:r>
    </w:p>
    <w:p>
      <w:pPr>
        <w:rPr>
          <w:rFonts w:hint="eastAsia"/>
          <w:szCs w:val="21"/>
        </w:rPr>
      </w:pPr>
      <w:r>
        <w:rPr>
          <w:rFonts w:hint="eastAsia"/>
          <w:szCs w:val="21"/>
        </w:rPr>
        <w:t>（</w:t>
      </w:r>
      <w:r>
        <w:rPr>
          <w:szCs w:val="21"/>
        </w:rPr>
        <w:t>3）初验时，供应商须提供软件文档包括《用户需求说明书》、《系统概要设计说明书》、《系统详细设计说明书》、</w:t>
      </w:r>
      <w:r>
        <w:rPr>
          <w:rFonts w:hint="eastAsia"/>
          <w:szCs w:val="21"/>
        </w:rPr>
        <w:t>《三方功能需求确认单》、</w:t>
      </w:r>
      <w:r>
        <w:rPr>
          <w:szCs w:val="21"/>
        </w:rPr>
        <w:t>《测试报告》、《用户使用手册》、《系统部署文档》等）及可安装的程序运行文件。所交付的文档与文件应当是可供自然人阅读的书面和电子文档。软件文档及可安装的程序运行文件验收通过后，视为初验通过。如有缺陷，招标方应向供应商出具书面报告，陈述需要改进的缺陷。供应商应立即严格依照招标方的书面报告中的要求改进缺陷，并再次进行初验。</w:t>
      </w:r>
    </w:p>
    <w:p>
      <w:pPr>
        <w:rPr>
          <w:rFonts w:hint="eastAsia"/>
          <w:szCs w:val="21"/>
        </w:rPr>
      </w:pPr>
      <w:r>
        <w:rPr>
          <w:rFonts w:hint="eastAsia"/>
          <w:szCs w:val="21"/>
        </w:rPr>
        <w:t>（</w:t>
      </w:r>
      <w:r>
        <w:rPr>
          <w:szCs w:val="21"/>
        </w:rPr>
        <w:t>4）自初验通过之日起，招标方享有供应商免费提供的</w:t>
      </w:r>
      <w:r>
        <w:rPr>
          <w:rFonts w:hint="eastAsia"/>
          <w:szCs w:val="21"/>
        </w:rPr>
        <w:t>30</w:t>
      </w:r>
      <w:r>
        <w:rPr>
          <w:szCs w:val="21"/>
        </w:rPr>
        <w:t>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szCs w:val="21"/>
        </w:rPr>
      </w:pPr>
      <w:r>
        <w:rPr>
          <w:rFonts w:hint="eastAsia"/>
          <w:szCs w:val="21"/>
        </w:rPr>
        <w:t>（</w:t>
      </w:r>
      <w:r>
        <w:rPr>
          <w:szCs w:val="21"/>
        </w:rPr>
        <w:t>5）初验通过且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rPr>
        <w:t>15</w:t>
      </w:r>
      <w:r>
        <w:rPr>
          <w:szCs w:val="21"/>
        </w:rPr>
        <w:t>个工作日内发起组织专家验收会。</w:t>
      </w:r>
    </w:p>
    <w:p>
      <w:pPr>
        <w:rPr>
          <w:rFonts w:hint="eastAsia"/>
          <w:szCs w:val="21"/>
        </w:rPr>
      </w:pPr>
      <w:r>
        <w:rPr>
          <w:rFonts w:hint="eastAsia"/>
          <w:szCs w:val="21"/>
        </w:rPr>
        <w:t>（6</w:t>
      </w:r>
      <w:r>
        <w:rPr>
          <w:szCs w:val="21"/>
        </w:rPr>
        <w:t>）如果属于供应商原因致使本项目未能通过终验，供应商应当排除缺陷，直至本项目完全符合验收标准，由上述情形而产生的相关费用应由供应商自行承担。</w:t>
      </w:r>
    </w:p>
    <w:p>
      <w:pPr>
        <w:rPr>
          <w:rFonts w:hint="eastAsia"/>
          <w:szCs w:val="21"/>
        </w:rPr>
      </w:pPr>
      <w:r>
        <w:rPr>
          <w:rFonts w:hint="eastAsia"/>
          <w:szCs w:val="21"/>
        </w:rPr>
        <w:t>（7</w:t>
      </w:r>
      <w:r>
        <w:rPr>
          <w:szCs w:val="21"/>
        </w:rPr>
        <w:t>）如果由于招标方原因导致本项目在终验通过前出现故障或问题，供应商应及时配合排除该方面的故障或问题。</w:t>
      </w:r>
    </w:p>
    <w:p>
      <w:pPr>
        <w:rPr>
          <w:rFonts w:hint="eastAsia"/>
          <w:szCs w:val="21"/>
        </w:rPr>
      </w:pPr>
      <w:r>
        <w:rPr>
          <w:rFonts w:hint="eastAsia"/>
          <w:szCs w:val="21"/>
        </w:rPr>
        <w:t>（8</w:t>
      </w:r>
      <w:r>
        <w:rPr>
          <w:szCs w:val="21"/>
        </w:rPr>
        <w:t>）如本项目连续3次验收未通过（含初验未通过或终验未通过），招标方有权解除项目，并有权依照本项目约定的违约条款追究供应商的违约责任。</w:t>
      </w:r>
    </w:p>
    <w:p>
      <w:pPr>
        <w:pStyle w:val="4"/>
        <w:rPr>
          <w:rFonts w:hint="eastAsia"/>
        </w:rPr>
      </w:pPr>
      <w:bookmarkStart w:id="30" w:name="_Toc63785509"/>
      <w:r>
        <w:rPr>
          <w:rFonts w:hint="eastAsia"/>
        </w:rPr>
        <w:t>进度要求</w:t>
      </w:r>
      <w:bookmarkEnd w:id="30"/>
    </w:p>
    <w:p>
      <w:pPr>
        <w:rPr>
          <w:rFonts w:hint="eastAsia"/>
        </w:rPr>
      </w:pPr>
      <w:r>
        <w:rPr>
          <w:rFonts w:hint="eastAsia"/>
          <w:lang w:eastAsia="zh-CN"/>
        </w:rPr>
        <w:t>供应商</w:t>
      </w:r>
      <w:r>
        <w:rPr>
          <w:rFonts w:hint="eastAsia"/>
        </w:rPr>
        <w:t>应根据建设内容，分阶段制定合理的时间进度，并且应根据招标方要求进行调整和细化。</w:t>
      </w:r>
    </w:p>
    <w:p>
      <w:pPr>
        <w:rPr>
          <w:rFonts w:hint="eastAsia"/>
        </w:rPr>
      </w:pPr>
      <w:r>
        <w:rPr>
          <w:rFonts w:hint="eastAsia"/>
        </w:rPr>
        <w:t>总建设周期为自合同签订之日起至2026年11月30日，分为4个阶段。</w:t>
      </w:r>
    </w:p>
    <w:p>
      <w:pPr>
        <w:rPr>
          <w:rFonts w:hint="eastAsia"/>
        </w:rPr>
      </w:pPr>
      <w:r>
        <w:rPr>
          <w:rFonts w:hint="eastAsia"/>
        </w:rPr>
        <w:t>第一阶段为1个月，完成需求调研及系统设计。</w:t>
      </w:r>
    </w:p>
    <w:p>
      <w:pPr>
        <w:rPr>
          <w:rFonts w:hint="eastAsia"/>
        </w:rPr>
      </w:pPr>
      <w:r>
        <w:rPr>
          <w:rFonts w:hint="eastAsia"/>
        </w:rPr>
        <w:t>第二阶段为5个月，完成系统功能的开发建设</w:t>
      </w:r>
    </w:p>
    <w:p>
      <w:pPr>
        <w:rPr>
          <w:rFonts w:hint="eastAsia"/>
        </w:rPr>
      </w:pPr>
      <w:r>
        <w:rPr>
          <w:rFonts w:hint="eastAsia"/>
        </w:rPr>
        <w:t>第三阶段为1个月，完成系统的测试及试运行</w:t>
      </w:r>
    </w:p>
    <w:p>
      <w:pPr>
        <w:rPr>
          <w:rFonts w:hint="eastAsia"/>
        </w:rPr>
      </w:pPr>
      <w:r>
        <w:rPr>
          <w:rFonts w:hint="eastAsia"/>
        </w:rPr>
        <w:t>第四阶段为2026年11月30日前，完成系统的验收。</w:t>
      </w:r>
    </w:p>
    <w:p>
      <w:pPr>
        <w:pStyle w:val="4"/>
        <w:rPr>
          <w:rFonts w:hint="eastAsia"/>
        </w:rPr>
      </w:pPr>
      <w:bookmarkStart w:id="31" w:name="_Toc63785510"/>
      <w:r>
        <w:rPr>
          <w:rFonts w:hint="eastAsia"/>
        </w:rPr>
        <w:t>项目团队及驻场人员要求</w:t>
      </w:r>
      <w:bookmarkEnd w:id="31"/>
    </w:p>
    <w:p>
      <w:pPr>
        <w:rPr>
          <w:rFonts w:hint="eastAsia"/>
        </w:rPr>
      </w:pPr>
      <w:r>
        <w:t>1）</w:t>
      </w:r>
      <w:r>
        <w:rPr>
          <w:rFonts w:hint="eastAsia"/>
          <w:lang w:eastAsia="zh-CN"/>
        </w:rPr>
        <w:t>供应商</w:t>
      </w:r>
      <w:r>
        <w:t>须具有稳定的在职技术保障力量，能够提供及时的技术支援或服务，应针对本项目提供不少于</w:t>
      </w:r>
      <w:r>
        <w:rPr>
          <w:rFonts w:hint="eastAsia"/>
        </w:rPr>
        <w:t>7</w:t>
      </w:r>
      <w:r>
        <w:t>人的项目服务团队（包括项目经理、产品经理、技术负责人、研发等），</w:t>
      </w:r>
      <w:r>
        <w:rPr>
          <w:rFonts w:hint="eastAsia"/>
          <w:lang w:eastAsia="zh-CN"/>
        </w:rPr>
        <w:t>供应商</w:t>
      </w:r>
      <w:r>
        <w:t>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514"/>
        <w:gridCol w:w="1322"/>
        <w:gridCol w:w="3079"/>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b/>
              </w:rPr>
            </w:pPr>
            <w:r>
              <w:rPr>
                <w:rFonts w:hint="eastAsia"/>
                <w:b/>
              </w:rPr>
              <w:t>角色</w:t>
            </w:r>
          </w:p>
        </w:tc>
        <w:tc>
          <w:tcPr>
            <w:tcW w:w="1514" w:type="dxa"/>
            <w:noWrap/>
            <w:vAlign w:val="center"/>
          </w:tcPr>
          <w:p>
            <w:pPr>
              <w:widowControl/>
              <w:spacing w:line="240" w:lineRule="auto"/>
              <w:ind w:firstLine="0" w:firstLineChars="0"/>
              <w:jc w:val="center"/>
              <w:rPr>
                <w:rFonts w:hint="eastAsia"/>
                <w:b/>
              </w:rPr>
            </w:pPr>
            <w:r>
              <w:rPr>
                <w:rFonts w:hint="eastAsia"/>
                <w:b/>
              </w:rPr>
              <w:t>主要职责</w:t>
            </w:r>
          </w:p>
        </w:tc>
        <w:tc>
          <w:tcPr>
            <w:tcW w:w="1322" w:type="dxa"/>
            <w:noWrap/>
            <w:vAlign w:val="center"/>
          </w:tcPr>
          <w:p>
            <w:pPr>
              <w:widowControl/>
              <w:spacing w:line="240" w:lineRule="auto"/>
              <w:ind w:firstLine="0" w:firstLineChars="0"/>
              <w:jc w:val="center"/>
              <w:rPr>
                <w:rFonts w:hint="eastAsia"/>
                <w:b/>
              </w:rPr>
            </w:pPr>
            <w:r>
              <w:rPr>
                <w:rFonts w:hint="eastAsia"/>
                <w:b/>
              </w:rPr>
              <w:t>人员数量</w:t>
            </w:r>
          </w:p>
        </w:tc>
        <w:tc>
          <w:tcPr>
            <w:tcW w:w="3079" w:type="dxa"/>
            <w:vAlign w:val="center"/>
          </w:tcPr>
          <w:p>
            <w:pPr>
              <w:widowControl/>
              <w:spacing w:line="240" w:lineRule="auto"/>
              <w:ind w:firstLine="0" w:firstLineChars="0"/>
              <w:jc w:val="center"/>
              <w:rPr>
                <w:rFonts w:hint="eastAsia"/>
                <w:b/>
              </w:rPr>
            </w:pPr>
            <w:r>
              <w:rPr>
                <w:rFonts w:hint="eastAsia"/>
                <w:b/>
              </w:rPr>
              <w:t>人员要求</w:t>
            </w:r>
          </w:p>
        </w:tc>
        <w:tc>
          <w:tcPr>
            <w:tcW w:w="1191" w:type="dxa"/>
            <w:noWrap/>
            <w:vAlign w:val="center"/>
          </w:tcPr>
          <w:p>
            <w:pPr>
              <w:widowControl/>
              <w:spacing w:line="240" w:lineRule="auto"/>
              <w:ind w:firstLine="0" w:firstLineChars="0"/>
              <w:jc w:val="cente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rPr>
            </w:pPr>
            <w:r>
              <w:rPr>
                <w:rFonts w:hint="eastAsia"/>
              </w:rPr>
              <w:t>项目经理</w:t>
            </w:r>
          </w:p>
        </w:tc>
        <w:tc>
          <w:tcPr>
            <w:tcW w:w="1514" w:type="dxa"/>
            <w:vAlign w:val="center"/>
          </w:tcPr>
          <w:p>
            <w:pPr>
              <w:widowControl/>
              <w:spacing w:line="240" w:lineRule="auto"/>
              <w:ind w:firstLine="0" w:firstLineChars="0"/>
              <w:jc w:val="center"/>
              <w:rPr>
                <w:rFonts w:hint="eastAsia"/>
              </w:rPr>
            </w:pPr>
            <w:r>
              <w:rPr>
                <w:rFonts w:hint="eastAsia"/>
              </w:rPr>
              <w:t>负责项目质量和进度控制</w:t>
            </w:r>
          </w:p>
        </w:tc>
        <w:tc>
          <w:tcPr>
            <w:tcW w:w="1322" w:type="dxa"/>
            <w:noWrap/>
            <w:vAlign w:val="center"/>
          </w:tcPr>
          <w:p>
            <w:pPr>
              <w:widowControl/>
              <w:spacing w:line="240" w:lineRule="auto"/>
              <w:ind w:firstLine="0" w:firstLineChars="0"/>
              <w:jc w:val="center"/>
              <w:rPr>
                <w:rFonts w:hint="eastAsia"/>
              </w:rPr>
            </w:pPr>
            <w:r>
              <w:rPr>
                <w:rFonts w:hint="eastAsia"/>
              </w:rPr>
              <w:t>1人</w:t>
            </w:r>
          </w:p>
        </w:tc>
        <w:tc>
          <w:tcPr>
            <w:tcW w:w="3079" w:type="dxa"/>
            <w:vAlign w:val="center"/>
          </w:tcPr>
          <w:p>
            <w:pPr>
              <w:widowControl/>
              <w:spacing w:line="240" w:lineRule="auto"/>
              <w:ind w:firstLine="0" w:firstLineChars="0"/>
              <w:jc w:val="left"/>
              <w:rPr>
                <w:rStyle w:val="41"/>
                <w:rFonts w:hint="eastAsia"/>
                <w:sz w:val="24"/>
                <w:szCs w:val="24"/>
              </w:rPr>
            </w:pPr>
            <w:r>
              <w:rPr>
                <w:rFonts w:hint="eastAsia"/>
              </w:rPr>
              <w:t>1.具有计算机技术与软件专业技术资格(水平)高级证书或人社部门颁发的计算机类高级职称证书</w:t>
            </w:r>
          </w:p>
          <w:p>
            <w:pPr>
              <w:widowControl/>
              <w:spacing w:line="240" w:lineRule="auto"/>
              <w:ind w:firstLine="0" w:firstLineChars="0"/>
              <w:jc w:val="left"/>
              <w:rPr>
                <w:rFonts w:hint="eastAsia"/>
              </w:rPr>
            </w:pPr>
            <w:r>
              <w:rPr>
                <w:rFonts w:hint="eastAsia"/>
              </w:rPr>
              <w:t>2.具备5年及以上的工作经验</w:t>
            </w:r>
          </w:p>
        </w:tc>
        <w:tc>
          <w:tcPr>
            <w:tcW w:w="1191" w:type="dxa"/>
            <w:noWrap/>
            <w:vAlign w:val="center"/>
          </w:tcPr>
          <w:p>
            <w:pPr>
              <w:widowControl/>
              <w:spacing w:line="240" w:lineRule="auto"/>
              <w:ind w:firstLine="0" w:firstLineChars="0"/>
              <w:jc w:val="center"/>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rPr>
            </w:pPr>
            <w:r>
              <w:rPr>
                <w:rFonts w:hint="eastAsia"/>
              </w:rPr>
              <w:t>产品经理</w:t>
            </w:r>
          </w:p>
        </w:tc>
        <w:tc>
          <w:tcPr>
            <w:tcW w:w="1514" w:type="dxa"/>
            <w:vAlign w:val="center"/>
          </w:tcPr>
          <w:p>
            <w:pPr>
              <w:widowControl/>
              <w:spacing w:line="240" w:lineRule="auto"/>
              <w:ind w:firstLine="0" w:firstLineChars="0"/>
              <w:jc w:val="center"/>
              <w:rPr>
                <w:rFonts w:hint="eastAsia"/>
              </w:rPr>
            </w:pPr>
            <w:r>
              <w:rPr>
                <w:rFonts w:hint="eastAsia"/>
              </w:rPr>
              <w:t>负责项目需求评估与产品设计</w:t>
            </w:r>
          </w:p>
        </w:tc>
        <w:tc>
          <w:tcPr>
            <w:tcW w:w="1322" w:type="dxa"/>
            <w:noWrap/>
            <w:vAlign w:val="center"/>
          </w:tcPr>
          <w:p>
            <w:pPr>
              <w:widowControl/>
              <w:spacing w:line="240" w:lineRule="auto"/>
              <w:ind w:firstLine="0" w:firstLineChars="0"/>
              <w:jc w:val="center"/>
              <w:rPr>
                <w:rFonts w:hint="eastAsia"/>
              </w:rPr>
            </w:pPr>
            <w:r>
              <w:rPr>
                <w:rFonts w:hint="eastAsia"/>
              </w:rPr>
              <w:t>1人</w:t>
            </w:r>
          </w:p>
        </w:tc>
        <w:tc>
          <w:tcPr>
            <w:tcW w:w="3079" w:type="dxa"/>
            <w:vAlign w:val="center"/>
          </w:tcPr>
          <w:p>
            <w:pPr>
              <w:widowControl/>
              <w:spacing w:line="240" w:lineRule="auto"/>
              <w:ind w:firstLine="0" w:firstLineChars="0"/>
              <w:jc w:val="center"/>
              <w:rPr>
                <w:rFonts w:hint="eastAsia"/>
              </w:rPr>
            </w:pPr>
            <w:r>
              <w:rPr>
                <w:rFonts w:hint="eastAsia"/>
              </w:rPr>
              <w:t>具有计算机技术与软件专业技术资格(水平)的系统集成项目管理工程师证书，需有5年以上的工作经验</w:t>
            </w:r>
          </w:p>
        </w:tc>
        <w:tc>
          <w:tcPr>
            <w:tcW w:w="1191"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rPr>
            </w:pPr>
            <w:r>
              <w:rPr>
                <w:rFonts w:hint="eastAsia"/>
              </w:rPr>
              <w:t>技术负责人</w:t>
            </w:r>
          </w:p>
        </w:tc>
        <w:tc>
          <w:tcPr>
            <w:tcW w:w="1514" w:type="dxa"/>
            <w:vAlign w:val="center"/>
          </w:tcPr>
          <w:p>
            <w:pPr>
              <w:widowControl/>
              <w:spacing w:line="240" w:lineRule="auto"/>
              <w:ind w:firstLine="0" w:firstLineChars="0"/>
              <w:jc w:val="center"/>
              <w:rPr>
                <w:rFonts w:hint="eastAsia"/>
              </w:rPr>
            </w:pPr>
            <w:r>
              <w:rPr>
                <w:rFonts w:hint="eastAsia"/>
              </w:rPr>
              <w:t>负责项目框架设计及</w:t>
            </w:r>
          </w:p>
          <w:p>
            <w:pPr>
              <w:widowControl/>
              <w:spacing w:line="240" w:lineRule="auto"/>
              <w:ind w:firstLine="0" w:firstLineChars="0"/>
              <w:jc w:val="center"/>
              <w:rPr>
                <w:rFonts w:hint="eastAsia"/>
              </w:rPr>
            </w:pPr>
            <w:r>
              <w:rPr>
                <w:rFonts w:hint="eastAsia"/>
              </w:rPr>
              <w:t>开发安排</w:t>
            </w:r>
          </w:p>
        </w:tc>
        <w:tc>
          <w:tcPr>
            <w:tcW w:w="1322" w:type="dxa"/>
            <w:noWrap/>
            <w:vAlign w:val="center"/>
          </w:tcPr>
          <w:p>
            <w:pPr>
              <w:widowControl/>
              <w:spacing w:line="240" w:lineRule="auto"/>
              <w:ind w:firstLine="0" w:firstLineChars="0"/>
              <w:jc w:val="center"/>
              <w:rPr>
                <w:rFonts w:hint="eastAsia"/>
              </w:rPr>
            </w:pPr>
            <w:r>
              <w:rPr>
                <w:rFonts w:hint="eastAsia"/>
              </w:rPr>
              <w:t>1人</w:t>
            </w:r>
          </w:p>
        </w:tc>
        <w:tc>
          <w:tcPr>
            <w:tcW w:w="3079" w:type="dxa"/>
            <w:vAlign w:val="center"/>
          </w:tcPr>
          <w:p>
            <w:pPr>
              <w:widowControl/>
              <w:spacing w:line="240" w:lineRule="auto"/>
              <w:ind w:firstLine="0" w:firstLineChars="0"/>
              <w:jc w:val="center"/>
              <w:rPr>
                <w:rFonts w:hint="eastAsia"/>
              </w:rPr>
            </w:pPr>
            <w:r>
              <w:rPr>
                <w:rFonts w:hint="eastAsia"/>
              </w:rPr>
              <w:t>具有计算机技术与软件专业技术资格(水平)的系统集成项目管理工程师证书，需有5年以上的工作经验</w:t>
            </w:r>
          </w:p>
        </w:tc>
        <w:tc>
          <w:tcPr>
            <w:tcW w:w="1191"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16" w:type="dxa"/>
            <w:noWrap/>
            <w:vAlign w:val="center"/>
          </w:tcPr>
          <w:p>
            <w:pPr>
              <w:widowControl/>
              <w:spacing w:line="240" w:lineRule="auto"/>
              <w:ind w:firstLine="0" w:firstLineChars="0"/>
              <w:jc w:val="center"/>
              <w:rPr>
                <w:rFonts w:hint="eastAsia"/>
              </w:rPr>
            </w:pPr>
            <w:r>
              <w:rPr>
                <w:rFonts w:hint="eastAsia"/>
              </w:rPr>
              <w:t>研发</w:t>
            </w:r>
          </w:p>
        </w:tc>
        <w:tc>
          <w:tcPr>
            <w:tcW w:w="1514" w:type="dxa"/>
            <w:noWrap/>
            <w:vAlign w:val="center"/>
          </w:tcPr>
          <w:p>
            <w:pPr>
              <w:widowControl/>
              <w:spacing w:line="240" w:lineRule="auto"/>
              <w:ind w:firstLine="0" w:firstLineChars="0"/>
              <w:jc w:val="center"/>
              <w:rPr>
                <w:rFonts w:hint="eastAsia"/>
              </w:rPr>
            </w:pPr>
            <w:r>
              <w:rPr>
                <w:rFonts w:hint="eastAsia"/>
              </w:rPr>
              <w:t>负责项目具体开发与实施</w:t>
            </w:r>
          </w:p>
        </w:tc>
        <w:tc>
          <w:tcPr>
            <w:tcW w:w="1322" w:type="dxa"/>
            <w:noWrap/>
            <w:vAlign w:val="center"/>
          </w:tcPr>
          <w:p>
            <w:pPr>
              <w:widowControl/>
              <w:spacing w:line="240" w:lineRule="auto"/>
              <w:ind w:firstLine="0" w:firstLineChars="0"/>
              <w:jc w:val="center"/>
              <w:rPr>
                <w:rFonts w:hint="eastAsia"/>
              </w:rPr>
            </w:pPr>
            <w:r>
              <w:rPr>
                <w:rFonts w:hint="eastAsia"/>
              </w:rPr>
              <w:t>4人</w:t>
            </w:r>
          </w:p>
        </w:tc>
        <w:tc>
          <w:tcPr>
            <w:tcW w:w="3079" w:type="dxa"/>
            <w:vAlign w:val="center"/>
          </w:tcPr>
          <w:p>
            <w:pPr>
              <w:widowControl/>
              <w:spacing w:line="240" w:lineRule="auto"/>
              <w:ind w:firstLine="0" w:firstLineChars="0"/>
              <w:jc w:val="center"/>
              <w:rPr>
                <w:rFonts w:hint="eastAsia"/>
              </w:rPr>
            </w:pPr>
            <w:r>
              <w:rPr>
                <w:rFonts w:hint="eastAsia"/>
              </w:rPr>
              <w:t>需有3年以上的工作经验</w:t>
            </w:r>
          </w:p>
        </w:tc>
        <w:tc>
          <w:tcPr>
            <w:tcW w:w="1191" w:type="dxa"/>
            <w:noWrap/>
            <w:vAlign w:val="center"/>
          </w:tcPr>
          <w:p>
            <w:pPr>
              <w:widowControl/>
              <w:spacing w:line="240" w:lineRule="auto"/>
              <w:ind w:firstLine="0" w:firstLineChars="0"/>
              <w:jc w:val="center"/>
              <w:rPr>
                <w:rFonts w:hint="eastAsia"/>
              </w:rPr>
            </w:pPr>
            <w:r>
              <w:rPr>
                <w:rFonts w:hint="eastAsia"/>
              </w:rPr>
              <w:t>至少2人驻场</w:t>
            </w:r>
          </w:p>
        </w:tc>
      </w:tr>
    </w:tbl>
    <w:p>
      <w:pPr>
        <w:rPr>
          <w:rFonts w:hint="eastAsia"/>
        </w:rPr>
      </w:pPr>
      <w:r>
        <w:t>2）</w:t>
      </w:r>
      <w:r>
        <w:rPr>
          <w:rFonts w:hint="eastAsia"/>
          <w:lang w:eastAsia="zh-CN"/>
        </w:rPr>
        <w:t>供应商</w:t>
      </w:r>
      <w:r>
        <w:rPr>
          <w:rFonts w:hint="eastAsia"/>
        </w:rPr>
        <w:t>应针对本项目提供不少于3人的质保期间支撑团队（其中技术负责人1人，技术工程师2人提供驻场服务）；</w:t>
      </w:r>
      <w:r>
        <w:rPr>
          <w:rFonts w:hint="eastAsia"/>
          <w:lang w:eastAsia="zh-CN"/>
        </w:rPr>
        <w:t>供应商</w:t>
      </w:r>
      <w:r>
        <w:rPr>
          <w:rFonts w:hint="eastAsia"/>
        </w:rPr>
        <w:t>的相关服务人员需具备相应的服务能力，需提供相关证明（最近一个季度依法缴纳社保费）</w:t>
      </w:r>
    </w:p>
    <w:tbl>
      <w:tblPr>
        <w:tblStyle w:val="35"/>
        <w:tblpPr w:leftFromText="180" w:rightFromText="180" w:vertAnchor="text" w:horzAnchor="page" w:tblpX="2043" w:tblpY="1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505"/>
        <w:gridCol w:w="1307"/>
        <w:gridCol w:w="3069"/>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3" w:type="dxa"/>
            <w:noWrap/>
            <w:vAlign w:val="center"/>
          </w:tcPr>
          <w:p>
            <w:pPr>
              <w:widowControl/>
              <w:spacing w:line="240" w:lineRule="auto"/>
              <w:ind w:firstLine="0" w:firstLineChars="0"/>
              <w:jc w:val="center"/>
              <w:rPr>
                <w:rFonts w:hint="eastAsia"/>
                <w:b/>
              </w:rPr>
            </w:pPr>
            <w:r>
              <w:rPr>
                <w:rFonts w:hint="eastAsia"/>
                <w:b/>
              </w:rPr>
              <w:t>角色</w:t>
            </w:r>
          </w:p>
        </w:tc>
        <w:tc>
          <w:tcPr>
            <w:tcW w:w="1505" w:type="dxa"/>
            <w:noWrap/>
            <w:vAlign w:val="center"/>
          </w:tcPr>
          <w:p>
            <w:pPr>
              <w:widowControl/>
              <w:spacing w:line="240" w:lineRule="auto"/>
              <w:ind w:firstLine="0" w:firstLineChars="0"/>
              <w:jc w:val="center"/>
              <w:rPr>
                <w:rFonts w:hint="eastAsia"/>
                <w:b/>
              </w:rPr>
            </w:pPr>
            <w:r>
              <w:rPr>
                <w:rFonts w:hint="eastAsia"/>
                <w:b/>
              </w:rPr>
              <w:t>主要职责</w:t>
            </w:r>
          </w:p>
        </w:tc>
        <w:tc>
          <w:tcPr>
            <w:tcW w:w="1307" w:type="dxa"/>
            <w:noWrap/>
            <w:vAlign w:val="center"/>
          </w:tcPr>
          <w:p>
            <w:pPr>
              <w:widowControl/>
              <w:spacing w:line="240" w:lineRule="auto"/>
              <w:ind w:firstLine="0" w:firstLineChars="0"/>
              <w:jc w:val="center"/>
              <w:rPr>
                <w:rFonts w:hint="eastAsia"/>
                <w:b/>
              </w:rPr>
            </w:pPr>
            <w:r>
              <w:rPr>
                <w:rFonts w:hint="eastAsia"/>
                <w:b/>
              </w:rPr>
              <w:t>人员数量</w:t>
            </w:r>
          </w:p>
        </w:tc>
        <w:tc>
          <w:tcPr>
            <w:tcW w:w="3069" w:type="dxa"/>
            <w:vAlign w:val="center"/>
          </w:tcPr>
          <w:p>
            <w:pPr>
              <w:widowControl/>
              <w:spacing w:line="240" w:lineRule="auto"/>
              <w:ind w:firstLine="0" w:firstLineChars="0"/>
              <w:jc w:val="center"/>
              <w:rPr>
                <w:rFonts w:hint="eastAsia"/>
                <w:b/>
              </w:rPr>
            </w:pPr>
            <w:r>
              <w:rPr>
                <w:rFonts w:hint="eastAsia"/>
                <w:b/>
              </w:rPr>
              <w:t>人员要求</w:t>
            </w:r>
          </w:p>
        </w:tc>
        <w:tc>
          <w:tcPr>
            <w:tcW w:w="1218" w:type="dxa"/>
            <w:noWrap/>
            <w:vAlign w:val="center"/>
          </w:tcPr>
          <w:p>
            <w:pPr>
              <w:widowControl/>
              <w:spacing w:line="240" w:lineRule="auto"/>
              <w:ind w:firstLine="0" w:firstLineChars="0"/>
              <w:jc w:val="cente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3" w:type="dxa"/>
            <w:noWrap/>
            <w:vAlign w:val="center"/>
          </w:tcPr>
          <w:p>
            <w:pPr>
              <w:widowControl/>
              <w:spacing w:line="240" w:lineRule="auto"/>
              <w:ind w:firstLine="0" w:firstLineChars="0"/>
              <w:jc w:val="center"/>
              <w:rPr>
                <w:rFonts w:hint="eastAsia"/>
              </w:rPr>
            </w:pPr>
            <w:r>
              <w:rPr>
                <w:rFonts w:hint="eastAsia"/>
              </w:rPr>
              <w:t>技术负责人</w:t>
            </w:r>
          </w:p>
        </w:tc>
        <w:tc>
          <w:tcPr>
            <w:tcW w:w="1505" w:type="dxa"/>
            <w:vAlign w:val="center"/>
          </w:tcPr>
          <w:p>
            <w:pPr>
              <w:widowControl/>
              <w:spacing w:line="240" w:lineRule="auto"/>
              <w:ind w:firstLine="0" w:firstLineChars="0"/>
              <w:jc w:val="center"/>
              <w:rPr>
                <w:rFonts w:hint="eastAsia"/>
              </w:rPr>
            </w:pPr>
            <w:r>
              <w:rPr>
                <w:rFonts w:hint="eastAsia"/>
              </w:rPr>
              <w:t>负责项目运行维护把控</w:t>
            </w:r>
          </w:p>
        </w:tc>
        <w:tc>
          <w:tcPr>
            <w:tcW w:w="1307" w:type="dxa"/>
            <w:noWrap/>
            <w:vAlign w:val="center"/>
          </w:tcPr>
          <w:p>
            <w:pPr>
              <w:widowControl/>
              <w:spacing w:line="240" w:lineRule="auto"/>
              <w:ind w:firstLine="0" w:firstLineChars="0"/>
              <w:jc w:val="center"/>
              <w:rPr>
                <w:rFonts w:hint="eastAsia"/>
              </w:rPr>
            </w:pPr>
            <w:r>
              <w:rPr>
                <w:rFonts w:hint="eastAsia"/>
              </w:rPr>
              <w:t>1人</w:t>
            </w:r>
          </w:p>
        </w:tc>
        <w:tc>
          <w:tcPr>
            <w:tcW w:w="3069" w:type="dxa"/>
            <w:vAlign w:val="center"/>
          </w:tcPr>
          <w:p>
            <w:pPr>
              <w:widowControl/>
              <w:spacing w:line="240" w:lineRule="auto"/>
              <w:ind w:firstLine="0" w:firstLineChars="0"/>
              <w:jc w:val="center"/>
              <w:rPr>
                <w:rFonts w:hint="eastAsia"/>
              </w:rPr>
            </w:pPr>
            <w:r>
              <w:rPr>
                <w:rFonts w:hint="eastAsia"/>
              </w:rPr>
              <w:t>具有计算机技术与软件专业技术资格(水平)的系统集成项目管理工程师证书，需有5年以上的工作经验</w:t>
            </w:r>
          </w:p>
        </w:tc>
        <w:tc>
          <w:tcPr>
            <w:tcW w:w="1218" w:type="dxa"/>
            <w:noWrap/>
            <w:vAlign w:val="center"/>
          </w:tcPr>
          <w:p>
            <w:pPr>
              <w:widowControl/>
              <w:spacing w:line="240" w:lineRule="auto"/>
              <w:ind w:firstLine="0" w:firstLineChars="0"/>
              <w:jc w:val="cente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83" w:type="dxa"/>
            <w:noWrap/>
            <w:vAlign w:val="center"/>
          </w:tcPr>
          <w:p>
            <w:pPr>
              <w:widowControl/>
              <w:spacing w:line="240" w:lineRule="auto"/>
              <w:ind w:firstLine="0" w:firstLineChars="0"/>
              <w:jc w:val="center"/>
              <w:rPr>
                <w:rFonts w:hint="eastAsia"/>
              </w:rPr>
            </w:pPr>
            <w:r>
              <w:rPr>
                <w:rFonts w:hint="eastAsia"/>
              </w:rPr>
              <w:t>技术工程师</w:t>
            </w:r>
          </w:p>
        </w:tc>
        <w:tc>
          <w:tcPr>
            <w:tcW w:w="1505" w:type="dxa"/>
            <w:vAlign w:val="center"/>
          </w:tcPr>
          <w:p>
            <w:pPr>
              <w:widowControl/>
              <w:spacing w:line="240" w:lineRule="auto"/>
              <w:ind w:firstLine="0" w:firstLineChars="0"/>
              <w:jc w:val="center"/>
              <w:rPr>
                <w:rFonts w:hint="eastAsia"/>
              </w:rPr>
            </w:pPr>
            <w:r>
              <w:rPr>
                <w:rFonts w:hint="eastAsia"/>
              </w:rPr>
              <w:t>负责项目运行维护</w:t>
            </w:r>
          </w:p>
        </w:tc>
        <w:tc>
          <w:tcPr>
            <w:tcW w:w="1307" w:type="dxa"/>
            <w:noWrap/>
            <w:vAlign w:val="center"/>
          </w:tcPr>
          <w:p>
            <w:pPr>
              <w:widowControl/>
              <w:spacing w:line="240" w:lineRule="auto"/>
              <w:ind w:firstLine="0" w:firstLineChars="0"/>
              <w:jc w:val="center"/>
              <w:rPr>
                <w:rFonts w:hint="eastAsia"/>
              </w:rPr>
            </w:pPr>
            <w:r>
              <w:rPr>
                <w:rFonts w:hint="eastAsia"/>
              </w:rPr>
              <w:t>2人</w:t>
            </w:r>
          </w:p>
        </w:tc>
        <w:tc>
          <w:tcPr>
            <w:tcW w:w="3069" w:type="dxa"/>
            <w:vAlign w:val="center"/>
          </w:tcPr>
          <w:p>
            <w:pPr>
              <w:widowControl/>
              <w:spacing w:line="240" w:lineRule="auto"/>
              <w:ind w:firstLine="0" w:firstLineChars="0"/>
              <w:jc w:val="center"/>
              <w:rPr>
                <w:rFonts w:hint="eastAsia"/>
              </w:rPr>
            </w:pPr>
            <w:r>
              <w:rPr>
                <w:rFonts w:hint="eastAsia"/>
              </w:rPr>
              <w:t>需有3年以上的工作经验</w:t>
            </w:r>
          </w:p>
        </w:tc>
        <w:tc>
          <w:tcPr>
            <w:tcW w:w="1218" w:type="dxa"/>
            <w:noWrap/>
            <w:vAlign w:val="center"/>
          </w:tcPr>
          <w:p>
            <w:pPr>
              <w:widowControl/>
              <w:spacing w:line="240" w:lineRule="auto"/>
              <w:ind w:firstLine="0" w:firstLineChars="0"/>
              <w:jc w:val="center"/>
              <w:rPr>
                <w:rFonts w:hint="eastAsia"/>
              </w:rPr>
            </w:pPr>
            <w:r>
              <w:rPr>
                <w:rFonts w:hint="eastAsia"/>
              </w:rPr>
              <w:t>驻场</w:t>
            </w:r>
          </w:p>
        </w:tc>
      </w:tr>
    </w:tbl>
    <w:p>
      <w:pPr>
        <w:pStyle w:val="4"/>
        <w:rPr>
          <w:rFonts w:hint="eastAsia"/>
        </w:rPr>
      </w:pPr>
      <w:bookmarkStart w:id="32" w:name="_Toc63785511"/>
      <w:r>
        <w:t>等级保护要求</w:t>
      </w:r>
      <w:bookmarkEnd w:id="32"/>
    </w:p>
    <w:p>
      <w:pPr>
        <w:rPr>
          <w:rFonts w:hint="eastAsia" w:ascii="仿宋_GB2312" w:eastAsia="仿宋_GB2312" w:cs="仿宋_GB2312"/>
          <w:color w:val="000000"/>
          <w:kern w:val="0"/>
          <w:sz w:val="28"/>
          <w:szCs w:val="28"/>
        </w:rPr>
      </w:pPr>
      <w:r>
        <w:t>本项目等级保护要求：</w:t>
      </w:r>
      <w:r>
        <w:rPr>
          <w:rFonts w:hint="eastAsia"/>
        </w:rPr>
        <w:t>本项目的信息系统安全等级为二级。</w:t>
      </w:r>
    </w:p>
    <w:p>
      <w:pPr>
        <w:pStyle w:val="4"/>
        <w:rPr>
          <w:rFonts w:hint="eastAsia"/>
        </w:rPr>
      </w:pPr>
      <w:r>
        <w:rPr>
          <w:rFonts w:hint="eastAsia"/>
        </w:rPr>
        <w:t>商用密码应用需求</w:t>
      </w:r>
    </w:p>
    <w:p>
      <w:pPr>
        <w:rPr>
          <w:rFonts w:hint="eastAsia"/>
        </w:rPr>
      </w:pPr>
      <w:bookmarkStart w:id="33" w:name="_Toc63785512"/>
      <w:r>
        <w:rPr>
          <w:rFonts w:hint="eastAsia"/>
        </w:rPr>
        <w:t>根据安全风险分析，并对照《密码应用基本要求》中二级指标要求和《密码应用设计指南》，梳理出本系统密码应用需求清单，具体如下：</w:t>
      </w:r>
    </w:p>
    <w:tbl>
      <w:tblPr>
        <w:tblStyle w:val="35"/>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785"/>
        <w:gridCol w:w="788"/>
        <w:gridCol w:w="2098"/>
        <w:gridCol w:w="3411"/>
        <w:gridCol w:w="144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99" w:hRule="atLeast"/>
          <w:tblHeader/>
          <w:jc w:val="center"/>
        </w:trPr>
        <w:tc>
          <w:tcPr>
            <w:tcW w:w="922" w:type="pct"/>
            <w:gridSpan w:val="2"/>
            <w:vAlign w:val="center"/>
          </w:tcPr>
          <w:p>
            <w:pPr>
              <w:pStyle w:val="16"/>
              <w:jc w:val="center"/>
              <w:rPr>
                <w:b/>
                <w:bCs/>
              </w:rPr>
            </w:pPr>
            <w:r>
              <w:rPr>
                <w:rFonts w:hint="eastAsia"/>
                <w:b/>
                <w:bCs/>
              </w:rPr>
              <w:t>安全层面</w:t>
            </w:r>
          </w:p>
        </w:tc>
        <w:tc>
          <w:tcPr>
            <w:tcW w:w="1230" w:type="pct"/>
            <w:vAlign w:val="center"/>
          </w:tcPr>
          <w:p>
            <w:pPr>
              <w:pStyle w:val="16"/>
              <w:jc w:val="center"/>
              <w:rPr>
                <w:b/>
                <w:bCs/>
              </w:rPr>
            </w:pPr>
            <w:r>
              <w:rPr>
                <w:rFonts w:hint="eastAsia"/>
                <w:b/>
                <w:bCs/>
              </w:rPr>
              <w:t>指标要求</w:t>
            </w:r>
          </w:p>
        </w:tc>
        <w:tc>
          <w:tcPr>
            <w:tcW w:w="2000" w:type="pct"/>
            <w:vAlign w:val="center"/>
          </w:tcPr>
          <w:p>
            <w:pPr>
              <w:pStyle w:val="16"/>
              <w:jc w:val="center"/>
              <w:rPr>
                <w:b/>
                <w:bCs/>
              </w:rPr>
            </w:pPr>
            <w:r>
              <w:rPr>
                <w:rFonts w:hint="eastAsia"/>
                <w:b/>
                <w:bCs/>
              </w:rPr>
              <w:t>系统密码应用需求</w:t>
            </w:r>
          </w:p>
        </w:tc>
        <w:tc>
          <w:tcPr>
            <w:tcW w:w="846" w:type="pct"/>
            <w:vAlign w:val="center"/>
          </w:tcPr>
          <w:p>
            <w:pPr>
              <w:pStyle w:val="16"/>
              <w:jc w:val="center"/>
              <w:rPr>
                <w:b/>
                <w:bCs/>
              </w:rPr>
            </w:pPr>
            <w:r>
              <w:rPr>
                <w:rFonts w:hint="eastAsia"/>
                <w:b/>
                <w:bCs/>
              </w:rPr>
              <w:t>不适用说明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8" w:hRule="atLeast"/>
          <w:jc w:val="center"/>
        </w:trPr>
        <w:tc>
          <w:tcPr>
            <w:tcW w:w="460" w:type="pct"/>
            <w:vMerge w:val="restart"/>
            <w:vAlign w:val="center"/>
          </w:tcPr>
          <w:p>
            <w:pPr>
              <w:pStyle w:val="16"/>
              <w:jc w:val="center"/>
            </w:pPr>
            <w:r>
              <w:rPr>
                <w:rFonts w:hint="eastAsia"/>
              </w:rPr>
              <w:t>计算平台安全</w:t>
            </w:r>
          </w:p>
        </w:tc>
        <w:tc>
          <w:tcPr>
            <w:tcW w:w="462" w:type="pct"/>
            <w:vMerge w:val="restart"/>
            <w:vAlign w:val="center"/>
          </w:tcPr>
          <w:p>
            <w:pPr>
              <w:pStyle w:val="16"/>
              <w:jc w:val="center"/>
            </w:pPr>
            <w:r>
              <w:rPr>
                <w:rFonts w:hint="eastAsia"/>
              </w:rPr>
              <w:t>物理和环境安全</w:t>
            </w:r>
          </w:p>
        </w:tc>
        <w:tc>
          <w:tcPr>
            <w:tcW w:w="1230" w:type="pct"/>
            <w:vAlign w:val="center"/>
          </w:tcPr>
          <w:p>
            <w:pPr>
              <w:pStyle w:val="16"/>
            </w:pPr>
            <w:r>
              <w:rPr>
                <w:rFonts w:hint="eastAsia"/>
              </w:rPr>
              <w:t>身份鉴别</w:t>
            </w:r>
          </w:p>
        </w:tc>
        <w:tc>
          <w:tcPr>
            <w:tcW w:w="2000" w:type="pct"/>
            <w:vAlign w:val="center"/>
          </w:tcPr>
          <w:p>
            <w:pPr>
              <w:pStyle w:val="16"/>
            </w:pPr>
            <w:r>
              <w:rPr>
                <w:rFonts w:hint="eastAsia"/>
              </w:rPr>
              <w:t>已符合密码应用要求。</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1"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电子门禁记录数据完整性</w:t>
            </w:r>
          </w:p>
        </w:tc>
        <w:tc>
          <w:tcPr>
            <w:tcW w:w="2000" w:type="pct"/>
            <w:vAlign w:val="center"/>
          </w:tcPr>
          <w:p>
            <w:pPr>
              <w:pStyle w:val="16"/>
            </w:pPr>
            <w:r>
              <w:rPr>
                <w:rFonts w:hint="eastAsia"/>
              </w:rPr>
              <w:t>已符合密码应用要求。</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密码服务</w:t>
            </w:r>
          </w:p>
        </w:tc>
        <w:tc>
          <w:tcPr>
            <w:tcW w:w="2000" w:type="pct"/>
            <w:vAlign w:val="center"/>
          </w:tcPr>
          <w:p>
            <w:pPr>
              <w:pStyle w:val="16"/>
            </w:pPr>
            <w:r>
              <w:rPr>
                <w:rFonts w:hint="eastAsia"/>
              </w:rPr>
              <w:t>不适用。</w:t>
            </w:r>
          </w:p>
        </w:tc>
        <w:tc>
          <w:tcPr>
            <w:tcW w:w="846" w:type="pct"/>
            <w:vAlign w:val="center"/>
          </w:tcPr>
          <w:p>
            <w:pPr>
              <w:pStyle w:val="16"/>
            </w:pPr>
            <w:r>
              <w:rPr>
                <w:rFonts w:hint="eastAsia"/>
              </w:rPr>
              <w:t>无密码服务需求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密码产品</w:t>
            </w:r>
          </w:p>
        </w:tc>
        <w:tc>
          <w:tcPr>
            <w:tcW w:w="2000" w:type="pct"/>
            <w:vAlign w:val="center"/>
          </w:tcPr>
          <w:p>
            <w:pPr>
              <w:pStyle w:val="16"/>
            </w:pPr>
            <w:r>
              <w:rPr>
                <w:rFonts w:hint="eastAsia"/>
              </w:rPr>
              <w:t>采用的密码产品应达到</w:t>
            </w:r>
            <w:r>
              <w:t>GB/T 37092</w:t>
            </w:r>
            <w:r>
              <w:rPr>
                <w:rFonts w:hint="eastAsia"/>
              </w:rPr>
              <w:t>-2018二级及以上安全要求。</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5" w:hRule="atLeast"/>
          <w:jc w:val="center"/>
        </w:trPr>
        <w:tc>
          <w:tcPr>
            <w:tcW w:w="460" w:type="pct"/>
            <w:vMerge w:val="continue"/>
            <w:vAlign w:val="center"/>
          </w:tcPr>
          <w:p>
            <w:pPr>
              <w:pStyle w:val="16"/>
              <w:jc w:val="center"/>
            </w:pPr>
          </w:p>
        </w:tc>
        <w:tc>
          <w:tcPr>
            <w:tcW w:w="462" w:type="pct"/>
            <w:vMerge w:val="restart"/>
            <w:vAlign w:val="center"/>
          </w:tcPr>
          <w:p>
            <w:pPr>
              <w:pStyle w:val="16"/>
              <w:jc w:val="center"/>
            </w:pPr>
            <w:r>
              <w:rPr>
                <w:rFonts w:hint="eastAsia"/>
              </w:rPr>
              <w:t>网络和通信安全</w:t>
            </w:r>
          </w:p>
        </w:tc>
        <w:tc>
          <w:tcPr>
            <w:tcW w:w="1230" w:type="pct"/>
            <w:vAlign w:val="center"/>
          </w:tcPr>
          <w:p>
            <w:pPr>
              <w:pStyle w:val="16"/>
            </w:pPr>
            <w:r>
              <w:rPr>
                <w:rFonts w:hint="eastAsia"/>
              </w:rPr>
              <w:t>身份鉴别</w:t>
            </w:r>
          </w:p>
        </w:tc>
        <w:tc>
          <w:tcPr>
            <w:tcW w:w="2000" w:type="pct"/>
            <w:vAlign w:val="center"/>
          </w:tcPr>
          <w:p>
            <w:pPr>
              <w:pStyle w:val="16"/>
            </w:pPr>
            <w:r>
              <w:rPr>
                <w:rFonts w:hint="eastAsia"/>
              </w:rPr>
              <w:t>已符合密码应用要求。</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51"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通信数据完整性</w:t>
            </w:r>
          </w:p>
        </w:tc>
        <w:tc>
          <w:tcPr>
            <w:tcW w:w="2000" w:type="pct"/>
            <w:vMerge w:val="restart"/>
            <w:vAlign w:val="center"/>
          </w:tcPr>
          <w:p>
            <w:pPr>
              <w:pStyle w:val="16"/>
            </w:pPr>
            <w:r>
              <w:rPr>
                <w:rFonts w:hint="eastAsia"/>
              </w:rPr>
              <w:t>保护通信过程中重要业务数据的完整性和机密性，防止数据被非授权篡改，防止重要数据泄露。</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通信过程中重要数据的机密性</w:t>
            </w:r>
          </w:p>
        </w:tc>
        <w:tc>
          <w:tcPr>
            <w:tcW w:w="2000" w:type="pct"/>
            <w:vMerge w:val="continue"/>
            <w:vAlign w:val="center"/>
          </w:tcPr>
          <w:p>
            <w:pPr>
              <w:pStyle w:val="16"/>
            </w:pP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网络边界访问控制信息的完整性</w:t>
            </w:r>
            <w:r>
              <w:t xml:space="preserve"> </w:t>
            </w:r>
          </w:p>
        </w:tc>
        <w:tc>
          <w:tcPr>
            <w:tcW w:w="2000" w:type="pct"/>
            <w:vAlign w:val="center"/>
          </w:tcPr>
          <w:p>
            <w:pPr>
              <w:pStyle w:val="16"/>
            </w:pPr>
            <w:r>
              <w:rPr>
                <w:rFonts w:hint="eastAsia"/>
              </w:rPr>
              <w:t>保护政务外网用户访问应用系统的网络边界访问控制信息的完整性，防止被非授权篡改。</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3"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密码服务</w:t>
            </w:r>
          </w:p>
        </w:tc>
        <w:tc>
          <w:tcPr>
            <w:tcW w:w="2000" w:type="pct"/>
            <w:vAlign w:val="center"/>
          </w:tcPr>
          <w:p>
            <w:pPr>
              <w:pStyle w:val="16"/>
            </w:pPr>
            <w:r>
              <w:rPr>
                <w:rFonts w:hint="eastAsia"/>
              </w:rPr>
              <w:t>采用的数字证书由具有电子认证服务资质的机构签发。</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密码产品</w:t>
            </w:r>
          </w:p>
        </w:tc>
        <w:tc>
          <w:tcPr>
            <w:tcW w:w="2000" w:type="pct"/>
            <w:vAlign w:val="center"/>
          </w:tcPr>
          <w:p>
            <w:pPr>
              <w:pStyle w:val="16"/>
            </w:pPr>
            <w:r>
              <w:rPr>
                <w:rFonts w:hint="eastAsia"/>
              </w:rPr>
              <w:t>采用的密码产品应达到</w:t>
            </w:r>
            <w:r>
              <w:t>GB/T 37092</w:t>
            </w:r>
            <w:r>
              <w:rPr>
                <w:rFonts w:hint="eastAsia"/>
              </w:rPr>
              <w:t>-2018二级及以上安全要求。</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restart"/>
            <w:vAlign w:val="center"/>
          </w:tcPr>
          <w:p>
            <w:pPr>
              <w:pStyle w:val="16"/>
              <w:jc w:val="center"/>
            </w:pPr>
            <w:r>
              <w:rPr>
                <w:rFonts w:hint="eastAsia"/>
              </w:rPr>
              <w:t>设备和计算安全</w:t>
            </w:r>
          </w:p>
        </w:tc>
        <w:tc>
          <w:tcPr>
            <w:tcW w:w="1230" w:type="pct"/>
            <w:vAlign w:val="center"/>
          </w:tcPr>
          <w:p>
            <w:pPr>
              <w:pStyle w:val="16"/>
            </w:pPr>
            <w:r>
              <w:rPr>
                <w:rFonts w:hint="eastAsia"/>
              </w:rPr>
              <w:t>身份鉴别</w:t>
            </w:r>
          </w:p>
        </w:tc>
        <w:tc>
          <w:tcPr>
            <w:tcW w:w="2000" w:type="pct"/>
            <w:vAlign w:val="center"/>
          </w:tcPr>
          <w:p>
            <w:pPr>
              <w:pStyle w:val="16"/>
            </w:pPr>
            <w:r>
              <w:rPr>
                <w:rFonts w:hint="eastAsia"/>
              </w:rPr>
              <w:t>管理员通过远程运维管理终端访问堡垒机、服务器虚拟机、数据库、密码服务时，对其</w:t>
            </w:r>
            <w:r>
              <w:t>身份真实性进行识别和确认，防止假冒人员登录</w:t>
            </w:r>
            <w:r>
              <w:rPr>
                <w:rFonts w:hint="eastAsia"/>
              </w:rPr>
              <w:t>。</w:t>
            </w:r>
          </w:p>
        </w:tc>
        <w:tc>
          <w:tcPr>
            <w:tcW w:w="846" w:type="pct"/>
            <w:vAlign w:val="center"/>
          </w:tcPr>
          <w:p>
            <w:pPr>
              <w:pStyle w:val="16"/>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系统资源访问控制信息完整性</w:t>
            </w:r>
          </w:p>
        </w:tc>
        <w:tc>
          <w:tcPr>
            <w:tcW w:w="2000" w:type="pct"/>
            <w:vAlign w:val="center"/>
          </w:tcPr>
          <w:p>
            <w:pPr>
              <w:pStyle w:val="16"/>
            </w:pPr>
            <w:r>
              <w:t>保护系统中服务器</w:t>
            </w:r>
            <w:r>
              <w:rPr>
                <w:rFonts w:hint="eastAsia"/>
              </w:rPr>
              <w:t>虚拟机、数据库、密码服务的</w:t>
            </w:r>
            <w:r>
              <w:t>访问控制信息的完整性，防止被非授权篡改</w:t>
            </w:r>
            <w:r>
              <w:rPr>
                <w:rFonts w:hint="eastAsia"/>
              </w:rPr>
              <w:t>。</w:t>
            </w:r>
          </w:p>
        </w:tc>
        <w:tc>
          <w:tcPr>
            <w:tcW w:w="846" w:type="pct"/>
            <w:vAlign w:val="center"/>
          </w:tcPr>
          <w:p>
            <w:pPr>
              <w:pStyle w:val="16"/>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日志记录完整性</w:t>
            </w:r>
          </w:p>
        </w:tc>
        <w:tc>
          <w:tcPr>
            <w:tcW w:w="2000" w:type="pct"/>
            <w:vAlign w:val="center"/>
          </w:tcPr>
          <w:p>
            <w:pPr>
              <w:pStyle w:val="16"/>
            </w:pPr>
            <w:r>
              <w:t>保护系统中服务器</w:t>
            </w:r>
            <w:r>
              <w:rPr>
                <w:rFonts w:hint="eastAsia"/>
              </w:rPr>
              <w:t>虚拟机、数据库、密码服务的</w:t>
            </w:r>
            <w:r>
              <w:t>日志记录的完整性，防止被非授权篡改</w:t>
            </w:r>
            <w:r>
              <w:rPr>
                <w:rFonts w:hint="eastAsia"/>
              </w:rPr>
              <w:t>。</w:t>
            </w:r>
          </w:p>
        </w:tc>
        <w:tc>
          <w:tcPr>
            <w:tcW w:w="846" w:type="pct"/>
            <w:vAlign w:val="center"/>
          </w:tcPr>
          <w:p>
            <w:pPr>
              <w:pStyle w:val="16"/>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密码服务</w:t>
            </w:r>
          </w:p>
        </w:tc>
        <w:tc>
          <w:tcPr>
            <w:tcW w:w="2000" w:type="pct"/>
            <w:vAlign w:val="center"/>
          </w:tcPr>
          <w:p>
            <w:pPr>
              <w:pStyle w:val="16"/>
            </w:pPr>
            <w:r>
              <w:rPr>
                <w:rFonts w:hint="eastAsia"/>
              </w:rPr>
              <w:t>采用的数字证书由具有电子认证服务资质的机构签发。</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密码产品</w:t>
            </w:r>
          </w:p>
        </w:tc>
        <w:tc>
          <w:tcPr>
            <w:tcW w:w="2000" w:type="pct"/>
            <w:vAlign w:val="center"/>
          </w:tcPr>
          <w:p>
            <w:pPr>
              <w:pStyle w:val="16"/>
            </w:pPr>
            <w:r>
              <w:rPr>
                <w:rFonts w:hint="eastAsia"/>
              </w:rPr>
              <w:t>采用的密码产品应达到</w:t>
            </w:r>
            <w:r>
              <w:t>GB/T 37092</w:t>
            </w:r>
            <w:r>
              <w:rPr>
                <w:rFonts w:hint="eastAsia"/>
              </w:rPr>
              <w:t>-2018二级及以上安全要求。</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restart"/>
            <w:vAlign w:val="center"/>
          </w:tcPr>
          <w:p>
            <w:pPr>
              <w:pStyle w:val="16"/>
              <w:jc w:val="center"/>
            </w:pPr>
            <w:r>
              <w:rPr>
                <w:rFonts w:hint="eastAsia"/>
              </w:rPr>
              <w:t>业务应用安全</w:t>
            </w:r>
          </w:p>
        </w:tc>
        <w:tc>
          <w:tcPr>
            <w:tcW w:w="462" w:type="pct"/>
            <w:vMerge w:val="restart"/>
            <w:vAlign w:val="center"/>
          </w:tcPr>
          <w:p>
            <w:pPr>
              <w:pStyle w:val="16"/>
              <w:jc w:val="center"/>
            </w:pPr>
            <w:r>
              <w:rPr>
                <w:rFonts w:hint="eastAsia"/>
              </w:rPr>
              <w:t>应用和数据安全</w:t>
            </w:r>
          </w:p>
        </w:tc>
        <w:tc>
          <w:tcPr>
            <w:tcW w:w="1230" w:type="pct"/>
            <w:vAlign w:val="center"/>
          </w:tcPr>
          <w:p>
            <w:pPr>
              <w:pStyle w:val="16"/>
            </w:pPr>
            <w:r>
              <w:rPr>
                <w:rFonts w:hint="eastAsia"/>
              </w:rPr>
              <w:t>身份鉴别</w:t>
            </w:r>
          </w:p>
        </w:tc>
        <w:tc>
          <w:tcPr>
            <w:tcW w:w="2000" w:type="pct"/>
            <w:vAlign w:val="center"/>
          </w:tcPr>
          <w:p>
            <w:pPr>
              <w:pStyle w:val="16"/>
            </w:pPr>
            <w:r>
              <w:t>确认</w:t>
            </w:r>
            <w:r>
              <w:rPr>
                <w:rFonts w:hint="eastAsia"/>
              </w:rPr>
              <w:t>应用系统</w:t>
            </w:r>
            <w:r>
              <w:t>用户身份的真实性，防止假冒人员登录</w:t>
            </w:r>
            <w:r>
              <w:rPr>
                <w:rFonts w:hint="eastAsia"/>
              </w:rPr>
              <w:t>。</w:t>
            </w:r>
          </w:p>
        </w:tc>
        <w:tc>
          <w:tcPr>
            <w:tcW w:w="846" w:type="pct"/>
            <w:vAlign w:val="center"/>
          </w:tcPr>
          <w:p>
            <w:pPr>
              <w:pStyle w:val="16"/>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访问控制信息完整性</w:t>
            </w:r>
          </w:p>
        </w:tc>
        <w:tc>
          <w:tcPr>
            <w:tcW w:w="2000" w:type="pct"/>
            <w:vAlign w:val="center"/>
          </w:tcPr>
          <w:p>
            <w:pPr>
              <w:pStyle w:val="16"/>
            </w:pPr>
            <w:r>
              <w:t>对</w:t>
            </w:r>
            <w:r>
              <w:rPr>
                <w:rFonts w:hint="eastAsia"/>
              </w:rPr>
              <w:t>应用系统</w:t>
            </w:r>
            <w:r>
              <w:t>的访问权限控制列表进行完整性保护，防止被非授权篡改</w:t>
            </w:r>
            <w:r>
              <w:rPr>
                <w:rFonts w:hint="eastAsia"/>
              </w:rPr>
              <w:t>。</w:t>
            </w:r>
          </w:p>
        </w:tc>
        <w:tc>
          <w:tcPr>
            <w:tcW w:w="846" w:type="pct"/>
            <w:vAlign w:val="center"/>
          </w:tcPr>
          <w:p>
            <w:pPr>
              <w:pStyle w:val="16"/>
            </w:pPr>
            <w: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数据传输机密性</w:t>
            </w:r>
          </w:p>
        </w:tc>
        <w:tc>
          <w:tcPr>
            <w:tcW w:w="2000" w:type="pct"/>
            <w:vMerge w:val="restart"/>
            <w:vAlign w:val="center"/>
          </w:tcPr>
          <w:p>
            <w:pPr>
              <w:pStyle w:val="16"/>
            </w:pPr>
            <w:r>
              <w:rPr>
                <w:rFonts w:hint="eastAsia"/>
              </w:rPr>
              <w:t>保护互联网客户端与服务端之间传输和存储的用户登录身份鉴别信息、规划数据、项目数据、合同信息等重要数据的机密性和完整性，防止数据泄露给非授权的个人、进程等。保护系统业务日志数据的完整性，防止该数据被非授权篡改。</w:t>
            </w:r>
          </w:p>
        </w:tc>
        <w:tc>
          <w:tcPr>
            <w:tcW w:w="846" w:type="pct"/>
            <w:vMerge w:val="restar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数据存储机密性</w:t>
            </w:r>
          </w:p>
        </w:tc>
        <w:tc>
          <w:tcPr>
            <w:tcW w:w="2000" w:type="pct"/>
            <w:vMerge w:val="continue"/>
            <w:vAlign w:val="center"/>
          </w:tcPr>
          <w:p>
            <w:pPr>
              <w:pStyle w:val="16"/>
            </w:pPr>
          </w:p>
        </w:tc>
        <w:tc>
          <w:tcPr>
            <w:tcW w:w="846" w:type="pct"/>
            <w:vMerge w:val="continue"/>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数据传输完整性</w:t>
            </w:r>
          </w:p>
        </w:tc>
        <w:tc>
          <w:tcPr>
            <w:tcW w:w="2000" w:type="pct"/>
            <w:vMerge w:val="continue"/>
            <w:vAlign w:val="center"/>
          </w:tcPr>
          <w:p>
            <w:pPr>
              <w:pStyle w:val="16"/>
            </w:pPr>
          </w:p>
        </w:tc>
        <w:tc>
          <w:tcPr>
            <w:tcW w:w="846" w:type="pct"/>
            <w:vMerge w:val="continue"/>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数据存储完整性</w:t>
            </w:r>
          </w:p>
        </w:tc>
        <w:tc>
          <w:tcPr>
            <w:tcW w:w="2000" w:type="pct"/>
            <w:vMerge w:val="continue"/>
            <w:vAlign w:val="center"/>
          </w:tcPr>
          <w:p>
            <w:pPr>
              <w:pStyle w:val="16"/>
            </w:pPr>
          </w:p>
        </w:tc>
        <w:tc>
          <w:tcPr>
            <w:tcW w:w="846" w:type="pct"/>
            <w:vMerge w:val="continue"/>
            <w:vAlign w:val="center"/>
          </w:tcPr>
          <w:p>
            <w:pPr>
              <w:pStyle w:val="16"/>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32"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密码服务</w:t>
            </w:r>
          </w:p>
        </w:tc>
        <w:tc>
          <w:tcPr>
            <w:tcW w:w="2000" w:type="pct"/>
            <w:vAlign w:val="center"/>
          </w:tcPr>
          <w:p>
            <w:pPr>
              <w:pStyle w:val="16"/>
            </w:pPr>
            <w:r>
              <w:rPr>
                <w:rFonts w:hint="eastAsia"/>
              </w:rPr>
              <w:t>采用的数字证书由具有电子认证服务资质的机构签发。</w:t>
            </w:r>
          </w:p>
        </w:tc>
        <w:tc>
          <w:tcPr>
            <w:tcW w:w="846" w:type="pct"/>
            <w:vAlign w:val="center"/>
          </w:tcPr>
          <w:p>
            <w:pPr>
              <w:pStyle w:val="16"/>
            </w:pPr>
            <w:r>
              <w:rPr>
                <w:rFonts w:hint="eastAsia"/>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6" w:hRule="atLeast"/>
          <w:jc w:val="center"/>
        </w:trPr>
        <w:tc>
          <w:tcPr>
            <w:tcW w:w="460" w:type="pct"/>
            <w:vMerge w:val="continue"/>
            <w:vAlign w:val="center"/>
          </w:tcPr>
          <w:p>
            <w:pPr>
              <w:pStyle w:val="16"/>
              <w:jc w:val="center"/>
            </w:pPr>
          </w:p>
        </w:tc>
        <w:tc>
          <w:tcPr>
            <w:tcW w:w="462" w:type="pct"/>
            <w:vMerge w:val="continue"/>
            <w:vAlign w:val="center"/>
          </w:tcPr>
          <w:p>
            <w:pPr>
              <w:pStyle w:val="16"/>
              <w:jc w:val="center"/>
            </w:pPr>
          </w:p>
        </w:tc>
        <w:tc>
          <w:tcPr>
            <w:tcW w:w="1230" w:type="pct"/>
            <w:vAlign w:val="center"/>
          </w:tcPr>
          <w:p>
            <w:pPr>
              <w:pStyle w:val="16"/>
            </w:pPr>
            <w:r>
              <w:rPr>
                <w:rFonts w:hint="eastAsia"/>
              </w:rPr>
              <w:t>密码产品</w:t>
            </w:r>
          </w:p>
        </w:tc>
        <w:tc>
          <w:tcPr>
            <w:tcW w:w="2000" w:type="pct"/>
            <w:vAlign w:val="center"/>
          </w:tcPr>
          <w:p>
            <w:pPr>
              <w:pStyle w:val="16"/>
            </w:pPr>
            <w:r>
              <w:rPr>
                <w:rFonts w:hint="eastAsia"/>
              </w:rPr>
              <w:t>采用的密码产品，应达到</w:t>
            </w:r>
            <w:r>
              <w:t>GB/T 37092</w:t>
            </w:r>
            <w:r>
              <w:rPr>
                <w:rFonts w:hint="eastAsia"/>
              </w:rPr>
              <w:t>-2018二级及以上安全要求。</w:t>
            </w:r>
          </w:p>
        </w:tc>
        <w:tc>
          <w:tcPr>
            <w:tcW w:w="846" w:type="pct"/>
            <w:vAlign w:val="center"/>
          </w:tcPr>
          <w:p>
            <w:pPr>
              <w:pStyle w:val="16"/>
            </w:pPr>
            <w:r>
              <w:rPr>
                <w:rFonts w:hint="eastAsia"/>
              </w:rPr>
              <w:t>无</w:t>
            </w:r>
          </w:p>
        </w:tc>
      </w:tr>
    </w:tbl>
    <w:p>
      <w:pPr>
        <w:pStyle w:val="2"/>
      </w:pPr>
    </w:p>
    <w:p>
      <w:pPr>
        <w:pStyle w:val="4"/>
        <w:rPr>
          <w:rFonts w:hint="eastAsia"/>
        </w:rPr>
      </w:pPr>
      <w:r>
        <w:rPr>
          <w:rFonts w:hint="eastAsia"/>
        </w:rPr>
        <w:t>技术文件要求</w:t>
      </w:r>
    </w:p>
    <w:p>
      <w:pPr>
        <w:rPr>
          <w:rFonts w:hint="eastAsia"/>
        </w:rPr>
      </w:pPr>
      <w:r>
        <w:rPr>
          <w:rFonts w:hint="eastAsia"/>
          <w:lang w:eastAsia="zh-CN"/>
        </w:rPr>
        <w:t>供应商</w:t>
      </w:r>
      <w:r>
        <w:rPr>
          <w:rFonts w:hint="eastAsia"/>
        </w:rPr>
        <w:t>提供的书面技术资料应能确保系统正常运行所需的管理、运营及维护有关的全套文件。技术文件应该全面、完整、详细。</w:t>
      </w:r>
      <w:r>
        <w:rPr>
          <w:rFonts w:hint="eastAsia"/>
          <w:lang w:eastAsia="zh-CN"/>
        </w:rPr>
        <w:t>供应商</w:t>
      </w:r>
      <w:r>
        <w:rPr>
          <w:rFonts w:hint="eastAsia"/>
        </w:rPr>
        <w:t>提供的技术文件至少应包括：</w:t>
      </w:r>
    </w:p>
    <w:p>
      <w:pPr>
        <w:rPr>
          <w:rFonts w:hint="eastAsia"/>
        </w:rPr>
      </w:pPr>
      <w:r>
        <w:rPr>
          <w:rFonts w:hint="eastAsia"/>
        </w:rPr>
        <w:t>－</w:t>
      </w:r>
      <w:r>
        <w:t xml:space="preserve"> 系统说明文件； </w:t>
      </w:r>
    </w:p>
    <w:p>
      <w:pPr>
        <w:rPr>
          <w:rFonts w:hint="eastAsia"/>
        </w:rPr>
      </w:pPr>
      <w:r>
        <w:rPr>
          <w:rFonts w:hint="eastAsia"/>
        </w:rPr>
        <w:t>－</w:t>
      </w:r>
      <w:r>
        <w:t xml:space="preserve"> 技术手册(安装、测试、操作、维护、故障排除等)； </w:t>
      </w:r>
    </w:p>
    <w:p>
      <w:pPr>
        <w:rPr>
          <w:rFonts w:hint="eastAsia"/>
        </w:rPr>
      </w:pPr>
      <w:r>
        <w:rPr>
          <w:rFonts w:hint="eastAsia"/>
        </w:rPr>
        <w:t>－</w:t>
      </w:r>
      <w:r>
        <w:t xml:space="preserve"> 项目文档，应该包括：</w:t>
      </w:r>
    </w:p>
    <w:p>
      <w:pPr>
        <w:ind w:left="360"/>
        <w:rPr>
          <w:rFonts w:hint="eastAsia"/>
        </w:rPr>
      </w:pPr>
      <w:r>
        <w:t>(1)</w:t>
      </w:r>
      <w:r>
        <w:rPr>
          <w:rFonts w:hint="eastAsia"/>
        </w:rPr>
        <w:t xml:space="preserve"> </w:t>
      </w:r>
      <w:r>
        <w:t>软件需求说明书</w:t>
      </w:r>
    </w:p>
    <w:p>
      <w:pPr>
        <w:ind w:left="360"/>
        <w:rPr>
          <w:rFonts w:hint="eastAsia"/>
        </w:rPr>
      </w:pPr>
      <w:r>
        <w:t>(2)</w:t>
      </w:r>
      <w:r>
        <w:tab/>
      </w:r>
      <w:r>
        <w:t>系统总体设计说明书</w:t>
      </w:r>
    </w:p>
    <w:p>
      <w:pPr>
        <w:ind w:left="360"/>
        <w:rPr>
          <w:rFonts w:hint="eastAsia"/>
        </w:rPr>
      </w:pPr>
      <w:r>
        <w:t>(3)</w:t>
      </w:r>
      <w:r>
        <w:tab/>
      </w:r>
      <w:r>
        <w:t>应用软件功能清单</w:t>
      </w:r>
    </w:p>
    <w:p>
      <w:pPr>
        <w:rPr>
          <w:rFonts w:hint="eastAsia"/>
        </w:rPr>
      </w:pPr>
      <w:r>
        <w:rPr>
          <w:rFonts w:hint="eastAsia"/>
        </w:rPr>
        <w:t>提供全套技术文件纸介质</w:t>
      </w:r>
      <w:r>
        <w:t>3套以及电子文件1套。</w:t>
      </w:r>
    </w:p>
    <w:bookmarkEnd w:id="33"/>
    <w:p>
      <w:pPr>
        <w:pStyle w:val="3"/>
        <w:rPr>
          <w:rFonts w:hint="eastAsia"/>
        </w:rPr>
      </w:pPr>
      <w:r>
        <w:rPr>
          <w:rFonts w:hint="eastAsia"/>
        </w:rPr>
        <w:t>供应商管理要求</w:t>
      </w:r>
    </w:p>
    <w:p>
      <w:pPr>
        <w:pStyle w:val="80"/>
        <w:ind w:firstLine="480"/>
        <w:rPr>
          <w:rFonts w:hint="eastAsia"/>
          <w:sz w:val="24"/>
          <w:szCs w:val="24"/>
        </w:rPr>
      </w:pPr>
      <w:r>
        <w:rPr>
          <w:rFonts w:hint="eastAsia"/>
          <w:sz w:val="24"/>
          <w:szCs w:val="24"/>
        </w:rPr>
        <w:t>1、在项目实施期间，</w:t>
      </w:r>
      <w:r>
        <w:rPr>
          <w:rFonts w:hint="eastAsia"/>
          <w:sz w:val="24"/>
          <w:szCs w:val="24"/>
          <w:lang w:eastAsia="zh-CN"/>
        </w:rPr>
        <w:t>成交供应商</w:t>
      </w:r>
      <w:r>
        <w:rPr>
          <w:rFonts w:hint="eastAsia"/>
          <w:sz w:val="24"/>
          <w:szCs w:val="24"/>
        </w:rPr>
        <w:t>应严格执行国家、地方、行业有关本项目业务管理和安全作业的法律、法规和制度并按规定承担相应的费用。</w:t>
      </w:r>
      <w:r>
        <w:rPr>
          <w:rFonts w:hint="eastAsia"/>
          <w:sz w:val="24"/>
          <w:szCs w:val="24"/>
          <w:lang w:eastAsia="zh-CN"/>
        </w:rPr>
        <w:t>成交供应商</w:t>
      </w:r>
      <w:r>
        <w:rPr>
          <w:rFonts w:hint="eastAsia"/>
          <w:sz w:val="24"/>
          <w:szCs w:val="24"/>
        </w:rPr>
        <w:t>因违反规定等原因造成的一切损失和责任由</w:t>
      </w:r>
      <w:r>
        <w:rPr>
          <w:rFonts w:hint="eastAsia"/>
          <w:sz w:val="24"/>
          <w:szCs w:val="24"/>
          <w:lang w:eastAsia="zh-CN"/>
        </w:rPr>
        <w:t>成交供应商</w:t>
      </w:r>
      <w:r>
        <w:rPr>
          <w:rFonts w:hint="eastAsia"/>
          <w:sz w:val="24"/>
          <w:szCs w:val="24"/>
        </w:rPr>
        <w:t>自行承担。</w:t>
      </w:r>
    </w:p>
    <w:p>
      <w:pPr>
        <w:pStyle w:val="80"/>
        <w:ind w:firstLine="480"/>
        <w:rPr>
          <w:rFonts w:hint="eastAsia"/>
          <w:sz w:val="24"/>
          <w:szCs w:val="24"/>
        </w:rPr>
      </w:pPr>
      <w:r>
        <w:rPr>
          <w:rFonts w:hint="eastAsia"/>
          <w:sz w:val="24"/>
          <w:szCs w:val="24"/>
        </w:rPr>
        <w:t>2、</w:t>
      </w:r>
      <w:r>
        <w:rPr>
          <w:rFonts w:hint="eastAsia"/>
          <w:sz w:val="24"/>
          <w:szCs w:val="24"/>
          <w:lang w:eastAsia="zh-CN"/>
        </w:rPr>
        <w:t>成交供应商</w:t>
      </w:r>
      <w:r>
        <w:rPr>
          <w:rFonts w:hint="eastAsia"/>
          <w:sz w:val="24"/>
          <w:szCs w:val="24"/>
        </w:rPr>
        <w:t>在</w:t>
      </w:r>
      <w:r>
        <w:rPr>
          <w:rFonts w:hint="eastAsia"/>
          <w:sz w:val="24"/>
          <w:szCs w:val="24"/>
          <w:lang w:eastAsia="zh-CN"/>
        </w:rPr>
        <w:t>响应文件</w:t>
      </w:r>
      <w:r>
        <w:rPr>
          <w:rFonts w:hint="eastAsia"/>
          <w:sz w:val="24"/>
          <w:szCs w:val="24"/>
        </w:rPr>
        <w:t>中承诺并经</w:t>
      </w:r>
      <w:r>
        <w:rPr>
          <w:rFonts w:hint="eastAsia"/>
          <w:sz w:val="24"/>
          <w:szCs w:val="24"/>
          <w:lang w:eastAsia="zh-CN"/>
        </w:rPr>
        <w:t>采购人</w:t>
      </w:r>
      <w:r>
        <w:rPr>
          <w:rFonts w:hint="eastAsia"/>
          <w:sz w:val="24"/>
          <w:szCs w:val="24"/>
        </w:rPr>
        <w:t>认定的项目负责人及专业技术人员必须是本单位职工（在本单位缴纳社会保障金）和该项目实施现场的实际操作者，应具有类似本项目的实施经验，并应在软件应用调研、安装、试运行等期间常驻项目现场。未经采购人同意，</w:t>
      </w:r>
      <w:r>
        <w:rPr>
          <w:rFonts w:hint="eastAsia"/>
          <w:sz w:val="24"/>
          <w:szCs w:val="24"/>
          <w:lang w:eastAsia="zh-CN"/>
        </w:rPr>
        <w:t>成交供应商</w:t>
      </w:r>
      <w:r>
        <w:rPr>
          <w:rFonts w:hint="eastAsia"/>
          <w:sz w:val="24"/>
          <w:szCs w:val="24"/>
        </w:rPr>
        <w:t>不得调换或撤离上述人员。如采购人认为有必要，可要求</w:t>
      </w:r>
      <w:r>
        <w:rPr>
          <w:rFonts w:hint="eastAsia"/>
          <w:sz w:val="24"/>
          <w:szCs w:val="24"/>
          <w:lang w:eastAsia="zh-CN"/>
        </w:rPr>
        <w:t>成交供应商</w:t>
      </w:r>
      <w:r>
        <w:rPr>
          <w:rFonts w:hint="eastAsia"/>
          <w:sz w:val="24"/>
          <w:szCs w:val="24"/>
        </w:rPr>
        <w:t>对上述人员中的部分人员作出更好的调整。</w:t>
      </w:r>
    </w:p>
    <w:p>
      <w:pPr>
        <w:pStyle w:val="80"/>
        <w:ind w:firstLine="480"/>
        <w:rPr>
          <w:rFonts w:hint="eastAsia"/>
          <w:sz w:val="24"/>
          <w:szCs w:val="24"/>
        </w:rPr>
      </w:pPr>
      <w:r>
        <w:rPr>
          <w:rFonts w:hint="eastAsia"/>
          <w:sz w:val="24"/>
          <w:szCs w:val="24"/>
        </w:rPr>
        <w:t>3、</w:t>
      </w:r>
      <w:r>
        <w:rPr>
          <w:rFonts w:hint="eastAsia"/>
          <w:sz w:val="24"/>
          <w:szCs w:val="24"/>
          <w:lang w:eastAsia="zh-CN"/>
        </w:rPr>
        <w:t>成交供应商</w:t>
      </w:r>
      <w:r>
        <w:rPr>
          <w:rFonts w:hint="eastAsia"/>
          <w:sz w:val="24"/>
          <w:szCs w:val="24"/>
        </w:rPr>
        <w:t>在项目实施期间，应按项目实际进度与环节落实所对应项目整体及各环节管理工作，按照规范做好项目实施期间相关管理与实施记录。</w:t>
      </w:r>
    </w:p>
    <w:p>
      <w:pPr>
        <w:pStyle w:val="80"/>
        <w:ind w:firstLine="480"/>
        <w:rPr>
          <w:rFonts w:hint="eastAsia"/>
          <w:sz w:val="24"/>
          <w:szCs w:val="24"/>
        </w:rPr>
      </w:pPr>
      <w:r>
        <w:rPr>
          <w:rFonts w:hint="eastAsia"/>
          <w:sz w:val="24"/>
          <w:szCs w:val="24"/>
        </w:rPr>
        <w:t>4、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pPr>
        <w:pStyle w:val="80"/>
        <w:ind w:firstLine="480"/>
        <w:rPr>
          <w:rFonts w:hint="eastAsia"/>
          <w:sz w:val="24"/>
          <w:szCs w:val="24"/>
        </w:rPr>
      </w:pPr>
      <w:r>
        <w:rPr>
          <w:rFonts w:hint="eastAsia"/>
          <w:sz w:val="24"/>
          <w:szCs w:val="24"/>
        </w:rPr>
        <w:t>5、</w:t>
      </w:r>
      <w:r>
        <w:rPr>
          <w:rFonts w:hint="eastAsia"/>
          <w:sz w:val="24"/>
          <w:szCs w:val="24"/>
          <w:lang w:eastAsia="zh-CN"/>
        </w:rPr>
        <w:t>成交供应商</w:t>
      </w:r>
      <w:r>
        <w:rPr>
          <w:rFonts w:hint="eastAsia"/>
          <w:sz w:val="24"/>
          <w:szCs w:val="24"/>
        </w:rPr>
        <w:t>在项目实施期间必须遵守采购人的规章制度并提供实施人员名单。</w:t>
      </w:r>
    </w:p>
    <w:p>
      <w:pPr>
        <w:pStyle w:val="80"/>
        <w:ind w:firstLine="480"/>
        <w:rPr>
          <w:rFonts w:hint="eastAsia"/>
          <w:sz w:val="24"/>
          <w:szCs w:val="24"/>
        </w:rPr>
      </w:pPr>
      <w:r>
        <w:rPr>
          <w:rFonts w:hint="eastAsia"/>
          <w:sz w:val="24"/>
          <w:szCs w:val="24"/>
        </w:rPr>
        <w:t>6、各</w:t>
      </w:r>
      <w:r>
        <w:rPr>
          <w:rFonts w:hint="eastAsia"/>
          <w:sz w:val="24"/>
          <w:szCs w:val="24"/>
          <w:lang w:eastAsia="zh-CN"/>
        </w:rPr>
        <w:t>供应商</w:t>
      </w:r>
      <w:r>
        <w:rPr>
          <w:rFonts w:hint="eastAsia"/>
          <w:sz w:val="24"/>
          <w:szCs w:val="24"/>
        </w:rPr>
        <w:t>在</w:t>
      </w:r>
      <w:r>
        <w:rPr>
          <w:rFonts w:hint="eastAsia"/>
          <w:sz w:val="24"/>
          <w:szCs w:val="24"/>
          <w:lang w:eastAsia="zh-CN"/>
        </w:rPr>
        <w:t>响应文件</w:t>
      </w:r>
      <w:r>
        <w:rPr>
          <w:rFonts w:hint="eastAsia"/>
          <w:sz w:val="24"/>
          <w:szCs w:val="24"/>
        </w:rPr>
        <w:t>中要结合本项目的特点和采购人上述的具体要求制定相应的管理措施，并在报价中列支相应的费用清单，</w:t>
      </w:r>
      <w:r>
        <w:rPr>
          <w:rFonts w:hint="eastAsia"/>
          <w:sz w:val="24"/>
          <w:szCs w:val="24"/>
          <w:lang w:eastAsia="zh-CN"/>
        </w:rPr>
        <w:t>供应商</w:t>
      </w:r>
      <w:r>
        <w:rPr>
          <w:rFonts w:hint="eastAsia"/>
          <w:sz w:val="24"/>
          <w:szCs w:val="24"/>
        </w:rPr>
        <w:t>报价中未列支上述费用清单的，上述费用视为已包含在</w:t>
      </w:r>
      <w:r>
        <w:rPr>
          <w:rFonts w:hint="eastAsia"/>
          <w:sz w:val="24"/>
          <w:szCs w:val="24"/>
          <w:lang w:eastAsia="zh-CN"/>
        </w:rPr>
        <w:t>供应商</w:t>
      </w:r>
      <w:r>
        <w:rPr>
          <w:rFonts w:hint="eastAsia"/>
          <w:sz w:val="24"/>
          <w:szCs w:val="24"/>
        </w:rPr>
        <w:t>的</w:t>
      </w:r>
      <w:r>
        <w:rPr>
          <w:rFonts w:hint="eastAsia"/>
          <w:sz w:val="24"/>
          <w:szCs w:val="24"/>
          <w:lang w:eastAsia="zh-CN"/>
        </w:rPr>
        <w:t>响应</w:t>
      </w:r>
      <w:r>
        <w:rPr>
          <w:rFonts w:hint="eastAsia"/>
          <w:sz w:val="24"/>
          <w:szCs w:val="24"/>
        </w:rPr>
        <w:t>总报价中。</w:t>
      </w:r>
    </w:p>
    <w:p>
      <w:pPr>
        <w:pStyle w:val="80"/>
        <w:ind w:firstLine="480"/>
        <w:rPr>
          <w:rFonts w:hint="eastAsia"/>
          <w:sz w:val="24"/>
          <w:szCs w:val="24"/>
        </w:rPr>
      </w:pPr>
      <w:r>
        <w:rPr>
          <w:rFonts w:hint="eastAsia"/>
          <w:sz w:val="24"/>
          <w:szCs w:val="24"/>
        </w:rPr>
        <w:t>7、本项目软件开发及调试将纳入采购人的管理范围，</w:t>
      </w:r>
      <w:r>
        <w:rPr>
          <w:rFonts w:hint="eastAsia"/>
          <w:sz w:val="24"/>
          <w:szCs w:val="24"/>
          <w:lang w:eastAsia="zh-CN"/>
        </w:rPr>
        <w:t>成交供应商</w:t>
      </w:r>
      <w:r>
        <w:rPr>
          <w:rFonts w:hint="eastAsia"/>
          <w:sz w:val="24"/>
          <w:szCs w:val="24"/>
        </w:rPr>
        <w:t>在此过程中须服从上述单位的管理协调。</w:t>
      </w:r>
    </w:p>
    <w:p>
      <w:pPr>
        <w:pStyle w:val="80"/>
        <w:ind w:firstLine="480"/>
        <w:rPr>
          <w:rFonts w:hint="eastAsia"/>
          <w:sz w:val="24"/>
          <w:szCs w:val="24"/>
        </w:rPr>
      </w:pPr>
      <w:r>
        <w:rPr>
          <w:rFonts w:hint="eastAsia"/>
          <w:sz w:val="24"/>
          <w:szCs w:val="24"/>
        </w:rPr>
        <w:t>8、优先考虑具有“城市基础设施维护相关管理类</w:t>
      </w:r>
      <w:bookmarkStart w:id="35" w:name="_GoBack"/>
      <w:bookmarkEnd w:id="35"/>
      <w:r>
        <w:rPr>
          <w:rFonts w:hint="eastAsia"/>
          <w:sz w:val="24"/>
          <w:szCs w:val="24"/>
        </w:rPr>
        <w:t>”计算机软件著作权证书的供应商。</w:t>
      </w:r>
    </w:p>
    <w:p>
      <w:pPr>
        <w:pStyle w:val="3"/>
        <w:rPr>
          <w:rFonts w:hint="eastAsia"/>
        </w:rPr>
      </w:pPr>
      <w:bookmarkStart w:id="34" w:name="_Toc68798863"/>
      <w:r>
        <w:rPr>
          <w:rFonts w:hint="eastAsia"/>
        </w:rPr>
        <w:t>附录</w:t>
      </w:r>
      <w:bookmarkEnd w:id="34"/>
    </w:p>
    <w:p>
      <w:pPr>
        <w:ind w:firstLine="482"/>
        <w:rPr>
          <w:rFonts w:hint="eastAsia"/>
        </w:rPr>
      </w:pPr>
      <w:r>
        <w:rPr>
          <w:rFonts w:hint="eastAsia"/>
          <w:b/>
        </w:rPr>
        <w:t>项目建设过程中需符合相关技术标准或规范文件的要求</w:t>
      </w:r>
      <w:r>
        <w:rPr>
          <w:rFonts w:hint="eastAsia"/>
          <w:b/>
          <w:lang w:eastAsia="zh-CN"/>
        </w:rPr>
        <w:t>，</w:t>
      </w:r>
      <w:r>
        <w:rPr>
          <w:rFonts w:hint="eastAsia"/>
          <w:b/>
        </w:rPr>
        <w:t>参考如下：</w:t>
      </w:r>
    </w:p>
    <w:p>
      <w:pPr>
        <w:ind w:firstLine="0" w:firstLineChars="0"/>
        <w:rPr>
          <w:rFonts w:hint="eastAsia"/>
        </w:rPr>
      </w:pPr>
      <w:r>
        <w:rPr>
          <w:rFonts w:hint="eastAsia"/>
        </w:rPr>
        <w:t>1、</w:t>
      </w:r>
      <w:r>
        <w:t>《政务网络安全监测平台总体技术要求》</w:t>
      </w:r>
    </w:p>
    <w:p>
      <w:pPr>
        <w:ind w:firstLine="0" w:firstLineChars="0"/>
        <w:rPr>
          <w:rFonts w:hint="eastAsia"/>
        </w:rPr>
      </w:pPr>
      <w:r>
        <w:object>
          <v:shape id="_x0000_i1025" o:spt="75" type="#_x0000_t75" style="height:54.6pt;width:76.2pt;" o:ole="t" filled="f" o:preferrelative="t" stroked="f" coordsize="21600,21600">
            <v:path/>
            <v:fill on="f" focussize="0,0"/>
            <v:stroke on="f" joinstyle="miter"/>
            <v:imagedata r:id="rId14" o:title=""/>
            <o:lock v:ext="edit" aspectratio="t"/>
            <w10:wrap type="none"/>
            <w10:anchorlock/>
          </v:shape>
          <o:OLEObject Type="Embed" ProgID="Package" ShapeID="_x0000_i1025" DrawAspect="Icon" ObjectID="_1468075725" r:id="rId13">
            <o:LockedField>false</o:LockedField>
          </o:OLEObject>
        </w:object>
      </w:r>
    </w:p>
    <w:p>
      <w:pPr>
        <w:ind w:firstLine="0" w:firstLineChars="0"/>
        <w:jc w:val="left"/>
        <w:rPr>
          <w:rFonts w:hint="eastAsia"/>
        </w:rPr>
      </w:pPr>
      <w:r>
        <w:rPr>
          <w:rFonts w:hint="eastAsia"/>
        </w:rPr>
        <w:t>2、《上海市电子政务外网建设和运行管理指南（试行）》</w:t>
      </w:r>
    </w:p>
    <w:p>
      <w:pPr>
        <w:ind w:firstLine="0" w:firstLineChars="0"/>
        <w:jc w:val="left"/>
        <w:rPr>
          <w:rFonts w:hint="eastAsia"/>
        </w:rPr>
      </w:pPr>
      <w:r>
        <w:object>
          <v:shape id="_x0000_i1026" o:spt="75" type="#_x0000_t75" style="height:54.6pt;width:76.2pt;" o:ole="t" filled="f" o:preferrelative="t" stroked="f" coordsize="21600,21600">
            <v:path/>
            <v:fill on="f" focussize="0,0"/>
            <v:stroke on="f" joinstyle="miter"/>
            <v:imagedata r:id="rId16" o:title=""/>
            <o:lock v:ext="edit" aspectratio="t"/>
            <w10:wrap type="none"/>
            <w10:anchorlock/>
          </v:shape>
          <o:OLEObject Type="Embed" ProgID="Package" ShapeID="_x0000_i1026" DrawAspect="Icon" ObjectID="_1468075726" r:id="rId15">
            <o:LockedField>false</o:LockedField>
          </o:OLEObject>
        </w:object>
      </w:r>
    </w:p>
    <w:p>
      <w:pPr>
        <w:ind w:firstLine="0" w:firstLineChars="0"/>
        <w:jc w:val="left"/>
        <w:rPr>
          <w:rFonts w:hint="eastAsia"/>
        </w:rPr>
      </w:pPr>
      <w:r>
        <w:rPr>
          <w:rFonts w:hint="eastAsia"/>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A00002EF" w:usb1="4000004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1F00FF" w:csb1="FFFF0000"/>
  </w:font>
  <w:font w:name="仿宋">
    <w:panose1 w:val="02010609060101010101"/>
    <w:charset w:val="86"/>
    <w:family w:val="modern"/>
    <w:pitch w:val="default"/>
    <w:sig w:usb0="800002BF" w:usb1="38CF7CFA" w:usb2="00000016" w:usb3="00000000" w:csb0="00040001" w:csb1="00000000"/>
  </w:font>
  <w:font w:name="Calibri Light">
    <w:altName w:val="Century Gothic"/>
    <w:panose1 w:val="020F0302020204030204"/>
    <w:charset w:val="00"/>
    <w:family w:val="swiss"/>
    <w:pitch w:val="default"/>
    <w:sig w:usb0="00000000" w:usb1="00000000" w:usb2="00000009" w:usb3="00000000" w:csb0="000001FF" w:csb1="00000000"/>
  </w:font>
  <w:font w:name="Century Gothic">
    <w:panose1 w:val="020B0502020202020204"/>
    <w:charset w:val="00"/>
    <w:family w:val="auto"/>
    <w:pitch w:val="default"/>
    <w:sig w:usb0="00000287" w:usb1="00000000" w:usb2="00000000" w:usb3="00000000" w:csb0="2000009F" w:csb1="DFD70000"/>
  </w:font>
  <w:font w:name="等线 Light">
    <w:altName w:val="宋体"/>
    <w:panose1 w:val="02010600030101010101"/>
    <w:charset w:val="86"/>
    <w:family w:val="auto"/>
    <w:pitch w:val="default"/>
    <w:sig w:usb0="00000000" w:usb1="00000000" w:usb2="00000016" w:usb3="00000000" w:csb0="0004000F" w:csb1="00000000"/>
  </w:font>
  <w:font w:name="time">
    <w:altName w:val="华文中宋"/>
    <w:panose1 w:val="00000000000000000000"/>
    <w:charset w:val="00"/>
    <w:family w:val="roman"/>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icrosoft YaHei UI">
    <w:altName w:val="微软雅黑"/>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A0F3C52" w:usb2="00000016" w:usb3="00000000" w:csb0="0004001F" w:csb1="00000000"/>
  </w:font>
  <w:font w:name="Microsoft Sans Serif">
    <w:panose1 w:val="020B0604020202020204"/>
    <w:charset w:val="00"/>
    <w:family w:val="swiss"/>
    <w:pitch w:val="default"/>
    <w:sig w:usb0="61007BDF" w:usb1="80000000" w:usb2="00000008" w:usb3="00000000" w:csb0="200101FF" w:csb1="2028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Tahoma">
    <w:altName w:val="DejaVu Sans"/>
    <w:panose1 w:val="020B0604030504040204"/>
    <w:charset w:val="00"/>
    <w:family w:val="swiss"/>
    <w:pitch w:val="default"/>
    <w:sig w:usb0="00000000" w:usb1="00000000" w:usb2="00000029" w:usb3="00000000" w:csb0="000101FF"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3"/>
      <w:suff w:val="nothing"/>
      <w:lvlText w:val="%1、"/>
      <w:lvlJc w:val="left"/>
      <w:pPr>
        <w:ind w:left="425" w:hanging="425"/>
      </w:pPr>
      <w:rPr>
        <w:rFonts w:hint="eastAsia"/>
        <w:sz w:val="32"/>
        <w:szCs w:val="32"/>
      </w:rPr>
    </w:lvl>
    <w:lvl w:ilvl="1" w:tentative="0">
      <w:start w:val="1"/>
      <w:numFmt w:val="decimal"/>
      <w:pStyle w:val="4"/>
      <w:isLgl/>
      <w:suff w:val="nothing"/>
      <w:lvlText w:val="%1.%2、"/>
      <w:lvlJc w:val="left"/>
      <w:pPr>
        <w:ind w:left="240" w:hanging="567"/>
      </w:pPr>
    </w:lvl>
    <w:lvl w:ilvl="2" w:tentative="0">
      <w:start w:val="1"/>
      <w:numFmt w:val="decimal"/>
      <w:pStyle w:val="5"/>
      <w:isLgl/>
      <w:suff w:val="nothing"/>
      <w:lvlText w:val="%1.%2.%3、"/>
      <w:lvlJc w:val="left"/>
      <w:pPr>
        <w:ind w:left="1069" w:hanging="1069"/>
      </w:pPr>
      <w:rPr>
        <w:rFonts w:hint="default" w:ascii="宋体" w:hAnsi="宋体" w:eastAsia="宋体" w:cs="Arial"/>
      </w:rPr>
    </w:lvl>
    <w:lvl w:ilvl="3" w:tentative="0">
      <w:start w:val="1"/>
      <w:numFmt w:val="decimal"/>
      <w:pStyle w:val="6"/>
      <w:isLgl/>
      <w:suff w:val="nothing"/>
      <w:lvlText w:val="%1.%2.%3.%4、"/>
      <w:lvlJc w:val="left"/>
      <w:pPr>
        <w:ind w:left="3403" w:hanging="851"/>
      </w:pPr>
    </w:lvl>
    <w:lvl w:ilvl="4" w:tentative="0">
      <w:start w:val="1"/>
      <w:numFmt w:val="decimal"/>
      <w:pStyle w:val="7"/>
      <w:isLgl/>
      <w:suff w:val="nothing"/>
      <w:lvlText w:val="%1.%2.%3.%4.%5、"/>
      <w:lvlJc w:val="left"/>
      <w:pPr>
        <w:ind w:left="3544" w:hanging="992"/>
      </w:pPr>
      <w:rPr>
        <w:rFonts w:hint="eastAsia"/>
      </w:rPr>
    </w:lvl>
    <w:lvl w:ilvl="5" w:tentative="0">
      <w:start w:val="1"/>
      <w:numFmt w:val="decimal"/>
      <w:pStyle w:val="8"/>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ZhZTM4MDQ0MjE0NzZkMDgxNGZjMjYxNzEzNTkwZWIifQ=="/>
  </w:docVars>
  <w:rsids>
    <w:rsidRoot w:val="006910C0"/>
    <w:rsid w:val="0000005A"/>
    <w:rsid w:val="00000AED"/>
    <w:rsid w:val="00002DBA"/>
    <w:rsid w:val="00003516"/>
    <w:rsid w:val="0000380E"/>
    <w:rsid w:val="00005AFD"/>
    <w:rsid w:val="00006563"/>
    <w:rsid w:val="000074F1"/>
    <w:rsid w:val="00007A41"/>
    <w:rsid w:val="00007DA7"/>
    <w:rsid w:val="0001142F"/>
    <w:rsid w:val="00012EF0"/>
    <w:rsid w:val="000156DE"/>
    <w:rsid w:val="00015BA1"/>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4946"/>
    <w:rsid w:val="0005586D"/>
    <w:rsid w:val="00056C0E"/>
    <w:rsid w:val="000574A8"/>
    <w:rsid w:val="000574F8"/>
    <w:rsid w:val="00057A49"/>
    <w:rsid w:val="00061A02"/>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E9"/>
    <w:rsid w:val="000C75F7"/>
    <w:rsid w:val="000D0AB2"/>
    <w:rsid w:val="000D0D2D"/>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3E5D"/>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0C54"/>
    <w:rsid w:val="00171477"/>
    <w:rsid w:val="00172A1A"/>
    <w:rsid w:val="00173251"/>
    <w:rsid w:val="00176BED"/>
    <w:rsid w:val="0017759D"/>
    <w:rsid w:val="001804A5"/>
    <w:rsid w:val="00181C94"/>
    <w:rsid w:val="00182C84"/>
    <w:rsid w:val="00187031"/>
    <w:rsid w:val="00191EA4"/>
    <w:rsid w:val="0019285D"/>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2AD"/>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1D8D"/>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32FF"/>
    <w:rsid w:val="002860B8"/>
    <w:rsid w:val="002903F0"/>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ED9"/>
    <w:rsid w:val="00317F49"/>
    <w:rsid w:val="0032089B"/>
    <w:rsid w:val="00323450"/>
    <w:rsid w:val="00323D93"/>
    <w:rsid w:val="0032489B"/>
    <w:rsid w:val="0032525B"/>
    <w:rsid w:val="00326A7A"/>
    <w:rsid w:val="00326FEE"/>
    <w:rsid w:val="003315D7"/>
    <w:rsid w:val="00334DE6"/>
    <w:rsid w:val="0033536D"/>
    <w:rsid w:val="003353FF"/>
    <w:rsid w:val="003366D2"/>
    <w:rsid w:val="00337C1F"/>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52DC"/>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C6785"/>
    <w:rsid w:val="003D000A"/>
    <w:rsid w:val="003D31E9"/>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27D"/>
    <w:rsid w:val="004117AB"/>
    <w:rsid w:val="00412B2F"/>
    <w:rsid w:val="00415281"/>
    <w:rsid w:val="00415716"/>
    <w:rsid w:val="0041604D"/>
    <w:rsid w:val="00417842"/>
    <w:rsid w:val="00417A6E"/>
    <w:rsid w:val="00420CDF"/>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2B6A"/>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2F14"/>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7D9"/>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D90"/>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2836"/>
    <w:rsid w:val="00664B26"/>
    <w:rsid w:val="0066596B"/>
    <w:rsid w:val="00670295"/>
    <w:rsid w:val="006704F5"/>
    <w:rsid w:val="00672894"/>
    <w:rsid w:val="00674B47"/>
    <w:rsid w:val="0067609E"/>
    <w:rsid w:val="00676BE1"/>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038"/>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2449"/>
    <w:rsid w:val="00753132"/>
    <w:rsid w:val="007550B3"/>
    <w:rsid w:val="00760451"/>
    <w:rsid w:val="00762AB0"/>
    <w:rsid w:val="007701AE"/>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4BB1"/>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355"/>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178F"/>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8A7"/>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37CD2"/>
    <w:rsid w:val="00943E35"/>
    <w:rsid w:val="00945278"/>
    <w:rsid w:val="0094658D"/>
    <w:rsid w:val="00947678"/>
    <w:rsid w:val="00947878"/>
    <w:rsid w:val="009504C2"/>
    <w:rsid w:val="0095254A"/>
    <w:rsid w:val="0095273B"/>
    <w:rsid w:val="009559E1"/>
    <w:rsid w:val="00955F36"/>
    <w:rsid w:val="009568D5"/>
    <w:rsid w:val="00957CD3"/>
    <w:rsid w:val="0096269B"/>
    <w:rsid w:val="00963FB0"/>
    <w:rsid w:val="00964C86"/>
    <w:rsid w:val="00965E82"/>
    <w:rsid w:val="009664BB"/>
    <w:rsid w:val="009669F8"/>
    <w:rsid w:val="00966F89"/>
    <w:rsid w:val="00967EA4"/>
    <w:rsid w:val="00973B5D"/>
    <w:rsid w:val="0097755E"/>
    <w:rsid w:val="00981467"/>
    <w:rsid w:val="00981C24"/>
    <w:rsid w:val="009852F6"/>
    <w:rsid w:val="00985DE5"/>
    <w:rsid w:val="00986254"/>
    <w:rsid w:val="0098729E"/>
    <w:rsid w:val="00990067"/>
    <w:rsid w:val="00990D8E"/>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031A"/>
    <w:rsid w:val="009C6D07"/>
    <w:rsid w:val="009C7CEC"/>
    <w:rsid w:val="009D154D"/>
    <w:rsid w:val="009D18EF"/>
    <w:rsid w:val="009D3BE8"/>
    <w:rsid w:val="009D44E0"/>
    <w:rsid w:val="009D573B"/>
    <w:rsid w:val="009D59A0"/>
    <w:rsid w:val="009D716A"/>
    <w:rsid w:val="009D7F49"/>
    <w:rsid w:val="009E1AC4"/>
    <w:rsid w:val="009E20B8"/>
    <w:rsid w:val="009E23CA"/>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703"/>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5E0B"/>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1D85"/>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6C6"/>
    <w:rsid w:val="00B615F2"/>
    <w:rsid w:val="00B61A28"/>
    <w:rsid w:val="00B64D62"/>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42ED"/>
    <w:rsid w:val="00B900FE"/>
    <w:rsid w:val="00B9064C"/>
    <w:rsid w:val="00B9197D"/>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889"/>
    <w:rsid w:val="00BE2AE8"/>
    <w:rsid w:val="00BE2D55"/>
    <w:rsid w:val="00BE38DD"/>
    <w:rsid w:val="00BE4AB1"/>
    <w:rsid w:val="00BE6A10"/>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3D38"/>
    <w:rsid w:val="00C55143"/>
    <w:rsid w:val="00C55C1C"/>
    <w:rsid w:val="00C5611B"/>
    <w:rsid w:val="00C5695E"/>
    <w:rsid w:val="00C61528"/>
    <w:rsid w:val="00C63457"/>
    <w:rsid w:val="00C64621"/>
    <w:rsid w:val="00C64964"/>
    <w:rsid w:val="00C6631E"/>
    <w:rsid w:val="00C666D6"/>
    <w:rsid w:val="00C67059"/>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193E"/>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3D28"/>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236"/>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3E66"/>
    <w:rsid w:val="00D84D5F"/>
    <w:rsid w:val="00D851E2"/>
    <w:rsid w:val="00D86C78"/>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0DDC"/>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2BA3"/>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2ECA"/>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4D4"/>
    <w:rsid w:val="00E87D08"/>
    <w:rsid w:val="00E90D0E"/>
    <w:rsid w:val="00E91B2D"/>
    <w:rsid w:val="00E92FCA"/>
    <w:rsid w:val="00E95CAA"/>
    <w:rsid w:val="00EA0A39"/>
    <w:rsid w:val="00EA0EB2"/>
    <w:rsid w:val="00EA236F"/>
    <w:rsid w:val="00EA3023"/>
    <w:rsid w:val="00EA3E49"/>
    <w:rsid w:val="00EA3FC8"/>
    <w:rsid w:val="00EA5B8C"/>
    <w:rsid w:val="00EA7C8A"/>
    <w:rsid w:val="00EB0DC9"/>
    <w:rsid w:val="00EB1383"/>
    <w:rsid w:val="00EB219A"/>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2A9"/>
    <w:rsid w:val="00ED635B"/>
    <w:rsid w:val="00ED79F4"/>
    <w:rsid w:val="00EE742D"/>
    <w:rsid w:val="00EF0A22"/>
    <w:rsid w:val="00EF1267"/>
    <w:rsid w:val="00EF180C"/>
    <w:rsid w:val="00EF370D"/>
    <w:rsid w:val="00EF3B6B"/>
    <w:rsid w:val="00EF4B43"/>
    <w:rsid w:val="00EF6750"/>
    <w:rsid w:val="00EF770B"/>
    <w:rsid w:val="00F02836"/>
    <w:rsid w:val="00F02FB5"/>
    <w:rsid w:val="00F0534E"/>
    <w:rsid w:val="00F05C30"/>
    <w:rsid w:val="00F10F1B"/>
    <w:rsid w:val="00F11A9B"/>
    <w:rsid w:val="00F14179"/>
    <w:rsid w:val="00F15786"/>
    <w:rsid w:val="00F167C5"/>
    <w:rsid w:val="00F176B7"/>
    <w:rsid w:val="00F20B5A"/>
    <w:rsid w:val="00F21F0B"/>
    <w:rsid w:val="00F236AB"/>
    <w:rsid w:val="00F24EA4"/>
    <w:rsid w:val="00F27087"/>
    <w:rsid w:val="00F2773C"/>
    <w:rsid w:val="00F300B3"/>
    <w:rsid w:val="00F30DB9"/>
    <w:rsid w:val="00F30FB8"/>
    <w:rsid w:val="00F3193C"/>
    <w:rsid w:val="00F31A83"/>
    <w:rsid w:val="00F31D68"/>
    <w:rsid w:val="00F33152"/>
    <w:rsid w:val="00F338F2"/>
    <w:rsid w:val="00F345FA"/>
    <w:rsid w:val="00F349D3"/>
    <w:rsid w:val="00F3533E"/>
    <w:rsid w:val="00F35B84"/>
    <w:rsid w:val="00F402B5"/>
    <w:rsid w:val="00F4072F"/>
    <w:rsid w:val="00F42839"/>
    <w:rsid w:val="00F44CC0"/>
    <w:rsid w:val="00F450BA"/>
    <w:rsid w:val="00F4684B"/>
    <w:rsid w:val="00F46BE9"/>
    <w:rsid w:val="00F47C3B"/>
    <w:rsid w:val="00F506CA"/>
    <w:rsid w:val="00F53A7A"/>
    <w:rsid w:val="00F543F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4B58"/>
    <w:rsid w:val="00F85995"/>
    <w:rsid w:val="00F85FC5"/>
    <w:rsid w:val="00F86C22"/>
    <w:rsid w:val="00F90CB3"/>
    <w:rsid w:val="00F912A2"/>
    <w:rsid w:val="00F913A3"/>
    <w:rsid w:val="00F925C3"/>
    <w:rsid w:val="00FA0109"/>
    <w:rsid w:val="00FA3EA4"/>
    <w:rsid w:val="00FA458B"/>
    <w:rsid w:val="00FA5EC5"/>
    <w:rsid w:val="00FA7016"/>
    <w:rsid w:val="00FA7174"/>
    <w:rsid w:val="00FA793D"/>
    <w:rsid w:val="00FB020E"/>
    <w:rsid w:val="00FB0F17"/>
    <w:rsid w:val="00FB23AB"/>
    <w:rsid w:val="00FB4B9D"/>
    <w:rsid w:val="00FB50ED"/>
    <w:rsid w:val="00FB6E18"/>
    <w:rsid w:val="00FC144B"/>
    <w:rsid w:val="00FC2169"/>
    <w:rsid w:val="00FC28E2"/>
    <w:rsid w:val="00FC3BF6"/>
    <w:rsid w:val="00FC3C9E"/>
    <w:rsid w:val="00FC3D22"/>
    <w:rsid w:val="00FC6FE1"/>
    <w:rsid w:val="00FD0C3D"/>
    <w:rsid w:val="00FD2F6B"/>
    <w:rsid w:val="00FD4DE7"/>
    <w:rsid w:val="00FD61B2"/>
    <w:rsid w:val="00FD6673"/>
    <w:rsid w:val="00FE064A"/>
    <w:rsid w:val="00FE0B55"/>
    <w:rsid w:val="00FE1E98"/>
    <w:rsid w:val="00FE2452"/>
    <w:rsid w:val="00FE5469"/>
    <w:rsid w:val="00FE66C2"/>
    <w:rsid w:val="00FE684A"/>
    <w:rsid w:val="00FE6F23"/>
    <w:rsid w:val="00FF0F8C"/>
    <w:rsid w:val="00FF408B"/>
    <w:rsid w:val="00FF43E1"/>
    <w:rsid w:val="02F2576E"/>
    <w:rsid w:val="03430854"/>
    <w:rsid w:val="039F5FA6"/>
    <w:rsid w:val="05D610DF"/>
    <w:rsid w:val="08B35707"/>
    <w:rsid w:val="09305ADA"/>
    <w:rsid w:val="0B3A5C6C"/>
    <w:rsid w:val="0BEE72B1"/>
    <w:rsid w:val="0DC932D7"/>
    <w:rsid w:val="0E576B35"/>
    <w:rsid w:val="0E8013B7"/>
    <w:rsid w:val="10D604C6"/>
    <w:rsid w:val="11B515E0"/>
    <w:rsid w:val="124F46F3"/>
    <w:rsid w:val="13280AA0"/>
    <w:rsid w:val="13A53267"/>
    <w:rsid w:val="13F970D2"/>
    <w:rsid w:val="145D71B3"/>
    <w:rsid w:val="14AA4136"/>
    <w:rsid w:val="1572463D"/>
    <w:rsid w:val="163A420B"/>
    <w:rsid w:val="18D2567F"/>
    <w:rsid w:val="19413B26"/>
    <w:rsid w:val="1C6A567F"/>
    <w:rsid w:val="1C6D3688"/>
    <w:rsid w:val="1C974DF7"/>
    <w:rsid w:val="1CB515F6"/>
    <w:rsid w:val="1CC63D0A"/>
    <w:rsid w:val="1D0B56BA"/>
    <w:rsid w:val="1DC2081A"/>
    <w:rsid w:val="1DD94266"/>
    <w:rsid w:val="1ECF44C6"/>
    <w:rsid w:val="1F7E7BC0"/>
    <w:rsid w:val="1F901016"/>
    <w:rsid w:val="1F9D0947"/>
    <w:rsid w:val="1FFB29C6"/>
    <w:rsid w:val="21AA36F4"/>
    <w:rsid w:val="21ED9D40"/>
    <w:rsid w:val="22AF3620"/>
    <w:rsid w:val="22E70AD4"/>
    <w:rsid w:val="24F1508D"/>
    <w:rsid w:val="256571E6"/>
    <w:rsid w:val="26190E48"/>
    <w:rsid w:val="266F634F"/>
    <w:rsid w:val="28F10206"/>
    <w:rsid w:val="291059EA"/>
    <w:rsid w:val="2A141960"/>
    <w:rsid w:val="2BBF12EC"/>
    <w:rsid w:val="2BC649D9"/>
    <w:rsid w:val="2C136339"/>
    <w:rsid w:val="2D085772"/>
    <w:rsid w:val="2F497B2D"/>
    <w:rsid w:val="2F961B57"/>
    <w:rsid w:val="301C571D"/>
    <w:rsid w:val="31F31F70"/>
    <w:rsid w:val="32A66C86"/>
    <w:rsid w:val="345475BD"/>
    <w:rsid w:val="34E3064E"/>
    <w:rsid w:val="3515160D"/>
    <w:rsid w:val="393E5EC2"/>
    <w:rsid w:val="39AD1B7B"/>
    <w:rsid w:val="3B7807FE"/>
    <w:rsid w:val="3B877DBB"/>
    <w:rsid w:val="3BFFE649"/>
    <w:rsid w:val="3C0121FB"/>
    <w:rsid w:val="3C7D00D8"/>
    <w:rsid w:val="3CA06C0C"/>
    <w:rsid w:val="3D0D2D9D"/>
    <w:rsid w:val="3EA25851"/>
    <w:rsid w:val="3F6C3757"/>
    <w:rsid w:val="3FF3A26A"/>
    <w:rsid w:val="405D6A10"/>
    <w:rsid w:val="41DA6594"/>
    <w:rsid w:val="43947392"/>
    <w:rsid w:val="43F58C57"/>
    <w:rsid w:val="444C1A75"/>
    <w:rsid w:val="44A3526F"/>
    <w:rsid w:val="44B032F4"/>
    <w:rsid w:val="4513277B"/>
    <w:rsid w:val="457D25F7"/>
    <w:rsid w:val="46120473"/>
    <w:rsid w:val="468341CD"/>
    <w:rsid w:val="46FF778E"/>
    <w:rsid w:val="472C2589"/>
    <w:rsid w:val="491971CD"/>
    <w:rsid w:val="49E862B8"/>
    <w:rsid w:val="4A760AEB"/>
    <w:rsid w:val="4BC0573E"/>
    <w:rsid w:val="4C7E4C5B"/>
    <w:rsid w:val="4DBFF0F2"/>
    <w:rsid w:val="4F3162CA"/>
    <w:rsid w:val="50D95873"/>
    <w:rsid w:val="50EB2AB2"/>
    <w:rsid w:val="51695F30"/>
    <w:rsid w:val="51F138FE"/>
    <w:rsid w:val="526102AF"/>
    <w:rsid w:val="528444DA"/>
    <w:rsid w:val="52D812DE"/>
    <w:rsid w:val="52EE31E7"/>
    <w:rsid w:val="537745D5"/>
    <w:rsid w:val="54F31E22"/>
    <w:rsid w:val="551C6A3E"/>
    <w:rsid w:val="552306F6"/>
    <w:rsid w:val="55E522AF"/>
    <w:rsid w:val="56C819CD"/>
    <w:rsid w:val="56E352D5"/>
    <w:rsid w:val="57E435FE"/>
    <w:rsid w:val="582D0655"/>
    <w:rsid w:val="5951205C"/>
    <w:rsid w:val="59D079E8"/>
    <w:rsid w:val="59D40847"/>
    <w:rsid w:val="5AAD94CC"/>
    <w:rsid w:val="5ADA1F31"/>
    <w:rsid w:val="5AE37F25"/>
    <w:rsid w:val="5CB23D47"/>
    <w:rsid w:val="5CF315D6"/>
    <w:rsid w:val="5D03701F"/>
    <w:rsid w:val="5FAF09C4"/>
    <w:rsid w:val="5FD47A3B"/>
    <w:rsid w:val="5FEF05BE"/>
    <w:rsid w:val="608C4642"/>
    <w:rsid w:val="61E67129"/>
    <w:rsid w:val="62795572"/>
    <w:rsid w:val="64DD6417"/>
    <w:rsid w:val="653C1848"/>
    <w:rsid w:val="66004745"/>
    <w:rsid w:val="68104B2B"/>
    <w:rsid w:val="69A828A0"/>
    <w:rsid w:val="6A567F20"/>
    <w:rsid w:val="6CD97953"/>
    <w:rsid w:val="6ED30FD7"/>
    <w:rsid w:val="6F77FBD9"/>
    <w:rsid w:val="6FF3BE92"/>
    <w:rsid w:val="6FFF7BD7"/>
    <w:rsid w:val="727D78FD"/>
    <w:rsid w:val="73CC655F"/>
    <w:rsid w:val="73FA8648"/>
    <w:rsid w:val="74E4574A"/>
    <w:rsid w:val="75957445"/>
    <w:rsid w:val="75D01AE1"/>
    <w:rsid w:val="77524363"/>
    <w:rsid w:val="77690189"/>
    <w:rsid w:val="77B917B5"/>
    <w:rsid w:val="77F75380"/>
    <w:rsid w:val="78703975"/>
    <w:rsid w:val="795C72CA"/>
    <w:rsid w:val="79694470"/>
    <w:rsid w:val="7BDC08A0"/>
    <w:rsid w:val="7BE420FD"/>
    <w:rsid w:val="7BFFDD7A"/>
    <w:rsid w:val="7C905799"/>
    <w:rsid w:val="7CB65C1E"/>
    <w:rsid w:val="7D0D296B"/>
    <w:rsid w:val="7D4E0B54"/>
    <w:rsid w:val="7D503E78"/>
    <w:rsid w:val="7D627B54"/>
    <w:rsid w:val="7E0160D4"/>
    <w:rsid w:val="B259FAF2"/>
    <w:rsid w:val="B67DB643"/>
    <w:rsid w:val="B79A69B2"/>
    <w:rsid w:val="BBFF747F"/>
    <w:rsid w:val="CBB84356"/>
    <w:rsid w:val="D7DFAEBB"/>
    <w:rsid w:val="DA792CDF"/>
    <w:rsid w:val="DEBF82DD"/>
    <w:rsid w:val="DEFE76DC"/>
    <w:rsid w:val="DFDE2AD0"/>
    <w:rsid w:val="EEFCD724"/>
    <w:rsid w:val="F7FD811D"/>
    <w:rsid w:val="FF7C02E2"/>
    <w:rsid w:val="FFDE68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3">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4">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5">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6">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7">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8">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9">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10">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1">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spacing w:line="240" w:lineRule="auto"/>
      <w:ind w:firstLine="420"/>
    </w:pPr>
    <w:rPr>
      <w:rFonts w:ascii="Calibri" w:hAnsi="Calibri"/>
      <w:sz w:val="21"/>
    </w:rPr>
  </w:style>
  <w:style w:type="paragraph" w:styleId="12">
    <w:name w:val="toc 7"/>
    <w:basedOn w:val="1"/>
    <w:next w:val="1"/>
    <w:unhideWhenUsed/>
    <w:qFormat/>
    <w:uiPriority w:val="39"/>
    <w:pPr>
      <w:ind w:left="2520" w:leftChars="1200"/>
    </w:pPr>
    <w:rPr>
      <w:rFonts w:ascii="等线" w:hAnsi="等线" w:eastAsia="等线"/>
      <w:szCs w:val="22"/>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1"/>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6"/>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9"/>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3"/>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5"/>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7"/>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4"/>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10"/>
    <w:qFormat/>
    <w:uiPriority w:val="9"/>
    <w:rPr>
      <w:rFonts w:ascii="Cambria" w:hAnsi="Cambria"/>
      <w:kern w:val="2"/>
      <w:sz w:val="21"/>
      <w:szCs w:val="24"/>
    </w:rPr>
  </w:style>
  <w:style w:type="character" w:customStyle="1" w:styleId="99">
    <w:name w:val="标题 6 字符1"/>
    <w:link w:val="8"/>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3"/>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paragraph" w:customStyle="1" w:styleId="134">
    <w:name w:val="列出段落1"/>
    <w:basedOn w:val="1"/>
    <w:qFormat/>
    <w:uiPriority w:val="34"/>
    <w:pPr>
      <w:spacing w:line="240" w:lineRule="auto"/>
      <w:ind w:firstLine="420"/>
    </w:pPr>
    <w:rPr>
      <w:rFonts w:ascii="Calibri" w:hAnsi="Calibri"/>
      <w:sz w:val="21"/>
      <w:szCs w:val="22"/>
    </w:rPr>
  </w:style>
  <w:style w:type="paragraph" w:customStyle="1" w:styleId="135">
    <w:name w:val="可研正文"/>
    <w:basedOn w:val="1"/>
    <w:qFormat/>
    <w:uiPriority w:val="0"/>
    <w:pPr>
      <w:ind w:firstLine="200"/>
    </w:pPr>
    <w:rPr>
      <w:rFonts w:ascii="仿宋" w:hAnsi="仿宋" w:eastAsia="仿宋"/>
      <w:sz w:val="28"/>
      <w:szCs w:val="28"/>
    </w:rPr>
  </w:style>
  <w:style w:type="paragraph" w:customStyle="1" w:styleId="136">
    <w:name w:val="样式2"/>
    <w:basedOn w:val="1"/>
    <w:qFormat/>
    <w:uiPriority w:val="0"/>
    <w:pPr>
      <w:widowControl/>
      <w:adjustRightInd w:val="0"/>
      <w:snapToGrid w:val="0"/>
      <w:ind w:firstLine="200"/>
    </w:pPr>
    <w:rPr>
      <w:rFonts w:ascii="仿宋" w:hAnsi="仿宋" w:eastAsia="仿宋"/>
      <w:kern w:val="0"/>
      <w:sz w:val="28"/>
      <w:lang w:eastAsia="en-US"/>
    </w:rPr>
  </w:style>
  <w:style w:type="paragraph" w:customStyle="1" w:styleId="137">
    <w:name w:val="修订2"/>
    <w:hidden/>
    <w:unhideWhenUsed/>
    <w:qFormat/>
    <w:uiPriority w:val="99"/>
    <w:rPr>
      <w:rFonts w:ascii="宋体" w:hAnsi="宋体" w:eastAsia="宋体" w:cs="Times New Roman"/>
      <w:kern w:val="2"/>
      <w:sz w:val="24"/>
      <w:szCs w:val="24"/>
      <w:lang w:val="en-US" w:eastAsia="zh-CN" w:bidi="ar-SA"/>
    </w:rPr>
  </w:style>
  <w:style w:type="paragraph" w:customStyle="1" w:styleId="138">
    <w:name w:val="修订3"/>
    <w:hidden/>
    <w:unhideWhenUsed/>
    <w:qFormat/>
    <w:uiPriority w:val="99"/>
    <w:rPr>
      <w:rFonts w:ascii="宋体" w:hAnsi="宋体" w:eastAsia="宋体" w:cs="Times New Roman"/>
      <w:kern w:val="2"/>
      <w:sz w:val="24"/>
      <w:szCs w:val="24"/>
      <w:lang w:val="en-US" w:eastAsia="zh-CN" w:bidi="ar-SA"/>
    </w:rPr>
  </w:style>
  <w:style w:type="paragraph" w:customStyle="1" w:styleId="139">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5252</Words>
  <Characters>5358</Characters>
  <Lines>595</Lines>
  <Paragraphs>505</Paragraphs>
  <TotalTime>42</TotalTime>
  <ScaleCrop>false</ScaleCrop>
  <LinksUpToDate>false</LinksUpToDate>
  <CharactersWithSpaces>10105</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2026-01-09T23:38:00Z</dcterms:created>
  <dc:creator>gtig_tzb</dc:creator>
  <cp:lastModifiedBy>高际航</cp:lastModifiedBy>
  <cp:lastPrinted>2020-08-08T20:08:00Z</cp:lastPrinted>
  <dcterms:modified xsi:type="dcterms:W3CDTF">2026-03-16T15:03:09Z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9781A5D45250DFA82DA5B76931444564_43</vt:lpwstr>
  </property>
  <property fmtid="{D5CDD505-2E9C-101B-9397-08002B2CF9AE}" pid="4" name="KSOTemplateDocerSaveRecord">
    <vt:lpwstr>eyJoZGlkIjoiYWI2NDcwNzczOGFjNDg5NjllOTcwZGY1NjgzN2FiNTMiLCJ1c2VySWQiOiI0NTI4ODc3ODkifQ==</vt:lpwstr>
  </property>
</Properties>
</file>