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AC86">
      <w:pPr>
        <w:spacing w:line="360" w:lineRule="auto"/>
        <w:jc w:val="center"/>
        <w:rPr>
          <w:rFonts w:ascii="宋体" w:hAnsi="宋体" w:eastAsia="宋体"/>
          <w:b/>
          <w:sz w:val="32"/>
          <w:szCs w:val="21"/>
        </w:rPr>
      </w:pPr>
      <w:r>
        <w:rPr>
          <w:rFonts w:hint="eastAsia" w:ascii="宋体" w:hAnsi="宋体" w:eastAsia="宋体"/>
          <w:b/>
          <w:sz w:val="32"/>
          <w:szCs w:val="21"/>
        </w:rPr>
        <w:t>上海市血液中心超融合服务器采购项目</w:t>
      </w:r>
    </w:p>
    <w:p w14:paraId="000E3FB6">
      <w:pPr>
        <w:spacing w:line="360" w:lineRule="auto"/>
        <w:rPr>
          <w:rFonts w:ascii="宋体" w:hAnsi="宋体" w:eastAsia="宋体"/>
          <w:b/>
          <w:sz w:val="22"/>
          <w:szCs w:val="21"/>
        </w:rPr>
      </w:pPr>
      <w:r>
        <w:rPr>
          <w:rFonts w:hint="eastAsia" w:ascii="宋体" w:hAnsi="宋体" w:eastAsia="宋体"/>
          <w:b/>
          <w:sz w:val="22"/>
          <w:szCs w:val="21"/>
        </w:rPr>
        <w:t>一、设备需求一览表</w:t>
      </w:r>
    </w:p>
    <w:p w14:paraId="2B0F8F6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/>
          <w:szCs w:val="21"/>
        </w:rPr>
        <w:t>1、设备名称及数量：</w:t>
      </w:r>
      <w:r>
        <w:rPr>
          <w:rFonts w:hint="eastAsia" w:ascii="宋体" w:hAnsi="宋体" w:eastAsia="宋体" w:cs="Times New Roman"/>
          <w:szCs w:val="21"/>
        </w:rPr>
        <w:t>数据中心超融合服务器、6套</w:t>
      </w:r>
    </w:p>
    <w:p w14:paraId="2C4111B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</w:rPr>
        <w:t>、质量保证期：自货物按合同规定验收合格之日起不短于60个月的原厂免费上门保修</w:t>
      </w:r>
    </w:p>
    <w:p w14:paraId="1D1EA412"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</w:t>
      </w:r>
      <w:r>
        <w:rPr>
          <w:rFonts w:hint="eastAsia" w:ascii="宋体" w:hAnsi="宋体" w:eastAsia="宋体"/>
          <w:szCs w:val="21"/>
        </w:rPr>
        <w:t>、交付期限：自合同签订生效之日起30天内完成交付</w:t>
      </w:r>
    </w:p>
    <w:p w14:paraId="4B661228">
      <w:pPr>
        <w:spacing w:line="360" w:lineRule="auto"/>
        <w:rPr>
          <w:rFonts w:ascii="宋体" w:hAnsi="宋体" w:eastAsia="宋体"/>
          <w:b/>
          <w:sz w:val="22"/>
          <w:szCs w:val="21"/>
        </w:rPr>
      </w:pPr>
      <w:r>
        <w:rPr>
          <w:rFonts w:hint="eastAsia" w:ascii="宋体" w:hAnsi="宋体" w:eastAsia="宋体"/>
          <w:b/>
          <w:sz w:val="22"/>
          <w:szCs w:val="21"/>
        </w:rPr>
        <w:t>二、设备技术参数</w:t>
      </w:r>
    </w:p>
    <w:tbl>
      <w:tblPr>
        <w:tblStyle w:val="7"/>
        <w:tblW w:w="9376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100"/>
      </w:tblGrid>
      <w:tr w14:paraId="6C87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773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总体规格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AC6F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每套设备为2U机架式</w:t>
            </w:r>
          </w:p>
        </w:tc>
      </w:tr>
      <w:tr w14:paraId="4FCE0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29A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★CPU规格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958E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每套设备配置2颗国产X86架构CPU</w:t>
            </w:r>
          </w:p>
        </w:tc>
      </w:tr>
      <w:tr w14:paraId="7ED42D90"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7C3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73E4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单CPU基础频率≥2.5GHz</w:t>
            </w:r>
          </w:p>
        </w:tc>
      </w:tr>
      <w:tr w14:paraId="62D7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CDA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A6BC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单CPU最高频率≥3.0GHz</w:t>
            </w:r>
          </w:p>
        </w:tc>
      </w:tr>
      <w:tr w14:paraId="0E33A150"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6DA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09C4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单CPU核心数≥32</w:t>
            </w:r>
          </w:p>
        </w:tc>
      </w:tr>
      <w:tr w14:paraId="72ECB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499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59B5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单CPU线程数≥64</w:t>
            </w:r>
          </w:p>
        </w:tc>
      </w:tr>
      <w:tr w14:paraId="6F5BD437"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915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11E4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单CPU三级缓存≥64MB</w:t>
            </w:r>
          </w:p>
        </w:tc>
      </w:tr>
      <w:tr w14:paraId="72742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ECB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★内存规格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990E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每套设备可支持内存数量≥16</w:t>
            </w:r>
          </w:p>
        </w:tc>
      </w:tr>
      <w:tr w14:paraId="69DE26A8"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F49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717E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每套设备内存规格≥DDR5</w:t>
            </w:r>
          </w:p>
        </w:tc>
      </w:tr>
      <w:tr w14:paraId="15DAB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F12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CD6C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每套设备内存频率≥5600MT/s</w:t>
            </w:r>
          </w:p>
        </w:tc>
      </w:tr>
      <w:tr w14:paraId="4AA3B304"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ECB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87A3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每套设备单内存模块容量≥64GB</w:t>
            </w:r>
          </w:p>
        </w:tc>
      </w:tr>
      <w:tr w14:paraId="72E66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068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C50F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每套设备配置内存容量≥512GB</w:t>
            </w:r>
          </w:p>
        </w:tc>
      </w:tr>
      <w:tr w14:paraId="4AE764D1">
        <w:trPr>
          <w:trHeight w:val="282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502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★存储规格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101F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每套设备配置2块企业级SSD系统盘，单盘容量≥480GB</w:t>
            </w:r>
          </w:p>
        </w:tc>
      </w:tr>
      <w:tr w14:paraId="2D80C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F45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7C64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每套设备配置12块企业级SSD数据盘，单盘容量≥1.92TB</w:t>
            </w:r>
          </w:p>
        </w:tc>
      </w:tr>
      <w:tr w14:paraId="3B579324">
        <w:trPr>
          <w:trHeight w:val="2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0F393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网络接口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7FBB5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每套设备配置≥4个10Gb万兆光口，并满配光模块</w:t>
            </w:r>
          </w:p>
        </w:tc>
      </w:tr>
      <w:tr w14:paraId="1156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A06D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显示接口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425F6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每套设备配置≥1个VGA接口</w:t>
            </w:r>
          </w:p>
        </w:tc>
      </w:tr>
      <w:tr w14:paraId="258E8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3857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USB接口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442C6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每套设备配置≥1个USB 3.0接口</w:t>
            </w:r>
          </w:p>
        </w:tc>
      </w:tr>
      <w:tr w14:paraId="141B2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6566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BFDB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每套设备配置冗余电源，支持热插拔</w:t>
            </w:r>
          </w:p>
        </w:tc>
      </w:tr>
      <w:tr w14:paraId="66054AB0"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363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3BD8B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电源功率≥1300W</w:t>
            </w:r>
          </w:p>
        </w:tc>
      </w:tr>
      <w:tr w14:paraId="3167E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F7756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超融合软件及系统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9D203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每套设备配置超融合软件，包括云计算管理平台（2CPU）、计算虚拟化软件（2CPU）、存储虚拟化软件（2CPU）、网络虚拟化软件（2CPU）</w:t>
            </w:r>
          </w:p>
        </w:tc>
      </w:tr>
      <w:tr w14:paraId="4696F7EE">
        <w:trPr>
          <w:trHeight w:val="52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CD4B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A2C0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▲产品完全自研，非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OEM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需提供云计算管理平台软件著作权证书、计算虚拟化软件著作权证书、存储虚拟化软件著作权证书、网络虚拟化软件著作权证书</w:t>
            </w:r>
          </w:p>
        </w:tc>
      </w:tr>
      <w:tr w14:paraId="22D86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5BD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112E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每套设备配置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套底层国产操作系统</w:t>
            </w:r>
          </w:p>
        </w:tc>
      </w:tr>
      <w:tr w14:paraId="43863921">
        <w:trPr>
          <w:trHeight w:val="282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AF4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云计算管理平台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21877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支持上传或利用现有云主机创建镜像，可对镜像进行管理、关联资源池等操作，可通过镜像实现一键快速创建云主机及安全组件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04F3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DC4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3175B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计算管理平台，和底层资源池部分的（计算虚拟化、存储虚拟化、网络虚拟化）均为同一厂商品牌提供，并可以支持扩展同一品牌的网络和安全虚拟化（虚拟应用防火墙、虚拟应用负载均衡等）功能组件，以保障平台的扩展性和兼容性</w:t>
            </w:r>
          </w:p>
        </w:tc>
      </w:tr>
      <w:tr w14:paraId="2E48E6EC">
        <w:trPr>
          <w:trHeight w:val="79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44D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306FB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支持无代理持续数据保护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CDP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、本地备份、异地容灾、云容灾等高可用服务，当主平台发生故障时，能够切换到备平台，保障云平台稳定运行</w:t>
            </w:r>
          </w:p>
        </w:tc>
      </w:tr>
      <w:tr w14:paraId="7168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920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计算虚拟化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E258C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▲支持部署中标麒麟、银河麒麟、麒麟信安、深度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Linux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、统信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UOS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openEuler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Anolis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等操作系统（需提供产品功能截图，并加盖厂商公章）</w:t>
            </w:r>
          </w:p>
        </w:tc>
      </w:tr>
      <w:tr w14:paraId="728E2A83">
        <w:trPr>
          <w:trHeight w:val="52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280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D9225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▲超融合应支持对运行异常虚拟机进行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HA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拉起，包括网络（存储网，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VXLan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网，业务网）异常，硬件（主板、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CPU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、内存、磁盘、电源、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GPU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、加密卡）异常，虚拟机进程异常、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I/O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异常挂起，修正状态异常虚拟机、主机离线的虚拟机超融合应支持主动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HA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功能，亚健康主机上的虚拟机，可热迁移至健康主机。用户可灵活选择响应方式。（需提供产品功能截图，并加盖厂商公章）</w:t>
            </w:r>
          </w:p>
        </w:tc>
      </w:tr>
      <w:tr w14:paraId="19A38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B39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674C3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虚拟机迁移支持指定网口迁移、限制迁移速度、启用压缩传输，同时虚拟机迁移过程中如因数据写入量过大迁移不完，可支持强制切换操作</w:t>
            </w:r>
          </w:p>
        </w:tc>
      </w:tr>
      <w:tr w14:paraId="5C8A0637">
        <w:trPr>
          <w:trHeight w:val="52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D30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15A0A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为避免主机假死导致系列问题发生，支持识别假死主机并标签化为亚健康主机，通过邮件或短信告警提醒用户进行处理，并限制重要业务在亚健康主机上运行，规避风险</w:t>
            </w:r>
          </w:p>
        </w:tc>
      </w:tr>
      <w:tr w14:paraId="4B81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BAC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DDCE1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▲超融合平台需支持在线升级不影响业务；升级过程中支持对升级节点进行升级顺序编排、升级暂停（需提供产品功能截图，并加盖厂商公章）</w:t>
            </w:r>
          </w:p>
        </w:tc>
      </w:tr>
      <w:tr w14:paraId="115EC828">
        <w:trPr>
          <w:trHeight w:val="282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419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存储虚拟化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5316D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▲支持数据重建优先级调整，可以查看数据重建信息，包括重建的对象名称、类型、数据量和优先级等信息，支持对不同对象的重建优先级进行调整，保证重要的业务优先恢复（提供带有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CMA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CNAS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标识的检测报告证明，至少包含报告首页，对应功能测试页和报告尾页）</w:t>
            </w:r>
          </w:p>
        </w:tc>
      </w:tr>
      <w:tr w14:paraId="3E19A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F12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7B1D6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支持快照功能。快照类型支持存储快照、磁盘快照。支持静默快照功能。</w:t>
            </w:r>
          </w:p>
        </w:tc>
      </w:tr>
      <w:tr w14:paraId="6B5F0628">
        <w:trPr>
          <w:trHeight w:val="28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849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EBB37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支持对虚拟机或虚拟磁盘设置数据分布策略，当采用副本聚合策略时，可以保证以性能优先为原则，实现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IO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本地读效果，当采用副本散列策略时，可以保证虚拟机以分布均匀优先为原则，打散分布均匀在各物理主机上。</w:t>
            </w:r>
          </w:p>
        </w:tc>
      </w:tr>
      <w:tr w14:paraId="7F1BD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BD9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网络虚拟化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9BAEC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▲能够在图形化管理平台上，通过托、拉、拽方式完成虚拟网络拓扑创建，能够通过同一界面中的功能按键，实现虚拟网络连接、开启和关闭等操作。（提供带有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CMA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CNAS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标识的检测报告证明，至少包含报告首页，对应功能测试页和报告尾页）</w:t>
            </w:r>
          </w:p>
        </w:tc>
      </w:tr>
      <w:tr w14:paraId="00952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D34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603E0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要求可以支持手动指定虚拟路由器运行在固定的物理主机上，可以自动将虚拟路由器规划到高性能和高吞吐的物理主机上</w:t>
            </w:r>
          </w:p>
        </w:tc>
      </w:tr>
      <w:tr w14:paraId="4C94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0C7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9D366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需提供同一品牌云安全中心，无需界面跳转即可实现安全统一管理提升安全运维效率，需提供一站式工作台展示云上资产安全防护情况展示，包括安全风险分布，以及病毒、攻击、漏洞等风险的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TOP 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云主机</w:t>
            </w:r>
          </w:p>
        </w:tc>
      </w:tr>
      <w:tr w14:paraId="338AB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3A0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59C65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▲提供向导化勒索病毒处理流程，建立多维度立体防护机制，提供事前入侵防御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事中反加密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事后检测响应的完整防护体系，展示勒索病毒处置情况，对勒索病毒及变种实现专门有效防御（需提供产品功能截图，并加盖厂商公章）</w:t>
            </w:r>
          </w:p>
        </w:tc>
      </w:tr>
      <w:tr w14:paraId="425B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839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关键部件安全要求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4690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CPU和操作系统通过中国信息安全测评中心安全可靠测评</w:t>
            </w:r>
          </w:p>
        </w:tc>
      </w:tr>
      <w:tr w14:paraId="43F11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E64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CD999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投标设备须符合现行国家标准要求，满足本项目采购需求设置的技术参数和财政部《通用服务器政府采购需求标准（2023年版）》中规定的其他*内容。</w:t>
            </w:r>
          </w:p>
        </w:tc>
      </w:tr>
    </w:tbl>
    <w:p w14:paraId="12936F63">
      <w:pPr>
        <w:spacing w:line="360" w:lineRule="auto"/>
        <w:rPr>
          <w:rFonts w:ascii="宋体" w:hAnsi="宋体" w:eastAsia="宋体"/>
          <w:b/>
          <w:sz w:val="22"/>
          <w:szCs w:val="21"/>
        </w:rPr>
      </w:pPr>
      <w:r>
        <w:rPr>
          <w:rFonts w:hint="eastAsia" w:ascii="宋体" w:hAnsi="宋体" w:eastAsia="宋体"/>
          <w:b/>
          <w:sz w:val="22"/>
          <w:szCs w:val="21"/>
        </w:rPr>
        <w:t>三、项目实施要求</w:t>
      </w:r>
    </w:p>
    <w:p w14:paraId="4B2BB63A">
      <w:pPr>
        <w:spacing w:line="360" w:lineRule="auto"/>
        <w:ind w:firstLine="42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</w:t>
      </w:r>
      <w:r>
        <w:rPr>
          <w:rFonts w:hint="eastAsia" w:ascii="宋体" w:hAnsi="宋体" w:eastAsia="宋体"/>
          <w:szCs w:val="21"/>
        </w:rPr>
        <w:t>、投标人提供项目整体安装调试方案。</w:t>
      </w:r>
    </w:p>
    <w:p w14:paraId="26FA2B5F">
      <w:pPr>
        <w:spacing w:line="360" w:lineRule="auto"/>
        <w:ind w:firstLine="42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2、投标人组建项目技术团队，包括通过项目管理高级认证、有丰富同类型项目经验的项目管理人员；通过</w:t>
      </w:r>
      <w:r>
        <w:rPr>
          <w:rFonts w:hint="eastAsia" w:ascii="宋体" w:hAnsi="宋体" w:eastAsia="宋体"/>
        </w:rPr>
        <w:t>超融合软件技术认证、投标产品制造厂商技术认证的</w:t>
      </w:r>
      <w:r>
        <w:rPr>
          <w:rFonts w:hint="eastAsia" w:ascii="宋体" w:hAnsi="宋体" w:eastAsia="宋体"/>
          <w:szCs w:val="21"/>
        </w:rPr>
        <w:t>技术人员等。</w:t>
      </w:r>
    </w:p>
    <w:p w14:paraId="3DC55B3F">
      <w:pPr>
        <w:spacing w:line="360" w:lineRule="auto"/>
        <w:ind w:firstLine="42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</w:t>
      </w:r>
      <w:r>
        <w:rPr>
          <w:rFonts w:hint="eastAsia" w:ascii="宋体" w:hAnsi="宋体" w:eastAsia="宋体"/>
          <w:szCs w:val="21"/>
        </w:rPr>
        <w:t>、此次招标的“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数据中心超融合服务器</w:t>
      </w:r>
      <w:r>
        <w:rPr>
          <w:rFonts w:hint="eastAsia" w:ascii="宋体" w:hAnsi="宋体" w:eastAsia="宋体"/>
          <w:szCs w:val="21"/>
        </w:rPr>
        <w:t>”，为原集群的扩容，投标人须将已有资源和新增资源组成一个统一的资源池，统一分配管理，投标人可自行提供技术方案。</w:t>
      </w:r>
    </w:p>
    <w:p w14:paraId="40B1C841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扩容设备不影响原有设备性能及运行效率；</w:t>
      </w:r>
    </w:p>
    <w:p w14:paraId="0E93FBAA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扩容过程中不影响原有正常运行业务；</w:t>
      </w:r>
    </w:p>
    <w:p w14:paraId="33166620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纳入资源池后，支持冗余、备份及恢复功能，确保数据安全；</w:t>
      </w:r>
    </w:p>
    <w:p w14:paraId="3B9EED08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具备良好的可扩展性，能够支持未来业务扩展和容量增长的需求；</w:t>
      </w:r>
    </w:p>
    <w:p w14:paraId="4BC1DDB3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支持安全的远程访问管理和监控，便于随时掌握系统状态</w:t>
      </w:r>
      <w:r>
        <w:rPr>
          <w:rFonts w:hint="eastAsia" w:ascii="宋体" w:hAnsi="宋体" w:eastAsia="宋体"/>
          <w:szCs w:val="21"/>
        </w:rPr>
        <w:t>；</w:t>
      </w:r>
    </w:p>
    <w:p w14:paraId="04BAAD8D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在扩容过程中，确保新的资源和系统配置符合安全要求，以防止潜在的安全风险。</w:t>
      </w:r>
    </w:p>
    <w:p w14:paraId="5FE7CF18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/>
          <w:szCs w:val="21"/>
        </w:rPr>
        <w:t>扩容完成后，完成指定业务系统迁移工作。</w:t>
      </w:r>
      <w:r>
        <w:rPr>
          <w:rFonts w:ascii="宋体" w:hAnsi="宋体" w:eastAsia="宋体" w:cs="Times New Roman"/>
          <w:szCs w:val="21"/>
        </w:rPr>
        <w:tab/>
      </w:r>
    </w:p>
    <w:p w14:paraId="08164047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 w:cs="Times New Roman"/>
          <w:szCs w:val="21"/>
        </w:rPr>
        <w:t>4</w:t>
      </w:r>
      <w:r>
        <w:rPr>
          <w:rFonts w:hint="eastAsia" w:ascii="宋体" w:hAnsi="宋体" w:eastAsia="宋体" w:cs="Times New Roman"/>
          <w:szCs w:val="21"/>
        </w:rPr>
        <w:t>、投标人须</w:t>
      </w:r>
      <w:r>
        <w:rPr>
          <w:rFonts w:hint="eastAsia" w:ascii="宋体" w:hAnsi="宋体" w:eastAsia="宋体"/>
        </w:rPr>
        <w:t>完成对核心业务系统从原有VMware平台到现在的超融合平台的完整迁移，包括</w:t>
      </w:r>
      <w:r>
        <w:rPr>
          <w:rFonts w:ascii="宋体" w:hAnsi="宋体" w:eastAsia="宋体"/>
        </w:rPr>
        <w:t>系统配置文件、数据库实例、应用程序组件</w:t>
      </w:r>
      <w:r>
        <w:rPr>
          <w:rFonts w:hint="eastAsia" w:ascii="宋体" w:hAnsi="宋体" w:eastAsia="宋体"/>
        </w:rPr>
        <w:t>等；投标人须制定分阶段迁移计划（建议分为调研评估、试点迁移、批量迁移、验收四个阶段），确保业务中断时间累计≤</w:t>
      </w:r>
      <w:r>
        <w:rPr>
          <w:rFonts w:ascii="宋体" w:hAnsi="宋体" w:eastAsia="宋体"/>
        </w:rPr>
        <w:t>2 小时。迁移完成后</w:t>
      </w:r>
      <w:r>
        <w:rPr>
          <w:rFonts w:hint="eastAsia" w:ascii="宋体" w:hAnsi="宋体" w:eastAsia="宋体"/>
        </w:rPr>
        <w:t>须</w:t>
      </w:r>
      <w:r>
        <w:rPr>
          <w:rFonts w:ascii="宋体" w:hAnsi="宋体" w:eastAsia="宋体"/>
        </w:rPr>
        <w:t>通过哈希校验、业务功能测试等方式验证数据完整性（校验通过率 100%）及应用兼容性（问题修复率 100%），并提交迁移日志与验收报告</w:t>
      </w:r>
      <w:r>
        <w:rPr>
          <w:rFonts w:hint="eastAsia" w:ascii="宋体" w:hAnsi="宋体" w:eastAsia="宋体"/>
        </w:rPr>
        <w:t>。</w:t>
      </w:r>
    </w:p>
    <w:p w14:paraId="100DE2DF">
      <w:pPr>
        <w:widowControl/>
        <w:spacing w:line="360" w:lineRule="auto"/>
        <w:ind w:firstLine="420" w:firstLineChars="200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ascii="宋体" w:hAnsi="宋体" w:eastAsia="宋体" w:cs="Times New Roman"/>
          <w:szCs w:val="21"/>
        </w:rPr>
        <w:t>5</w:t>
      </w:r>
      <w:r>
        <w:rPr>
          <w:rFonts w:hint="eastAsia" w:ascii="宋体" w:hAnsi="宋体" w:eastAsia="宋体" w:cs="Times New Roman"/>
          <w:szCs w:val="21"/>
        </w:rPr>
        <w:t>、投标人须</w:t>
      </w:r>
      <w:r>
        <w:rPr>
          <w:rFonts w:hint="eastAsia" w:ascii="宋体" w:hAnsi="宋体" w:eastAsia="宋体" w:cs="宋体"/>
          <w:kern w:val="0"/>
          <w:sz w:val="22"/>
        </w:rPr>
        <w:t>完成4大类（兼容性，功能性，安全性，易用性）及20个小类（硬件/虚拟网络管理/数据安全/硬件冗余/并发性能/操作系统/资源管理/应用安全/平台使用/计算性能/迁移工具/资源优化/网络安全/故障告警/存储性能/虚拟机管理/物理映射/账户安全/平台展示/网络性能）的测试；投标人须提供详细测试用例（含测试环境配置、操作步骤、预期结果）、每阶段测试截图（如兼容性测试日志、性能压测曲线图）及视频录像（如虚拟机批量部署过程），经上海市血液中心技术团队确认后作为验收依据。</w:t>
      </w:r>
    </w:p>
    <w:p w14:paraId="3980DC0E">
      <w:pPr>
        <w:spacing w:line="360" w:lineRule="auto"/>
        <w:rPr>
          <w:rFonts w:ascii="宋体" w:hAnsi="宋体" w:eastAsia="宋体"/>
          <w:b/>
          <w:sz w:val="22"/>
          <w:szCs w:val="21"/>
        </w:rPr>
      </w:pPr>
      <w:r>
        <w:rPr>
          <w:rFonts w:hint="eastAsia" w:ascii="宋体" w:hAnsi="宋体" w:eastAsia="宋体"/>
          <w:b/>
          <w:sz w:val="22"/>
          <w:szCs w:val="21"/>
        </w:rPr>
        <w:t>四、售后服务要求</w:t>
      </w:r>
    </w:p>
    <w:p w14:paraId="5ED9FA54">
      <w:pPr>
        <w:spacing w:line="360" w:lineRule="auto"/>
        <w:ind w:firstLine="44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 w:val="22"/>
          <w:szCs w:val="21"/>
        </w:rPr>
        <w:t>1、</w:t>
      </w:r>
      <w:r>
        <w:rPr>
          <w:rFonts w:hint="eastAsia" w:ascii="宋体" w:hAnsi="宋体" w:eastAsia="宋体"/>
          <w:szCs w:val="21"/>
        </w:rPr>
        <w:t>自货物按合同规定验收合格之日起不短于60个月的原厂免费上门保修。</w:t>
      </w:r>
    </w:p>
    <w:p w14:paraId="4C0FA652">
      <w:pPr>
        <w:spacing w:line="360" w:lineRule="auto"/>
        <w:ind w:firstLine="44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 w:val="22"/>
          <w:szCs w:val="21"/>
        </w:rPr>
        <w:t>2、</w:t>
      </w:r>
      <w:r>
        <w:rPr>
          <w:rFonts w:hint="eastAsia" w:ascii="宋体" w:hAnsi="宋体" w:eastAsia="宋体"/>
          <w:szCs w:val="21"/>
        </w:rPr>
        <w:t>投标人提供的成品设备是原装的、全新的、未拆改配过的、高性价比、高可靠性的产品，定制产品选用最佳材料和一流工艺，并在各个方面符合合同规定的质量、规格和性能要求。产品及外包装无损、零配件齐全、在规定的质保期，将对由于设计、工艺或材料的缺陷或故障负责。</w:t>
      </w:r>
    </w:p>
    <w:p w14:paraId="6A159D03">
      <w:p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、采购产品在质保期内，提供7x24小时的技术支持热线。招标人提出维护需求后，常规工作时间，中标供应商应立即给予响应，并安排人员立即抵达现场处理;非常规工作时间，2小时内给予响应;发生严重故障时，1小时内到达现场处理。</w:t>
      </w:r>
    </w:p>
    <w:p w14:paraId="5635C7FD">
      <w:p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4、</w:t>
      </w:r>
      <w:r>
        <w:rPr>
          <w:rFonts w:hint="eastAsia" w:ascii="宋体" w:hAnsi="宋体" w:eastAsia="宋体"/>
          <w:szCs w:val="21"/>
        </w:rPr>
        <w:t>投标人须提供符合上海市血液中心需求的售后服务方案，包括售后服务响应的情况、售后服务内容的情况、备品备件的情况、质保期外的售后服务情况等。</w:t>
      </w:r>
    </w:p>
    <w:p w14:paraId="4446A9A4">
      <w:pPr>
        <w:spacing w:line="360" w:lineRule="auto"/>
        <w:rPr>
          <w:rFonts w:ascii="宋体" w:hAnsi="宋体" w:eastAsia="宋体"/>
          <w:b/>
          <w:sz w:val="22"/>
          <w:szCs w:val="21"/>
        </w:rPr>
      </w:pPr>
      <w:r>
        <w:rPr>
          <w:rFonts w:hint="eastAsia" w:ascii="宋体" w:hAnsi="宋体" w:eastAsia="宋体"/>
          <w:b/>
          <w:sz w:val="22"/>
          <w:szCs w:val="21"/>
        </w:rPr>
        <w:t>五、培训要求</w:t>
      </w:r>
    </w:p>
    <w:p w14:paraId="06120035">
      <w:pPr>
        <w:spacing w:line="360" w:lineRule="auto"/>
        <w:ind w:firstLine="424" w:firstLineChars="202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</w:t>
      </w:r>
      <w:r>
        <w:rPr>
          <w:rFonts w:hint="eastAsia" w:ascii="宋体" w:hAnsi="宋体" w:eastAsia="宋体"/>
          <w:szCs w:val="21"/>
        </w:rPr>
        <w:t>、投标人须提供详细的培训方案，包括培训方式、培训次数、培训对象、原厂培训等。</w:t>
      </w:r>
    </w:p>
    <w:p w14:paraId="0800ED89">
      <w:pPr>
        <w:spacing w:line="360" w:lineRule="auto"/>
        <w:rPr>
          <w:rFonts w:ascii="宋体" w:hAnsi="宋体" w:eastAsia="宋体"/>
          <w:b/>
          <w:sz w:val="22"/>
          <w:szCs w:val="21"/>
        </w:rPr>
      </w:pPr>
      <w:r>
        <w:rPr>
          <w:rFonts w:hint="eastAsia" w:ascii="宋体" w:hAnsi="宋体" w:eastAsia="宋体"/>
          <w:b/>
          <w:sz w:val="22"/>
          <w:szCs w:val="21"/>
        </w:rPr>
        <w:t>六、验收要求</w:t>
      </w:r>
    </w:p>
    <w:p w14:paraId="00D4BDF4">
      <w:pPr>
        <w:pStyle w:val="10"/>
        <w:adjustRightInd w:val="0"/>
        <w:snapToGrid w:val="0"/>
        <w:spacing w:line="360" w:lineRule="auto"/>
        <w:ind w:firstLine="424" w:firstLineChars="202"/>
        <w:jc w:val="left"/>
        <w:rPr>
          <w:rFonts w:ascii="宋体" w:hAnsi="宋体" w:eastAsia="宋体"/>
          <w:b/>
          <w:sz w:val="22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中标供应商应当在到货且安装调试完成后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个工作日内，配合招标人内对货物进行验收，验收包括:型号、规格、数量、外观质量、及货物包装是否完好，安装调试是否根据符合标准，所提供货物的装箱清单、用户手册、原厂保修卡、随机资料及配件、随机工具等是否齐全。如果发现数量不足或有质量、技术等问题，中标供应商应负责按照招标人的要求采取补足、更换或退货等处理措施，并承担由此发生的一切损失和费用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62B77"/>
    <w:multiLevelType w:val="multilevel"/>
    <w:tmpl w:val="1E362B77"/>
    <w:lvl w:ilvl="0" w:tentative="0">
      <w:start w:val="1"/>
      <w:numFmt w:val="bullet"/>
      <w:lvlText w:val="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7B"/>
    <w:rsid w:val="00075E5A"/>
    <w:rsid w:val="000C22CD"/>
    <w:rsid w:val="000C4B7E"/>
    <w:rsid w:val="001968BC"/>
    <w:rsid w:val="002402BB"/>
    <w:rsid w:val="0028638F"/>
    <w:rsid w:val="0032597E"/>
    <w:rsid w:val="003334D1"/>
    <w:rsid w:val="00354DDC"/>
    <w:rsid w:val="0039495B"/>
    <w:rsid w:val="003B4666"/>
    <w:rsid w:val="004121D0"/>
    <w:rsid w:val="004475F7"/>
    <w:rsid w:val="00495671"/>
    <w:rsid w:val="004A2E87"/>
    <w:rsid w:val="00500B36"/>
    <w:rsid w:val="00511AF5"/>
    <w:rsid w:val="005255FF"/>
    <w:rsid w:val="005A1594"/>
    <w:rsid w:val="005C038F"/>
    <w:rsid w:val="005D4386"/>
    <w:rsid w:val="006172D2"/>
    <w:rsid w:val="006B127B"/>
    <w:rsid w:val="006F134D"/>
    <w:rsid w:val="007A4FAD"/>
    <w:rsid w:val="007F76FE"/>
    <w:rsid w:val="0088227E"/>
    <w:rsid w:val="00981E3D"/>
    <w:rsid w:val="00AC4C00"/>
    <w:rsid w:val="00BE4645"/>
    <w:rsid w:val="00C40775"/>
    <w:rsid w:val="00C70F37"/>
    <w:rsid w:val="00C71942"/>
    <w:rsid w:val="00C9531F"/>
    <w:rsid w:val="00CE1637"/>
    <w:rsid w:val="00D03B70"/>
    <w:rsid w:val="00D16965"/>
    <w:rsid w:val="00D3369A"/>
    <w:rsid w:val="00D661A5"/>
    <w:rsid w:val="00E2314A"/>
    <w:rsid w:val="00E72C19"/>
    <w:rsid w:val="3F378327"/>
    <w:rsid w:val="6EFFFC51"/>
    <w:rsid w:val="7D2AE29A"/>
    <w:rsid w:val="ADFF8005"/>
    <w:rsid w:val="D677A09A"/>
    <w:rsid w:val="FB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link w:val="11"/>
    <w:qFormat/>
    <w:uiPriority w:val="34"/>
    <w:pPr>
      <w:ind w:firstLine="420" w:firstLineChars="200"/>
    </w:pPr>
  </w:style>
  <w:style w:type="character" w:customStyle="1" w:styleId="11">
    <w:name w:val="列表段落 字符"/>
    <w:link w:val="10"/>
    <w:autoRedefine/>
    <w:qFormat/>
    <w:locked/>
    <w:uiPriority w:val="34"/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525</Words>
  <Characters>2996</Characters>
  <Lines>24</Lines>
  <Paragraphs>7</Paragraphs>
  <TotalTime>5</TotalTime>
  <ScaleCrop>false</ScaleCrop>
  <LinksUpToDate>false</LinksUpToDate>
  <CharactersWithSpaces>3514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2026-03-31T01:10:00Z</dcterms:created>
  <dc:creator>user</dc:creator>
  <cp:lastModifiedBy>陈诗妤</cp:lastModifiedBy>
  <dcterms:modified xsi:type="dcterms:W3CDTF">2026-03-31T07:49:42Z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74EAA4B96D10013AE90BCB69F04AB626_43</vt:lpwstr>
  </property>
</Properties>
</file>