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980E3">
      <w:pPr>
        <w:pStyle w:val="2"/>
        <w:numPr>
          <w:ilvl w:val="0"/>
          <w:numId w:val="0"/>
        </w:numPr>
        <w:ind w:left="425"/>
        <w:jc w:val="center"/>
        <w:rPr>
          <w:rFonts w:hint="eastAsia"/>
          <w:sz w:val="40"/>
          <w:szCs w:val="36"/>
        </w:rPr>
      </w:pPr>
      <w:bookmarkStart w:id="0" w:name="_Toc63785461"/>
      <w:r>
        <w:rPr>
          <w:rFonts w:hint="eastAsia"/>
          <w:sz w:val="40"/>
          <w:szCs w:val="36"/>
        </w:rPr>
        <w:t>侦查监督与协作配合子系统建设项目采购需求</w:t>
      </w:r>
    </w:p>
    <w:p w14:paraId="314E7D7C"/>
    <w:p w14:paraId="7262930A">
      <w:pPr>
        <w:pStyle w:val="2"/>
      </w:pPr>
      <w:r>
        <w:rPr>
          <w:rFonts w:hint="eastAsia"/>
        </w:rPr>
        <w:t>项目概况</w:t>
      </w:r>
      <w:bookmarkEnd w:id="0"/>
    </w:p>
    <w:p w14:paraId="1D67E62C">
      <w:pPr>
        <w:pStyle w:val="4"/>
        <w:ind w:firstLine="480"/>
        <w:rPr>
          <w:rFonts w:hint="default" w:ascii="宋体" w:hAnsi="宋体" w:eastAsia="宋体" w:cs="Times New Roman"/>
          <w:b/>
          <w:bCs w:val="0"/>
          <w:sz w:val="24"/>
          <w:szCs w:val="24"/>
          <w:lang w:val="en-US" w:eastAsia="zh-CN"/>
        </w:rPr>
      </w:pPr>
      <w:r>
        <w:rPr>
          <w:rFonts w:hint="eastAsia" w:ascii="宋体" w:hAnsi="宋体" w:eastAsia="宋体" w:cs="Times New Roman"/>
          <w:b/>
          <w:bCs w:val="0"/>
          <w:sz w:val="24"/>
          <w:szCs w:val="24"/>
          <w:lang w:val="en-US" w:eastAsia="zh-CN"/>
        </w:rPr>
        <w:t>项目名称：侦查监督与协作配合子系统建设项目</w:t>
      </w:r>
    </w:p>
    <w:p w14:paraId="3347452E">
      <w:pPr>
        <w:pStyle w:val="4"/>
        <w:ind w:firstLine="480"/>
        <w:rPr>
          <w:bCs/>
          <w:sz w:val="24"/>
          <w:szCs w:val="24"/>
        </w:rPr>
      </w:pPr>
      <w:r>
        <w:rPr>
          <w:rFonts w:hint="eastAsia"/>
          <w:bCs/>
          <w:sz w:val="24"/>
          <w:szCs w:val="24"/>
        </w:rPr>
        <w:t>上海城市数据公共服务体系不断完善</w:t>
      </w:r>
      <w:r>
        <w:rPr>
          <w:rFonts w:hint="default"/>
          <w:bCs/>
          <w:sz w:val="24"/>
          <w:szCs w:val="24"/>
          <w:lang w:val="en-US"/>
        </w:rPr>
        <w:t>,</w:t>
      </w:r>
      <w:r>
        <w:rPr>
          <w:rFonts w:hint="eastAsia"/>
          <w:bCs/>
          <w:sz w:val="24"/>
          <w:szCs w:val="24"/>
        </w:rPr>
        <w:t>数字赋能城市治理成效显著。随着“一网通办”发展日趋成熟，上海将推动更大范围、更宽领域、更深层次的“一网通办”改革，依托“一网通办”改革推进城市数字化转型，构建标准化、普惠化、均等化、智慧化的全方位服务体系。上海城市数字化转型为上海检察数字化转型工作提供了基础，也对检察系统有效融入数字城市新治理模式和市域治理体系，适应城市数字化转型提出了更高要求。推进上海检察的数字化转型，并非将司法事项简单搬到线上，是要实现理念升级、流程再造、治理优化，实现线上线下同向发力，促进检察机关高质量履职。因此，侦查监督与协作配合子系统的建设，是检察机关学习借鉴“一网通办”，坚持以人民为中心的发展思想，聚焦公众及诉讼参与主体普遍关注领域进行的数字化改造，有助于推动让人民群众在每一个司法案件中感受到公平正义。</w:t>
      </w:r>
    </w:p>
    <w:p w14:paraId="4E82E15C">
      <w:pPr>
        <w:pStyle w:val="2"/>
      </w:pPr>
      <w:bookmarkStart w:id="1" w:name="_Toc47539070"/>
      <w:bookmarkEnd w:id="1"/>
      <w:bookmarkStart w:id="2" w:name="_Toc47533256"/>
      <w:bookmarkEnd w:id="2"/>
      <w:bookmarkStart w:id="3" w:name="_Toc47532255"/>
      <w:bookmarkEnd w:id="3"/>
      <w:bookmarkStart w:id="4" w:name="_Toc47532891"/>
      <w:bookmarkEnd w:id="4"/>
      <w:bookmarkStart w:id="5" w:name="_Toc47531634"/>
      <w:bookmarkEnd w:id="5"/>
      <w:bookmarkStart w:id="6" w:name="_Toc47536272"/>
      <w:bookmarkEnd w:id="6"/>
      <w:bookmarkStart w:id="7" w:name="_Toc47536644"/>
      <w:bookmarkEnd w:id="7"/>
      <w:bookmarkStart w:id="8" w:name="_Toc47537134"/>
      <w:bookmarkEnd w:id="8"/>
      <w:bookmarkStart w:id="9" w:name="_Toc48223882"/>
      <w:bookmarkStart w:id="10" w:name="_Toc63785463"/>
      <w:r>
        <w:rPr>
          <w:rFonts w:hint="eastAsia"/>
        </w:rPr>
        <w:t>建设目标</w:t>
      </w:r>
      <w:bookmarkEnd w:id="9"/>
      <w:bookmarkEnd w:id="10"/>
    </w:p>
    <w:p w14:paraId="32C81730">
      <w:pPr>
        <w:rPr>
          <w:bCs/>
        </w:rPr>
      </w:pPr>
      <w:r>
        <w:rPr>
          <w:rFonts w:hint="eastAsia"/>
          <w:bCs/>
        </w:rPr>
        <w:t>实现刑事案件侦查机关执法监督与检察机关侦查监督的衔接，强化对侦查活动内外部监督的衔接配合，实现监督的同向化、系统化</w:t>
      </w:r>
      <w:r>
        <w:rPr>
          <w:rFonts w:hint="default"/>
          <w:bCs/>
          <w:lang w:val="en-US"/>
        </w:rPr>
        <w:t> </w:t>
      </w:r>
      <w:r>
        <w:rPr>
          <w:rFonts w:hint="eastAsia"/>
          <w:bCs/>
          <w:lang w:val="en-US" w:eastAsia="zh-CN"/>
        </w:rPr>
        <w:t>，</w:t>
      </w:r>
      <w:r>
        <w:rPr>
          <w:rFonts w:hint="eastAsia"/>
          <w:bCs/>
        </w:rPr>
        <w:t>以及时、准确、有效的监督共同推动提升公安执法规范化水平和检察监督能力。统一更新刑事执法司法标准，理顺刑事诉讼关键环节的衔接流程，实现相互配合；同时保障并规范检察机关对侦查活动的监督，要求检察监督过程应与侦查机关进行充分沟通，细化侦查机关对检察监督有异议等情形的相关处理程序，实现相互制约；健全信息共享机制，加快推进跨部门大数据协同办案机制，完善办案数据信息共享保障机制，确保侦查监督与协作配合机制长期、稳定、有效运行。</w:t>
      </w:r>
    </w:p>
    <w:p w14:paraId="23EBD735">
      <w:pPr>
        <w:pStyle w:val="2"/>
      </w:pPr>
      <w:bookmarkStart w:id="11" w:name="_Toc47536676"/>
      <w:bookmarkEnd w:id="11"/>
      <w:bookmarkStart w:id="12" w:name="_Toc47537166"/>
      <w:bookmarkEnd w:id="12"/>
      <w:bookmarkStart w:id="13" w:name="_Toc47539102"/>
      <w:bookmarkEnd w:id="13"/>
      <w:bookmarkStart w:id="14" w:name="_Toc47532923"/>
      <w:bookmarkEnd w:id="14"/>
      <w:bookmarkStart w:id="15" w:name="_Toc47536304"/>
      <w:bookmarkEnd w:id="15"/>
      <w:bookmarkStart w:id="16" w:name="_Toc47533288"/>
      <w:bookmarkEnd w:id="16"/>
      <w:r>
        <w:rPr>
          <w:rFonts w:hint="eastAsia"/>
        </w:rPr>
        <w:t>项目建设内容</w:t>
      </w:r>
    </w:p>
    <w:p w14:paraId="7014F54E">
      <w:r>
        <w:rPr>
          <w:rFonts w:hint="eastAsia"/>
        </w:rPr>
        <w:t>一是打造“全过程”监督制约机制。</w:t>
      </w:r>
    </w:p>
    <w:p w14:paraId="2CC90C38">
      <w:r>
        <w:rPr>
          <w:rFonts w:hint="eastAsia"/>
        </w:rPr>
        <w:t>本项目将通过在监督制约类模块下新建疑难复杂案件提前介入、捕诉案件监督制约及监督类案件办理等三大功能，实现上海检察机关对上海侦查机关的“全流程”监督制约，规范侦查监督活动，推动高质效办好每一个刑事检察案件。</w:t>
      </w:r>
    </w:p>
    <w:p w14:paraId="1A85E1E7">
      <w:r>
        <w:rPr>
          <w:rFonts w:hint="eastAsia"/>
        </w:rPr>
        <w:t>二是构建“全方位”协作配合机制。</w:t>
      </w:r>
    </w:p>
    <w:p w14:paraId="5A6235D9">
      <w:r>
        <w:rPr>
          <w:rFonts w:hint="eastAsia"/>
        </w:rPr>
        <w:t>本项目将在全面总结三级院与侦查机关协作配合的基础上，实现对办案数据，信息简报，分析研判、典型案例共享等“全方位”的协作配合，在加强监督制约的情况下，积极与侦查机关做好协作配合工作，实现数字化时代公检配合衔接现代化。</w:t>
      </w:r>
    </w:p>
    <w:p w14:paraId="04416586">
      <w:r>
        <w:rPr>
          <w:rFonts w:hint="eastAsia"/>
        </w:rPr>
        <w:t>三是实现“全覆盖”信息共享机制。</w:t>
      </w:r>
    </w:p>
    <w:p w14:paraId="5BFB69D6">
      <w:pPr>
        <w:rPr>
          <w:rFonts w:hint="eastAsia"/>
        </w:rPr>
      </w:pPr>
      <w:r>
        <w:rPr>
          <w:rFonts w:hint="eastAsia"/>
        </w:rPr>
        <w:t>聚焦当前侦查监督与协作配合中存在的信息不流畅、沟通不顺畅等问题，通过设置组织观摩庭审评议、联合调研、举办同堂培训、共同编发办案指引和典型案例、联合开展质量评查等模块，实现线上制发相关通知，组织调研和会议，推动“全覆盖”信息共享机制完善。</w:t>
      </w:r>
    </w:p>
    <w:p w14:paraId="38297275">
      <w:pPr>
        <w:rPr>
          <w:rFonts w:hint="eastAsia"/>
          <w:color w:val="000000"/>
        </w:rPr>
      </w:pPr>
      <w:r>
        <w:rPr>
          <w:rFonts w:hint="eastAsia"/>
          <w:color w:val="000000"/>
        </w:rPr>
        <w:t>四是实现科技赋能侦查监督</w:t>
      </w:r>
    </w:p>
    <w:p w14:paraId="5235D2E2">
      <w:r>
        <w:rPr>
          <w:rFonts w:hint="eastAsia"/>
          <w:color w:val="000000"/>
        </w:rPr>
        <w:t>为解决传统模式下线索发现难、监督滞后、效力有限等问题，充分利用已建成的知识中心、文本解析等系统，通过大数据、人工智能等现代信息技术，推动监督模式从被动、粗放向主动、精准、穿透式转变。</w:t>
      </w:r>
    </w:p>
    <w:p w14:paraId="2932C2A3">
      <w:r>
        <w:rPr>
          <w:rFonts w:hint="eastAsia"/>
        </w:rPr>
        <w:t>本项目建设内容主要包含线索流转、流程办理、案卡登记、文书收送管理、上下级协作、超期预警消息、跟进监督、协助配合、系统配置、密码应用相关等模块。具体建设内容见下表：</w:t>
      </w:r>
    </w:p>
    <w:tbl>
      <w:tblPr>
        <w:tblStyle w:val="7"/>
        <w:tblW w:w="8960" w:type="dxa"/>
        <w:jc w:val="center"/>
        <w:tblLayout w:type="fixed"/>
        <w:tblCellMar>
          <w:top w:w="0" w:type="dxa"/>
          <w:left w:w="108" w:type="dxa"/>
          <w:bottom w:w="0" w:type="dxa"/>
          <w:right w:w="108" w:type="dxa"/>
        </w:tblCellMar>
      </w:tblPr>
      <w:tblGrid>
        <w:gridCol w:w="638"/>
        <w:gridCol w:w="1716"/>
        <w:gridCol w:w="1716"/>
        <w:gridCol w:w="1674"/>
        <w:gridCol w:w="3216"/>
      </w:tblGrid>
      <w:tr w14:paraId="66827608">
        <w:tblPrEx>
          <w:tblCellMar>
            <w:top w:w="0" w:type="dxa"/>
            <w:left w:w="108" w:type="dxa"/>
            <w:bottom w:w="0" w:type="dxa"/>
            <w:right w:w="108" w:type="dxa"/>
          </w:tblCellMar>
        </w:tblPrEx>
        <w:trPr>
          <w:tblHeader/>
          <w:jc w:val="center"/>
        </w:trPr>
        <w:tc>
          <w:tcPr>
            <w:tcW w:w="638" w:type="dxa"/>
            <w:tcBorders>
              <w:top w:val="single" w:color="auto" w:sz="4" w:space="0"/>
              <w:left w:val="single" w:color="auto" w:sz="4" w:space="0"/>
              <w:bottom w:val="single" w:color="auto" w:sz="4" w:space="0"/>
              <w:right w:val="single" w:color="auto" w:sz="4" w:space="0"/>
            </w:tcBorders>
            <w:vAlign w:val="center"/>
          </w:tcPr>
          <w:p w14:paraId="43EDE054">
            <w:pPr>
              <w:keepNext/>
              <w:widowControl/>
              <w:snapToGrid w:val="0"/>
              <w:spacing w:line="240" w:lineRule="auto"/>
              <w:ind w:firstLine="0" w:firstLineChars="0"/>
              <w:jc w:val="center"/>
              <w:rPr>
                <w:rFonts w:cs="宋体"/>
                <w:b/>
                <w:color w:val="000000"/>
                <w:kern w:val="0"/>
                <w:sz w:val="21"/>
                <w:szCs w:val="21"/>
              </w:rPr>
            </w:pPr>
            <w:r>
              <w:rPr>
                <w:rFonts w:hint="eastAsia" w:cs="宋体"/>
                <w:b/>
                <w:color w:val="000000"/>
                <w:kern w:val="0"/>
                <w:sz w:val="21"/>
                <w:szCs w:val="21"/>
              </w:rPr>
              <w:t>序号</w:t>
            </w:r>
          </w:p>
        </w:tc>
        <w:tc>
          <w:tcPr>
            <w:tcW w:w="1716" w:type="dxa"/>
            <w:tcBorders>
              <w:top w:val="single" w:color="auto" w:sz="4" w:space="0"/>
              <w:left w:val="nil"/>
              <w:bottom w:val="single" w:color="auto" w:sz="4" w:space="0"/>
              <w:right w:val="single" w:color="auto" w:sz="4" w:space="0"/>
            </w:tcBorders>
            <w:vAlign w:val="center"/>
          </w:tcPr>
          <w:p w14:paraId="334D3AEA">
            <w:pPr>
              <w:keepNext/>
              <w:widowControl/>
              <w:snapToGrid w:val="0"/>
              <w:spacing w:line="240" w:lineRule="auto"/>
              <w:ind w:firstLine="0" w:firstLineChars="0"/>
              <w:jc w:val="center"/>
              <w:rPr>
                <w:rFonts w:cs="宋体"/>
                <w:b/>
                <w:color w:val="000000"/>
                <w:kern w:val="0"/>
                <w:sz w:val="21"/>
                <w:szCs w:val="21"/>
              </w:rPr>
            </w:pPr>
            <w:r>
              <w:rPr>
                <w:rFonts w:hint="eastAsia" w:cs="宋体"/>
                <w:b/>
                <w:color w:val="000000"/>
                <w:kern w:val="0"/>
                <w:sz w:val="21"/>
                <w:szCs w:val="21"/>
              </w:rPr>
              <w:t>应用系统名称</w:t>
            </w:r>
          </w:p>
        </w:tc>
        <w:tc>
          <w:tcPr>
            <w:tcW w:w="1716" w:type="dxa"/>
            <w:tcBorders>
              <w:top w:val="single" w:color="auto" w:sz="4" w:space="0"/>
              <w:left w:val="nil"/>
              <w:bottom w:val="single" w:color="auto" w:sz="4" w:space="0"/>
              <w:right w:val="single" w:color="auto" w:sz="4" w:space="0"/>
            </w:tcBorders>
            <w:vAlign w:val="center"/>
          </w:tcPr>
          <w:p w14:paraId="368CF3D1">
            <w:pPr>
              <w:keepNext/>
              <w:widowControl/>
              <w:snapToGrid w:val="0"/>
              <w:spacing w:line="240" w:lineRule="auto"/>
              <w:ind w:firstLine="0" w:firstLineChars="0"/>
              <w:jc w:val="center"/>
              <w:rPr>
                <w:rFonts w:cs="宋体"/>
                <w:b/>
                <w:color w:val="000000"/>
                <w:kern w:val="0"/>
                <w:sz w:val="21"/>
                <w:szCs w:val="21"/>
              </w:rPr>
            </w:pPr>
            <w:r>
              <w:rPr>
                <w:rFonts w:hint="eastAsia" w:cs="宋体"/>
                <w:b/>
                <w:color w:val="000000"/>
                <w:kern w:val="0"/>
                <w:sz w:val="21"/>
                <w:szCs w:val="21"/>
              </w:rPr>
              <w:t>模块名称</w:t>
            </w:r>
          </w:p>
        </w:tc>
        <w:tc>
          <w:tcPr>
            <w:tcW w:w="1674" w:type="dxa"/>
            <w:tcBorders>
              <w:top w:val="single" w:color="auto" w:sz="4" w:space="0"/>
              <w:left w:val="nil"/>
              <w:bottom w:val="single" w:color="auto" w:sz="4" w:space="0"/>
              <w:right w:val="single" w:color="auto" w:sz="4" w:space="0"/>
            </w:tcBorders>
            <w:vAlign w:val="center"/>
          </w:tcPr>
          <w:p w14:paraId="588B9C62">
            <w:pPr>
              <w:keepNext/>
              <w:widowControl/>
              <w:snapToGrid w:val="0"/>
              <w:spacing w:line="240" w:lineRule="auto"/>
              <w:ind w:firstLine="0" w:firstLineChars="0"/>
              <w:jc w:val="center"/>
              <w:rPr>
                <w:rFonts w:cs="宋体"/>
                <w:b/>
                <w:color w:val="000000"/>
                <w:kern w:val="0"/>
                <w:sz w:val="21"/>
                <w:szCs w:val="21"/>
              </w:rPr>
            </w:pPr>
            <w:r>
              <w:rPr>
                <w:rFonts w:hint="eastAsia" w:cs="宋体"/>
                <w:b/>
                <w:color w:val="000000"/>
                <w:kern w:val="0"/>
                <w:sz w:val="21"/>
                <w:szCs w:val="21"/>
              </w:rPr>
              <w:t>功能名称</w:t>
            </w:r>
          </w:p>
        </w:tc>
        <w:tc>
          <w:tcPr>
            <w:tcW w:w="3216" w:type="dxa"/>
            <w:tcBorders>
              <w:top w:val="single" w:color="auto" w:sz="4" w:space="0"/>
              <w:left w:val="nil"/>
              <w:bottom w:val="single" w:color="auto" w:sz="4" w:space="0"/>
              <w:right w:val="single" w:color="auto" w:sz="4" w:space="0"/>
            </w:tcBorders>
            <w:vAlign w:val="center"/>
          </w:tcPr>
          <w:p w14:paraId="1E3A3BC3">
            <w:pPr>
              <w:keepNext/>
              <w:widowControl/>
              <w:snapToGrid w:val="0"/>
              <w:spacing w:line="240" w:lineRule="auto"/>
              <w:ind w:firstLine="0" w:firstLineChars="0"/>
              <w:jc w:val="center"/>
              <w:rPr>
                <w:rFonts w:cs="宋体"/>
                <w:b/>
                <w:color w:val="000000"/>
                <w:kern w:val="0"/>
                <w:sz w:val="21"/>
                <w:szCs w:val="21"/>
              </w:rPr>
            </w:pPr>
            <w:r>
              <w:rPr>
                <w:rFonts w:hint="eastAsia" w:cs="宋体"/>
                <w:b/>
                <w:color w:val="000000"/>
                <w:kern w:val="0"/>
                <w:sz w:val="21"/>
                <w:szCs w:val="21"/>
              </w:rPr>
              <w:t>功能描述</w:t>
            </w:r>
          </w:p>
        </w:tc>
      </w:tr>
      <w:tr w14:paraId="0927FCBA">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36434CB5">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1</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79030B94">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746234FA">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线索流转</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5A6D096C">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案件审查-案件列表</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3678BBD7">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案件列表展示目前的在办案件信息，如案件名称、案由、案件类别、受理部门”等信息。</w:t>
            </w:r>
          </w:p>
        </w:tc>
      </w:tr>
      <w:tr w14:paraId="059B8D3C">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3BA23984">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2</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2CDD14A">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3BBC7C3">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线索流转</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2105EA51">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案件审查-案件检索</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29DF16D1">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案件检索允许用户通过过滤条件搜索来查找信息，以便快速获取所需信息。</w:t>
            </w:r>
          </w:p>
        </w:tc>
      </w:tr>
      <w:tr w14:paraId="2BC2DA56">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4FDC5F0C">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3</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7551A439">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65B7BFF4">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线索流转</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3B620A0D">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案件审查-案件审查</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342D3CDC">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包含表单审查、卷宗审阅等查询信息功能。</w:t>
            </w:r>
          </w:p>
        </w:tc>
      </w:tr>
      <w:tr w14:paraId="4D298D37">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3BE1F814">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4</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74CB73C2">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09E661DD">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线索流转</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48E2FA12">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案件审查-审查反馈</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24BCF5AA">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在审查过程中，可针对发现的线索或其他不合规或其他情形进行审查反馈。</w:t>
            </w:r>
          </w:p>
        </w:tc>
      </w:tr>
      <w:tr w14:paraId="3895CAD7">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48E7D3E2">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5</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F4A2D70">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AF15632">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线索流转</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02FDA530">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线索登记审查-线索登记</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057A390C">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线索登记完成各类举报信息的录入，便于评估和检索。</w:t>
            </w:r>
          </w:p>
        </w:tc>
      </w:tr>
      <w:tr w14:paraId="1DC17504">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2736C13A">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6</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A67A391">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F7D3D48">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线索流转</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0CBA8C98">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线索登记审查-线索处理</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0C1BBCB3">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线索处理功能为获取线索后将线索相关信息进行相应的处理。</w:t>
            </w:r>
          </w:p>
        </w:tc>
      </w:tr>
      <w:tr w14:paraId="10FEE1EE">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780CF714">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7</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54EE41A8">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6F837B36">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线索流转</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7205B054">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线索登记审查-材料移送</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0153E25F">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相关案件类型的案件中开放“材料移送”功能。</w:t>
            </w:r>
          </w:p>
        </w:tc>
      </w:tr>
      <w:tr w14:paraId="08CF1E83">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192A9FD7">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8</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44246958">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0F77C4F7">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线索流转</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037B9628">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线索登记审查-线索共享</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0BDACF6F">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检察业务中发现的监督线索，可以在任意流程上进行传递和分享。</w:t>
            </w:r>
          </w:p>
        </w:tc>
      </w:tr>
      <w:tr w14:paraId="49401A20">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395A8361">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9</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73436A5">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0150DA28">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流程办理</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1F233E03">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流程设计-案件流程图</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54A42FFE">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根据制作的文书在流程节点提供案件流程图查阅功能。</w:t>
            </w:r>
          </w:p>
        </w:tc>
      </w:tr>
      <w:tr w14:paraId="2B232676">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3FCF25A6">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10</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49ADCBFA">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C51A32D">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流程办理</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210C64EC">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流程设计-流程配置工具</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104DB483">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支持流程模板等配置功能。</w:t>
            </w:r>
          </w:p>
        </w:tc>
      </w:tr>
      <w:tr w14:paraId="7EB14BF0">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2239219A">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11</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7660781">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6BA0DEDC">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流程办理</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2E76B7E6">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流程配置-疑难复杂案件</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11B1C192">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包括受理、应急处置等功能</w:t>
            </w:r>
          </w:p>
        </w:tc>
      </w:tr>
      <w:tr w14:paraId="585E73AA">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6BF9CD54">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12</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BE2C0E2">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4FE8CA43">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流程办理</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50E9BB37">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流程配置-常规捕诉案件</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4447EB15">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包括听取意见、复核/复议信息等流程</w:t>
            </w:r>
          </w:p>
        </w:tc>
      </w:tr>
      <w:tr w14:paraId="220C17E8">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3FD1343F">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13</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F72EB69">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7A81350">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流程办理</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2344153B">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流程配置-监督类型案件</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585DEB06">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包括调查核实、维持原决定等流程。</w:t>
            </w:r>
          </w:p>
        </w:tc>
      </w:tr>
      <w:tr w14:paraId="32CD79B7">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6B4E5AF8">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14</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83A9699">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67E4EE81">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案卡登记</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21A82D1C">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案卡设计-案卡设计器</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717B2607">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设计器作为公用的设计组件提供，具备表达和设计能力。</w:t>
            </w:r>
          </w:p>
        </w:tc>
      </w:tr>
      <w:tr w14:paraId="6DD2CD91">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330A2A6F">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15</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0EFD5FB2">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0567378">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案卡登记</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6E743125">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案卡设计-案卡控件</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3F1AF178">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案卡控件分为基础组件、高级组件等。</w:t>
            </w:r>
          </w:p>
        </w:tc>
      </w:tr>
      <w:tr w14:paraId="26BC23F5">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3C6CE14E">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16</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88F2457">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60DD6F69">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案卡登记</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055CF6A4">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案卡设计-案卡实例</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4C76A233">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渲染案卡设计器设计的案卡。</w:t>
            </w:r>
          </w:p>
        </w:tc>
      </w:tr>
      <w:tr w14:paraId="07547261">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22180B35">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17</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06C0C90B">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64F39D83">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案卡登记</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3F60C343">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案卡设计-案卡管理</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590AE113">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通过此功能管理各自的案卡。</w:t>
            </w:r>
          </w:p>
        </w:tc>
      </w:tr>
      <w:tr w14:paraId="5CEA7BBE">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26E09AD0">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18</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5C7BE2B7">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44F21CA7">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案卡登记</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139E6B33">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案卡配置</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1E0C4C9D">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包括提前介入案卡、联合督办案卡。</w:t>
            </w:r>
          </w:p>
        </w:tc>
      </w:tr>
      <w:tr w14:paraId="2112364B">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25FBA411">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19</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64B2A9D7">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3158C364">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文书收送管理</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49D9C7A2">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文书移送-已移送文书列表</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7570DE36">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展示已移送的文书的具体情况，可查看范围以内账号所配置权限。</w:t>
            </w:r>
          </w:p>
        </w:tc>
      </w:tr>
      <w:tr w14:paraId="55055DF6">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6CE0D66B">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20</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544C8B21">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A1BFF3D">
            <w:pPr>
              <w:keepNext/>
              <w:widowControl/>
              <w:snapToGrid w:val="0"/>
              <w:spacing w:line="240" w:lineRule="auto"/>
              <w:ind w:firstLine="0" w:firstLineChars="0"/>
              <w:jc w:val="left"/>
              <w:textAlignment w:val="center"/>
              <w:rPr>
                <w:rFonts w:cs="宋体"/>
                <w:color w:val="000000"/>
                <w:kern w:val="0"/>
                <w:sz w:val="21"/>
                <w:szCs w:val="21"/>
                <w:lang w:bidi="ar"/>
              </w:rPr>
            </w:pPr>
            <w:r>
              <w:rPr>
                <w:rFonts w:hint="eastAsia" w:cs="宋体"/>
                <w:color w:val="000000"/>
                <w:kern w:val="0"/>
                <w:sz w:val="21"/>
                <w:szCs w:val="21"/>
                <w:lang w:bidi="ar"/>
              </w:rPr>
              <w:t>文书收送管理</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510BF6BD">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文书移送-已移送文书查询</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521AA154">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用户通过案件名称、移送人等信息进行已移送文书的查询，可查询范围以账号所配置权限。</w:t>
            </w:r>
          </w:p>
        </w:tc>
      </w:tr>
      <w:tr w14:paraId="1E365D71">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6CF62E75">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21</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5B1FF3E5">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3678BAED">
            <w:pPr>
              <w:keepNext/>
              <w:widowControl/>
              <w:snapToGrid w:val="0"/>
              <w:spacing w:line="240" w:lineRule="auto"/>
              <w:ind w:firstLine="0" w:firstLineChars="0"/>
              <w:jc w:val="left"/>
              <w:textAlignment w:val="center"/>
              <w:rPr>
                <w:rFonts w:cs="宋体"/>
                <w:color w:val="000000"/>
                <w:kern w:val="0"/>
                <w:sz w:val="21"/>
                <w:szCs w:val="21"/>
                <w:lang w:bidi="ar"/>
              </w:rPr>
            </w:pPr>
            <w:r>
              <w:rPr>
                <w:rFonts w:hint="eastAsia" w:cs="宋体"/>
                <w:color w:val="000000"/>
                <w:kern w:val="0"/>
                <w:sz w:val="21"/>
                <w:szCs w:val="21"/>
                <w:lang w:bidi="ar"/>
              </w:rPr>
              <w:t>文书收送管理</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56B66995">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文书移送-发送移送</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1B51F24C">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系统内卷宗移送列表直接发起移送。</w:t>
            </w:r>
          </w:p>
        </w:tc>
      </w:tr>
      <w:tr w14:paraId="7D281C99">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1E20FC40">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22</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0F7F0696">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0B10E8E0">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文书收送管理</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462297C3">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接受文书</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4FB1C99F">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支持文书的预览，并能进行退回操作填写退回原因。</w:t>
            </w:r>
          </w:p>
        </w:tc>
      </w:tr>
      <w:tr w14:paraId="7B37DE5E">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512FB45F">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23</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4F4E393">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1FDA089">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上下级协作</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17F0E26D">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提前介入上下级协作-邀请检察机关介入</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3EC1FCF0">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邀请检察机关介入，支持选择关联案件，进行介入邀请。</w:t>
            </w:r>
          </w:p>
        </w:tc>
      </w:tr>
      <w:tr w14:paraId="67BC7EBA">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12A89F00">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24</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48916CD9">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5FDBDAC7">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超期预警消息</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67997EF6">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预警规则配置</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0A177206">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支持对预警期限配置功能，可自行设置预警期限。</w:t>
            </w:r>
          </w:p>
        </w:tc>
      </w:tr>
      <w:tr w14:paraId="492CE38F">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26D4984D">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25</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74D4CE0">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0CECDF12">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超期预警消息</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4E208577">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预警消息提醒</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17E369C6">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消息提示功能在相应的页面做到相关人员的督促与管理。</w:t>
            </w:r>
          </w:p>
        </w:tc>
      </w:tr>
      <w:tr w14:paraId="5788B8D5">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3E451D01">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26</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D716FC0">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30BF74BB">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超期预警消息</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340EF29C">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规则定时计算</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0E38D4E7">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规则预警定时计算是系统自动根据启始标志日期、当前日期计算预警。</w:t>
            </w:r>
          </w:p>
        </w:tc>
      </w:tr>
      <w:tr w14:paraId="6741AF10">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4A93AE21">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27</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4C99D385">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37002126">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超期预警消息</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4E2F0628">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预警关闭功能</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0DF8E984">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可由工作人员关闭预警，关闭预警后，对应的案件不再纳入期限预警范围，支持再次开启预警计算。</w:t>
            </w:r>
          </w:p>
        </w:tc>
      </w:tr>
      <w:tr w14:paraId="7BD2DD81">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2656A2A6">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28</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6227A5B">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5B266BE9">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跟进监督</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078A3AE9">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督促反馈-督促反馈事项列表</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6EEC8DED">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督促反馈事项列表包括待督促反馈事项列表和已发起督促反馈事项。</w:t>
            </w:r>
          </w:p>
        </w:tc>
      </w:tr>
      <w:tr w14:paraId="46DCDE24">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59467361">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29</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7D17678D">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456C6DFF">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跟进监督</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190DE815">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督促反馈-督促反馈事项详情</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2B2A75C5">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用户可查看督促事项具体信息。</w:t>
            </w:r>
          </w:p>
        </w:tc>
      </w:tr>
      <w:tr w14:paraId="762E7F83">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5DAA3A07">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30</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996C206">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70FF6C66">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跟进监督</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49F2B2B9">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督促反馈-督促反馈事项检索</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0B1AA4FA">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待督促反馈检索通过用户搜索词内容匹配，匹配度分为完全匹配和模糊匹配。</w:t>
            </w:r>
          </w:p>
        </w:tc>
      </w:tr>
      <w:tr w14:paraId="1F0797AD">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5815C4C1">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31</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7397D921">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43BF106B">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跟进监督</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4C9B1535">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督促反馈-发起督促反馈</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5C60B220">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用户可直接发起督促，发送后发送记录自动添加到督促反馈事项列表中。</w:t>
            </w:r>
          </w:p>
        </w:tc>
      </w:tr>
      <w:tr w14:paraId="6887F0C9">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6DF939FD">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32</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0289A8D6">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FA56EEB">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跟进监督</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521E26DD">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复核反馈-复核事项列表</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653BC874">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复核事项列表包括待发起复核事项和已发起复核事项。</w:t>
            </w:r>
          </w:p>
        </w:tc>
      </w:tr>
      <w:tr w14:paraId="31C4C7E3">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4859DBFF">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33</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5ADECBD">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558AD56B">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跟进监督</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6C3ADC4C">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复查反馈</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47D69D1B">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包含复查事项列表、复查事项检索。</w:t>
            </w:r>
          </w:p>
        </w:tc>
      </w:tr>
      <w:tr w14:paraId="7499C810">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2B519B26">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34</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72258BF5">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62F3F597">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协助配合</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1C1E4E65">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意见交换平台</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446E69C9">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支持用户在平台提出问题、邀约解答、邀约反馈等功能。</w:t>
            </w:r>
          </w:p>
        </w:tc>
      </w:tr>
      <w:tr w14:paraId="72C078EF">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27CFC00A">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35</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35939A0E">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664CAB35">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系统配置</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1A9E0820">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门户集成功能</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6654ED7A">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本系统与全流程全息在线办案总门户系统进行衔接适配。</w:t>
            </w:r>
          </w:p>
        </w:tc>
      </w:tr>
      <w:tr w14:paraId="07815172">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67449AB5">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36</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7B0EE56">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73C3AE4E">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系统配置</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13D68EDE">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与2.0系统对接功能</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69D3D5E9">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本系统与检察业务应用系统2.0衔接适配。</w:t>
            </w:r>
          </w:p>
        </w:tc>
      </w:tr>
      <w:tr w14:paraId="48CBD164">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74D7C7C7">
            <w:pPr>
              <w:keepNext/>
              <w:widowControl/>
              <w:snapToGrid w:val="0"/>
              <w:spacing w:line="240" w:lineRule="auto"/>
              <w:ind w:firstLine="0" w:firstLineChars="0"/>
              <w:jc w:val="center"/>
              <w:rPr>
                <w:rFonts w:cs="Tahoma"/>
                <w:color w:val="000000"/>
                <w:kern w:val="0"/>
                <w:sz w:val="21"/>
                <w:szCs w:val="21"/>
              </w:rPr>
            </w:pPr>
            <w:r>
              <w:rPr>
                <w:rFonts w:hint="eastAsia" w:cs="Tahoma"/>
                <w:color w:val="000000"/>
                <w:kern w:val="0"/>
                <w:sz w:val="21"/>
                <w:szCs w:val="21"/>
              </w:rPr>
              <w:t>37</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EEED5CF">
            <w:pPr>
              <w:keepNext/>
              <w:widowControl/>
              <w:snapToGrid w:val="0"/>
              <w:spacing w:line="240" w:lineRule="auto"/>
              <w:ind w:firstLine="0" w:firstLineChars="0"/>
              <w:jc w:val="center"/>
              <w:textAlignment w:val="center"/>
              <w:rPr>
                <w:rFonts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0207664C">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系统配置</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4629C7DE">
            <w:pPr>
              <w:keepNext/>
              <w:widowControl/>
              <w:snapToGrid w:val="0"/>
              <w:spacing w:line="240" w:lineRule="auto"/>
              <w:ind w:firstLine="0" w:firstLineChars="0"/>
              <w:jc w:val="left"/>
              <w:textAlignment w:val="center"/>
              <w:rPr>
                <w:rFonts w:cs="Tahoma"/>
                <w:color w:val="000000"/>
                <w:kern w:val="0"/>
                <w:sz w:val="21"/>
                <w:szCs w:val="21"/>
              </w:rPr>
            </w:pPr>
            <w:r>
              <w:rPr>
                <w:rFonts w:hint="eastAsia" w:cs="Tahoma"/>
                <w:color w:val="000000"/>
                <w:kern w:val="0"/>
                <w:sz w:val="21"/>
                <w:szCs w:val="21"/>
              </w:rPr>
              <w:t>与其他系统对接功能</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5721FB4D">
            <w:pPr>
              <w:keepNext/>
              <w:widowControl/>
              <w:snapToGrid w:val="0"/>
              <w:spacing w:line="240" w:lineRule="auto"/>
              <w:ind w:firstLine="0" w:firstLineChars="0"/>
              <w:jc w:val="left"/>
              <w:textAlignment w:val="center"/>
              <w:rPr>
                <w:rFonts w:cs="Tahoma"/>
                <w:color w:val="000000"/>
                <w:kern w:val="0"/>
                <w:sz w:val="21"/>
                <w:szCs w:val="21"/>
              </w:rPr>
            </w:pPr>
            <w:r>
              <w:rPr>
                <w:rFonts w:hint="eastAsia" w:cs="宋体"/>
                <w:color w:val="000000"/>
                <w:kern w:val="0"/>
                <w:sz w:val="21"/>
                <w:szCs w:val="21"/>
                <w:lang w:bidi="ar"/>
              </w:rPr>
              <w:t>系统支持与其他系统进行对接。</w:t>
            </w:r>
          </w:p>
        </w:tc>
      </w:tr>
      <w:tr w14:paraId="1D7DD95C">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6C8F8A61">
            <w:pPr>
              <w:keepNext/>
              <w:widowControl/>
              <w:snapToGrid w:val="0"/>
              <w:spacing w:line="240" w:lineRule="auto"/>
              <w:ind w:firstLine="0" w:firstLineChars="0"/>
              <w:jc w:val="center"/>
              <w:rPr>
                <w:rFonts w:hint="eastAsia" w:eastAsia="宋体" w:cs="Tahoma"/>
                <w:color w:val="000000"/>
                <w:kern w:val="0"/>
                <w:sz w:val="21"/>
                <w:szCs w:val="21"/>
                <w:lang w:eastAsia="zh-CN"/>
              </w:rPr>
            </w:pPr>
            <w:bookmarkStart w:id="17" w:name="_Toc63785502"/>
            <w:r>
              <w:rPr>
                <w:rFonts w:hint="eastAsia" w:cs="Tahoma"/>
                <w:color w:val="000000"/>
                <w:kern w:val="0"/>
                <w:sz w:val="21"/>
                <w:szCs w:val="21"/>
              </w:rPr>
              <w:t>3</w:t>
            </w:r>
            <w:r>
              <w:rPr>
                <w:rFonts w:hint="eastAsia" w:cs="Tahoma"/>
                <w:color w:val="000000"/>
                <w:kern w:val="0"/>
                <w:sz w:val="21"/>
                <w:szCs w:val="21"/>
                <w:lang w:val="en-US" w:eastAsia="zh-CN"/>
              </w:rPr>
              <w:t>8</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5891DE3C">
            <w:pPr>
              <w:keepNext/>
              <w:widowControl/>
              <w:snapToGrid w:val="0"/>
              <w:spacing w:line="240" w:lineRule="auto"/>
              <w:ind w:firstLine="0" w:firstLineChars="0"/>
              <w:jc w:val="center"/>
              <w:textAlignment w:val="center"/>
              <w:rPr>
                <w:rFonts w:hint="eastAsia" w:cs="Tahoma"/>
                <w:color w:val="000000"/>
                <w:kern w:val="0"/>
                <w:sz w:val="21"/>
                <w:szCs w:val="21"/>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2D1E0A45">
            <w:pPr>
              <w:keepNext/>
              <w:widowControl/>
              <w:snapToGrid w:val="0"/>
              <w:spacing w:line="240" w:lineRule="auto"/>
              <w:ind w:firstLine="0" w:firstLineChars="0"/>
              <w:jc w:val="left"/>
              <w:textAlignment w:val="center"/>
              <w:rPr>
                <w:rFonts w:hint="eastAsia" w:eastAsia="宋体" w:cs="Tahoma"/>
                <w:color w:val="000000"/>
                <w:kern w:val="0"/>
                <w:sz w:val="21"/>
                <w:szCs w:val="21"/>
                <w:lang w:eastAsia="zh-CN"/>
              </w:rPr>
            </w:pPr>
            <w:r>
              <w:rPr>
                <w:rFonts w:hint="eastAsia" w:cs="Tahoma"/>
                <w:color w:val="000000"/>
                <w:kern w:val="0"/>
                <w:sz w:val="21"/>
                <w:szCs w:val="21"/>
                <w:lang w:eastAsia="zh-CN"/>
              </w:rPr>
              <w:t>数据治理与对接</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6D7F262D">
            <w:pPr>
              <w:keepNext/>
              <w:widowControl/>
              <w:snapToGrid w:val="0"/>
              <w:spacing w:line="240" w:lineRule="auto"/>
              <w:ind w:firstLine="0" w:firstLineChars="0"/>
              <w:jc w:val="left"/>
              <w:textAlignment w:val="center"/>
              <w:rPr>
                <w:rFonts w:hint="eastAsia" w:eastAsia="宋体" w:cs="Tahoma"/>
                <w:color w:val="000000"/>
                <w:kern w:val="0"/>
                <w:sz w:val="21"/>
                <w:szCs w:val="21"/>
                <w:lang w:eastAsia="zh-CN"/>
              </w:rPr>
            </w:pPr>
            <w:r>
              <w:rPr>
                <w:rFonts w:hint="eastAsia" w:cs="Tahoma"/>
                <w:color w:val="000000"/>
                <w:kern w:val="0"/>
                <w:sz w:val="21"/>
                <w:szCs w:val="21"/>
                <w:lang w:eastAsia="zh-CN"/>
              </w:rPr>
              <w:t>数据治理与对接</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0F06044C">
            <w:pPr>
              <w:keepNext/>
              <w:widowControl/>
              <w:snapToGrid w:val="0"/>
              <w:spacing w:line="240" w:lineRule="auto"/>
              <w:ind w:firstLine="0" w:firstLineChars="0"/>
              <w:jc w:val="left"/>
              <w:textAlignment w:val="center"/>
              <w:rPr>
                <w:rFonts w:cs="宋体"/>
                <w:color w:val="000000"/>
                <w:kern w:val="0"/>
                <w:sz w:val="21"/>
                <w:szCs w:val="21"/>
                <w:lang w:bidi="ar"/>
              </w:rPr>
            </w:pPr>
            <w:r>
              <w:rPr>
                <w:rFonts w:hint="eastAsia" w:cs="宋体"/>
                <w:color w:val="000000"/>
                <w:kern w:val="0"/>
                <w:sz w:val="21"/>
                <w:szCs w:val="21"/>
                <w:lang w:bidi="ar"/>
              </w:rPr>
              <w:t>对接已建成的知识中心、文本解析等系统，通过人工智能、大数据技术，依据侦查监督的监督特性，对获取的数据进行治理与处理</w:t>
            </w:r>
          </w:p>
        </w:tc>
      </w:tr>
      <w:tr w14:paraId="729B36EB">
        <w:tblPrEx>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14:paraId="56E857D1">
            <w:pPr>
              <w:keepNext/>
              <w:widowControl/>
              <w:snapToGrid w:val="0"/>
              <w:spacing w:line="240" w:lineRule="auto"/>
              <w:ind w:firstLine="0" w:firstLineChars="0"/>
              <w:jc w:val="center"/>
              <w:rPr>
                <w:rFonts w:hint="eastAsia" w:ascii="宋体" w:hAnsi="宋体" w:eastAsia="宋体" w:cs="Tahoma"/>
                <w:color w:val="000000"/>
                <w:kern w:val="0"/>
                <w:sz w:val="21"/>
                <w:szCs w:val="21"/>
                <w:lang w:val="en-US" w:eastAsia="zh-CN" w:bidi="ar-SA"/>
              </w:rPr>
            </w:pPr>
            <w:r>
              <w:rPr>
                <w:rFonts w:hint="eastAsia" w:cs="Tahoma"/>
                <w:color w:val="000000"/>
                <w:kern w:val="0"/>
                <w:sz w:val="21"/>
                <w:szCs w:val="21"/>
              </w:rPr>
              <w:t>3</w:t>
            </w:r>
            <w:r>
              <w:rPr>
                <w:rFonts w:hint="eastAsia" w:cs="Tahoma"/>
                <w:color w:val="000000"/>
                <w:kern w:val="0"/>
                <w:sz w:val="21"/>
                <w:szCs w:val="21"/>
                <w:lang w:val="en-US" w:eastAsia="zh-CN"/>
              </w:rPr>
              <w:t>9</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1CE69C3E">
            <w:pPr>
              <w:keepNext/>
              <w:widowControl/>
              <w:snapToGrid w:val="0"/>
              <w:spacing w:line="240" w:lineRule="auto"/>
              <w:ind w:firstLine="0" w:firstLineChars="0"/>
              <w:jc w:val="center"/>
              <w:textAlignment w:val="center"/>
              <w:rPr>
                <w:rFonts w:hint="eastAsia" w:ascii="宋体" w:hAnsi="宋体" w:cs="Tahoma"/>
                <w:color w:val="000000"/>
                <w:kern w:val="0"/>
                <w:sz w:val="21"/>
                <w:szCs w:val="21"/>
                <w:lang w:val="en-US" w:eastAsia="zh-CN" w:bidi="ar-SA"/>
              </w:rPr>
            </w:pPr>
            <w:r>
              <w:rPr>
                <w:rFonts w:hint="eastAsia" w:cs="Tahoma"/>
                <w:color w:val="000000"/>
                <w:kern w:val="0"/>
                <w:sz w:val="21"/>
                <w:szCs w:val="21"/>
              </w:rPr>
              <w:t>侦查监督与协作配合子系统</w:t>
            </w:r>
          </w:p>
        </w:tc>
        <w:tc>
          <w:tcPr>
            <w:tcW w:w="1716" w:type="dxa"/>
            <w:tcBorders>
              <w:top w:val="single" w:color="auto" w:sz="4" w:space="0"/>
              <w:left w:val="nil"/>
              <w:bottom w:val="single" w:color="auto" w:sz="4" w:space="0"/>
              <w:right w:val="single" w:color="auto" w:sz="4" w:space="0"/>
            </w:tcBorders>
            <w:shd w:val="clear" w:color="auto" w:fill="FFFFFF"/>
            <w:vAlign w:val="center"/>
          </w:tcPr>
          <w:p w14:paraId="56E4E433">
            <w:pPr>
              <w:keepNext/>
              <w:widowControl/>
              <w:snapToGrid w:val="0"/>
              <w:spacing w:line="240" w:lineRule="auto"/>
              <w:ind w:firstLine="0" w:firstLineChars="0"/>
              <w:jc w:val="left"/>
              <w:textAlignment w:val="center"/>
              <w:rPr>
                <w:rFonts w:hint="eastAsia" w:ascii="宋体" w:hAnsi="宋体" w:cs="Tahoma"/>
                <w:color w:val="000000"/>
                <w:kern w:val="0"/>
                <w:sz w:val="21"/>
                <w:szCs w:val="21"/>
                <w:lang w:val="en-US" w:eastAsia="zh-CN" w:bidi="ar-SA"/>
              </w:rPr>
            </w:pPr>
            <w:r>
              <w:rPr>
                <w:rFonts w:hint="eastAsia" w:cs="Tahoma"/>
                <w:color w:val="000000"/>
                <w:kern w:val="0"/>
                <w:sz w:val="21"/>
                <w:szCs w:val="21"/>
              </w:rPr>
              <w:t>密码应用相关</w:t>
            </w:r>
          </w:p>
        </w:tc>
        <w:tc>
          <w:tcPr>
            <w:tcW w:w="1674" w:type="dxa"/>
            <w:tcBorders>
              <w:top w:val="single" w:color="auto" w:sz="4" w:space="0"/>
              <w:left w:val="nil"/>
              <w:bottom w:val="single" w:color="auto" w:sz="4" w:space="0"/>
              <w:right w:val="single" w:color="auto" w:sz="4" w:space="0"/>
            </w:tcBorders>
            <w:shd w:val="clear" w:color="auto" w:fill="FFFFFF"/>
            <w:vAlign w:val="center"/>
          </w:tcPr>
          <w:p w14:paraId="3B58F58C">
            <w:pPr>
              <w:keepNext/>
              <w:widowControl/>
              <w:snapToGrid w:val="0"/>
              <w:spacing w:line="240" w:lineRule="auto"/>
              <w:ind w:firstLine="0" w:firstLineChars="0"/>
              <w:jc w:val="left"/>
              <w:textAlignment w:val="center"/>
              <w:rPr>
                <w:rFonts w:hint="eastAsia" w:ascii="宋体" w:hAnsi="宋体" w:cs="Tahoma"/>
                <w:color w:val="000000"/>
                <w:kern w:val="0"/>
                <w:sz w:val="21"/>
                <w:szCs w:val="21"/>
                <w:lang w:val="en-US" w:eastAsia="zh-CN" w:bidi="ar-SA"/>
              </w:rPr>
            </w:pPr>
            <w:r>
              <w:rPr>
                <w:rFonts w:hint="eastAsia" w:cs="Tahoma"/>
                <w:color w:val="000000"/>
                <w:kern w:val="0"/>
                <w:sz w:val="21"/>
                <w:szCs w:val="21"/>
              </w:rPr>
              <w:t>密码应用相关功能</w:t>
            </w:r>
          </w:p>
        </w:tc>
        <w:tc>
          <w:tcPr>
            <w:tcW w:w="3216" w:type="dxa"/>
            <w:tcBorders>
              <w:top w:val="single" w:color="auto" w:sz="4" w:space="0"/>
              <w:left w:val="nil"/>
              <w:bottom w:val="single" w:color="auto" w:sz="4" w:space="0"/>
              <w:right w:val="single" w:color="auto" w:sz="4" w:space="0"/>
            </w:tcBorders>
            <w:shd w:val="clear" w:color="auto" w:fill="FFFFFF"/>
            <w:vAlign w:val="center"/>
          </w:tcPr>
          <w:p w14:paraId="208B8A85">
            <w:pPr>
              <w:keepNext/>
              <w:widowControl/>
              <w:snapToGrid w:val="0"/>
              <w:spacing w:line="240" w:lineRule="auto"/>
              <w:ind w:firstLine="0" w:firstLineChars="0"/>
              <w:jc w:val="left"/>
              <w:textAlignment w:val="center"/>
              <w:rPr>
                <w:rFonts w:hint="eastAsia" w:ascii="宋体" w:hAnsi="宋体" w:cs="宋体"/>
                <w:color w:val="000000"/>
                <w:kern w:val="0"/>
                <w:sz w:val="21"/>
                <w:szCs w:val="21"/>
                <w:lang w:val="en-US" w:eastAsia="zh-CN" w:bidi="ar"/>
              </w:rPr>
            </w:pPr>
            <w:r>
              <w:rPr>
                <w:rFonts w:hint="eastAsia" w:cs="宋体"/>
                <w:color w:val="000000"/>
                <w:kern w:val="0"/>
                <w:sz w:val="21"/>
                <w:szCs w:val="21"/>
                <w:lang w:bidi="ar"/>
              </w:rPr>
              <w:t>使用经过广泛验证的密码算法（如SM2、SM4等）对通信信息和存储信息进行加密和解密，防止信息被非法泄露、破译和篡改。</w:t>
            </w:r>
          </w:p>
        </w:tc>
      </w:tr>
      <w:bookmarkEnd w:id="17"/>
    </w:tbl>
    <w:p w14:paraId="7F9F752C">
      <w:pPr>
        <w:pStyle w:val="2"/>
        <w:rPr>
          <w:rFonts w:hint="eastAsia" w:cs="Times New Roman"/>
          <w:lang w:val="en-US" w:eastAsia="zh-CN"/>
        </w:rPr>
      </w:pPr>
      <w:r>
        <w:rPr>
          <w:rFonts w:hint="eastAsia" w:cs="Times New Roman"/>
          <w:lang w:val="en-US" w:eastAsia="zh-CN"/>
        </w:rPr>
        <w:t>项目预算：</w:t>
      </w:r>
    </w:p>
    <w:p w14:paraId="54AB7F18">
      <w:pPr>
        <w:rPr>
          <w:rFonts w:hint="eastAsia"/>
          <w:lang w:val="en-US" w:eastAsia="zh-CN"/>
        </w:rPr>
      </w:pPr>
      <w:r>
        <w:rPr>
          <w:rFonts w:hint="eastAsia"/>
          <w:lang w:val="en-US" w:eastAsia="zh-CN"/>
        </w:rPr>
        <w:t>本项目总预算1350350.00元，软件开发费为1262500.00元，本项目另有软件测评费37350.00元，安全测评费25250.00元，密码测评费25250.00元。</w:t>
      </w:r>
      <w:r>
        <w:rPr>
          <w:szCs w:val="22"/>
          <w:highlight w:val="none"/>
        </w:rPr>
        <w:t>针对本项目，采购商报价体系应包括</w:t>
      </w:r>
      <w:r>
        <w:rPr>
          <w:rFonts w:hint="eastAsia"/>
          <w:highlight w:val="none"/>
        </w:rPr>
        <w:t>软件评测费、安全评测费、密码应用测评费</w:t>
      </w:r>
      <w:r>
        <w:rPr>
          <w:szCs w:val="22"/>
          <w:highlight w:val="none"/>
        </w:rPr>
        <w:t>。</w:t>
      </w:r>
    </w:p>
    <w:p w14:paraId="7144EA6B">
      <w:pPr>
        <w:pStyle w:val="2"/>
      </w:pPr>
      <w:r>
        <w:rPr>
          <w:rFonts w:hint="eastAsia"/>
        </w:rPr>
        <w:t>其他要求</w:t>
      </w:r>
    </w:p>
    <w:p w14:paraId="334D429A">
      <w:pPr>
        <w:pStyle w:val="3"/>
        <w:ind w:left="480"/>
      </w:pPr>
      <w:r>
        <w:rPr>
          <w:rFonts w:hint="eastAsia"/>
        </w:rPr>
        <w:t>总体要求</w:t>
      </w:r>
    </w:p>
    <w:p w14:paraId="311A8C26">
      <w:pPr>
        <w:numPr>
          <w:ilvl w:val="0"/>
          <w:numId w:val="2"/>
        </w:numPr>
        <w:ind w:left="0" w:firstLine="480"/>
        <w:rPr>
          <w:szCs w:val="20"/>
        </w:rPr>
      </w:pPr>
      <w:bookmarkStart w:id="18" w:name="OLE_LINK1"/>
      <w:r>
        <w:rPr>
          <w:rFonts w:hint="eastAsia"/>
          <w:szCs w:val="20"/>
        </w:rPr>
        <w:t>供应商需充分考虑满足采购项目的建设要求，根据采购人的详细需求，提出完整的项目管理、培训、项目验收、售后服务方案。</w:t>
      </w:r>
      <w:bookmarkEnd w:id="18"/>
      <w:r>
        <w:rPr>
          <w:szCs w:val="20"/>
        </w:rPr>
        <w:t>供应商</w:t>
      </w:r>
      <w:r>
        <w:rPr>
          <w:rFonts w:hint="eastAsia"/>
          <w:szCs w:val="20"/>
          <w:lang w:val="en-US" w:eastAsia="zh-CN"/>
        </w:rPr>
        <w:t>应</w:t>
      </w:r>
      <w:r>
        <w:rPr>
          <w:szCs w:val="20"/>
        </w:rPr>
        <w:t>具有ISO20000 信息技术服务管理体系认证证书、ISO27001信息安全管理体系认证证书、ITSS信息技术服务标准符合性证书，CS信息系统建设和服务能力等级证书</w:t>
      </w:r>
      <w:bookmarkStart w:id="20" w:name="_GoBack"/>
      <w:bookmarkEnd w:id="20"/>
      <w:r>
        <w:rPr>
          <w:szCs w:val="20"/>
        </w:rPr>
        <w:t>。</w:t>
      </w:r>
    </w:p>
    <w:p w14:paraId="59DC8F28">
      <w:pPr>
        <w:numPr>
          <w:ilvl w:val="0"/>
          <w:numId w:val="2"/>
        </w:numPr>
        <w:ind w:left="0" w:firstLine="480"/>
        <w:rPr>
          <w:szCs w:val="20"/>
        </w:rPr>
      </w:pPr>
      <w:r>
        <w:rPr>
          <w:rFonts w:hint="eastAsia"/>
          <w:szCs w:val="20"/>
        </w:rPr>
        <w:t>供应商应本着认真负责态度，组织技术队伍，认真做好项目的实施工作。在签订合同前，提出具体实施、服务、维护以及今后技术支持的措施计划。</w:t>
      </w:r>
    </w:p>
    <w:p w14:paraId="3CC30EE3">
      <w:pPr>
        <w:numPr>
          <w:ilvl w:val="0"/>
          <w:numId w:val="2"/>
        </w:numPr>
        <w:ind w:left="0" w:firstLine="480"/>
        <w:rPr>
          <w:szCs w:val="20"/>
        </w:rPr>
      </w:pPr>
      <w:r>
        <w:rPr>
          <w:rFonts w:hint="eastAsia"/>
          <w:szCs w:val="20"/>
        </w:rPr>
        <w:t>供应商在中标并签署合同后，应通过谈话、现场考察、资料学习、座谈会等形式深度了解用户需求，进一步细化明确建设内容，优化技术方案，并组织邀请社会专家参加的方案论证会，系统开发或硬件、软件产品等采购前须制作需求规格说明书或硬件、软件产品采购清单，由用户方书面确认后实施。咨询论证等费用由成交单位承担。</w:t>
      </w:r>
    </w:p>
    <w:p w14:paraId="483D9436">
      <w:pPr>
        <w:pStyle w:val="3"/>
        <w:ind w:left="480"/>
      </w:pPr>
      <w:r>
        <w:rPr>
          <w:rFonts w:hint="eastAsia"/>
        </w:rPr>
        <w:t>技术和性能要求</w:t>
      </w:r>
    </w:p>
    <w:p w14:paraId="616A62A1">
      <w:pPr>
        <w:numPr>
          <w:ilvl w:val="0"/>
          <w:numId w:val="3"/>
        </w:numPr>
        <w:ind w:left="0" w:firstLine="480"/>
        <w:rPr>
          <w:szCs w:val="20"/>
        </w:rPr>
      </w:pPr>
      <w:r>
        <w:rPr>
          <w:rFonts w:hint="eastAsia"/>
          <w:szCs w:val="20"/>
        </w:rPr>
        <w:t>系统支持</w:t>
      </w:r>
      <w:r>
        <w:rPr>
          <w:rFonts w:hint="eastAsia"/>
          <w:szCs w:val="20"/>
          <w:lang w:eastAsia="zh-CN"/>
        </w:rPr>
        <w:t>XC</w:t>
      </w:r>
      <w:r>
        <w:rPr>
          <w:rFonts w:hint="eastAsia"/>
          <w:szCs w:val="20"/>
        </w:rPr>
        <w:t>环境</w:t>
      </w:r>
      <w:bookmarkStart w:id="19" w:name="_Hlk97889730"/>
      <w:r>
        <w:rPr>
          <w:rFonts w:hint="eastAsia"/>
          <w:szCs w:val="20"/>
          <w:lang w:eastAsia="zh-CN"/>
        </w:rPr>
        <w:t>，</w:t>
      </w:r>
      <w:r>
        <w:rPr>
          <w:rFonts w:hint="eastAsia"/>
          <w:szCs w:val="20"/>
          <w:lang w:val="en-US" w:eastAsia="zh-CN"/>
        </w:rPr>
        <w:t>按XC要求研发建设</w:t>
      </w:r>
      <w:r>
        <w:rPr>
          <w:rFonts w:hint="eastAsia"/>
          <w:szCs w:val="20"/>
        </w:rPr>
        <w:t>。</w:t>
      </w:r>
      <w:bookmarkEnd w:id="19"/>
    </w:p>
    <w:p w14:paraId="269CC9CD">
      <w:pPr>
        <w:numPr>
          <w:ilvl w:val="0"/>
          <w:numId w:val="3"/>
        </w:numPr>
        <w:ind w:left="0" w:firstLine="480"/>
        <w:rPr>
          <w:szCs w:val="20"/>
        </w:rPr>
      </w:pPr>
      <w:r>
        <w:rPr>
          <w:rFonts w:hint="eastAsia"/>
          <w:szCs w:val="20"/>
        </w:rPr>
        <w:t>系统具备良好的开放性，充分考虑今后功能扩展和应用系统集成。</w:t>
      </w:r>
    </w:p>
    <w:p w14:paraId="1A796DF5">
      <w:pPr>
        <w:numPr>
          <w:ilvl w:val="0"/>
          <w:numId w:val="3"/>
        </w:numPr>
        <w:ind w:left="0" w:firstLine="480"/>
        <w:rPr>
          <w:szCs w:val="20"/>
        </w:rPr>
      </w:pPr>
      <w:r>
        <w:rPr>
          <w:rFonts w:hint="eastAsia"/>
          <w:szCs w:val="20"/>
        </w:rPr>
        <w:t>性能指标：标准软硬件配置环境下简单操作响应时间≤2秒，复杂操作响应时间≤10秒；一般统计查询响应时间≤5秒，复杂查询提供进度状态标志，且响应时间≤15秒；支持≥</w:t>
      </w:r>
      <w:r>
        <w:rPr>
          <w:szCs w:val="20"/>
        </w:rPr>
        <w:t>100</w:t>
      </w:r>
      <w:r>
        <w:rPr>
          <w:rFonts w:hint="eastAsia"/>
          <w:szCs w:val="20"/>
        </w:rPr>
        <w:t>并发用户。</w:t>
      </w:r>
    </w:p>
    <w:p w14:paraId="5EF89D97">
      <w:pPr>
        <w:numPr>
          <w:ilvl w:val="0"/>
          <w:numId w:val="3"/>
        </w:numPr>
        <w:ind w:left="0" w:firstLine="480"/>
        <w:rPr>
          <w:szCs w:val="20"/>
        </w:rPr>
      </w:pPr>
      <w:r>
        <w:rPr>
          <w:rFonts w:hint="eastAsia"/>
          <w:szCs w:val="20"/>
        </w:rPr>
        <w:t>本项目建设严格遵循等级保护等相关标准规范要求，依托于上海市电子政务云资源进行部署，做好信息安全防护。</w:t>
      </w:r>
    </w:p>
    <w:p w14:paraId="553F5D64">
      <w:pPr>
        <w:numPr>
          <w:ilvl w:val="0"/>
          <w:numId w:val="3"/>
        </w:numPr>
        <w:ind w:left="0" w:firstLine="480"/>
      </w:pPr>
      <w:r>
        <w:rPr>
          <w:rFonts w:hint="eastAsia"/>
          <w:szCs w:val="20"/>
        </w:rPr>
        <w:t>系统产生的电子文件符合电子归档的相关要求。</w:t>
      </w:r>
    </w:p>
    <w:p w14:paraId="0E24DB93">
      <w:pPr>
        <w:keepNext/>
        <w:keepLines/>
        <w:numPr>
          <w:ilvl w:val="1"/>
          <w:numId w:val="4"/>
        </w:numPr>
        <w:tabs>
          <w:tab w:val="left" w:pos="360"/>
        </w:tabs>
        <w:spacing w:before="120" w:line="240" w:lineRule="auto"/>
        <w:ind w:left="0" w:firstLine="0" w:firstLineChars="0"/>
        <w:outlineLvl w:val="1"/>
        <w:rPr>
          <w:rFonts w:ascii="仿宋" w:hAnsi="仿宋" w:eastAsia="仿宋"/>
          <w:b/>
          <w:vanish/>
          <w:color w:val="000000"/>
          <w:sz w:val="28"/>
          <w:szCs w:val="20"/>
        </w:rPr>
      </w:pPr>
    </w:p>
    <w:p w14:paraId="0DEE34AB">
      <w:pPr>
        <w:pStyle w:val="3"/>
        <w:ind w:left="480"/>
      </w:pPr>
      <w:r>
        <w:rPr>
          <w:rFonts w:hint="eastAsia"/>
        </w:rPr>
        <w:t>售后服务要求</w:t>
      </w:r>
    </w:p>
    <w:p w14:paraId="0B0FD645">
      <w:pPr>
        <w:widowControl/>
        <w:adjustRightInd w:val="0"/>
        <w:jc w:val="left"/>
        <w:rPr>
          <w:rFonts w:cs="宋体"/>
          <w:color w:val="000000"/>
          <w:kern w:val="0"/>
        </w:rPr>
      </w:pPr>
      <w:r>
        <w:rPr>
          <w:rFonts w:hint="eastAsia"/>
        </w:rPr>
        <w:t>本</w:t>
      </w:r>
      <w:r>
        <w:rPr>
          <w:rFonts w:hint="eastAsia" w:cs="宋体"/>
          <w:color w:val="000000"/>
          <w:kern w:val="0"/>
        </w:rPr>
        <w:t>项目验收通过后，提供一年的免费质量保证服务，承诺为系统提供终身技术</w:t>
      </w:r>
      <w:r>
        <w:rPr>
          <w:rFonts w:hint="eastAsia" w:cs="宋体"/>
          <w:color w:val="000000"/>
          <w:kern w:val="0"/>
          <w:lang w:val="en-US" w:eastAsia="zh-CN"/>
        </w:rPr>
        <w:t>支持</w:t>
      </w:r>
      <w:r>
        <w:rPr>
          <w:rFonts w:hint="eastAsia" w:cs="宋体"/>
          <w:color w:val="000000"/>
          <w:kern w:val="0"/>
        </w:rPr>
        <w:t>服务。服务对象为上海市人民检察院第三分院以及与项目相关的单位、部门和用户。为确保系统的正常运行，及时解决发生的各类问题，需结合项目实际，制定有效的运维保障方案和安全应急措施。并按约定，提供以下方式服务：</w:t>
      </w:r>
    </w:p>
    <w:p w14:paraId="658A8760">
      <w:pPr>
        <w:numPr>
          <w:ilvl w:val="0"/>
          <w:numId w:val="5"/>
        </w:numPr>
        <w:tabs>
          <w:tab w:val="left" w:pos="-420"/>
        </w:tabs>
        <w:ind w:left="502" w:firstLine="0" w:firstLineChars="0"/>
        <w:rPr>
          <w:b/>
          <w:bCs/>
          <w:szCs w:val="20"/>
        </w:rPr>
      </w:pPr>
      <w:r>
        <w:rPr>
          <w:rFonts w:hint="eastAsia"/>
          <w:b/>
          <w:bCs/>
          <w:szCs w:val="20"/>
        </w:rPr>
        <w:t>驻场技术服务</w:t>
      </w:r>
    </w:p>
    <w:p w14:paraId="2C642293">
      <w:pPr>
        <w:widowControl/>
        <w:adjustRightInd w:val="0"/>
        <w:jc w:val="left"/>
        <w:rPr>
          <w:rFonts w:cs="宋体"/>
          <w:color w:val="000000"/>
          <w:kern w:val="0"/>
        </w:rPr>
      </w:pPr>
      <w:r>
        <w:rPr>
          <w:rFonts w:hint="eastAsia" w:cs="宋体"/>
          <w:color w:val="000000"/>
          <w:kern w:val="0"/>
        </w:rPr>
        <w:t>运维期间，根据系统运行的实际需求派驻现场工作人员，面向上海市人民检察院第三分院以及与项目相关的单位、部门和用户，对系统发生的事件、用户的要求进行及时响应；通过应用指导、运维保障和软件开发等多种方式提供高效和优质的综合技术服务。</w:t>
      </w:r>
    </w:p>
    <w:p w14:paraId="1DF23C17">
      <w:pPr>
        <w:numPr>
          <w:ilvl w:val="0"/>
          <w:numId w:val="5"/>
        </w:numPr>
        <w:tabs>
          <w:tab w:val="left" w:pos="-420"/>
        </w:tabs>
        <w:ind w:left="502" w:firstLine="0" w:firstLineChars="0"/>
        <w:rPr>
          <w:b/>
          <w:bCs/>
          <w:szCs w:val="20"/>
        </w:rPr>
      </w:pPr>
      <w:r>
        <w:rPr>
          <w:rFonts w:hint="eastAsia"/>
          <w:b/>
          <w:bCs/>
          <w:szCs w:val="20"/>
        </w:rPr>
        <w:t>重大活动伴随服务</w:t>
      </w:r>
    </w:p>
    <w:p w14:paraId="0F7AC2F7">
      <w:pPr>
        <w:widowControl/>
        <w:adjustRightInd w:val="0"/>
        <w:jc w:val="left"/>
        <w:rPr>
          <w:rFonts w:cs="宋体"/>
          <w:color w:val="000000"/>
          <w:kern w:val="0"/>
        </w:rPr>
      </w:pPr>
      <w:r>
        <w:rPr>
          <w:rFonts w:hint="eastAsia" w:cs="宋体"/>
          <w:color w:val="000000"/>
          <w:kern w:val="0"/>
        </w:rPr>
        <w:t>用户若有跟系统相关的重大活动，项目组需提供活动所需专人进行事前调试和始终伴随服务，以确保系统的正常运行，最终实现用户活动的顺利完成。</w:t>
      </w:r>
    </w:p>
    <w:p w14:paraId="70C74700">
      <w:pPr>
        <w:numPr>
          <w:ilvl w:val="0"/>
          <w:numId w:val="5"/>
        </w:numPr>
        <w:tabs>
          <w:tab w:val="left" w:pos="-420"/>
        </w:tabs>
        <w:ind w:left="502" w:firstLine="0" w:firstLineChars="0"/>
        <w:rPr>
          <w:b/>
          <w:bCs/>
          <w:szCs w:val="20"/>
        </w:rPr>
      </w:pPr>
      <w:r>
        <w:rPr>
          <w:rFonts w:hint="eastAsia"/>
          <w:b/>
          <w:bCs/>
          <w:szCs w:val="20"/>
        </w:rPr>
        <w:t>巡检服务</w:t>
      </w:r>
    </w:p>
    <w:p w14:paraId="22066A73">
      <w:pPr>
        <w:widowControl/>
        <w:adjustRightInd w:val="0"/>
        <w:jc w:val="left"/>
        <w:rPr>
          <w:rFonts w:cs="宋体"/>
          <w:color w:val="000000"/>
          <w:kern w:val="0"/>
        </w:rPr>
      </w:pPr>
      <w:r>
        <w:rPr>
          <w:rFonts w:hint="eastAsia" w:cs="宋体"/>
          <w:color w:val="000000"/>
          <w:kern w:val="0"/>
        </w:rPr>
        <w:t>每月进行一次巡检服务，由专业的技术支持人员上门通过专业的方式对系统运行状况进行全面检查测试，及时发现和排除隐患，确保数据备份的可靠性，保证系统可持续正常运行，并提交巡检报告。</w:t>
      </w:r>
    </w:p>
    <w:p w14:paraId="5DDF533D">
      <w:pPr>
        <w:numPr>
          <w:ilvl w:val="0"/>
          <w:numId w:val="5"/>
        </w:numPr>
        <w:tabs>
          <w:tab w:val="left" w:pos="-420"/>
        </w:tabs>
        <w:ind w:left="502" w:firstLine="0" w:firstLineChars="0"/>
        <w:rPr>
          <w:b/>
          <w:bCs/>
          <w:szCs w:val="20"/>
        </w:rPr>
      </w:pPr>
      <w:r>
        <w:rPr>
          <w:rFonts w:hint="eastAsia"/>
          <w:b/>
          <w:bCs/>
          <w:szCs w:val="20"/>
        </w:rPr>
        <w:t>远程支持服务</w:t>
      </w:r>
    </w:p>
    <w:p w14:paraId="6E973BC3">
      <w:pPr>
        <w:pStyle w:val="9"/>
        <w:numPr>
          <w:ilvl w:val="0"/>
          <w:numId w:val="6"/>
        </w:numPr>
        <w:ind w:left="0" w:firstLine="480"/>
        <w:rPr>
          <w:szCs w:val="22"/>
        </w:rPr>
      </w:pPr>
      <w:r>
        <w:rPr>
          <w:rFonts w:hint="eastAsia"/>
          <w:szCs w:val="22"/>
        </w:rPr>
        <w:t>热线电话服务</w:t>
      </w:r>
    </w:p>
    <w:p w14:paraId="6E5EE6EB">
      <w:pPr>
        <w:widowControl/>
        <w:adjustRightInd w:val="0"/>
        <w:jc w:val="left"/>
        <w:rPr>
          <w:rFonts w:cs="宋体"/>
          <w:color w:val="000000"/>
          <w:kern w:val="0"/>
        </w:rPr>
      </w:pPr>
      <w:r>
        <w:rPr>
          <w:rFonts w:hint="eastAsia" w:cs="宋体"/>
          <w:color w:val="000000"/>
          <w:kern w:val="0"/>
        </w:rPr>
        <w:t>提供项目组技术人员的7*24小时服务热线；针对检察院提出的问题，通过电话解答咨询、指导应用和故障排除。对于无法解决的问题，及时受理登记，安排运维任务。</w:t>
      </w:r>
    </w:p>
    <w:p w14:paraId="4E799BEE">
      <w:pPr>
        <w:pStyle w:val="9"/>
        <w:numPr>
          <w:ilvl w:val="0"/>
          <w:numId w:val="6"/>
        </w:numPr>
        <w:ind w:left="0" w:firstLine="480"/>
        <w:rPr>
          <w:szCs w:val="22"/>
        </w:rPr>
      </w:pPr>
      <w:r>
        <w:rPr>
          <w:rFonts w:hint="eastAsia"/>
          <w:szCs w:val="22"/>
        </w:rPr>
        <w:t>电子邮件服务</w:t>
      </w:r>
    </w:p>
    <w:p w14:paraId="7AEFAA13">
      <w:pPr>
        <w:widowControl/>
        <w:adjustRightInd w:val="0"/>
        <w:jc w:val="left"/>
      </w:pPr>
      <w:r>
        <w:rPr>
          <w:rFonts w:hint="eastAsia" w:cs="宋体"/>
          <w:color w:val="000000"/>
          <w:kern w:val="0"/>
        </w:rPr>
        <w:t>提供项目组负责人邮箱地址，若遇到疑难的问题，用户可将问题通过E-mail的方式发给项目组相关负责人，项目组每天至少接收一次邮件，并在2个工作日内及时予以回复。</w:t>
      </w:r>
    </w:p>
    <w:p w14:paraId="2427CC37">
      <w:pPr>
        <w:pStyle w:val="3"/>
        <w:ind w:left="480"/>
      </w:pPr>
      <w:r>
        <w:rPr>
          <w:rFonts w:hint="eastAsia"/>
        </w:rPr>
        <w:t>应急响应要求</w:t>
      </w:r>
    </w:p>
    <w:p w14:paraId="3B6BE24E">
      <w:pPr>
        <w:pStyle w:val="10"/>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1A341F92">
      <w:pPr>
        <w:pStyle w:val="10"/>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43DFF79A">
      <w:pPr>
        <w:pStyle w:val="10"/>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1小时内确诊，总故障解决时间不超过2小时。</w:t>
      </w:r>
    </w:p>
    <w:p w14:paraId="609B583A">
      <w:pPr>
        <w:pStyle w:val="10"/>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2小时内确诊，并在2小时内由专家到达现场确诊并解决，总故障解决时间不超过4小时；</w:t>
      </w:r>
    </w:p>
    <w:p w14:paraId="5D4221C7">
      <w:pPr>
        <w:pStyle w:val="10"/>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4小时内确诊故障，总故障解决时间不超过8小时。</w:t>
      </w:r>
    </w:p>
    <w:p w14:paraId="4283C849">
      <w:pPr>
        <w:pStyle w:val="3"/>
        <w:ind w:left="480"/>
      </w:pPr>
      <w:r>
        <w:rPr>
          <w:rFonts w:hint="eastAsia"/>
        </w:rPr>
        <w:t>培训要求</w:t>
      </w:r>
    </w:p>
    <w:p w14:paraId="56BC896D">
      <w:pPr>
        <w:pStyle w:val="10"/>
        <w:snapToGrid w:val="0"/>
        <w:spacing w:line="360" w:lineRule="auto"/>
        <w:ind w:firstLine="480"/>
        <w:rPr>
          <w:rFonts w:ascii="宋体" w:hAnsi="宋体"/>
          <w:sz w:val="24"/>
          <w:szCs w:val="24"/>
        </w:rPr>
      </w:pPr>
      <w:r>
        <w:rPr>
          <w:rFonts w:hint="eastAsia" w:ascii="宋体" w:hAnsi="宋体"/>
          <w:sz w:val="24"/>
          <w:szCs w:val="24"/>
        </w:rPr>
        <w:t>对系统使用单位提供业务操作培训，应提供详细培训方案。</w:t>
      </w:r>
    </w:p>
    <w:p w14:paraId="4D703F3B">
      <w:pPr>
        <w:pStyle w:val="10"/>
        <w:snapToGrid w:val="0"/>
        <w:spacing w:line="360" w:lineRule="auto"/>
        <w:ind w:firstLine="480"/>
        <w:rPr>
          <w:rFonts w:ascii="宋体" w:hAnsi="宋体"/>
          <w:sz w:val="24"/>
          <w:szCs w:val="24"/>
        </w:rPr>
      </w:pPr>
      <w:r>
        <w:rPr>
          <w:rFonts w:ascii="宋体" w:hAnsi="宋体"/>
          <w:sz w:val="24"/>
          <w:szCs w:val="24"/>
        </w:rPr>
        <w:t>(1)在质量保证期内，提供2次与项目相关的必要培训。</w:t>
      </w:r>
    </w:p>
    <w:p w14:paraId="79596094">
      <w:pPr>
        <w:pStyle w:val="10"/>
        <w:snapToGrid w:val="0"/>
        <w:spacing w:line="360" w:lineRule="auto"/>
        <w:ind w:firstLine="480"/>
        <w:rPr>
          <w:rFonts w:ascii="宋体" w:hAnsi="宋体"/>
          <w:sz w:val="24"/>
          <w:szCs w:val="24"/>
        </w:rPr>
      </w:pPr>
      <w:r>
        <w:rPr>
          <w:rFonts w:ascii="宋体" w:hAnsi="宋体"/>
          <w:sz w:val="24"/>
          <w:szCs w:val="24"/>
        </w:rPr>
        <w:t>(2)供应商需要开展分层次的人员培训工作，每次培训后应对参加培训人员进行测试，评估培训成果。培训应具有培训教材、培训环境和高水平的培训讲师。</w:t>
      </w:r>
    </w:p>
    <w:p w14:paraId="43B4BFA5">
      <w:pPr>
        <w:pStyle w:val="10"/>
        <w:snapToGrid w:val="0"/>
        <w:spacing w:line="360" w:lineRule="auto"/>
        <w:ind w:firstLine="480"/>
        <w:rPr>
          <w:rFonts w:hint="eastAsia" w:ascii="宋体" w:hAnsi="宋体"/>
          <w:sz w:val="24"/>
          <w:szCs w:val="24"/>
        </w:rPr>
      </w:pPr>
      <w:r>
        <w:rPr>
          <w:rFonts w:ascii="宋体" w:hAnsi="宋体"/>
          <w:sz w:val="24"/>
          <w:szCs w:val="24"/>
        </w:rPr>
        <w:t>(3)供应商应提供一般用户的基础操作培训和部门信息管理员的日常应用维护的培训，确保用户对象能够掌握对应的操作技能。</w:t>
      </w:r>
    </w:p>
    <w:p w14:paraId="3E46EAD9">
      <w:pPr>
        <w:pStyle w:val="3"/>
        <w:ind w:left="480"/>
      </w:pPr>
      <w:r>
        <w:rPr>
          <w:rFonts w:hint="eastAsia"/>
        </w:rPr>
        <w:t>进度要求</w:t>
      </w:r>
    </w:p>
    <w:p w14:paraId="5E7E3037">
      <w:pPr>
        <w:pStyle w:val="10"/>
        <w:snapToGrid w:val="0"/>
        <w:spacing w:line="360" w:lineRule="auto"/>
        <w:ind w:firstLine="480"/>
        <w:rPr>
          <w:rFonts w:ascii="宋体" w:hAnsi="宋体"/>
          <w:sz w:val="24"/>
          <w:szCs w:val="24"/>
        </w:rPr>
      </w:pPr>
      <w:r>
        <w:rPr>
          <w:rFonts w:hint="eastAsia" w:ascii="宋体" w:hAnsi="宋体"/>
          <w:sz w:val="24"/>
          <w:szCs w:val="24"/>
        </w:rPr>
        <w:t>本项目要求合同签订后，供应商应根据用户方要求，及时整体或分批启动项目，在需求规格说明书确认后，按双方约定的时间节点完成项目。</w:t>
      </w:r>
    </w:p>
    <w:p w14:paraId="54FC40CE">
      <w:pPr>
        <w:pStyle w:val="10"/>
        <w:snapToGrid w:val="0"/>
        <w:spacing w:line="360" w:lineRule="auto"/>
        <w:ind w:firstLine="480"/>
        <w:rPr>
          <w:rFonts w:ascii="宋体" w:hAnsi="宋体"/>
          <w:sz w:val="24"/>
          <w:szCs w:val="24"/>
          <w:highlight w:val="none"/>
        </w:rPr>
      </w:pPr>
      <w:r>
        <w:rPr>
          <w:rFonts w:hint="eastAsia" w:ascii="宋体" w:hAnsi="宋体"/>
          <w:sz w:val="24"/>
          <w:szCs w:val="24"/>
          <w:highlight w:val="none"/>
        </w:rPr>
        <w:t>合同签订后6个月内完成系统建设。</w:t>
      </w:r>
    </w:p>
    <w:p w14:paraId="7E160777">
      <w:pPr>
        <w:pStyle w:val="3"/>
        <w:ind w:left="480"/>
      </w:pPr>
      <w:r>
        <w:rPr>
          <w:rFonts w:hint="eastAsia"/>
        </w:rPr>
        <w:t>项目团队人员要求</w:t>
      </w:r>
    </w:p>
    <w:p w14:paraId="442B62A2">
      <w:pPr>
        <w:numPr>
          <w:ilvl w:val="0"/>
          <w:numId w:val="7"/>
        </w:numPr>
      </w:pPr>
      <w:r>
        <w:t>投标人须具有稳定的在职技术保障力量，能够提供及时的技术支援或服务，应针对本项目提供不少于8人的项目服务团队（包括项目经理、技术负责人、研发</w:t>
      </w:r>
      <w:r>
        <w:rPr>
          <w:rFonts w:hint="eastAsia"/>
          <w:lang w:eastAsia="zh-CN"/>
        </w:rPr>
        <w:t>实施人员</w:t>
      </w:r>
      <w:r>
        <w:t>等），投标单位的相关服务人员需具备相应的服务能力，需提供相关证明（</w:t>
      </w:r>
      <w:r>
        <w:rPr>
          <w:spacing w:val="-1"/>
          <w:highlight w:val="none"/>
          <w:lang w:eastAsia="zh-CN"/>
        </w:rPr>
        <w:t>最近一个季度任意一个月依法</w:t>
      </w:r>
      <w:r>
        <w:rPr>
          <w:spacing w:val="-4"/>
          <w:highlight w:val="none"/>
          <w:lang w:eastAsia="zh-CN"/>
        </w:rPr>
        <w:t>缴纳社保费的证明</w:t>
      </w:r>
      <w:r>
        <w:t>）。</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2030"/>
        <w:gridCol w:w="1507"/>
        <w:gridCol w:w="2861"/>
        <w:gridCol w:w="1415"/>
      </w:tblGrid>
      <w:tr w14:paraId="0143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47" w:type="dxa"/>
            <w:vAlign w:val="center"/>
          </w:tcPr>
          <w:p w14:paraId="639D96BB">
            <w:pPr>
              <w:widowControl/>
              <w:spacing w:line="240" w:lineRule="auto"/>
              <w:ind w:firstLine="0" w:firstLineChars="0"/>
              <w:jc w:val="center"/>
              <w:rPr>
                <w:b/>
                <w:sz w:val="21"/>
                <w:szCs w:val="21"/>
              </w:rPr>
            </w:pPr>
            <w:r>
              <w:rPr>
                <w:rFonts w:hint="eastAsia"/>
                <w:b/>
                <w:sz w:val="21"/>
                <w:szCs w:val="21"/>
              </w:rPr>
              <w:t>角色</w:t>
            </w:r>
          </w:p>
        </w:tc>
        <w:tc>
          <w:tcPr>
            <w:tcW w:w="2030" w:type="dxa"/>
            <w:vAlign w:val="center"/>
          </w:tcPr>
          <w:p w14:paraId="463A8125">
            <w:pPr>
              <w:widowControl/>
              <w:spacing w:line="240" w:lineRule="auto"/>
              <w:ind w:firstLine="0" w:firstLineChars="0"/>
              <w:jc w:val="center"/>
              <w:rPr>
                <w:b/>
                <w:sz w:val="21"/>
                <w:szCs w:val="21"/>
              </w:rPr>
            </w:pPr>
            <w:r>
              <w:rPr>
                <w:rFonts w:hint="eastAsia"/>
                <w:b/>
                <w:sz w:val="21"/>
                <w:szCs w:val="21"/>
              </w:rPr>
              <w:t>主要职责</w:t>
            </w:r>
          </w:p>
        </w:tc>
        <w:tc>
          <w:tcPr>
            <w:tcW w:w="1507" w:type="dxa"/>
            <w:vAlign w:val="center"/>
          </w:tcPr>
          <w:p w14:paraId="78A521E3">
            <w:pPr>
              <w:widowControl/>
              <w:spacing w:line="240" w:lineRule="auto"/>
              <w:ind w:firstLine="0" w:firstLineChars="0"/>
              <w:jc w:val="center"/>
              <w:rPr>
                <w:b/>
                <w:sz w:val="21"/>
                <w:szCs w:val="21"/>
              </w:rPr>
            </w:pPr>
            <w:r>
              <w:rPr>
                <w:rFonts w:hint="eastAsia"/>
                <w:b/>
                <w:sz w:val="21"/>
                <w:szCs w:val="21"/>
              </w:rPr>
              <w:t>人员数量</w:t>
            </w:r>
          </w:p>
        </w:tc>
        <w:tc>
          <w:tcPr>
            <w:tcW w:w="2861" w:type="dxa"/>
            <w:vAlign w:val="center"/>
          </w:tcPr>
          <w:p w14:paraId="7F8850DA">
            <w:pPr>
              <w:widowControl/>
              <w:spacing w:line="240" w:lineRule="auto"/>
              <w:ind w:firstLine="0" w:firstLineChars="0"/>
              <w:jc w:val="center"/>
              <w:rPr>
                <w:b/>
                <w:sz w:val="21"/>
                <w:szCs w:val="21"/>
              </w:rPr>
            </w:pPr>
            <w:r>
              <w:rPr>
                <w:rFonts w:hint="eastAsia"/>
                <w:b/>
                <w:sz w:val="21"/>
                <w:szCs w:val="21"/>
              </w:rPr>
              <w:t>人员要求</w:t>
            </w:r>
          </w:p>
        </w:tc>
        <w:tc>
          <w:tcPr>
            <w:tcW w:w="1415" w:type="dxa"/>
            <w:vAlign w:val="center"/>
          </w:tcPr>
          <w:p w14:paraId="46DBB3B8">
            <w:pPr>
              <w:widowControl/>
              <w:spacing w:line="240" w:lineRule="auto"/>
              <w:ind w:firstLine="0" w:firstLineChars="0"/>
              <w:jc w:val="center"/>
              <w:rPr>
                <w:b/>
                <w:sz w:val="21"/>
                <w:szCs w:val="21"/>
              </w:rPr>
            </w:pPr>
            <w:r>
              <w:rPr>
                <w:rFonts w:hint="eastAsia"/>
                <w:b/>
                <w:sz w:val="21"/>
                <w:szCs w:val="21"/>
              </w:rPr>
              <w:t>驻场要求</w:t>
            </w:r>
          </w:p>
        </w:tc>
      </w:tr>
      <w:tr w14:paraId="6D5F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47" w:type="dxa"/>
            <w:vAlign w:val="center"/>
          </w:tcPr>
          <w:p w14:paraId="48CD7175">
            <w:pPr>
              <w:widowControl/>
              <w:spacing w:line="240" w:lineRule="auto"/>
              <w:ind w:firstLine="0" w:firstLineChars="0"/>
              <w:jc w:val="center"/>
              <w:rPr>
                <w:sz w:val="21"/>
                <w:szCs w:val="21"/>
              </w:rPr>
            </w:pPr>
            <w:r>
              <w:rPr>
                <w:rFonts w:hint="eastAsia"/>
                <w:sz w:val="21"/>
                <w:szCs w:val="21"/>
              </w:rPr>
              <w:t>项目经理</w:t>
            </w:r>
          </w:p>
        </w:tc>
        <w:tc>
          <w:tcPr>
            <w:tcW w:w="2030" w:type="dxa"/>
            <w:vAlign w:val="center"/>
          </w:tcPr>
          <w:p w14:paraId="4C7DE5D0">
            <w:pPr>
              <w:widowControl/>
              <w:spacing w:line="240" w:lineRule="auto"/>
              <w:ind w:firstLine="0" w:firstLineChars="0"/>
              <w:jc w:val="center"/>
              <w:rPr>
                <w:sz w:val="21"/>
                <w:szCs w:val="21"/>
              </w:rPr>
            </w:pPr>
            <w:r>
              <w:rPr>
                <w:rFonts w:hint="eastAsia"/>
                <w:sz w:val="21"/>
                <w:szCs w:val="21"/>
              </w:rPr>
              <w:t>负责整体项目质量和进度控制</w:t>
            </w:r>
          </w:p>
        </w:tc>
        <w:tc>
          <w:tcPr>
            <w:tcW w:w="1507" w:type="dxa"/>
            <w:vAlign w:val="center"/>
          </w:tcPr>
          <w:p w14:paraId="5B0C7058">
            <w:pPr>
              <w:widowControl/>
              <w:spacing w:line="240" w:lineRule="auto"/>
              <w:ind w:firstLine="0" w:firstLineChars="0"/>
              <w:jc w:val="center"/>
              <w:rPr>
                <w:sz w:val="21"/>
                <w:szCs w:val="21"/>
              </w:rPr>
            </w:pPr>
            <w:r>
              <w:rPr>
                <w:rFonts w:hint="eastAsia"/>
                <w:sz w:val="21"/>
                <w:szCs w:val="21"/>
              </w:rPr>
              <w:t>1人</w:t>
            </w:r>
          </w:p>
        </w:tc>
        <w:tc>
          <w:tcPr>
            <w:tcW w:w="2861" w:type="dxa"/>
            <w:vAlign w:val="center"/>
          </w:tcPr>
          <w:p w14:paraId="2EED6702">
            <w:pPr>
              <w:widowControl/>
              <w:spacing w:line="240" w:lineRule="auto"/>
              <w:ind w:firstLine="0" w:firstLineChars="0"/>
              <w:rPr>
                <w:rFonts w:hint="eastAsia" w:eastAsia="宋体"/>
                <w:sz w:val="21"/>
                <w:szCs w:val="21"/>
                <w:lang w:val="en" w:eastAsia="zh-CN"/>
              </w:rPr>
            </w:pPr>
            <w:r>
              <w:rPr>
                <w:rFonts w:hint="eastAsia" w:cs="Arial"/>
                <w:kern w:val="0"/>
                <w:sz w:val="21"/>
                <w:szCs w:val="21"/>
              </w:rPr>
              <w:t>具备5年（含）以上信息系统行业从业经历；具备信息系统项目管理师证书、高级工程师证书</w:t>
            </w:r>
            <w:r>
              <w:rPr>
                <w:rFonts w:hint="eastAsia" w:cs="Arial"/>
                <w:kern w:val="0"/>
                <w:sz w:val="21"/>
                <w:szCs w:val="21"/>
                <w:lang w:eastAsia="zh-CN"/>
              </w:rPr>
              <w:t>等</w:t>
            </w:r>
          </w:p>
        </w:tc>
        <w:tc>
          <w:tcPr>
            <w:tcW w:w="1415" w:type="dxa"/>
            <w:vAlign w:val="center"/>
          </w:tcPr>
          <w:p w14:paraId="4379E575">
            <w:pPr>
              <w:widowControl/>
              <w:spacing w:line="240" w:lineRule="auto"/>
              <w:ind w:firstLine="0" w:firstLineChars="0"/>
              <w:jc w:val="center"/>
              <w:rPr>
                <w:sz w:val="21"/>
                <w:szCs w:val="21"/>
              </w:rPr>
            </w:pPr>
            <w:r>
              <w:rPr>
                <w:rFonts w:hint="eastAsia"/>
                <w:sz w:val="21"/>
                <w:szCs w:val="21"/>
              </w:rPr>
              <w:t>非驻场</w:t>
            </w:r>
          </w:p>
        </w:tc>
      </w:tr>
      <w:tr w14:paraId="5CC5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47" w:type="dxa"/>
            <w:vAlign w:val="center"/>
          </w:tcPr>
          <w:p w14:paraId="48F98C52">
            <w:pPr>
              <w:widowControl/>
              <w:spacing w:line="240" w:lineRule="auto"/>
              <w:ind w:firstLine="0" w:firstLineChars="0"/>
              <w:jc w:val="center"/>
              <w:rPr>
                <w:sz w:val="21"/>
                <w:szCs w:val="21"/>
              </w:rPr>
            </w:pPr>
            <w:r>
              <w:rPr>
                <w:rFonts w:hint="eastAsia"/>
                <w:sz w:val="21"/>
                <w:szCs w:val="21"/>
              </w:rPr>
              <w:t>技术负责人</w:t>
            </w:r>
          </w:p>
        </w:tc>
        <w:tc>
          <w:tcPr>
            <w:tcW w:w="2030" w:type="dxa"/>
            <w:vAlign w:val="center"/>
          </w:tcPr>
          <w:p w14:paraId="2678ED7E">
            <w:pPr>
              <w:widowControl/>
              <w:spacing w:line="240" w:lineRule="auto"/>
              <w:ind w:firstLine="0" w:firstLineChars="0"/>
              <w:jc w:val="center"/>
              <w:rPr>
                <w:sz w:val="21"/>
                <w:szCs w:val="21"/>
              </w:rPr>
            </w:pPr>
            <w:r>
              <w:rPr>
                <w:rFonts w:hint="eastAsia"/>
                <w:sz w:val="21"/>
                <w:szCs w:val="21"/>
              </w:rPr>
              <w:t>负责项目需求评估与项目设计</w:t>
            </w:r>
          </w:p>
        </w:tc>
        <w:tc>
          <w:tcPr>
            <w:tcW w:w="1507" w:type="dxa"/>
            <w:vAlign w:val="center"/>
          </w:tcPr>
          <w:p w14:paraId="6FCCA68A">
            <w:pPr>
              <w:widowControl/>
              <w:spacing w:line="240" w:lineRule="auto"/>
              <w:ind w:firstLine="0" w:firstLineChars="0"/>
              <w:jc w:val="center"/>
              <w:rPr>
                <w:sz w:val="21"/>
                <w:szCs w:val="21"/>
              </w:rPr>
            </w:pPr>
            <w:r>
              <w:rPr>
                <w:rFonts w:hint="eastAsia"/>
                <w:sz w:val="21"/>
                <w:szCs w:val="21"/>
              </w:rPr>
              <w:t>1人</w:t>
            </w:r>
          </w:p>
        </w:tc>
        <w:tc>
          <w:tcPr>
            <w:tcW w:w="2861" w:type="dxa"/>
            <w:vAlign w:val="center"/>
          </w:tcPr>
          <w:p w14:paraId="2D8289F1">
            <w:pPr>
              <w:widowControl/>
              <w:spacing w:line="240" w:lineRule="auto"/>
              <w:ind w:firstLine="0" w:firstLineChars="0"/>
              <w:jc w:val="center"/>
              <w:rPr>
                <w:sz w:val="21"/>
                <w:szCs w:val="21"/>
              </w:rPr>
            </w:pPr>
            <w:r>
              <w:rPr>
                <w:rFonts w:hint="eastAsia"/>
                <w:sz w:val="21"/>
                <w:szCs w:val="21"/>
              </w:rPr>
              <w:t>/</w:t>
            </w:r>
          </w:p>
        </w:tc>
        <w:tc>
          <w:tcPr>
            <w:tcW w:w="1415" w:type="dxa"/>
            <w:vAlign w:val="center"/>
          </w:tcPr>
          <w:p w14:paraId="4CC95BAC">
            <w:pPr>
              <w:widowControl/>
              <w:spacing w:line="240" w:lineRule="auto"/>
              <w:ind w:firstLine="0" w:firstLineChars="0"/>
              <w:jc w:val="center"/>
              <w:rPr>
                <w:sz w:val="21"/>
                <w:szCs w:val="21"/>
              </w:rPr>
            </w:pPr>
            <w:r>
              <w:rPr>
                <w:rFonts w:hint="eastAsia"/>
                <w:sz w:val="21"/>
                <w:szCs w:val="21"/>
              </w:rPr>
              <w:t>非驻场</w:t>
            </w:r>
          </w:p>
        </w:tc>
      </w:tr>
      <w:tr w14:paraId="06F5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47" w:type="dxa"/>
            <w:vAlign w:val="center"/>
          </w:tcPr>
          <w:p w14:paraId="7C6F1437">
            <w:pPr>
              <w:widowControl/>
              <w:spacing w:line="240" w:lineRule="auto"/>
              <w:ind w:firstLine="0" w:firstLineChars="0"/>
              <w:jc w:val="center"/>
              <w:rPr>
                <w:sz w:val="21"/>
                <w:szCs w:val="21"/>
              </w:rPr>
            </w:pPr>
            <w:r>
              <w:rPr>
                <w:rFonts w:hint="eastAsia"/>
                <w:sz w:val="21"/>
                <w:szCs w:val="21"/>
              </w:rPr>
              <w:t>研发实施人员</w:t>
            </w:r>
          </w:p>
        </w:tc>
        <w:tc>
          <w:tcPr>
            <w:tcW w:w="2030" w:type="dxa"/>
            <w:vAlign w:val="center"/>
          </w:tcPr>
          <w:p w14:paraId="036635A4">
            <w:pPr>
              <w:widowControl/>
              <w:spacing w:line="240" w:lineRule="auto"/>
              <w:ind w:firstLine="0" w:firstLineChars="0"/>
              <w:jc w:val="center"/>
              <w:rPr>
                <w:sz w:val="21"/>
                <w:szCs w:val="21"/>
              </w:rPr>
            </w:pPr>
            <w:r>
              <w:rPr>
                <w:rFonts w:hint="eastAsia"/>
                <w:sz w:val="21"/>
                <w:szCs w:val="21"/>
              </w:rPr>
              <w:t>负责项目具体开发与实施</w:t>
            </w:r>
          </w:p>
        </w:tc>
        <w:tc>
          <w:tcPr>
            <w:tcW w:w="1507" w:type="dxa"/>
            <w:vAlign w:val="center"/>
          </w:tcPr>
          <w:p w14:paraId="03D21CD6">
            <w:pPr>
              <w:widowControl/>
              <w:spacing w:line="240" w:lineRule="auto"/>
              <w:ind w:firstLine="0" w:firstLineChars="0"/>
              <w:jc w:val="center"/>
              <w:rPr>
                <w:sz w:val="21"/>
                <w:szCs w:val="21"/>
              </w:rPr>
            </w:pPr>
            <w:r>
              <w:rPr>
                <w:rFonts w:hint="eastAsia"/>
                <w:sz w:val="21"/>
                <w:szCs w:val="21"/>
              </w:rPr>
              <w:t>不少于6人</w:t>
            </w:r>
          </w:p>
        </w:tc>
        <w:tc>
          <w:tcPr>
            <w:tcW w:w="2861" w:type="dxa"/>
            <w:vAlign w:val="center"/>
          </w:tcPr>
          <w:p w14:paraId="1CF30DE2">
            <w:pPr>
              <w:widowControl/>
              <w:spacing w:line="240" w:lineRule="auto"/>
              <w:ind w:firstLine="0" w:firstLineChars="0"/>
              <w:jc w:val="center"/>
              <w:rPr>
                <w:sz w:val="21"/>
                <w:szCs w:val="21"/>
              </w:rPr>
            </w:pPr>
            <w:r>
              <w:rPr>
                <w:rFonts w:hint="eastAsia"/>
                <w:sz w:val="21"/>
                <w:szCs w:val="21"/>
              </w:rPr>
              <w:t>/</w:t>
            </w:r>
          </w:p>
        </w:tc>
        <w:tc>
          <w:tcPr>
            <w:tcW w:w="1415" w:type="dxa"/>
            <w:vAlign w:val="center"/>
          </w:tcPr>
          <w:p w14:paraId="1201BF6C">
            <w:pPr>
              <w:widowControl/>
              <w:spacing w:line="240" w:lineRule="auto"/>
              <w:ind w:firstLine="0" w:firstLineChars="0"/>
              <w:jc w:val="center"/>
              <w:rPr>
                <w:sz w:val="21"/>
                <w:szCs w:val="21"/>
              </w:rPr>
            </w:pPr>
            <w:r>
              <w:rPr>
                <w:rFonts w:hint="eastAsia"/>
                <w:sz w:val="21"/>
                <w:szCs w:val="21"/>
              </w:rPr>
              <w:t>非驻场</w:t>
            </w:r>
          </w:p>
        </w:tc>
      </w:tr>
    </w:tbl>
    <w:p w14:paraId="115E4B12">
      <w:pPr>
        <w:pStyle w:val="9"/>
        <w:numPr>
          <w:ilvl w:val="0"/>
          <w:numId w:val="7"/>
        </w:numPr>
        <w:ind w:firstLineChars="0"/>
      </w:pPr>
      <w:r>
        <w:t>投标人应针对本项目提供不少于</w:t>
      </w:r>
      <w:r>
        <w:rPr>
          <w:rFonts w:hint="eastAsia"/>
        </w:rPr>
        <w:t>1</w:t>
      </w:r>
      <w:r>
        <w:t>人的质保期间支撑团队（</w:t>
      </w:r>
      <w:r>
        <w:rPr>
          <w:rFonts w:hint="eastAsia"/>
        </w:rPr>
        <w:t>运维工程师1人），</w:t>
      </w:r>
      <w:r>
        <w:t>投标人的相关服务人员需具备相应的服务能力，需提供相关证明（</w:t>
      </w:r>
      <w:r>
        <w:rPr>
          <w:spacing w:val="-1"/>
          <w:highlight w:val="none"/>
          <w:lang w:eastAsia="zh-CN"/>
        </w:rPr>
        <w:t>最近一个季度任意一个月依法</w:t>
      </w:r>
      <w:r>
        <w:rPr>
          <w:spacing w:val="-4"/>
          <w:highlight w:val="none"/>
          <w:lang w:eastAsia="zh-CN"/>
        </w:rPr>
        <w:t>缴纳社保费的证明</w:t>
      </w:r>
      <w:r>
        <w:t>）。</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843"/>
        <w:gridCol w:w="1180"/>
        <w:gridCol w:w="1553"/>
        <w:gridCol w:w="1536"/>
      </w:tblGrid>
      <w:tr w14:paraId="0637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vAlign w:val="center"/>
          </w:tcPr>
          <w:p w14:paraId="52DC882B">
            <w:pPr>
              <w:widowControl/>
              <w:spacing w:line="240" w:lineRule="auto"/>
              <w:ind w:firstLine="0" w:firstLineChars="0"/>
              <w:jc w:val="center"/>
              <w:rPr>
                <w:b/>
                <w:sz w:val="21"/>
                <w:szCs w:val="21"/>
              </w:rPr>
            </w:pPr>
            <w:r>
              <w:rPr>
                <w:rFonts w:hint="eastAsia"/>
                <w:b/>
                <w:sz w:val="21"/>
                <w:szCs w:val="21"/>
              </w:rPr>
              <w:t>角色</w:t>
            </w:r>
          </w:p>
        </w:tc>
        <w:tc>
          <w:tcPr>
            <w:tcW w:w="2843" w:type="dxa"/>
            <w:vAlign w:val="center"/>
          </w:tcPr>
          <w:p w14:paraId="5EBAE75E">
            <w:pPr>
              <w:widowControl/>
              <w:spacing w:line="240" w:lineRule="auto"/>
              <w:ind w:firstLine="0" w:firstLineChars="0"/>
              <w:jc w:val="center"/>
              <w:rPr>
                <w:b/>
                <w:sz w:val="21"/>
                <w:szCs w:val="21"/>
              </w:rPr>
            </w:pPr>
            <w:r>
              <w:rPr>
                <w:rFonts w:hint="eastAsia"/>
                <w:b/>
                <w:sz w:val="21"/>
                <w:szCs w:val="21"/>
              </w:rPr>
              <w:t>主要职责</w:t>
            </w:r>
          </w:p>
        </w:tc>
        <w:tc>
          <w:tcPr>
            <w:tcW w:w="1180" w:type="dxa"/>
            <w:vAlign w:val="center"/>
          </w:tcPr>
          <w:p w14:paraId="7CEBAFF9">
            <w:pPr>
              <w:widowControl/>
              <w:spacing w:line="240" w:lineRule="auto"/>
              <w:ind w:firstLine="0" w:firstLineChars="0"/>
              <w:jc w:val="center"/>
              <w:rPr>
                <w:b/>
                <w:sz w:val="21"/>
                <w:szCs w:val="21"/>
              </w:rPr>
            </w:pPr>
            <w:r>
              <w:rPr>
                <w:rFonts w:hint="eastAsia"/>
                <w:b/>
                <w:sz w:val="21"/>
                <w:szCs w:val="21"/>
              </w:rPr>
              <w:t>人员数量</w:t>
            </w:r>
          </w:p>
        </w:tc>
        <w:tc>
          <w:tcPr>
            <w:tcW w:w="1553" w:type="dxa"/>
            <w:vAlign w:val="center"/>
          </w:tcPr>
          <w:p w14:paraId="61D3FDB6">
            <w:pPr>
              <w:widowControl/>
              <w:spacing w:line="240" w:lineRule="auto"/>
              <w:ind w:firstLine="0" w:firstLineChars="0"/>
              <w:jc w:val="center"/>
              <w:rPr>
                <w:b/>
                <w:sz w:val="21"/>
                <w:szCs w:val="21"/>
              </w:rPr>
            </w:pPr>
            <w:r>
              <w:rPr>
                <w:rFonts w:hint="eastAsia"/>
                <w:b/>
                <w:sz w:val="21"/>
                <w:szCs w:val="21"/>
              </w:rPr>
              <w:t>人员要求</w:t>
            </w:r>
          </w:p>
        </w:tc>
        <w:tc>
          <w:tcPr>
            <w:tcW w:w="1536" w:type="dxa"/>
            <w:vAlign w:val="center"/>
          </w:tcPr>
          <w:p w14:paraId="2A36E980">
            <w:pPr>
              <w:widowControl/>
              <w:spacing w:line="240" w:lineRule="auto"/>
              <w:ind w:firstLine="0" w:firstLineChars="0"/>
              <w:jc w:val="center"/>
              <w:rPr>
                <w:b/>
                <w:sz w:val="21"/>
                <w:szCs w:val="21"/>
              </w:rPr>
            </w:pPr>
            <w:r>
              <w:rPr>
                <w:rFonts w:hint="eastAsia"/>
                <w:b/>
                <w:sz w:val="21"/>
                <w:szCs w:val="21"/>
              </w:rPr>
              <w:t>驻场要求</w:t>
            </w:r>
          </w:p>
        </w:tc>
      </w:tr>
      <w:tr w14:paraId="0E35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vAlign w:val="center"/>
          </w:tcPr>
          <w:p w14:paraId="2B5B40DD">
            <w:pPr>
              <w:widowControl/>
              <w:spacing w:line="240" w:lineRule="auto"/>
              <w:ind w:firstLine="0" w:firstLineChars="0"/>
              <w:jc w:val="center"/>
              <w:rPr>
                <w:sz w:val="21"/>
                <w:szCs w:val="21"/>
              </w:rPr>
            </w:pPr>
            <w:r>
              <w:rPr>
                <w:rFonts w:hint="eastAsia"/>
                <w:sz w:val="21"/>
                <w:szCs w:val="21"/>
              </w:rPr>
              <w:t>运维工程师</w:t>
            </w:r>
          </w:p>
        </w:tc>
        <w:tc>
          <w:tcPr>
            <w:tcW w:w="2843" w:type="dxa"/>
            <w:vAlign w:val="center"/>
          </w:tcPr>
          <w:p w14:paraId="77E5650C">
            <w:pPr>
              <w:widowControl/>
              <w:spacing w:line="240" w:lineRule="auto"/>
              <w:ind w:firstLine="0" w:firstLineChars="0"/>
              <w:jc w:val="center"/>
              <w:rPr>
                <w:sz w:val="21"/>
                <w:szCs w:val="21"/>
              </w:rPr>
            </w:pPr>
            <w:r>
              <w:rPr>
                <w:rFonts w:hint="eastAsia"/>
                <w:sz w:val="21"/>
                <w:szCs w:val="21"/>
              </w:rPr>
              <w:t>负责项目具体运维</w:t>
            </w:r>
          </w:p>
        </w:tc>
        <w:tc>
          <w:tcPr>
            <w:tcW w:w="1180" w:type="dxa"/>
            <w:vAlign w:val="center"/>
          </w:tcPr>
          <w:p w14:paraId="7AC8A391">
            <w:pPr>
              <w:widowControl/>
              <w:spacing w:line="240" w:lineRule="auto"/>
              <w:ind w:firstLine="0" w:firstLineChars="0"/>
              <w:jc w:val="center"/>
              <w:rPr>
                <w:sz w:val="21"/>
                <w:szCs w:val="21"/>
              </w:rPr>
            </w:pPr>
            <w:r>
              <w:rPr>
                <w:rFonts w:hint="eastAsia"/>
                <w:sz w:val="21"/>
                <w:szCs w:val="21"/>
              </w:rPr>
              <w:t>不少于1人</w:t>
            </w:r>
          </w:p>
        </w:tc>
        <w:tc>
          <w:tcPr>
            <w:tcW w:w="1553" w:type="dxa"/>
            <w:vAlign w:val="center"/>
          </w:tcPr>
          <w:p w14:paraId="50380FFC">
            <w:pPr>
              <w:widowControl/>
              <w:spacing w:line="240" w:lineRule="auto"/>
              <w:ind w:firstLine="0" w:firstLineChars="0"/>
              <w:jc w:val="center"/>
              <w:rPr>
                <w:sz w:val="21"/>
                <w:szCs w:val="21"/>
              </w:rPr>
            </w:pPr>
            <w:r>
              <w:rPr>
                <w:rFonts w:hint="eastAsia"/>
                <w:sz w:val="21"/>
                <w:szCs w:val="21"/>
              </w:rPr>
              <w:t>可与实施团队中研发实施人员为同一人</w:t>
            </w:r>
          </w:p>
        </w:tc>
        <w:tc>
          <w:tcPr>
            <w:tcW w:w="1536" w:type="dxa"/>
            <w:vAlign w:val="center"/>
          </w:tcPr>
          <w:p w14:paraId="22A5F7B5">
            <w:pPr>
              <w:widowControl/>
              <w:spacing w:line="240" w:lineRule="auto"/>
              <w:ind w:firstLine="0" w:firstLineChars="0"/>
              <w:jc w:val="center"/>
              <w:rPr>
                <w:sz w:val="21"/>
                <w:szCs w:val="21"/>
              </w:rPr>
            </w:pPr>
            <w:r>
              <w:rPr>
                <w:rFonts w:hint="eastAsia"/>
                <w:sz w:val="21"/>
                <w:szCs w:val="21"/>
              </w:rPr>
              <w:t>非驻场</w:t>
            </w:r>
          </w:p>
        </w:tc>
      </w:tr>
    </w:tbl>
    <w:p w14:paraId="13196AEC">
      <w:pPr>
        <w:pStyle w:val="3"/>
        <w:ind w:left="480"/>
      </w:pPr>
      <w:r>
        <w:rPr>
          <w:rFonts w:hint="eastAsia"/>
        </w:rPr>
        <w:t>等级保护要求</w:t>
      </w:r>
    </w:p>
    <w:p w14:paraId="0CE78330">
      <w:r>
        <w:rPr>
          <w:rFonts w:hint="eastAsia"/>
        </w:rPr>
        <w:t>本项目按照等保2.0第三级建设。</w:t>
      </w:r>
    </w:p>
    <w:p w14:paraId="5A0902E9">
      <w:pPr>
        <w:pStyle w:val="3"/>
        <w:ind w:left="480"/>
      </w:pPr>
      <w:r>
        <w:rPr>
          <w:rFonts w:hint="eastAsia"/>
        </w:rPr>
        <w:t>第三方测评(软测、安测、密测）</w:t>
      </w:r>
    </w:p>
    <w:p w14:paraId="28598793">
      <w:pPr>
        <w:pStyle w:val="11"/>
      </w:pPr>
      <w:r>
        <w:rPr>
          <w:rFonts w:hint="eastAsia"/>
        </w:rPr>
        <w:t>本项目建设完成后需通过第三方软件评测、安全评测和密码应用测评。</w:t>
      </w:r>
    </w:p>
    <w:p w14:paraId="645646A6">
      <w:pPr>
        <w:pStyle w:val="3"/>
        <w:ind w:left="480"/>
      </w:pPr>
      <w:r>
        <w:rPr>
          <w:rFonts w:hint="eastAsia"/>
        </w:rPr>
        <w:t>技术文件要求</w:t>
      </w:r>
    </w:p>
    <w:p w14:paraId="59B5997D">
      <w:pPr>
        <w:pStyle w:val="11"/>
      </w:pPr>
      <w:r>
        <w:rPr>
          <w:rFonts w:hint="eastAsia"/>
        </w:rPr>
        <w:t>项目验收以用户书面确认的细化需求为依据，完成所有建设要求并通过一个月试运行，期间产生的所有问题都已解决且用户满意。须提交与本项目开发相关的所有文档，包括最终版本需求规格说明书、源代码、数据字典、概要设计文档、详细设计文档、数据库设计文档、安装部署文档、用户手册、维护手册、测试报告等。</w:t>
      </w:r>
    </w:p>
    <w:p w14:paraId="6A79BFE8">
      <w:pPr>
        <w:pStyle w:val="3"/>
        <w:ind w:left="480"/>
      </w:pPr>
      <w:r>
        <w:rPr>
          <w:rFonts w:hint="eastAsia"/>
        </w:rPr>
        <w:t>验收要求</w:t>
      </w:r>
    </w:p>
    <w:p w14:paraId="41720731">
      <w:pPr>
        <w:pStyle w:val="9"/>
        <w:numPr>
          <w:ilvl w:val="0"/>
          <w:numId w:val="6"/>
        </w:numPr>
        <w:ind w:left="0" w:firstLine="480"/>
        <w:rPr>
          <w:szCs w:val="22"/>
        </w:rPr>
      </w:pPr>
      <w:r>
        <w:rPr>
          <w:rFonts w:hint="eastAsia"/>
          <w:szCs w:val="22"/>
        </w:rPr>
        <w:t>完成应用系统开发部署；</w:t>
      </w:r>
    </w:p>
    <w:p w14:paraId="68985C58">
      <w:pPr>
        <w:pStyle w:val="9"/>
        <w:numPr>
          <w:ilvl w:val="0"/>
          <w:numId w:val="6"/>
        </w:numPr>
        <w:ind w:left="0" w:firstLine="480"/>
        <w:rPr>
          <w:szCs w:val="22"/>
        </w:rPr>
      </w:pPr>
      <w:r>
        <w:rPr>
          <w:rFonts w:hint="eastAsia"/>
          <w:szCs w:val="22"/>
        </w:rPr>
        <w:t>试运行时出现的问题已解决；</w:t>
      </w:r>
    </w:p>
    <w:p w14:paraId="1EBA3E0B">
      <w:pPr>
        <w:pStyle w:val="9"/>
        <w:numPr>
          <w:ilvl w:val="0"/>
          <w:numId w:val="6"/>
        </w:numPr>
        <w:ind w:left="0" w:firstLine="480"/>
        <w:rPr>
          <w:szCs w:val="22"/>
        </w:rPr>
      </w:pPr>
      <w:r>
        <w:rPr>
          <w:rFonts w:hint="eastAsia"/>
          <w:szCs w:val="22"/>
        </w:rPr>
        <w:t>通过第三方软件测试、安全测评、密码应用测评；</w:t>
      </w:r>
    </w:p>
    <w:p w14:paraId="5AE28C31">
      <w:pPr>
        <w:pStyle w:val="9"/>
        <w:numPr>
          <w:ilvl w:val="0"/>
          <w:numId w:val="6"/>
        </w:numPr>
        <w:ind w:left="0" w:firstLine="480"/>
        <w:rPr>
          <w:szCs w:val="22"/>
        </w:rPr>
      </w:pPr>
      <w:r>
        <w:rPr>
          <w:rFonts w:hint="eastAsia"/>
          <w:szCs w:val="22"/>
        </w:rPr>
        <w:t>系统稳定运行后，由用户方组织项目验收；</w:t>
      </w:r>
    </w:p>
    <w:p w14:paraId="3018C1DD">
      <w:pPr>
        <w:pStyle w:val="9"/>
        <w:numPr>
          <w:ilvl w:val="0"/>
          <w:numId w:val="6"/>
        </w:numPr>
        <w:ind w:left="0" w:firstLine="480"/>
        <w:rPr>
          <w:szCs w:val="22"/>
        </w:rPr>
      </w:pPr>
      <w:r>
        <w:rPr>
          <w:rFonts w:hint="eastAsia"/>
          <w:szCs w:val="22"/>
        </w:rPr>
        <w:t>供应商需提供详细的相关技术文档、使用说明书、维护手册等文档资料。</w:t>
      </w:r>
    </w:p>
    <w:p w14:paraId="53CF12EC">
      <w:pPr>
        <w:ind w:left="0" w:leftChars="0" w:firstLine="0" w:firstLineChars="0"/>
      </w:pPr>
    </w:p>
    <w:sectPr>
      <w:footerReference r:id="rId9" w:type="first"/>
      <w:headerReference r:id="rId5" w:type="default"/>
      <w:footerReference r:id="rId7" w:type="default"/>
      <w:headerReference r:id="rId6" w:type="even"/>
      <w:footerReference r:id="rId8" w:type="even"/>
      <w:pgSz w:w="11906" w:h="16838"/>
      <w:pgMar w:top="2098" w:right="1474" w:bottom="1984" w:left="1587" w:header="0" w:footer="582"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EFC5">
    <w:pPr>
      <w:pStyle w:val="5"/>
      <w:ind w:firstLine="360"/>
      <w:jc w:val="center"/>
    </w:pPr>
    <w:r>
      <w:fldChar w:fldCharType="begin"/>
    </w:r>
    <w:r>
      <w:instrText xml:space="preserve">PAGE   \* MERGEFORMAT</w:instrText>
    </w:r>
    <w:r>
      <w:fldChar w:fldCharType="separate"/>
    </w:r>
    <w:r>
      <w:rPr>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70D7B">
    <w:pPr>
      <w:pStyle w:val="5"/>
      <w:ind w:firstLine="360"/>
    </w:pPr>
  </w:p>
  <w:p w14:paraId="0E2BC566"/>
  <w:p w14:paraId="6980487B"/>
  <w:p w14:paraId="252B2C7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0A68">
    <w:pPr>
      <w:pStyle w:val="5"/>
      <w:ind w:firstLine="0" w:firstLineChars="0"/>
      <w:jc w:val="center"/>
      <w:rPr>
        <w:rFonts w:hint="eastAsia"/>
      </w:rPr>
    </w:pPr>
    <w:r>
      <w:fldChar w:fldCharType="begin"/>
    </w:r>
    <w:r>
      <w:instrText xml:space="preserve">PAGE   \* MERGEFORMAT</w:instrText>
    </w:r>
    <w:r>
      <w:fldChar w:fldCharType="separate"/>
    </w:r>
    <w:r>
      <w:rPr>
        <w:lang w:val="zh-CN"/>
      </w:rPr>
      <w:t>1</w:t>
    </w:r>
    <w:r>
      <w:fldChar w:fldCharType="end"/>
    </w:r>
  </w:p>
  <w:p w14:paraId="32D004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06282">
    <w:pPr>
      <w:pStyle w:val="6"/>
      <w:pBdr>
        <w:top w:val="none" w:color="auto" w:sz="0" w:space="0"/>
        <w:left w:val="none" w:color="auto" w:sz="0" w:space="0"/>
        <w:bottom w:val="none" w:color="auto" w:sz="0" w:space="0"/>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38D2C">
    <w:pPr>
      <w:pStyle w:val="6"/>
      <w:ind w:firstLine="360"/>
    </w:pPr>
  </w:p>
  <w:p w14:paraId="66A9E159"/>
  <w:p w14:paraId="4FD3681E"/>
  <w:p w14:paraId="7EB85C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DF7835A1"/>
    <w:multiLevelType w:val="singleLevel"/>
    <w:tmpl w:val="DF7835A1"/>
    <w:lvl w:ilvl="0" w:tentative="0">
      <w:start w:val="1"/>
      <w:numFmt w:val="bullet"/>
      <w:lvlText w:val=""/>
      <w:lvlJc w:val="left"/>
      <w:pPr>
        <w:ind w:left="420" w:hanging="420"/>
      </w:pPr>
      <w:rPr>
        <w:rFonts w:hint="default" w:ascii="Wingdings" w:hAnsi="Wingdings"/>
      </w:rPr>
    </w:lvl>
  </w:abstractNum>
  <w:abstractNum w:abstractNumId="2">
    <w:nsid w:val="1C98E16E"/>
    <w:multiLevelType w:val="singleLevel"/>
    <w:tmpl w:val="1C98E16E"/>
    <w:lvl w:ilvl="0" w:tentative="0">
      <w:start w:val="1"/>
      <w:numFmt w:val="decimal"/>
      <w:suff w:val="nothing"/>
      <w:lvlText w:val="%1）"/>
      <w:lvlJc w:val="left"/>
    </w:lvl>
  </w:abstractNum>
  <w:abstractNum w:abstractNumId="3">
    <w:nsid w:val="5C8810C9"/>
    <w:multiLevelType w:val="multilevel"/>
    <w:tmpl w:val="5C8810C9"/>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66EC3AB1"/>
    <w:multiLevelType w:val="multilevel"/>
    <w:tmpl w:val="66EC3AB1"/>
    <w:lvl w:ilvl="0" w:tentative="0">
      <w:start w:val="1"/>
      <w:numFmt w:val="decimal"/>
      <w:lvlText w:val="%1)"/>
      <w:lvlJc w:val="left"/>
      <w:pPr>
        <w:ind w:left="922"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6">
    <w:nsid w:val="7362488C"/>
    <w:multiLevelType w:val="multilevel"/>
    <w:tmpl w:val="7362488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F3725"/>
    <w:rsid w:val="14AF39B2"/>
    <w:rsid w:val="2DFE7D59"/>
    <w:rsid w:val="3DDB195B"/>
    <w:rsid w:val="4D0B04C3"/>
    <w:rsid w:val="5645376D"/>
    <w:rsid w:val="57F75047"/>
    <w:rsid w:val="7B230FF0"/>
    <w:rsid w:val="7FEF3725"/>
    <w:rsid w:val="EF3D1C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tabs>
        <w:tab w:val="left" w:pos="0"/>
        <w:tab w:val="left" w:pos="567"/>
      </w:tabs>
      <w:adjustRightInd w:val="0"/>
      <w:ind w:firstLine="420"/>
    </w:pPr>
    <w:rPr>
      <w:sz w:val="21"/>
      <w:szCs w:val="20"/>
    </w:rPr>
  </w:style>
  <w:style w:type="paragraph" w:styleId="5">
    <w:name w:val="footer"/>
    <w:basedOn w:val="1"/>
    <w:qFormat/>
    <w:uiPriority w:val="99"/>
    <w:pPr>
      <w:tabs>
        <w:tab w:val="center" w:pos="4153"/>
        <w:tab w:val="right" w:pos="8306"/>
      </w:tabs>
      <w:snapToGrid w:val="0"/>
      <w:spacing w:line="240" w:lineRule="auto"/>
      <w:jc w:val="left"/>
    </w:pPr>
    <w:rPr>
      <w:sz w:val="18"/>
      <w:szCs w:val="18"/>
    </w:rPr>
  </w:style>
  <w:style w:type="paragraph" w:styleId="6">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customStyle="1" w:styleId="9">
    <w:name w:val="_Style 8"/>
    <w:basedOn w:val="1"/>
    <w:qFormat/>
    <w:uiPriority w:val="0"/>
    <w:pPr>
      <w:ind w:firstLine="420"/>
    </w:pPr>
  </w:style>
  <w:style w:type="paragraph" w:customStyle="1" w:styleId="10">
    <w:name w:val="正文缩进1"/>
    <w:basedOn w:val="1"/>
    <w:qFormat/>
    <w:uiPriority w:val="0"/>
    <w:pPr>
      <w:spacing w:line="240" w:lineRule="auto"/>
      <w:ind w:firstLine="420"/>
    </w:pPr>
    <w:rPr>
      <w:rFonts w:ascii="Times New Roman" w:hAnsi="Times New Roman"/>
      <w:sz w:val="21"/>
      <w:szCs w:val="20"/>
    </w:rPr>
  </w:style>
  <w:style w:type="paragraph" w:customStyle="1" w:styleId="11">
    <w:name w:val="正文正文2"/>
    <w:basedOn w:val="1"/>
    <w:qFormat/>
    <w:uiPriority w:val="0"/>
    <w:pPr>
      <w:jc w:val="left"/>
    </w:pPr>
    <w:rPr>
      <w:szCs w:val="21"/>
    </w:r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character" w:customStyle="1" w:styleId="13">
    <w:name w:val="font21"/>
    <w:basedOn w:val="8"/>
    <w:qFormat/>
    <w:uiPriority w:val="0"/>
    <w:rPr>
      <w:rFonts w:ascii="Arial" w:hAnsi="Arial" w:cs="Arial"/>
      <w:color w:val="000000"/>
      <w:sz w:val="21"/>
      <w:szCs w:val="21"/>
      <w:u w:val="none"/>
    </w:rPr>
  </w:style>
  <w:style w:type="character" w:customStyle="1" w:styleId="14">
    <w:name w:val="font1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5770</Words>
  <Characters>5903</Characters>
  <Lines>0</Lines>
  <Paragraphs>0</Paragraphs>
  <TotalTime>28</TotalTime>
  <ScaleCrop>false</ScaleCrop>
  <LinksUpToDate>false</LinksUpToDate>
  <CharactersWithSpaces>5906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2025-11-03T12:05:00Z</dcterms:created>
  <dc:creator>liuhao</dc:creator>
  <cp:lastModifiedBy>晋一民</cp:lastModifiedBy>
  <dcterms:modified xsi:type="dcterms:W3CDTF">2025-11-21T03:58:25Z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eyJoZGlkIjoiNGM3MmY0OTNjM2FiYjM2YjE2NGRhZTljZmIyMTQyNWMiLCJ1c2VySWQiOiIxNjQzMTc3ODEwIn0=</vt:lpwstr>
  </property>
  <property fmtid="{D5CDD505-2E9C-101B-9397-08002B2CF9AE}" pid="4" name="ICV">
    <vt:lpwstr>178126B7A59F4E72854C2BE59BCD3318_12</vt:lpwstr>
  </property>
</Properties>
</file>