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89F928">
      <w:pPr>
        <w:pStyle w:val="18"/>
        <w:widowControl/>
        <w:rPr>
          <w:sz w:val="32"/>
          <w:szCs w:val="32"/>
        </w:rPr>
      </w:pPr>
      <w:r>
        <w:rPr>
          <w:sz w:val="32"/>
          <w:szCs w:val="32"/>
        </w:rPr>
        <w:t xml:space="preserve">上海电机学院智慧教学平台采购需求书 </w:t>
      </w:r>
    </w:p>
    <w:p w14:paraId="7F165964">
      <w:pPr>
        <w:pStyle w:val="2"/>
        <w:widowControl/>
        <w:numPr>
          <w:ilvl w:val="0"/>
          <w:numId w:val="1"/>
        </w:numPr>
        <w:rPr>
          <w:rFonts w:hint="eastAsia" w:ascii="黑体" w:hAnsi="黑体" w:cs="黑体"/>
        </w:rPr>
      </w:pPr>
      <w:r>
        <w:t>项目概况</w:t>
      </w:r>
    </w:p>
    <w:p w14:paraId="4B637233">
      <w:pPr>
        <w:pStyle w:val="3"/>
        <w:widowControl/>
        <w:numPr>
          <w:ilvl w:val="0"/>
          <w:numId w:val="2"/>
        </w:numPr>
        <w:rPr>
          <w:rFonts w:hint="eastAsia"/>
        </w:rPr>
      </w:pPr>
      <w:r>
        <w:t>项目背景</w:t>
      </w:r>
    </w:p>
    <w:p w14:paraId="2F093A4A">
      <w:pPr>
        <w:pStyle w:val="12"/>
        <w:widowControl/>
        <w:ind w:firstLine="480"/>
      </w:pPr>
      <w:r>
        <w:t>上海电机学院以入选“上海市教育信息化应用标杆培育校”为契机，锚定“数智电机”建设目标，系统性推进数字底座筑牢、数据治理赋能、教学模式变革、智慧应用覆盖与网络安全加固。学校已成功入选上海市教委人工智能赋能教育教学改革试点单位。</w:t>
      </w:r>
    </w:p>
    <w:p w14:paraId="06488078">
      <w:pPr>
        <w:pStyle w:val="12"/>
        <w:widowControl/>
        <w:ind w:firstLine="480"/>
      </w:pPr>
      <w:r>
        <w:t>“十四五”期间，学校完成了全校20余个核心业务系统的数据全量归集、清洗与建模，累计治理数据过亿条，形成覆盖“人、财、物、事”的校级数据资产目录；打造了覆盖两校区121间“AI+全场景”智慧教学空间集群，集成AI行为识别与多模态感知等系统；构建了“AI全量初筛—数据化精评—闭环整改”的数字化督导技术支撑范式。学校相关建设实践荣获2025年度上海市高校信息化建设与应用优秀案例银奖。</w:t>
      </w:r>
    </w:p>
    <w:p w14:paraId="06A6DB23">
      <w:pPr>
        <w:pStyle w:val="12"/>
        <w:widowControl/>
        <w:ind w:firstLine="480"/>
      </w:pPr>
      <w:r>
        <w:t>在前期信息化建设成果基础上，学校亟需建设一体化的智慧教学平台，将分散的教学应用、数据资源和AI能力进行系统整合，形成覆盖招生、培养、就业全链条的智慧教学与治理体系。</w:t>
      </w:r>
    </w:p>
    <w:p w14:paraId="620BBF6A">
      <w:pPr>
        <w:pStyle w:val="3"/>
        <w:widowControl/>
        <w:numPr>
          <w:ilvl w:val="0"/>
          <w:numId w:val="2"/>
        </w:numPr>
        <w:rPr>
          <w:rFonts w:hint="eastAsia"/>
        </w:rPr>
      </w:pPr>
      <w:r>
        <w:t>项目现状</w:t>
      </w:r>
    </w:p>
    <w:p w14:paraId="22CC7DD8">
      <w:pPr>
        <w:pStyle w:val="12"/>
        <w:widowControl/>
        <w:ind w:firstLine="480"/>
      </w:pPr>
      <w:r>
        <w:t>目前学校已建成覆盖两校区的智慧教学空间、校级数据中台及多个业务系统（教务系统、学生系统、一卡通系统等），但在教学全过程数智化贯通、产教协同平台化支撑、AI辅助教学深度应用、质量治理闭环构建等方面仍存在提升空间，具体包括教学各环节（课前、课中、课后、实践、考核）应用分散，缺乏统一平台支撑</w:t>
      </w:r>
      <w:r>
        <w:rPr>
          <w:rFonts w:hint="eastAsia"/>
        </w:rPr>
        <w:t>。</w:t>
      </w:r>
      <w:r>
        <w:t>教学数据尚未形成从招生到就业的全链条贯通与分析能力</w:t>
      </w:r>
      <w:r>
        <w:rPr>
          <w:rFonts w:hint="eastAsia"/>
        </w:rPr>
        <w:t>，</w:t>
      </w:r>
      <w:r>
        <w:t>AI能力在教学场景中的应用尚处于起步阶段</w:t>
      </w:r>
      <w:r>
        <w:rPr>
          <w:rFonts w:hint="eastAsia"/>
        </w:rPr>
        <w:t>，</w:t>
      </w:r>
      <w:r>
        <w:t>产教融合缺乏系统化的平台化支撑工具</w:t>
      </w:r>
      <w:r>
        <w:rPr>
          <w:rFonts w:hint="eastAsia"/>
        </w:rPr>
        <w:t>，</w:t>
      </w:r>
      <w:r>
        <w:t>质量治理与持续改进缺乏数据驱动的闭环机制。</w:t>
      </w:r>
    </w:p>
    <w:p w14:paraId="70C29344">
      <w:pPr>
        <w:pStyle w:val="2"/>
        <w:widowControl/>
        <w:numPr>
          <w:ilvl w:val="0"/>
          <w:numId w:val="1"/>
        </w:numPr>
        <w:rPr>
          <w:rFonts w:hint="eastAsia" w:ascii="黑体" w:hAnsi="黑体" w:cs="黑体"/>
        </w:rPr>
      </w:pPr>
      <w:r>
        <w:t>建设目标</w:t>
      </w:r>
    </w:p>
    <w:p w14:paraId="34A42FCB">
      <w:pPr>
        <w:pStyle w:val="12"/>
        <w:widowControl/>
        <w:ind w:firstLine="480"/>
      </w:pPr>
      <w:r>
        <w:t>本项目围绕学校智慧教学与人才培养质量提升需求，建设覆盖课前资源建设、课中教学互动、课后训练反馈、实践教学管理、智慧考核评价、质量治理决策以及招生培养就业贯通的一体化智慧教学平台。</w:t>
      </w:r>
    </w:p>
    <w:p w14:paraId="359A163F">
      <w:pPr>
        <w:pStyle w:val="12"/>
        <w:widowControl/>
        <w:ind w:firstLine="480"/>
      </w:pPr>
      <w:r>
        <w:t>平台应以数智基座与AI引擎为支撑，形成教学数据汇聚、知识图谱应用、AI辅助教学、实践能力评价和质量治理闭环等综合能力。通过项目建设，形成“专业—课程—知识点—能力—岗位”贯通的校本知识体系，实现教学全过程数智化、产教协同平台化、评价反馈实时化、治理决策可视化。</w:t>
      </w:r>
    </w:p>
    <w:p w14:paraId="4DC3DF37">
      <w:pPr>
        <w:pStyle w:val="12"/>
        <w:widowControl/>
        <w:ind w:firstLine="480"/>
      </w:pPr>
      <w:r>
        <w:t>平台建设应服务学校真实教学场景，兼顾教师教学减负、学生学习提质和管理决策支撑，满足课堂教学、混合教学、实践教学、过程评价、质量分析等多类应用需求，并具备良好的扩展性、安全性和集成能力。</w:t>
      </w:r>
    </w:p>
    <w:p w14:paraId="403A687C">
      <w:pPr>
        <w:pStyle w:val="2"/>
        <w:widowControl/>
        <w:numPr>
          <w:ilvl w:val="0"/>
          <w:numId w:val="1"/>
        </w:numPr>
        <w:rPr>
          <w:rFonts w:hint="eastAsia" w:ascii="黑体" w:hAnsi="黑体" w:cs="黑体"/>
        </w:rPr>
      </w:pPr>
      <w:r>
        <w:t>项目建设内容</w:t>
      </w:r>
    </w:p>
    <w:p w14:paraId="58587D18">
      <w:pPr>
        <w:pStyle w:val="3"/>
        <w:widowControl/>
        <w:numPr>
          <w:ilvl w:val="0"/>
          <w:numId w:val="3"/>
        </w:numPr>
        <w:rPr>
          <w:rFonts w:hint="eastAsia"/>
        </w:rPr>
      </w:pPr>
      <w:r>
        <w:t>技术路线与架构</w:t>
      </w:r>
    </w:p>
    <w:p w14:paraId="4CD2501F">
      <w:pPr>
        <w:pStyle w:val="12"/>
        <w:widowControl/>
        <w:ind w:firstLine="480"/>
      </w:pPr>
      <w:r>
        <w:t>平台应采用B/S架构、微服务架构设计，支持PC端、移动端及智慧教室终端访问，满足教师、学生、学院管理者及校级管理者等多角色协同使用需求。</w:t>
      </w:r>
    </w:p>
    <w:p w14:paraId="60D5BB69">
      <w:pPr>
        <w:pStyle w:val="12"/>
        <w:widowControl/>
        <w:ind w:firstLine="480"/>
      </w:pPr>
      <w:r>
        <w:t>平台应具备统一身份认证、角色权限管理、接口鉴权、日志审计、数据备份及业务连续性保障机制。应支持云端部署，并可根据学校现有信息化基础、数据安全要求和校内资源条件采用本地部署或混合部署方式。系统应具备稳定运行、横向扩展、数据安全防护和后续功能迭代能力，并支持通过可视化管理后台配置应用栏目、功能权限与页面布局。</w:t>
      </w:r>
    </w:p>
    <w:p w14:paraId="344E1031">
      <w:pPr>
        <w:pStyle w:val="12"/>
        <w:widowControl/>
        <w:ind w:firstLine="480"/>
      </w:pPr>
      <w:r>
        <w:t>平台应支持与学校教务系统、学生系统、一卡通系统等业务系统进行对接，支持API、数据交换、中间库或消息订阅等集成方式。</w:t>
      </w:r>
    </w:p>
    <w:p w14:paraId="312122C5">
      <w:pPr>
        <w:pStyle w:val="3"/>
        <w:widowControl/>
        <w:numPr>
          <w:ilvl w:val="0"/>
          <w:numId w:val="3"/>
        </w:numPr>
        <w:rPr>
          <w:rFonts w:hint="eastAsia"/>
        </w:rPr>
      </w:pPr>
      <w:r>
        <w:t>软件开发清单</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556"/>
        <w:gridCol w:w="2038"/>
        <w:gridCol w:w="4159"/>
      </w:tblGrid>
      <w:tr w14:paraId="4E277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shd w:val="clear" w:color="auto" w:fill="E7E6E6" w:themeFill="background2"/>
            <w:vAlign w:val="center"/>
          </w:tcPr>
          <w:p w14:paraId="3B2EA45D">
            <w:pPr>
              <w:pStyle w:val="17"/>
              <w:snapToGrid w:val="0"/>
              <w:jc w:val="center"/>
              <w:rPr>
                <w:rFonts w:hint="eastAsia"/>
              </w:rPr>
            </w:pPr>
            <w:r>
              <w:rPr>
                <w:rFonts w:hint="eastAsia" w:ascii="宋体" w:hAnsi="宋体" w:eastAsia="宋体" w:cs="微软雅黑"/>
                <w:b/>
              </w:rPr>
              <w:t>序号</w:t>
            </w:r>
          </w:p>
        </w:tc>
        <w:tc>
          <w:tcPr>
            <w:tcW w:w="913" w:type="pct"/>
            <w:shd w:val="clear" w:color="auto" w:fill="E7E6E6" w:themeFill="background2"/>
            <w:vAlign w:val="center"/>
          </w:tcPr>
          <w:p w14:paraId="57C9363D">
            <w:pPr>
              <w:pStyle w:val="17"/>
              <w:snapToGrid w:val="0"/>
              <w:jc w:val="center"/>
              <w:rPr>
                <w:rFonts w:hint="eastAsia"/>
              </w:rPr>
            </w:pPr>
            <w:r>
              <w:rPr>
                <w:rFonts w:hint="eastAsia" w:ascii="宋体" w:hAnsi="宋体" w:eastAsia="宋体" w:cs="微软雅黑"/>
                <w:b/>
              </w:rPr>
              <w:t>应用系统</w:t>
            </w:r>
          </w:p>
        </w:tc>
        <w:tc>
          <w:tcPr>
            <w:tcW w:w="1196" w:type="pct"/>
            <w:shd w:val="clear" w:color="auto" w:fill="E7E6E6" w:themeFill="background2"/>
            <w:vAlign w:val="center"/>
          </w:tcPr>
          <w:p w14:paraId="218CB5E0">
            <w:pPr>
              <w:pStyle w:val="17"/>
              <w:snapToGrid w:val="0"/>
              <w:jc w:val="center"/>
              <w:rPr>
                <w:rFonts w:hint="eastAsia"/>
              </w:rPr>
            </w:pPr>
            <w:r>
              <w:rPr>
                <w:rFonts w:hint="eastAsia" w:ascii="宋体" w:hAnsi="宋体" w:eastAsia="宋体" w:cs="微软雅黑"/>
                <w:b/>
              </w:rPr>
              <w:t>模块名称</w:t>
            </w:r>
          </w:p>
        </w:tc>
        <w:tc>
          <w:tcPr>
            <w:tcW w:w="2440" w:type="pct"/>
            <w:shd w:val="clear" w:color="auto" w:fill="E7E6E6" w:themeFill="background2"/>
            <w:vAlign w:val="center"/>
          </w:tcPr>
          <w:p w14:paraId="0A902D44">
            <w:pPr>
              <w:pStyle w:val="17"/>
              <w:snapToGrid w:val="0"/>
              <w:jc w:val="center"/>
              <w:rPr>
                <w:rFonts w:hint="eastAsia"/>
              </w:rPr>
            </w:pPr>
            <w:r>
              <w:rPr>
                <w:rFonts w:hint="eastAsia" w:ascii="宋体" w:hAnsi="宋体" w:eastAsia="宋体" w:cs="微软雅黑"/>
                <w:b/>
              </w:rPr>
              <w:t>模块描述</w:t>
            </w:r>
          </w:p>
        </w:tc>
      </w:tr>
      <w:tr w14:paraId="67B6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619EF070">
            <w:pPr>
              <w:pStyle w:val="17"/>
              <w:snapToGrid w:val="0"/>
              <w:jc w:val="center"/>
              <w:rPr>
                <w:rFonts w:hint="eastAsia"/>
              </w:rPr>
            </w:pPr>
            <w:r>
              <w:rPr>
                <w:rFonts w:hint="eastAsia" w:ascii="宋体" w:hAnsi="宋体" w:eastAsia="宋体" w:cs="微软雅黑"/>
              </w:rPr>
              <w:t>1</w:t>
            </w:r>
          </w:p>
        </w:tc>
        <w:tc>
          <w:tcPr>
            <w:tcW w:w="913" w:type="pct"/>
            <w:vMerge w:val="restart"/>
            <w:vAlign w:val="center"/>
          </w:tcPr>
          <w:p w14:paraId="63C116B7">
            <w:pPr>
              <w:pStyle w:val="17"/>
              <w:snapToGrid w:val="0"/>
              <w:jc w:val="center"/>
              <w:rPr>
                <w:rFonts w:hint="eastAsia"/>
              </w:rPr>
            </w:pPr>
            <w:r>
              <w:rPr>
                <w:rFonts w:hint="eastAsia" w:ascii="宋体" w:hAnsi="宋体" w:eastAsia="宋体" w:cs="微软雅黑"/>
              </w:rPr>
              <w:t>顶层治理</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21EE772F">
            <w:pPr>
              <w:pStyle w:val="17"/>
              <w:snapToGrid w:val="0"/>
              <w:rPr>
                <w:rFonts w:hint="eastAsia"/>
              </w:rPr>
            </w:pPr>
            <w:r>
              <w:rPr>
                <w:rFonts w:hint="eastAsia" w:ascii="宋体" w:hAnsi="宋体" w:eastAsia="宋体" w:cs="微软雅黑"/>
              </w:rPr>
              <w:t>招生分析</w:t>
            </w:r>
          </w:p>
        </w:tc>
        <w:tc>
          <w:tcPr>
            <w:tcW w:w="2440" w:type="pct"/>
            <w:vAlign w:val="center"/>
          </w:tcPr>
          <w:p w14:paraId="2E90736A">
            <w:pPr>
              <w:pStyle w:val="17"/>
              <w:snapToGrid w:val="0"/>
              <w:rPr>
                <w:rFonts w:hint="eastAsia"/>
              </w:rPr>
            </w:pPr>
            <w:r>
              <w:rPr>
                <w:rFonts w:hint="eastAsia" w:ascii="宋体" w:hAnsi="宋体" w:eastAsia="宋体" w:cs="微软雅黑"/>
              </w:rPr>
              <w:t>支持生源质量画像、专业吸引力辅助分析等功能</w:t>
            </w:r>
          </w:p>
        </w:tc>
      </w:tr>
      <w:tr w14:paraId="3B45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993DE60">
            <w:pPr>
              <w:pStyle w:val="17"/>
              <w:snapToGrid w:val="0"/>
              <w:jc w:val="center"/>
              <w:rPr>
                <w:rFonts w:hint="eastAsia"/>
              </w:rPr>
            </w:pPr>
            <w:r>
              <w:rPr>
                <w:rFonts w:hint="eastAsia" w:ascii="宋体" w:hAnsi="宋体" w:eastAsia="宋体" w:cs="微软雅黑"/>
              </w:rPr>
              <w:t>2</w:t>
            </w:r>
          </w:p>
        </w:tc>
        <w:tc>
          <w:tcPr>
            <w:tcW w:w="913" w:type="pct"/>
            <w:vMerge w:val="continue"/>
            <w:vAlign w:val="center"/>
          </w:tcPr>
          <w:p w14:paraId="3DCEA8B8">
            <w:pPr>
              <w:pStyle w:val="17"/>
              <w:snapToGrid w:val="0"/>
              <w:jc w:val="center"/>
              <w:rPr>
                <w:rFonts w:hint="eastAsia"/>
              </w:rPr>
            </w:pPr>
          </w:p>
        </w:tc>
        <w:tc>
          <w:tcPr>
            <w:tcW w:w="1196" w:type="pct"/>
            <w:vAlign w:val="center"/>
          </w:tcPr>
          <w:p w14:paraId="7DC3F69C">
            <w:pPr>
              <w:pStyle w:val="17"/>
              <w:snapToGrid w:val="0"/>
              <w:rPr>
                <w:rFonts w:hint="eastAsia"/>
              </w:rPr>
            </w:pPr>
            <w:r>
              <w:rPr>
                <w:rFonts w:hint="eastAsia" w:ascii="宋体" w:hAnsi="宋体" w:eastAsia="宋体" w:cs="微软雅黑"/>
              </w:rPr>
              <w:t>培养联动</w:t>
            </w:r>
          </w:p>
        </w:tc>
        <w:tc>
          <w:tcPr>
            <w:tcW w:w="2440" w:type="pct"/>
            <w:vAlign w:val="center"/>
          </w:tcPr>
          <w:p w14:paraId="792748DD">
            <w:pPr>
              <w:pStyle w:val="17"/>
              <w:snapToGrid w:val="0"/>
              <w:rPr>
                <w:rFonts w:hint="eastAsia"/>
              </w:rPr>
            </w:pPr>
            <w:r>
              <w:rPr>
                <w:rFonts w:hint="eastAsia" w:ascii="宋体" w:hAnsi="宋体" w:eastAsia="宋体" w:cs="微软雅黑"/>
              </w:rPr>
              <w:t>支持教学资源供给预测、学业风险识别与预警、专业建设数据分析、专业负责人专属工作台等功能</w:t>
            </w:r>
          </w:p>
        </w:tc>
      </w:tr>
      <w:tr w14:paraId="33F5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0CF8979">
            <w:pPr>
              <w:pStyle w:val="17"/>
              <w:snapToGrid w:val="0"/>
              <w:jc w:val="center"/>
              <w:rPr>
                <w:rFonts w:hint="eastAsia"/>
              </w:rPr>
            </w:pPr>
            <w:r>
              <w:rPr>
                <w:rFonts w:hint="eastAsia" w:ascii="宋体" w:hAnsi="宋体" w:eastAsia="宋体" w:cs="微软雅黑"/>
              </w:rPr>
              <w:t>3</w:t>
            </w:r>
          </w:p>
        </w:tc>
        <w:tc>
          <w:tcPr>
            <w:tcW w:w="913" w:type="pct"/>
            <w:vMerge w:val="continue"/>
            <w:vAlign w:val="center"/>
          </w:tcPr>
          <w:p w14:paraId="1E0BF843">
            <w:pPr>
              <w:pStyle w:val="17"/>
              <w:snapToGrid w:val="0"/>
              <w:jc w:val="center"/>
              <w:rPr>
                <w:rFonts w:hint="eastAsia"/>
              </w:rPr>
            </w:pPr>
          </w:p>
        </w:tc>
        <w:tc>
          <w:tcPr>
            <w:tcW w:w="1196" w:type="pct"/>
            <w:vAlign w:val="center"/>
          </w:tcPr>
          <w:p w14:paraId="435B9B3B">
            <w:pPr>
              <w:pStyle w:val="17"/>
              <w:snapToGrid w:val="0"/>
              <w:rPr>
                <w:rFonts w:hint="eastAsia"/>
              </w:rPr>
            </w:pPr>
            <w:r>
              <w:rPr>
                <w:rFonts w:hint="eastAsia" w:ascii="宋体" w:hAnsi="宋体" w:eastAsia="宋体" w:cs="微软雅黑"/>
              </w:rPr>
              <w:t>就业反馈</w:t>
            </w:r>
          </w:p>
        </w:tc>
        <w:tc>
          <w:tcPr>
            <w:tcW w:w="2440" w:type="pct"/>
            <w:vAlign w:val="center"/>
          </w:tcPr>
          <w:p w14:paraId="034601EB">
            <w:pPr>
              <w:pStyle w:val="17"/>
              <w:snapToGrid w:val="0"/>
              <w:rPr>
                <w:rFonts w:hint="eastAsia"/>
              </w:rPr>
            </w:pPr>
            <w:r>
              <w:rPr>
                <w:rFonts w:hint="eastAsia" w:ascii="宋体" w:hAnsi="宋体" w:eastAsia="宋体" w:cs="微软雅黑"/>
              </w:rPr>
              <w:t>支持培养方案调整影响分析、就业岗位匹配分析、专业动态调整辅助分析等功能</w:t>
            </w:r>
          </w:p>
        </w:tc>
      </w:tr>
      <w:tr w14:paraId="09E2E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AD79EDD">
            <w:pPr>
              <w:pStyle w:val="17"/>
              <w:snapToGrid w:val="0"/>
              <w:jc w:val="center"/>
              <w:rPr>
                <w:rFonts w:hint="eastAsia"/>
              </w:rPr>
            </w:pPr>
            <w:r>
              <w:rPr>
                <w:rFonts w:hint="eastAsia" w:ascii="宋体" w:hAnsi="宋体" w:eastAsia="宋体" w:cs="微软雅黑"/>
              </w:rPr>
              <w:t>4</w:t>
            </w:r>
          </w:p>
        </w:tc>
        <w:tc>
          <w:tcPr>
            <w:tcW w:w="913" w:type="pct"/>
            <w:vMerge w:val="restart"/>
            <w:vAlign w:val="center"/>
          </w:tcPr>
          <w:p w14:paraId="46A1CF1C">
            <w:pPr>
              <w:pStyle w:val="17"/>
              <w:snapToGrid w:val="0"/>
              <w:jc w:val="center"/>
              <w:rPr>
                <w:rFonts w:hint="eastAsia"/>
              </w:rPr>
            </w:pPr>
            <w:r>
              <w:rPr>
                <w:rFonts w:hint="eastAsia" w:ascii="宋体" w:hAnsi="宋体" w:eastAsia="宋体" w:cs="微软雅黑"/>
              </w:rPr>
              <w:t>底层支撑</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337478A8">
            <w:pPr>
              <w:pStyle w:val="17"/>
              <w:snapToGrid w:val="0"/>
              <w:rPr>
                <w:rFonts w:hint="eastAsia"/>
              </w:rPr>
            </w:pPr>
            <w:r>
              <w:rPr>
                <w:rFonts w:hint="eastAsia" w:ascii="宋体" w:hAnsi="宋体" w:eastAsia="宋体" w:cs="微软雅黑"/>
              </w:rPr>
              <w:t>校内数据中心</w:t>
            </w:r>
          </w:p>
        </w:tc>
        <w:tc>
          <w:tcPr>
            <w:tcW w:w="2440" w:type="pct"/>
            <w:vAlign w:val="center"/>
          </w:tcPr>
          <w:p w14:paraId="61B8BB9B">
            <w:pPr>
              <w:pStyle w:val="17"/>
              <w:snapToGrid w:val="0"/>
              <w:rPr>
                <w:rFonts w:hint="eastAsia"/>
              </w:rPr>
            </w:pPr>
            <w:r>
              <w:rPr>
                <w:rFonts w:hint="eastAsia" w:ascii="宋体" w:hAnsi="宋体" w:eastAsia="宋体" w:cs="微软雅黑"/>
              </w:rPr>
              <w:t>支持全校教、学、管、练、创、招、就等业务数据汇聚，开放接口标准，支持原有教学平台内容迁移</w:t>
            </w:r>
          </w:p>
        </w:tc>
      </w:tr>
      <w:tr w14:paraId="404CD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E708B9D">
            <w:pPr>
              <w:pStyle w:val="17"/>
              <w:snapToGrid w:val="0"/>
              <w:jc w:val="center"/>
              <w:rPr>
                <w:rFonts w:hint="eastAsia"/>
              </w:rPr>
            </w:pPr>
            <w:r>
              <w:rPr>
                <w:rFonts w:hint="eastAsia" w:ascii="宋体" w:hAnsi="宋体" w:eastAsia="宋体" w:cs="微软雅黑"/>
              </w:rPr>
              <w:t>5</w:t>
            </w:r>
          </w:p>
        </w:tc>
        <w:tc>
          <w:tcPr>
            <w:tcW w:w="913" w:type="pct"/>
            <w:vMerge w:val="continue"/>
            <w:vAlign w:val="center"/>
          </w:tcPr>
          <w:p w14:paraId="2BFE9624">
            <w:pPr>
              <w:pStyle w:val="17"/>
              <w:snapToGrid w:val="0"/>
              <w:jc w:val="center"/>
              <w:rPr>
                <w:rFonts w:hint="eastAsia"/>
              </w:rPr>
            </w:pPr>
          </w:p>
        </w:tc>
        <w:tc>
          <w:tcPr>
            <w:tcW w:w="1196" w:type="pct"/>
            <w:vAlign w:val="center"/>
          </w:tcPr>
          <w:p w14:paraId="677F5F1D">
            <w:pPr>
              <w:pStyle w:val="17"/>
              <w:snapToGrid w:val="0"/>
              <w:rPr>
                <w:rFonts w:hint="eastAsia"/>
              </w:rPr>
            </w:pPr>
            <w:r>
              <w:rPr>
                <w:rFonts w:hint="eastAsia" w:ascii="宋体" w:hAnsi="宋体" w:eastAsia="宋体" w:cs="微软雅黑"/>
              </w:rPr>
              <w:t>产业数据中心</w:t>
            </w:r>
          </w:p>
        </w:tc>
        <w:tc>
          <w:tcPr>
            <w:tcW w:w="2440" w:type="pct"/>
            <w:vAlign w:val="center"/>
          </w:tcPr>
          <w:p w14:paraId="4DA7E40D">
            <w:pPr>
              <w:pStyle w:val="17"/>
              <w:snapToGrid w:val="0"/>
              <w:rPr>
                <w:rFonts w:hint="eastAsia"/>
              </w:rPr>
            </w:pPr>
            <w:r>
              <w:rPr>
                <w:rFonts w:hint="eastAsia" w:ascii="宋体" w:hAnsi="宋体" w:eastAsia="宋体" w:cs="微软雅黑"/>
              </w:rPr>
              <w:t>支持岗位画像雷达、产业岗位能力与培养方案比对分析、企业真实案例资源管理等功能</w:t>
            </w:r>
          </w:p>
        </w:tc>
      </w:tr>
      <w:tr w14:paraId="7341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73469BB8">
            <w:pPr>
              <w:pStyle w:val="17"/>
              <w:snapToGrid w:val="0"/>
              <w:jc w:val="center"/>
              <w:rPr>
                <w:rFonts w:hint="eastAsia"/>
              </w:rPr>
            </w:pPr>
            <w:r>
              <w:rPr>
                <w:rFonts w:hint="eastAsia" w:ascii="宋体" w:hAnsi="宋体" w:eastAsia="宋体" w:cs="微软雅黑"/>
              </w:rPr>
              <w:t>6</w:t>
            </w:r>
          </w:p>
        </w:tc>
        <w:tc>
          <w:tcPr>
            <w:tcW w:w="913" w:type="pct"/>
            <w:vMerge w:val="continue"/>
            <w:vAlign w:val="center"/>
          </w:tcPr>
          <w:p w14:paraId="22292306">
            <w:pPr>
              <w:pStyle w:val="17"/>
              <w:snapToGrid w:val="0"/>
              <w:jc w:val="center"/>
              <w:rPr>
                <w:rFonts w:hint="eastAsia"/>
              </w:rPr>
            </w:pPr>
          </w:p>
        </w:tc>
        <w:tc>
          <w:tcPr>
            <w:tcW w:w="1196" w:type="pct"/>
            <w:vAlign w:val="center"/>
          </w:tcPr>
          <w:p w14:paraId="15EE7D74">
            <w:pPr>
              <w:pStyle w:val="17"/>
              <w:snapToGrid w:val="0"/>
              <w:rPr>
                <w:rFonts w:hint="eastAsia"/>
              </w:rPr>
            </w:pPr>
            <w:r>
              <w:rPr>
                <w:rFonts w:hint="eastAsia" w:ascii="宋体" w:hAnsi="宋体" w:eastAsia="宋体" w:cs="微软雅黑"/>
              </w:rPr>
              <w:t>AI核心引擎</w:t>
            </w:r>
          </w:p>
        </w:tc>
        <w:tc>
          <w:tcPr>
            <w:tcW w:w="2440" w:type="pct"/>
            <w:vAlign w:val="center"/>
          </w:tcPr>
          <w:p w14:paraId="0074FA8C">
            <w:pPr>
              <w:pStyle w:val="17"/>
              <w:snapToGrid w:val="0"/>
              <w:rPr>
                <w:rFonts w:hint="eastAsia"/>
              </w:rPr>
            </w:pPr>
            <w:r>
              <w:rPr>
                <w:rFonts w:hint="eastAsia" w:ascii="宋体" w:hAnsi="宋体" w:eastAsia="宋体" w:cs="微软雅黑"/>
              </w:rPr>
              <w:t>支持知识图谱引擎、大模型能力平台、AI智能体（AI助教/AI学伴）等功能</w:t>
            </w:r>
          </w:p>
        </w:tc>
      </w:tr>
      <w:tr w14:paraId="7FA89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307F472">
            <w:pPr>
              <w:pStyle w:val="17"/>
              <w:snapToGrid w:val="0"/>
              <w:jc w:val="center"/>
              <w:rPr>
                <w:rFonts w:hint="eastAsia"/>
              </w:rPr>
            </w:pPr>
            <w:r>
              <w:rPr>
                <w:rFonts w:hint="eastAsia" w:ascii="宋体" w:hAnsi="宋体" w:eastAsia="宋体" w:cs="微软雅黑"/>
              </w:rPr>
              <w:t>7</w:t>
            </w:r>
          </w:p>
        </w:tc>
        <w:tc>
          <w:tcPr>
            <w:tcW w:w="913" w:type="pct"/>
            <w:vMerge w:val="continue"/>
            <w:vAlign w:val="center"/>
          </w:tcPr>
          <w:p w14:paraId="61B83DE1">
            <w:pPr>
              <w:pStyle w:val="17"/>
              <w:snapToGrid w:val="0"/>
              <w:jc w:val="center"/>
              <w:rPr>
                <w:rFonts w:hint="eastAsia"/>
              </w:rPr>
            </w:pPr>
          </w:p>
        </w:tc>
        <w:tc>
          <w:tcPr>
            <w:tcW w:w="1196" w:type="pct"/>
            <w:vAlign w:val="center"/>
          </w:tcPr>
          <w:p w14:paraId="405B3741">
            <w:pPr>
              <w:pStyle w:val="17"/>
              <w:snapToGrid w:val="0"/>
              <w:rPr>
                <w:rFonts w:hint="eastAsia"/>
              </w:rPr>
            </w:pPr>
            <w:r>
              <w:rPr>
                <w:rFonts w:hint="eastAsia" w:ascii="宋体" w:hAnsi="宋体" w:eastAsia="宋体" w:cs="微软雅黑"/>
              </w:rPr>
              <w:t>专业知识图谱生成</w:t>
            </w:r>
          </w:p>
        </w:tc>
        <w:tc>
          <w:tcPr>
            <w:tcW w:w="2440" w:type="pct"/>
            <w:vAlign w:val="center"/>
          </w:tcPr>
          <w:p w14:paraId="7C38DC62">
            <w:pPr>
              <w:pStyle w:val="17"/>
              <w:snapToGrid w:val="0"/>
              <w:rPr>
                <w:rFonts w:hint="eastAsia"/>
              </w:rPr>
            </w:pPr>
            <w:r>
              <w:rPr>
                <w:rFonts w:hint="eastAsia" w:ascii="宋体" w:hAnsi="宋体" w:eastAsia="宋体" w:cs="微软雅黑"/>
              </w:rPr>
              <w:t>支持基于产业岗位能力要求构建专业能力图谱，支持学习地图生成、人才培养方案在线管理、专业课程体系图谱展示等功能</w:t>
            </w:r>
          </w:p>
        </w:tc>
      </w:tr>
      <w:tr w14:paraId="5AFA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ECB8426">
            <w:pPr>
              <w:pStyle w:val="17"/>
              <w:snapToGrid w:val="0"/>
              <w:jc w:val="center"/>
              <w:rPr>
                <w:rFonts w:hint="eastAsia"/>
              </w:rPr>
            </w:pPr>
            <w:r>
              <w:rPr>
                <w:rFonts w:hint="eastAsia" w:ascii="宋体" w:hAnsi="宋体" w:eastAsia="宋体" w:cs="微软雅黑"/>
              </w:rPr>
              <w:t>8</w:t>
            </w:r>
          </w:p>
        </w:tc>
        <w:tc>
          <w:tcPr>
            <w:tcW w:w="913" w:type="pct"/>
            <w:vMerge w:val="restart"/>
            <w:vAlign w:val="center"/>
          </w:tcPr>
          <w:p w14:paraId="5612AD48">
            <w:pPr>
              <w:pStyle w:val="17"/>
              <w:snapToGrid w:val="0"/>
              <w:jc w:val="center"/>
              <w:rPr>
                <w:rFonts w:hint="eastAsia"/>
              </w:rPr>
            </w:pPr>
            <w:r>
              <w:rPr>
                <w:rFonts w:hint="eastAsia" w:ascii="宋体" w:hAnsi="宋体" w:eastAsia="宋体" w:cs="微软雅黑"/>
              </w:rPr>
              <w:t>课前准备</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12851FF8">
            <w:pPr>
              <w:pStyle w:val="17"/>
              <w:snapToGrid w:val="0"/>
              <w:rPr>
                <w:rFonts w:hint="eastAsia"/>
              </w:rPr>
            </w:pPr>
            <w:r>
              <w:rPr>
                <w:rFonts w:hint="eastAsia" w:ascii="宋体" w:hAnsi="宋体" w:eastAsia="宋体" w:cs="微软雅黑"/>
              </w:rPr>
              <w:t>知识图谱构建</w:t>
            </w:r>
          </w:p>
        </w:tc>
        <w:tc>
          <w:tcPr>
            <w:tcW w:w="2440" w:type="pct"/>
            <w:vAlign w:val="center"/>
          </w:tcPr>
          <w:p w14:paraId="3D2A926E">
            <w:pPr>
              <w:pStyle w:val="17"/>
              <w:snapToGrid w:val="0"/>
              <w:rPr>
                <w:rFonts w:hint="eastAsia"/>
              </w:rPr>
            </w:pPr>
            <w:r>
              <w:rPr>
                <w:rFonts w:hint="eastAsia" w:ascii="宋体" w:hAnsi="宋体" w:eastAsia="宋体" w:cs="微软雅黑"/>
              </w:rPr>
              <w:t>支持课程目标到知识点的关联、跨学科知识融合等功能</w:t>
            </w:r>
          </w:p>
        </w:tc>
      </w:tr>
      <w:tr w14:paraId="5D9FC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466268F7">
            <w:pPr>
              <w:pStyle w:val="17"/>
              <w:snapToGrid w:val="0"/>
              <w:jc w:val="center"/>
              <w:rPr>
                <w:rFonts w:hint="eastAsia"/>
              </w:rPr>
            </w:pPr>
            <w:r>
              <w:rPr>
                <w:rFonts w:hint="eastAsia" w:ascii="宋体" w:hAnsi="宋体" w:eastAsia="宋体" w:cs="微软雅黑"/>
              </w:rPr>
              <w:t>9</w:t>
            </w:r>
          </w:p>
        </w:tc>
        <w:tc>
          <w:tcPr>
            <w:tcW w:w="913" w:type="pct"/>
            <w:vMerge w:val="continue"/>
            <w:vAlign w:val="center"/>
          </w:tcPr>
          <w:p w14:paraId="79848CCF">
            <w:pPr>
              <w:pStyle w:val="17"/>
              <w:snapToGrid w:val="0"/>
              <w:jc w:val="center"/>
              <w:rPr>
                <w:rFonts w:hint="eastAsia"/>
              </w:rPr>
            </w:pPr>
          </w:p>
        </w:tc>
        <w:tc>
          <w:tcPr>
            <w:tcW w:w="1196" w:type="pct"/>
            <w:vAlign w:val="center"/>
          </w:tcPr>
          <w:p w14:paraId="0D987396">
            <w:pPr>
              <w:pStyle w:val="17"/>
              <w:snapToGrid w:val="0"/>
              <w:rPr>
                <w:rFonts w:hint="eastAsia"/>
              </w:rPr>
            </w:pPr>
            <w:r>
              <w:rPr>
                <w:rFonts w:hint="eastAsia" w:ascii="宋体" w:hAnsi="宋体" w:eastAsia="宋体" w:cs="微软雅黑"/>
              </w:rPr>
              <w:t>数智教材建设</w:t>
            </w:r>
          </w:p>
        </w:tc>
        <w:tc>
          <w:tcPr>
            <w:tcW w:w="2440" w:type="pct"/>
            <w:vAlign w:val="center"/>
          </w:tcPr>
          <w:p w14:paraId="44EF1386">
            <w:pPr>
              <w:pStyle w:val="17"/>
              <w:snapToGrid w:val="0"/>
              <w:rPr>
                <w:rFonts w:hint="eastAsia"/>
              </w:rPr>
            </w:pPr>
            <w:r>
              <w:rPr>
                <w:rFonts w:hint="eastAsia" w:ascii="宋体" w:hAnsi="宋体" w:eastAsia="宋体" w:cs="微软雅黑"/>
              </w:rPr>
              <w:t>支持数字教材动态维护与更新、多模态交互、千人千本学习资源组织等功能</w:t>
            </w:r>
          </w:p>
        </w:tc>
      </w:tr>
      <w:tr w14:paraId="16FFC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1B307AEF">
            <w:pPr>
              <w:pStyle w:val="17"/>
              <w:snapToGrid w:val="0"/>
              <w:jc w:val="center"/>
              <w:rPr>
                <w:rFonts w:hint="eastAsia"/>
              </w:rPr>
            </w:pPr>
            <w:r>
              <w:rPr>
                <w:rFonts w:hint="eastAsia" w:ascii="宋体" w:hAnsi="宋体" w:eastAsia="宋体" w:cs="微软雅黑"/>
              </w:rPr>
              <w:t>10</w:t>
            </w:r>
          </w:p>
        </w:tc>
        <w:tc>
          <w:tcPr>
            <w:tcW w:w="913" w:type="pct"/>
            <w:vMerge w:val="continue"/>
            <w:vAlign w:val="center"/>
          </w:tcPr>
          <w:p w14:paraId="2D02A8AA">
            <w:pPr>
              <w:pStyle w:val="17"/>
              <w:snapToGrid w:val="0"/>
              <w:jc w:val="center"/>
              <w:rPr>
                <w:rFonts w:hint="eastAsia"/>
              </w:rPr>
            </w:pPr>
          </w:p>
        </w:tc>
        <w:tc>
          <w:tcPr>
            <w:tcW w:w="1196" w:type="pct"/>
            <w:vAlign w:val="center"/>
          </w:tcPr>
          <w:p w14:paraId="18F4C5D1">
            <w:pPr>
              <w:pStyle w:val="17"/>
              <w:snapToGrid w:val="0"/>
              <w:rPr>
                <w:rFonts w:hint="eastAsia"/>
              </w:rPr>
            </w:pPr>
            <w:r>
              <w:rPr>
                <w:rFonts w:hint="eastAsia" w:ascii="宋体" w:hAnsi="宋体" w:eastAsia="宋体" w:cs="微软雅黑"/>
              </w:rPr>
              <w:t>AIGC内容生产</w:t>
            </w:r>
          </w:p>
        </w:tc>
        <w:tc>
          <w:tcPr>
            <w:tcW w:w="2440" w:type="pct"/>
            <w:vAlign w:val="center"/>
          </w:tcPr>
          <w:p w14:paraId="552DBE4C">
            <w:pPr>
              <w:pStyle w:val="17"/>
              <w:snapToGrid w:val="0"/>
              <w:rPr>
                <w:rFonts w:hint="eastAsia"/>
              </w:rPr>
            </w:pPr>
            <w:r>
              <w:rPr>
                <w:rFonts w:hint="eastAsia" w:ascii="宋体" w:hAnsi="宋体" w:eastAsia="宋体" w:cs="微软雅黑"/>
              </w:rPr>
              <w:t>支持一键建课、数字人微课生成、存量视频资源处理等功能</w:t>
            </w:r>
          </w:p>
        </w:tc>
      </w:tr>
      <w:tr w14:paraId="7A2DD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8F5148A">
            <w:pPr>
              <w:pStyle w:val="17"/>
              <w:snapToGrid w:val="0"/>
              <w:jc w:val="center"/>
              <w:rPr>
                <w:rFonts w:hint="eastAsia"/>
              </w:rPr>
            </w:pPr>
            <w:r>
              <w:rPr>
                <w:rFonts w:hint="eastAsia" w:ascii="宋体" w:hAnsi="宋体" w:eastAsia="宋体" w:cs="微软雅黑"/>
              </w:rPr>
              <w:t>11</w:t>
            </w:r>
          </w:p>
        </w:tc>
        <w:tc>
          <w:tcPr>
            <w:tcW w:w="913" w:type="pct"/>
            <w:vMerge w:val="continue"/>
            <w:vAlign w:val="center"/>
          </w:tcPr>
          <w:p w14:paraId="57D2B0CD">
            <w:pPr>
              <w:pStyle w:val="17"/>
              <w:snapToGrid w:val="0"/>
              <w:jc w:val="center"/>
              <w:rPr>
                <w:rFonts w:hint="eastAsia"/>
              </w:rPr>
            </w:pPr>
          </w:p>
        </w:tc>
        <w:tc>
          <w:tcPr>
            <w:tcW w:w="1196" w:type="pct"/>
            <w:vAlign w:val="center"/>
          </w:tcPr>
          <w:p w14:paraId="1D4F6FAA">
            <w:pPr>
              <w:pStyle w:val="17"/>
              <w:snapToGrid w:val="0"/>
              <w:rPr>
                <w:rFonts w:hint="eastAsia"/>
              </w:rPr>
            </w:pPr>
            <w:r>
              <w:rPr>
                <w:rFonts w:hint="eastAsia" w:ascii="宋体" w:hAnsi="宋体" w:eastAsia="宋体" w:cs="微软雅黑"/>
              </w:rPr>
              <w:t>智能题库扩容</w:t>
            </w:r>
          </w:p>
        </w:tc>
        <w:tc>
          <w:tcPr>
            <w:tcW w:w="2440" w:type="pct"/>
            <w:vAlign w:val="center"/>
          </w:tcPr>
          <w:p w14:paraId="7A790055">
            <w:pPr>
              <w:pStyle w:val="17"/>
              <w:snapToGrid w:val="0"/>
              <w:rPr>
                <w:rFonts w:hint="eastAsia"/>
              </w:rPr>
            </w:pPr>
            <w:r>
              <w:rPr>
                <w:rFonts w:hint="eastAsia" w:ascii="宋体" w:hAnsi="宋体" w:eastAsia="宋体" w:cs="微软雅黑"/>
              </w:rPr>
              <w:t>支持智能题库生成、试题自动解析等功能</w:t>
            </w:r>
          </w:p>
        </w:tc>
      </w:tr>
      <w:tr w14:paraId="5E19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B98C04D">
            <w:pPr>
              <w:pStyle w:val="17"/>
              <w:snapToGrid w:val="0"/>
              <w:jc w:val="center"/>
              <w:rPr>
                <w:rFonts w:hint="eastAsia"/>
              </w:rPr>
            </w:pPr>
            <w:r>
              <w:rPr>
                <w:rFonts w:hint="eastAsia" w:ascii="宋体" w:hAnsi="宋体" w:eastAsia="宋体" w:cs="微软雅黑"/>
              </w:rPr>
              <w:t>12</w:t>
            </w:r>
          </w:p>
        </w:tc>
        <w:tc>
          <w:tcPr>
            <w:tcW w:w="913" w:type="pct"/>
            <w:vMerge w:val="continue"/>
            <w:vAlign w:val="center"/>
          </w:tcPr>
          <w:p w14:paraId="66CCFE51">
            <w:pPr>
              <w:pStyle w:val="17"/>
              <w:snapToGrid w:val="0"/>
              <w:jc w:val="center"/>
              <w:rPr>
                <w:rFonts w:hint="eastAsia"/>
              </w:rPr>
            </w:pPr>
          </w:p>
        </w:tc>
        <w:tc>
          <w:tcPr>
            <w:tcW w:w="1196" w:type="pct"/>
            <w:vAlign w:val="center"/>
          </w:tcPr>
          <w:p w14:paraId="41950604">
            <w:pPr>
              <w:pStyle w:val="17"/>
              <w:snapToGrid w:val="0"/>
              <w:rPr>
                <w:rFonts w:hint="eastAsia"/>
              </w:rPr>
            </w:pPr>
            <w:r>
              <w:rPr>
                <w:rFonts w:hint="eastAsia" w:ascii="宋体" w:hAnsi="宋体" w:eastAsia="宋体" w:cs="微软雅黑"/>
              </w:rPr>
              <w:t>合规与思政</w:t>
            </w:r>
          </w:p>
        </w:tc>
        <w:tc>
          <w:tcPr>
            <w:tcW w:w="2440" w:type="pct"/>
            <w:vAlign w:val="center"/>
          </w:tcPr>
          <w:p w14:paraId="4409E996">
            <w:pPr>
              <w:pStyle w:val="17"/>
              <w:snapToGrid w:val="0"/>
              <w:rPr>
                <w:rFonts w:hint="eastAsia"/>
              </w:rPr>
            </w:pPr>
            <w:r>
              <w:rPr>
                <w:rFonts w:hint="eastAsia" w:ascii="宋体" w:hAnsi="宋体" w:eastAsia="宋体" w:cs="微软雅黑"/>
              </w:rPr>
              <w:t>支持AI内容审查、课程思政资源匹配等功能</w:t>
            </w:r>
          </w:p>
        </w:tc>
      </w:tr>
      <w:tr w14:paraId="6873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0E5EFEF0">
            <w:pPr>
              <w:pStyle w:val="17"/>
              <w:snapToGrid w:val="0"/>
              <w:jc w:val="center"/>
              <w:rPr>
                <w:rFonts w:hint="eastAsia"/>
              </w:rPr>
            </w:pPr>
            <w:r>
              <w:rPr>
                <w:rFonts w:hint="eastAsia" w:ascii="宋体" w:hAnsi="宋体" w:eastAsia="宋体" w:cs="微软雅黑"/>
              </w:rPr>
              <w:t>13</w:t>
            </w:r>
          </w:p>
        </w:tc>
        <w:tc>
          <w:tcPr>
            <w:tcW w:w="913" w:type="pct"/>
            <w:vMerge w:val="restart"/>
            <w:vAlign w:val="center"/>
          </w:tcPr>
          <w:p w14:paraId="09FAAAB7">
            <w:pPr>
              <w:pStyle w:val="17"/>
              <w:snapToGrid w:val="0"/>
              <w:jc w:val="center"/>
              <w:rPr>
                <w:rFonts w:hint="eastAsia"/>
              </w:rPr>
            </w:pPr>
            <w:r>
              <w:rPr>
                <w:rFonts w:hint="eastAsia" w:ascii="宋体" w:hAnsi="宋体" w:eastAsia="宋体" w:cs="微软雅黑"/>
              </w:rPr>
              <w:t>课中互动</w:t>
            </w:r>
            <w:r>
              <w:rPr>
                <w:rFonts w:ascii="宋体" w:hAnsi="宋体" w:eastAsia="宋体" w:cs="微软雅黑"/>
              </w:rPr>
              <w:br w:type="textWrapping"/>
            </w:r>
            <w:r>
              <w:rPr>
                <w:rFonts w:hint="eastAsia" w:ascii="宋体" w:hAnsi="宋体" w:eastAsia="宋体" w:cs="微软雅黑"/>
              </w:rPr>
              <w:t>子系统</w:t>
            </w:r>
            <w:r>
              <w:rPr>
                <w:rFonts w:ascii="宋体" w:hAnsi="宋体" w:eastAsia="宋体" w:cs="微软雅黑"/>
              </w:rPr>
              <w:br w:type="textWrapping"/>
            </w:r>
            <w:r>
              <w:rPr>
                <w:rFonts w:hint="eastAsia" w:ascii="宋体" w:hAnsi="宋体" w:eastAsia="宋体" w:cs="微软雅黑"/>
              </w:rPr>
              <w:t>（理论课）</w:t>
            </w:r>
          </w:p>
        </w:tc>
        <w:tc>
          <w:tcPr>
            <w:tcW w:w="1196" w:type="pct"/>
            <w:vAlign w:val="center"/>
          </w:tcPr>
          <w:p w14:paraId="13482E67">
            <w:pPr>
              <w:pStyle w:val="17"/>
              <w:snapToGrid w:val="0"/>
              <w:rPr>
                <w:rFonts w:hint="eastAsia"/>
              </w:rPr>
            </w:pPr>
            <w:r>
              <w:rPr>
                <w:rFonts w:hint="eastAsia" w:ascii="宋体" w:hAnsi="宋体" w:eastAsia="宋体" w:cs="微软雅黑"/>
              </w:rPr>
              <w:t>知识图谱实时导航</w:t>
            </w:r>
          </w:p>
        </w:tc>
        <w:tc>
          <w:tcPr>
            <w:tcW w:w="2440" w:type="pct"/>
            <w:vAlign w:val="center"/>
          </w:tcPr>
          <w:p w14:paraId="014A65B3">
            <w:pPr>
              <w:pStyle w:val="17"/>
              <w:snapToGrid w:val="0"/>
              <w:rPr>
                <w:rFonts w:hint="eastAsia"/>
              </w:rPr>
            </w:pPr>
            <w:r>
              <w:rPr>
                <w:rFonts w:hint="eastAsia" w:ascii="宋体" w:hAnsi="宋体" w:eastAsia="宋体" w:cs="微软雅黑"/>
              </w:rPr>
              <w:t>支持基于知识点的学习内容组织、教学进度与知识点学习任务联动等功能</w:t>
            </w:r>
          </w:p>
        </w:tc>
      </w:tr>
      <w:tr w14:paraId="777C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13EC0770">
            <w:pPr>
              <w:pStyle w:val="17"/>
              <w:snapToGrid w:val="0"/>
              <w:jc w:val="center"/>
              <w:rPr>
                <w:rFonts w:hint="eastAsia"/>
              </w:rPr>
            </w:pPr>
            <w:r>
              <w:rPr>
                <w:rFonts w:hint="eastAsia" w:ascii="宋体" w:hAnsi="宋体" w:eastAsia="宋体" w:cs="微软雅黑"/>
              </w:rPr>
              <w:t>14</w:t>
            </w:r>
          </w:p>
        </w:tc>
        <w:tc>
          <w:tcPr>
            <w:tcW w:w="913" w:type="pct"/>
            <w:vMerge w:val="continue"/>
            <w:vAlign w:val="center"/>
          </w:tcPr>
          <w:p w14:paraId="51B81EB5">
            <w:pPr>
              <w:pStyle w:val="17"/>
              <w:snapToGrid w:val="0"/>
              <w:jc w:val="center"/>
              <w:rPr>
                <w:rFonts w:hint="eastAsia"/>
              </w:rPr>
            </w:pPr>
          </w:p>
        </w:tc>
        <w:tc>
          <w:tcPr>
            <w:tcW w:w="1196" w:type="pct"/>
            <w:vAlign w:val="center"/>
          </w:tcPr>
          <w:p w14:paraId="2F387CEF">
            <w:pPr>
              <w:pStyle w:val="17"/>
              <w:snapToGrid w:val="0"/>
              <w:rPr>
                <w:rFonts w:hint="eastAsia"/>
              </w:rPr>
            </w:pPr>
            <w:r>
              <w:rPr>
                <w:rFonts w:hint="eastAsia" w:ascii="宋体" w:hAnsi="宋体" w:eastAsia="宋体" w:cs="微软雅黑"/>
              </w:rPr>
              <w:t>混合教学</w:t>
            </w:r>
          </w:p>
        </w:tc>
        <w:tc>
          <w:tcPr>
            <w:tcW w:w="2440" w:type="pct"/>
            <w:vAlign w:val="center"/>
          </w:tcPr>
          <w:p w14:paraId="7381BAC0">
            <w:pPr>
              <w:pStyle w:val="17"/>
              <w:snapToGrid w:val="0"/>
              <w:rPr>
                <w:rFonts w:hint="eastAsia"/>
              </w:rPr>
            </w:pPr>
            <w:r>
              <w:rPr>
                <w:rFonts w:hint="eastAsia" w:ascii="宋体" w:hAnsi="宋体" w:eastAsia="宋体" w:cs="微软雅黑"/>
              </w:rPr>
              <w:t>支持线上线下同步教学、语音实时转写字幕、课堂互动工具等功能</w:t>
            </w:r>
          </w:p>
        </w:tc>
      </w:tr>
      <w:tr w14:paraId="4E18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027AC489">
            <w:pPr>
              <w:pStyle w:val="17"/>
              <w:snapToGrid w:val="0"/>
              <w:jc w:val="center"/>
              <w:rPr>
                <w:rFonts w:hint="eastAsia"/>
              </w:rPr>
            </w:pPr>
            <w:r>
              <w:rPr>
                <w:rFonts w:hint="eastAsia" w:ascii="宋体" w:hAnsi="宋体" w:eastAsia="宋体" w:cs="微软雅黑"/>
              </w:rPr>
              <w:t>15</w:t>
            </w:r>
          </w:p>
        </w:tc>
        <w:tc>
          <w:tcPr>
            <w:tcW w:w="913" w:type="pct"/>
            <w:vMerge w:val="continue"/>
            <w:vAlign w:val="center"/>
          </w:tcPr>
          <w:p w14:paraId="7156F5B6">
            <w:pPr>
              <w:pStyle w:val="17"/>
              <w:snapToGrid w:val="0"/>
              <w:jc w:val="center"/>
              <w:rPr>
                <w:rFonts w:hint="eastAsia"/>
              </w:rPr>
            </w:pPr>
          </w:p>
        </w:tc>
        <w:tc>
          <w:tcPr>
            <w:tcW w:w="1196" w:type="pct"/>
            <w:vAlign w:val="center"/>
          </w:tcPr>
          <w:p w14:paraId="1E75D5FD">
            <w:pPr>
              <w:pStyle w:val="17"/>
              <w:snapToGrid w:val="0"/>
              <w:rPr>
                <w:rFonts w:hint="eastAsia"/>
              </w:rPr>
            </w:pPr>
            <w:r>
              <w:rPr>
                <w:rFonts w:hint="eastAsia" w:ascii="宋体" w:hAnsi="宋体" w:eastAsia="宋体" w:cs="微软雅黑"/>
              </w:rPr>
              <w:t>AI课堂全息感知</w:t>
            </w:r>
          </w:p>
        </w:tc>
        <w:tc>
          <w:tcPr>
            <w:tcW w:w="2440" w:type="pct"/>
            <w:vAlign w:val="center"/>
          </w:tcPr>
          <w:p w14:paraId="3AE6DB7A">
            <w:pPr>
              <w:pStyle w:val="17"/>
              <w:snapToGrid w:val="0"/>
              <w:rPr>
                <w:rFonts w:hint="eastAsia"/>
              </w:rPr>
            </w:pPr>
            <w:r>
              <w:rPr>
                <w:rFonts w:hint="eastAsia" w:ascii="宋体" w:hAnsi="宋体" w:eastAsia="宋体" w:cs="微软雅黑"/>
              </w:rPr>
              <w:t>支持学情监测与分析、课堂互动频次和教学轨迹分析等功能</w:t>
            </w:r>
          </w:p>
        </w:tc>
      </w:tr>
      <w:tr w14:paraId="21AD8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1CF64143">
            <w:pPr>
              <w:pStyle w:val="17"/>
              <w:snapToGrid w:val="0"/>
              <w:jc w:val="center"/>
              <w:rPr>
                <w:rFonts w:hint="eastAsia"/>
              </w:rPr>
            </w:pPr>
            <w:r>
              <w:rPr>
                <w:rFonts w:hint="eastAsia" w:ascii="宋体" w:hAnsi="宋体" w:eastAsia="宋体" w:cs="微软雅黑"/>
              </w:rPr>
              <w:t>16</w:t>
            </w:r>
          </w:p>
        </w:tc>
        <w:tc>
          <w:tcPr>
            <w:tcW w:w="913" w:type="pct"/>
            <w:vMerge w:val="restart"/>
            <w:vAlign w:val="center"/>
          </w:tcPr>
          <w:p w14:paraId="010403AF">
            <w:pPr>
              <w:pStyle w:val="17"/>
              <w:snapToGrid w:val="0"/>
              <w:jc w:val="center"/>
              <w:rPr>
                <w:rFonts w:hint="eastAsia"/>
              </w:rPr>
            </w:pPr>
            <w:r>
              <w:rPr>
                <w:rFonts w:hint="eastAsia" w:ascii="宋体" w:hAnsi="宋体" w:eastAsia="宋体" w:cs="微软雅黑"/>
              </w:rPr>
              <w:t>课中互动</w:t>
            </w:r>
            <w:r>
              <w:rPr>
                <w:rFonts w:ascii="宋体" w:hAnsi="宋体" w:eastAsia="宋体" w:cs="微软雅黑"/>
              </w:rPr>
              <w:br w:type="textWrapping"/>
            </w:r>
            <w:r>
              <w:rPr>
                <w:rFonts w:hint="eastAsia" w:ascii="宋体" w:hAnsi="宋体" w:eastAsia="宋体" w:cs="微软雅黑"/>
              </w:rPr>
              <w:t>子系统</w:t>
            </w:r>
            <w:r>
              <w:rPr>
                <w:rFonts w:ascii="宋体" w:hAnsi="宋体" w:eastAsia="宋体" w:cs="微软雅黑"/>
              </w:rPr>
              <w:br w:type="textWrapping"/>
            </w:r>
            <w:r>
              <w:rPr>
                <w:rFonts w:hint="eastAsia" w:ascii="宋体" w:hAnsi="宋体" w:eastAsia="宋体" w:cs="微软雅黑"/>
              </w:rPr>
              <w:t>（实践课）</w:t>
            </w:r>
          </w:p>
        </w:tc>
        <w:tc>
          <w:tcPr>
            <w:tcW w:w="1196" w:type="pct"/>
            <w:vAlign w:val="center"/>
          </w:tcPr>
          <w:p w14:paraId="3DF9B580">
            <w:pPr>
              <w:pStyle w:val="17"/>
              <w:snapToGrid w:val="0"/>
              <w:rPr>
                <w:rFonts w:hint="eastAsia"/>
              </w:rPr>
            </w:pPr>
            <w:r>
              <w:rPr>
                <w:rFonts w:hint="eastAsia" w:ascii="宋体" w:hAnsi="宋体" w:eastAsia="宋体" w:cs="微软雅黑"/>
              </w:rPr>
              <w:t>基于能力图谱的实践导航</w:t>
            </w:r>
          </w:p>
        </w:tc>
        <w:tc>
          <w:tcPr>
            <w:tcW w:w="2440" w:type="pct"/>
            <w:vAlign w:val="center"/>
          </w:tcPr>
          <w:p w14:paraId="21558913">
            <w:pPr>
              <w:pStyle w:val="17"/>
              <w:snapToGrid w:val="0"/>
              <w:rPr>
                <w:rFonts w:hint="eastAsia"/>
              </w:rPr>
            </w:pPr>
            <w:r>
              <w:rPr>
                <w:rFonts w:hint="eastAsia" w:ascii="宋体" w:hAnsi="宋体" w:eastAsia="宋体" w:cs="微软雅黑"/>
              </w:rPr>
              <w:t>支持基于岗位能力的任务化教学组织、能力缺口分析等功能</w:t>
            </w:r>
          </w:p>
        </w:tc>
      </w:tr>
      <w:tr w14:paraId="13343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6F5D83A3">
            <w:pPr>
              <w:pStyle w:val="17"/>
              <w:snapToGrid w:val="0"/>
              <w:jc w:val="center"/>
              <w:rPr>
                <w:rFonts w:hint="eastAsia"/>
              </w:rPr>
            </w:pPr>
            <w:r>
              <w:rPr>
                <w:rFonts w:hint="eastAsia" w:ascii="宋体" w:hAnsi="宋体" w:eastAsia="宋体" w:cs="微软雅黑"/>
              </w:rPr>
              <w:t>17</w:t>
            </w:r>
          </w:p>
        </w:tc>
        <w:tc>
          <w:tcPr>
            <w:tcW w:w="913" w:type="pct"/>
            <w:vMerge w:val="continue"/>
            <w:vAlign w:val="center"/>
          </w:tcPr>
          <w:p w14:paraId="7EACDC81">
            <w:pPr>
              <w:pStyle w:val="17"/>
              <w:snapToGrid w:val="0"/>
              <w:jc w:val="center"/>
              <w:rPr>
                <w:rFonts w:hint="eastAsia"/>
              </w:rPr>
            </w:pPr>
          </w:p>
        </w:tc>
        <w:tc>
          <w:tcPr>
            <w:tcW w:w="1196" w:type="pct"/>
            <w:vAlign w:val="center"/>
          </w:tcPr>
          <w:p w14:paraId="52A12943">
            <w:pPr>
              <w:pStyle w:val="17"/>
              <w:snapToGrid w:val="0"/>
              <w:rPr>
                <w:rFonts w:hint="eastAsia"/>
              </w:rPr>
            </w:pPr>
            <w:r>
              <w:rPr>
                <w:rFonts w:hint="eastAsia" w:ascii="宋体" w:hAnsi="宋体" w:eastAsia="宋体" w:cs="微软雅黑"/>
              </w:rPr>
              <w:t>校外实习/驻企培养</w:t>
            </w:r>
          </w:p>
        </w:tc>
        <w:tc>
          <w:tcPr>
            <w:tcW w:w="2440" w:type="pct"/>
            <w:vAlign w:val="center"/>
          </w:tcPr>
          <w:p w14:paraId="677EFD8F">
            <w:pPr>
              <w:pStyle w:val="17"/>
              <w:snapToGrid w:val="0"/>
              <w:rPr>
                <w:rFonts w:hint="eastAsia"/>
              </w:rPr>
            </w:pPr>
            <w:r>
              <w:rPr>
                <w:rFonts w:hint="eastAsia" w:ascii="宋体" w:hAnsi="宋体" w:eastAsia="宋体" w:cs="微软雅黑"/>
              </w:rPr>
              <w:t>支持实习岗位库建设、实习周报管理、实习状态预警等功能</w:t>
            </w:r>
          </w:p>
        </w:tc>
      </w:tr>
      <w:tr w14:paraId="0391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4320C5F">
            <w:pPr>
              <w:pStyle w:val="17"/>
              <w:snapToGrid w:val="0"/>
              <w:jc w:val="center"/>
              <w:rPr>
                <w:rFonts w:hint="eastAsia"/>
              </w:rPr>
            </w:pPr>
            <w:r>
              <w:rPr>
                <w:rFonts w:hint="eastAsia" w:ascii="宋体" w:hAnsi="宋体" w:eastAsia="宋体" w:cs="微软雅黑"/>
              </w:rPr>
              <w:t>18</w:t>
            </w:r>
          </w:p>
        </w:tc>
        <w:tc>
          <w:tcPr>
            <w:tcW w:w="913" w:type="pct"/>
            <w:vMerge w:val="continue"/>
            <w:vAlign w:val="center"/>
          </w:tcPr>
          <w:p w14:paraId="2C781604">
            <w:pPr>
              <w:pStyle w:val="17"/>
              <w:snapToGrid w:val="0"/>
              <w:jc w:val="center"/>
              <w:rPr>
                <w:rFonts w:hint="eastAsia"/>
              </w:rPr>
            </w:pPr>
          </w:p>
        </w:tc>
        <w:tc>
          <w:tcPr>
            <w:tcW w:w="1196" w:type="pct"/>
            <w:vAlign w:val="center"/>
          </w:tcPr>
          <w:p w14:paraId="4847B740">
            <w:pPr>
              <w:pStyle w:val="17"/>
              <w:snapToGrid w:val="0"/>
              <w:rPr>
                <w:rFonts w:hint="eastAsia"/>
              </w:rPr>
            </w:pPr>
            <w:r>
              <w:rPr>
                <w:rFonts w:hint="eastAsia" w:ascii="宋体" w:hAnsi="宋体" w:eastAsia="宋体" w:cs="微软雅黑"/>
              </w:rPr>
              <w:t>课程设计/毕业设计</w:t>
            </w:r>
          </w:p>
        </w:tc>
        <w:tc>
          <w:tcPr>
            <w:tcW w:w="2440" w:type="pct"/>
            <w:vAlign w:val="center"/>
          </w:tcPr>
          <w:p w14:paraId="4953106C">
            <w:pPr>
              <w:pStyle w:val="17"/>
              <w:snapToGrid w:val="0"/>
              <w:rPr>
                <w:rFonts w:hint="eastAsia"/>
              </w:rPr>
            </w:pPr>
            <w:r>
              <w:rPr>
                <w:rFonts w:hint="eastAsia" w:ascii="宋体" w:hAnsi="宋体" w:eastAsia="宋体" w:cs="微软雅黑"/>
              </w:rPr>
              <w:t>支持过程节点管理、AI辅助能力等功能</w:t>
            </w:r>
          </w:p>
        </w:tc>
      </w:tr>
      <w:tr w14:paraId="595C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8A7C9F8">
            <w:pPr>
              <w:pStyle w:val="17"/>
              <w:snapToGrid w:val="0"/>
              <w:jc w:val="center"/>
              <w:rPr>
                <w:rFonts w:hint="eastAsia"/>
              </w:rPr>
            </w:pPr>
            <w:r>
              <w:rPr>
                <w:rFonts w:hint="eastAsia" w:ascii="宋体" w:hAnsi="宋体" w:eastAsia="宋体" w:cs="微软雅黑"/>
              </w:rPr>
              <w:t>19</w:t>
            </w:r>
          </w:p>
        </w:tc>
        <w:tc>
          <w:tcPr>
            <w:tcW w:w="913" w:type="pct"/>
            <w:vMerge w:val="continue"/>
            <w:vAlign w:val="center"/>
          </w:tcPr>
          <w:p w14:paraId="154CC857">
            <w:pPr>
              <w:pStyle w:val="17"/>
              <w:snapToGrid w:val="0"/>
              <w:jc w:val="center"/>
              <w:rPr>
                <w:rFonts w:hint="eastAsia"/>
              </w:rPr>
            </w:pPr>
          </w:p>
        </w:tc>
        <w:tc>
          <w:tcPr>
            <w:tcW w:w="1196" w:type="pct"/>
            <w:vAlign w:val="center"/>
          </w:tcPr>
          <w:p w14:paraId="48B45130">
            <w:pPr>
              <w:pStyle w:val="17"/>
              <w:snapToGrid w:val="0"/>
              <w:rPr>
                <w:rFonts w:hint="eastAsia"/>
              </w:rPr>
            </w:pPr>
            <w:r>
              <w:rPr>
                <w:rFonts w:hint="eastAsia" w:ascii="宋体" w:hAnsi="宋体" w:eastAsia="宋体" w:cs="微软雅黑"/>
              </w:rPr>
              <w:t>成果智能评价</w:t>
            </w:r>
          </w:p>
        </w:tc>
        <w:tc>
          <w:tcPr>
            <w:tcW w:w="2440" w:type="pct"/>
            <w:vAlign w:val="center"/>
          </w:tcPr>
          <w:p w14:paraId="6E6617BB">
            <w:pPr>
              <w:pStyle w:val="17"/>
              <w:snapToGrid w:val="0"/>
              <w:rPr>
                <w:rFonts w:hint="eastAsia"/>
              </w:rPr>
            </w:pPr>
            <w:r>
              <w:rPr>
                <w:rFonts w:hint="eastAsia" w:ascii="宋体" w:hAnsi="宋体" w:eastAsia="宋体" w:cs="微软雅黑"/>
              </w:rPr>
              <w:t>支持多维评分、模拟答辩等功能</w:t>
            </w:r>
          </w:p>
        </w:tc>
      </w:tr>
      <w:tr w14:paraId="112B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6671F9DE">
            <w:pPr>
              <w:pStyle w:val="17"/>
              <w:snapToGrid w:val="0"/>
              <w:jc w:val="center"/>
              <w:rPr>
                <w:rFonts w:hint="eastAsia"/>
              </w:rPr>
            </w:pPr>
            <w:r>
              <w:rPr>
                <w:rFonts w:hint="eastAsia" w:ascii="宋体" w:hAnsi="宋体" w:eastAsia="宋体" w:cs="微软雅黑"/>
              </w:rPr>
              <w:t>20</w:t>
            </w:r>
          </w:p>
        </w:tc>
        <w:tc>
          <w:tcPr>
            <w:tcW w:w="913" w:type="pct"/>
            <w:vMerge w:val="restart"/>
            <w:vAlign w:val="center"/>
          </w:tcPr>
          <w:p w14:paraId="7A8AB24B">
            <w:pPr>
              <w:pStyle w:val="17"/>
              <w:snapToGrid w:val="0"/>
              <w:jc w:val="center"/>
              <w:rPr>
                <w:rFonts w:hint="eastAsia"/>
              </w:rPr>
            </w:pPr>
            <w:r>
              <w:rPr>
                <w:rFonts w:hint="eastAsia" w:ascii="宋体" w:hAnsi="宋体" w:eastAsia="宋体" w:cs="微软雅黑"/>
              </w:rPr>
              <w:t>课后延伸</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380BF5EE">
            <w:pPr>
              <w:pStyle w:val="17"/>
              <w:snapToGrid w:val="0"/>
              <w:rPr>
                <w:rFonts w:hint="eastAsia"/>
              </w:rPr>
            </w:pPr>
            <w:r>
              <w:rPr>
                <w:rFonts w:hint="eastAsia" w:ascii="宋体" w:hAnsi="宋体" w:eastAsia="宋体" w:cs="微软雅黑"/>
              </w:rPr>
              <w:t>个性化作业</w:t>
            </w:r>
          </w:p>
        </w:tc>
        <w:tc>
          <w:tcPr>
            <w:tcW w:w="2440" w:type="pct"/>
            <w:vAlign w:val="center"/>
          </w:tcPr>
          <w:p w14:paraId="00F5DC53">
            <w:pPr>
              <w:pStyle w:val="17"/>
              <w:snapToGrid w:val="0"/>
              <w:rPr>
                <w:rFonts w:hint="eastAsia"/>
              </w:rPr>
            </w:pPr>
            <w:r>
              <w:rPr>
                <w:rFonts w:hint="eastAsia" w:ascii="宋体" w:hAnsi="宋体" w:eastAsia="宋体" w:cs="微软雅黑"/>
              </w:rPr>
              <w:t>支持图谱导航作业推荐、分层训练、防抄袭机制等功能</w:t>
            </w:r>
          </w:p>
        </w:tc>
      </w:tr>
      <w:tr w14:paraId="1C7AE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03274AE">
            <w:pPr>
              <w:pStyle w:val="17"/>
              <w:snapToGrid w:val="0"/>
              <w:jc w:val="center"/>
              <w:rPr>
                <w:rFonts w:hint="eastAsia"/>
              </w:rPr>
            </w:pPr>
            <w:r>
              <w:rPr>
                <w:rFonts w:hint="eastAsia" w:ascii="宋体" w:hAnsi="宋体" w:eastAsia="宋体" w:cs="微软雅黑"/>
              </w:rPr>
              <w:t>21</w:t>
            </w:r>
          </w:p>
        </w:tc>
        <w:tc>
          <w:tcPr>
            <w:tcW w:w="913" w:type="pct"/>
            <w:vMerge w:val="continue"/>
            <w:vAlign w:val="center"/>
          </w:tcPr>
          <w:p w14:paraId="6DF604C1">
            <w:pPr>
              <w:pStyle w:val="17"/>
              <w:snapToGrid w:val="0"/>
              <w:jc w:val="center"/>
              <w:rPr>
                <w:rFonts w:hint="eastAsia"/>
              </w:rPr>
            </w:pPr>
          </w:p>
        </w:tc>
        <w:tc>
          <w:tcPr>
            <w:tcW w:w="1196" w:type="pct"/>
            <w:vAlign w:val="center"/>
          </w:tcPr>
          <w:p w14:paraId="6A06A01E">
            <w:pPr>
              <w:pStyle w:val="17"/>
              <w:snapToGrid w:val="0"/>
              <w:rPr>
                <w:rFonts w:hint="eastAsia"/>
              </w:rPr>
            </w:pPr>
            <w:r>
              <w:rPr>
                <w:rFonts w:hint="eastAsia" w:ascii="宋体" w:hAnsi="宋体" w:eastAsia="宋体" w:cs="微软雅黑"/>
              </w:rPr>
              <w:t>错题饱和练习</w:t>
            </w:r>
          </w:p>
        </w:tc>
        <w:tc>
          <w:tcPr>
            <w:tcW w:w="2440" w:type="pct"/>
            <w:vAlign w:val="center"/>
          </w:tcPr>
          <w:p w14:paraId="6C21711E">
            <w:pPr>
              <w:pStyle w:val="17"/>
              <w:snapToGrid w:val="0"/>
              <w:rPr>
                <w:rFonts w:hint="eastAsia"/>
              </w:rPr>
            </w:pPr>
            <w:r>
              <w:rPr>
                <w:rFonts w:hint="eastAsia" w:ascii="宋体" w:hAnsi="宋体" w:eastAsia="宋体" w:cs="微软雅黑"/>
              </w:rPr>
              <w:t>支持错题变式推送、强制纠错训练等功能</w:t>
            </w:r>
          </w:p>
        </w:tc>
      </w:tr>
      <w:tr w14:paraId="6790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E4B43CF">
            <w:pPr>
              <w:pStyle w:val="17"/>
              <w:snapToGrid w:val="0"/>
              <w:jc w:val="center"/>
              <w:rPr>
                <w:rFonts w:hint="eastAsia"/>
              </w:rPr>
            </w:pPr>
            <w:r>
              <w:rPr>
                <w:rFonts w:hint="eastAsia" w:ascii="宋体" w:hAnsi="宋体" w:eastAsia="宋体" w:cs="微软雅黑"/>
              </w:rPr>
              <w:t>22</w:t>
            </w:r>
          </w:p>
        </w:tc>
        <w:tc>
          <w:tcPr>
            <w:tcW w:w="913" w:type="pct"/>
            <w:vMerge w:val="continue"/>
            <w:vAlign w:val="center"/>
          </w:tcPr>
          <w:p w14:paraId="0A871B31">
            <w:pPr>
              <w:pStyle w:val="17"/>
              <w:snapToGrid w:val="0"/>
              <w:jc w:val="center"/>
              <w:rPr>
                <w:rFonts w:hint="eastAsia"/>
              </w:rPr>
            </w:pPr>
          </w:p>
        </w:tc>
        <w:tc>
          <w:tcPr>
            <w:tcW w:w="1196" w:type="pct"/>
            <w:vAlign w:val="center"/>
          </w:tcPr>
          <w:p w14:paraId="37A7D680">
            <w:pPr>
              <w:pStyle w:val="17"/>
              <w:snapToGrid w:val="0"/>
              <w:rPr>
                <w:rFonts w:hint="eastAsia"/>
              </w:rPr>
            </w:pPr>
            <w:r>
              <w:rPr>
                <w:rFonts w:hint="eastAsia" w:ascii="宋体" w:hAnsi="宋体" w:eastAsia="宋体" w:cs="微软雅黑"/>
              </w:rPr>
              <w:t>AI批阅作业</w:t>
            </w:r>
          </w:p>
        </w:tc>
        <w:tc>
          <w:tcPr>
            <w:tcW w:w="2440" w:type="pct"/>
            <w:vAlign w:val="center"/>
          </w:tcPr>
          <w:p w14:paraId="3B9D2945">
            <w:pPr>
              <w:pStyle w:val="17"/>
              <w:snapToGrid w:val="0"/>
              <w:rPr>
                <w:rFonts w:hint="eastAsia"/>
              </w:rPr>
            </w:pPr>
            <w:r>
              <w:rPr>
                <w:rFonts w:hint="eastAsia" w:ascii="宋体" w:hAnsi="宋体" w:eastAsia="宋体" w:cs="微软雅黑"/>
              </w:rPr>
              <w:t>支持作业批阅全题型覆盖、即时反馈、作业完成情况报告生成等功能</w:t>
            </w:r>
          </w:p>
        </w:tc>
      </w:tr>
      <w:tr w14:paraId="1D78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0127DC26">
            <w:pPr>
              <w:pStyle w:val="17"/>
              <w:snapToGrid w:val="0"/>
              <w:jc w:val="center"/>
              <w:rPr>
                <w:rFonts w:hint="eastAsia"/>
              </w:rPr>
            </w:pPr>
            <w:r>
              <w:rPr>
                <w:rFonts w:hint="eastAsia" w:ascii="宋体" w:hAnsi="宋体" w:eastAsia="宋体" w:cs="微软雅黑"/>
              </w:rPr>
              <w:t>23</w:t>
            </w:r>
          </w:p>
        </w:tc>
        <w:tc>
          <w:tcPr>
            <w:tcW w:w="913" w:type="pct"/>
            <w:vMerge w:val="restart"/>
            <w:vAlign w:val="center"/>
          </w:tcPr>
          <w:p w14:paraId="67D0E97F">
            <w:pPr>
              <w:pStyle w:val="17"/>
              <w:snapToGrid w:val="0"/>
              <w:jc w:val="center"/>
              <w:rPr>
                <w:rFonts w:hint="eastAsia"/>
              </w:rPr>
            </w:pPr>
            <w:r>
              <w:rPr>
                <w:rFonts w:hint="eastAsia" w:ascii="宋体" w:hAnsi="宋体" w:eastAsia="宋体" w:cs="微软雅黑"/>
              </w:rPr>
              <w:t>检验成效</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645741A1">
            <w:pPr>
              <w:pStyle w:val="17"/>
              <w:snapToGrid w:val="0"/>
              <w:rPr>
                <w:rFonts w:hint="eastAsia"/>
              </w:rPr>
            </w:pPr>
            <w:r>
              <w:rPr>
                <w:rFonts w:hint="eastAsia" w:ascii="宋体" w:hAnsi="宋体" w:eastAsia="宋体" w:cs="微软雅黑"/>
              </w:rPr>
              <w:t>OBE导向智能组卷</w:t>
            </w:r>
          </w:p>
        </w:tc>
        <w:tc>
          <w:tcPr>
            <w:tcW w:w="2440" w:type="pct"/>
            <w:vAlign w:val="center"/>
          </w:tcPr>
          <w:p w14:paraId="5AE4C7CD">
            <w:pPr>
              <w:pStyle w:val="17"/>
              <w:snapToGrid w:val="0"/>
              <w:rPr>
                <w:rFonts w:hint="eastAsia"/>
              </w:rPr>
            </w:pPr>
            <w:r>
              <w:rPr>
                <w:rFonts w:hint="eastAsia" w:ascii="宋体" w:hAnsi="宋体" w:eastAsia="宋体" w:cs="微软雅黑"/>
              </w:rPr>
              <w:t>支持OBE导向智能组卷、试卷质量控制等功能</w:t>
            </w:r>
          </w:p>
        </w:tc>
      </w:tr>
      <w:tr w14:paraId="308C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5B44B1D6">
            <w:pPr>
              <w:pStyle w:val="17"/>
              <w:snapToGrid w:val="0"/>
              <w:jc w:val="center"/>
              <w:rPr>
                <w:rFonts w:hint="eastAsia"/>
              </w:rPr>
            </w:pPr>
            <w:r>
              <w:rPr>
                <w:rFonts w:hint="eastAsia" w:ascii="宋体" w:hAnsi="宋体" w:eastAsia="宋体" w:cs="微软雅黑"/>
              </w:rPr>
              <w:t>24</w:t>
            </w:r>
          </w:p>
        </w:tc>
        <w:tc>
          <w:tcPr>
            <w:tcW w:w="913" w:type="pct"/>
            <w:vMerge w:val="continue"/>
            <w:vAlign w:val="center"/>
          </w:tcPr>
          <w:p w14:paraId="62EAD369">
            <w:pPr>
              <w:pStyle w:val="17"/>
              <w:snapToGrid w:val="0"/>
              <w:jc w:val="center"/>
              <w:rPr>
                <w:rFonts w:hint="eastAsia"/>
              </w:rPr>
            </w:pPr>
          </w:p>
        </w:tc>
        <w:tc>
          <w:tcPr>
            <w:tcW w:w="1196" w:type="pct"/>
            <w:vAlign w:val="center"/>
          </w:tcPr>
          <w:p w14:paraId="37F3E9CC">
            <w:pPr>
              <w:pStyle w:val="17"/>
              <w:snapToGrid w:val="0"/>
              <w:rPr>
                <w:rFonts w:hint="eastAsia"/>
              </w:rPr>
            </w:pPr>
            <w:r>
              <w:rPr>
                <w:rFonts w:hint="eastAsia" w:ascii="宋体" w:hAnsi="宋体" w:eastAsia="宋体" w:cs="微软雅黑"/>
              </w:rPr>
              <w:t>全过程防作弊体系</w:t>
            </w:r>
          </w:p>
        </w:tc>
        <w:tc>
          <w:tcPr>
            <w:tcW w:w="2440" w:type="pct"/>
            <w:vAlign w:val="center"/>
          </w:tcPr>
          <w:p w14:paraId="264C918F">
            <w:pPr>
              <w:pStyle w:val="17"/>
              <w:snapToGrid w:val="0"/>
              <w:rPr>
                <w:rFonts w:hint="eastAsia"/>
              </w:rPr>
            </w:pPr>
            <w:r>
              <w:rPr>
                <w:rFonts w:hint="eastAsia" w:ascii="宋体" w:hAnsi="宋体" w:eastAsia="宋体" w:cs="微软雅黑"/>
              </w:rPr>
              <w:t>支持平时学习真实性管理、在线考试过程监管、考试过程记录与异常行为留痕等功能</w:t>
            </w:r>
          </w:p>
        </w:tc>
      </w:tr>
      <w:tr w14:paraId="4370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9C54A2E">
            <w:pPr>
              <w:pStyle w:val="17"/>
              <w:snapToGrid w:val="0"/>
              <w:jc w:val="center"/>
              <w:rPr>
                <w:rFonts w:hint="eastAsia"/>
              </w:rPr>
            </w:pPr>
            <w:r>
              <w:rPr>
                <w:rFonts w:hint="eastAsia" w:ascii="宋体" w:hAnsi="宋体" w:eastAsia="宋体" w:cs="微软雅黑"/>
              </w:rPr>
              <w:t>25</w:t>
            </w:r>
          </w:p>
        </w:tc>
        <w:tc>
          <w:tcPr>
            <w:tcW w:w="913" w:type="pct"/>
            <w:vMerge w:val="continue"/>
            <w:vAlign w:val="center"/>
          </w:tcPr>
          <w:p w14:paraId="78CC0871">
            <w:pPr>
              <w:pStyle w:val="17"/>
              <w:snapToGrid w:val="0"/>
              <w:jc w:val="center"/>
              <w:rPr>
                <w:rFonts w:hint="eastAsia"/>
              </w:rPr>
            </w:pPr>
          </w:p>
        </w:tc>
        <w:tc>
          <w:tcPr>
            <w:tcW w:w="1196" w:type="pct"/>
            <w:vAlign w:val="center"/>
          </w:tcPr>
          <w:p w14:paraId="105F70E9">
            <w:pPr>
              <w:pStyle w:val="17"/>
              <w:snapToGrid w:val="0"/>
              <w:rPr>
                <w:rFonts w:hint="eastAsia"/>
              </w:rPr>
            </w:pPr>
            <w:r>
              <w:rPr>
                <w:rFonts w:hint="eastAsia" w:ascii="宋体" w:hAnsi="宋体" w:eastAsia="宋体" w:cs="微软雅黑"/>
              </w:rPr>
              <w:t>线上阅卷</w:t>
            </w:r>
          </w:p>
        </w:tc>
        <w:tc>
          <w:tcPr>
            <w:tcW w:w="2440" w:type="pct"/>
            <w:vAlign w:val="center"/>
          </w:tcPr>
          <w:p w14:paraId="2AB9C70E">
            <w:pPr>
              <w:pStyle w:val="17"/>
              <w:snapToGrid w:val="0"/>
              <w:rPr>
                <w:rFonts w:hint="eastAsia"/>
              </w:rPr>
            </w:pPr>
            <w:r>
              <w:rPr>
                <w:rFonts w:hint="eastAsia" w:ascii="宋体" w:hAnsi="宋体" w:eastAsia="宋体" w:cs="微软雅黑"/>
              </w:rPr>
              <w:t>支持客观题自动批阅、主观题流水阅卷和AI辅助批阅等功能</w:t>
            </w:r>
          </w:p>
        </w:tc>
      </w:tr>
      <w:tr w14:paraId="0968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207D280F">
            <w:pPr>
              <w:pStyle w:val="17"/>
              <w:snapToGrid w:val="0"/>
              <w:jc w:val="center"/>
              <w:rPr>
                <w:rFonts w:hint="eastAsia"/>
              </w:rPr>
            </w:pPr>
            <w:r>
              <w:rPr>
                <w:rFonts w:hint="eastAsia" w:ascii="宋体" w:hAnsi="宋体" w:eastAsia="宋体" w:cs="微软雅黑"/>
              </w:rPr>
              <w:t>26</w:t>
            </w:r>
          </w:p>
        </w:tc>
        <w:tc>
          <w:tcPr>
            <w:tcW w:w="913" w:type="pct"/>
            <w:vMerge w:val="continue"/>
            <w:vAlign w:val="center"/>
          </w:tcPr>
          <w:p w14:paraId="3425B52F">
            <w:pPr>
              <w:pStyle w:val="17"/>
              <w:snapToGrid w:val="0"/>
              <w:jc w:val="center"/>
              <w:rPr>
                <w:rFonts w:hint="eastAsia"/>
              </w:rPr>
            </w:pPr>
          </w:p>
        </w:tc>
        <w:tc>
          <w:tcPr>
            <w:tcW w:w="1196" w:type="pct"/>
            <w:vAlign w:val="center"/>
          </w:tcPr>
          <w:p w14:paraId="5C0668AF">
            <w:pPr>
              <w:pStyle w:val="17"/>
              <w:snapToGrid w:val="0"/>
              <w:rPr>
                <w:rFonts w:hint="eastAsia"/>
              </w:rPr>
            </w:pPr>
            <w:r>
              <w:rPr>
                <w:rFonts w:hint="eastAsia" w:ascii="宋体" w:hAnsi="宋体" w:eastAsia="宋体" w:cs="微软雅黑"/>
              </w:rPr>
              <w:t>教学分析</w:t>
            </w:r>
          </w:p>
        </w:tc>
        <w:tc>
          <w:tcPr>
            <w:tcW w:w="2440" w:type="pct"/>
            <w:vAlign w:val="center"/>
          </w:tcPr>
          <w:p w14:paraId="540413A0">
            <w:pPr>
              <w:pStyle w:val="17"/>
              <w:snapToGrid w:val="0"/>
              <w:rPr>
                <w:rFonts w:hint="eastAsia"/>
              </w:rPr>
            </w:pPr>
            <w:r>
              <w:rPr>
                <w:rFonts w:hint="eastAsia" w:ascii="宋体" w:hAnsi="宋体" w:eastAsia="宋体" w:cs="微软雅黑"/>
              </w:rPr>
              <w:t>支持课程目标达成度分析报告、试卷质量分析报告等功能</w:t>
            </w:r>
          </w:p>
        </w:tc>
      </w:tr>
      <w:tr w14:paraId="6633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0F48BC01">
            <w:pPr>
              <w:pStyle w:val="17"/>
              <w:snapToGrid w:val="0"/>
              <w:jc w:val="center"/>
              <w:rPr>
                <w:rFonts w:hint="eastAsia"/>
              </w:rPr>
            </w:pPr>
            <w:r>
              <w:rPr>
                <w:rFonts w:hint="eastAsia" w:ascii="宋体" w:hAnsi="宋体" w:eastAsia="宋体" w:cs="微软雅黑"/>
              </w:rPr>
              <w:t>27</w:t>
            </w:r>
          </w:p>
        </w:tc>
        <w:tc>
          <w:tcPr>
            <w:tcW w:w="913" w:type="pct"/>
            <w:vMerge w:val="restart"/>
            <w:vAlign w:val="center"/>
          </w:tcPr>
          <w:p w14:paraId="5393E8A8">
            <w:pPr>
              <w:pStyle w:val="17"/>
              <w:snapToGrid w:val="0"/>
              <w:jc w:val="center"/>
              <w:rPr>
                <w:rFonts w:hint="eastAsia"/>
              </w:rPr>
            </w:pPr>
            <w:r>
              <w:rPr>
                <w:rFonts w:hint="eastAsia" w:ascii="宋体" w:hAnsi="宋体" w:eastAsia="宋体" w:cs="微软雅黑"/>
              </w:rPr>
              <w:t>管理闭环</w:t>
            </w:r>
            <w:r>
              <w:rPr>
                <w:rFonts w:ascii="宋体" w:hAnsi="宋体" w:eastAsia="宋体" w:cs="微软雅黑"/>
              </w:rPr>
              <w:br w:type="textWrapping"/>
            </w:r>
            <w:r>
              <w:rPr>
                <w:rFonts w:hint="eastAsia" w:ascii="宋体" w:hAnsi="宋体" w:eastAsia="宋体" w:cs="微软雅黑"/>
              </w:rPr>
              <w:t>子系统</w:t>
            </w:r>
          </w:p>
        </w:tc>
        <w:tc>
          <w:tcPr>
            <w:tcW w:w="1196" w:type="pct"/>
            <w:vAlign w:val="center"/>
          </w:tcPr>
          <w:p w14:paraId="047BB033">
            <w:pPr>
              <w:pStyle w:val="17"/>
              <w:snapToGrid w:val="0"/>
              <w:rPr>
                <w:rFonts w:hint="eastAsia"/>
              </w:rPr>
            </w:pPr>
            <w:r>
              <w:rPr>
                <w:rFonts w:hint="eastAsia" w:ascii="宋体" w:hAnsi="宋体" w:eastAsia="宋体" w:cs="微软雅黑"/>
              </w:rPr>
              <w:t>AI数字督导</w:t>
            </w:r>
          </w:p>
        </w:tc>
        <w:tc>
          <w:tcPr>
            <w:tcW w:w="2440" w:type="pct"/>
            <w:vAlign w:val="center"/>
          </w:tcPr>
          <w:p w14:paraId="6909EB83">
            <w:pPr>
              <w:pStyle w:val="17"/>
              <w:snapToGrid w:val="0"/>
              <w:rPr>
                <w:rFonts w:hint="eastAsia"/>
              </w:rPr>
            </w:pPr>
            <w:r>
              <w:rPr>
                <w:rFonts w:hint="eastAsia" w:ascii="宋体" w:hAnsi="宋体" w:eastAsia="宋体" w:cs="微软雅黑"/>
              </w:rPr>
              <w:t>支持对接校内巡课系统、课堂质量分析等功能</w:t>
            </w:r>
          </w:p>
        </w:tc>
      </w:tr>
      <w:tr w14:paraId="1DB58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 w:type="pct"/>
            <w:vAlign w:val="center"/>
          </w:tcPr>
          <w:p w14:paraId="3AF431ED">
            <w:pPr>
              <w:pStyle w:val="17"/>
              <w:snapToGrid w:val="0"/>
              <w:jc w:val="center"/>
              <w:rPr>
                <w:rFonts w:hint="eastAsia"/>
              </w:rPr>
            </w:pPr>
            <w:r>
              <w:rPr>
                <w:rFonts w:hint="eastAsia" w:ascii="宋体" w:hAnsi="宋体" w:eastAsia="宋体" w:cs="微软雅黑"/>
              </w:rPr>
              <w:t>28</w:t>
            </w:r>
          </w:p>
        </w:tc>
        <w:tc>
          <w:tcPr>
            <w:tcW w:w="913" w:type="pct"/>
            <w:vMerge w:val="continue"/>
            <w:vAlign w:val="center"/>
          </w:tcPr>
          <w:p w14:paraId="316EA44C">
            <w:pPr>
              <w:pStyle w:val="17"/>
              <w:snapToGrid w:val="0"/>
              <w:jc w:val="center"/>
              <w:rPr>
                <w:rFonts w:hint="eastAsia"/>
              </w:rPr>
            </w:pPr>
          </w:p>
        </w:tc>
        <w:tc>
          <w:tcPr>
            <w:tcW w:w="1196" w:type="pct"/>
            <w:vAlign w:val="center"/>
          </w:tcPr>
          <w:p w14:paraId="018A3729">
            <w:pPr>
              <w:pStyle w:val="17"/>
              <w:snapToGrid w:val="0"/>
              <w:rPr>
                <w:rFonts w:hint="eastAsia"/>
              </w:rPr>
            </w:pPr>
            <w:r>
              <w:rPr>
                <w:rFonts w:hint="eastAsia" w:ascii="宋体" w:hAnsi="宋体" w:eastAsia="宋体" w:cs="微软雅黑"/>
              </w:rPr>
              <w:t>认证助手</w:t>
            </w:r>
          </w:p>
        </w:tc>
        <w:tc>
          <w:tcPr>
            <w:tcW w:w="2440" w:type="pct"/>
            <w:vAlign w:val="center"/>
          </w:tcPr>
          <w:p w14:paraId="7E1440E7">
            <w:pPr>
              <w:pStyle w:val="17"/>
              <w:snapToGrid w:val="0"/>
              <w:rPr>
                <w:rFonts w:hint="eastAsia"/>
              </w:rPr>
            </w:pPr>
            <w:r>
              <w:rPr>
                <w:rFonts w:hint="eastAsia" w:ascii="宋体" w:hAnsi="宋体" w:eastAsia="宋体" w:cs="微软雅黑"/>
              </w:rPr>
              <w:t>支持工程认证数据自动抓取、达成度自动计算与报告输出等功能</w:t>
            </w:r>
          </w:p>
        </w:tc>
      </w:tr>
      <w:tr w14:paraId="50B3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1" w:type="pct"/>
            <w:vAlign w:val="center"/>
          </w:tcPr>
          <w:p w14:paraId="55D24EB1">
            <w:pPr>
              <w:pStyle w:val="17"/>
              <w:snapToGrid w:val="0"/>
              <w:jc w:val="center"/>
              <w:rPr>
                <w:rFonts w:hint="eastAsia"/>
              </w:rPr>
            </w:pPr>
            <w:r>
              <w:rPr>
                <w:rFonts w:hint="eastAsia" w:ascii="宋体" w:hAnsi="宋体" w:eastAsia="宋体" w:cs="微软雅黑"/>
              </w:rPr>
              <w:t>29</w:t>
            </w:r>
          </w:p>
        </w:tc>
        <w:tc>
          <w:tcPr>
            <w:tcW w:w="913" w:type="pct"/>
            <w:vMerge w:val="continue"/>
            <w:vAlign w:val="center"/>
          </w:tcPr>
          <w:p w14:paraId="1EBE5032">
            <w:pPr>
              <w:pStyle w:val="17"/>
              <w:snapToGrid w:val="0"/>
              <w:jc w:val="center"/>
              <w:rPr>
                <w:rFonts w:hint="eastAsia"/>
              </w:rPr>
            </w:pPr>
          </w:p>
        </w:tc>
        <w:tc>
          <w:tcPr>
            <w:tcW w:w="1196" w:type="pct"/>
            <w:vAlign w:val="center"/>
          </w:tcPr>
          <w:p w14:paraId="622D93D4">
            <w:pPr>
              <w:pStyle w:val="17"/>
              <w:snapToGrid w:val="0"/>
              <w:rPr>
                <w:rFonts w:hint="eastAsia"/>
              </w:rPr>
            </w:pPr>
            <w:r>
              <w:rPr>
                <w:rFonts w:hint="eastAsia" w:ascii="宋体" w:hAnsi="宋体" w:eastAsia="宋体" w:cs="微软雅黑"/>
              </w:rPr>
              <w:t>持续改进</w:t>
            </w:r>
          </w:p>
        </w:tc>
        <w:tc>
          <w:tcPr>
            <w:tcW w:w="2440" w:type="pct"/>
            <w:vAlign w:val="center"/>
          </w:tcPr>
          <w:p w14:paraId="314AE5E7">
            <w:pPr>
              <w:pStyle w:val="17"/>
              <w:snapToGrid w:val="0"/>
              <w:rPr>
                <w:rFonts w:hint="eastAsia"/>
              </w:rPr>
            </w:pPr>
            <w:r>
              <w:rPr>
                <w:rFonts w:hint="eastAsia" w:ascii="宋体" w:hAnsi="宋体" w:eastAsia="宋体" w:cs="微软雅黑"/>
              </w:rPr>
              <w:t>支持教学质量数据汇聚与仪表盘展示、质量报告自动生成等功能</w:t>
            </w:r>
          </w:p>
        </w:tc>
      </w:tr>
    </w:tbl>
    <w:p w14:paraId="4EE5D92D">
      <w:pPr>
        <w:rPr>
          <w:rFonts w:hint="eastAsia"/>
        </w:rPr>
      </w:pPr>
    </w:p>
    <w:p w14:paraId="1CEF9B36">
      <w:pPr>
        <w:rPr>
          <w:rFonts w:hint="eastAsia"/>
        </w:rPr>
      </w:pPr>
      <w:r>
        <w:rPr>
          <w:rFonts w:hint="eastAsia"/>
        </w:rPr>
        <w:t>3.3 技术指标要求</w:t>
      </w:r>
    </w:p>
    <w:tbl>
      <w:tblPr>
        <w:tblStyle w:val="19"/>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550"/>
        <w:gridCol w:w="6260"/>
      </w:tblGrid>
      <w:tr w14:paraId="51887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blHeader/>
          <w:jc w:val="center"/>
        </w:trPr>
        <w:tc>
          <w:tcPr>
            <w:tcW w:w="760" w:type="dxa"/>
            <w:tcMar>
              <w:top w:w="80" w:type="dxa"/>
              <w:left w:w="90" w:type="dxa"/>
              <w:bottom w:w="80" w:type="dxa"/>
              <w:right w:w="90" w:type="dxa"/>
            </w:tcMar>
            <w:vAlign w:val="center"/>
          </w:tcPr>
          <w:p w14:paraId="70AB11D9">
            <w:pPr>
              <w:jc w:val="center"/>
              <w:rPr>
                <w:rFonts w:hint="eastAsia"/>
              </w:rPr>
            </w:pPr>
            <w:r>
              <w:rPr>
                <w:b/>
              </w:rPr>
              <w:t>序号</w:t>
            </w:r>
          </w:p>
        </w:tc>
        <w:tc>
          <w:tcPr>
            <w:tcW w:w="1550" w:type="dxa"/>
            <w:tcMar>
              <w:top w:w="80" w:type="dxa"/>
              <w:left w:w="90" w:type="dxa"/>
              <w:bottom w:w="80" w:type="dxa"/>
              <w:right w:w="90" w:type="dxa"/>
            </w:tcMar>
            <w:vAlign w:val="center"/>
          </w:tcPr>
          <w:p w14:paraId="65C22E59">
            <w:pPr>
              <w:jc w:val="center"/>
              <w:rPr>
                <w:rFonts w:hint="eastAsia"/>
              </w:rPr>
            </w:pPr>
            <w:r>
              <w:rPr>
                <w:b/>
              </w:rPr>
              <w:t>内容</w:t>
            </w:r>
          </w:p>
        </w:tc>
        <w:tc>
          <w:tcPr>
            <w:tcW w:w="6260" w:type="dxa"/>
            <w:tcMar>
              <w:top w:w="80" w:type="dxa"/>
              <w:left w:w="90" w:type="dxa"/>
              <w:bottom w:w="80" w:type="dxa"/>
              <w:right w:w="90" w:type="dxa"/>
            </w:tcMar>
            <w:vAlign w:val="center"/>
          </w:tcPr>
          <w:p w14:paraId="1479E31C">
            <w:pPr>
              <w:jc w:val="center"/>
              <w:rPr>
                <w:rFonts w:hint="eastAsia"/>
              </w:rPr>
            </w:pPr>
            <w:r>
              <w:rPr>
                <w:b/>
              </w:rPr>
              <w:t>技 术 指 标</w:t>
            </w:r>
          </w:p>
        </w:tc>
      </w:tr>
      <w:tr w14:paraId="0124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2FC6503A">
            <w:pPr>
              <w:jc w:val="center"/>
              <w:rPr>
                <w:rFonts w:hint="eastAsia"/>
              </w:rPr>
            </w:pPr>
            <w:r>
              <w:rPr>
                <w:sz w:val="20"/>
              </w:rPr>
              <w:t>1</w:t>
            </w:r>
          </w:p>
        </w:tc>
        <w:tc>
          <w:tcPr>
            <w:tcW w:w="1550" w:type="dxa"/>
            <w:tcMar>
              <w:top w:w="80" w:type="dxa"/>
              <w:left w:w="90" w:type="dxa"/>
              <w:bottom w:w="80" w:type="dxa"/>
              <w:right w:w="90" w:type="dxa"/>
            </w:tcMar>
            <w:vAlign w:val="center"/>
          </w:tcPr>
          <w:p w14:paraId="588825B9">
            <w:pPr>
              <w:spacing w:line="276" w:lineRule="auto"/>
              <w:jc w:val="center"/>
              <w:rPr>
                <w:rFonts w:hint="eastAsia"/>
              </w:rPr>
            </w:pPr>
            <w:r>
              <w:rPr>
                <w:b/>
                <w:sz w:val="20"/>
              </w:rPr>
              <w:t>系统总体要求</w:t>
            </w:r>
          </w:p>
        </w:tc>
        <w:tc>
          <w:tcPr>
            <w:tcW w:w="6260" w:type="dxa"/>
            <w:tcMar>
              <w:top w:w="70" w:type="dxa"/>
              <w:left w:w="80" w:type="dxa"/>
              <w:bottom w:w="70" w:type="dxa"/>
              <w:right w:w="80" w:type="dxa"/>
            </w:tcMar>
          </w:tcPr>
          <w:p w14:paraId="1E27C978">
            <w:pPr>
              <w:spacing w:line="276" w:lineRule="auto"/>
              <w:rPr>
                <w:rFonts w:hint="eastAsia"/>
              </w:rPr>
            </w:pPr>
            <w:r>
              <w:rPr>
                <w:sz w:val="19"/>
              </w:rPr>
              <w:t>（1）系统应采用B/S、微服务架构设计，支持PC端、移动端及智慧教室终端访问，满足教师、学生、学院管理者及校级管理者等多角色协同使用需求。</w:t>
            </w:r>
          </w:p>
          <w:p w14:paraId="0A0F642C">
            <w:pPr>
              <w:spacing w:line="276" w:lineRule="auto"/>
              <w:rPr>
                <w:rFonts w:hint="eastAsia"/>
              </w:rPr>
            </w:pPr>
            <w:r>
              <w:rPr>
                <w:sz w:val="19"/>
              </w:rPr>
              <w:t>（2）系统应具备统一身份认证、角色权限管理、接口鉴权、日志审计、数据备份及业务连续性保障机制，满足学校网络安全和数据安全管理要求。</w:t>
            </w:r>
          </w:p>
          <w:p w14:paraId="64BC6483">
            <w:pPr>
              <w:spacing w:line="276" w:lineRule="auto"/>
              <w:rPr>
                <w:rFonts w:hint="eastAsia"/>
              </w:rPr>
            </w:pPr>
            <w:r>
              <w:rPr>
                <w:sz w:val="19"/>
              </w:rPr>
              <w:t>（3）系统应支持与学校教务系统、学生系统、一卡通系统等业务系统进行对接，支持API、数据交换、中间库或消息订阅等集成方式。</w:t>
            </w:r>
          </w:p>
          <w:p w14:paraId="0BFBBFB7">
            <w:pPr>
              <w:spacing w:line="276" w:lineRule="auto"/>
              <w:rPr>
                <w:rFonts w:hint="eastAsia"/>
              </w:rPr>
            </w:pPr>
            <w:r>
              <w:rPr>
                <w:sz w:val="19"/>
              </w:rPr>
              <w:t>（4）系统应支持云端部署，并可根据学校现有信息化基础、数据安全要求和校内资源条件采用</w:t>
            </w:r>
            <w:r>
              <w:rPr>
                <w:rFonts w:hint="eastAsia"/>
                <w:sz w:val="19"/>
              </w:rPr>
              <w:t>本地</w:t>
            </w:r>
            <w:r>
              <w:rPr>
                <w:sz w:val="19"/>
              </w:rPr>
              <w:t>部署</w:t>
            </w:r>
            <w:r>
              <w:rPr>
                <w:rFonts w:hint="eastAsia"/>
                <w:sz w:val="19"/>
              </w:rPr>
              <w:t>或混合部署</w:t>
            </w:r>
            <w:r>
              <w:rPr>
                <w:sz w:val="19"/>
              </w:rPr>
              <w:t>方式。具体部署架构经采购人确认后实施。系统应具备稳定运行、横向扩展、数据安全防护和后续功能迭代能力，并支持通过可视化管理后台配置应用栏目、功能权限与页面布局。</w:t>
            </w:r>
          </w:p>
        </w:tc>
      </w:tr>
      <w:tr w14:paraId="2C029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54EBCA9D">
            <w:pPr>
              <w:jc w:val="center"/>
              <w:rPr>
                <w:rFonts w:hint="eastAsia"/>
              </w:rPr>
            </w:pPr>
            <w:r>
              <w:rPr>
                <w:sz w:val="19"/>
              </w:rPr>
              <w:t>2</w:t>
            </w:r>
          </w:p>
        </w:tc>
        <w:tc>
          <w:tcPr>
            <w:tcW w:w="1550" w:type="dxa"/>
            <w:tcMar>
              <w:top w:w="80" w:type="dxa"/>
              <w:left w:w="90" w:type="dxa"/>
              <w:bottom w:w="80" w:type="dxa"/>
              <w:right w:w="90" w:type="dxa"/>
            </w:tcMar>
            <w:vAlign w:val="center"/>
          </w:tcPr>
          <w:p w14:paraId="48E38F88">
            <w:pPr>
              <w:jc w:val="center"/>
              <w:rPr>
                <w:rFonts w:hint="eastAsia"/>
              </w:rPr>
            </w:pPr>
            <w:r>
              <w:rPr>
                <w:rFonts w:hint="eastAsia"/>
              </w:rPr>
              <w:t>顶层治理</w:t>
            </w:r>
          </w:p>
          <w:p w14:paraId="1B950D20">
            <w:pPr>
              <w:jc w:val="center"/>
              <w:rPr>
                <w:rFonts w:hint="eastAsia"/>
              </w:rPr>
            </w:pPr>
            <w:r>
              <w:rPr>
                <w:rFonts w:hint="eastAsia"/>
              </w:rPr>
              <w:t>子系统</w:t>
            </w:r>
          </w:p>
        </w:tc>
        <w:tc>
          <w:tcPr>
            <w:tcW w:w="6260" w:type="dxa"/>
            <w:tcMar>
              <w:top w:w="70" w:type="dxa"/>
              <w:left w:w="80" w:type="dxa"/>
              <w:bottom w:w="70" w:type="dxa"/>
              <w:right w:w="80" w:type="dxa"/>
            </w:tcMar>
          </w:tcPr>
          <w:p w14:paraId="7939EBAD">
            <w:pPr>
              <w:spacing w:before="40" w:after="20" w:line="264" w:lineRule="auto"/>
              <w:rPr>
                <w:rFonts w:hint="eastAsia"/>
              </w:rPr>
            </w:pPr>
            <w:r>
              <w:rPr>
                <w:b/>
                <w:sz w:val="19"/>
              </w:rPr>
              <w:t>2.1 招生分析</w:t>
            </w:r>
          </w:p>
          <w:p w14:paraId="699276E2">
            <w:pPr>
              <w:spacing w:line="276" w:lineRule="auto"/>
              <w:rPr>
                <w:rFonts w:hint="eastAsia"/>
              </w:rPr>
            </w:pPr>
            <w:r>
              <w:rPr>
                <w:sz w:val="19"/>
              </w:rPr>
              <w:t>（1）支持生源质量画像。支持分析不同生源地、毕业高中学生入校后的绩点、竞赛获奖和成长表现，支持形成招生质量分析结果。</w:t>
            </w:r>
          </w:p>
          <w:p w14:paraId="4282A80F">
            <w:pPr>
              <w:spacing w:line="276" w:lineRule="auto"/>
              <w:rPr>
                <w:rFonts w:hint="eastAsia"/>
              </w:rPr>
            </w:pPr>
            <w:r>
              <w:rPr>
                <w:sz w:val="19"/>
              </w:rPr>
              <w:t>（2）支持专业吸引力辅助分析。支持基于专业关联岗位的招聘数据，对岗位需求量、薪资水平及岗位分布等指标进行统计分析，形成专业热度趋势参考，为学校优化招生计划和专业建设方向提供数据支撑。</w:t>
            </w:r>
          </w:p>
          <w:p w14:paraId="3C25F702">
            <w:pPr>
              <w:spacing w:before="40" w:after="20" w:line="264" w:lineRule="auto"/>
              <w:rPr>
                <w:rFonts w:hint="eastAsia"/>
              </w:rPr>
            </w:pPr>
            <w:r>
              <w:rPr>
                <w:b/>
                <w:sz w:val="19"/>
              </w:rPr>
              <w:t>2.2 培养联动</w:t>
            </w:r>
          </w:p>
          <w:p w14:paraId="15601D67">
            <w:pPr>
              <w:spacing w:line="276" w:lineRule="auto"/>
              <w:rPr>
                <w:rFonts w:hint="eastAsia"/>
              </w:rPr>
            </w:pPr>
            <w:r>
              <w:rPr>
                <w:sz w:val="19"/>
              </w:rPr>
              <w:t>（1）支持教学资源供给预测。支持结合专业招生规模、在校生规模、课程开设计划及师资配比等数据，对师资、教室等教学资源缺口进行测算与预警。</w:t>
            </w:r>
          </w:p>
          <w:p w14:paraId="772AF21D">
            <w:pPr>
              <w:spacing w:line="276" w:lineRule="auto"/>
              <w:rPr>
                <w:rFonts w:hint="eastAsia"/>
              </w:rPr>
            </w:pPr>
            <w:r>
              <w:rPr>
                <w:sz w:val="19"/>
              </w:rPr>
              <w:t>（2）支持学业风险识别与教学过程预警。支持按时间范围、课程、班级、教师、学生等维度开展筛选，支持基于签到率、缺勤节次、作业成绩、测验成绩、任务完成情况等指标设置预警规则。</w:t>
            </w:r>
          </w:p>
          <w:p w14:paraId="5E73BB65">
            <w:pPr>
              <w:spacing w:line="276" w:lineRule="auto"/>
              <w:rPr>
                <w:rFonts w:hint="eastAsia"/>
              </w:rPr>
            </w:pPr>
            <w:r>
              <w:rPr>
                <w:sz w:val="19"/>
              </w:rPr>
              <w:t>（3）支持预警结果分类应用。学生维度预警用于辅助辅导员识别学业困难、长期缺勤及学习任务完成异常学生；课程班级维度预警用于辅助任课教师掌握班级学习异常情况并调整教学安排。</w:t>
            </w:r>
          </w:p>
          <w:p w14:paraId="1F979292">
            <w:pPr>
              <w:spacing w:line="276" w:lineRule="auto"/>
              <w:rPr>
                <w:rFonts w:hint="eastAsia"/>
              </w:rPr>
            </w:pPr>
            <w:r>
              <w:rPr>
                <w:sz w:val="19"/>
              </w:rPr>
              <w:t>（4）支持专业建设数据分析。支持从学分、课程目标、知识点等维度分析课程相似度和指标重复度，支持从毕业要求、毕业要求指标点、课程、课程目标等维度开展专业对比分析。</w:t>
            </w:r>
          </w:p>
          <w:p w14:paraId="002B92E2">
            <w:pPr>
              <w:spacing w:line="276" w:lineRule="auto"/>
              <w:rPr>
                <w:rFonts w:hint="eastAsia"/>
              </w:rPr>
            </w:pPr>
            <w:r>
              <w:rPr>
                <w:sz w:val="19"/>
              </w:rPr>
              <w:t>（5）支持专业负责人专属工作台。支持将专业建设总览、AI工作台、专业调研、专业建设、教学运行、专业达成等模块进行集中展示，并可汇总查看岗位能力模型、人培方案、校本调研资料库等专业建设资料。</w:t>
            </w:r>
          </w:p>
          <w:p w14:paraId="3FD87113">
            <w:pPr>
              <w:spacing w:before="40" w:after="20" w:line="264" w:lineRule="auto"/>
              <w:rPr>
                <w:rFonts w:hint="eastAsia"/>
              </w:rPr>
            </w:pPr>
            <w:r>
              <w:rPr>
                <w:b/>
                <w:sz w:val="19"/>
              </w:rPr>
              <w:t>2.3 就业反馈</w:t>
            </w:r>
          </w:p>
          <w:p w14:paraId="05DB422E">
            <w:pPr>
              <w:spacing w:line="276" w:lineRule="auto"/>
              <w:rPr>
                <w:rFonts w:hint="eastAsia"/>
              </w:rPr>
            </w:pPr>
            <w:r>
              <w:rPr>
                <w:sz w:val="19"/>
              </w:rPr>
              <w:t>（1）支持培养方案调整影响辅助分析，支持基于岗位能力要求及专业培养目标、专业知识点等数据，分析培养方案调整对就业岗位匹配和升学备考覆盖情况的影响。</w:t>
            </w:r>
          </w:p>
          <w:p w14:paraId="45BD1F27">
            <w:pPr>
              <w:spacing w:line="276" w:lineRule="auto"/>
              <w:rPr>
                <w:rFonts w:hint="eastAsia"/>
              </w:rPr>
            </w:pPr>
            <w:r>
              <w:rPr>
                <w:sz w:val="19"/>
              </w:rPr>
              <w:t>（2）支持就业岗位匹配分析，支持将学生能力图谱与就业岗位能力要求进行匹配，形成岗位适配度分析结果，为就业指导、企业推荐和学生就业服务提供参考。</w:t>
            </w:r>
          </w:p>
          <w:p w14:paraId="7663374D">
            <w:pPr>
              <w:spacing w:line="276" w:lineRule="auto"/>
              <w:rPr>
                <w:rFonts w:hint="eastAsia"/>
              </w:rPr>
            </w:pPr>
            <w:r>
              <w:rPr>
                <w:sz w:val="19"/>
              </w:rPr>
              <w:t>（3）支持专业动态调整辅助分析，支持结合就业率、薪资水平、专业相关度、岗位需求变化及培养目标达成情况，形成专业建设、招生规模调整及培养方向优化的分析参考。</w:t>
            </w:r>
          </w:p>
        </w:tc>
      </w:tr>
      <w:tr w14:paraId="34FD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6B54DBF9">
            <w:pPr>
              <w:jc w:val="center"/>
              <w:rPr>
                <w:rFonts w:hint="eastAsia"/>
              </w:rPr>
            </w:pPr>
            <w:r>
              <w:rPr>
                <w:sz w:val="19"/>
              </w:rPr>
              <w:t>3</w:t>
            </w:r>
          </w:p>
        </w:tc>
        <w:tc>
          <w:tcPr>
            <w:tcW w:w="1550" w:type="dxa"/>
            <w:tcMar>
              <w:top w:w="80" w:type="dxa"/>
              <w:left w:w="90" w:type="dxa"/>
              <w:bottom w:w="80" w:type="dxa"/>
              <w:right w:w="90" w:type="dxa"/>
            </w:tcMar>
            <w:vAlign w:val="center"/>
          </w:tcPr>
          <w:p w14:paraId="7350BBAC">
            <w:pPr>
              <w:jc w:val="center"/>
              <w:rPr>
                <w:rFonts w:hint="eastAsia"/>
                <w:sz w:val="19"/>
              </w:rPr>
            </w:pPr>
            <w:r>
              <w:rPr>
                <w:rFonts w:hint="eastAsia"/>
                <w:sz w:val="19"/>
              </w:rPr>
              <w:t>底层支撑</w:t>
            </w:r>
          </w:p>
          <w:p w14:paraId="40DAEECE">
            <w:pPr>
              <w:jc w:val="center"/>
              <w:rPr>
                <w:rFonts w:hint="eastAsia"/>
              </w:rPr>
            </w:pPr>
            <w:r>
              <w:rPr>
                <w:rFonts w:hint="eastAsia"/>
                <w:sz w:val="19"/>
              </w:rPr>
              <w:t>子系统</w:t>
            </w:r>
          </w:p>
        </w:tc>
        <w:tc>
          <w:tcPr>
            <w:tcW w:w="6260" w:type="dxa"/>
            <w:tcMar>
              <w:top w:w="70" w:type="dxa"/>
              <w:left w:w="80" w:type="dxa"/>
              <w:bottom w:w="70" w:type="dxa"/>
              <w:right w:w="80" w:type="dxa"/>
            </w:tcMar>
          </w:tcPr>
          <w:p w14:paraId="313BE31A">
            <w:pPr>
              <w:spacing w:before="40" w:after="20" w:line="264" w:lineRule="auto"/>
              <w:rPr>
                <w:rFonts w:hint="eastAsia"/>
              </w:rPr>
            </w:pPr>
            <w:r>
              <w:rPr>
                <w:b/>
                <w:sz w:val="19"/>
              </w:rPr>
              <w:t>3.1 校内数据中心</w:t>
            </w:r>
          </w:p>
          <w:p w14:paraId="66B9CDAB">
            <w:pPr>
              <w:spacing w:line="276" w:lineRule="auto"/>
              <w:rPr>
                <w:rFonts w:hint="eastAsia"/>
              </w:rPr>
            </w:pPr>
            <w:r>
              <w:rPr>
                <w:sz w:val="19"/>
              </w:rPr>
              <w:t>（1）支持汇聚全校教、学、管、练、创、招、就等业务数据。支持对教学、学习、管理、训练、创新创业、招生与就业相关数据进行统一接入和集中管理，支持形成覆盖教学全过程的数据资源基础。</w:t>
            </w:r>
          </w:p>
          <w:p w14:paraId="455E7601">
            <w:pPr>
              <w:spacing w:line="276" w:lineRule="auto"/>
              <w:rPr>
                <w:rFonts w:hint="eastAsia"/>
              </w:rPr>
            </w:pPr>
            <w:r>
              <w:rPr>
                <w:sz w:val="19"/>
              </w:rPr>
              <w:t>（2）支持开放接口标准。支持对接教务系统、学生系统、一卡通系统等校内业务系统，支持跨系统数据交换、身份识别、业务数据共享与统一调用，满足智慧教学平台与校内现有系统协同运行要求。</w:t>
            </w:r>
          </w:p>
          <w:p w14:paraId="326F945D">
            <w:pPr>
              <w:spacing w:line="276" w:lineRule="auto"/>
              <w:rPr>
                <w:rFonts w:hint="eastAsia"/>
              </w:rPr>
            </w:pPr>
            <w:r>
              <w:rPr>
                <w:sz w:val="19"/>
              </w:rPr>
              <w:t>（3）支持对接并迁移原有教学平台内容。支持课程资源、章节内容等数据的接入、整理和归并，保障原有教学资源能够在新平台中延续使用。</w:t>
            </w:r>
          </w:p>
          <w:p w14:paraId="6B779786">
            <w:pPr>
              <w:spacing w:before="40" w:after="20" w:line="264" w:lineRule="auto"/>
              <w:rPr>
                <w:rFonts w:hint="eastAsia"/>
              </w:rPr>
            </w:pPr>
            <w:r>
              <w:rPr>
                <w:b/>
                <w:sz w:val="19"/>
              </w:rPr>
              <w:t>3.2 产业数据中心</w:t>
            </w:r>
          </w:p>
          <w:p w14:paraId="779D9575">
            <w:pPr>
              <w:spacing w:line="276" w:lineRule="auto"/>
              <w:rPr>
                <w:rFonts w:hint="eastAsia"/>
              </w:rPr>
            </w:pPr>
            <w:r>
              <w:rPr>
                <w:sz w:val="19"/>
              </w:rPr>
              <w:t>（1）支持岗位画像雷达能力。支持在合法合规、数据可获取的条件下接入或采集专业关联岗位的招聘数据，支持对岗位需求量、岗位分布、薪资水平、技能要求等指标进行统计分析，形成岗位能力画像，为专业建设和培养目标优化提供数据支撑。</w:t>
            </w:r>
          </w:p>
          <w:p w14:paraId="77828BC9">
            <w:pPr>
              <w:spacing w:line="276" w:lineRule="auto"/>
              <w:rPr>
                <w:rFonts w:hint="eastAsia"/>
              </w:rPr>
            </w:pPr>
            <w:r>
              <w:rPr>
                <w:sz w:val="19"/>
              </w:rPr>
              <w:t>（2）支持基于产业岗位能力需求与校内培养方案进行比对分析，形成专业能力差距分析结果，并为培养方案优化、课程体系调整及微专业建设提供辅助参考。</w:t>
            </w:r>
          </w:p>
          <w:p w14:paraId="75A61E6D">
            <w:pPr>
              <w:spacing w:line="276" w:lineRule="auto"/>
              <w:rPr>
                <w:rFonts w:hint="eastAsia"/>
              </w:rPr>
            </w:pPr>
            <w:r>
              <w:rPr>
                <w:sz w:val="19"/>
              </w:rPr>
              <w:t>（3）支持企业真实案例资源入库管理。支持合作企业、企业导师或教师上传产业案例资源，支持案例资源与课程知识点、教学内容建立关联关系，满足产业案例融入课堂教学的应用需求。</w:t>
            </w:r>
          </w:p>
          <w:p w14:paraId="4242FFC0">
            <w:pPr>
              <w:spacing w:before="40" w:after="20" w:line="264" w:lineRule="auto"/>
              <w:rPr>
                <w:rFonts w:hint="eastAsia"/>
              </w:rPr>
            </w:pPr>
            <w:r>
              <w:rPr>
                <w:b/>
                <w:sz w:val="19"/>
              </w:rPr>
              <w:t>3.3 AI核心引擎</w:t>
            </w:r>
          </w:p>
          <w:p w14:paraId="40B70776">
            <w:pPr>
              <w:spacing w:line="276" w:lineRule="auto"/>
              <w:rPr>
                <w:rFonts w:hint="eastAsia"/>
              </w:rPr>
            </w:pPr>
            <w:r>
              <w:rPr>
                <w:sz w:val="19"/>
              </w:rPr>
              <w:t>（1）支持知识图谱引擎能力。支持实体抽取、关系构建和路径规划，支持将专业、课程、知识点及能力要求进行结构化组织，为知识图谱应用提供基础支撑。</w:t>
            </w:r>
          </w:p>
          <w:p w14:paraId="66BEACEA">
            <w:pPr>
              <w:spacing w:line="276" w:lineRule="auto"/>
              <w:rPr>
                <w:rFonts w:hint="eastAsia"/>
              </w:rPr>
            </w:pPr>
            <w:r>
              <w:rPr>
                <w:sz w:val="19"/>
              </w:rPr>
              <w:t>（2）支持大模型能力平台。支持逻辑推理、内容生成、问答交互和文本处理等能力，支持在备课、资源生成、学习辅导和教学分析等场景中进行调用。</w:t>
            </w:r>
          </w:p>
          <w:p w14:paraId="1F942CD4">
            <w:pPr>
              <w:spacing w:line="276" w:lineRule="auto"/>
              <w:rPr>
                <w:rFonts w:hint="eastAsia"/>
              </w:rPr>
            </w:pPr>
            <w:r>
              <w:rPr>
                <w:sz w:val="19"/>
              </w:rPr>
              <w:t>（3）支持AI智能体能力。支持面向教师的AI助教和面向学生的AI学伴应用，支持围绕课程学习、教学答疑、资源推荐和任务辅助等场景开展智能交互服务。</w:t>
            </w:r>
          </w:p>
          <w:p w14:paraId="0CAFE77F">
            <w:pPr>
              <w:spacing w:before="40" w:after="20" w:line="264" w:lineRule="auto"/>
              <w:rPr>
                <w:rFonts w:hint="eastAsia"/>
              </w:rPr>
            </w:pPr>
            <w:r>
              <w:rPr>
                <w:b/>
                <w:sz w:val="19"/>
              </w:rPr>
              <w:t>3.4 专业知识图谱生成</w:t>
            </w:r>
          </w:p>
          <w:p w14:paraId="13CA3C99">
            <w:pPr>
              <w:spacing w:line="276" w:lineRule="auto"/>
              <w:rPr>
                <w:rFonts w:hint="eastAsia"/>
              </w:rPr>
            </w:pPr>
            <w:r>
              <w:rPr>
                <w:sz w:val="19"/>
              </w:rPr>
              <w:t>（1）支持基于产业岗位能力要求。辅助构建专业能力图谱、课程体系图谱及课程知识图谱，支持形成产业需求、岗位能力、专业培养目标之间的结构化关联，为数字化人才培养方案建设提供支撑。</w:t>
            </w:r>
          </w:p>
          <w:p w14:paraId="17C83AC1">
            <w:pPr>
              <w:spacing w:line="276" w:lineRule="auto"/>
              <w:rPr>
                <w:rFonts w:hint="eastAsia"/>
              </w:rPr>
            </w:pPr>
            <w:r>
              <w:rPr>
                <w:sz w:val="19"/>
              </w:rPr>
              <w:t>（2）支持建立岗位能力需求。专业或微专业培养目标、专业知识点、课程目标之间的递进关系，支持形成专业培养目标、专业知识点、课程目标之间逐层关联的关系，并为人才培养方案编制与优化提供数据化支撑。</w:t>
            </w:r>
          </w:p>
          <w:p w14:paraId="1CB5695A">
            <w:pPr>
              <w:spacing w:line="276" w:lineRule="auto"/>
              <w:rPr>
                <w:rFonts w:hint="eastAsia"/>
              </w:rPr>
            </w:pPr>
            <w:r>
              <w:rPr>
                <w:sz w:val="19"/>
              </w:rPr>
              <w:t>（3）支持学习地图生成。支持根据课程知识点前后置关系生成类似“地铁线路式”的学习路径图，支持学生查看学习顺序、知识关联和后续学习方向。</w:t>
            </w:r>
          </w:p>
          <w:p w14:paraId="5AFD20E9">
            <w:pPr>
              <w:spacing w:line="276" w:lineRule="auto"/>
              <w:rPr>
                <w:rFonts w:hint="eastAsia"/>
              </w:rPr>
            </w:pPr>
            <w:r>
              <w:rPr>
                <w:sz w:val="19"/>
              </w:rPr>
              <w:t>（4）支持人才培养方案在线管理。支持培养方案修订任务创建、下发和负责人分配，支持在线编辑、导入解析、智能粘贴识别和结构化组件管理，支持培养目标、毕业要求、指标点、课程支撑矩阵、教学计划、学时学分统计等内容维护及自动计算。</w:t>
            </w:r>
          </w:p>
          <w:p w14:paraId="504CA0B9">
            <w:pPr>
              <w:spacing w:line="276" w:lineRule="auto"/>
              <w:rPr>
                <w:rFonts w:hint="eastAsia"/>
              </w:rPr>
            </w:pPr>
            <w:r>
              <w:rPr>
                <w:sz w:val="19"/>
              </w:rPr>
              <w:t>（5）支持专业课程体系图谱展示。支持查看专业各学期开设课程情况及课程之间的先修后继关系，辅助呈现专业课程体系建设成果。</w:t>
            </w:r>
          </w:p>
        </w:tc>
      </w:tr>
      <w:tr w14:paraId="6722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2121AD60">
            <w:pPr>
              <w:jc w:val="center"/>
              <w:rPr>
                <w:rFonts w:hint="eastAsia"/>
              </w:rPr>
            </w:pPr>
            <w:r>
              <w:rPr>
                <w:sz w:val="19"/>
              </w:rPr>
              <w:t>4</w:t>
            </w:r>
          </w:p>
        </w:tc>
        <w:tc>
          <w:tcPr>
            <w:tcW w:w="1550" w:type="dxa"/>
            <w:tcMar>
              <w:top w:w="80" w:type="dxa"/>
              <w:left w:w="90" w:type="dxa"/>
              <w:bottom w:w="80" w:type="dxa"/>
              <w:right w:w="90" w:type="dxa"/>
            </w:tcMar>
            <w:vAlign w:val="center"/>
          </w:tcPr>
          <w:p w14:paraId="673B0413">
            <w:pPr>
              <w:jc w:val="center"/>
              <w:rPr>
                <w:rFonts w:hint="eastAsia"/>
                <w:sz w:val="19"/>
              </w:rPr>
            </w:pPr>
            <w:r>
              <w:rPr>
                <w:rFonts w:hint="eastAsia"/>
                <w:sz w:val="19"/>
              </w:rPr>
              <w:t>课前准备</w:t>
            </w:r>
          </w:p>
          <w:p w14:paraId="0738F74E">
            <w:pPr>
              <w:jc w:val="center"/>
              <w:rPr>
                <w:rFonts w:hint="eastAsia"/>
              </w:rPr>
            </w:pPr>
            <w:r>
              <w:rPr>
                <w:rFonts w:hint="eastAsia"/>
                <w:sz w:val="19"/>
              </w:rPr>
              <w:t>子系统</w:t>
            </w:r>
          </w:p>
        </w:tc>
        <w:tc>
          <w:tcPr>
            <w:tcW w:w="6260" w:type="dxa"/>
            <w:tcMar>
              <w:top w:w="70" w:type="dxa"/>
              <w:left w:w="80" w:type="dxa"/>
              <w:bottom w:w="70" w:type="dxa"/>
              <w:right w:w="80" w:type="dxa"/>
            </w:tcMar>
          </w:tcPr>
          <w:p w14:paraId="573C5887">
            <w:pPr>
              <w:spacing w:before="40" w:after="20" w:line="264" w:lineRule="auto"/>
              <w:rPr>
                <w:rFonts w:hint="eastAsia"/>
              </w:rPr>
            </w:pPr>
            <w:r>
              <w:rPr>
                <w:b/>
                <w:sz w:val="19"/>
              </w:rPr>
              <w:t>4.1 知识图谱构建</w:t>
            </w:r>
          </w:p>
          <w:p w14:paraId="2D21B663">
            <w:pPr>
              <w:spacing w:line="276" w:lineRule="auto"/>
              <w:rPr>
                <w:rFonts w:hint="eastAsia"/>
              </w:rPr>
            </w:pPr>
            <w:r>
              <w:rPr>
                <w:sz w:val="19"/>
              </w:rPr>
              <w:t>（1）支持课程目标到知识点的关联，支持根据教学大纲、教学书籍等内容抽取课程知识点，支持形成课程目标与知识点之间的对应关系设置并提供教师确认与维护能力。</w:t>
            </w:r>
          </w:p>
          <w:p w14:paraId="66DEB1E1">
            <w:pPr>
              <w:spacing w:line="276" w:lineRule="auto"/>
              <w:rPr>
                <w:rFonts w:hint="eastAsia"/>
              </w:rPr>
            </w:pPr>
            <w:r>
              <w:rPr>
                <w:sz w:val="19"/>
              </w:rPr>
              <w:t>（2）支持跨学科知识融合。支持打通不同学科之间的知识关联关系，例如数学、物理、电路等课程之间的前置知识和后续知识关联，支持跨课程知识结构展示与教学引用。</w:t>
            </w:r>
          </w:p>
          <w:p w14:paraId="7ADD5B73">
            <w:pPr>
              <w:spacing w:before="40" w:after="20" w:line="264" w:lineRule="auto"/>
              <w:rPr>
                <w:rFonts w:hint="eastAsia"/>
              </w:rPr>
            </w:pPr>
            <w:r>
              <w:rPr>
                <w:b/>
                <w:sz w:val="19"/>
              </w:rPr>
              <w:t>4.2 数智教材建设</w:t>
            </w:r>
          </w:p>
          <w:p w14:paraId="6A68950A">
            <w:pPr>
              <w:spacing w:line="276" w:lineRule="auto"/>
              <w:rPr>
                <w:rFonts w:hint="eastAsia"/>
              </w:rPr>
            </w:pPr>
            <w:r>
              <w:rPr>
                <w:sz w:val="19"/>
              </w:rPr>
              <w:t>（1）支持数字教材内容动态维护与更新。支持教师根据课程教学进度、产业技术变化及教学需要，对教材章节内容进行在线编辑、更新和发布，支持教材内容持续迭代。</w:t>
            </w:r>
          </w:p>
          <w:p w14:paraId="3E9E2CE1">
            <w:pPr>
              <w:spacing w:line="276" w:lineRule="auto"/>
              <w:rPr>
                <w:rFonts w:hint="eastAsia"/>
              </w:rPr>
            </w:pPr>
            <w:r>
              <w:rPr>
                <w:sz w:val="19"/>
              </w:rPr>
              <w:t>（2）支持数智教材多模态交互。支持在教材内容中嵌入代码运行环境、3D模型和AI助手，支持学习者在教材学习过程中进行代码验证、模型查看和智能问答交互。</w:t>
            </w:r>
          </w:p>
          <w:p w14:paraId="65BD8665">
            <w:pPr>
              <w:spacing w:line="276" w:lineRule="auto"/>
              <w:rPr>
                <w:rFonts w:hint="eastAsia"/>
              </w:rPr>
            </w:pPr>
            <w:r>
              <w:rPr>
                <w:sz w:val="19"/>
              </w:rPr>
              <w:t>（3）支持千人千本学习资源组织。支持根据学生能力差异、知识点掌握情况和学习进度，动态生成不同难度的例题和拓展阅读内容，支持分层学习与个性化学习资源推荐。</w:t>
            </w:r>
          </w:p>
          <w:p w14:paraId="4667102A">
            <w:pPr>
              <w:spacing w:before="40" w:after="20" w:line="264" w:lineRule="auto"/>
              <w:rPr>
                <w:rFonts w:hint="eastAsia"/>
              </w:rPr>
            </w:pPr>
            <w:r>
              <w:rPr>
                <w:b/>
                <w:sz w:val="19"/>
              </w:rPr>
              <w:t>4.3 AIGC内容生产</w:t>
            </w:r>
          </w:p>
          <w:p w14:paraId="7475BF7D">
            <w:pPr>
              <w:spacing w:line="276" w:lineRule="auto"/>
              <w:rPr>
                <w:rFonts w:hint="eastAsia"/>
              </w:rPr>
            </w:pPr>
            <w:r>
              <w:rPr>
                <w:sz w:val="19"/>
              </w:rPr>
              <w:t>（1）支持一键建课能力。支持根据课程主题、章节内容或知识点自动生成课件、PPT和教案，支持教师对生成内容进行编辑、调整和发布。</w:t>
            </w:r>
          </w:p>
          <w:p w14:paraId="208B5329">
            <w:pPr>
              <w:spacing w:line="276" w:lineRule="auto"/>
              <w:rPr>
                <w:rFonts w:hint="eastAsia"/>
              </w:rPr>
            </w:pPr>
            <w:r>
              <w:rPr>
                <w:sz w:val="19"/>
              </w:rPr>
              <w:t>（2）支持数字人微课生成。支持将课程讲稿转化为虚拟人讲解视频，支持生成适用于课程预习、重难点讲解和课后复习等场景的微课资源。</w:t>
            </w:r>
          </w:p>
          <w:p w14:paraId="22E4E3D1">
            <w:pPr>
              <w:spacing w:line="276" w:lineRule="auto"/>
              <w:rPr>
                <w:rFonts w:hint="eastAsia"/>
              </w:rPr>
            </w:pPr>
            <w:r>
              <w:rPr>
                <w:sz w:val="19"/>
              </w:rPr>
              <w:t>（3）支持存量教学视频资源处理。支持基于字幕识别、知识点定位等方式对长视频进行分段切片，支持将切片后的视频资源关联至对应知识点。</w:t>
            </w:r>
          </w:p>
          <w:p w14:paraId="0ECB8121">
            <w:pPr>
              <w:spacing w:before="40" w:after="20" w:line="264" w:lineRule="auto"/>
              <w:rPr>
                <w:rFonts w:hint="eastAsia"/>
              </w:rPr>
            </w:pPr>
            <w:r>
              <w:rPr>
                <w:b/>
                <w:sz w:val="19"/>
              </w:rPr>
              <w:t>4.4 智能题库扩容</w:t>
            </w:r>
          </w:p>
          <w:p w14:paraId="008A796A">
            <w:pPr>
              <w:spacing w:line="276" w:lineRule="auto"/>
              <w:rPr>
                <w:rFonts w:hint="eastAsia"/>
              </w:rPr>
            </w:pPr>
            <w:r>
              <w:rPr>
                <w:sz w:val="19"/>
              </w:rPr>
              <w:t>（1）支持智能题库生成。支持按照题目难易度及题目应用方向生成试题，支持题目按知识点、题型等维度进行分类组织与管理。</w:t>
            </w:r>
          </w:p>
          <w:p w14:paraId="02F8B304">
            <w:pPr>
              <w:spacing w:line="276" w:lineRule="auto"/>
              <w:rPr>
                <w:rFonts w:hint="eastAsia"/>
              </w:rPr>
            </w:pPr>
            <w:r>
              <w:rPr>
                <w:sz w:val="19"/>
              </w:rPr>
              <w:t>（2）支持试题自动解析。支持为题目生成参考答案、解题步骤和详细推导过程应用于课堂练习、课后训练和过程考核。</w:t>
            </w:r>
          </w:p>
          <w:p w14:paraId="03620DDE">
            <w:pPr>
              <w:spacing w:before="40" w:after="20" w:line="264" w:lineRule="auto"/>
              <w:rPr>
                <w:rFonts w:hint="eastAsia"/>
              </w:rPr>
            </w:pPr>
            <w:r>
              <w:rPr>
                <w:b/>
                <w:sz w:val="19"/>
              </w:rPr>
              <w:t>4.5 合规与思政</w:t>
            </w:r>
          </w:p>
          <w:p w14:paraId="0030B92E">
            <w:pPr>
              <w:spacing w:line="276" w:lineRule="auto"/>
              <w:rPr>
                <w:rFonts w:hint="eastAsia"/>
              </w:rPr>
            </w:pPr>
            <w:r>
              <w:rPr>
                <w:sz w:val="19"/>
              </w:rPr>
              <w:t>（1）支持AI内容审查。支持对AI生成或上传的教学内容进行敏感词识别、版权风险提示和内容合规检查，支持教师对审查结果进行复核与处理。</w:t>
            </w:r>
          </w:p>
          <w:p w14:paraId="6E103D52">
            <w:pPr>
              <w:spacing w:line="276" w:lineRule="auto"/>
              <w:rPr>
                <w:rFonts w:hint="eastAsia"/>
              </w:rPr>
            </w:pPr>
            <w:r>
              <w:rPr>
                <w:sz w:val="19"/>
              </w:rPr>
              <w:t>（2）支持课程思政资源匹配。支持将课程知识点与课程思政案例建立关联，支持根据知识点自动推荐相关思政案例资源并支持教师选择引用。</w:t>
            </w:r>
          </w:p>
        </w:tc>
      </w:tr>
      <w:tr w14:paraId="5AA8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4DD00EE9">
            <w:pPr>
              <w:jc w:val="center"/>
              <w:rPr>
                <w:rFonts w:hint="eastAsia"/>
              </w:rPr>
            </w:pPr>
            <w:r>
              <w:rPr>
                <w:sz w:val="19"/>
              </w:rPr>
              <w:t>5</w:t>
            </w:r>
          </w:p>
        </w:tc>
        <w:tc>
          <w:tcPr>
            <w:tcW w:w="1550" w:type="dxa"/>
            <w:tcMar>
              <w:top w:w="80" w:type="dxa"/>
              <w:left w:w="90" w:type="dxa"/>
              <w:bottom w:w="80" w:type="dxa"/>
              <w:right w:w="90" w:type="dxa"/>
            </w:tcMar>
            <w:vAlign w:val="center"/>
          </w:tcPr>
          <w:p w14:paraId="579F0674">
            <w:pPr>
              <w:jc w:val="center"/>
              <w:rPr>
                <w:rFonts w:hint="eastAsia"/>
                <w:sz w:val="19"/>
              </w:rPr>
            </w:pPr>
            <w:r>
              <w:rPr>
                <w:rFonts w:hint="eastAsia"/>
                <w:sz w:val="19"/>
              </w:rPr>
              <w:t>课中互动</w:t>
            </w:r>
          </w:p>
          <w:p w14:paraId="0AC77B5E">
            <w:pPr>
              <w:jc w:val="center"/>
              <w:rPr>
                <w:rFonts w:hint="eastAsia"/>
                <w:sz w:val="19"/>
              </w:rPr>
            </w:pPr>
            <w:r>
              <w:rPr>
                <w:rFonts w:hint="eastAsia"/>
                <w:sz w:val="19"/>
              </w:rPr>
              <w:t>子系统</w:t>
            </w:r>
          </w:p>
          <w:p w14:paraId="7261AF4A">
            <w:pPr>
              <w:jc w:val="center"/>
              <w:rPr>
                <w:rFonts w:hint="eastAsia"/>
              </w:rPr>
            </w:pPr>
            <w:r>
              <w:rPr>
                <w:rFonts w:hint="eastAsia"/>
                <w:sz w:val="19"/>
              </w:rPr>
              <w:t>（理论课）</w:t>
            </w:r>
          </w:p>
        </w:tc>
        <w:tc>
          <w:tcPr>
            <w:tcW w:w="6260" w:type="dxa"/>
            <w:tcMar>
              <w:top w:w="70" w:type="dxa"/>
              <w:left w:w="80" w:type="dxa"/>
              <w:bottom w:w="70" w:type="dxa"/>
              <w:right w:w="80" w:type="dxa"/>
            </w:tcMar>
          </w:tcPr>
          <w:p w14:paraId="6BBA30C1">
            <w:pPr>
              <w:spacing w:before="40" w:after="20" w:line="264" w:lineRule="auto"/>
              <w:rPr>
                <w:rFonts w:hint="eastAsia"/>
              </w:rPr>
            </w:pPr>
            <w:r>
              <w:rPr>
                <w:b/>
                <w:sz w:val="19"/>
              </w:rPr>
              <w:t>5.1 知识图谱实时导航</w:t>
            </w:r>
          </w:p>
          <w:p w14:paraId="44013CFC">
            <w:pPr>
              <w:spacing w:line="276" w:lineRule="auto"/>
              <w:rPr>
                <w:rFonts w:hint="eastAsia"/>
              </w:rPr>
            </w:pPr>
            <w:r>
              <w:rPr>
                <w:sz w:val="19"/>
              </w:rPr>
              <w:t>（1）支持基于教学设计中引用的课程知识点组织学习内容。支持将知识点、学习资源及学习任务以列表或卡片形式在学生端展示，辅助教师围绕知识点开展教学讲解与学习安排。</w:t>
            </w:r>
          </w:p>
          <w:p w14:paraId="51EFAD2F">
            <w:pPr>
              <w:spacing w:line="276" w:lineRule="auto"/>
              <w:rPr>
                <w:rFonts w:hint="eastAsia"/>
              </w:rPr>
            </w:pPr>
            <w:r>
              <w:rPr>
                <w:sz w:val="19"/>
              </w:rPr>
              <w:t>（2）支持知识点学习内容关联展示。支持围绕教学设计中引用的知识点关联学习资源、课堂任务和学习要求，支持教师按教学安排组织复习、预习和课堂学习内容。</w:t>
            </w:r>
          </w:p>
          <w:p w14:paraId="64E8FB79">
            <w:pPr>
              <w:spacing w:line="276" w:lineRule="auto"/>
              <w:rPr>
                <w:rFonts w:hint="eastAsia"/>
              </w:rPr>
            </w:pPr>
            <w:r>
              <w:rPr>
                <w:sz w:val="19"/>
              </w:rPr>
              <w:t>（3）支持教学进度与知识点学习任务联动。支持根据教学设计中配置的知识点学习时间范围，在学生端以列表或卡片形式展示对应知识点、学习资源及学习任务状态，支持学生了解当前学习内容、任务开放情况及后续学习安排。</w:t>
            </w:r>
          </w:p>
          <w:p w14:paraId="1B23DB30">
            <w:pPr>
              <w:spacing w:before="40" w:after="20" w:line="264" w:lineRule="auto"/>
              <w:rPr>
                <w:rFonts w:hint="eastAsia"/>
              </w:rPr>
            </w:pPr>
            <w:r>
              <w:rPr>
                <w:b/>
                <w:sz w:val="19"/>
              </w:rPr>
              <w:t>5.2 混合教学</w:t>
            </w:r>
          </w:p>
          <w:p w14:paraId="4FF181C7">
            <w:pPr>
              <w:spacing w:line="276" w:lineRule="auto"/>
              <w:rPr>
                <w:rFonts w:hint="eastAsia"/>
              </w:rPr>
            </w:pPr>
            <w:r>
              <w:rPr>
                <w:sz w:val="19"/>
              </w:rPr>
              <w:t>（1）支持线上线下同步教学。支持直播、录播和翻转课堂等教学组织形式，支持课堂教学活动在线下教室和线上学习空间之间协同开展。</w:t>
            </w:r>
          </w:p>
          <w:p w14:paraId="11239C06">
            <w:pPr>
              <w:spacing w:line="276" w:lineRule="auto"/>
              <w:rPr>
                <w:rFonts w:hint="eastAsia"/>
              </w:rPr>
            </w:pPr>
            <w:r>
              <w:rPr>
                <w:sz w:val="19"/>
              </w:rPr>
              <w:t>（2）支持语音实时转写字幕。支持课堂教学过程中对教师语音进行实时字幕生成，支持配置在线视频剪辑工具，对课堂视频进行后续整理和使用。</w:t>
            </w:r>
          </w:p>
          <w:p w14:paraId="5EC91FB3">
            <w:pPr>
              <w:spacing w:line="276" w:lineRule="auto"/>
              <w:rPr>
                <w:rFonts w:hint="eastAsia"/>
              </w:rPr>
            </w:pPr>
            <w:r>
              <w:rPr>
                <w:sz w:val="19"/>
              </w:rPr>
              <w:t>（3）支持课堂互动工具。支持签到、弹幕、抢答等课堂互动活动，支持互动过程记录、结果统计和课堂过程数据留存。</w:t>
            </w:r>
          </w:p>
          <w:p w14:paraId="74E08E45">
            <w:pPr>
              <w:spacing w:before="40" w:after="20" w:line="264" w:lineRule="auto"/>
              <w:rPr>
                <w:rFonts w:hint="eastAsia"/>
              </w:rPr>
            </w:pPr>
            <w:r>
              <w:rPr>
                <w:b/>
                <w:sz w:val="19"/>
              </w:rPr>
              <w:t>5.3 AI课堂全息感知</w:t>
            </w:r>
          </w:p>
          <w:p w14:paraId="09B3E482">
            <w:pPr>
              <w:spacing w:line="276" w:lineRule="auto"/>
              <w:rPr>
                <w:rFonts w:hint="eastAsia"/>
              </w:rPr>
            </w:pPr>
            <w:r>
              <w:rPr>
                <w:sz w:val="19"/>
              </w:rPr>
              <w:t>（1）支持学情监测与分析。支持对出勤率、抬头率、前排率、请假情况等课堂参与数据进行统计与分析，支持形成课堂学习状态监测结果。</w:t>
            </w:r>
          </w:p>
          <w:p w14:paraId="0C02ED61">
            <w:pPr>
              <w:spacing w:line="276" w:lineRule="auto"/>
              <w:rPr>
                <w:rFonts w:hint="eastAsia"/>
              </w:rPr>
            </w:pPr>
            <w:r>
              <w:rPr>
                <w:sz w:val="19"/>
              </w:rPr>
              <w:t>（2）支持课堂互动频次和教学轨迹分析。支持对课堂互动行为、教学活动发布、学生参与和教学进程进行记录与分析，辅助形成课堂过程数据。</w:t>
            </w:r>
          </w:p>
        </w:tc>
      </w:tr>
      <w:tr w14:paraId="2F1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1C8C1093">
            <w:pPr>
              <w:jc w:val="center"/>
              <w:rPr>
                <w:rFonts w:hint="eastAsia"/>
              </w:rPr>
            </w:pPr>
            <w:r>
              <w:rPr>
                <w:sz w:val="19"/>
              </w:rPr>
              <w:t>6</w:t>
            </w:r>
          </w:p>
        </w:tc>
        <w:tc>
          <w:tcPr>
            <w:tcW w:w="1550" w:type="dxa"/>
            <w:tcMar>
              <w:top w:w="80" w:type="dxa"/>
              <w:left w:w="90" w:type="dxa"/>
              <w:bottom w:w="80" w:type="dxa"/>
              <w:right w:w="90" w:type="dxa"/>
            </w:tcMar>
            <w:vAlign w:val="center"/>
          </w:tcPr>
          <w:p w14:paraId="28D4328A">
            <w:pPr>
              <w:jc w:val="center"/>
              <w:rPr>
                <w:rFonts w:hint="eastAsia"/>
                <w:sz w:val="19"/>
              </w:rPr>
            </w:pPr>
            <w:r>
              <w:rPr>
                <w:rFonts w:hint="eastAsia"/>
                <w:sz w:val="19"/>
              </w:rPr>
              <w:t>课中互动</w:t>
            </w:r>
          </w:p>
          <w:p w14:paraId="6FA3A66E">
            <w:pPr>
              <w:jc w:val="center"/>
              <w:rPr>
                <w:rFonts w:hint="eastAsia"/>
                <w:sz w:val="19"/>
              </w:rPr>
            </w:pPr>
            <w:r>
              <w:rPr>
                <w:rFonts w:hint="eastAsia"/>
                <w:sz w:val="19"/>
              </w:rPr>
              <w:t>子系统</w:t>
            </w:r>
          </w:p>
          <w:p w14:paraId="65D45AF8">
            <w:pPr>
              <w:jc w:val="center"/>
              <w:rPr>
                <w:rFonts w:hint="eastAsia"/>
              </w:rPr>
            </w:pPr>
            <w:r>
              <w:rPr>
                <w:rFonts w:hint="eastAsia"/>
                <w:sz w:val="19"/>
              </w:rPr>
              <w:t>（实践课）</w:t>
            </w:r>
          </w:p>
        </w:tc>
        <w:tc>
          <w:tcPr>
            <w:tcW w:w="6260" w:type="dxa"/>
            <w:tcMar>
              <w:top w:w="70" w:type="dxa"/>
              <w:left w:w="80" w:type="dxa"/>
              <w:bottom w:w="70" w:type="dxa"/>
              <w:right w:w="80" w:type="dxa"/>
            </w:tcMar>
          </w:tcPr>
          <w:p w14:paraId="5F4B66D1">
            <w:pPr>
              <w:spacing w:before="40" w:after="20" w:line="264" w:lineRule="auto"/>
              <w:rPr>
                <w:rFonts w:hint="eastAsia"/>
              </w:rPr>
            </w:pPr>
            <w:r>
              <w:rPr>
                <w:b/>
                <w:sz w:val="19"/>
              </w:rPr>
              <w:t>6.1 基于能力图谱的实践导航</w:t>
            </w:r>
          </w:p>
          <w:p w14:paraId="0DDD2E77">
            <w:pPr>
              <w:spacing w:line="276" w:lineRule="auto"/>
              <w:rPr>
                <w:rFonts w:hint="eastAsia"/>
              </w:rPr>
            </w:pPr>
            <w:r>
              <w:rPr>
                <w:sz w:val="19"/>
              </w:rPr>
              <w:t>（1）支持基于岗位能力的任务化教学组织。支持教师将岗位能力点拆解为学习任务、实践任务或知识点学习要求，并通过任务化方式关联知识点、学习资源、训练内容和评价结果，支持学生通过完成相关任务或知识点学习逐步达成对应岗位能力，满足以岗位能力为导向的教学任务组织需求。</w:t>
            </w:r>
          </w:p>
          <w:p w14:paraId="19EFD49C">
            <w:pPr>
              <w:spacing w:line="276" w:lineRule="auto"/>
              <w:rPr>
                <w:rFonts w:hint="eastAsia"/>
              </w:rPr>
            </w:pPr>
            <w:r>
              <w:rPr>
                <w:sz w:val="19"/>
              </w:rPr>
              <w:t>（2）支持能力缺口分析。支持在实习或实践前对比学生现有能力图谱与目标岗位能力图谱，支持生成能力差距结果，并辅助推荐补强实训项目。</w:t>
            </w:r>
          </w:p>
          <w:p w14:paraId="597FDD55">
            <w:pPr>
              <w:spacing w:before="40" w:after="20" w:line="264" w:lineRule="auto"/>
              <w:rPr>
                <w:rFonts w:hint="eastAsia"/>
              </w:rPr>
            </w:pPr>
            <w:r>
              <w:rPr>
                <w:b/>
                <w:sz w:val="19"/>
              </w:rPr>
              <w:t>6.2 校外实习/驻企培养</w:t>
            </w:r>
          </w:p>
          <w:p w14:paraId="52E640DB">
            <w:pPr>
              <w:spacing w:line="276" w:lineRule="auto"/>
              <w:rPr>
                <w:rFonts w:hint="eastAsia"/>
              </w:rPr>
            </w:pPr>
            <w:r>
              <w:rPr>
                <w:sz w:val="19"/>
              </w:rPr>
              <w:t>（1）支持教学实习岗位库建设。支持维护实习岗位能力要求，支持将学生能力图谱与实习岗位能力要求进行匹配分析，形成学生与实习岗位的匹配结果，为校企实习安排提供参考。</w:t>
            </w:r>
          </w:p>
          <w:p w14:paraId="24037EA8">
            <w:pPr>
              <w:spacing w:line="276" w:lineRule="auto"/>
              <w:rPr>
                <w:rFonts w:hint="eastAsia"/>
              </w:rPr>
            </w:pPr>
            <w:r>
              <w:rPr>
                <w:sz w:val="19"/>
              </w:rPr>
              <w:t>（2）支持实习周报标准化提交与管理。支持按照实习计划配置周报提交周期和模板内容，支持基于周报文本提取岗位能力要素，并支持与学生能力图谱关联。</w:t>
            </w:r>
          </w:p>
          <w:p w14:paraId="4D1C25EA">
            <w:pPr>
              <w:spacing w:line="276" w:lineRule="auto"/>
              <w:rPr>
                <w:rFonts w:hint="eastAsia"/>
              </w:rPr>
            </w:pPr>
            <w:r>
              <w:rPr>
                <w:sz w:val="19"/>
              </w:rPr>
              <w:t>（3）支持实习状态预警。支持基于地理位置打卡和异常行为数据进行过程监测，支持对异常打卡、长期无反馈或过程异常情况进行提示。</w:t>
            </w:r>
          </w:p>
          <w:p w14:paraId="44BE1727">
            <w:pPr>
              <w:spacing w:before="40" w:after="20" w:line="264" w:lineRule="auto"/>
              <w:rPr>
                <w:rFonts w:hint="eastAsia"/>
              </w:rPr>
            </w:pPr>
            <w:r>
              <w:rPr>
                <w:b/>
                <w:sz w:val="19"/>
              </w:rPr>
              <w:t>6.3 课程设计/毕业设计</w:t>
            </w:r>
          </w:p>
          <w:p w14:paraId="564CBED6">
            <w:pPr>
              <w:spacing w:line="276" w:lineRule="auto"/>
              <w:rPr>
                <w:rFonts w:hint="eastAsia"/>
              </w:rPr>
            </w:pPr>
            <w:r>
              <w:rPr>
                <w:sz w:val="19"/>
              </w:rPr>
              <w:t>（1）支持课程设计与毕业设计过程节点管理。支持导入开题、中期、终稿、答辩等时间安排，支持根据学生材料提交状态进行节点提醒与进度预警，支持对未完成节点的学生进行定向消息推送。</w:t>
            </w:r>
          </w:p>
          <w:p w14:paraId="5F8D0895">
            <w:pPr>
              <w:spacing w:line="276" w:lineRule="auto"/>
              <w:rPr>
                <w:rFonts w:hint="eastAsia"/>
              </w:rPr>
            </w:pPr>
            <w:r>
              <w:rPr>
                <w:sz w:val="19"/>
              </w:rPr>
              <w:t>（2）支持课程设计与毕业设计过程中的AI辅助能力。支持内容纠错、逻辑梳理、代码调试等辅助功能；支持对论文、报告等过程材料提供规范性辅助检查。</w:t>
            </w:r>
          </w:p>
          <w:p w14:paraId="4F338362">
            <w:pPr>
              <w:spacing w:before="40" w:after="20" w:line="264" w:lineRule="auto"/>
              <w:rPr>
                <w:rFonts w:hint="eastAsia"/>
              </w:rPr>
            </w:pPr>
            <w:r>
              <w:rPr>
                <w:b/>
                <w:sz w:val="19"/>
              </w:rPr>
              <w:t>6.4 成果智能评价</w:t>
            </w:r>
          </w:p>
          <w:p w14:paraId="46DC6019">
            <w:pPr>
              <w:spacing w:line="276" w:lineRule="auto"/>
              <w:rPr>
                <w:rFonts w:hint="eastAsia"/>
              </w:rPr>
            </w:pPr>
            <w:r>
              <w:rPr>
                <w:sz w:val="19"/>
              </w:rPr>
              <w:t>（1）支持多维评分。支持结合企业导师评价、过程日志和最终成果进行综合评分，支持实习过程记录和结果管理。</w:t>
            </w:r>
          </w:p>
          <w:p w14:paraId="78A3B852">
            <w:pPr>
              <w:spacing w:line="276" w:lineRule="auto"/>
              <w:rPr>
                <w:rFonts w:hint="eastAsia"/>
              </w:rPr>
            </w:pPr>
            <w:r>
              <w:rPr>
                <w:sz w:val="19"/>
              </w:rPr>
              <w:t>（2）支持模拟答辩。支持学生上传论文或成果材料，系统基于材料内容生成答辩问题，并支持以数字人或智能问答形式开展模拟答辩训练。</w:t>
            </w:r>
          </w:p>
        </w:tc>
      </w:tr>
      <w:tr w14:paraId="55D2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197E25A1">
            <w:pPr>
              <w:jc w:val="center"/>
              <w:rPr>
                <w:rFonts w:hint="eastAsia"/>
              </w:rPr>
            </w:pPr>
            <w:r>
              <w:rPr>
                <w:sz w:val="19"/>
              </w:rPr>
              <w:t>7</w:t>
            </w:r>
          </w:p>
        </w:tc>
        <w:tc>
          <w:tcPr>
            <w:tcW w:w="1550" w:type="dxa"/>
            <w:tcMar>
              <w:top w:w="80" w:type="dxa"/>
              <w:left w:w="90" w:type="dxa"/>
              <w:bottom w:w="80" w:type="dxa"/>
              <w:right w:w="90" w:type="dxa"/>
            </w:tcMar>
            <w:vAlign w:val="center"/>
          </w:tcPr>
          <w:p w14:paraId="30228007">
            <w:pPr>
              <w:jc w:val="center"/>
              <w:rPr>
                <w:rFonts w:hint="eastAsia"/>
                <w:sz w:val="19"/>
              </w:rPr>
            </w:pPr>
            <w:r>
              <w:rPr>
                <w:rFonts w:hint="eastAsia"/>
                <w:sz w:val="19"/>
              </w:rPr>
              <w:t>课后延伸</w:t>
            </w:r>
          </w:p>
          <w:p w14:paraId="08D87B0D">
            <w:pPr>
              <w:jc w:val="center"/>
              <w:rPr>
                <w:rFonts w:hint="eastAsia"/>
              </w:rPr>
            </w:pPr>
            <w:r>
              <w:rPr>
                <w:rFonts w:hint="eastAsia"/>
                <w:sz w:val="19"/>
              </w:rPr>
              <w:t>子系统</w:t>
            </w:r>
          </w:p>
        </w:tc>
        <w:tc>
          <w:tcPr>
            <w:tcW w:w="6260" w:type="dxa"/>
            <w:tcMar>
              <w:top w:w="70" w:type="dxa"/>
              <w:left w:w="80" w:type="dxa"/>
              <w:bottom w:w="70" w:type="dxa"/>
              <w:right w:w="80" w:type="dxa"/>
            </w:tcMar>
          </w:tcPr>
          <w:p w14:paraId="0E8877A1">
            <w:pPr>
              <w:spacing w:before="40" w:after="20" w:line="264" w:lineRule="auto"/>
              <w:rPr>
                <w:rFonts w:hint="eastAsia"/>
              </w:rPr>
            </w:pPr>
            <w:r>
              <w:rPr>
                <w:b/>
                <w:sz w:val="19"/>
              </w:rPr>
              <w:t>7.1 个性化作业</w:t>
            </w:r>
          </w:p>
          <w:p w14:paraId="13F24DEF">
            <w:pPr>
              <w:spacing w:line="276" w:lineRule="auto"/>
              <w:rPr>
                <w:rFonts w:hint="eastAsia"/>
              </w:rPr>
            </w:pPr>
            <w:r>
              <w:rPr>
                <w:sz w:val="19"/>
              </w:rPr>
              <w:t>（1）支持图谱导航作业推荐。支持基于知识点掌握度情况向学生推送相关练习内容，支持作业任务与知识点掌握状态关联。</w:t>
            </w:r>
          </w:p>
          <w:p w14:paraId="25A18362">
            <w:pPr>
              <w:spacing w:line="276" w:lineRule="auto"/>
              <w:rPr>
                <w:rFonts w:hint="eastAsia"/>
              </w:rPr>
            </w:pPr>
            <w:r>
              <w:rPr>
                <w:sz w:val="19"/>
              </w:rPr>
              <w:t>（2）支持分层训练。支持对基础薄弱学生推送强化题，对基础较好学生推送探究题，支持按照学习水平组织不同难度层级训练内容。</w:t>
            </w:r>
          </w:p>
          <w:p w14:paraId="10733967">
            <w:pPr>
              <w:spacing w:line="276" w:lineRule="auto"/>
              <w:rPr>
                <w:rFonts w:hint="eastAsia"/>
              </w:rPr>
            </w:pPr>
            <w:r>
              <w:rPr>
                <w:sz w:val="19"/>
              </w:rPr>
              <w:t>（3）支持防抄袭机制。支持围绕同一知识点生成变式题，并支持对AI生成答案进行识别提示，减少机械抄袭和简单复制提交。</w:t>
            </w:r>
          </w:p>
          <w:p w14:paraId="6C629F10">
            <w:pPr>
              <w:spacing w:before="40" w:after="20" w:line="264" w:lineRule="auto"/>
              <w:rPr>
                <w:rFonts w:hint="eastAsia"/>
              </w:rPr>
            </w:pPr>
            <w:r>
              <w:rPr>
                <w:b/>
                <w:sz w:val="19"/>
              </w:rPr>
              <w:t>7.2 错题饱和练习</w:t>
            </w:r>
          </w:p>
          <w:p w14:paraId="1B329549">
            <w:pPr>
              <w:spacing w:line="276" w:lineRule="auto"/>
              <w:rPr>
                <w:rFonts w:hint="eastAsia"/>
              </w:rPr>
            </w:pPr>
            <w:r>
              <w:rPr>
                <w:sz w:val="19"/>
              </w:rPr>
              <w:t>（1）支持错题变式推送。支持AI针对学生错题推送若干变式题，支持围绕同一知识点进行反复训练和巩固。</w:t>
            </w:r>
          </w:p>
          <w:p w14:paraId="79896222">
            <w:pPr>
              <w:spacing w:line="276" w:lineRule="auto"/>
              <w:rPr>
                <w:rFonts w:hint="eastAsia"/>
              </w:rPr>
            </w:pPr>
            <w:r>
              <w:rPr>
                <w:sz w:val="19"/>
              </w:rPr>
              <w:t>（2）支持强制纠错训练。支持通过错题饱和练习帮助学生持续纠正错误，支持以知识点掌握为目标组织专项训练任务。</w:t>
            </w:r>
          </w:p>
          <w:p w14:paraId="2F3FF0A3">
            <w:pPr>
              <w:spacing w:before="40" w:after="20" w:line="264" w:lineRule="auto"/>
              <w:rPr>
                <w:rFonts w:hint="eastAsia"/>
              </w:rPr>
            </w:pPr>
            <w:r>
              <w:rPr>
                <w:b/>
                <w:sz w:val="19"/>
              </w:rPr>
              <w:t>7.3 AI批阅作业</w:t>
            </w:r>
          </w:p>
          <w:p w14:paraId="3854432A">
            <w:pPr>
              <w:spacing w:line="276" w:lineRule="auto"/>
              <w:rPr>
                <w:rFonts w:hint="eastAsia"/>
              </w:rPr>
            </w:pPr>
            <w:r>
              <w:rPr>
                <w:sz w:val="19"/>
              </w:rPr>
              <w:t>（1）支持作业批阅全题型覆盖。支持客观题、主观题、代码题、写作题等多种题型的自动或辅助批阅。</w:t>
            </w:r>
          </w:p>
          <w:p w14:paraId="557D3911">
            <w:pPr>
              <w:spacing w:line="276" w:lineRule="auto"/>
              <w:rPr>
                <w:rFonts w:hint="eastAsia"/>
              </w:rPr>
            </w:pPr>
            <w:r>
              <w:rPr>
                <w:sz w:val="19"/>
              </w:rPr>
              <w:t>（2）支持即时反馈。支持学生提交作业后获得分数、逐句点评和修改建议，支持学习者根据反馈进行修改和补充学习。</w:t>
            </w:r>
          </w:p>
          <w:p w14:paraId="4B10477F">
            <w:pPr>
              <w:spacing w:line="276" w:lineRule="auto"/>
              <w:rPr>
                <w:rFonts w:hint="eastAsia"/>
              </w:rPr>
            </w:pPr>
            <w:r>
              <w:rPr>
                <w:sz w:val="19"/>
              </w:rPr>
              <w:t>（3）支持生成作业完成情况报告。支持教师查看班级与学生作业完成度、错误分布辅助教师掌握学生作业完成情况。</w:t>
            </w:r>
          </w:p>
        </w:tc>
      </w:tr>
      <w:tr w14:paraId="6313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2061FC14">
            <w:pPr>
              <w:jc w:val="center"/>
              <w:rPr>
                <w:rFonts w:hint="eastAsia"/>
              </w:rPr>
            </w:pPr>
            <w:r>
              <w:rPr>
                <w:sz w:val="19"/>
              </w:rPr>
              <w:t>8</w:t>
            </w:r>
          </w:p>
        </w:tc>
        <w:tc>
          <w:tcPr>
            <w:tcW w:w="1550" w:type="dxa"/>
            <w:tcMar>
              <w:top w:w="80" w:type="dxa"/>
              <w:left w:w="90" w:type="dxa"/>
              <w:bottom w:w="80" w:type="dxa"/>
              <w:right w:w="90" w:type="dxa"/>
            </w:tcMar>
            <w:vAlign w:val="center"/>
          </w:tcPr>
          <w:p w14:paraId="6DC1471D">
            <w:pPr>
              <w:jc w:val="center"/>
              <w:rPr>
                <w:rFonts w:hint="eastAsia"/>
                <w:sz w:val="19"/>
              </w:rPr>
            </w:pPr>
            <w:r>
              <w:rPr>
                <w:rFonts w:hint="eastAsia"/>
                <w:sz w:val="19"/>
              </w:rPr>
              <w:t>检验成效</w:t>
            </w:r>
          </w:p>
          <w:p w14:paraId="1C211136">
            <w:pPr>
              <w:jc w:val="center"/>
              <w:rPr>
                <w:rFonts w:hint="eastAsia"/>
              </w:rPr>
            </w:pPr>
            <w:r>
              <w:rPr>
                <w:rFonts w:hint="eastAsia"/>
                <w:sz w:val="19"/>
              </w:rPr>
              <w:t>子系统</w:t>
            </w:r>
          </w:p>
        </w:tc>
        <w:tc>
          <w:tcPr>
            <w:tcW w:w="6260" w:type="dxa"/>
            <w:tcMar>
              <w:top w:w="70" w:type="dxa"/>
              <w:left w:w="80" w:type="dxa"/>
              <w:bottom w:w="70" w:type="dxa"/>
              <w:right w:w="80" w:type="dxa"/>
            </w:tcMar>
          </w:tcPr>
          <w:p w14:paraId="2883FB13">
            <w:pPr>
              <w:spacing w:before="40" w:after="20" w:line="264" w:lineRule="auto"/>
              <w:rPr>
                <w:rFonts w:hint="eastAsia"/>
              </w:rPr>
            </w:pPr>
            <w:r>
              <w:rPr>
                <w:b/>
                <w:sz w:val="19"/>
              </w:rPr>
              <w:t>8.1 OBE导向智能组卷</w:t>
            </w:r>
          </w:p>
          <w:p w14:paraId="076261AE">
            <w:pPr>
              <w:spacing w:line="276" w:lineRule="auto"/>
              <w:rPr>
                <w:rFonts w:hint="eastAsia"/>
              </w:rPr>
            </w:pPr>
            <w:r>
              <w:rPr>
                <w:sz w:val="19"/>
              </w:rPr>
              <w:t>（1）支持OBE导向智能组卷。支持基于课程目标、知识点及题型结构生成试卷草案，支持教师对生成试卷进行调整和确认。</w:t>
            </w:r>
          </w:p>
          <w:p w14:paraId="65F80702">
            <w:pPr>
              <w:spacing w:line="276" w:lineRule="auto"/>
              <w:rPr>
                <w:rFonts w:hint="eastAsia"/>
              </w:rPr>
            </w:pPr>
            <w:r>
              <w:rPr>
                <w:sz w:val="19"/>
              </w:rPr>
              <w:t>（2）支持试卷质量控制。支持自动生成试卷双向细目表，支持展示试题与课程目标、知识点、和题型结构之间的对应关系，用于教学质量管控。</w:t>
            </w:r>
          </w:p>
          <w:p w14:paraId="637DB324">
            <w:pPr>
              <w:spacing w:before="40" w:after="20" w:line="264" w:lineRule="auto"/>
              <w:rPr>
                <w:rFonts w:hint="eastAsia"/>
              </w:rPr>
            </w:pPr>
            <w:r>
              <w:rPr>
                <w:b/>
                <w:sz w:val="19"/>
              </w:rPr>
              <w:t>8.2 全过程防作弊体系</w:t>
            </w:r>
          </w:p>
          <w:p w14:paraId="248DD0D2">
            <w:pPr>
              <w:spacing w:line="276" w:lineRule="auto"/>
              <w:rPr>
                <w:rFonts w:hint="eastAsia"/>
              </w:rPr>
            </w:pPr>
            <w:r>
              <w:rPr>
                <w:sz w:val="19"/>
              </w:rPr>
              <w:t>（1）支持平时学习真实性管理。支持人脸随机抽检，辅助防刷课、防代学等学习过程异常行为管理。</w:t>
            </w:r>
          </w:p>
          <w:p w14:paraId="7728F13E">
            <w:pPr>
              <w:spacing w:line="276" w:lineRule="auto"/>
              <w:rPr>
                <w:rFonts w:hint="eastAsia"/>
              </w:rPr>
            </w:pPr>
            <w:r>
              <w:rPr>
                <w:sz w:val="19"/>
              </w:rPr>
              <w:t>（2）支持在线考试过程监管。支持霸屏客户端、双机位监控、切屏检测、异常操作识别等防作弊能力，提升在线考试过程规范性和安全性。</w:t>
            </w:r>
          </w:p>
          <w:p w14:paraId="6CF34D78">
            <w:pPr>
              <w:spacing w:line="276" w:lineRule="auto"/>
              <w:rPr>
                <w:rFonts w:hint="eastAsia"/>
              </w:rPr>
            </w:pPr>
            <w:r>
              <w:rPr>
                <w:sz w:val="19"/>
              </w:rPr>
              <w:t>（3）支持考试过程记录与异常行为留痕。支持对考试过程中的异常操作和处置结果进行记录，便于考试过程复核与管理追溯。</w:t>
            </w:r>
          </w:p>
          <w:p w14:paraId="239DC148">
            <w:pPr>
              <w:spacing w:before="40" w:after="20" w:line="264" w:lineRule="auto"/>
              <w:rPr>
                <w:rFonts w:hint="eastAsia"/>
              </w:rPr>
            </w:pPr>
            <w:r>
              <w:rPr>
                <w:b/>
                <w:sz w:val="19"/>
              </w:rPr>
              <w:t>8.3 线上阅卷</w:t>
            </w:r>
          </w:p>
          <w:p w14:paraId="46DDDCCC">
            <w:pPr>
              <w:spacing w:line="276" w:lineRule="auto"/>
              <w:rPr>
                <w:rFonts w:hint="eastAsia"/>
              </w:rPr>
            </w:pPr>
            <w:r>
              <w:rPr>
                <w:sz w:val="19"/>
              </w:rPr>
              <w:t>（1）支持客观题自动批阅。支持选择题、判断题等客观题型自动判分和成绩汇总。</w:t>
            </w:r>
          </w:p>
          <w:p w14:paraId="7DE0D8D6">
            <w:pPr>
              <w:spacing w:line="276" w:lineRule="auto"/>
              <w:rPr>
                <w:rFonts w:hint="eastAsia"/>
              </w:rPr>
            </w:pPr>
            <w:r>
              <w:rPr>
                <w:sz w:val="19"/>
              </w:rPr>
              <w:t>（2）支持主观题流水阅卷和AI辅助批阅。支持多人协同阅卷、评分参考和评语辅助生成，提高阅卷效率和一致性。</w:t>
            </w:r>
          </w:p>
          <w:p w14:paraId="1A039198">
            <w:pPr>
              <w:spacing w:before="40" w:after="20" w:line="264" w:lineRule="auto"/>
              <w:rPr>
                <w:rFonts w:hint="eastAsia"/>
              </w:rPr>
            </w:pPr>
            <w:r>
              <w:rPr>
                <w:b/>
                <w:sz w:val="19"/>
              </w:rPr>
              <w:t>8.4 教学分析</w:t>
            </w:r>
          </w:p>
          <w:p w14:paraId="2E2EAE48">
            <w:pPr>
              <w:spacing w:line="276" w:lineRule="auto"/>
              <w:rPr>
                <w:rFonts w:hint="eastAsia"/>
              </w:rPr>
            </w:pPr>
            <w:r>
              <w:rPr>
                <w:sz w:val="19"/>
              </w:rPr>
              <w:t>（1）支持课程目标达成度分析报告。支持根据课程目标、考核成绩和过程评价数据生成达成度分析结果。</w:t>
            </w:r>
          </w:p>
          <w:p w14:paraId="05C79DB8">
            <w:pPr>
              <w:spacing w:line="276" w:lineRule="auto"/>
              <w:rPr>
                <w:rFonts w:hint="eastAsia"/>
              </w:rPr>
            </w:pPr>
            <w:r>
              <w:rPr>
                <w:sz w:val="19"/>
              </w:rPr>
              <w:t>（2）支持试卷质量分析报告。支持对试题难度、知识点覆盖和得分分布进行统计分析。</w:t>
            </w:r>
          </w:p>
        </w:tc>
      </w:tr>
      <w:tr w14:paraId="47924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0" w:type="dxa"/>
            <w:tcMar>
              <w:top w:w="80" w:type="dxa"/>
              <w:left w:w="90" w:type="dxa"/>
              <w:bottom w:w="80" w:type="dxa"/>
              <w:right w:w="90" w:type="dxa"/>
            </w:tcMar>
            <w:vAlign w:val="center"/>
          </w:tcPr>
          <w:p w14:paraId="21731029">
            <w:pPr>
              <w:jc w:val="center"/>
              <w:rPr>
                <w:rFonts w:hint="eastAsia"/>
              </w:rPr>
            </w:pPr>
            <w:r>
              <w:rPr>
                <w:sz w:val="19"/>
              </w:rPr>
              <w:t>9</w:t>
            </w:r>
          </w:p>
        </w:tc>
        <w:tc>
          <w:tcPr>
            <w:tcW w:w="1550" w:type="dxa"/>
            <w:tcMar>
              <w:top w:w="80" w:type="dxa"/>
              <w:left w:w="90" w:type="dxa"/>
              <w:bottom w:w="80" w:type="dxa"/>
              <w:right w:w="90" w:type="dxa"/>
            </w:tcMar>
            <w:vAlign w:val="center"/>
          </w:tcPr>
          <w:p w14:paraId="40940754">
            <w:pPr>
              <w:jc w:val="center"/>
              <w:rPr>
                <w:rFonts w:hint="eastAsia"/>
                <w:sz w:val="19"/>
              </w:rPr>
            </w:pPr>
            <w:r>
              <w:rPr>
                <w:rFonts w:hint="eastAsia"/>
                <w:sz w:val="19"/>
              </w:rPr>
              <w:t>管理闭环</w:t>
            </w:r>
          </w:p>
          <w:p w14:paraId="223EC979">
            <w:pPr>
              <w:jc w:val="center"/>
              <w:rPr>
                <w:rFonts w:hint="eastAsia"/>
              </w:rPr>
            </w:pPr>
            <w:r>
              <w:rPr>
                <w:rFonts w:hint="eastAsia"/>
                <w:sz w:val="19"/>
              </w:rPr>
              <w:t>子系统</w:t>
            </w:r>
          </w:p>
        </w:tc>
        <w:tc>
          <w:tcPr>
            <w:tcW w:w="6260" w:type="dxa"/>
            <w:tcMar>
              <w:top w:w="70" w:type="dxa"/>
              <w:left w:w="80" w:type="dxa"/>
              <w:bottom w:w="70" w:type="dxa"/>
              <w:right w:w="80" w:type="dxa"/>
            </w:tcMar>
          </w:tcPr>
          <w:p w14:paraId="4387BCD1">
            <w:pPr>
              <w:spacing w:before="40" w:after="20" w:line="264" w:lineRule="auto"/>
              <w:rPr>
                <w:rFonts w:hint="eastAsia"/>
              </w:rPr>
            </w:pPr>
            <w:r>
              <w:rPr>
                <w:b/>
                <w:sz w:val="19"/>
              </w:rPr>
              <w:t>9.1 AI数字督导</w:t>
            </w:r>
          </w:p>
          <w:p w14:paraId="3313895E">
            <w:pPr>
              <w:spacing w:line="276" w:lineRule="auto"/>
              <w:rPr>
                <w:rFonts w:hint="eastAsia"/>
              </w:rPr>
            </w:pPr>
            <w:r>
              <w:rPr>
                <w:sz w:val="19"/>
              </w:rPr>
              <w:t>（1）支持对接校内巡课系统。支持汇聚课堂录播、巡课记录、课堂互动及教学资源使用等数据，支持形成课堂教学质量分析结果。</w:t>
            </w:r>
          </w:p>
          <w:p w14:paraId="58E75FE7">
            <w:pPr>
              <w:spacing w:line="276" w:lineRule="auto"/>
              <w:rPr>
                <w:rFonts w:hint="eastAsia"/>
              </w:rPr>
            </w:pPr>
            <w:r>
              <w:rPr>
                <w:sz w:val="19"/>
              </w:rPr>
              <w:t>（2）支持基于巡课系统及平台沉淀数据开展课堂质量分析。支持对课堂活跃度、学生参与度及教学过程情况进行综合分析，为教学督导和课堂改进提供参考。</w:t>
            </w:r>
          </w:p>
          <w:p w14:paraId="5C325357">
            <w:pPr>
              <w:spacing w:before="40" w:after="20" w:line="264" w:lineRule="auto"/>
              <w:rPr>
                <w:rFonts w:hint="eastAsia"/>
              </w:rPr>
            </w:pPr>
            <w:r>
              <w:rPr>
                <w:b/>
                <w:sz w:val="19"/>
              </w:rPr>
              <w:t>9.2 认证助手</w:t>
            </w:r>
          </w:p>
          <w:p w14:paraId="533975AC">
            <w:pPr>
              <w:spacing w:line="276" w:lineRule="auto"/>
              <w:rPr>
                <w:rFonts w:hint="eastAsia"/>
              </w:rPr>
            </w:pPr>
            <w:r>
              <w:rPr>
                <w:sz w:val="19"/>
              </w:rPr>
              <w:t>（1）支持依托平台已经沉淀的教学数据。自动抓取工程认证所需相关数据生成课程达成报告、专业达成报告作为支撑材料。</w:t>
            </w:r>
          </w:p>
          <w:p w14:paraId="050F3007">
            <w:pPr>
              <w:spacing w:line="276" w:lineRule="auto"/>
              <w:rPr>
                <w:rFonts w:hint="eastAsia"/>
              </w:rPr>
            </w:pPr>
            <w:r>
              <w:rPr>
                <w:sz w:val="19"/>
              </w:rPr>
              <w:t>（2）支持按班级、专业双维度自动计算并输出达成度结果。报告内容可包含课程基本信息、课程目标、考核评价表及目标—毕业要求支撑权重表等。支持从课程目标、学生、毕业要求指标点等维度展示达成情况，并支持达成度图表、报告导出和历史结果查看。</w:t>
            </w:r>
          </w:p>
          <w:p w14:paraId="7A5BB66D">
            <w:pPr>
              <w:spacing w:before="40" w:after="20" w:line="264" w:lineRule="auto"/>
              <w:rPr>
                <w:rFonts w:hint="eastAsia"/>
              </w:rPr>
            </w:pPr>
            <w:r>
              <w:rPr>
                <w:b/>
                <w:sz w:val="19"/>
              </w:rPr>
              <w:t>9.3 持续改进</w:t>
            </w:r>
          </w:p>
          <w:p w14:paraId="08392386">
            <w:pPr>
              <w:spacing w:line="276" w:lineRule="auto"/>
              <w:rPr>
                <w:rFonts w:hint="eastAsia"/>
              </w:rPr>
            </w:pPr>
            <w:r>
              <w:rPr>
                <w:sz w:val="19"/>
              </w:rPr>
              <w:t>（1）支持教学质量数据汇聚。支持形成教学质量仪表盘，展示课程建设、教学运行、学生成长和问题整改等数据。</w:t>
            </w:r>
          </w:p>
          <w:p w14:paraId="3C38B596">
            <w:pPr>
              <w:spacing w:line="276" w:lineRule="auto"/>
              <w:rPr>
                <w:rFonts w:hint="eastAsia"/>
              </w:rPr>
            </w:pPr>
            <w:r>
              <w:rPr>
                <w:sz w:val="19"/>
              </w:rPr>
              <w:t>（2）支持质量报告生成。支持自动生成年度教学质量白皮书初稿，支持管理者进行年度教学质量分析和总结。</w:t>
            </w:r>
          </w:p>
        </w:tc>
      </w:tr>
    </w:tbl>
    <w:p w14:paraId="0D96D67C">
      <w:pPr>
        <w:rPr>
          <w:rFonts w:hint="eastAsia"/>
          <w:lang w:val="en-US" w:eastAsia="zh-CN"/>
        </w:rPr>
      </w:pPr>
      <w:r>
        <w:rPr>
          <w:rFonts w:hint="eastAsia"/>
          <w:lang w:val="en-US" w:eastAsia="zh-CN"/>
        </w:rPr>
        <w:t>3.4供应商实力要求</w:t>
      </w:r>
    </w:p>
    <w:p w14:paraId="3EA792EC">
      <w:pPr>
        <w:rPr>
          <w:rFonts w:hint="default"/>
          <w:lang w:val="en-US" w:eastAsia="zh-CN"/>
        </w:rPr>
      </w:pPr>
      <w:r>
        <w:rPr>
          <w:rFonts w:hint="default"/>
          <w:lang w:val="en-US" w:eastAsia="zh-CN"/>
        </w:rPr>
        <w:t>供应商具有教学应用或学习服务或考试评价或知识管理或平台支撑或数据分析展示等相关的计算机软件专利著作权证书的</w:t>
      </w:r>
      <w:r>
        <w:rPr>
          <w:rFonts w:hint="eastAsia"/>
          <w:lang w:val="en-US" w:eastAsia="zh-CN"/>
        </w:rPr>
        <w:t>优先考虑</w:t>
      </w:r>
      <w:r>
        <w:rPr>
          <w:rFonts w:hint="default"/>
          <w:lang w:val="en-US" w:eastAsia="zh-CN"/>
        </w:rPr>
        <w:t>。</w:t>
      </w:r>
    </w:p>
    <w:p w14:paraId="4C2576A3">
      <w:pPr>
        <w:pStyle w:val="2"/>
        <w:widowControl/>
        <w:numPr>
          <w:ilvl w:val="0"/>
          <w:numId w:val="1"/>
        </w:numPr>
        <w:rPr>
          <w:rFonts w:hint="eastAsia" w:ascii="黑体" w:hAnsi="黑体" w:cs="黑体"/>
        </w:rPr>
      </w:pPr>
      <w:r>
        <w:t>电子政务云资源需求</w:t>
      </w:r>
    </w:p>
    <w:p w14:paraId="14C3B498">
      <w:pPr>
        <w:pStyle w:val="12"/>
        <w:widowControl/>
        <w:ind w:firstLine="480"/>
      </w:pPr>
      <w:r>
        <w:t>本项目不涉及电子政务云资源申请。平台部署方案根据学校信息化基础条件，可采用本地部署或混合部署方式，具体部署架构经采购人确认后实施。</w:t>
      </w:r>
    </w:p>
    <w:p w14:paraId="5BE39F7E">
      <w:pPr>
        <w:pStyle w:val="2"/>
        <w:widowControl/>
        <w:numPr>
          <w:ilvl w:val="0"/>
          <w:numId w:val="1"/>
        </w:numPr>
        <w:rPr>
          <w:rFonts w:hint="eastAsia" w:ascii="黑体" w:hAnsi="黑体" w:cs="黑体"/>
        </w:rPr>
      </w:pPr>
      <w:r>
        <w:t>其他工作要求</w:t>
      </w:r>
    </w:p>
    <w:p w14:paraId="3C6CBEC3">
      <w:pPr>
        <w:pStyle w:val="3"/>
        <w:numPr>
          <w:ilvl w:val="0"/>
          <w:numId w:val="4"/>
        </w:numPr>
        <w:rPr>
          <w:rFonts w:hint="eastAsia"/>
        </w:rPr>
      </w:pPr>
      <w:bookmarkStart w:id="0" w:name="_Toc63785505"/>
      <w:r>
        <w:rPr>
          <w:rFonts w:hint="eastAsia"/>
        </w:rPr>
        <w:t>售后服务要求</w:t>
      </w:r>
      <w:bookmarkEnd w:id="0"/>
    </w:p>
    <w:p w14:paraId="041FA4F8">
      <w:pPr>
        <w:pStyle w:val="12"/>
        <w:widowControl/>
        <w:ind w:firstLine="480"/>
      </w:pPr>
      <w:r>
        <w:t>本项目从系统验收通过之日起</w:t>
      </w:r>
      <w:r>
        <w:rPr>
          <w:rFonts w:hint="eastAsia"/>
          <w:b/>
        </w:rPr>
        <w:t>2</w:t>
      </w:r>
      <w:r>
        <w:rPr>
          <w:b/>
        </w:rPr>
        <w:t>年内</w:t>
      </w:r>
      <w:r>
        <w:t>提供7×24小时免费技术支持和售后服务。</w:t>
      </w:r>
      <w:r>
        <w:rPr>
          <w:rFonts w:hint="eastAsia"/>
        </w:rPr>
        <w:t>2</w:t>
      </w:r>
      <w:r>
        <w:t>年后进入有偿维护期。</w:t>
      </w:r>
    </w:p>
    <w:p w14:paraId="3849AE87">
      <w:pPr>
        <w:pStyle w:val="12"/>
        <w:widowControl/>
        <w:ind w:firstLine="480"/>
      </w:pPr>
      <w:r>
        <w:t>在质量保证期内，供应商应按照售后服务的承诺提供保修和运行维护服务。如果厂商对信息系统中软、硬件设备等产品中的部分保修期超过上述期限的，则按照厂商的规定进行免费保修。</w:t>
      </w:r>
    </w:p>
    <w:p w14:paraId="19533E8E">
      <w:pPr>
        <w:pStyle w:val="12"/>
        <w:widowControl/>
        <w:ind w:firstLine="480"/>
      </w:pPr>
      <w:r>
        <w:t>在质量保证期内，供应商负责信息系统的运行维护工作，确保信息系统安全、稳定、可靠地运行。运行维护工作范围包括：平台所有软件模块的日常运维、故障处理、性能优化、安全加固、数据备份与恢复等。</w:t>
      </w:r>
    </w:p>
    <w:p w14:paraId="58C501FB">
      <w:pPr>
        <w:pStyle w:val="3"/>
        <w:numPr>
          <w:ilvl w:val="0"/>
          <w:numId w:val="4"/>
        </w:numPr>
        <w:rPr>
          <w:rFonts w:hint="eastAsia"/>
        </w:rPr>
      </w:pPr>
      <w:r>
        <w:t>应急响应要求</w:t>
      </w:r>
    </w:p>
    <w:p w14:paraId="4EE133E8">
      <w:pPr>
        <w:pStyle w:val="12"/>
        <w:widowControl/>
        <w:ind w:firstLine="480"/>
      </w:pPr>
      <w:r>
        <w:t>供应商对系统故障应能够实时响应。若系统发生故障，接到通知后</w:t>
      </w:r>
      <w:r>
        <w:rPr>
          <w:b/>
        </w:rPr>
        <w:t>30分钟</w:t>
      </w:r>
      <w:r>
        <w:t>之内响应，专业工程师</w:t>
      </w:r>
      <w:r>
        <w:rPr>
          <w:b/>
        </w:rPr>
        <w:t>2小时内</w:t>
      </w:r>
      <w:r>
        <w:t>到达现场（或远程接入）。特殊故障与客户沟通协商后，按照协商的方式制定解决方案并进行处理。</w:t>
      </w:r>
    </w:p>
    <w:p w14:paraId="453A7263">
      <w:pPr>
        <w:pStyle w:val="12"/>
        <w:widowControl/>
        <w:ind w:firstLine="480"/>
      </w:pPr>
      <w:r>
        <w:t>具体故障级别及对应的应急响应要求如下：</w:t>
      </w:r>
    </w:p>
    <w:p w14:paraId="59C19C0F">
      <w:pPr>
        <w:pStyle w:val="12"/>
        <w:widowControl/>
        <w:numPr>
          <w:ilvl w:val="0"/>
          <w:numId w:val="5"/>
        </w:numPr>
        <w:ind w:firstLineChars="0"/>
        <w:rPr>
          <w:bCs/>
        </w:rPr>
      </w:pPr>
      <w:r>
        <w:rPr>
          <w:bCs/>
        </w:rPr>
        <w:t>一级故障（系统不可用）：在1小时内确诊，总故障解决时间不超过4小时；</w:t>
      </w:r>
    </w:p>
    <w:p w14:paraId="7D4F4322">
      <w:pPr>
        <w:pStyle w:val="12"/>
        <w:widowControl/>
        <w:numPr>
          <w:ilvl w:val="0"/>
          <w:numId w:val="5"/>
        </w:numPr>
        <w:ind w:firstLineChars="0"/>
        <w:rPr>
          <w:bCs/>
        </w:rPr>
      </w:pPr>
      <w:r>
        <w:rPr>
          <w:bCs/>
        </w:rPr>
        <w:t>二级故障（主要功能不可用）：在2小时内确诊，总故障解决时间不超过8小时；</w:t>
      </w:r>
    </w:p>
    <w:p w14:paraId="3275993E">
      <w:pPr>
        <w:pStyle w:val="12"/>
        <w:widowControl/>
        <w:numPr>
          <w:ilvl w:val="0"/>
          <w:numId w:val="5"/>
        </w:numPr>
        <w:ind w:firstLineChars="0"/>
        <w:rPr>
          <w:bCs/>
        </w:rPr>
      </w:pPr>
      <w:r>
        <w:rPr>
          <w:bCs/>
        </w:rPr>
        <w:t>三、四级故障（一般功能问题或操作咨询）：在4小时内确诊，总故障解决时间不超过16小时。</w:t>
      </w:r>
    </w:p>
    <w:p w14:paraId="3BEBC4FC">
      <w:pPr>
        <w:pStyle w:val="3"/>
        <w:numPr>
          <w:ilvl w:val="0"/>
          <w:numId w:val="4"/>
        </w:numPr>
        <w:rPr>
          <w:rFonts w:hint="eastAsia"/>
        </w:rPr>
      </w:pPr>
      <w:r>
        <w:t>培训要求</w:t>
      </w:r>
    </w:p>
    <w:p w14:paraId="49A5EB47">
      <w:pPr>
        <w:pStyle w:val="12"/>
        <w:widowControl/>
        <w:ind w:firstLine="480"/>
      </w:pPr>
      <w:r>
        <w:t>供应商应对系统使用单位提供业务操作培训，应提供详细培训方案。</w:t>
      </w:r>
    </w:p>
    <w:p w14:paraId="20686046">
      <w:pPr>
        <w:pStyle w:val="12"/>
        <w:widowControl/>
        <w:numPr>
          <w:ilvl w:val="0"/>
          <w:numId w:val="6"/>
        </w:numPr>
        <w:ind w:firstLineChars="0"/>
        <w:rPr>
          <w:rFonts w:hint="eastAsia" w:ascii="宋体" w:hAnsi="宋体" w:cs="宋体"/>
        </w:rPr>
      </w:pPr>
      <w:r>
        <w:t>在2</w:t>
      </w:r>
      <w:r>
        <w:rPr>
          <w:rFonts w:hint="eastAsia"/>
        </w:rPr>
        <w:t>年</w:t>
      </w:r>
      <w:r>
        <w:t>的质量保证期内，提供不少于2次与项目相关的必要培训。</w:t>
      </w:r>
    </w:p>
    <w:p w14:paraId="46A2D4FB">
      <w:pPr>
        <w:pStyle w:val="12"/>
        <w:widowControl/>
        <w:numPr>
          <w:ilvl w:val="0"/>
          <w:numId w:val="6"/>
        </w:numPr>
        <w:ind w:firstLineChars="0"/>
        <w:rPr>
          <w:rFonts w:hint="eastAsia" w:ascii="宋体" w:hAnsi="宋体" w:cs="宋体"/>
        </w:rPr>
      </w:pPr>
      <w:r>
        <w:t>供应商需要开展分层次的人员培训工作，包括面向教师的教学应用培训、面向学生的使用培训、面向管理人员的系统管理培训等。每次培训后应对参加培训人员进行效果评估。培训应具有培训教材、培训环境和高水平的培训讲师。</w:t>
      </w:r>
    </w:p>
    <w:p w14:paraId="0BB8F339">
      <w:pPr>
        <w:pStyle w:val="12"/>
        <w:widowControl/>
        <w:numPr>
          <w:ilvl w:val="0"/>
          <w:numId w:val="6"/>
        </w:numPr>
        <w:ind w:firstLineChars="0"/>
        <w:rPr>
          <w:rFonts w:hint="eastAsia" w:ascii="宋体" w:hAnsi="宋体" w:cs="宋体"/>
        </w:rPr>
      </w:pPr>
      <w:r>
        <w:t>供应商应提供一般用户的基础操作培训和部门信息管理员的日常应用维护培训，确保用户对象能够掌握对应的操作技能。</w:t>
      </w:r>
    </w:p>
    <w:p w14:paraId="11D77A27">
      <w:pPr>
        <w:pStyle w:val="3"/>
        <w:numPr>
          <w:ilvl w:val="0"/>
          <w:numId w:val="4"/>
        </w:numPr>
        <w:rPr>
          <w:rFonts w:hint="eastAsia"/>
        </w:rPr>
      </w:pPr>
      <w:r>
        <w:t>进度要求</w:t>
      </w:r>
    </w:p>
    <w:p w14:paraId="58AF79AC">
      <w:pPr>
        <w:pStyle w:val="12"/>
        <w:widowControl/>
        <w:ind w:firstLine="480"/>
      </w:pPr>
      <w:r>
        <w:t>投标人应根据建设内容，分阶段制定合理的时间进度，并且应根据招标方要求进行调整和细化。</w:t>
      </w:r>
    </w:p>
    <w:p w14:paraId="6FC081AD">
      <w:pPr>
        <w:pStyle w:val="12"/>
        <w:widowControl/>
        <w:ind w:firstLine="482"/>
      </w:pPr>
      <w:r>
        <w:rPr>
          <w:b/>
        </w:rPr>
        <w:t>总建设周期为</w:t>
      </w:r>
      <w:r>
        <w:rPr>
          <w:rFonts w:hint="eastAsia"/>
          <w:b/>
        </w:rPr>
        <w:t>18</w:t>
      </w:r>
      <w:r>
        <w:rPr>
          <w:b/>
        </w:rPr>
        <w:t>个月</w:t>
      </w:r>
      <w:r>
        <w:t>，分为</w:t>
      </w:r>
      <w:r>
        <w:rPr>
          <w:rFonts w:hint="eastAsia"/>
        </w:rPr>
        <w:t>3</w:t>
      </w:r>
      <w:r>
        <w:t>个阶段：</w:t>
      </w:r>
    </w:p>
    <w:p w14:paraId="1D4AB93D">
      <w:pPr>
        <w:pStyle w:val="12"/>
        <w:widowControl/>
        <w:numPr>
          <w:ilvl w:val="0"/>
          <w:numId w:val="7"/>
        </w:numPr>
        <w:ind w:firstLineChars="0"/>
      </w:pPr>
      <w:r>
        <w:rPr>
          <w:b/>
        </w:rPr>
        <w:t>第一阶段（</w:t>
      </w:r>
      <w:r>
        <w:rPr>
          <w:rFonts w:hint="eastAsia"/>
          <w:b/>
        </w:rPr>
        <w:t>6</w:t>
      </w:r>
      <w:r>
        <w:rPr>
          <w:b/>
        </w:rPr>
        <w:t>个月）</w:t>
      </w:r>
      <w:r>
        <w:t xml:space="preserve"> ：完成统一身份认证、教务课表、教学平台、智慧黑板、一卡通刷卡进课、</w:t>
      </w:r>
      <w:r>
        <w:rPr>
          <w:rFonts w:hint="eastAsia"/>
        </w:rPr>
        <w:t>考勤请假</w:t>
      </w:r>
      <w:r>
        <w:t>、基础数据汇聚、智慧教室试点。形成“刷卡即登录、刷卡即进课、课后数据自动沉淀”的课堂入口体验。</w:t>
      </w:r>
    </w:p>
    <w:p w14:paraId="2D42E55E">
      <w:pPr>
        <w:pStyle w:val="12"/>
        <w:widowControl/>
        <w:numPr>
          <w:ilvl w:val="0"/>
          <w:numId w:val="7"/>
        </w:numPr>
        <w:ind w:firstLineChars="0"/>
      </w:pPr>
      <w:r>
        <w:rPr>
          <w:b/>
        </w:rPr>
        <w:t>第二阶段（</w:t>
      </w:r>
      <w:r>
        <w:rPr>
          <w:rFonts w:hint="eastAsia"/>
          <w:b/>
        </w:rPr>
        <w:t>6</w:t>
      </w:r>
      <w:r>
        <w:rPr>
          <w:b/>
        </w:rPr>
        <w:t>个月）</w:t>
      </w:r>
      <w:r>
        <w:t xml:space="preserve"> ：</w:t>
      </w:r>
      <w:r>
        <w:rPr>
          <w:rFonts w:hint="eastAsia"/>
        </w:rPr>
        <w:t>完成</w:t>
      </w:r>
      <w:r>
        <w:t>知识图谱、AI备课、AI助教、智能题库、AI批阅、实践教学管理、课堂报告、学情分析、智慧考核。形成课前、课中、课后、考核一体化应用闭环，推广至重点课程和专业。</w:t>
      </w:r>
    </w:p>
    <w:p w14:paraId="7457BEB7">
      <w:pPr>
        <w:pStyle w:val="12"/>
        <w:widowControl/>
        <w:numPr>
          <w:ilvl w:val="0"/>
          <w:numId w:val="7"/>
        </w:numPr>
        <w:ind w:firstLineChars="0"/>
      </w:pPr>
      <w:r>
        <w:rPr>
          <w:b/>
        </w:rPr>
        <w:t>第三阶段（</w:t>
      </w:r>
      <w:r>
        <w:rPr>
          <w:rFonts w:hint="eastAsia"/>
          <w:b/>
        </w:rPr>
        <w:t>6</w:t>
      </w:r>
      <w:r>
        <w:rPr>
          <w:b/>
        </w:rPr>
        <w:t>个月）</w:t>
      </w:r>
      <w:r>
        <w:t xml:space="preserve"> ：完成教学治理驾驶舱、AI数字督导、认证助手、招培就一体化分析、产业数据中心深化应用。形成可复制、可推广的智慧教学平台样板，支撑学校示范建设。</w:t>
      </w:r>
    </w:p>
    <w:p w14:paraId="4ECB8C37">
      <w:pPr>
        <w:pStyle w:val="3"/>
        <w:numPr>
          <w:ilvl w:val="0"/>
          <w:numId w:val="4"/>
        </w:numPr>
        <w:rPr>
          <w:rFonts w:hint="eastAsia"/>
        </w:rPr>
      </w:pPr>
      <w:r>
        <w:t>项目团队及驻场人员要求</w:t>
      </w:r>
    </w:p>
    <w:p w14:paraId="2BE20BC9">
      <w:pPr>
        <w:pStyle w:val="12"/>
        <w:widowControl/>
        <w:numPr>
          <w:ilvl w:val="0"/>
          <w:numId w:val="8"/>
        </w:numPr>
        <w:ind w:firstLineChars="0"/>
        <w:rPr>
          <w:rFonts w:hint="eastAsia" w:ascii="宋体" w:hAnsi="宋体" w:cs="宋体"/>
        </w:rPr>
      </w:pPr>
      <w:r>
        <w:t>投标人须具有稳定的在职技术保障力量，能够提供及时的技术支援或服务，应针对本项目提供不少于</w:t>
      </w:r>
      <w:r>
        <w:rPr>
          <w:b/>
        </w:rPr>
        <w:t>8人</w:t>
      </w:r>
      <w:r>
        <w:t>的项目服务团队（包括项目经理、产品经理、技术负责人、研发等），投标单位的相关服务人员需具备相应的服务能力，需提供相关证明。</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1624"/>
        <w:gridCol w:w="2638"/>
      </w:tblGrid>
      <w:tr w14:paraId="29C4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shd w:val="clear" w:color="auto" w:fill="E7E6E6" w:themeFill="background2"/>
            <w:vAlign w:val="center"/>
          </w:tcPr>
          <w:p w14:paraId="0B874270">
            <w:pPr>
              <w:pStyle w:val="17"/>
              <w:snapToGrid w:val="0"/>
              <w:jc w:val="center"/>
              <w:rPr>
                <w:rFonts w:hint="eastAsia" w:ascii="宋体" w:hAnsi="宋体" w:eastAsia="宋体" w:cs="微软雅黑"/>
                <w:b/>
              </w:rPr>
            </w:pPr>
            <w:r>
              <w:rPr>
                <w:rFonts w:hint="eastAsia" w:ascii="宋体" w:hAnsi="宋体" w:eastAsia="宋体" w:cs="微软雅黑"/>
                <w:b/>
              </w:rPr>
              <w:t>角色</w:t>
            </w:r>
          </w:p>
        </w:tc>
        <w:tc>
          <w:tcPr>
            <w:tcW w:w="2130" w:type="dxa"/>
            <w:shd w:val="clear" w:color="auto" w:fill="E7E6E6" w:themeFill="background2"/>
            <w:vAlign w:val="center"/>
          </w:tcPr>
          <w:p w14:paraId="77612FBD">
            <w:pPr>
              <w:pStyle w:val="17"/>
              <w:snapToGrid w:val="0"/>
              <w:jc w:val="center"/>
              <w:rPr>
                <w:rFonts w:hint="eastAsia" w:ascii="宋体" w:hAnsi="宋体" w:eastAsia="宋体" w:cs="微软雅黑"/>
                <w:b/>
              </w:rPr>
            </w:pPr>
            <w:r>
              <w:rPr>
                <w:rFonts w:hint="eastAsia" w:ascii="宋体" w:hAnsi="宋体" w:eastAsia="宋体" w:cs="微软雅黑"/>
                <w:b/>
              </w:rPr>
              <w:t>主要职责</w:t>
            </w:r>
          </w:p>
        </w:tc>
        <w:tc>
          <w:tcPr>
            <w:tcW w:w="1624" w:type="dxa"/>
            <w:shd w:val="clear" w:color="auto" w:fill="E7E6E6" w:themeFill="background2"/>
            <w:vAlign w:val="center"/>
          </w:tcPr>
          <w:p w14:paraId="2267EA04">
            <w:pPr>
              <w:pStyle w:val="17"/>
              <w:snapToGrid w:val="0"/>
              <w:jc w:val="center"/>
              <w:rPr>
                <w:rFonts w:hint="eastAsia" w:ascii="宋体" w:hAnsi="宋体" w:eastAsia="宋体" w:cs="微软雅黑"/>
                <w:b/>
              </w:rPr>
            </w:pPr>
            <w:r>
              <w:rPr>
                <w:rFonts w:hint="eastAsia" w:ascii="宋体" w:hAnsi="宋体" w:eastAsia="宋体" w:cs="微软雅黑"/>
                <w:b/>
              </w:rPr>
              <w:t>人员数量</w:t>
            </w:r>
          </w:p>
        </w:tc>
        <w:tc>
          <w:tcPr>
            <w:tcW w:w="2638" w:type="dxa"/>
            <w:shd w:val="clear" w:color="auto" w:fill="E7E6E6" w:themeFill="background2"/>
            <w:vAlign w:val="center"/>
          </w:tcPr>
          <w:p w14:paraId="0284ED30">
            <w:pPr>
              <w:pStyle w:val="17"/>
              <w:snapToGrid w:val="0"/>
              <w:jc w:val="center"/>
              <w:rPr>
                <w:rFonts w:hint="eastAsia" w:ascii="宋体" w:hAnsi="宋体" w:eastAsia="宋体" w:cs="微软雅黑"/>
                <w:b/>
              </w:rPr>
            </w:pPr>
            <w:r>
              <w:rPr>
                <w:rFonts w:hint="eastAsia" w:ascii="宋体" w:hAnsi="宋体" w:eastAsia="宋体" w:cs="微软雅黑"/>
                <w:b/>
              </w:rPr>
              <w:t>人员要求</w:t>
            </w:r>
          </w:p>
        </w:tc>
      </w:tr>
      <w:tr w14:paraId="5E06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6C4B39FC">
            <w:pPr>
              <w:pStyle w:val="17"/>
              <w:snapToGrid w:val="0"/>
              <w:jc w:val="center"/>
              <w:rPr>
                <w:rFonts w:hint="eastAsia" w:eastAsia="宋体"/>
              </w:rPr>
            </w:pPr>
            <w:r>
              <w:rPr>
                <w:rFonts w:hint="eastAsia" w:ascii="宋体" w:hAnsi="宋体" w:eastAsia="宋体" w:cs="微软雅黑"/>
              </w:rPr>
              <w:t>项目负责人</w:t>
            </w:r>
          </w:p>
        </w:tc>
        <w:tc>
          <w:tcPr>
            <w:tcW w:w="2130" w:type="dxa"/>
            <w:vAlign w:val="center"/>
          </w:tcPr>
          <w:p w14:paraId="704994AF">
            <w:pPr>
              <w:pStyle w:val="17"/>
              <w:snapToGrid w:val="0"/>
              <w:rPr>
                <w:rFonts w:hint="eastAsia"/>
              </w:rPr>
            </w:pPr>
            <w:r>
              <w:rPr>
                <w:rFonts w:hint="eastAsia" w:ascii="宋体" w:hAnsi="宋体" w:eastAsia="宋体" w:cs="微软雅黑"/>
              </w:rPr>
              <w:t>负责项目整体质量和进度控制</w:t>
            </w:r>
          </w:p>
        </w:tc>
        <w:tc>
          <w:tcPr>
            <w:tcW w:w="1624" w:type="dxa"/>
            <w:vAlign w:val="center"/>
          </w:tcPr>
          <w:p w14:paraId="4196F72D">
            <w:pPr>
              <w:pStyle w:val="17"/>
              <w:snapToGrid w:val="0"/>
              <w:rPr>
                <w:rFonts w:hint="eastAsia"/>
              </w:rPr>
            </w:pPr>
            <w:r>
              <w:rPr>
                <w:rFonts w:hint="eastAsia" w:ascii="宋体" w:hAnsi="宋体" w:eastAsia="宋体" w:cs="微软雅黑"/>
              </w:rPr>
              <w:t>1人</w:t>
            </w:r>
          </w:p>
        </w:tc>
        <w:tc>
          <w:tcPr>
            <w:tcW w:w="2638" w:type="dxa"/>
            <w:vAlign w:val="center"/>
          </w:tcPr>
          <w:p w14:paraId="5A980DAE">
            <w:pPr>
              <w:pStyle w:val="17"/>
              <w:snapToGrid w:val="0"/>
              <w:rPr>
                <w:rFonts w:hint="eastAsia" w:eastAsia="宋体"/>
                <w:lang w:eastAsia="zh-CN"/>
              </w:rPr>
            </w:pPr>
            <w:r>
              <w:rPr>
                <w:rFonts w:hint="eastAsia" w:ascii="宋体" w:hAnsi="宋体" w:eastAsia="宋体" w:cs="微软雅黑"/>
              </w:rPr>
              <w:t>5年以上信息化项目管理经验；具备信息系统项目管理师</w:t>
            </w:r>
            <w:r>
              <w:rPr>
                <w:rFonts w:hint="eastAsia" w:ascii="宋体" w:hAnsi="宋体" w:eastAsia="宋体" w:cs="微软雅黑"/>
                <w:lang w:eastAsia="zh-CN"/>
              </w:rPr>
              <w:t>的优先考虑</w:t>
            </w:r>
          </w:p>
        </w:tc>
      </w:tr>
      <w:tr w14:paraId="2A287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7E1CC939">
            <w:pPr>
              <w:pStyle w:val="17"/>
              <w:snapToGrid w:val="0"/>
              <w:jc w:val="center"/>
              <w:rPr>
                <w:rFonts w:hint="eastAsia"/>
              </w:rPr>
            </w:pPr>
            <w:r>
              <w:rPr>
                <w:rFonts w:hint="eastAsia" w:ascii="宋体" w:hAnsi="宋体" w:eastAsia="宋体" w:cs="微软雅黑"/>
              </w:rPr>
              <w:t>产品经理</w:t>
            </w:r>
          </w:p>
        </w:tc>
        <w:tc>
          <w:tcPr>
            <w:tcW w:w="2130" w:type="dxa"/>
            <w:vAlign w:val="center"/>
          </w:tcPr>
          <w:p w14:paraId="3E090A3F">
            <w:pPr>
              <w:pStyle w:val="17"/>
              <w:snapToGrid w:val="0"/>
              <w:rPr>
                <w:rFonts w:hint="eastAsia"/>
              </w:rPr>
            </w:pPr>
            <w:r>
              <w:rPr>
                <w:rFonts w:hint="eastAsia" w:ascii="宋体" w:hAnsi="宋体" w:eastAsia="宋体" w:cs="微软雅黑"/>
              </w:rPr>
              <w:t>负责项目需求评估与产品设计</w:t>
            </w:r>
          </w:p>
        </w:tc>
        <w:tc>
          <w:tcPr>
            <w:tcW w:w="1624" w:type="dxa"/>
            <w:vAlign w:val="center"/>
          </w:tcPr>
          <w:p w14:paraId="56BF6969">
            <w:pPr>
              <w:pStyle w:val="17"/>
              <w:snapToGrid w:val="0"/>
              <w:rPr>
                <w:rFonts w:hint="eastAsia"/>
              </w:rPr>
            </w:pPr>
            <w:r>
              <w:rPr>
                <w:rFonts w:hint="eastAsia" w:ascii="宋体" w:hAnsi="宋体" w:eastAsia="宋体" w:cs="微软雅黑"/>
              </w:rPr>
              <w:t>1人</w:t>
            </w:r>
          </w:p>
        </w:tc>
        <w:tc>
          <w:tcPr>
            <w:tcW w:w="2638" w:type="dxa"/>
            <w:vAlign w:val="center"/>
          </w:tcPr>
          <w:p w14:paraId="4313369F">
            <w:pPr>
              <w:pStyle w:val="17"/>
              <w:snapToGrid w:val="0"/>
              <w:rPr>
                <w:rFonts w:hint="eastAsia" w:eastAsia="宋体"/>
              </w:rPr>
            </w:pPr>
            <w:r>
              <w:rPr>
                <w:rFonts w:hint="eastAsia" w:ascii="宋体" w:hAnsi="宋体" w:eastAsia="宋体" w:cs="微软雅黑"/>
              </w:rPr>
              <w:t>3年以上教育信息化产品设计经验；具备系统分析师</w:t>
            </w:r>
            <w:r>
              <w:rPr>
                <w:rFonts w:hint="eastAsia" w:ascii="宋体" w:hAnsi="宋体" w:eastAsia="宋体" w:cs="微软雅黑"/>
                <w:lang w:eastAsia="zh-CN"/>
              </w:rPr>
              <w:t>证书的优先考虑</w:t>
            </w:r>
          </w:p>
        </w:tc>
      </w:tr>
      <w:tr w14:paraId="3BFF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EAAE2BE">
            <w:pPr>
              <w:pStyle w:val="17"/>
              <w:snapToGrid w:val="0"/>
              <w:jc w:val="center"/>
              <w:rPr>
                <w:rFonts w:hint="eastAsia"/>
              </w:rPr>
            </w:pPr>
            <w:r>
              <w:rPr>
                <w:rFonts w:hint="eastAsia" w:ascii="宋体" w:hAnsi="宋体" w:eastAsia="宋体" w:cs="微软雅黑"/>
              </w:rPr>
              <w:t>技术负责人</w:t>
            </w:r>
          </w:p>
        </w:tc>
        <w:tc>
          <w:tcPr>
            <w:tcW w:w="2130" w:type="dxa"/>
            <w:vAlign w:val="center"/>
          </w:tcPr>
          <w:p w14:paraId="27CA280B">
            <w:pPr>
              <w:pStyle w:val="17"/>
              <w:snapToGrid w:val="0"/>
              <w:rPr>
                <w:rFonts w:hint="eastAsia"/>
              </w:rPr>
            </w:pPr>
            <w:r>
              <w:rPr>
                <w:rFonts w:hint="eastAsia" w:ascii="宋体" w:hAnsi="宋体" w:eastAsia="宋体" w:cs="微软雅黑"/>
              </w:rPr>
              <w:t>负责系统架构设计与技术方案把关</w:t>
            </w:r>
          </w:p>
        </w:tc>
        <w:tc>
          <w:tcPr>
            <w:tcW w:w="1624" w:type="dxa"/>
            <w:vAlign w:val="center"/>
          </w:tcPr>
          <w:p w14:paraId="0D7519E5">
            <w:pPr>
              <w:pStyle w:val="17"/>
              <w:snapToGrid w:val="0"/>
              <w:rPr>
                <w:rFonts w:hint="eastAsia"/>
              </w:rPr>
            </w:pPr>
            <w:r>
              <w:rPr>
                <w:rFonts w:hint="eastAsia" w:ascii="宋体" w:hAnsi="宋体" w:eastAsia="宋体" w:cs="微软雅黑"/>
              </w:rPr>
              <w:t>1人</w:t>
            </w:r>
          </w:p>
        </w:tc>
        <w:tc>
          <w:tcPr>
            <w:tcW w:w="2638" w:type="dxa"/>
            <w:vAlign w:val="center"/>
          </w:tcPr>
          <w:p w14:paraId="412C1108">
            <w:pPr>
              <w:pStyle w:val="11"/>
              <w:rPr>
                <w:rFonts w:hint="eastAsia" w:eastAsia="宋体"/>
                <w:lang w:eastAsia="zh-CN"/>
              </w:rPr>
            </w:pPr>
            <w:r>
              <w:rPr>
                <w:rFonts w:hint="eastAsia" w:ascii="宋体" w:hAnsi="宋体" w:eastAsia="宋体" w:cs="微软雅黑"/>
              </w:rPr>
              <w:t>5年以上架构设计经验；具备系统分析师</w:t>
            </w:r>
            <w:r>
              <w:rPr>
                <w:rFonts w:hint="eastAsia" w:ascii="宋体" w:hAnsi="宋体" w:eastAsia="宋体" w:cs="微软雅黑"/>
                <w:lang w:eastAsia="zh-CN"/>
              </w:rPr>
              <w:t>证书的优先考虑</w:t>
            </w:r>
          </w:p>
        </w:tc>
      </w:tr>
      <w:tr w14:paraId="23B9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330E233C">
            <w:pPr>
              <w:pStyle w:val="17"/>
              <w:snapToGrid w:val="0"/>
              <w:jc w:val="center"/>
              <w:rPr>
                <w:rFonts w:hint="eastAsia"/>
              </w:rPr>
            </w:pPr>
            <w:r>
              <w:rPr>
                <w:rFonts w:hint="eastAsia" w:ascii="宋体" w:hAnsi="宋体" w:eastAsia="宋体" w:cs="微软雅黑"/>
              </w:rPr>
              <w:t>研发工程师</w:t>
            </w:r>
          </w:p>
        </w:tc>
        <w:tc>
          <w:tcPr>
            <w:tcW w:w="2130" w:type="dxa"/>
            <w:vAlign w:val="center"/>
          </w:tcPr>
          <w:p w14:paraId="2478B7A6">
            <w:pPr>
              <w:pStyle w:val="17"/>
              <w:snapToGrid w:val="0"/>
              <w:rPr>
                <w:rFonts w:hint="eastAsia"/>
              </w:rPr>
            </w:pPr>
            <w:r>
              <w:rPr>
                <w:rFonts w:hint="eastAsia" w:ascii="宋体" w:hAnsi="宋体" w:eastAsia="宋体" w:cs="微软雅黑"/>
              </w:rPr>
              <w:t>负责系统具体开发与实施</w:t>
            </w:r>
          </w:p>
        </w:tc>
        <w:tc>
          <w:tcPr>
            <w:tcW w:w="1624" w:type="dxa"/>
            <w:vAlign w:val="center"/>
          </w:tcPr>
          <w:p w14:paraId="04FB9FDF">
            <w:pPr>
              <w:pStyle w:val="17"/>
              <w:snapToGrid w:val="0"/>
              <w:rPr>
                <w:rFonts w:hint="eastAsia"/>
              </w:rPr>
            </w:pPr>
            <w:r>
              <w:rPr>
                <w:rFonts w:hint="eastAsia" w:ascii="宋体" w:hAnsi="宋体" w:eastAsia="宋体" w:cs="微软雅黑"/>
              </w:rPr>
              <w:t>不少于4人</w:t>
            </w:r>
          </w:p>
        </w:tc>
        <w:tc>
          <w:tcPr>
            <w:tcW w:w="2638" w:type="dxa"/>
            <w:vAlign w:val="center"/>
          </w:tcPr>
          <w:p w14:paraId="61B8F38F">
            <w:pPr>
              <w:pStyle w:val="17"/>
              <w:snapToGrid w:val="0"/>
              <w:rPr>
                <w:rFonts w:hint="eastAsia"/>
              </w:rPr>
            </w:pPr>
            <w:r>
              <w:rPr>
                <w:rFonts w:hint="eastAsia" w:ascii="宋体" w:hAnsi="宋体" w:eastAsia="宋体" w:cs="微软雅黑"/>
              </w:rPr>
              <w:t>3年以上开发经验，熟悉微服务架构；</w:t>
            </w:r>
          </w:p>
        </w:tc>
      </w:tr>
      <w:tr w14:paraId="5C12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vAlign w:val="center"/>
          </w:tcPr>
          <w:p w14:paraId="5E04122B">
            <w:pPr>
              <w:pStyle w:val="17"/>
              <w:snapToGrid w:val="0"/>
              <w:jc w:val="center"/>
              <w:rPr>
                <w:rFonts w:hint="eastAsia"/>
              </w:rPr>
            </w:pPr>
            <w:r>
              <w:rPr>
                <w:rFonts w:hint="eastAsia" w:ascii="宋体" w:hAnsi="宋体" w:eastAsia="宋体" w:cs="微软雅黑"/>
              </w:rPr>
              <w:t>实施工程师</w:t>
            </w:r>
          </w:p>
        </w:tc>
        <w:tc>
          <w:tcPr>
            <w:tcW w:w="2130" w:type="dxa"/>
            <w:vAlign w:val="center"/>
          </w:tcPr>
          <w:p w14:paraId="0A4019F7">
            <w:pPr>
              <w:pStyle w:val="17"/>
              <w:snapToGrid w:val="0"/>
              <w:rPr>
                <w:rFonts w:hint="eastAsia"/>
              </w:rPr>
            </w:pPr>
            <w:r>
              <w:rPr>
                <w:rFonts w:hint="eastAsia" w:ascii="宋体" w:hAnsi="宋体" w:eastAsia="宋体" w:cs="微软雅黑"/>
              </w:rPr>
              <w:t>负责系统部署、数据迁移与现场实施</w:t>
            </w:r>
          </w:p>
        </w:tc>
        <w:tc>
          <w:tcPr>
            <w:tcW w:w="1624" w:type="dxa"/>
            <w:vAlign w:val="center"/>
          </w:tcPr>
          <w:p w14:paraId="57C987AA">
            <w:pPr>
              <w:pStyle w:val="17"/>
              <w:snapToGrid w:val="0"/>
              <w:rPr>
                <w:rFonts w:hint="eastAsia"/>
              </w:rPr>
            </w:pPr>
            <w:r>
              <w:rPr>
                <w:rFonts w:hint="eastAsia" w:ascii="宋体" w:hAnsi="宋体" w:eastAsia="宋体" w:cs="微软雅黑"/>
              </w:rPr>
              <w:t>不少于1人</w:t>
            </w:r>
          </w:p>
        </w:tc>
        <w:tc>
          <w:tcPr>
            <w:tcW w:w="2638" w:type="dxa"/>
            <w:vAlign w:val="center"/>
          </w:tcPr>
          <w:p w14:paraId="484A7753">
            <w:pPr>
              <w:pStyle w:val="17"/>
              <w:snapToGrid w:val="0"/>
              <w:rPr>
                <w:rFonts w:hint="eastAsia"/>
              </w:rPr>
            </w:pPr>
            <w:r>
              <w:rPr>
                <w:rFonts w:hint="eastAsia" w:ascii="宋体" w:hAnsi="宋体" w:eastAsia="宋体" w:cs="微软雅黑"/>
              </w:rPr>
              <w:t>2年以上信息化项目实施经验</w:t>
            </w:r>
          </w:p>
        </w:tc>
      </w:tr>
    </w:tbl>
    <w:p w14:paraId="58CD027E">
      <w:pPr>
        <w:pStyle w:val="12"/>
        <w:widowControl/>
        <w:ind w:firstLine="0" w:firstLineChars="0"/>
      </w:pPr>
    </w:p>
    <w:p w14:paraId="74C19FC5">
      <w:pPr>
        <w:pStyle w:val="12"/>
        <w:widowControl/>
        <w:numPr>
          <w:ilvl w:val="0"/>
          <w:numId w:val="8"/>
        </w:numPr>
        <w:ind w:firstLineChars="0"/>
        <w:rPr>
          <w:rFonts w:hint="eastAsia" w:ascii="宋体" w:hAnsi="宋体" w:cs="宋体"/>
        </w:rPr>
      </w:pPr>
      <w:r>
        <w:t>投标人应针对本项目提供不少于</w:t>
      </w:r>
      <w:r>
        <w:rPr>
          <w:b/>
        </w:rPr>
        <w:t>3人</w:t>
      </w:r>
      <w:r>
        <w:t>的质保期间支撑团队（其中技术经理1人、产品经理1人、技术工程师不少于1人</w:t>
      </w:r>
      <w:r>
        <w:rPr>
          <w:rFonts w:hint="eastAsia"/>
          <w:lang w:eastAsia="zh-CN"/>
        </w:rPr>
        <w:t>，其中确保不少于一人驻场</w:t>
      </w:r>
      <w:bookmarkStart w:id="1" w:name="_GoBack"/>
      <w:bookmarkEnd w:id="1"/>
      <w:r>
        <w:t>）；投标人的相关服务人员需具备相应的服务能力，需提供</w:t>
      </w:r>
      <w:r>
        <w:rPr>
          <w:rFonts w:hint="eastAsia"/>
        </w:rPr>
        <w:t>社保缴纳</w:t>
      </w:r>
      <w:r>
        <w:t>相关证明。</w:t>
      </w:r>
    </w:p>
    <w:p w14:paraId="60D24539">
      <w:pPr>
        <w:pStyle w:val="3"/>
        <w:numPr>
          <w:ilvl w:val="0"/>
          <w:numId w:val="4"/>
        </w:numPr>
        <w:rPr>
          <w:rFonts w:hint="eastAsia"/>
        </w:rPr>
      </w:pPr>
      <w:r>
        <w:t>等级保护要求</w:t>
      </w:r>
    </w:p>
    <w:p w14:paraId="4DB51E76">
      <w:pPr>
        <w:pStyle w:val="12"/>
        <w:widowControl/>
        <w:ind w:firstLine="480"/>
      </w:pPr>
      <w:r>
        <w:t>本项目等级保护要求按照</w:t>
      </w:r>
      <w:r>
        <w:rPr>
          <w:b/>
        </w:rPr>
        <w:t>等保2.0第二级</w:t>
      </w:r>
      <w:r>
        <w:t>进行建设。平台上线运行前应完成等级保护定级、备案及测评工作，确保平台符合国家信息安全等级保护相关标准要求。</w:t>
      </w:r>
    </w:p>
    <w:p w14:paraId="601C237F">
      <w:pPr>
        <w:pStyle w:val="3"/>
        <w:numPr>
          <w:ilvl w:val="0"/>
          <w:numId w:val="4"/>
        </w:numPr>
        <w:rPr>
          <w:rFonts w:hint="eastAsia"/>
        </w:rPr>
      </w:pPr>
      <w:r>
        <w:t>商用密码应用需求</w:t>
      </w:r>
    </w:p>
    <w:p w14:paraId="2889D7D9">
      <w:pPr>
        <w:pStyle w:val="12"/>
        <w:widowControl/>
        <w:ind w:firstLine="480"/>
      </w:pPr>
      <w:r>
        <w:t>本项目应根据《中华人民共和国密码法》及相关商用密码管理要求，在身份认证、数据传输、数据存储等环节合理使用商用密码技术，确保平台密码应用合规。</w:t>
      </w:r>
    </w:p>
    <w:p w14:paraId="29DF0E77">
      <w:pPr>
        <w:pStyle w:val="3"/>
        <w:numPr>
          <w:ilvl w:val="0"/>
          <w:numId w:val="4"/>
        </w:numPr>
        <w:rPr>
          <w:rFonts w:hint="eastAsia"/>
        </w:rPr>
      </w:pPr>
      <w:r>
        <w:t>技术文件要求</w:t>
      </w:r>
    </w:p>
    <w:p w14:paraId="3372ADC4">
      <w:pPr>
        <w:pStyle w:val="12"/>
        <w:widowControl/>
        <w:ind w:firstLine="480"/>
      </w:pPr>
      <w:r>
        <w:t>投标人提供的书面技术资料应能确保系统正常运行所需的管理、运营及维护有关的全套文件。技术文件应全面、完整、详细。投标人提供的技术文件至少应包括：</w:t>
      </w:r>
    </w:p>
    <w:p w14:paraId="4B5B74B4">
      <w:pPr>
        <w:pStyle w:val="12"/>
        <w:widowControl/>
        <w:ind w:firstLine="480"/>
      </w:pPr>
      <w:r>
        <w:t>系统说明文件：</w:t>
      </w:r>
      <w:r>
        <w:rPr>
          <w:rFonts w:hint="eastAsia"/>
        </w:rPr>
        <w:t>包括</w:t>
      </w:r>
      <w:r>
        <w:t>系统总体设计说明书</w:t>
      </w:r>
      <w:r>
        <w:rPr>
          <w:rFonts w:hint="eastAsia"/>
        </w:rPr>
        <w:t>、</w:t>
      </w:r>
      <w:r>
        <w:t>系统用户手册</w:t>
      </w:r>
    </w:p>
    <w:p w14:paraId="5050E297">
      <w:pPr>
        <w:pStyle w:val="12"/>
        <w:widowControl/>
        <w:ind w:firstLine="480"/>
      </w:pPr>
      <w:r>
        <w:t>技术手册：</w:t>
      </w:r>
      <w:r>
        <w:rPr>
          <w:rFonts w:hint="eastAsia"/>
        </w:rPr>
        <w:t>包括</w:t>
      </w:r>
      <w:r>
        <w:t>安装部署手册、测试报告、操作手册、维护手册、故障排除手册</w:t>
      </w:r>
    </w:p>
    <w:p w14:paraId="686CB8B0">
      <w:pPr>
        <w:pStyle w:val="12"/>
        <w:widowControl/>
        <w:ind w:firstLine="480"/>
      </w:pPr>
      <w:r>
        <w:t>项目文档：软件需求规格说明书、系统总体设计说明书、数据库设计说明书、接口设计说明书、应用软件功能清单、部署文档</w:t>
      </w:r>
    </w:p>
    <w:p w14:paraId="17000176">
      <w:pPr>
        <w:pStyle w:val="12"/>
        <w:widowControl/>
        <w:ind w:firstLine="480"/>
      </w:pPr>
      <w:r>
        <w:t>提供全套技术文件纸介质3套以及电子文件1套。</w:t>
      </w:r>
    </w:p>
    <w:p w14:paraId="22310E1D">
      <w:pPr>
        <w:pStyle w:val="2"/>
        <w:widowControl/>
        <w:numPr>
          <w:ilvl w:val="0"/>
          <w:numId w:val="1"/>
        </w:numPr>
      </w:pPr>
      <w:r>
        <w:t>附录</w:t>
      </w:r>
    </w:p>
    <w:p w14:paraId="759C9BCA">
      <w:pPr>
        <w:pStyle w:val="12"/>
        <w:widowControl/>
        <w:ind w:firstLine="480"/>
      </w:pPr>
      <w:r>
        <w:t>本项目在建设过程中需符合以下相关技术标准或规范文件的要求：</w:t>
      </w:r>
    </w:p>
    <w:p w14:paraId="038763C3">
      <w:pPr>
        <w:pStyle w:val="12"/>
        <w:widowControl/>
        <w:numPr>
          <w:ilvl w:val="0"/>
          <w:numId w:val="9"/>
        </w:numPr>
        <w:ind w:firstLineChars="0"/>
      </w:pPr>
      <w:r>
        <w:t xml:space="preserve"> 《中华人民共和国网络安全法》</w:t>
      </w:r>
    </w:p>
    <w:p w14:paraId="29930D4D">
      <w:pPr>
        <w:pStyle w:val="12"/>
        <w:widowControl/>
        <w:numPr>
          <w:ilvl w:val="0"/>
          <w:numId w:val="9"/>
        </w:numPr>
        <w:ind w:firstLineChars="0"/>
      </w:pPr>
      <w:r>
        <w:t>《中华人民共和国数据安全法》</w:t>
      </w:r>
    </w:p>
    <w:p w14:paraId="70D9EA32">
      <w:pPr>
        <w:pStyle w:val="12"/>
        <w:widowControl/>
        <w:numPr>
          <w:ilvl w:val="0"/>
          <w:numId w:val="9"/>
        </w:numPr>
        <w:ind w:firstLineChars="0"/>
      </w:pPr>
      <w:r>
        <w:t>《中华人民共和国个人信息保护法》</w:t>
      </w:r>
    </w:p>
    <w:p w14:paraId="6CB452AC">
      <w:pPr>
        <w:pStyle w:val="12"/>
        <w:widowControl/>
        <w:numPr>
          <w:ilvl w:val="0"/>
          <w:numId w:val="9"/>
        </w:numPr>
        <w:ind w:firstLineChars="0"/>
      </w:pPr>
      <w:r>
        <w:t xml:space="preserve"> 《信息安全技术 网络安全等级保护基本要求》（GB/T 22239-2019）</w:t>
      </w:r>
    </w:p>
    <w:p w14:paraId="7C5FBF51">
      <w:pPr>
        <w:pStyle w:val="12"/>
        <w:widowControl/>
        <w:numPr>
          <w:ilvl w:val="0"/>
          <w:numId w:val="9"/>
        </w:numPr>
        <w:ind w:firstLineChars="0"/>
      </w:pPr>
      <w:r>
        <w:t>《信息安全技术 网络安全等级保护安全设计技术要求》（GB/T 25070-2019）</w:t>
      </w:r>
    </w:p>
    <w:p w14:paraId="714DB90F">
      <w:pPr>
        <w:pStyle w:val="12"/>
        <w:widowControl/>
        <w:numPr>
          <w:ilvl w:val="0"/>
          <w:numId w:val="9"/>
        </w:numPr>
        <w:ind w:firstLineChars="0"/>
      </w:pPr>
      <w:r>
        <w:t>《教育管理信息化标准》</w:t>
      </w:r>
    </w:p>
    <w:p w14:paraId="1F66EFB5">
      <w:pPr>
        <w:pStyle w:val="12"/>
        <w:widowControl/>
        <w:numPr>
          <w:ilvl w:val="0"/>
          <w:numId w:val="9"/>
        </w:numPr>
        <w:ind w:firstLineChars="0"/>
      </w:pPr>
      <w:r>
        <w:t>《上海电机学院信息化发展“十四五”规划（2021—2025年）》</w:t>
      </w:r>
    </w:p>
    <w:p w14:paraId="66CBB2D2">
      <w:pPr>
        <w:pStyle w:val="12"/>
        <w:widowControl/>
        <w:numPr>
          <w:ilvl w:val="0"/>
          <w:numId w:val="9"/>
        </w:numPr>
        <w:ind w:firstLineChars="0"/>
      </w:pPr>
      <w:r>
        <w:t xml:space="preserve"> 上海电机学院校级数据标准相关规范文件</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CB57B"/>
    <w:multiLevelType w:val="singleLevel"/>
    <w:tmpl w:val="9CFCB57B"/>
    <w:lvl w:ilvl="0" w:tentative="0">
      <w:start w:val="1"/>
      <w:numFmt w:val="decimal"/>
      <w:suff w:val="space"/>
      <w:lvlText w:val=""/>
      <w:lvlJc w:val="left"/>
      <w:pPr>
        <w:ind w:left="0" w:firstLine="480"/>
      </w:pPr>
      <w:rPr>
        <w:rFonts w:hint="default"/>
      </w:rPr>
    </w:lvl>
  </w:abstractNum>
  <w:abstractNum w:abstractNumId="1">
    <w:nsid w:val="AD774A13"/>
    <w:multiLevelType w:val="singleLevel"/>
    <w:tmpl w:val="AD774A13"/>
    <w:lvl w:ilvl="0" w:tentative="0">
      <w:start w:val="1"/>
      <w:numFmt w:val="decimal"/>
      <w:suff w:val="nothing"/>
      <w:lvlText w:val="（%1）"/>
      <w:lvlJc w:val="left"/>
      <w:pPr>
        <w:ind w:left="0" w:firstLine="480"/>
      </w:pPr>
      <w:rPr>
        <w:rFonts w:hint="default"/>
      </w:rPr>
    </w:lvl>
  </w:abstractNum>
  <w:abstractNum w:abstractNumId="2">
    <w:nsid w:val="D2DE3CCD"/>
    <w:multiLevelType w:val="singleLevel"/>
    <w:tmpl w:val="D2DE3CCD"/>
    <w:lvl w:ilvl="0" w:tentative="0">
      <w:start w:val="1"/>
      <w:numFmt w:val="decimal"/>
      <w:suff w:val="nothing"/>
      <w:lvlText w:val="（%1）"/>
      <w:lvlJc w:val="left"/>
      <w:pPr>
        <w:ind w:left="0" w:firstLine="480"/>
      </w:pPr>
      <w:rPr>
        <w:rFonts w:hint="default"/>
      </w:rPr>
    </w:lvl>
  </w:abstractNum>
  <w:abstractNum w:abstractNumId="3">
    <w:nsid w:val="FC2ABCD7"/>
    <w:multiLevelType w:val="singleLevel"/>
    <w:tmpl w:val="FC2ABCD7"/>
    <w:lvl w:ilvl="0" w:tentative="0">
      <w:start w:val="1"/>
      <w:numFmt w:val="decimal"/>
      <w:suff w:val="space"/>
      <w:lvlText w:val="1.%1"/>
      <w:lvlJc w:val="left"/>
      <w:pPr>
        <w:ind w:left="0" w:firstLine="0"/>
      </w:pPr>
      <w:rPr>
        <w:rFonts w:hint="default"/>
      </w:rPr>
    </w:lvl>
  </w:abstractNum>
  <w:abstractNum w:abstractNumId="4">
    <w:nsid w:val="287DCC7F"/>
    <w:multiLevelType w:val="singleLevel"/>
    <w:tmpl w:val="287DCC7F"/>
    <w:lvl w:ilvl="0" w:tentative="0">
      <w:start w:val="1"/>
      <w:numFmt w:val="decimal"/>
      <w:lvlText w:val="%1."/>
      <w:lvlJc w:val="left"/>
      <w:pPr>
        <w:ind w:left="425" w:hanging="425"/>
      </w:pPr>
      <w:rPr>
        <w:rFonts w:hint="default"/>
      </w:rPr>
    </w:lvl>
  </w:abstractNum>
  <w:abstractNum w:abstractNumId="5">
    <w:nsid w:val="290E3BA3"/>
    <w:multiLevelType w:val="singleLevel"/>
    <w:tmpl w:val="290E3BA3"/>
    <w:lvl w:ilvl="0" w:tentative="0">
      <w:start w:val="1"/>
      <w:numFmt w:val="chineseCounting"/>
      <w:suff w:val="nothing"/>
      <w:lvlText w:val="%1、"/>
      <w:lvlJc w:val="left"/>
      <w:pPr>
        <w:ind w:left="0" w:firstLine="0"/>
      </w:pPr>
      <w:rPr>
        <w:rFonts w:hint="eastAsia"/>
      </w:rPr>
    </w:lvl>
  </w:abstractNum>
  <w:abstractNum w:abstractNumId="6">
    <w:nsid w:val="4BBECEEA"/>
    <w:multiLevelType w:val="singleLevel"/>
    <w:tmpl w:val="4BBECEEA"/>
    <w:lvl w:ilvl="0" w:tentative="0">
      <w:start w:val="1"/>
      <w:numFmt w:val="decimal"/>
      <w:suff w:val="space"/>
      <w:lvlText w:val="3.%1"/>
      <w:lvlJc w:val="left"/>
      <w:pPr>
        <w:ind w:left="0" w:firstLine="0"/>
      </w:pPr>
      <w:rPr>
        <w:rFonts w:hint="default"/>
      </w:rPr>
    </w:lvl>
  </w:abstractNum>
  <w:abstractNum w:abstractNumId="7">
    <w:nsid w:val="64137FF7"/>
    <w:multiLevelType w:val="singleLevel"/>
    <w:tmpl w:val="64137FF7"/>
    <w:lvl w:ilvl="0" w:tentative="0">
      <w:start w:val="1"/>
      <w:numFmt w:val="decimal"/>
      <w:suff w:val="space"/>
      <w:lvlText w:val=""/>
      <w:lvlJc w:val="left"/>
      <w:pPr>
        <w:ind w:left="0" w:firstLine="480"/>
      </w:pPr>
      <w:rPr>
        <w:rFonts w:hint="default"/>
      </w:rPr>
    </w:lvl>
  </w:abstractNum>
  <w:abstractNum w:abstractNumId="8">
    <w:nsid w:val="728D6E48"/>
    <w:multiLevelType w:val="multilevel"/>
    <w:tmpl w:val="728D6E48"/>
    <w:lvl w:ilvl="0" w:tentative="0">
      <w:start w:val="1"/>
      <w:numFmt w:val="decimal"/>
      <w:lvlText w:val="5.%1"/>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3"/>
  </w:num>
  <w:num w:numId="3">
    <w:abstractNumId w:val="6"/>
  </w:num>
  <w:num w:numId="4">
    <w:abstractNumId w:val="8"/>
  </w:num>
  <w:num w:numId="5">
    <w:abstractNumId w:val="7"/>
  </w:num>
  <w:num w:numId="6">
    <w:abstractNumId w:val="2"/>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99A"/>
    <w:rsid w:val="001015AF"/>
    <w:rsid w:val="001515EE"/>
    <w:rsid w:val="00181B3C"/>
    <w:rsid w:val="001F55AD"/>
    <w:rsid w:val="0024598F"/>
    <w:rsid w:val="002848A6"/>
    <w:rsid w:val="002923D2"/>
    <w:rsid w:val="003354B3"/>
    <w:rsid w:val="00394178"/>
    <w:rsid w:val="00476EBC"/>
    <w:rsid w:val="004B5800"/>
    <w:rsid w:val="0058411A"/>
    <w:rsid w:val="005E3403"/>
    <w:rsid w:val="005F5099"/>
    <w:rsid w:val="00613D1E"/>
    <w:rsid w:val="0061694D"/>
    <w:rsid w:val="006B2627"/>
    <w:rsid w:val="00743120"/>
    <w:rsid w:val="007629A2"/>
    <w:rsid w:val="00786B13"/>
    <w:rsid w:val="007A4784"/>
    <w:rsid w:val="007C7416"/>
    <w:rsid w:val="00882DF0"/>
    <w:rsid w:val="00887416"/>
    <w:rsid w:val="008B1CEA"/>
    <w:rsid w:val="008C2338"/>
    <w:rsid w:val="00900534"/>
    <w:rsid w:val="00985468"/>
    <w:rsid w:val="009B0580"/>
    <w:rsid w:val="009B1CAE"/>
    <w:rsid w:val="009C2B10"/>
    <w:rsid w:val="00A04002"/>
    <w:rsid w:val="00A14482"/>
    <w:rsid w:val="00A73411"/>
    <w:rsid w:val="00A819D8"/>
    <w:rsid w:val="00AB6D29"/>
    <w:rsid w:val="00AF3299"/>
    <w:rsid w:val="00B829D0"/>
    <w:rsid w:val="00BF54AA"/>
    <w:rsid w:val="00C632A4"/>
    <w:rsid w:val="00CF089F"/>
    <w:rsid w:val="00CF399A"/>
    <w:rsid w:val="00D1728B"/>
    <w:rsid w:val="00D32583"/>
    <w:rsid w:val="00D44C62"/>
    <w:rsid w:val="00D55447"/>
    <w:rsid w:val="00DC7312"/>
    <w:rsid w:val="00DE0D43"/>
    <w:rsid w:val="00E43037"/>
    <w:rsid w:val="00E95712"/>
    <w:rsid w:val="00F47562"/>
    <w:rsid w:val="00F66087"/>
    <w:rsid w:val="00FB235A"/>
    <w:rsid w:val="00FB2658"/>
    <w:rsid w:val="00FE4365"/>
    <w:rsid w:val="0A9D35AD"/>
    <w:rsid w:val="0AFF5936"/>
    <w:rsid w:val="0B093A76"/>
    <w:rsid w:val="0E0662D9"/>
    <w:rsid w:val="14E135FC"/>
    <w:rsid w:val="178F363E"/>
    <w:rsid w:val="1D4B0AFB"/>
    <w:rsid w:val="25A91F81"/>
    <w:rsid w:val="26231389"/>
    <w:rsid w:val="333A1D06"/>
    <w:rsid w:val="3DC01751"/>
    <w:rsid w:val="3DF457E6"/>
    <w:rsid w:val="58DA0C1D"/>
    <w:rsid w:val="612801DB"/>
    <w:rsid w:val="7D7823A6"/>
    <w:rsid w:val="7D7E2264"/>
    <w:rsid w:val="B7BDADE8"/>
    <w:rsid w:val="D7BF642B"/>
    <w:rsid w:val="E38D0B05"/>
    <w:rsid w:val="ED8F3E81"/>
    <w:rsid w:val="EE7F74E2"/>
    <w:rsid w:val="EFAFB7FD"/>
    <w:rsid w:val="FFF9C1E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EastAsia" w:hAnsiTheme="minorEastAsia" w:eastAsiaTheme="minorEastAsia"/>
      <w:sz w:val="24"/>
      <w:szCs w:val="24"/>
      <w:lang w:val="en-US" w:eastAsia="zh-CN" w:bidi="ar-SA"/>
    </w:rPr>
  </w:style>
  <w:style w:type="paragraph" w:styleId="2">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3">
    <w:name w:val="heading 2"/>
    <w:next w:val="1"/>
    <w:unhideWhenUsed/>
    <w:qFormat/>
    <w:uiPriority w:val="0"/>
    <w:pPr>
      <w:widowControl w:val="0"/>
      <w:adjustRightInd w:val="0"/>
      <w:spacing w:before="280" w:line="300" w:lineRule="auto"/>
      <w:jc w:val="both"/>
      <w:outlineLvl w:val="1"/>
    </w:pPr>
    <w:rPr>
      <w:rFonts w:ascii="宋体" w:hAnsi="宋体" w:eastAsia="宋体" w:cs="Times New Roman"/>
      <w:b/>
      <w:kern w:val="2"/>
      <w:sz w:val="30"/>
      <w:szCs w:val="32"/>
      <w:lang w:val="en-US" w:eastAsia="zh-CN" w:bidi="ar-SA"/>
    </w:rPr>
  </w:style>
  <w:style w:type="paragraph" w:styleId="4">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basedOn w:val="1"/>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bCs/>
      <w:kern w:val="2"/>
      <w:sz w:val="28"/>
    </w:rPr>
  </w:style>
  <w:style w:type="paragraph" w:styleId="8">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style>
  <w:style w:type="paragraph" w:styleId="12">
    <w:name w:val="Body Text"/>
    <w:qFormat/>
    <w:uiPriority w:val="0"/>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3">
    <w:name w:val="footer"/>
    <w:basedOn w:val="1"/>
    <w:link w:val="281"/>
    <w:qFormat/>
    <w:uiPriority w:val="0"/>
    <w:pPr>
      <w:tabs>
        <w:tab w:val="center" w:pos="4153"/>
        <w:tab w:val="right" w:pos="8306"/>
      </w:tabs>
      <w:snapToGrid w:val="0"/>
    </w:pPr>
    <w:rPr>
      <w:sz w:val="18"/>
      <w:szCs w:val="18"/>
    </w:rPr>
  </w:style>
  <w:style w:type="paragraph" w:styleId="14">
    <w:name w:val="header"/>
    <w:basedOn w:val="1"/>
    <w:link w:val="280"/>
    <w:qFormat/>
    <w:uiPriority w:val="0"/>
    <w:pPr>
      <w:tabs>
        <w:tab w:val="center" w:pos="4153"/>
        <w:tab w:val="right" w:pos="8306"/>
      </w:tabs>
      <w:snapToGrid w:val="0"/>
      <w:jc w:val="center"/>
    </w:pPr>
    <w:rPr>
      <w:sz w:val="18"/>
      <w:szCs w:val="18"/>
    </w:rPr>
  </w:style>
  <w:style w:type="paragraph" w:styleId="15">
    <w:name w:val="Subtitle"/>
    <w:qFormat/>
    <w:uiPriority w:val="0"/>
    <w:pPr>
      <w:widowControl w:val="0"/>
      <w:adjustRightInd w:val="0"/>
      <w:spacing w:before="100" w:after="100"/>
      <w:jc w:val="center"/>
    </w:pPr>
    <w:rPr>
      <w:rFonts w:ascii="Times New Roman" w:hAnsi="Times New Roman" w:eastAsia="黑体" w:cs="Times New Roman"/>
      <w:kern w:val="28"/>
      <w:sz w:val="32"/>
      <w:szCs w:val="24"/>
      <w:lang w:val="en-US" w:eastAsia="zh-CN" w:bidi="ar-SA"/>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rPr>
  </w:style>
  <w:style w:type="paragraph" w:styleId="17">
    <w:name w:val="Normal (Web)"/>
    <w:basedOn w:val="1"/>
    <w:qFormat/>
    <w:uiPriority w:val="0"/>
    <w:pPr>
      <w:spacing w:beforeAutospacing="1" w:afterAutospacing="1"/>
    </w:pPr>
  </w:style>
  <w:style w:type="paragraph" w:styleId="18">
    <w:name w:val="Title"/>
    <w:qFormat/>
    <w:uiPriority w:val="0"/>
    <w:pPr>
      <w:widowControl w:val="0"/>
      <w:adjustRightInd w:val="0"/>
      <w:spacing w:before="100" w:after="100"/>
      <w:jc w:val="center"/>
    </w:pPr>
    <w:rPr>
      <w:rFonts w:ascii="Times New Roman" w:hAnsi="Times New Roman" w:eastAsia="黑体" w:cs="Times New Roman"/>
      <w:kern w:val="2"/>
      <w:sz w:val="36"/>
      <w:szCs w:val="24"/>
      <w:lang w:val="en-US" w:eastAsia="zh-CN" w:bidi="ar-SA"/>
    </w:rPr>
  </w:style>
  <w:style w:type="table" w:styleId="20">
    <w:name w:val="Table Grid"/>
    <w:basedOn w:val="19"/>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Hyperlink"/>
    <w:basedOn w:val="21"/>
    <w:qFormat/>
    <w:uiPriority w:val="0"/>
    <w:rPr>
      <w:color w:val="0000FF"/>
      <w:u w:val="single"/>
    </w:rPr>
  </w:style>
  <w:style w:type="character" w:styleId="23">
    <w:name w:val="annotation reference"/>
    <w:basedOn w:val="21"/>
    <w:qFormat/>
    <w:uiPriority w:val="0"/>
    <w:rPr>
      <w:sz w:val="21"/>
      <w:szCs w:val="21"/>
    </w:rPr>
  </w:style>
  <w:style w:type="paragraph" w:customStyle="1" w:styleId="24">
    <w:name w:val="kctree_bfb8"/>
    <w:basedOn w:val="1"/>
    <w:qFormat/>
    <w:uiPriority w:val="0"/>
    <w:pPr>
      <w:shd w:val="clear" w:color="auto" w:fill="29CC96"/>
    </w:pPr>
  </w:style>
  <w:style w:type="paragraph" w:customStyle="1" w:styleId="25">
    <w:name w:val="kctree_bfb6"/>
    <w:basedOn w:val="1"/>
    <w:qFormat/>
    <w:uiPriority w:val="0"/>
    <w:pPr>
      <w:shd w:val="clear" w:color="auto" w:fill="FFAA00"/>
    </w:pPr>
  </w:style>
  <w:style w:type="paragraph" w:customStyle="1" w:styleId="26">
    <w:name w:val="kctree_bfb4"/>
    <w:basedOn w:val="1"/>
    <w:qFormat/>
    <w:uiPriority w:val="0"/>
    <w:pPr>
      <w:shd w:val="clear" w:color="auto" w:fill="FFD400"/>
    </w:pPr>
  </w:style>
  <w:style w:type="paragraph" w:customStyle="1" w:styleId="27">
    <w:name w:val="kctree_bfb2"/>
    <w:basedOn w:val="1"/>
    <w:qFormat/>
    <w:uiPriority w:val="0"/>
    <w:pPr>
      <w:shd w:val="clear" w:color="auto" w:fill="3399FF"/>
    </w:pPr>
  </w:style>
  <w:style w:type="paragraph" w:customStyle="1" w:styleId="28">
    <w:name w:val="kctree_bfb"/>
    <w:basedOn w:val="1"/>
    <w:qFormat/>
    <w:uiPriority w:val="0"/>
    <w:pPr>
      <w:shd w:val="clear" w:color="auto" w:fill="9966FF"/>
    </w:pPr>
  </w:style>
  <w:style w:type="paragraph" w:customStyle="1" w:styleId="29">
    <w:name w:val="repfirst_zhang"/>
    <w:basedOn w:val="1"/>
    <w:qFormat/>
    <w:uiPriority w:val="0"/>
    <w:pPr>
      <w:spacing w:line="660" w:lineRule="atLeast"/>
      <w:textAlignment w:val="top"/>
    </w:pPr>
    <w:rPr>
      <w:color w:val="000000"/>
      <w:sz w:val="36"/>
      <w:szCs w:val="36"/>
    </w:rPr>
  </w:style>
  <w:style w:type="paragraph" w:customStyle="1" w:styleId="30">
    <w:name w:val="kctree_ul"/>
    <w:basedOn w:val="1"/>
    <w:qFormat/>
    <w:uiPriority w:val="0"/>
  </w:style>
  <w:style w:type="paragraph" w:customStyle="1" w:styleId="31">
    <w:name w:val="classul&gt;div"/>
    <w:basedOn w:val="1"/>
    <w:qFormat/>
    <w:uiPriority w:val="0"/>
    <w:pPr>
      <w:spacing w:line="570" w:lineRule="atLeast"/>
      <w:jc w:val="center"/>
    </w:pPr>
  </w:style>
  <w:style w:type="paragraph" w:customStyle="1" w:styleId="32">
    <w:name w:val="fl"/>
    <w:basedOn w:val="1"/>
    <w:qFormat/>
    <w:uiPriority w:val="0"/>
  </w:style>
  <w:style w:type="paragraph" w:customStyle="1" w:styleId="33">
    <w:name w:val="drdp-styletwo"/>
    <w:basedOn w:val="1"/>
    <w:qFormat/>
    <w:uiPriority w:val="0"/>
    <w:pPr>
      <w:shd w:val="clear" w:color="auto" w:fill="7EB8E8"/>
    </w:pPr>
  </w:style>
  <w:style w:type="paragraph" w:customStyle="1" w:styleId="34">
    <w:name w:val="popmove_empty"/>
    <w:basedOn w:val="1"/>
    <w:qFormat/>
    <w:uiPriority w:val="0"/>
    <w:pPr>
      <w:jc w:val="center"/>
    </w:pPr>
    <w:rPr>
      <w:color w:val="A8A8B3"/>
      <w:sz w:val="21"/>
      <w:szCs w:val="21"/>
    </w:rPr>
  </w:style>
  <w:style w:type="paragraph" w:customStyle="1" w:styleId="35">
    <w:name w:val="popcollect"/>
    <w:basedOn w:val="1"/>
    <w:qFormat/>
    <w:uiPriority w:val="0"/>
  </w:style>
  <w:style w:type="paragraph" w:customStyle="1" w:styleId="36">
    <w:name w:val="fs14"/>
    <w:basedOn w:val="1"/>
    <w:qFormat/>
    <w:uiPriority w:val="0"/>
    <w:rPr>
      <w:sz w:val="21"/>
      <w:szCs w:val="21"/>
    </w:rPr>
  </w:style>
  <w:style w:type="paragraph" w:customStyle="1" w:styleId="37">
    <w:name w:val="code-lang"/>
    <w:basedOn w:val="1"/>
    <w:qFormat/>
    <w:uiPriority w:val="0"/>
    <w:rPr>
      <w:color w:val="ACB4BF"/>
    </w:rPr>
  </w:style>
  <w:style w:type="paragraph" w:customStyle="1" w:styleId="38">
    <w:name w:val="kctree_title"/>
    <w:basedOn w:val="1"/>
    <w:qFormat/>
    <w:uiPriority w:val="0"/>
    <w:pPr>
      <w:shd w:val="clear" w:color="auto" w:fill="29CC96"/>
      <w:spacing w:line="330" w:lineRule="atLeast"/>
      <w:ind w:left="150"/>
      <w:jc w:val="center"/>
      <w:textAlignment w:val="center"/>
    </w:pPr>
    <w:rPr>
      <w:b/>
      <w:bCs/>
      <w:color w:val="333333"/>
    </w:rPr>
  </w:style>
  <w:style w:type="paragraph" w:customStyle="1" w:styleId="39">
    <w:name w:val="textmorehover&gt;span"/>
    <w:basedOn w:val="1"/>
    <w:qFormat/>
    <w:uiPriority w:val="0"/>
    <w:pPr>
      <w:shd w:val="clear" w:color="auto" w:fill="F0F6FF"/>
      <w:spacing w:line="345" w:lineRule="atLeast"/>
    </w:pPr>
  </w:style>
  <w:style w:type="paragraph" w:customStyle="1" w:styleId="40">
    <w:name w:val="loadicon"/>
    <w:basedOn w:val="1"/>
    <w:qFormat/>
    <w:uiPriority w:val="0"/>
    <w:pPr>
      <w:ind w:right="150"/>
      <w:textAlignment w:val="center"/>
    </w:pPr>
  </w:style>
  <w:style w:type="paragraph" w:customStyle="1" w:styleId="41">
    <w:name w:val="sqp-emphasize-dot"/>
    <w:basedOn w:val="1"/>
    <w:qFormat/>
    <w:uiPriority w:val="0"/>
  </w:style>
  <w:style w:type="paragraph" w:customStyle="1" w:styleId="42">
    <w:name w:val="margin-btm15"/>
    <w:basedOn w:val="1"/>
    <w:qFormat/>
    <w:uiPriority w:val="0"/>
    <w:pPr>
      <w:spacing w:after="225"/>
    </w:pPr>
  </w:style>
  <w:style w:type="paragraph" w:customStyle="1" w:styleId="43">
    <w:name w:val="label_text2"/>
    <w:basedOn w:val="1"/>
    <w:qFormat/>
    <w:uiPriority w:val="0"/>
    <w:pPr>
      <w:textAlignment w:val="center"/>
    </w:pPr>
  </w:style>
  <w:style w:type="paragraph" w:customStyle="1" w:styleId="44">
    <w:name w:val="label_text"/>
    <w:basedOn w:val="1"/>
    <w:qFormat/>
    <w:uiPriority w:val="0"/>
    <w:pPr>
      <w:textAlignment w:val="center"/>
    </w:pPr>
  </w:style>
  <w:style w:type="paragraph" w:customStyle="1" w:styleId="45">
    <w:name w:val="hovertips3"/>
    <w:basedOn w:val="1"/>
    <w:qFormat/>
    <w:uiPriority w:val="0"/>
    <w:rPr>
      <w:vanish/>
      <w:sz w:val="18"/>
      <w:szCs w:val="18"/>
    </w:rPr>
  </w:style>
  <w:style w:type="paragraph" w:customStyle="1" w:styleId="46">
    <w:name w:val="hovertips"/>
    <w:basedOn w:val="1"/>
    <w:qFormat/>
    <w:uiPriority w:val="0"/>
  </w:style>
  <w:style w:type="paragraph" w:customStyle="1" w:styleId="47">
    <w:name w:val="callout-block"/>
    <w:basedOn w:val="1"/>
    <w:qFormat/>
    <w:uiPriority w:val="0"/>
    <w:pPr>
      <w:pBdr>
        <w:top w:val="single" w:color="FFFBE6" w:sz="6" w:space="12"/>
        <w:left w:val="single" w:color="FFFBE6" w:sz="6" w:space="15"/>
        <w:bottom w:val="single" w:color="FFFBE6" w:sz="6" w:space="12"/>
        <w:right w:val="single" w:color="FFFBE6" w:sz="6" w:space="15"/>
      </w:pBdr>
      <w:shd w:val="clear" w:color="auto" w:fill="FFFBE6"/>
      <w:spacing w:before="300" w:after="300"/>
    </w:pPr>
  </w:style>
  <w:style w:type="paragraph" w:customStyle="1" w:styleId="48">
    <w:name w:val="tip"/>
    <w:basedOn w:val="1"/>
    <w:qFormat/>
    <w:uiPriority w:val="0"/>
    <w:pPr>
      <w:spacing w:before="60" w:line="300" w:lineRule="atLeast"/>
      <w:ind w:left="840"/>
    </w:pPr>
    <w:rPr>
      <w:color w:val="8A8B99"/>
      <w:sz w:val="21"/>
      <w:szCs w:val="21"/>
    </w:rPr>
  </w:style>
  <w:style w:type="paragraph" w:customStyle="1" w:styleId="49">
    <w:name w:val="poptablebody"/>
    <w:basedOn w:val="1"/>
    <w:qFormat/>
    <w:uiPriority w:val="0"/>
    <w:pPr>
      <w:spacing w:before="30" w:line="600" w:lineRule="atLeast"/>
      <w:jc w:val="center"/>
    </w:pPr>
    <w:rPr>
      <w:vanish/>
      <w:color w:val="FFFFFF"/>
    </w:rPr>
  </w:style>
  <w:style w:type="paragraph" w:customStyle="1" w:styleId="50">
    <w:name w:val="jb_btn_92"/>
    <w:basedOn w:val="1"/>
    <w:qFormat/>
    <w:uiPriority w:val="0"/>
  </w:style>
  <w:style w:type="paragraph" w:customStyle="1" w:styleId="51">
    <w:name w:val="template_text2"/>
    <w:basedOn w:val="1"/>
    <w:qFormat/>
    <w:uiPriority w:val="0"/>
    <w:pPr>
      <w:jc w:val="center"/>
    </w:pPr>
    <w:rPr>
      <w:color w:val="FFFFFF"/>
      <w:sz w:val="25"/>
      <w:szCs w:val="25"/>
    </w:rPr>
  </w:style>
  <w:style w:type="paragraph" w:customStyle="1" w:styleId="52">
    <w:name w:val="template_text"/>
    <w:basedOn w:val="1"/>
    <w:qFormat/>
    <w:uiPriority w:val="0"/>
    <w:pPr>
      <w:spacing w:line="360" w:lineRule="atLeast"/>
    </w:pPr>
    <w:rPr>
      <w:color w:val="333333"/>
    </w:rPr>
  </w:style>
  <w:style w:type="paragraph" w:customStyle="1" w:styleId="53">
    <w:name w:val="classcategory"/>
    <w:basedOn w:val="1"/>
    <w:qFormat/>
    <w:uiPriority w:val="0"/>
    <w:pPr>
      <w:spacing w:before="150" w:after="150"/>
    </w:pPr>
  </w:style>
  <w:style w:type="paragraph" w:customStyle="1" w:styleId="54">
    <w:name w:val="template_more_box"/>
    <w:basedOn w:val="1"/>
    <w:qFormat/>
    <w:uiPriority w:val="0"/>
    <w:rPr>
      <w:vanish/>
    </w:rPr>
  </w:style>
  <w:style w:type="paragraph" w:customStyle="1" w:styleId="55">
    <w:name w:val="wid840"/>
    <w:basedOn w:val="1"/>
    <w:qFormat/>
    <w:uiPriority w:val="0"/>
  </w:style>
  <w:style w:type="paragraph" w:customStyle="1" w:styleId="56">
    <w:name w:val="top-cover-top"/>
    <w:basedOn w:val="1"/>
    <w:qFormat/>
    <w:uiPriority w:val="0"/>
    <w:pPr>
      <w:shd w:val="clear" w:color="auto" w:fill="3A8BFF"/>
      <w:spacing w:line="390" w:lineRule="atLeast"/>
      <w:jc w:val="right"/>
    </w:pPr>
  </w:style>
  <w:style w:type="paragraph" w:customStyle="1" w:styleId="57">
    <w:name w:val="kctree_mian"/>
    <w:basedOn w:val="1"/>
    <w:qFormat/>
    <w:uiPriority w:val="0"/>
    <w:pPr>
      <w:pBdr>
        <w:top w:val="single" w:color="E7EAF1" w:sz="6" w:space="15"/>
        <w:left w:val="single" w:color="E7EAF1" w:sz="6" w:space="18"/>
        <w:bottom w:val="single" w:color="E7EAF1" w:sz="6" w:space="13"/>
        <w:right w:val="single" w:color="E7EAF1" w:sz="6" w:space="18"/>
      </w:pBdr>
      <w:shd w:val="clear" w:color="auto" w:fill="FFFFFF"/>
    </w:pPr>
  </w:style>
  <w:style w:type="paragraph" w:customStyle="1" w:styleId="58">
    <w:name w:val="kctree_down"/>
    <w:basedOn w:val="1"/>
    <w:qFormat/>
    <w:uiPriority w:val="0"/>
  </w:style>
  <w:style w:type="paragraph" w:customStyle="1" w:styleId="59">
    <w:name w:val="echnormal2"/>
    <w:basedOn w:val="1"/>
    <w:qFormat/>
    <w:uiPriority w:val="0"/>
  </w:style>
  <w:style w:type="paragraph" w:customStyle="1" w:styleId="60">
    <w:name w:val="echnormal"/>
    <w:basedOn w:val="1"/>
    <w:qFormat/>
    <w:uiPriority w:val="0"/>
  </w:style>
  <w:style w:type="paragraph" w:customStyle="1" w:styleId="61">
    <w:name w:val="catalogbox"/>
    <w:basedOn w:val="1"/>
    <w:qFormat/>
    <w:uiPriority w:val="0"/>
  </w:style>
  <w:style w:type="paragraph" w:customStyle="1" w:styleId="62">
    <w:name w:val="kctree_entry"/>
    <w:basedOn w:val="1"/>
    <w:qFormat/>
    <w:uiPriority w:val="0"/>
    <w:pPr>
      <w:spacing w:after="150"/>
    </w:pPr>
  </w:style>
  <w:style w:type="paragraph" w:customStyle="1" w:styleId="63">
    <w:name w:val="cutline"/>
    <w:basedOn w:val="1"/>
    <w:qFormat/>
    <w:uiPriority w:val="0"/>
    <w:pPr>
      <w:shd w:val="clear" w:color="auto" w:fill="E3E9F2"/>
      <w:ind w:right="150"/>
    </w:pPr>
  </w:style>
  <w:style w:type="paragraph" w:customStyle="1" w:styleId="64">
    <w:name w:val="top-cover-link"/>
    <w:basedOn w:val="1"/>
    <w:qFormat/>
    <w:uiPriority w:val="0"/>
    <w:rPr>
      <w:sz w:val="21"/>
      <w:szCs w:val="21"/>
    </w:rPr>
  </w:style>
  <w:style w:type="paragraph" w:customStyle="1" w:styleId="65">
    <w:name w:val="popyunpan_td_size"/>
    <w:basedOn w:val="1"/>
    <w:qFormat/>
    <w:uiPriority w:val="0"/>
  </w:style>
  <w:style w:type="paragraph" w:customStyle="1" w:styleId="66">
    <w:name w:val="column-img-block"/>
    <w:basedOn w:val="1"/>
    <w:qFormat/>
    <w:uiPriority w:val="0"/>
  </w:style>
  <w:style w:type="paragraph" w:customStyle="1" w:styleId="67">
    <w:name w:val="popyunpan_th_size"/>
    <w:basedOn w:val="1"/>
    <w:qFormat/>
    <w:uiPriority w:val="0"/>
  </w:style>
  <w:style w:type="paragraph" w:customStyle="1" w:styleId="68">
    <w:name w:val="kscheck"/>
    <w:basedOn w:val="1"/>
    <w:qFormat/>
    <w:uiPriority w:val="0"/>
    <w:pPr>
      <w:ind w:right="150"/>
      <w:textAlignment w:val="center"/>
    </w:pPr>
  </w:style>
  <w:style w:type="paragraph" w:customStyle="1" w:styleId="69">
    <w:name w:val="remoteimage"/>
    <w:basedOn w:val="1"/>
    <w:qFormat/>
    <w:uiPriority w:val="0"/>
    <w:pPr>
      <w:pBdr>
        <w:top w:val="single" w:color="F2F2F2" w:sz="6" w:space="0"/>
        <w:left w:val="single" w:color="F2F2F2" w:sz="6" w:space="0"/>
        <w:bottom w:val="single" w:color="F2F2F2" w:sz="6" w:space="0"/>
        <w:right w:val="single" w:color="F2F2F2" w:sz="6" w:space="0"/>
      </w:pBdr>
      <w:shd w:val="clear" w:color="auto" w:fill="F5F6F8"/>
    </w:pPr>
  </w:style>
  <w:style w:type="paragraph" w:customStyle="1" w:styleId="70">
    <w:name w:val="popicon"/>
    <w:basedOn w:val="1"/>
    <w:qFormat/>
    <w:uiPriority w:val="0"/>
    <w:pPr>
      <w:ind w:right="150"/>
      <w:textAlignment w:val="center"/>
    </w:pPr>
  </w:style>
  <w:style w:type="paragraph" w:customStyle="1" w:styleId="71">
    <w:name w:val="top-cover-title"/>
    <w:basedOn w:val="1"/>
    <w:qFormat/>
    <w:uiPriority w:val="0"/>
    <w:pPr>
      <w:spacing w:before="240" w:after="240"/>
    </w:pPr>
  </w:style>
  <w:style w:type="paragraph" w:customStyle="1" w:styleId="72">
    <w:name w:val="kctree_asses"/>
    <w:basedOn w:val="1"/>
    <w:qFormat/>
    <w:uiPriority w:val="0"/>
    <w:pPr>
      <w:spacing w:before="150" w:line="360" w:lineRule="atLeast"/>
    </w:pPr>
    <w:rPr>
      <w:color w:val="666666"/>
      <w:sz w:val="21"/>
      <w:szCs w:val="21"/>
    </w:rPr>
  </w:style>
  <w:style w:type="paragraph" w:customStyle="1" w:styleId="73">
    <w:name w:val="name"/>
    <w:basedOn w:val="1"/>
    <w:qFormat/>
    <w:uiPriority w:val="0"/>
    <w:pPr>
      <w:spacing w:line="330" w:lineRule="atLeast"/>
      <w:ind w:left="840"/>
    </w:pPr>
    <w:rPr>
      <w:color w:val="131B26"/>
    </w:rPr>
  </w:style>
  <w:style w:type="paragraph" w:customStyle="1" w:styleId="74">
    <w:name w:val="popyunpan_th_checked"/>
    <w:basedOn w:val="1"/>
    <w:qFormat/>
    <w:uiPriority w:val="0"/>
  </w:style>
  <w:style w:type="paragraph" w:customStyle="1" w:styleId="75">
    <w:name w:val="tc-cover-img"/>
    <w:basedOn w:val="1"/>
    <w:qFormat/>
    <w:uiPriority w:val="0"/>
  </w:style>
  <w:style w:type="paragraph" w:customStyle="1" w:styleId="76">
    <w:name w:val="popseal_zhang2"/>
    <w:basedOn w:val="1"/>
    <w:qFormat/>
    <w:uiPriority w:val="0"/>
    <w:pPr>
      <w:spacing w:line="510" w:lineRule="atLeast"/>
    </w:pPr>
    <w:rPr>
      <w:color w:val="131B26"/>
      <w:sz w:val="21"/>
      <w:szCs w:val="21"/>
    </w:rPr>
  </w:style>
  <w:style w:type="paragraph" w:customStyle="1" w:styleId="77">
    <w:name w:val="popseal_zhang"/>
    <w:basedOn w:val="1"/>
    <w:qFormat/>
    <w:uiPriority w:val="0"/>
    <w:pPr>
      <w:spacing w:line="510" w:lineRule="atLeast"/>
    </w:pPr>
    <w:rPr>
      <w:color w:val="131B26"/>
      <w:sz w:val="21"/>
      <w:szCs w:val="21"/>
    </w:rPr>
  </w:style>
  <w:style w:type="paragraph" w:customStyle="1" w:styleId="78">
    <w:name w:val="kctree_instr"/>
    <w:basedOn w:val="1"/>
    <w:qFormat/>
    <w:uiPriority w:val="0"/>
    <w:pPr>
      <w:spacing w:before="150" w:line="360" w:lineRule="atLeast"/>
    </w:pPr>
    <w:rPr>
      <w:color w:val="666666"/>
      <w:sz w:val="21"/>
      <w:szCs w:val="21"/>
    </w:rPr>
  </w:style>
  <w:style w:type="paragraph" w:customStyle="1" w:styleId="79">
    <w:name w:val="top-cover-information"/>
    <w:basedOn w:val="1"/>
    <w:qFormat/>
    <w:uiPriority w:val="0"/>
    <w:pPr>
      <w:spacing w:after="180"/>
    </w:pPr>
    <w:rPr>
      <w:sz w:val="21"/>
      <w:szCs w:val="21"/>
    </w:rPr>
  </w:style>
  <w:style w:type="paragraph" w:customStyle="1" w:styleId="80">
    <w:name w:val="editor-image5"/>
    <w:basedOn w:val="1"/>
    <w:qFormat/>
    <w:uiPriority w:val="0"/>
  </w:style>
  <w:style w:type="paragraph" w:customStyle="1" w:styleId="81">
    <w:name w:val="editor-image3"/>
    <w:basedOn w:val="1"/>
    <w:qFormat/>
    <w:uiPriority w:val="0"/>
  </w:style>
  <w:style w:type="paragraph" w:customStyle="1" w:styleId="82">
    <w:name w:val="editor-image"/>
    <w:basedOn w:val="1"/>
    <w:qFormat/>
    <w:uiPriority w:val="0"/>
  </w:style>
  <w:style w:type="paragraph" w:customStyle="1" w:styleId="83">
    <w:name w:val="todo-view"/>
    <w:basedOn w:val="1"/>
    <w:qFormat/>
    <w:uiPriority w:val="0"/>
    <w:pPr>
      <w:spacing w:line="378" w:lineRule="atLeast"/>
    </w:pPr>
  </w:style>
  <w:style w:type="paragraph" w:customStyle="1" w:styleId="84">
    <w:name w:val="ico_qi_item"/>
    <w:basedOn w:val="1"/>
    <w:qFormat/>
    <w:uiPriority w:val="0"/>
  </w:style>
  <w:style w:type="paragraph" w:customStyle="1" w:styleId="85">
    <w:name w:val="poptable"/>
    <w:basedOn w:val="1"/>
    <w:qFormat/>
    <w:uiPriority w:val="0"/>
  </w:style>
  <w:style w:type="paragraph" w:customStyle="1" w:styleId="86">
    <w:name w:val="maskdiv"/>
    <w:basedOn w:val="1"/>
    <w:qFormat/>
    <w:uiPriority w:val="0"/>
  </w:style>
  <w:style w:type="paragraph" w:customStyle="1" w:styleId="87">
    <w:name w:val="drdp-legend-bar"/>
    <w:basedOn w:val="1"/>
    <w:qFormat/>
    <w:uiPriority w:val="0"/>
    <w:pPr>
      <w:spacing w:before="180" w:after="120"/>
    </w:pPr>
  </w:style>
  <w:style w:type="paragraph" w:customStyle="1" w:styleId="88">
    <w:name w:val="fs18"/>
    <w:basedOn w:val="1"/>
    <w:qFormat/>
    <w:uiPriority w:val="0"/>
    <w:rPr>
      <w:sz w:val="27"/>
      <w:szCs w:val="27"/>
    </w:rPr>
  </w:style>
  <w:style w:type="paragraph" w:customStyle="1" w:styleId="89">
    <w:name w:val="popreport_item"/>
    <w:basedOn w:val="1"/>
    <w:qFormat/>
    <w:uiPriority w:val="0"/>
  </w:style>
  <w:style w:type="paragraph" w:customStyle="1" w:styleId="90">
    <w:name w:val="popreport_h2"/>
    <w:basedOn w:val="1"/>
    <w:qFormat/>
    <w:uiPriority w:val="0"/>
    <w:pPr>
      <w:spacing w:line="360" w:lineRule="atLeast"/>
    </w:pPr>
    <w:rPr>
      <w:b/>
      <w:bCs/>
      <w:color w:val="131B26"/>
    </w:rPr>
  </w:style>
  <w:style w:type="paragraph" w:customStyle="1" w:styleId="91">
    <w:name w:val="drdp-stylefour"/>
    <w:basedOn w:val="1"/>
    <w:qFormat/>
    <w:uiPriority w:val="0"/>
    <w:pPr>
      <w:shd w:val="clear" w:color="auto" w:fill="B8A0D0"/>
    </w:pPr>
  </w:style>
  <w:style w:type="paragraph" w:customStyle="1" w:styleId="92">
    <w:name w:val="template_tab_r"/>
    <w:basedOn w:val="1"/>
    <w:qFormat/>
    <w:uiPriority w:val="0"/>
  </w:style>
  <w:style w:type="paragraph" w:customStyle="1" w:styleId="93">
    <w:name w:val="fs15"/>
    <w:basedOn w:val="1"/>
    <w:qFormat/>
    <w:uiPriority w:val="0"/>
    <w:rPr>
      <w:sz w:val="22"/>
      <w:szCs w:val="22"/>
    </w:rPr>
  </w:style>
  <w:style w:type="paragraph" w:customStyle="1" w:styleId="94">
    <w:name w:val="zmenu"/>
    <w:basedOn w:val="1"/>
    <w:qFormat/>
    <w:uiPriority w:val="0"/>
  </w:style>
  <w:style w:type="paragraph" w:customStyle="1" w:styleId="95">
    <w:name w:val="template_opt"/>
    <w:basedOn w:val="1"/>
    <w:qFormat/>
    <w:uiPriority w:val="0"/>
  </w:style>
  <w:style w:type="paragraph" w:customStyle="1" w:styleId="96">
    <w:name w:val="catalogmain"/>
    <w:basedOn w:val="1"/>
    <w:qFormat/>
    <w:uiPriority w:val="0"/>
  </w:style>
  <w:style w:type="paragraph" w:customStyle="1" w:styleId="97">
    <w:name w:val="ico_qi_time"/>
    <w:basedOn w:val="1"/>
    <w:qFormat/>
    <w:uiPriority w:val="0"/>
    <w:pPr>
      <w:shd w:val="clear" w:color="auto" w:fill="597EF7"/>
      <w:spacing w:line="300" w:lineRule="atLeast"/>
    </w:pPr>
    <w:rPr>
      <w:b/>
      <w:bCs/>
      <w:color w:val="FFFFFF"/>
      <w:sz w:val="18"/>
      <w:szCs w:val="18"/>
    </w:rPr>
  </w:style>
  <w:style w:type="paragraph" w:customStyle="1" w:styleId="98">
    <w:name w:val="kctree_file"/>
    <w:basedOn w:val="1"/>
    <w:qFormat/>
    <w:uiPriority w:val="0"/>
  </w:style>
  <w:style w:type="paragraph" w:customStyle="1" w:styleId="99">
    <w:name w:val="menuctrl"/>
    <w:basedOn w:val="1"/>
    <w:qFormat/>
    <w:uiPriority w:val="0"/>
    <w:pPr>
      <w:pBdr>
        <w:top w:val="single" w:color="FFFFFF" w:sz="6" w:space="0"/>
        <w:left w:val="single" w:color="FFFFFF" w:sz="6" w:space="0"/>
        <w:bottom w:val="single" w:color="FFFFFF" w:sz="6" w:space="0"/>
        <w:right w:val="single" w:color="FFFFFF" w:sz="6" w:space="0"/>
      </w:pBdr>
      <w:shd w:val="clear" w:color="auto" w:fill="FFFFFF"/>
    </w:pPr>
    <w:rPr>
      <w:vanish/>
    </w:rPr>
  </w:style>
  <w:style w:type="paragraph" w:customStyle="1" w:styleId="100">
    <w:name w:val="color_blue8"/>
    <w:basedOn w:val="1"/>
    <w:qFormat/>
    <w:uiPriority w:val="0"/>
    <w:pPr>
      <w:ind w:left="300"/>
    </w:pPr>
  </w:style>
  <w:style w:type="paragraph" w:customStyle="1" w:styleId="101">
    <w:name w:val="color_blue6"/>
    <w:basedOn w:val="1"/>
    <w:qFormat/>
    <w:uiPriority w:val="0"/>
    <w:pPr>
      <w:ind w:left="300"/>
    </w:pPr>
    <w:rPr>
      <w:sz w:val="21"/>
      <w:szCs w:val="21"/>
    </w:rPr>
  </w:style>
  <w:style w:type="paragraph" w:customStyle="1" w:styleId="102">
    <w:name w:val="color_blue4"/>
    <w:basedOn w:val="1"/>
    <w:qFormat/>
    <w:uiPriority w:val="0"/>
    <w:rPr>
      <w:color w:val="007AFF"/>
    </w:rPr>
  </w:style>
  <w:style w:type="paragraph" w:customStyle="1" w:styleId="103">
    <w:name w:val="color_blue2"/>
    <w:basedOn w:val="1"/>
    <w:qFormat/>
    <w:uiPriority w:val="0"/>
    <w:pPr>
      <w:ind w:left="300"/>
    </w:pPr>
  </w:style>
  <w:style w:type="paragraph" w:customStyle="1" w:styleId="104">
    <w:name w:val="color_blue"/>
    <w:basedOn w:val="1"/>
    <w:qFormat/>
    <w:uiPriority w:val="0"/>
    <w:pPr>
      <w:ind w:left="300"/>
    </w:pPr>
    <w:rPr>
      <w:sz w:val="21"/>
      <w:szCs w:val="21"/>
    </w:rPr>
  </w:style>
  <w:style w:type="paragraph" w:customStyle="1" w:styleId="105">
    <w:name w:val="frv2"/>
    <w:basedOn w:val="1"/>
    <w:qFormat/>
    <w:uiPriority w:val="0"/>
  </w:style>
  <w:style w:type="paragraph" w:customStyle="1" w:styleId="106">
    <w:name w:val="jb_btn_92_disable"/>
    <w:basedOn w:val="1"/>
    <w:qFormat/>
    <w:uiPriority w:val="0"/>
  </w:style>
  <w:style w:type="paragraph" w:customStyle="1" w:styleId="107">
    <w:name w:val="drdp-legend-item"/>
    <w:basedOn w:val="1"/>
    <w:qFormat/>
    <w:uiPriority w:val="0"/>
    <w:rPr>
      <w:color w:val="333333"/>
      <w:sz w:val="18"/>
      <w:szCs w:val="18"/>
    </w:rPr>
  </w:style>
  <w:style w:type="paragraph" w:customStyle="1" w:styleId="108">
    <w:name w:val="echequip"/>
    <w:basedOn w:val="1"/>
    <w:qFormat/>
    <w:uiPriority w:val="0"/>
  </w:style>
  <w:style w:type="paragraph" w:customStyle="1" w:styleId="109">
    <w:name w:val="tooltipbox"/>
    <w:basedOn w:val="1"/>
    <w:qFormat/>
    <w:uiPriority w:val="0"/>
    <w:pPr>
      <w:spacing w:line="720" w:lineRule="atLeast"/>
      <w:jc w:val="center"/>
    </w:pPr>
    <w:rPr>
      <w:color w:val="FFFFFF"/>
      <w:sz w:val="21"/>
      <w:szCs w:val="21"/>
    </w:rPr>
  </w:style>
  <w:style w:type="paragraph" w:customStyle="1" w:styleId="110">
    <w:name w:val="drdp-styleone"/>
    <w:basedOn w:val="1"/>
    <w:qFormat/>
    <w:uiPriority w:val="0"/>
    <w:pPr>
      <w:shd w:val="clear" w:color="auto" w:fill="8EC98E"/>
    </w:pPr>
  </w:style>
  <w:style w:type="paragraph" w:customStyle="1" w:styleId="111">
    <w:name w:val="color1"/>
    <w:basedOn w:val="1"/>
    <w:qFormat/>
    <w:uiPriority w:val="0"/>
    <w:rPr>
      <w:color w:val="131B26"/>
    </w:rPr>
  </w:style>
  <w:style w:type="paragraph" w:customStyle="1" w:styleId="112">
    <w:name w:val="justifyright"/>
    <w:basedOn w:val="1"/>
    <w:qFormat/>
    <w:uiPriority w:val="0"/>
    <w:pPr>
      <w:jc w:val="right"/>
    </w:pPr>
  </w:style>
  <w:style w:type="paragraph" w:customStyle="1" w:styleId="113">
    <w:name w:val="class-instruction-top"/>
    <w:basedOn w:val="1"/>
    <w:qFormat/>
    <w:uiPriority w:val="0"/>
    <w:pPr>
      <w:pBdr>
        <w:left w:val="single" w:color="8BBBFF" w:sz="48" w:space="7"/>
      </w:pBdr>
      <w:spacing w:before="75" w:after="240" w:line="330" w:lineRule="atLeast"/>
    </w:pPr>
  </w:style>
  <w:style w:type="paragraph" w:customStyle="1" w:styleId="114">
    <w:name w:val="editor-iframe4"/>
    <w:basedOn w:val="1"/>
    <w:qFormat/>
    <w:uiPriority w:val="0"/>
    <w:pPr>
      <w:ind w:right="375"/>
      <w:textAlignment w:val="center"/>
    </w:pPr>
  </w:style>
  <w:style w:type="paragraph" w:customStyle="1" w:styleId="115">
    <w:name w:val="editor-iframe2"/>
    <w:basedOn w:val="1"/>
    <w:qFormat/>
    <w:uiPriority w:val="0"/>
    <w:pPr>
      <w:spacing w:before="75"/>
    </w:pPr>
  </w:style>
  <w:style w:type="paragraph" w:customStyle="1" w:styleId="116">
    <w:name w:val="editor-iframe"/>
    <w:basedOn w:val="1"/>
    <w:qFormat/>
    <w:uiPriority w:val="0"/>
  </w:style>
  <w:style w:type="paragraph" w:customStyle="1" w:styleId="117">
    <w:name w:val="maskdivfordel"/>
    <w:basedOn w:val="1"/>
    <w:qFormat/>
    <w:uiPriority w:val="0"/>
    <w:rPr>
      <w:vanish/>
    </w:rPr>
  </w:style>
  <w:style w:type="paragraph" w:customStyle="1" w:styleId="118">
    <w:name w:val="table-blue"/>
    <w:basedOn w:val="1"/>
    <w:qFormat/>
    <w:uiPriority w:val="0"/>
    <w:pPr>
      <w:shd w:val="clear" w:color="auto" w:fill="F1F7FE"/>
    </w:pPr>
  </w:style>
  <w:style w:type="paragraph" w:customStyle="1" w:styleId="119">
    <w:name w:val="class-h2-top4"/>
    <w:basedOn w:val="1"/>
    <w:qFormat/>
    <w:uiPriority w:val="0"/>
    <w:pPr>
      <w:pBdr>
        <w:top w:val="single" w:color="E1E1E5" w:sz="6" w:space="3"/>
        <w:left w:val="single" w:color="E1E1E5" w:sz="6" w:space="0"/>
        <w:bottom w:val="single" w:color="E1E1E5" w:sz="6" w:space="3"/>
        <w:right w:val="single" w:color="E1E1E5" w:sz="6" w:space="0"/>
      </w:pBdr>
      <w:shd w:val="clear" w:color="auto" w:fill="FFFFFF"/>
      <w:spacing w:line="360" w:lineRule="atLeast"/>
      <w:ind w:right="150"/>
      <w:textAlignment w:val="center"/>
    </w:pPr>
    <w:rPr>
      <w:b/>
      <w:bCs/>
      <w:color w:val="1C284B"/>
      <w:sz w:val="36"/>
      <w:szCs w:val="36"/>
    </w:rPr>
  </w:style>
  <w:style w:type="paragraph" w:customStyle="1" w:styleId="120">
    <w:name w:val="class-h2-top2"/>
    <w:basedOn w:val="1"/>
    <w:qFormat/>
    <w:uiPriority w:val="0"/>
    <w:pPr>
      <w:spacing w:line="360" w:lineRule="atLeast"/>
    </w:pPr>
    <w:rPr>
      <w:b/>
      <w:bCs/>
      <w:sz w:val="36"/>
      <w:szCs w:val="36"/>
    </w:rPr>
  </w:style>
  <w:style w:type="paragraph" w:customStyle="1" w:styleId="121">
    <w:name w:val="class-h2-top"/>
    <w:basedOn w:val="1"/>
    <w:qFormat/>
    <w:uiPriority w:val="0"/>
    <w:pPr>
      <w:spacing w:line="360" w:lineRule="atLeast"/>
      <w:jc w:val="center"/>
    </w:pPr>
    <w:rPr>
      <w:b/>
      <w:bCs/>
      <w:sz w:val="33"/>
      <w:szCs w:val="33"/>
    </w:rPr>
  </w:style>
  <w:style w:type="paragraph" w:customStyle="1" w:styleId="122">
    <w:name w:val="attachhover"/>
    <w:basedOn w:val="1"/>
    <w:qFormat/>
    <w:uiPriority w:val="0"/>
  </w:style>
  <w:style w:type="paragraph" w:customStyle="1" w:styleId="123">
    <w:name w:val="editor-textiframe"/>
    <w:basedOn w:val="1"/>
    <w:qFormat/>
    <w:uiPriority w:val="0"/>
  </w:style>
  <w:style w:type="paragraph" w:customStyle="1" w:styleId="124">
    <w:name w:val="popmove_newfolder"/>
    <w:basedOn w:val="1"/>
    <w:qFormat/>
    <w:uiPriority w:val="0"/>
    <w:pPr>
      <w:spacing w:before="120" w:line="300" w:lineRule="atLeast"/>
      <w:ind w:left="450"/>
    </w:pPr>
  </w:style>
  <w:style w:type="paragraph" w:customStyle="1" w:styleId="125">
    <w:name w:val="catalogdiv"/>
    <w:basedOn w:val="1"/>
    <w:qFormat/>
    <w:uiPriority w:val="0"/>
  </w:style>
  <w:style w:type="paragraph" w:customStyle="1" w:styleId="126">
    <w:name w:val="poptablehead"/>
    <w:basedOn w:val="1"/>
    <w:qFormat/>
    <w:uiPriority w:val="0"/>
    <w:pPr>
      <w:shd w:val="clear" w:color="auto" w:fill="F5F6F7"/>
    </w:pPr>
  </w:style>
  <w:style w:type="paragraph" w:customStyle="1" w:styleId="127">
    <w:name w:val="team-table"/>
    <w:basedOn w:val="1"/>
    <w:qFormat/>
    <w:uiPriority w:val="0"/>
    <w:pPr>
      <w:spacing w:before="150" w:after="150"/>
    </w:pPr>
  </w:style>
  <w:style w:type="paragraph" w:customStyle="1" w:styleId="128">
    <w:name w:val="frontcover_cont"/>
    <w:basedOn w:val="1"/>
    <w:qFormat/>
    <w:uiPriority w:val="0"/>
    <w:pPr>
      <w:jc w:val="center"/>
    </w:pPr>
  </w:style>
  <w:style w:type="paragraph" w:customStyle="1" w:styleId="129">
    <w:name w:val="tri2"/>
    <w:basedOn w:val="1"/>
    <w:qFormat/>
    <w:uiPriority w:val="0"/>
  </w:style>
  <w:style w:type="paragraph" w:customStyle="1" w:styleId="130">
    <w:name w:val="tri"/>
    <w:basedOn w:val="1"/>
    <w:qFormat/>
    <w:uiPriority w:val="0"/>
    <w:pPr>
      <w:spacing w:before="135"/>
      <w:ind w:left="210"/>
    </w:pPr>
  </w:style>
  <w:style w:type="paragraph" w:customStyle="1" w:styleId="131">
    <w:name w:val="repfirst_title"/>
    <w:basedOn w:val="1"/>
    <w:qFormat/>
    <w:uiPriority w:val="0"/>
    <w:pPr>
      <w:spacing w:line="23" w:lineRule="atLeast"/>
      <w:jc w:val="center"/>
    </w:pPr>
    <w:rPr>
      <w:color w:val="1A6DB8"/>
      <w:sz w:val="90"/>
      <w:szCs w:val="90"/>
    </w:rPr>
  </w:style>
  <w:style w:type="paragraph" w:customStyle="1" w:styleId="132">
    <w:name w:val="record-list-tit3"/>
    <w:basedOn w:val="1"/>
    <w:qFormat/>
    <w:uiPriority w:val="0"/>
    <w:pPr>
      <w:spacing w:line="330" w:lineRule="atLeast"/>
      <w:ind w:left="-180"/>
    </w:pPr>
  </w:style>
  <w:style w:type="paragraph" w:customStyle="1" w:styleId="133">
    <w:name w:val="record-list-tit"/>
    <w:basedOn w:val="1"/>
    <w:qFormat/>
    <w:uiPriority w:val="0"/>
    <w:pPr>
      <w:spacing w:line="330" w:lineRule="atLeast"/>
      <w:ind w:left="-180"/>
    </w:pPr>
  </w:style>
  <w:style w:type="paragraph" w:customStyle="1" w:styleId="134">
    <w:name w:val="margin-btm5"/>
    <w:basedOn w:val="1"/>
    <w:qFormat/>
    <w:uiPriority w:val="0"/>
    <w:pPr>
      <w:spacing w:after="75"/>
    </w:pPr>
  </w:style>
  <w:style w:type="paragraph" w:customStyle="1" w:styleId="135">
    <w:name w:val="het62"/>
    <w:basedOn w:val="1"/>
    <w:qFormat/>
    <w:uiPriority w:val="0"/>
  </w:style>
  <w:style w:type="paragraph" w:customStyle="1" w:styleId="136">
    <w:name w:val="noselect"/>
    <w:basedOn w:val="1"/>
    <w:qFormat/>
    <w:uiPriority w:val="0"/>
  </w:style>
  <w:style w:type="paragraph" w:customStyle="1" w:styleId="137">
    <w:name w:val="wid640"/>
    <w:basedOn w:val="1"/>
    <w:qFormat/>
    <w:uiPriority w:val="0"/>
  </w:style>
  <w:style w:type="paragraph" w:customStyle="1" w:styleId="138">
    <w:name w:val="popcators_tips_tit2"/>
    <w:basedOn w:val="1"/>
    <w:qFormat/>
    <w:uiPriority w:val="0"/>
    <w:pPr>
      <w:spacing w:line="300" w:lineRule="atLeast"/>
    </w:pPr>
    <w:rPr>
      <w:color w:val="131B26"/>
      <w:sz w:val="21"/>
      <w:szCs w:val="21"/>
    </w:rPr>
  </w:style>
  <w:style w:type="paragraph" w:customStyle="1" w:styleId="139">
    <w:name w:val="popcators_tips_tit"/>
    <w:basedOn w:val="1"/>
    <w:qFormat/>
    <w:uiPriority w:val="0"/>
    <w:pPr>
      <w:spacing w:line="300" w:lineRule="atLeast"/>
    </w:pPr>
    <w:rPr>
      <w:color w:val="131B26"/>
      <w:sz w:val="21"/>
      <w:szCs w:val="21"/>
    </w:rPr>
  </w:style>
  <w:style w:type="paragraph" w:customStyle="1" w:styleId="140">
    <w:name w:val="repfirst"/>
    <w:basedOn w:val="1"/>
    <w:qFormat/>
    <w:uiPriority w:val="0"/>
  </w:style>
  <w:style w:type="paragraph" w:customStyle="1" w:styleId="141">
    <w:name w:val="btn_92"/>
    <w:basedOn w:val="1"/>
    <w:qFormat/>
    <w:uiPriority w:val="0"/>
  </w:style>
  <w:style w:type="paragraph" w:customStyle="1" w:styleId="142">
    <w:name w:val="repfirst_con"/>
    <w:basedOn w:val="1"/>
    <w:qFormat/>
    <w:uiPriority w:val="0"/>
  </w:style>
  <w:style w:type="paragraph" w:customStyle="1" w:styleId="143">
    <w:name w:val="popyunpan_clamp"/>
    <w:basedOn w:val="1"/>
    <w:qFormat/>
    <w:uiPriority w:val="0"/>
    <w:pPr>
      <w:textAlignment w:val="center"/>
    </w:pPr>
  </w:style>
  <w:style w:type="paragraph" w:customStyle="1" w:styleId="144">
    <w:name w:val="popyunpan_td_name"/>
    <w:basedOn w:val="1"/>
    <w:qFormat/>
    <w:uiPriority w:val="0"/>
  </w:style>
  <w:style w:type="paragraph" w:customStyle="1" w:styleId="145">
    <w:name w:val="popcators_tips"/>
    <w:basedOn w:val="1"/>
    <w:qFormat/>
    <w:uiPriority w:val="0"/>
    <w:pPr>
      <w:spacing w:after="120"/>
    </w:pPr>
  </w:style>
  <w:style w:type="paragraph" w:customStyle="1" w:styleId="146">
    <w:name w:val="popbottom2"/>
    <w:basedOn w:val="1"/>
    <w:qFormat/>
    <w:uiPriority w:val="0"/>
  </w:style>
  <w:style w:type="paragraph" w:customStyle="1" w:styleId="147">
    <w:name w:val="popbottom"/>
    <w:basedOn w:val="1"/>
    <w:qFormat/>
    <w:uiPriority w:val="0"/>
    <w:pPr>
      <w:shd w:val="clear" w:color="auto" w:fill="FFFFFF"/>
    </w:pPr>
  </w:style>
  <w:style w:type="paragraph" w:customStyle="1" w:styleId="148">
    <w:name w:val="class-main"/>
    <w:basedOn w:val="1"/>
    <w:qFormat/>
    <w:uiPriority w:val="0"/>
    <w:pPr>
      <w:shd w:val="clear" w:color="auto" w:fill="E4F0FF"/>
      <w:spacing w:before="75" w:after="75" w:line="735" w:lineRule="atLeast"/>
    </w:pPr>
  </w:style>
  <w:style w:type="paragraph" w:customStyle="1" w:styleId="149">
    <w:name w:val="btn-white"/>
    <w:basedOn w:val="1"/>
    <w:qFormat/>
    <w:uiPriority w:val="0"/>
    <w:pPr>
      <w:pBdr>
        <w:top w:val="single" w:color="8CBBFF" w:sz="6" w:space="0"/>
        <w:left w:val="single" w:color="8CBBFF" w:sz="6" w:space="23"/>
        <w:bottom w:val="single" w:color="8CBBFF" w:sz="6" w:space="0"/>
        <w:right w:val="single" w:color="8CBBFF" w:sz="6" w:space="23"/>
      </w:pBdr>
      <w:shd w:val="clear" w:color="auto" w:fill="FFFFFF"/>
      <w:spacing w:line="510" w:lineRule="atLeast"/>
      <w:ind w:right="450"/>
      <w:jc w:val="center"/>
    </w:pPr>
    <w:rPr>
      <w:color w:val="3A8BFF"/>
      <w:sz w:val="21"/>
      <w:szCs w:val="21"/>
    </w:rPr>
  </w:style>
  <w:style w:type="paragraph" w:customStyle="1" w:styleId="150">
    <w:name w:val="top-cover-img5"/>
    <w:basedOn w:val="1"/>
    <w:qFormat/>
    <w:uiPriority w:val="0"/>
  </w:style>
  <w:style w:type="paragraph" w:customStyle="1" w:styleId="151">
    <w:name w:val="top-cover-img2"/>
    <w:basedOn w:val="1"/>
    <w:qFormat/>
    <w:uiPriority w:val="0"/>
  </w:style>
  <w:style w:type="paragraph" w:customStyle="1" w:styleId="152">
    <w:name w:val="top-cover-img"/>
    <w:basedOn w:val="1"/>
    <w:qFormat/>
    <w:uiPriority w:val="0"/>
    <w:pPr>
      <w:ind w:right="360"/>
    </w:pPr>
  </w:style>
  <w:style w:type="paragraph" w:customStyle="1" w:styleId="153">
    <w:name w:val="clear"/>
    <w:basedOn w:val="1"/>
    <w:qFormat/>
    <w:uiPriority w:val="0"/>
    <w:pPr>
      <w:spacing w:line="0" w:lineRule="atLeast"/>
    </w:pPr>
    <w:rPr>
      <w:sz w:val="0"/>
      <w:szCs w:val="0"/>
    </w:rPr>
  </w:style>
  <w:style w:type="paragraph" w:customStyle="1" w:styleId="154">
    <w:name w:val="frontcover_box"/>
    <w:basedOn w:val="1"/>
    <w:qFormat/>
    <w:uiPriority w:val="0"/>
    <w:pPr>
      <w:pBdr>
        <w:top w:val="single" w:color="D4D6D9" w:sz="6" w:space="30"/>
        <w:left w:val="single" w:color="D4D6D9" w:sz="6" w:space="30"/>
        <w:bottom w:val="single" w:color="D4D6D9" w:sz="6" w:space="30"/>
        <w:right w:val="single" w:color="D4D6D9" w:sz="6" w:space="30"/>
      </w:pBdr>
    </w:pPr>
    <w:rPr>
      <w:color w:val="131B26"/>
    </w:rPr>
  </w:style>
  <w:style w:type="paragraph" w:customStyle="1" w:styleId="155">
    <w:name w:val="popyunpan_line"/>
    <w:basedOn w:val="1"/>
    <w:qFormat/>
    <w:uiPriority w:val="0"/>
    <w:pPr>
      <w:wordWrap w:val="0"/>
    </w:pPr>
    <w:rPr>
      <w:color w:val="181E33"/>
    </w:rPr>
  </w:style>
  <w:style w:type="paragraph" w:customStyle="1" w:styleId="156">
    <w:name w:val="head-tr2"/>
    <w:basedOn w:val="1"/>
    <w:qFormat/>
    <w:uiPriority w:val="0"/>
  </w:style>
  <w:style w:type="paragraph" w:customStyle="1" w:styleId="157">
    <w:name w:val="head-tr"/>
    <w:basedOn w:val="1"/>
    <w:qFormat/>
    <w:uiPriority w:val="0"/>
  </w:style>
  <w:style w:type="paragraph" w:customStyle="1" w:styleId="158">
    <w:name w:val="margin-btm10"/>
    <w:basedOn w:val="1"/>
    <w:qFormat/>
    <w:uiPriority w:val="0"/>
    <w:pPr>
      <w:spacing w:after="150"/>
    </w:pPr>
  </w:style>
  <w:style w:type="paragraph" w:customStyle="1" w:styleId="159">
    <w:name w:val="div-table-screll"/>
    <w:basedOn w:val="1"/>
    <w:qFormat/>
    <w:uiPriority w:val="0"/>
  </w:style>
  <w:style w:type="paragraph" w:customStyle="1" w:styleId="160">
    <w:name w:val="popcators_tips_txt2"/>
    <w:basedOn w:val="1"/>
    <w:qFormat/>
    <w:uiPriority w:val="0"/>
    <w:pPr>
      <w:spacing w:before="75" w:after="120" w:line="255" w:lineRule="atLeast"/>
    </w:pPr>
    <w:rPr>
      <w:color w:val="CECFD9"/>
      <w:sz w:val="18"/>
      <w:szCs w:val="18"/>
    </w:rPr>
  </w:style>
  <w:style w:type="paragraph" w:customStyle="1" w:styleId="161">
    <w:name w:val="popcators_tips_txt"/>
    <w:basedOn w:val="1"/>
    <w:qFormat/>
    <w:uiPriority w:val="0"/>
    <w:pPr>
      <w:spacing w:before="75" w:line="255" w:lineRule="atLeast"/>
    </w:pPr>
    <w:rPr>
      <w:color w:val="CECFD9"/>
      <w:sz w:val="18"/>
      <w:szCs w:val="18"/>
    </w:rPr>
  </w:style>
  <w:style w:type="paragraph" w:customStyle="1" w:styleId="162">
    <w:name w:val="closeicon2"/>
    <w:basedOn w:val="1"/>
    <w:qFormat/>
    <w:uiPriority w:val="0"/>
    <w:rPr>
      <w:vanish/>
    </w:rPr>
  </w:style>
  <w:style w:type="paragraph" w:customStyle="1" w:styleId="163">
    <w:name w:val="closeicon"/>
    <w:basedOn w:val="1"/>
    <w:qFormat/>
    <w:uiPriority w:val="0"/>
  </w:style>
  <w:style w:type="paragraph" w:customStyle="1" w:styleId="164">
    <w:name w:val="fr"/>
    <w:basedOn w:val="1"/>
    <w:qFormat/>
    <w:uiPriority w:val="0"/>
  </w:style>
  <w:style w:type="paragraph" w:customStyle="1" w:styleId="165">
    <w:name w:val="popcators_text"/>
    <w:basedOn w:val="1"/>
    <w:qFormat/>
    <w:uiPriority w:val="0"/>
    <w:pPr>
      <w:spacing w:after="180" w:line="300" w:lineRule="atLeast"/>
    </w:pPr>
    <w:rPr>
      <w:color w:val="8B92A6"/>
      <w:sz w:val="21"/>
      <w:szCs w:val="21"/>
    </w:rPr>
  </w:style>
  <w:style w:type="paragraph" w:customStyle="1" w:styleId="166">
    <w:name w:val="template_tab_l"/>
    <w:basedOn w:val="1"/>
    <w:qFormat/>
    <w:uiPriority w:val="0"/>
    <w:pPr>
      <w:shd w:val="clear" w:color="auto" w:fill="F5F6F7"/>
    </w:pPr>
    <w:rPr>
      <w:color w:val="333333"/>
    </w:rPr>
  </w:style>
  <w:style w:type="paragraph" w:customStyle="1" w:styleId="167">
    <w:name w:val="jb_btn_104"/>
    <w:basedOn w:val="1"/>
    <w:qFormat/>
    <w:uiPriority w:val="0"/>
  </w:style>
  <w:style w:type="paragraph" w:customStyle="1" w:styleId="168">
    <w:name w:val="studfont2"/>
    <w:basedOn w:val="1"/>
    <w:qFormat/>
    <w:uiPriority w:val="0"/>
    <w:rPr>
      <w:color w:val="A8A8B3"/>
      <w:sz w:val="18"/>
      <w:szCs w:val="18"/>
    </w:rPr>
  </w:style>
  <w:style w:type="paragraph" w:customStyle="1" w:styleId="169">
    <w:name w:val="studfont"/>
    <w:basedOn w:val="1"/>
    <w:qFormat/>
    <w:uiPriority w:val="0"/>
    <w:rPr>
      <w:color w:val="A8A8B3"/>
      <w:sz w:val="18"/>
      <w:szCs w:val="18"/>
    </w:rPr>
  </w:style>
  <w:style w:type="paragraph" w:customStyle="1" w:styleId="170">
    <w:name w:val="frontcover_time"/>
    <w:basedOn w:val="1"/>
    <w:qFormat/>
    <w:uiPriority w:val="0"/>
    <w:pPr>
      <w:spacing w:line="360" w:lineRule="atLeast"/>
    </w:pPr>
  </w:style>
  <w:style w:type="paragraph" w:customStyle="1" w:styleId="171">
    <w:name w:val="todo-inner"/>
    <w:basedOn w:val="1"/>
    <w:qFormat/>
    <w:uiPriority w:val="0"/>
    <w:pPr>
      <w:pBdr>
        <w:top w:val="single" w:color="707070" w:sz="6" w:space="0"/>
        <w:left w:val="single" w:color="707070" w:sz="6" w:space="0"/>
        <w:bottom w:val="single" w:color="707070" w:sz="6" w:space="0"/>
        <w:right w:val="single" w:color="707070" w:sz="6" w:space="0"/>
      </w:pBdr>
      <w:shd w:val="clear" w:color="auto" w:fill="FFFFFF"/>
    </w:pPr>
    <w:rPr>
      <w:sz w:val="0"/>
      <w:szCs w:val="0"/>
    </w:rPr>
  </w:style>
  <w:style w:type="paragraph" w:customStyle="1" w:styleId="172">
    <w:name w:val="opitem2"/>
    <w:basedOn w:val="1"/>
    <w:qFormat/>
    <w:uiPriority w:val="0"/>
    <w:pPr>
      <w:spacing w:line="630" w:lineRule="atLeast"/>
      <w:textAlignment w:val="top"/>
    </w:pPr>
    <w:rPr>
      <w:color w:val="181E33"/>
      <w:sz w:val="21"/>
      <w:szCs w:val="21"/>
    </w:rPr>
  </w:style>
  <w:style w:type="paragraph" w:customStyle="1" w:styleId="173">
    <w:name w:val="opitem"/>
    <w:basedOn w:val="1"/>
    <w:qFormat/>
    <w:uiPriority w:val="0"/>
    <w:pPr>
      <w:spacing w:line="600" w:lineRule="atLeast"/>
    </w:pPr>
  </w:style>
  <w:style w:type="paragraph" w:customStyle="1" w:styleId="174">
    <w:name w:val="zmenu-item"/>
    <w:basedOn w:val="1"/>
    <w:qFormat/>
    <w:uiPriority w:val="0"/>
  </w:style>
  <w:style w:type="paragraph" w:customStyle="1" w:styleId="175">
    <w:name w:val="btn-blue"/>
    <w:basedOn w:val="1"/>
    <w:qFormat/>
    <w:uiPriority w:val="0"/>
    <w:pPr>
      <w:shd w:val="clear" w:color="auto" w:fill="F0F2F5"/>
      <w:spacing w:line="540" w:lineRule="atLeast"/>
      <w:ind w:left="-360" w:right="30"/>
    </w:pPr>
    <w:rPr>
      <w:color w:val="FFFFFF"/>
      <w:sz w:val="21"/>
      <w:szCs w:val="21"/>
    </w:rPr>
  </w:style>
  <w:style w:type="paragraph" w:customStyle="1" w:styleId="176">
    <w:name w:val="record-list-time3"/>
    <w:basedOn w:val="1"/>
    <w:qFormat/>
    <w:uiPriority w:val="0"/>
    <w:pPr>
      <w:shd w:val="clear" w:color="auto" w:fill="EBF7FF"/>
    </w:pPr>
    <w:rPr>
      <w:color w:val="3A8BFF"/>
    </w:rPr>
  </w:style>
  <w:style w:type="paragraph" w:customStyle="1" w:styleId="177">
    <w:name w:val="record-list-time"/>
    <w:basedOn w:val="1"/>
    <w:qFormat/>
    <w:uiPriority w:val="0"/>
    <w:pPr>
      <w:shd w:val="clear" w:color="auto" w:fill="EBF7FF"/>
    </w:pPr>
    <w:rPr>
      <w:color w:val="3A8BFF"/>
    </w:rPr>
  </w:style>
  <w:style w:type="paragraph" w:customStyle="1" w:styleId="178">
    <w:name w:val="popoverflow"/>
    <w:basedOn w:val="1"/>
    <w:qFormat/>
    <w:uiPriority w:val="0"/>
  </w:style>
  <w:style w:type="paragraph" w:customStyle="1" w:styleId="179">
    <w:name w:val="popyunpan_th_check"/>
    <w:basedOn w:val="1"/>
    <w:qFormat/>
    <w:uiPriority w:val="0"/>
  </w:style>
  <w:style w:type="paragraph" w:customStyle="1" w:styleId="180">
    <w:name w:val="justifycenter"/>
    <w:basedOn w:val="1"/>
    <w:qFormat/>
    <w:uiPriority w:val="0"/>
    <w:pPr>
      <w:jc w:val="center"/>
    </w:pPr>
  </w:style>
  <w:style w:type="paragraph" w:customStyle="1" w:styleId="181">
    <w:name w:val="divtxt4"/>
    <w:basedOn w:val="1"/>
    <w:qFormat/>
    <w:uiPriority w:val="0"/>
    <w:pPr>
      <w:spacing w:after="150" w:line="300" w:lineRule="atLeast"/>
    </w:pPr>
    <w:rPr>
      <w:color w:val="949CA6"/>
      <w:sz w:val="21"/>
      <w:szCs w:val="21"/>
    </w:rPr>
  </w:style>
  <w:style w:type="paragraph" w:customStyle="1" w:styleId="182">
    <w:name w:val="divtxt2"/>
    <w:basedOn w:val="1"/>
    <w:qFormat/>
    <w:uiPriority w:val="0"/>
    <w:pPr>
      <w:spacing w:after="150" w:line="300" w:lineRule="atLeast"/>
    </w:pPr>
    <w:rPr>
      <w:color w:val="949CA6"/>
      <w:sz w:val="21"/>
      <w:szCs w:val="21"/>
    </w:rPr>
  </w:style>
  <w:style w:type="paragraph" w:customStyle="1" w:styleId="183">
    <w:name w:val="divtxt"/>
    <w:basedOn w:val="1"/>
    <w:qFormat/>
    <w:uiPriority w:val="0"/>
    <w:pPr>
      <w:spacing w:after="150" w:line="300" w:lineRule="atLeast"/>
    </w:pPr>
    <w:rPr>
      <w:color w:val="949CA6"/>
      <w:sz w:val="21"/>
      <w:szCs w:val="21"/>
    </w:rPr>
  </w:style>
  <w:style w:type="paragraph" w:customStyle="1" w:styleId="184">
    <w:name w:val="button"/>
    <w:basedOn w:val="1"/>
    <w:qFormat/>
    <w:uiPriority w:val="0"/>
    <w:pPr>
      <w:pBdr>
        <w:top w:val="single" w:color="3A8BFF" w:sz="6" w:space="0"/>
        <w:left w:val="single" w:color="3A8BFF" w:sz="6" w:space="0"/>
        <w:bottom w:val="single" w:color="3A8BFF" w:sz="6" w:space="0"/>
        <w:right w:val="single" w:color="3A8BFF" w:sz="6" w:space="0"/>
      </w:pBdr>
      <w:spacing w:line="540" w:lineRule="atLeast"/>
      <w:ind w:left="150" w:right="150"/>
      <w:jc w:val="center"/>
      <w:textAlignment w:val="center"/>
    </w:pPr>
    <w:rPr>
      <w:color w:val="0099FF"/>
    </w:rPr>
  </w:style>
  <w:style w:type="paragraph" w:customStyle="1" w:styleId="185">
    <w:name w:val="preview_list2"/>
    <w:basedOn w:val="1"/>
    <w:qFormat/>
    <w:uiPriority w:val="0"/>
    <w:pPr>
      <w:shd w:val="clear" w:color="auto" w:fill="F5F7FA"/>
      <w:spacing w:before="300"/>
    </w:pPr>
  </w:style>
  <w:style w:type="paragraph" w:customStyle="1" w:styleId="186">
    <w:name w:val="preview_list"/>
    <w:basedOn w:val="1"/>
    <w:qFormat/>
    <w:uiPriority w:val="0"/>
    <w:pPr>
      <w:shd w:val="clear" w:color="auto" w:fill="F5F7FA"/>
      <w:spacing w:before="300"/>
    </w:pPr>
  </w:style>
  <w:style w:type="paragraph" w:customStyle="1" w:styleId="187">
    <w:name w:val="field"/>
    <w:basedOn w:val="1"/>
    <w:qFormat/>
    <w:uiPriority w:val="0"/>
  </w:style>
  <w:style w:type="paragraph" w:customStyle="1" w:styleId="188">
    <w:name w:val="copy"/>
    <w:basedOn w:val="1"/>
    <w:qFormat/>
    <w:uiPriority w:val="0"/>
    <w:pPr>
      <w:spacing w:line="360" w:lineRule="atLeast"/>
      <w:ind w:left="300"/>
    </w:pPr>
    <w:rPr>
      <w:color w:val="6B89B2"/>
    </w:rPr>
  </w:style>
  <w:style w:type="paragraph" w:customStyle="1" w:styleId="189">
    <w:name w:val="btnblue"/>
    <w:basedOn w:val="1"/>
    <w:qFormat/>
    <w:uiPriority w:val="0"/>
    <w:pPr>
      <w:pBdr>
        <w:top w:val="single" w:color="94C1FF" w:sz="6" w:space="0"/>
        <w:left w:val="single" w:color="94C1FF" w:sz="6" w:space="0"/>
        <w:bottom w:val="single" w:color="94C1FF" w:sz="6" w:space="0"/>
        <w:right w:val="single" w:color="94C1FF" w:sz="6" w:space="0"/>
      </w:pBdr>
      <w:spacing w:line="510" w:lineRule="atLeast"/>
      <w:jc w:val="center"/>
    </w:pPr>
    <w:rPr>
      <w:color w:val="3A8BFF"/>
    </w:rPr>
  </w:style>
  <w:style w:type="paragraph" w:customStyle="1" w:styleId="190">
    <w:name w:val="hint"/>
    <w:basedOn w:val="1"/>
    <w:qFormat/>
    <w:uiPriority w:val="0"/>
    <w:pPr>
      <w:spacing w:before="240" w:line="24" w:lineRule="atLeast"/>
    </w:pPr>
    <w:rPr>
      <w:color w:val="474C59"/>
      <w:sz w:val="21"/>
      <w:szCs w:val="21"/>
    </w:rPr>
  </w:style>
  <w:style w:type="paragraph" w:customStyle="1" w:styleId="191">
    <w:name w:val="callout-icon"/>
    <w:basedOn w:val="1"/>
    <w:qFormat/>
    <w:uiPriority w:val="0"/>
    <w:pPr>
      <w:ind w:right="150"/>
    </w:pPr>
  </w:style>
  <w:style w:type="paragraph" w:customStyle="1" w:styleId="192">
    <w:name w:val="repfirst_pic"/>
    <w:basedOn w:val="1"/>
    <w:qFormat/>
    <w:uiPriority w:val="0"/>
  </w:style>
  <w:style w:type="paragraph" w:customStyle="1" w:styleId="193">
    <w:name w:val="popyunpan_td_disabled"/>
    <w:basedOn w:val="1"/>
    <w:qFormat/>
    <w:uiPriority w:val="0"/>
  </w:style>
  <w:style w:type="paragraph" w:customStyle="1" w:styleId="194">
    <w:name w:val="rename_con"/>
    <w:basedOn w:val="1"/>
    <w:qFormat/>
    <w:uiPriority w:val="0"/>
  </w:style>
  <w:style w:type="paragraph" w:customStyle="1" w:styleId="195">
    <w:name w:val="record-list"/>
    <w:basedOn w:val="1"/>
    <w:qFormat/>
    <w:uiPriority w:val="0"/>
  </w:style>
  <w:style w:type="paragraph" w:customStyle="1" w:styleId="196">
    <w:name w:val="poptable_td"/>
    <w:basedOn w:val="1"/>
    <w:qFormat/>
    <w:uiPriority w:val="0"/>
  </w:style>
  <w:style w:type="paragraph" w:customStyle="1" w:styleId="197">
    <w:name w:val="popcators_form"/>
    <w:basedOn w:val="1"/>
    <w:qFormat/>
    <w:uiPriority w:val="0"/>
  </w:style>
  <w:style w:type="paragraph" w:customStyle="1" w:styleId="198">
    <w:name w:val="popnormal"/>
    <w:basedOn w:val="1"/>
    <w:qFormat/>
    <w:uiPriority w:val="0"/>
  </w:style>
  <w:style w:type="paragraph" w:customStyle="1" w:styleId="199">
    <w:name w:val="spliteline"/>
    <w:basedOn w:val="1"/>
    <w:qFormat/>
    <w:uiPriority w:val="0"/>
    <w:pPr>
      <w:shd w:val="clear" w:color="auto" w:fill="F2F2F2"/>
      <w:ind w:right="210"/>
      <w:textAlignment w:val="center"/>
    </w:pPr>
  </w:style>
  <w:style w:type="paragraph" w:customStyle="1" w:styleId="200">
    <w:name w:val="zmenu-list"/>
    <w:basedOn w:val="1"/>
    <w:qFormat/>
    <w:uiPriority w:val="0"/>
    <w:pPr>
      <w:pBdr>
        <w:left w:val="single" w:color="CCCCCC" w:sz="6" w:space="0"/>
      </w:pBdr>
    </w:pPr>
  </w:style>
  <w:style w:type="paragraph" w:customStyle="1" w:styleId="201">
    <w:name w:val="poptable2"/>
    <w:basedOn w:val="1"/>
    <w:qFormat/>
    <w:uiPriority w:val="0"/>
    <w:pPr>
      <w:spacing w:after="360"/>
    </w:pPr>
  </w:style>
  <w:style w:type="paragraph" w:customStyle="1" w:styleId="202">
    <w:name w:val="drdp-stylethree"/>
    <w:basedOn w:val="1"/>
    <w:qFormat/>
    <w:uiPriority w:val="0"/>
    <w:pPr>
      <w:shd w:val="clear" w:color="auto" w:fill="E8C84A"/>
    </w:pPr>
  </w:style>
  <w:style w:type="paragraph" w:customStyle="1" w:styleId="203">
    <w:name w:val="record-box"/>
    <w:basedOn w:val="1"/>
    <w:qFormat/>
    <w:uiPriority w:val="0"/>
    <w:pPr>
      <w:spacing w:before="255"/>
    </w:pPr>
  </w:style>
  <w:style w:type="paragraph" w:customStyle="1" w:styleId="204">
    <w:name w:val="record-list-ppt"/>
    <w:basedOn w:val="1"/>
    <w:qFormat/>
    <w:uiPriority w:val="0"/>
    <w:pPr>
      <w:shd w:val="clear" w:color="auto" w:fill="B3B3B3"/>
      <w:spacing w:before="45" w:line="255" w:lineRule="atLeast"/>
      <w:ind w:left="90"/>
      <w:jc w:val="center"/>
    </w:pPr>
    <w:rPr>
      <w:color w:val="FFFFFF"/>
      <w:sz w:val="16"/>
      <w:szCs w:val="16"/>
    </w:rPr>
  </w:style>
  <w:style w:type="paragraph" w:customStyle="1" w:styleId="205">
    <w:name w:val="imghover"/>
    <w:basedOn w:val="1"/>
    <w:qFormat/>
    <w:uiPriority w:val="0"/>
  </w:style>
  <w:style w:type="paragraph" w:customStyle="1" w:styleId="206">
    <w:name w:val="drdp-stylefive"/>
    <w:basedOn w:val="1"/>
    <w:qFormat/>
    <w:uiPriority w:val="0"/>
    <w:pPr>
      <w:shd w:val="clear" w:color="auto" w:fill="E8A0B0"/>
    </w:pPr>
  </w:style>
  <w:style w:type="paragraph" w:customStyle="1" w:styleId="207">
    <w:name w:val="popyunpan_th_state"/>
    <w:basedOn w:val="1"/>
    <w:qFormat/>
    <w:uiPriority w:val="0"/>
  </w:style>
  <w:style w:type="paragraph" w:customStyle="1" w:styleId="208">
    <w:name w:val="formtitle"/>
    <w:basedOn w:val="1"/>
    <w:qFormat/>
    <w:uiPriority w:val="0"/>
    <w:pPr>
      <w:shd w:val="clear" w:color="auto" w:fill="FFFFFF"/>
      <w:spacing w:line="300" w:lineRule="atLeast"/>
    </w:pPr>
    <w:rPr>
      <w:sz w:val="21"/>
      <w:szCs w:val="21"/>
    </w:rPr>
  </w:style>
  <w:style w:type="paragraph" w:customStyle="1" w:styleId="209">
    <w:name w:val="majorcourse"/>
    <w:basedOn w:val="1"/>
    <w:qFormat/>
    <w:uiPriority w:val="0"/>
  </w:style>
  <w:style w:type="paragraph" w:customStyle="1" w:styleId="210">
    <w:name w:val="forminput4"/>
    <w:basedOn w:val="1"/>
    <w:qFormat/>
    <w:uiPriority w:val="0"/>
    <w:pPr>
      <w:pBdr>
        <w:bottom w:val="single" w:color="8B92A6" w:sz="6" w:space="4"/>
      </w:pBdr>
      <w:spacing w:line="300" w:lineRule="atLeast"/>
    </w:pPr>
    <w:rPr>
      <w:color w:val="131B26"/>
      <w:sz w:val="21"/>
      <w:szCs w:val="21"/>
    </w:rPr>
  </w:style>
  <w:style w:type="paragraph" w:customStyle="1" w:styleId="211">
    <w:name w:val="forminput2"/>
    <w:basedOn w:val="1"/>
    <w:qFormat/>
    <w:uiPriority w:val="0"/>
    <w:pPr>
      <w:pBdr>
        <w:bottom w:val="single" w:color="8B92A6" w:sz="6" w:space="4"/>
      </w:pBdr>
      <w:spacing w:line="300" w:lineRule="atLeast"/>
    </w:pPr>
    <w:rPr>
      <w:color w:val="131B26"/>
      <w:sz w:val="21"/>
      <w:szCs w:val="21"/>
    </w:rPr>
  </w:style>
  <w:style w:type="paragraph" w:customStyle="1" w:styleId="212">
    <w:name w:val="forminput"/>
    <w:basedOn w:val="1"/>
    <w:qFormat/>
    <w:uiPriority w:val="0"/>
    <w:pPr>
      <w:pBdr>
        <w:bottom w:val="single" w:color="000000" w:sz="6" w:space="5"/>
      </w:pBdr>
      <w:spacing w:line="450" w:lineRule="atLeast"/>
      <w:textAlignment w:val="top"/>
    </w:pPr>
    <w:rPr>
      <w:color w:val="333333"/>
      <w:sz w:val="30"/>
      <w:szCs w:val="30"/>
    </w:rPr>
  </w:style>
  <w:style w:type="paragraph" w:customStyle="1" w:styleId="213">
    <w:name w:val="margin-btm20"/>
    <w:basedOn w:val="1"/>
    <w:qFormat/>
    <w:uiPriority w:val="0"/>
    <w:pPr>
      <w:spacing w:after="300"/>
    </w:pPr>
  </w:style>
  <w:style w:type="paragraph" w:customStyle="1" w:styleId="214">
    <w:name w:val="clearfix"/>
    <w:basedOn w:val="1"/>
    <w:qFormat/>
    <w:uiPriority w:val="0"/>
  </w:style>
  <w:style w:type="paragraph" w:customStyle="1" w:styleId="215">
    <w:name w:val="popmove_text2"/>
    <w:basedOn w:val="1"/>
    <w:qFormat/>
    <w:uiPriority w:val="0"/>
    <w:pPr>
      <w:textAlignment w:val="center"/>
    </w:pPr>
  </w:style>
  <w:style w:type="paragraph" w:customStyle="1" w:styleId="216">
    <w:name w:val="popmove_text"/>
    <w:basedOn w:val="1"/>
    <w:qFormat/>
    <w:uiPriority w:val="0"/>
  </w:style>
  <w:style w:type="paragraph" w:customStyle="1" w:styleId="217">
    <w:name w:val="zmenu-minwidth4"/>
    <w:basedOn w:val="1"/>
    <w:qFormat/>
    <w:uiPriority w:val="0"/>
    <w:pPr>
      <w:spacing w:line="510" w:lineRule="atLeast"/>
    </w:pPr>
  </w:style>
  <w:style w:type="paragraph" w:customStyle="1" w:styleId="218">
    <w:name w:val="zmenu-minwidth2"/>
    <w:basedOn w:val="1"/>
    <w:qFormat/>
    <w:uiPriority w:val="0"/>
    <w:pPr>
      <w:spacing w:line="720" w:lineRule="atLeast"/>
    </w:pPr>
  </w:style>
  <w:style w:type="paragraph" w:customStyle="1" w:styleId="219">
    <w:name w:val="zmenu-minwidth"/>
    <w:basedOn w:val="1"/>
    <w:qFormat/>
    <w:uiPriority w:val="0"/>
    <w:pPr>
      <w:spacing w:line="510" w:lineRule="atLeast"/>
    </w:pPr>
  </w:style>
  <w:style w:type="paragraph" w:customStyle="1" w:styleId="220">
    <w:name w:val="icon-face"/>
    <w:basedOn w:val="1"/>
    <w:qFormat/>
    <w:uiPriority w:val="0"/>
  </w:style>
  <w:style w:type="paragraph" w:customStyle="1" w:styleId="221">
    <w:name w:val="popyunpan_text"/>
    <w:basedOn w:val="1"/>
    <w:qFormat/>
    <w:uiPriority w:val="0"/>
    <w:pPr>
      <w:spacing w:line="300" w:lineRule="atLeast"/>
    </w:pPr>
    <w:rPr>
      <w:color w:val="181E33"/>
      <w:sz w:val="21"/>
      <w:szCs w:val="21"/>
    </w:rPr>
  </w:style>
  <w:style w:type="paragraph" w:customStyle="1" w:styleId="222">
    <w:name w:val="popyunpan_td_pic"/>
    <w:basedOn w:val="1"/>
    <w:qFormat/>
    <w:uiPriority w:val="0"/>
  </w:style>
  <w:style w:type="paragraph" w:customStyle="1" w:styleId="223">
    <w:name w:val="catalog_close"/>
    <w:basedOn w:val="1"/>
    <w:qFormat/>
    <w:uiPriority w:val="0"/>
  </w:style>
  <w:style w:type="paragraph" w:customStyle="1" w:styleId="224">
    <w:name w:val="drdp-legend-dot"/>
    <w:basedOn w:val="1"/>
    <w:qFormat/>
    <w:uiPriority w:val="0"/>
  </w:style>
  <w:style w:type="paragraph" w:customStyle="1" w:styleId="225">
    <w:name w:val="fs16"/>
    <w:basedOn w:val="1"/>
    <w:qFormat/>
    <w:uiPriority w:val="0"/>
  </w:style>
  <w:style w:type="paragraph" w:customStyle="1" w:styleId="226">
    <w:name w:val="foldtitle-tri-wrap10"/>
    <w:basedOn w:val="1"/>
    <w:qFormat/>
    <w:uiPriority w:val="0"/>
  </w:style>
  <w:style w:type="paragraph" w:customStyle="1" w:styleId="227">
    <w:name w:val="foldtitle-tri-wrap8"/>
    <w:basedOn w:val="1"/>
    <w:qFormat/>
    <w:uiPriority w:val="0"/>
  </w:style>
  <w:style w:type="paragraph" w:customStyle="1" w:styleId="228">
    <w:name w:val="foldtitle-tri-wrap6"/>
    <w:basedOn w:val="1"/>
    <w:qFormat/>
    <w:uiPriority w:val="0"/>
  </w:style>
  <w:style w:type="paragraph" w:customStyle="1" w:styleId="229">
    <w:name w:val="foldtitle-tri-wrap4"/>
    <w:basedOn w:val="1"/>
    <w:qFormat/>
    <w:uiPriority w:val="0"/>
  </w:style>
  <w:style w:type="paragraph" w:customStyle="1" w:styleId="230">
    <w:name w:val="foldtitle-tri-wrap2"/>
    <w:basedOn w:val="1"/>
    <w:qFormat/>
    <w:uiPriority w:val="0"/>
  </w:style>
  <w:style w:type="paragraph" w:customStyle="1" w:styleId="231">
    <w:name w:val="foldtitle-tri-wrap"/>
    <w:basedOn w:val="1"/>
    <w:qFormat/>
    <w:uiPriority w:val="0"/>
  </w:style>
  <w:style w:type="paragraph" w:customStyle="1" w:styleId="232">
    <w:name w:val="todo-text"/>
    <w:basedOn w:val="1"/>
    <w:qFormat/>
    <w:uiPriority w:val="0"/>
  </w:style>
  <w:style w:type="paragraph" w:customStyle="1" w:styleId="233">
    <w:name w:val="zmenu-tr"/>
    <w:basedOn w:val="1"/>
    <w:qFormat/>
    <w:uiPriority w:val="0"/>
    <w:pPr>
      <w:pBdr>
        <w:top w:val="single" w:color="CCCCCC" w:sz="6" w:space="0"/>
        <w:left w:val="single" w:color="CCCCCC" w:sz="6" w:space="0"/>
      </w:pBdr>
    </w:pPr>
  </w:style>
  <w:style w:type="paragraph" w:customStyle="1" w:styleId="234">
    <w:name w:val="poptablenotes"/>
    <w:basedOn w:val="1"/>
    <w:qFormat/>
    <w:uiPriority w:val="0"/>
    <w:pPr>
      <w:spacing w:line="600" w:lineRule="atLeast"/>
    </w:pPr>
    <w:rPr>
      <w:sz w:val="18"/>
      <w:szCs w:val="18"/>
    </w:rPr>
  </w:style>
  <w:style w:type="paragraph" w:customStyle="1" w:styleId="235">
    <w:name w:val="td_form2"/>
    <w:basedOn w:val="1"/>
    <w:qFormat/>
    <w:uiPriority w:val="0"/>
  </w:style>
  <w:style w:type="paragraph" w:customStyle="1" w:styleId="236">
    <w:name w:val="td_form"/>
    <w:basedOn w:val="1"/>
    <w:qFormat/>
    <w:uiPriority w:val="0"/>
  </w:style>
  <w:style w:type="paragraph" w:customStyle="1" w:styleId="237">
    <w:name w:val="frontcover_title"/>
    <w:basedOn w:val="1"/>
    <w:qFormat/>
    <w:uiPriority w:val="0"/>
    <w:pPr>
      <w:spacing w:line="23" w:lineRule="atLeast"/>
      <w:jc w:val="center"/>
    </w:pPr>
    <w:rPr>
      <w:sz w:val="48"/>
      <w:szCs w:val="48"/>
    </w:rPr>
  </w:style>
  <w:style w:type="paragraph" w:customStyle="1" w:styleId="238">
    <w:name w:val="formtext"/>
    <w:basedOn w:val="1"/>
    <w:qFormat/>
    <w:uiPriority w:val="0"/>
    <w:pPr>
      <w:pBdr>
        <w:top w:val="single" w:color="E1E1E5" w:sz="6" w:space="5"/>
        <w:left w:val="single" w:color="E1E1E5" w:sz="6" w:space="6"/>
        <w:bottom w:val="single" w:color="E1E1E5" w:sz="6" w:space="5"/>
        <w:right w:val="single" w:color="E1E1E5" w:sz="6" w:space="6"/>
      </w:pBdr>
      <w:shd w:val="clear" w:color="auto" w:fill="FFFFFF"/>
      <w:spacing w:before="150" w:line="300" w:lineRule="atLeast"/>
    </w:pPr>
    <w:rPr>
      <w:sz w:val="21"/>
      <w:szCs w:val="21"/>
    </w:rPr>
  </w:style>
  <w:style w:type="paragraph" w:customStyle="1" w:styleId="239">
    <w:name w:val="txt-c2"/>
    <w:basedOn w:val="1"/>
    <w:qFormat/>
    <w:uiPriority w:val="0"/>
    <w:pPr>
      <w:jc w:val="center"/>
    </w:pPr>
  </w:style>
  <w:style w:type="paragraph" w:customStyle="1" w:styleId="240">
    <w:name w:val="txt-c"/>
    <w:basedOn w:val="1"/>
    <w:qFormat/>
    <w:uiPriority w:val="0"/>
    <w:pPr>
      <w:jc w:val="center"/>
    </w:pPr>
  </w:style>
  <w:style w:type="paragraph" w:customStyle="1" w:styleId="241">
    <w:name w:val="cx_unselect"/>
    <w:basedOn w:val="1"/>
    <w:qFormat/>
    <w:uiPriority w:val="0"/>
  </w:style>
  <w:style w:type="paragraph" w:customStyle="1" w:styleId="242">
    <w:name w:val="divtit4"/>
    <w:basedOn w:val="1"/>
    <w:qFormat/>
    <w:uiPriority w:val="0"/>
    <w:pPr>
      <w:spacing w:after="90" w:line="360" w:lineRule="atLeast"/>
    </w:pPr>
    <w:rPr>
      <w:color w:val="19213A"/>
    </w:rPr>
  </w:style>
  <w:style w:type="paragraph" w:customStyle="1" w:styleId="243">
    <w:name w:val="divtit2"/>
    <w:basedOn w:val="1"/>
    <w:qFormat/>
    <w:uiPriority w:val="0"/>
    <w:pPr>
      <w:spacing w:after="90" w:line="360" w:lineRule="atLeast"/>
    </w:pPr>
    <w:rPr>
      <w:color w:val="19213A"/>
    </w:rPr>
  </w:style>
  <w:style w:type="paragraph" w:customStyle="1" w:styleId="244">
    <w:name w:val="divtit"/>
    <w:basedOn w:val="1"/>
    <w:qFormat/>
    <w:uiPriority w:val="0"/>
    <w:pPr>
      <w:spacing w:after="90" w:line="360" w:lineRule="atLeast"/>
    </w:pPr>
    <w:rPr>
      <w:color w:val="19213A"/>
    </w:rPr>
  </w:style>
  <w:style w:type="paragraph" w:customStyle="1" w:styleId="245">
    <w:name w:val="todo-mark"/>
    <w:basedOn w:val="1"/>
    <w:qFormat/>
    <w:uiPriority w:val="0"/>
  </w:style>
  <w:style w:type="paragraph" w:customStyle="1" w:styleId="246">
    <w:name w:val="zmenu-sub"/>
    <w:basedOn w:val="1"/>
    <w:qFormat/>
    <w:uiPriority w:val="0"/>
  </w:style>
  <w:style w:type="character" w:customStyle="1" w:styleId="247">
    <w:name w:val="latex_math_block"/>
    <w:basedOn w:val="21"/>
    <w:qFormat/>
    <w:uiPriority w:val="0"/>
  </w:style>
  <w:style w:type="paragraph" w:customStyle="1" w:styleId="248">
    <w:name w:val="kctree_oper"/>
    <w:basedOn w:val="1"/>
    <w:qFormat/>
    <w:uiPriority w:val="0"/>
    <w:pPr>
      <w:spacing w:line="300" w:lineRule="atLeast"/>
    </w:pPr>
    <w:rPr>
      <w:sz w:val="21"/>
      <w:szCs w:val="21"/>
    </w:rPr>
  </w:style>
  <w:style w:type="paragraph" w:customStyle="1" w:styleId="249">
    <w:name w:val="pophead"/>
    <w:basedOn w:val="1"/>
    <w:qFormat/>
    <w:uiPriority w:val="0"/>
    <w:pPr>
      <w:shd w:val="clear" w:color="auto" w:fill="FFFFFF"/>
      <w:spacing w:line="900" w:lineRule="atLeast"/>
    </w:pPr>
  </w:style>
  <w:style w:type="paragraph" w:customStyle="1" w:styleId="250">
    <w:name w:val="zmenu-th"/>
    <w:basedOn w:val="1"/>
    <w:qFormat/>
    <w:uiPriority w:val="0"/>
    <w:pPr>
      <w:pBdr>
        <w:bottom w:val="single" w:color="CCCCCC" w:sz="6" w:space="0"/>
        <w:right w:val="single" w:color="CCCCCC" w:sz="6" w:space="0"/>
      </w:pBdr>
      <w:shd w:val="clear" w:color="auto" w:fill="F2F2F2"/>
      <w:jc w:val="center"/>
    </w:pPr>
    <w:rPr>
      <w:color w:val="666666"/>
      <w:sz w:val="21"/>
      <w:szCs w:val="21"/>
    </w:rPr>
  </w:style>
  <w:style w:type="paragraph" w:customStyle="1" w:styleId="251">
    <w:name w:val="kctree_tag"/>
    <w:basedOn w:val="1"/>
    <w:qFormat/>
    <w:uiPriority w:val="0"/>
    <w:pPr>
      <w:pBdr>
        <w:top w:val="single" w:color="E1EBFA" w:sz="6" w:space="0"/>
        <w:left w:val="single" w:color="E1EBFA" w:sz="6" w:space="6"/>
        <w:bottom w:val="single" w:color="E1EBFA" w:sz="6" w:space="0"/>
        <w:right w:val="single" w:color="E1EBFA" w:sz="6" w:space="6"/>
      </w:pBdr>
      <w:shd w:val="clear" w:color="auto" w:fill="F7FAFC"/>
      <w:spacing w:line="360" w:lineRule="atLeast"/>
      <w:ind w:right="120"/>
      <w:textAlignment w:val="center"/>
    </w:pPr>
    <w:rPr>
      <w:color w:val="92A1B6"/>
      <w:sz w:val="18"/>
      <w:szCs w:val="18"/>
    </w:rPr>
  </w:style>
  <w:style w:type="paragraph" w:customStyle="1" w:styleId="252">
    <w:name w:val="kctree_text"/>
    <w:basedOn w:val="1"/>
    <w:qFormat/>
    <w:uiPriority w:val="0"/>
    <w:pPr>
      <w:ind w:right="240"/>
    </w:pPr>
  </w:style>
  <w:style w:type="paragraph" w:customStyle="1" w:styleId="253">
    <w:name w:val="popyunpan_td_checked"/>
    <w:basedOn w:val="1"/>
    <w:qFormat/>
    <w:uiPriority w:val="0"/>
  </w:style>
  <w:style w:type="paragraph" w:customStyle="1" w:styleId="254">
    <w:name w:val="popyunpan_td_state"/>
    <w:basedOn w:val="1"/>
    <w:qFormat/>
    <w:uiPriority w:val="0"/>
  </w:style>
  <w:style w:type="paragraph" w:customStyle="1" w:styleId="255">
    <w:name w:val="jb_btn_168"/>
    <w:basedOn w:val="1"/>
    <w:qFormat/>
    <w:uiPriority w:val="0"/>
    <w:pPr>
      <w:spacing w:line="660" w:lineRule="atLeast"/>
    </w:pPr>
  </w:style>
  <w:style w:type="paragraph" w:customStyle="1" w:styleId="256">
    <w:name w:val="classul"/>
    <w:basedOn w:val="1"/>
    <w:qFormat/>
    <w:uiPriority w:val="0"/>
  </w:style>
  <w:style w:type="paragraph" w:customStyle="1" w:styleId="257">
    <w:name w:val="popyunpan_active"/>
    <w:basedOn w:val="1"/>
    <w:qFormat/>
    <w:uiPriority w:val="0"/>
    <w:pPr>
      <w:pBdr>
        <w:bottom w:val="single" w:color="D6E8FF" w:sz="6" w:space="0"/>
      </w:pBdr>
    </w:pPr>
  </w:style>
  <w:style w:type="paragraph" w:customStyle="1" w:styleId="258">
    <w:name w:val="opmore"/>
    <w:basedOn w:val="1"/>
    <w:qFormat/>
    <w:uiPriority w:val="0"/>
    <w:pPr>
      <w:ind w:right="210"/>
      <w:textAlignment w:val="top"/>
    </w:pPr>
  </w:style>
  <w:style w:type="paragraph" w:customStyle="1" w:styleId="259">
    <w:name w:val="tag"/>
    <w:basedOn w:val="1"/>
    <w:qFormat/>
    <w:uiPriority w:val="0"/>
    <w:pPr>
      <w:pBdr>
        <w:top w:val="single" w:color="D8E4EC" w:sz="6" w:space="0"/>
        <w:left w:val="single" w:color="D8E4EC" w:sz="6" w:space="0"/>
        <w:bottom w:val="single" w:color="D8E4EC" w:sz="6" w:space="0"/>
        <w:right w:val="single" w:color="D8E4EC" w:sz="6" w:space="0"/>
      </w:pBdr>
      <w:shd w:val="clear" w:color="auto" w:fill="F9F9FA"/>
    </w:pPr>
    <w:rPr>
      <w:color w:val="819DC6"/>
    </w:rPr>
  </w:style>
  <w:style w:type="paragraph" w:customStyle="1" w:styleId="260">
    <w:name w:val="poptable_th"/>
    <w:basedOn w:val="1"/>
    <w:qFormat/>
    <w:uiPriority w:val="0"/>
    <w:rPr>
      <w:color w:val="A8A8B3"/>
    </w:rPr>
  </w:style>
  <w:style w:type="paragraph" w:customStyle="1" w:styleId="261">
    <w:name w:val="popword"/>
    <w:basedOn w:val="1"/>
    <w:qFormat/>
    <w:uiPriority w:val="0"/>
  </w:style>
  <w:style w:type="paragraph" w:customStyle="1" w:styleId="262">
    <w:name w:val="popmatrix_head"/>
    <w:basedOn w:val="1"/>
    <w:qFormat/>
    <w:uiPriority w:val="0"/>
    <w:rPr>
      <w:color w:val="1C284B"/>
    </w:rPr>
  </w:style>
  <w:style w:type="paragraph" w:customStyle="1" w:styleId="263">
    <w:name w:val="jb_btn"/>
    <w:basedOn w:val="1"/>
    <w:qFormat/>
    <w:uiPriority w:val="0"/>
    <w:pPr>
      <w:spacing w:line="540" w:lineRule="atLeast"/>
      <w:jc w:val="center"/>
    </w:pPr>
    <w:rPr>
      <w:color w:val="FFFFFF"/>
    </w:rPr>
  </w:style>
  <w:style w:type="paragraph" w:customStyle="1" w:styleId="264">
    <w:name w:val="wid440"/>
    <w:basedOn w:val="1"/>
    <w:qFormat/>
    <w:uiPriority w:val="0"/>
  </w:style>
  <w:style w:type="paragraph" w:customStyle="1" w:styleId="265">
    <w:name w:val="template_tab_li"/>
    <w:basedOn w:val="1"/>
    <w:qFormat/>
    <w:uiPriority w:val="0"/>
    <w:pPr>
      <w:spacing w:line="510" w:lineRule="atLeast"/>
    </w:pPr>
  </w:style>
  <w:style w:type="paragraph" w:customStyle="1" w:styleId="266">
    <w:name w:val="colordeep"/>
    <w:basedOn w:val="1"/>
    <w:qFormat/>
    <w:uiPriority w:val="0"/>
  </w:style>
  <w:style w:type="paragraph" w:customStyle="1" w:styleId="267">
    <w:name w:val="template_more_con"/>
    <w:basedOn w:val="1"/>
    <w:qFormat/>
    <w:uiPriority w:val="0"/>
    <w:rPr>
      <w:vanish/>
    </w:rPr>
  </w:style>
  <w:style w:type="paragraph" w:customStyle="1" w:styleId="268">
    <w:name w:val="btn_104"/>
    <w:basedOn w:val="1"/>
    <w:qFormat/>
    <w:uiPriority w:val="0"/>
  </w:style>
  <w:style w:type="paragraph" w:customStyle="1" w:styleId="269">
    <w:name w:val="justifyleft"/>
    <w:basedOn w:val="1"/>
    <w:qFormat/>
    <w:uiPriority w:val="0"/>
  </w:style>
  <w:style w:type="paragraph" w:customStyle="1" w:styleId="270">
    <w:name w:val="colorshallow"/>
    <w:basedOn w:val="1"/>
    <w:qFormat/>
    <w:uiPriority w:val="0"/>
    <w:rPr>
      <w:color w:val="A8A8B3"/>
    </w:rPr>
  </w:style>
  <w:style w:type="paragraph" w:customStyle="1" w:styleId="271">
    <w:name w:val="popyunpan_th_disabled"/>
    <w:basedOn w:val="1"/>
    <w:qFormat/>
    <w:uiPriority w:val="0"/>
  </w:style>
  <w:style w:type="paragraph" w:customStyle="1" w:styleId="272">
    <w:name w:val="callout-inner"/>
    <w:basedOn w:val="1"/>
    <w:qFormat/>
    <w:uiPriority w:val="0"/>
  </w:style>
  <w:style w:type="paragraph" w:customStyle="1" w:styleId="273">
    <w:name w:val="popyunpan_td_check"/>
    <w:basedOn w:val="1"/>
    <w:qFormat/>
    <w:uiPriority w:val="0"/>
  </w:style>
  <w:style w:type="paragraph" w:customStyle="1" w:styleId="274">
    <w:name w:val="popclose"/>
    <w:basedOn w:val="1"/>
    <w:qFormat/>
    <w:uiPriority w:val="0"/>
    <w:pPr>
      <w:spacing w:before="315"/>
    </w:pPr>
  </w:style>
  <w:style w:type="paragraph" w:customStyle="1" w:styleId="275">
    <w:name w:val="zmenu-leve"/>
    <w:basedOn w:val="1"/>
    <w:qFormat/>
    <w:uiPriority w:val="0"/>
    <w:pPr>
      <w:pBdr>
        <w:bottom w:val="single" w:color="CCCCCC" w:sz="6" w:space="0"/>
        <w:right w:val="single" w:color="CCCCCC" w:sz="6" w:space="0"/>
      </w:pBdr>
      <w:jc w:val="center"/>
      <w:textAlignment w:val="center"/>
    </w:pPr>
    <w:rPr>
      <w:color w:val="666666"/>
      <w:sz w:val="21"/>
      <w:szCs w:val="21"/>
    </w:rPr>
  </w:style>
  <w:style w:type="paragraph" w:customStyle="1" w:styleId="276">
    <w:name w:val="popyunpan_th_name"/>
    <w:basedOn w:val="1"/>
    <w:qFormat/>
    <w:uiPriority w:val="0"/>
  </w:style>
  <w:style w:type="paragraph" w:customStyle="1" w:styleId="277">
    <w:name w:val="het72"/>
    <w:basedOn w:val="1"/>
    <w:qFormat/>
    <w:uiPriority w:val="0"/>
  </w:style>
  <w:style w:type="paragraph" w:customStyle="1" w:styleId="278">
    <w:name w:val="popmove_name"/>
    <w:basedOn w:val="1"/>
    <w:qFormat/>
    <w:uiPriority w:val="0"/>
    <w:pPr>
      <w:spacing w:line="690" w:lineRule="atLeast"/>
    </w:pPr>
  </w:style>
  <w:style w:type="paragraph" w:customStyle="1" w:styleId="279">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 w:type="character" w:customStyle="1" w:styleId="280">
    <w:name w:val="页眉 字符"/>
    <w:basedOn w:val="21"/>
    <w:link w:val="14"/>
    <w:qFormat/>
    <w:uiPriority w:val="0"/>
    <w:rPr>
      <w:rFonts w:asciiTheme="minorEastAsia" w:hAnsiTheme="minorEastAsia" w:eastAsiaTheme="minorEastAsia"/>
      <w:sz w:val="18"/>
      <w:szCs w:val="18"/>
    </w:rPr>
  </w:style>
  <w:style w:type="character" w:customStyle="1" w:styleId="281">
    <w:name w:val="页脚 字符"/>
    <w:basedOn w:val="21"/>
    <w:link w:val="13"/>
    <w:qFormat/>
    <w:uiPriority w:val="0"/>
    <w:rPr>
      <w:rFonts w:asciiTheme="minorEastAsia" w:hAnsiTheme="minorEastAsia" w:eastAsiaTheme="minorEastAsia"/>
      <w:sz w:val="18"/>
      <w:szCs w:val="18"/>
    </w:rPr>
  </w:style>
  <w:style w:type="paragraph" w:customStyle="1" w:styleId="282">
    <w:name w:val="Revision"/>
    <w:hidden/>
    <w:unhideWhenUsed/>
    <w:qFormat/>
    <w:uiPriority w:val="99"/>
    <w:rPr>
      <w:rFonts w:cs="Times New Roman" w:asciiTheme="minorEastAsia" w:hAnsiTheme="minorEastAsia" w:eastAsiaTheme="minorEastAsia"/>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1326</Words>
  <Characters>1354</Characters>
  <Lines>77</Lines>
  <Paragraphs>21</Paragraphs>
  <TotalTime>18</TotalTime>
  <ScaleCrop>false</ScaleCrop>
  <LinksUpToDate>false</LinksUpToDate>
  <CharactersWithSpaces>1355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2026-09-02T19:27:00Z</dcterms:created>
  <dc:creator>Administrator</dc:creator>
  <cp:lastModifiedBy>郭田恬</cp:lastModifiedBy>
  <dcterms:modified xsi:type="dcterms:W3CDTF">2026-09-07T14:52:12Z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ED33BA0ABA3441DB9BFC916FCA3D291E_13</vt:lpwstr>
  </property>
  <property fmtid="{D5CDD505-2E9C-101B-9397-08002B2CF9AE}" pid="4" name="KSOTemplateDocerSaveRecord">
    <vt:lpwstr>eyJoZGlkIjoiOTlhZmRmMGMwZWU1ZmIzMTBmY2ViZjhmNDhiYmFmOTgiLCJ1c2VySWQiOiI1NzEwNjg1OTUifQ==</vt:lpwstr>
  </property>
</Properties>
</file>