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right="0" w:rightChars="0" w:firstLine="0"/>
        <w:jc w:val="center"/>
        <w:rPr>
          <w:rFonts w:hint="eastAsia" w:ascii="宋体" w:hAnsi="宋体" w:eastAsia="宋体" w:cs="宋体"/>
          <w:bCs w:val="0"/>
          <w:color w:val="000000" w:themeColor="text1"/>
          <w:sz w:val="48"/>
          <w:szCs w:val="48"/>
          <w14:textFill>
            <w14:solidFill>
              <w14:schemeClr w14:val="tx1"/>
            </w14:solidFill>
          </w14:textFill>
        </w:rPr>
      </w:pPr>
    </w:p>
    <w:p>
      <w:pPr>
        <w:widowControl w:val="0"/>
        <w:ind w:right="0" w:rightChars="0" w:firstLine="0"/>
        <w:jc w:val="center"/>
        <w:rPr>
          <w:rFonts w:hint="eastAsia" w:ascii="宋体" w:hAnsi="宋体" w:eastAsia="宋体" w:cs="宋体"/>
          <w:bCs w:val="0"/>
          <w:color w:val="000000" w:themeColor="text1"/>
          <w:sz w:val="48"/>
          <w:szCs w:val="48"/>
          <w14:textFill>
            <w14:solidFill>
              <w14:schemeClr w14:val="tx1"/>
            </w14:solidFill>
          </w14:textFill>
        </w:rPr>
      </w:pPr>
    </w:p>
    <w:p>
      <w:pPr>
        <w:ind w:left="0" w:leftChars="0" w:firstLine="0" w:firstLineChars="0"/>
      </w:pPr>
    </w:p>
    <w:p>
      <w:pPr>
        <w:pStyle w:val="2"/>
        <w:numPr>
          <w:ilvl w:val="0"/>
          <w:numId w:val="0"/>
        </w:numPr>
        <w:ind w:left="425" w:leftChars="0"/>
        <w:jc w:val="center"/>
        <w:rPr>
          <w:rFonts w:hint="eastAsia"/>
          <w:lang w:eastAsia="zh-CN"/>
        </w:rPr>
      </w:pPr>
      <w:bookmarkStart w:id="0" w:name="_Toc63785461"/>
    </w:p>
    <w:p>
      <w:pPr>
        <w:ind w:firstLine="0" w:firstLineChars="0"/>
        <w:jc w:val="center"/>
        <w:rPr>
          <w:rFonts w:cs="宋体"/>
          <w:sz w:val="48"/>
          <w:szCs w:val="48"/>
        </w:rPr>
      </w:pPr>
    </w:p>
    <w:p>
      <w:pPr>
        <w:ind w:firstLine="0" w:firstLineChars="0"/>
        <w:jc w:val="center"/>
        <w:rPr>
          <w:rFonts w:cs="宋体"/>
          <w:sz w:val="48"/>
          <w:szCs w:val="48"/>
        </w:rPr>
      </w:pPr>
    </w:p>
    <w:p>
      <w:pPr>
        <w:spacing w:line="240" w:lineRule="auto"/>
        <w:ind w:firstLine="0"/>
        <w:jc w:val="center"/>
        <w:rPr>
          <w:rFonts w:cs="宋体"/>
          <w:b/>
          <w:sz w:val="44"/>
          <w:szCs w:val="44"/>
        </w:rPr>
      </w:pPr>
      <w:r>
        <w:rPr>
          <w:rFonts w:hint="eastAsia" w:cs="宋体"/>
          <w:b/>
          <w:sz w:val="44"/>
          <w:szCs w:val="44"/>
        </w:rPr>
        <w:t>上海药品审评核查中心药物临床试验大数据监管平台建设项目(2026年升级改造)</w:t>
      </w:r>
    </w:p>
    <w:p>
      <w:pPr>
        <w:spacing w:line="240" w:lineRule="auto"/>
        <w:ind w:firstLine="883"/>
        <w:jc w:val="center"/>
        <w:rPr>
          <w:rFonts w:cs="宋体"/>
          <w:b/>
          <w:sz w:val="44"/>
          <w:szCs w:val="44"/>
        </w:rPr>
      </w:pPr>
    </w:p>
    <w:p>
      <w:pPr>
        <w:spacing w:line="240" w:lineRule="auto"/>
        <w:ind w:firstLine="883"/>
        <w:jc w:val="center"/>
        <w:rPr>
          <w:rFonts w:cs="宋体"/>
          <w:b/>
          <w:sz w:val="44"/>
          <w:szCs w:val="44"/>
        </w:rPr>
      </w:pPr>
    </w:p>
    <w:p>
      <w:pPr>
        <w:spacing w:line="240" w:lineRule="auto"/>
        <w:ind w:firstLine="883"/>
        <w:jc w:val="center"/>
        <w:rPr>
          <w:rFonts w:cs="宋体"/>
          <w:b/>
          <w:sz w:val="44"/>
          <w:szCs w:val="44"/>
        </w:rPr>
      </w:pPr>
    </w:p>
    <w:p>
      <w:pPr>
        <w:spacing w:line="240" w:lineRule="auto"/>
        <w:ind w:firstLine="883"/>
        <w:jc w:val="center"/>
        <w:rPr>
          <w:rFonts w:cs="宋体"/>
          <w:b/>
          <w:sz w:val="44"/>
          <w:szCs w:val="44"/>
        </w:rPr>
      </w:pPr>
    </w:p>
    <w:p>
      <w:pPr>
        <w:spacing w:line="240" w:lineRule="auto"/>
        <w:ind w:firstLine="883"/>
        <w:jc w:val="center"/>
        <w:rPr>
          <w:rFonts w:cs="宋体"/>
          <w:b/>
          <w:sz w:val="44"/>
          <w:szCs w:val="44"/>
        </w:rPr>
      </w:pPr>
    </w:p>
    <w:p>
      <w:pPr>
        <w:rPr>
          <w:rFonts w:hint="eastAsia"/>
          <w:lang w:eastAsia="zh-CN"/>
        </w:rPr>
      </w:pPr>
      <w:r>
        <w:rPr>
          <w:rFonts w:hint="eastAsia"/>
          <w:lang w:eastAsia="zh-CN"/>
        </w:rPr>
        <w:br w:type="page"/>
      </w:r>
    </w:p>
    <w:p>
      <w:pPr>
        <w:pStyle w:val="2"/>
        <w:rPr>
          <w:rFonts w:hint="eastAsia" w:ascii="黑体" w:hAnsi="黑体" w:eastAsia="黑体" w:cs="黑体"/>
          <w:sz w:val="32"/>
          <w:szCs w:val="32"/>
        </w:rPr>
      </w:pPr>
      <w:r>
        <w:rPr>
          <w:rFonts w:hint="eastAsia" w:ascii="黑体" w:hAnsi="黑体" w:eastAsia="黑体" w:cs="黑体"/>
          <w:sz w:val="32"/>
          <w:szCs w:val="32"/>
        </w:rPr>
        <w:t>项目概况</w:t>
      </w:r>
      <w:bookmarkEnd w:id="0"/>
    </w:p>
    <w:p>
      <w:pPr>
        <w:pStyle w:val="3"/>
        <w:bidi w:val="0"/>
        <w:ind w:left="575" w:leftChars="0" w:hanging="575" w:firstLineChars="0"/>
      </w:pPr>
      <w:r>
        <w:rPr>
          <w:rFonts w:hint="eastAsia"/>
          <w:sz w:val="30"/>
          <w:szCs w:val="30"/>
          <w:highlight w:val="none"/>
          <w:lang w:val="en-US" w:eastAsia="zh-CN"/>
        </w:rPr>
        <w:t>项目背景</w:t>
      </w:r>
    </w:p>
    <w:p>
      <w:pPr>
        <w:spacing w:line="560" w:lineRule="exact"/>
        <w:rPr>
          <w:rFonts w:hint="eastAsia"/>
        </w:rPr>
      </w:pPr>
      <w:r>
        <w:rPr>
          <w:rFonts w:hint="eastAsia"/>
        </w:rPr>
        <w:t>随着医药行业的迅猛发展，药物临床试验的数量和复杂性持续攀升，对监管平台的功能性和性能提出了更为严格的要求。尽管现有的监管平台在一定程度上能够满足当前的监管需求，但在风险预警监测方面仍显不足，难以全面且准确地揭示药物临床试验机构的风险状况。对现有药物临床试验大数据监管平台进行升级，增加药物临床试验机构风险预警监测功能，已成为提升监管效能、确保公众用药安全的重要举措。</w:t>
      </w:r>
    </w:p>
    <w:p>
      <w:pPr>
        <w:spacing w:line="560" w:lineRule="exact"/>
        <w:rPr>
          <w:rFonts w:hint="eastAsia"/>
        </w:rPr>
      </w:pPr>
      <w:r>
        <w:rPr>
          <w:rFonts w:hint="eastAsia"/>
        </w:rPr>
        <w:t>依据国家药品监督管理局发布的《药物临床试验机构监督检查办法（2024年）》等规范性文件，强调了对临床试验全程的动态监督。在此背景下，档案资料的真实性与完整性成为检查的核心要素。建立统一的机构档案体系和机构画像对机构的基本信息、试验项目详情、监督检查记录以及风险预警数据进行集中管理。整合分散的信息资源，实现信息的迅速检索与高效运用，对于提升监管效能和确保药品安全具有至关重要的作用。</w:t>
      </w:r>
    </w:p>
    <w:p>
      <w:pPr>
        <w:pStyle w:val="3"/>
        <w:bidi w:val="0"/>
        <w:ind w:left="575" w:leftChars="0" w:hanging="575" w:firstLineChars="0"/>
        <w:rPr>
          <w:rFonts w:hint="eastAsia"/>
          <w:sz w:val="30"/>
          <w:szCs w:val="30"/>
          <w:highlight w:val="none"/>
          <w:lang w:val="en-US" w:eastAsia="zh-CN"/>
        </w:rPr>
      </w:pPr>
      <w:r>
        <w:rPr>
          <w:rFonts w:hint="eastAsia"/>
          <w:sz w:val="30"/>
          <w:szCs w:val="30"/>
          <w:highlight w:val="none"/>
          <w:lang w:val="en-US" w:eastAsia="zh-CN"/>
        </w:rPr>
        <w:t>系统现状</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现有信息系统为“上海市药物临床试验监管平台”,主要功能包括：“药物临床试验大数据监管”大系统：临床试验机构标准管理数据采集分析模块、药物临床试验机构备案管理、药物临床试验机构移动监管、药物临床远程检查、临床试验监管驾驶舱、密码应用功能模块、系统管理等模块。</w:t>
      </w:r>
    </w:p>
    <w:p>
      <w:pPr>
        <w:pStyle w:val="6"/>
        <w:ind w:firstLine="560"/>
        <w:rPr>
          <w:rFonts w:hint="default"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系统部署在上海市电子政务云中，主要的用户群体是上海药品审评核查中心和药物临床试验机构的用户。系统同时与药审中心内部的综合业务平台进行对接；与上海市药品监督管理局的“一网通办”大系统、药品监管大系统等进行对接。</w:t>
      </w:r>
    </w:p>
    <w:p>
      <w:pPr>
        <w:pStyle w:val="3"/>
        <w:bidi w:val="0"/>
        <w:ind w:left="575" w:leftChars="0" w:hanging="575" w:firstLineChars="0"/>
        <w:rPr>
          <w:rFonts w:hint="eastAsia"/>
          <w:sz w:val="30"/>
          <w:szCs w:val="30"/>
          <w:lang w:val="en-US" w:eastAsia="zh-CN"/>
        </w:rPr>
      </w:pPr>
      <w:r>
        <w:rPr>
          <w:rFonts w:hint="eastAsia"/>
          <w:sz w:val="30"/>
          <w:szCs w:val="30"/>
          <w:lang w:val="en-US" w:eastAsia="zh-CN"/>
        </w:rPr>
        <w:t>建设期限</w:t>
      </w:r>
    </w:p>
    <w:p>
      <w:pPr>
        <w:spacing w:line="560" w:lineRule="exact"/>
        <w:rPr>
          <w:rFonts w:hint="eastAsia" w:ascii="宋体" w:hAnsi="宋体" w:eastAsia="宋体" w:cs="宋体"/>
          <w:bCs/>
          <w:color w:val="000000" w:themeColor="text1"/>
          <w:kern w:val="2"/>
          <w:sz w:val="24"/>
          <w:szCs w:val="22"/>
          <w:highlight w:val="yellow"/>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建设期限：自合同签订之日起8个月（包括1个月试运行）。</w:t>
      </w:r>
    </w:p>
    <w:p>
      <w:pPr>
        <w:pStyle w:val="3"/>
        <w:bidi w:val="0"/>
        <w:ind w:left="575" w:leftChars="0" w:hanging="575" w:firstLineChars="0"/>
        <w:rPr>
          <w:rFonts w:hint="eastAsia"/>
          <w:sz w:val="30"/>
          <w:szCs w:val="30"/>
          <w:lang w:val="en-US" w:eastAsia="zh-CN"/>
        </w:rPr>
      </w:pPr>
      <w:r>
        <w:rPr>
          <w:rFonts w:hint="eastAsia"/>
          <w:sz w:val="30"/>
          <w:szCs w:val="30"/>
          <w:lang w:val="en-US" w:eastAsia="zh-CN"/>
        </w:rPr>
        <w:t>建设地点</w:t>
      </w:r>
    </w:p>
    <w:p>
      <w:pPr>
        <w:spacing w:line="560" w:lineRule="exact"/>
        <w:rPr>
          <w:rFonts w:hint="default" w:eastAsia="宋体"/>
          <w:lang w:val="en-US" w:eastAsia="zh-CN"/>
        </w:rPr>
      </w:pPr>
      <w:r>
        <w:rPr>
          <w:rFonts w:hint="eastAsia"/>
        </w:rPr>
        <w:t>建设地点：</w:t>
      </w:r>
      <w:r>
        <w:rPr>
          <w:rFonts w:hint="eastAsia"/>
          <w:lang w:val="en-US" w:eastAsia="zh-CN"/>
        </w:rPr>
        <w:t>上海药品审评核查中心。</w:t>
      </w:r>
    </w:p>
    <w:p>
      <w:pPr>
        <w:pStyle w:val="3"/>
        <w:bidi w:val="0"/>
        <w:ind w:left="575" w:leftChars="0" w:hanging="575" w:firstLineChars="0"/>
        <w:rPr>
          <w:rFonts w:hint="eastAsia"/>
          <w:sz w:val="30"/>
          <w:szCs w:val="30"/>
          <w:lang w:val="en-US" w:eastAsia="zh-CN"/>
        </w:rPr>
      </w:pPr>
      <w:r>
        <w:rPr>
          <w:rFonts w:hint="eastAsia"/>
          <w:sz w:val="30"/>
          <w:szCs w:val="30"/>
          <w:lang w:val="en-US" w:eastAsia="zh-CN"/>
        </w:rPr>
        <w:t>是否按XC要求建设</w:t>
      </w:r>
    </w:p>
    <w:p>
      <w:pPr>
        <w:ind w:left="0" w:leftChars="0" w:firstLine="420" w:firstLineChars="0"/>
        <w:rPr>
          <w:color w:val="auto"/>
        </w:rPr>
      </w:pPr>
      <w:r>
        <w:t>是否按</w:t>
      </w:r>
      <w:r>
        <w:rPr>
          <w:rFonts w:hint="eastAsia"/>
          <w:lang w:eastAsia="zh-CN"/>
        </w:rPr>
        <w:t>XC</w:t>
      </w:r>
      <w:r>
        <w:t>要求建设：是</w:t>
      </w:r>
      <w:r>
        <w:rPr>
          <w:rFonts w:hint="eastAsia"/>
          <w:lang w:eastAsia="zh-CN"/>
        </w:rPr>
        <w:t>。</w:t>
      </w:r>
    </w:p>
    <w:p>
      <w:pPr>
        <w:pStyle w:val="2"/>
        <w:rPr>
          <w:rFonts w:hint="eastAsia" w:ascii="黑体" w:hAnsi="黑体" w:eastAsia="黑体" w:cs="黑体"/>
          <w:sz w:val="32"/>
          <w:szCs w:val="32"/>
        </w:rPr>
      </w:pPr>
      <w:bookmarkStart w:id="1" w:name="_Toc47536272"/>
      <w:bookmarkEnd w:id="1"/>
      <w:bookmarkStart w:id="2" w:name="_Toc47537134"/>
      <w:bookmarkEnd w:id="2"/>
      <w:bookmarkStart w:id="3" w:name="_Toc47532255"/>
      <w:bookmarkEnd w:id="3"/>
      <w:bookmarkStart w:id="4" w:name="_Toc47536644"/>
      <w:bookmarkEnd w:id="4"/>
      <w:bookmarkStart w:id="5" w:name="_Toc47533256"/>
      <w:bookmarkEnd w:id="5"/>
      <w:bookmarkStart w:id="6" w:name="_Toc47539070"/>
      <w:bookmarkEnd w:id="6"/>
      <w:bookmarkStart w:id="7" w:name="_Toc47532891"/>
      <w:bookmarkEnd w:id="7"/>
      <w:bookmarkStart w:id="8" w:name="_Toc47531634"/>
      <w:bookmarkEnd w:id="8"/>
      <w:bookmarkStart w:id="9" w:name="_Toc48223882"/>
      <w:bookmarkStart w:id="10" w:name="_Toc63785463"/>
      <w:r>
        <w:rPr>
          <w:rFonts w:hint="eastAsia" w:ascii="黑体" w:hAnsi="黑体" w:eastAsia="黑体" w:cs="黑体"/>
          <w:sz w:val="32"/>
          <w:szCs w:val="32"/>
        </w:rPr>
        <w:t>建设目标</w:t>
      </w:r>
      <w:bookmarkEnd w:id="9"/>
      <w:bookmarkEnd w:id="10"/>
    </w:p>
    <w:p>
      <w:pPr>
        <w:pStyle w:val="3"/>
        <w:bidi w:val="0"/>
        <w:rPr>
          <w:rFonts w:hint="default"/>
          <w:lang w:val="en-US" w:eastAsia="zh-CN"/>
        </w:rPr>
      </w:pPr>
      <w:r>
        <w:rPr>
          <w:rFonts w:hint="eastAsia"/>
          <w:lang w:val="en-US" w:eastAsia="zh-CN"/>
        </w:rPr>
        <w:t>建设目标</w:t>
      </w:r>
    </w:p>
    <w:p>
      <w:pPr>
        <w:ind w:firstLine="482"/>
        <w:rPr>
          <w:rFonts w:hint="eastAsia"/>
          <w:b w:val="0"/>
          <w:bCs/>
        </w:rPr>
      </w:pPr>
      <w:r>
        <w:rPr>
          <w:rFonts w:hint="eastAsia"/>
          <w:b w:val="0"/>
          <w:bCs/>
        </w:rPr>
        <w:t>建设药物临床试验风险预警监测，提升药物临床试验监管效能，构建风险预警监测模型，精准识别并及时干预潜在风险，确保试验合规性与用药安全。</w:t>
      </w:r>
    </w:p>
    <w:p>
      <w:pPr>
        <w:ind w:firstLine="482"/>
        <w:rPr>
          <w:rFonts w:hint="eastAsia"/>
          <w:b w:val="0"/>
          <w:bCs/>
        </w:rPr>
      </w:pPr>
      <w:r>
        <w:rPr>
          <w:rFonts w:hint="eastAsia"/>
          <w:b w:val="0"/>
          <w:bCs/>
        </w:rPr>
        <w:t>建设机构档案机构画像体系，整合机构基本信息、试验项目详情、监督检查记录及风险预警数据，实现信息的快速检索与高效应用。建立机构指标项标准，建立评分标准，根据机构的规模、专业能力、在研项目、监督检查信息、预警信息构建出一个全面、立体的机构画像，为后续的决策提供参考。</w:t>
      </w:r>
    </w:p>
    <w:p>
      <w:pPr>
        <w:ind w:firstLine="482"/>
        <w:rPr>
          <w:rFonts w:hint="eastAsia"/>
          <w:b w:val="0"/>
          <w:bCs/>
        </w:rPr>
      </w:pPr>
      <w:r>
        <w:rPr>
          <w:rFonts w:hint="eastAsia"/>
          <w:b w:val="0"/>
          <w:bCs/>
        </w:rPr>
        <w:t>建设服务创新，对创新药物、细胞与基因治疗药物等特殊药品进行专项管理，推动医药产业的高质量发展。</w:t>
      </w:r>
    </w:p>
    <w:p>
      <w:pPr>
        <w:ind w:firstLine="482"/>
        <w:rPr>
          <w:rFonts w:hint="eastAsia"/>
          <w:b w:val="0"/>
          <w:bCs/>
        </w:rPr>
      </w:pPr>
      <w:r>
        <w:rPr>
          <w:rFonts w:hint="eastAsia"/>
          <w:b w:val="0"/>
          <w:bCs/>
        </w:rPr>
        <w:t>建设药物非临床试验机构管理模块，实现监管全程留痕和可追溯，提升监管的透明度和公信力。</w:t>
      </w:r>
    </w:p>
    <w:p>
      <w:pPr>
        <w:pStyle w:val="3"/>
        <w:bidi w:val="0"/>
        <w:rPr>
          <w:rFonts w:hint="eastAsia"/>
          <w:lang w:val="en-US" w:eastAsia="zh-CN"/>
        </w:rPr>
      </w:pPr>
      <w:r>
        <w:rPr>
          <w:rFonts w:hint="eastAsia"/>
          <w:lang w:val="en-US" w:eastAsia="zh-CN"/>
        </w:rPr>
        <w:t>用户范围和数量</w:t>
      </w:r>
    </w:p>
    <w:p>
      <w:pPr>
        <w:numPr>
          <w:ilvl w:val="0"/>
          <w:numId w:val="0"/>
        </w:numPr>
        <w:bidi w:val="0"/>
        <w:ind w:firstLine="420" w:firstLineChars="0"/>
        <w:rPr>
          <w:rFonts w:hint="eastAsia"/>
        </w:rPr>
      </w:pPr>
      <w:r>
        <w:rPr>
          <w:rFonts w:hint="eastAsia"/>
        </w:rPr>
        <w:t>本项目系统使用用户涉及到市药监局、药审中心、药物临床试验机构和药物非临床试验机构，其中药监局领导、综合处、业务监督处、药品注册处、其他业务处室用户约20个，药审中心各部门用户约80个，药物非临床试验机构和药物临床试验机构约80个，共计约180个用户。</w:t>
      </w:r>
    </w:p>
    <w:p>
      <w:pPr>
        <w:pStyle w:val="3"/>
        <w:bidi w:val="0"/>
        <w:ind w:left="573" w:hanging="573"/>
        <w:rPr>
          <w:rFonts w:hint="eastAsia"/>
          <w:b/>
          <w:bCs/>
          <w:lang w:val="en-US" w:eastAsia="zh-CN"/>
        </w:rPr>
      </w:pPr>
      <w:r>
        <w:rPr>
          <w:rFonts w:hint="eastAsia"/>
          <w:b/>
          <w:bCs w:val="0"/>
          <w:lang w:val="en-US" w:eastAsia="zh-CN"/>
        </w:rPr>
        <w:t>业务</w:t>
      </w:r>
      <w:r>
        <w:rPr>
          <w:rFonts w:hint="eastAsia"/>
          <w:b/>
          <w:bCs/>
          <w:lang w:val="en-US" w:eastAsia="zh-CN"/>
        </w:rPr>
        <w:t>绩效目标</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9"/>
        <w:gridCol w:w="1887"/>
        <w:gridCol w:w="1135"/>
        <w:gridCol w:w="1941"/>
        <w:gridCol w:w="77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shd w:val="clear" w:color="auto" w:fill="auto"/>
            <w:vAlign w:val="center"/>
          </w:tcPr>
          <w:p>
            <w:pPr>
              <w:pStyle w:val="46"/>
              <w:bidi w:val="0"/>
              <w:ind w:firstLine="0"/>
              <w:jc w:val="left"/>
              <w:rPr>
                <w:rFonts w:hint="eastAsia"/>
              </w:rPr>
            </w:pPr>
            <w:r>
              <w:rPr>
                <w:rFonts w:hint="eastAsia"/>
              </w:rPr>
              <w:t>序号</w:t>
            </w:r>
          </w:p>
        </w:tc>
        <w:tc>
          <w:tcPr>
            <w:tcW w:w="645" w:type="pct"/>
            <w:shd w:val="clear" w:color="auto" w:fill="auto"/>
            <w:vAlign w:val="center"/>
          </w:tcPr>
          <w:p>
            <w:pPr>
              <w:pStyle w:val="46"/>
              <w:bidi w:val="0"/>
              <w:ind w:firstLine="0"/>
              <w:jc w:val="left"/>
              <w:rPr>
                <w:rFonts w:hint="eastAsia"/>
              </w:rPr>
            </w:pPr>
            <w:r>
              <w:rPr>
                <w:rFonts w:hint="eastAsia"/>
              </w:rPr>
              <w:t>一级指标</w:t>
            </w:r>
          </w:p>
        </w:tc>
        <w:tc>
          <w:tcPr>
            <w:tcW w:w="1107" w:type="pct"/>
            <w:shd w:val="clear" w:color="auto" w:fill="auto"/>
            <w:vAlign w:val="center"/>
          </w:tcPr>
          <w:p>
            <w:pPr>
              <w:pStyle w:val="46"/>
              <w:bidi w:val="0"/>
              <w:ind w:firstLine="0"/>
              <w:jc w:val="left"/>
              <w:rPr>
                <w:rFonts w:hint="eastAsia"/>
              </w:rPr>
            </w:pPr>
            <w:r>
              <w:rPr>
                <w:rFonts w:hint="eastAsia"/>
              </w:rPr>
              <w:t>二级指标</w:t>
            </w:r>
          </w:p>
        </w:tc>
        <w:tc>
          <w:tcPr>
            <w:tcW w:w="666" w:type="pct"/>
            <w:shd w:val="clear" w:color="auto" w:fill="auto"/>
            <w:vAlign w:val="center"/>
          </w:tcPr>
          <w:p>
            <w:pPr>
              <w:pStyle w:val="46"/>
              <w:bidi w:val="0"/>
              <w:ind w:firstLine="0"/>
              <w:jc w:val="left"/>
              <w:rPr>
                <w:rFonts w:hint="eastAsia"/>
              </w:rPr>
            </w:pPr>
            <w:r>
              <w:rPr>
                <w:rFonts w:hint="eastAsia"/>
              </w:rPr>
              <w:t>三级指标</w:t>
            </w:r>
          </w:p>
        </w:tc>
        <w:tc>
          <w:tcPr>
            <w:tcW w:w="1139" w:type="pct"/>
            <w:shd w:val="clear" w:color="auto" w:fill="auto"/>
            <w:vAlign w:val="center"/>
          </w:tcPr>
          <w:p>
            <w:pPr>
              <w:pStyle w:val="46"/>
              <w:bidi w:val="0"/>
              <w:ind w:firstLine="0"/>
              <w:jc w:val="left"/>
              <w:rPr>
                <w:rFonts w:hint="eastAsia"/>
              </w:rPr>
            </w:pPr>
            <w:r>
              <w:rPr>
                <w:rFonts w:hint="eastAsia"/>
              </w:rPr>
              <w:t>四级指标</w:t>
            </w:r>
          </w:p>
        </w:tc>
        <w:tc>
          <w:tcPr>
            <w:tcW w:w="454" w:type="pct"/>
            <w:shd w:val="clear" w:color="auto" w:fill="auto"/>
            <w:vAlign w:val="center"/>
          </w:tcPr>
          <w:p>
            <w:pPr>
              <w:pStyle w:val="46"/>
              <w:bidi w:val="0"/>
              <w:ind w:firstLine="0"/>
              <w:jc w:val="left"/>
              <w:rPr>
                <w:rFonts w:hint="eastAsia"/>
              </w:rPr>
            </w:pPr>
            <w:r>
              <w:rPr>
                <w:rFonts w:hint="eastAsia"/>
              </w:rPr>
              <w:t>类型</w:t>
            </w:r>
          </w:p>
        </w:tc>
        <w:tc>
          <w:tcPr>
            <w:tcW w:w="604" w:type="pct"/>
            <w:shd w:val="clear" w:color="auto" w:fill="auto"/>
            <w:vAlign w:val="center"/>
          </w:tcPr>
          <w:p>
            <w:pPr>
              <w:pStyle w:val="46"/>
              <w:bidi w:val="0"/>
              <w:ind w:firstLine="0"/>
              <w:jc w:val="left"/>
              <w:rPr>
                <w:rFonts w:hint="eastAsia"/>
              </w:rPr>
            </w:pPr>
            <w: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shd w:val="clear" w:color="auto" w:fill="auto"/>
            <w:vAlign w:val="center"/>
          </w:tcPr>
          <w:p>
            <w:pPr>
              <w:pStyle w:val="46"/>
              <w:bidi w:val="0"/>
              <w:ind w:firstLine="0"/>
              <w:jc w:val="left"/>
              <w:rPr>
                <w:rFonts w:hint="default" w:eastAsia="宋体"/>
                <w:lang w:val="en-US" w:eastAsia="zh-CN"/>
              </w:rPr>
            </w:pPr>
            <w:r>
              <w:rPr>
                <w:rFonts w:hint="eastAsia"/>
                <w:lang w:val="en-US" w:eastAsia="zh-CN"/>
              </w:rPr>
              <w:t>1</w:t>
            </w:r>
          </w:p>
        </w:tc>
        <w:tc>
          <w:tcPr>
            <w:tcW w:w="645" w:type="pct"/>
            <w:vMerge w:val="restart"/>
            <w:shd w:val="clear" w:color="auto" w:fill="auto"/>
            <w:vAlign w:val="center"/>
          </w:tcPr>
          <w:p>
            <w:pPr>
              <w:pStyle w:val="46"/>
              <w:bidi w:val="0"/>
              <w:ind w:firstLine="0"/>
              <w:jc w:val="left"/>
              <w:rPr>
                <w:rFonts w:hint="eastAsia"/>
              </w:rPr>
            </w:pPr>
            <w:r>
              <w:rPr>
                <w:rFonts w:hint="eastAsia"/>
              </w:rPr>
              <w:t>业务指标</w:t>
            </w:r>
          </w:p>
        </w:tc>
        <w:tc>
          <w:tcPr>
            <w:tcW w:w="1107" w:type="pct"/>
            <w:shd w:val="clear" w:color="auto" w:fill="auto"/>
            <w:vAlign w:val="center"/>
          </w:tcPr>
          <w:p>
            <w:pPr>
              <w:pStyle w:val="46"/>
              <w:bidi w:val="0"/>
              <w:ind w:firstLine="0"/>
              <w:jc w:val="left"/>
              <w:rPr>
                <w:rFonts w:hint="eastAsia"/>
              </w:rPr>
            </w:pPr>
            <w:r>
              <w:rPr>
                <w:rFonts w:hint="eastAsia"/>
              </w:rPr>
              <w:t>药物临床试验大数据监管平台</w:t>
            </w:r>
          </w:p>
        </w:tc>
        <w:tc>
          <w:tcPr>
            <w:tcW w:w="666" w:type="pct"/>
            <w:shd w:val="clear" w:color="auto" w:fill="auto"/>
            <w:vAlign w:val="center"/>
          </w:tcPr>
          <w:p>
            <w:pPr>
              <w:pStyle w:val="46"/>
              <w:bidi w:val="0"/>
              <w:ind w:firstLine="0"/>
              <w:jc w:val="left"/>
              <w:rPr>
                <w:rFonts w:hint="eastAsia"/>
              </w:rPr>
            </w:pPr>
            <w:r>
              <w:rPr>
                <w:rFonts w:hint="eastAsia"/>
              </w:rPr>
              <w:t>效益指标</w:t>
            </w:r>
          </w:p>
        </w:tc>
        <w:tc>
          <w:tcPr>
            <w:tcW w:w="1139" w:type="pct"/>
            <w:shd w:val="clear" w:color="auto" w:fill="auto"/>
            <w:vAlign w:val="center"/>
          </w:tcPr>
          <w:p>
            <w:pPr>
              <w:pStyle w:val="46"/>
              <w:bidi w:val="0"/>
              <w:ind w:firstLine="0"/>
              <w:jc w:val="left"/>
              <w:rPr>
                <w:rFonts w:hint="eastAsia"/>
              </w:rPr>
            </w:pPr>
            <w:r>
              <w:rPr>
                <w:rFonts w:hint="eastAsia"/>
              </w:rPr>
              <w:t>药物非临床试验机构</w:t>
            </w:r>
            <w:r>
              <w:t>检查覆盖率</w:t>
            </w:r>
          </w:p>
        </w:tc>
        <w:tc>
          <w:tcPr>
            <w:tcW w:w="454" w:type="pct"/>
            <w:shd w:val="clear" w:color="auto" w:fill="auto"/>
            <w:vAlign w:val="center"/>
          </w:tcPr>
          <w:p>
            <w:pPr>
              <w:pStyle w:val="46"/>
              <w:bidi w:val="0"/>
              <w:ind w:firstLine="0"/>
              <w:jc w:val="left"/>
              <w:rPr>
                <w:rFonts w:hint="eastAsia"/>
              </w:rPr>
            </w:pPr>
            <w:r>
              <w:rPr>
                <w:rFonts w:hint="eastAsia"/>
              </w:rPr>
              <w:t>业务</w:t>
            </w:r>
          </w:p>
        </w:tc>
        <w:tc>
          <w:tcPr>
            <w:tcW w:w="604" w:type="pct"/>
            <w:shd w:val="clear" w:color="auto" w:fill="auto"/>
            <w:vAlign w:val="center"/>
          </w:tcPr>
          <w:p>
            <w:pPr>
              <w:pStyle w:val="46"/>
              <w:bidi w:val="0"/>
              <w:ind w:firstLine="0"/>
              <w:jc w:val="left"/>
              <w:rPr>
                <w:rFonts w:hint="eastAsia"/>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shd w:val="clear" w:color="auto" w:fill="auto"/>
            <w:vAlign w:val="center"/>
          </w:tcPr>
          <w:p>
            <w:pPr>
              <w:pStyle w:val="46"/>
              <w:bidi w:val="0"/>
              <w:ind w:firstLine="0"/>
              <w:jc w:val="left"/>
              <w:rPr>
                <w:rFonts w:hint="eastAsia" w:eastAsia="宋体"/>
                <w:lang w:eastAsia="zh-CN"/>
              </w:rPr>
            </w:pPr>
            <w:r>
              <w:rPr>
                <w:rFonts w:hint="eastAsia"/>
                <w:lang w:val="en-US" w:eastAsia="zh-CN"/>
              </w:rPr>
              <w:t>2</w:t>
            </w:r>
          </w:p>
        </w:tc>
        <w:tc>
          <w:tcPr>
            <w:tcW w:w="645" w:type="pct"/>
            <w:vMerge w:val="continue"/>
            <w:vAlign w:val="center"/>
          </w:tcPr>
          <w:p>
            <w:pPr>
              <w:pStyle w:val="46"/>
              <w:bidi w:val="0"/>
              <w:ind w:firstLine="0"/>
              <w:jc w:val="left"/>
              <w:rPr>
                <w:rFonts w:hint="eastAsia"/>
              </w:rPr>
            </w:pPr>
          </w:p>
        </w:tc>
        <w:tc>
          <w:tcPr>
            <w:tcW w:w="1107" w:type="pct"/>
            <w:shd w:val="clear" w:color="auto" w:fill="auto"/>
            <w:vAlign w:val="center"/>
          </w:tcPr>
          <w:p>
            <w:pPr>
              <w:pStyle w:val="46"/>
              <w:bidi w:val="0"/>
              <w:ind w:firstLine="0"/>
              <w:jc w:val="left"/>
              <w:rPr>
                <w:rFonts w:hint="eastAsia"/>
              </w:rPr>
            </w:pPr>
            <w:r>
              <w:rPr>
                <w:rFonts w:hint="eastAsia"/>
              </w:rPr>
              <w:t>药物临床试验大数据监管平台</w:t>
            </w:r>
          </w:p>
        </w:tc>
        <w:tc>
          <w:tcPr>
            <w:tcW w:w="666" w:type="pct"/>
            <w:shd w:val="clear" w:color="auto" w:fill="auto"/>
            <w:vAlign w:val="center"/>
          </w:tcPr>
          <w:p>
            <w:pPr>
              <w:pStyle w:val="46"/>
              <w:bidi w:val="0"/>
              <w:ind w:firstLine="0"/>
              <w:jc w:val="left"/>
              <w:rPr>
                <w:rFonts w:hint="eastAsia"/>
              </w:rPr>
            </w:pPr>
            <w:r>
              <w:rPr>
                <w:rFonts w:hint="eastAsia"/>
              </w:rPr>
              <w:t>数量指标</w:t>
            </w:r>
          </w:p>
        </w:tc>
        <w:tc>
          <w:tcPr>
            <w:tcW w:w="1139" w:type="pct"/>
            <w:shd w:val="clear" w:color="auto" w:fill="auto"/>
            <w:vAlign w:val="center"/>
          </w:tcPr>
          <w:p>
            <w:pPr>
              <w:pStyle w:val="46"/>
              <w:bidi w:val="0"/>
              <w:ind w:firstLine="0"/>
              <w:jc w:val="left"/>
              <w:rPr>
                <w:rFonts w:hint="eastAsia"/>
              </w:rPr>
            </w:pPr>
            <w:r>
              <w:rPr>
                <w:rFonts w:hint="eastAsia"/>
              </w:rPr>
              <w:t>风险预警机构覆盖率</w:t>
            </w:r>
          </w:p>
        </w:tc>
        <w:tc>
          <w:tcPr>
            <w:tcW w:w="454" w:type="pct"/>
            <w:shd w:val="clear" w:color="auto" w:fill="auto"/>
            <w:vAlign w:val="center"/>
          </w:tcPr>
          <w:p>
            <w:pPr>
              <w:pStyle w:val="46"/>
              <w:bidi w:val="0"/>
              <w:ind w:firstLine="0"/>
              <w:jc w:val="left"/>
              <w:rPr>
                <w:rFonts w:hint="eastAsia"/>
              </w:rPr>
            </w:pPr>
            <w:r>
              <w:rPr>
                <w:rFonts w:hint="eastAsia"/>
              </w:rPr>
              <w:t>业务</w:t>
            </w:r>
          </w:p>
        </w:tc>
        <w:tc>
          <w:tcPr>
            <w:tcW w:w="604" w:type="pct"/>
            <w:shd w:val="clear" w:color="auto" w:fill="auto"/>
            <w:vAlign w:val="center"/>
          </w:tcPr>
          <w:p>
            <w:pPr>
              <w:pStyle w:val="46"/>
              <w:bidi w:val="0"/>
              <w:ind w:firstLine="0"/>
              <w:jc w:val="left"/>
              <w:rPr>
                <w:rFonts w:hint="eastAsia"/>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shd w:val="clear" w:color="auto" w:fill="auto"/>
            <w:vAlign w:val="center"/>
          </w:tcPr>
          <w:p>
            <w:pPr>
              <w:pStyle w:val="46"/>
              <w:bidi w:val="0"/>
              <w:ind w:firstLine="0"/>
              <w:jc w:val="left"/>
              <w:rPr>
                <w:rFonts w:hint="eastAsia" w:eastAsia="宋体"/>
                <w:lang w:eastAsia="zh-CN"/>
              </w:rPr>
            </w:pPr>
            <w:r>
              <w:rPr>
                <w:rFonts w:hint="eastAsia"/>
                <w:lang w:val="en-US" w:eastAsia="zh-CN"/>
              </w:rPr>
              <w:t>3</w:t>
            </w:r>
          </w:p>
        </w:tc>
        <w:tc>
          <w:tcPr>
            <w:tcW w:w="645" w:type="pct"/>
            <w:vMerge w:val="continue"/>
            <w:vAlign w:val="center"/>
          </w:tcPr>
          <w:p>
            <w:pPr>
              <w:pStyle w:val="46"/>
              <w:bidi w:val="0"/>
              <w:ind w:firstLine="0"/>
              <w:jc w:val="left"/>
              <w:rPr>
                <w:rFonts w:hint="eastAsia"/>
              </w:rPr>
            </w:pPr>
          </w:p>
        </w:tc>
        <w:tc>
          <w:tcPr>
            <w:tcW w:w="1107" w:type="pct"/>
            <w:shd w:val="clear" w:color="auto" w:fill="auto"/>
            <w:vAlign w:val="center"/>
          </w:tcPr>
          <w:p>
            <w:pPr>
              <w:pStyle w:val="46"/>
              <w:bidi w:val="0"/>
              <w:ind w:firstLine="0"/>
              <w:jc w:val="left"/>
              <w:rPr>
                <w:rFonts w:hint="eastAsia"/>
              </w:rPr>
            </w:pPr>
            <w:r>
              <w:rPr>
                <w:rFonts w:hint="eastAsia"/>
              </w:rPr>
              <w:t>药物临床试验大数据监管平台</w:t>
            </w:r>
          </w:p>
        </w:tc>
        <w:tc>
          <w:tcPr>
            <w:tcW w:w="666" w:type="pct"/>
            <w:shd w:val="clear" w:color="auto" w:fill="auto"/>
            <w:vAlign w:val="center"/>
          </w:tcPr>
          <w:p>
            <w:pPr>
              <w:pStyle w:val="46"/>
              <w:bidi w:val="0"/>
              <w:ind w:firstLine="0"/>
              <w:jc w:val="left"/>
              <w:rPr>
                <w:rFonts w:hint="eastAsia"/>
              </w:rPr>
            </w:pPr>
            <w:r>
              <w:rPr>
                <w:rFonts w:hint="eastAsia"/>
              </w:rPr>
              <w:t>数量指标</w:t>
            </w:r>
          </w:p>
        </w:tc>
        <w:tc>
          <w:tcPr>
            <w:tcW w:w="1139" w:type="pct"/>
            <w:shd w:val="clear" w:color="auto" w:fill="auto"/>
            <w:vAlign w:val="center"/>
          </w:tcPr>
          <w:p>
            <w:pPr>
              <w:pStyle w:val="46"/>
              <w:bidi w:val="0"/>
              <w:ind w:firstLine="0"/>
              <w:jc w:val="left"/>
              <w:rPr>
                <w:rFonts w:hint="eastAsia"/>
              </w:rPr>
            </w:pPr>
            <w:r>
              <w:rPr>
                <w:rFonts w:hint="eastAsia"/>
              </w:rPr>
              <w:t>机构档案覆盖率</w:t>
            </w:r>
          </w:p>
        </w:tc>
        <w:tc>
          <w:tcPr>
            <w:tcW w:w="454" w:type="pct"/>
            <w:shd w:val="clear" w:color="auto" w:fill="auto"/>
            <w:vAlign w:val="center"/>
          </w:tcPr>
          <w:p>
            <w:pPr>
              <w:pStyle w:val="46"/>
              <w:bidi w:val="0"/>
              <w:ind w:firstLine="0"/>
              <w:jc w:val="left"/>
              <w:rPr>
                <w:rFonts w:hint="eastAsia"/>
              </w:rPr>
            </w:pPr>
            <w:r>
              <w:rPr>
                <w:rFonts w:hint="eastAsia"/>
              </w:rPr>
              <w:t>业务</w:t>
            </w:r>
          </w:p>
        </w:tc>
        <w:tc>
          <w:tcPr>
            <w:tcW w:w="604" w:type="pct"/>
            <w:shd w:val="clear" w:color="auto" w:fill="auto"/>
            <w:vAlign w:val="center"/>
          </w:tcPr>
          <w:p>
            <w:pPr>
              <w:pStyle w:val="46"/>
              <w:bidi w:val="0"/>
              <w:ind w:firstLine="0"/>
              <w:jc w:val="left"/>
              <w:rPr>
                <w:rFonts w:hint="eastAsia"/>
              </w:rPr>
            </w:pPr>
            <w:r>
              <w:t>100%</w:t>
            </w:r>
          </w:p>
        </w:tc>
      </w:tr>
    </w:tbl>
    <w:p>
      <w:pPr>
        <w:pStyle w:val="3"/>
        <w:bidi w:val="0"/>
        <w:ind w:left="573" w:hanging="573"/>
        <w:rPr>
          <w:rFonts w:hint="default"/>
          <w:b/>
          <w:bCs/>
          <w:lang w:val="en-US" w:eastAsia="zh-CN"/>
        </w:rPr>
      </w:pPr>
      <w:r>
        <w:rPr>
          <w:rFonts w:hint="eastAsia"/>
          <w:b/>
          <w:bCs/>
          <w:lang w:val="en-US" w:eastAsia="zh-CN"/>
        </w:rPr>
        <w:t>技术绩效指标</w:t>
      </w:r>
    </w:p>
    <w:tbl>
      <w:tblPr>
        <w:tblStyle w:val="18"/>
        <w:tblW w:w="4998" w:type="pct"/>
        <w:tblInd w:w="0" w:type="dxa"/>
        <w:tblLayout w:type="fixed"/>
        <w:tblCellMar>
          <w:top w:w="0" w:type="dxa"/>
          <w:left w:w="108" w:type="dxa"/>
          <w:bottom w:w="0" w:type="dxa"/>
          <w:right w:w="108" w:type="dxa"/>
        </w:tblCellMar>
      </w:tblPr>
      <w:tblGrid>
        <w:gridCol w:w="675"/>
        <w:gridCol w:w="1028"/>
        <w:gridCol w:w="1194"/>
        <w:gridCol w:w="1207"/>
        <w:gridCol w:w="1998"/>
        <w:gridCol w:w="1021"/>
        <w:gridCol w:w="1396"/>
      </w:tblGrid>
      <w:tr>
        <w:tblPrEx>
          <w:tblCellMar>
            <w:top w:w="0" w:type="dxa"/>
            <w:left w:w="108" w:type="dxa"/>
            <w:bottom w:w="0" w:type="dxa"/>
            <w:right w:w="108" w:type="dxa"/>
          </w:tblCellMar>
        </w:tblPrEx>
        <w:trPr>
          <w:trHeight w:val="600" w:hRule="atLeast"/>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序号</w:t>
            </w:r>
          </w:p>
        </w:tc>
        <w:tc>
          <w:tcPr>
            <w:tcW w:w="603"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一级指标</w:t>
            </w:r>
          </w:p>
        </w:tc>
        <w:tc>
          <w:tcPr>
            <w:tcW w:w="700"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二级指标</w:t>
            </w:r>
          </w:p>
        </w:tc>
        <w:tc>
          <w:tcPr>
            <w:tcW w:w="708"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三级指标</w:t>
            </w:r>
          </w:p>
        </w:tc>
        <w:tc>
          <w:tcPr>
            <w:tcW w:w="1172"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四级指标</w:t>
            </w:r>
          </w:p>
        </w:tc>
        <w:tc>
          <w:tcPr>
            <w:tcW w:w="599"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类型</w:t>
            </w:r>
          </w:p>
        </w:tc>
        <w:tc>
          <w:tcPr>
            <w:tcW w:w="818" w:type="pct"/>
            <w:tcBorders>
              <w:top w:val="single" w:color="auto" w:sz="4" w:space="0"/>
              <w:left w:val="nil"/>
              <w:bottom w:val="single" w:color="auto" w:sz="4" w:space="0"/>
              <w:right w:val="single" w:color="auto" w:sz="4" w:space="0"/>
            </w:tcBorders>
            <w:shd w:val="clear" w:color="auto" w:fill="auto"/>
            <w:vAlign w:val="center"/>
          </w:tcPr>
          <w:p>
            <w:pPr>
              <w:pStyle w:val="46"/>
              <w:bidi w:val="0"/>
              <w:ind w:firstLine="0"/>
              <w:jc w:val="center"/>
              <w:rPr>
                <w:rFonts w:hint="eastAsia"/>
                <w:b/>
                <w:bCs/>
              </w:rPr>
            </w:pPr>
            <w:r>
              <w:rPr>
                <w:rFonts w:hint="eastAsia"/>
                <w:b/>
                <w:bCs/>
              </w:rPr>
              <w:t>指标值</w:t>
            </w:r>
          </w:p>
        </w:tc>
      </w:tr>
      <w:tr>
        <w:tblPrEx>
          <w:tblCellMar>
            <w:top w:w="0" w:type="dxa"/>
            <w:left w:w="108" w:type="dxa"/>
            <w:bottom w:w="0" w:type="dxa"/>
            <w:right w:w="108" w:type="dxa"/>
          </w:tblCellMar>
        </w:tblPrEx>
        <w:trPr>
          <w:trHeight w:val="9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w:t>
            </w: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通用指标</w:t>
            </w: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产出数量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软件开发完成率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100%</w:t>
            </w:r>
          </w:p>
        </w:tc>
      </w:tr>
      <w:tr>
        <w:tblPrEx>
          <w:tblCellMar>
            <w:top w:w="0" w:type="dxa"/>
            <w:left w:w="108" w:type="dxa"/>
            <w:bottom w:w="0" w:type="dxa"/>
            <w:right w:w="108" w:type="dxa"/>
          </w:tblCellMar>
        </w:tblPrEx>
        <w:trPr>
          <w:trHeight w:val="9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2</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产出质量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系统可靠性</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100%</w:t>
            </w:r>
          </w:p>
        </w:tc>
      </w:tr>
      <w:tr>
        <w:tblPrEx>
          <w:tblCellMar>
            <w:top w:w="0" w:type="dxa"/>
            <w:left w:w="108" w:type="dxa"/>
            <w:bottom w:w="0" w:type="dxa"/>
            <w:right w:w="108" w:type="dxa"/>
          </w:tblCellMar>
        </w:tblPrEx>
        <w:trPr>
          <w:trHeight w:val="6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3</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产出质量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软件测试达标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合格</w:t>
            </w:r>
          </w:p>
        </w:tc>
      </w:tr>
      <w:tr>
        <w:tblPrEx>
          <w:tblCellMar>
            <w:top w:w="0" w:type="dxa"/>
            <w:left w:w="108" w:type="dxa"/>
            <w:bottom w:w="0" w:type="dxa"/>
            <w:right w:w="108" w:type="dxa"/>
          </w:tblCellMar>
        </w:tblPrEx>
        <w:trPr>
          <w:trHeight w:val="6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4</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产出质量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密码测试达标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合格</w:t>
            </w:r>
          </w:p>
        </w:tc>
      </w:tr>
      <w:tr>
        <w:tblPrEx>
          <w:tblCellMar>
            <w:top w:w="0" w:type="dxa"/>
            <w:left w:w="108" w:type="dxa"/>
            <w:bottom w:w="0" w:type="dxa"/>
            <w:right w:w="108" w:type="dxa"/>
          </w:tblCellMar>
        </w:tblPrEx>
        <w:trPr>
          <w:trHeight w:val="9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5</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产出质量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网络安全等级达标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符合三级等保要求</w:t>
            </w:r>
          </w:p>
        </w:tc>
      </w:tr>
      <w:tr>
        <w:tblPrEx>
          <w:tblCellMar>
            <w:top w:w="0" w:type="dxa"/>
            <w:left w:w="108" w:type="dxa"/>
            <w:bottom w:w="0" w:type="dxa"/>
            <w:right w:w="108" w:type="dxa"/>
          </w:tblCellMar>
        </w:tblPrEx>
        <w:trPr>
          <w:trHeight w:val="6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6</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产出指标</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产出质量</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安全测试达标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合格</w:t>
            </w:r>
          </w:p>
        </w:tc>
      </w:tr>
      <w:tr>
        <w:tblPrEx>
          <w:tblCellMar>
            <w:top w:w="0" w:type="dxa"/>
            <w:left w:w="108" w:type="dxa"/>
            <w:bottom w:w="0" w:type="dxa"/>
            <w:right w:w="108" w:type="dxa"/>
          </w:tblCellMar>
        </w:tblPrEx>
        <w:trPr>
          <w:trHeight w:val="3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7</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支撑系统/数据库/中间件</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操作系统或数据库或中间件水平</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系统、数据库或中间件数量</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3个操作系统、2个中间件、1个数据库</w:t>
            </w:r>
          </w:p>
        </w:tc>
      </w:tr>
      <w:tr>
        <w:tblPrEx>
          <w:tblCellMar>
            <w:top w:w="0" w:type="dxa"/>
            <w:left w:w="108" w:type="dxa"/>
            <w:bottom w:w="0" w:type="dxa"/>
            <w:right w:w="108" w:type="dxa"/>
          </w:tblCellMar>
        </w:tblPrEx>
        <w:trPr>
          <w:trHeight w:val="6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8</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共性平台</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数据质量水平</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核心数据缺失率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w:t>
            </w:r>
          </w:p>
        </w:tc>
      </w:tr>
      <w:tr>
        <w:tblPrEx>
          <w:tblCellMar>
            <w:top w:w="0" w:type="dxa"/>
            <w:left w:w="108" w:type="dxa"/>
            <w:bottom w:w="0" w:type="dxa"/>
            <w:right w:w="108" w:type="dxa"/>
          </w:tblCellMar>
        </w:tblPrEx>
        <w:trPr>
          <w:trHeight w:val="9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9</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安全体系</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安全建设水平</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信息系统安全监管覆盖率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100%</w:t>
            </w:r>
          </w:p>
        </w:tc>
      </w:tr>
      <w:tr>
        <w:tblPrEx>
          <w:tblCellMar>
            <w:top w:w="0" w:type="dxa"/>
            <w:left w:w="108" w:type="dxa"/>
            <w:bottom w:w="0" w:type="dxa"/>
            <w:right w:w="108" w:type="dxa"/>
          </w:tblCellMar>
        </w:tblPrEx>
        <w:trPr>
          <w:trHeight w:val="900" w:hRule="atLeast"/>
        </w:trPr>
        <w:tc>
          <w:tcPr>
            <w:tcW w:w="396" w:type="pct"/>
            <w:tcBorders>
              <w:top w:val="nil"/>
              <w:left w:val="single" w:color="auto" w:sz="4" w:space="0"/>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10</w:t>
            </w:r>
          </w:p>
        </w:tc>
        <w:tc>
          <w:tcPr>
            <w:tcW w:w="603" w:type="pct"/>
            <w:vMerge w:val="continue"/>
            <w:tcBorders>
              <w:top w:val="nil"/>
              <w:left w:val="single" w:color="auto" w:sz="4" w:space="0"/>
              <w:bottom w:val="single" w:color="auto" w:sz="4" w:space="0"/>
              <w:right w:val="single" w:color="auto" w:sz="4" w:space="0"/>
            </w:tcBorders>
            <w:vAlign w:val="center"/>
          </w:tcPr>
          <w:p>
            <w:pPr>
              <w:pStyle w:val="46"/>
              <w:bidi w:val="0"/>
              <w:ind w:firstLine="0"/>
              <w:rPr>
                <w:rFonts w:hint="eastAsia"/>
              </w:rPr>
            </w:pPr>
          </w:p>
        </w:tc>
        <w:tc>
          <w:tcPr>
            <w:tcW w:w="700"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安全体系</w:t>
            </w:r>
          </w:p>
        </w:tc>
        <w:tc>
          <w:tcPr>
            <w:tcW w:w="70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安全建设水平</w:t>
            </w:r>
          </w:p>
        </w:tc>
        <w:tc>
          <w:tcPr>
            <w:tcW w:w="1172"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数据风险监测覆盖率</w:t>
            </w:r>
          </w:p>
        </w:tc>
        <w:tc>
          <w:tcPr>
            <w:tcW w:w="599"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技术</w:t>
            </w:r>
          </w:p>
        </w:tc>
        <w:tc>
          <w:tcPr>
            <w:tcW w:w="818" w:type="pct"/>
            <w:tcBorders>
              <w:top w:val="nil"/>
              <w:left w:val="nil"/>
              <w:bottom w:val="single" w:color="auto" w:sz="4" w:space="0"/>
              <w:right w:val="single" w:color="auto" w:sz="4" w:space="0"/>
            </w:tcBorders>
            <w:shd w:val="clear" w:color="auto" w:fill="auto"/>
            <w:vAlign w:val="center"/>
          </w:tcPr>
          <w:p>
            <w:pPr>
              <w:pStyle w:val="46"/>
              <w:bidi w:val="0"/>
              <w:ind w:firstLine="0"/>
              <w:rPr>
                <w:rFonts w:hint="eastAsia"/>
              </w:rPr>
            </w:pPr>
            <w:r>
              <w:rPr>
                <w:rFonts w:hint="eastAsia"/>
              </w:rPr>
              <w:t>100%</w:t>
            </w:r>
          </w:p>
        </w:tc>
      </w:tr>
    </w:tbl>
    <w:p>
      <w:pPr>
        <w:ind w:firstLine="482"/>
        <w:rPr>
          <w:rFonts w:hint="eastAsia"/>
          <w:b w:val="0"/>
          <w:bCs/>
        </w:rPr>
      </w:pPr>
    </w:p>
    <w:p>
      <w:pPr>
        <w:pStyle w:val="2"/>
        <w:rPr>
          <w:rFonts w:hint="eastAsia" w:ascii="黑体" w:hAnsi="黑体" w:eastAsia="黑体" w:cs="黑体"/>
          <w:sz w:val="32"/>
          <w:szCs w:val="32"/>
          <w:lang w:val="en-US" w:eastAsia="zh-CN"/>
        </w:rPr>
      </w:pPr>
      <w:bookmarkStart w:id="11" w:name="_Toc47539102"/>
      <w:bookmarkEnd w:id="11"/>
      <w:bookmarkStart w:id="12" w:name="_Toc47532923"/>
      <w:bookmarkEnd w:id="12"/>
      <w:bookmarkStart w:id="13" w:name="_Toc47533288"/>
      <w:bookmarkEnd w:id="13"/>
      <w:bookmarkStart w:id="14" w:name="_Toc47536676"/>
      <w:bookmarkEnd w:id="14"/>
      <w:bookmarkStart w:id="15" w:name="_Toc47537166"/>
      <w:bookmarkEnd w:id="15"/>
      <w:bookmarkStart w:id="16" w:name="_Toc47536304"/>
      <w:bookmarkEnd w:id="16"/>
      <w:r>
        <w:rPr>
          <w:rFonts w:hint="eastAsia" w:ascii="黑体" w:hAnsi="黑体" w:eastAsia="黑体" w:cs="黑体"/>
          <w:sz w:val="32"/>
          <w:szCs w:val="32"/>
        </w:rPr>
        <w:t>项目建设内容</w:t>
      </w:r>
    </w:p>
    <w:p>
      <w:pPr>
        <w:pStyle w:val="3"/>
        <w:bidi w:val="0"/>
        <w:rPr>
          <w:rFonts w:hint="eastAsia"/>
        </w:rPr>
      </w:pPr>
      <w:bookmarkStart w:id="17" w:name="_Toc6788"/>
      <w:bookmarkStart w:id="18" w:name="_Toc13971"/>
      <w:r>
        <w:rPr>
          <w:rFonts w:hint="eastAsia"/>
          <w:lang w:val="en-US" w:eastAsia="zh-CN"/>
        </w:rPr>
        <w:t>项目建设内容</w:t>
      </w:r>
    </w:p>
    <w:p>
      <w:pPr>
        <w:numPr>
          <w:ilvl w:val="0"/>
          <w:numId w:val="2"/>
        </w:numPr>
        <w:ind w:left="425" w:leftChars="0" w:hanging="425" w:firstLineChars="0"/>
        <w:rPr>
          <w:rFonts w:hint="eastAsia"/>
          <w:b/>
          <w:bCs/>
        </w:rPr>
      </w:pPr>
      <w:r>
        <w:rPr>
          <w:rFonts w:hint="eastAsia"/>
          <w:b/>
          <w:bCs/>
        </w:rPr>
        <w:t>风险预警监测</w:t>
      </w:r>
      <w:r>
        <w:rPr>
          <w:rFonts w:hint="eastAsia"/>
          <w:b/>
          <w:bCs/>
          <w:lang w:eastAsia="zh-CN"/>
        </w:rPr>
        <w:t>（</w:t>
      </w:r>
      <w:r>
        <w:rPr>
          <w:rFonts w:hint="eastAsia"/>
          <w:b/>
          <w:bCs/>
          <w:lang w:val="en-US" w:eastAsia="zh-CN"/>
        </w:rPr>
        <w:t>新建</w:t>
      </w:r>
      <w:r>
        <w:rPr>
          <w:rFonts w:hint="eastAsia"/>
          <w:b/>
          <w:bCs/>
          <w:lang w:eastAsia="zh-CN"/>
        </w:rPr>
        <w:t>）</w:t>
      </w:r>
    </w:p>
    <w:p>
      <w:pPr>
        <w:bidi w:val="0"/>
      </w:pPr>
      <w:r>
        <w:rPr>
          <w:rFonts w:hint="eastAsia"/>
        </w:rPr>
        <w:t>建设药物临床试验风险预警监测模块。通过实时监测和分析药物临床试验项目数据、监督检查数据以及机构上报数据，制定科学的风险预警规则，并对风险信号进行精准分类。对风险信号的采集、识别、核实及处置进行全流程跟踪，确保实现风险信号的闭环管理。</w:t>
      </w:r>
    </w:p>
    <w:p>
      <w:pPr>
        <w:numPr>
          <w:ilvl w:val="0"/>
          <w:numId w:val="2"/>
        </w:numPr>
        <w:ind w:left="425" w:leftChars="0" w:hanging="425" w:firstLineChars="0"/>
        <w:rPr>
          <w:rFonts w:hint="eastAsia"/>
          <w:b/>
          <w:bCs/>
        </w:rPr>
      </w:pPr>
      <w:r>
        <w:rPr>
          <w:rFonts w:hint="eastAsia"/>
          <w:b/>
          <w:bCs/>
        </w:rPr>
        <w:t>服务创新</w:t>
      </w:r>
      <w:r>
        <w:rPr>
          <w:rFonts w:hint="eastAsia"/>
          <w:b/>
          <w:bCs/>
          <w:lang w:eastAsia="zh-CN"/>
        </w:rPr>
        <w:t>（</w:t>
      </w:r>
      <w:r>
        <w:rPr>
          <w:rFonts w:hint="eastAsia"/>
          <w:b/>
          <w:bCs/>
          <w:lang w:val="en-US" w:eastAsia="zh-CN"/>
        </w:rPr>
        <w:t>新建</w:t>
      </w:r>
      <w:r>
        <w:rPr>
          <w:rFonts w:hint="eastAsia"/>
          <w:b/>
          <w:bCs/>
          <w:lang w:eastAsia="zh-CN"/>
        </w:rPr>
        <w:t>）</w:t>
      </w:r>
    </w:p>
    <w:p>
      <w:pPr>
        <w:bidi w:val="0"/>
      </w:pPr>
      <w:r>
        <w:rPr>
          <w:rFonts w:hint="eastAsia"/>
        </w:rPr>
        <w:t>建设服务创新模块对创新药物、细胞与基因治疗药物等特殊药品进行专项管理，建立特殊药品的专项管理流程，搭建一个集数据录入、数据分析、服务创新管理模块。通过数据分析和挖掘，提升药审中心服务能力，为特殊药品的研发提供更加精准的指导和支持。</w:t>
      </w:r>
    </w:p>
    <w:p>
      <w:pPr>
        <w:numPr>
          <w:ilvl w:val="0"/>
          <w:numId w:val="2"/>
        </w:numPr>
        <w:ind w:left="425" w:leftChars="0" w:hanging="425" w:firstLineChars="0"/>
        <w:rPr>
          <w:rFonts w:hint="eastAsia"/>
          <w:b/>
          <w:bCs/>
        </w:rPr>
      </w:pPr>
      <w:r>
        <w:rPr>
          <w:rFonts w:hint="eastAsia"/>
          <w:b/>
          <w:bCs/>
        </w:rPr>
        <w:t>机构档案、机构画像</w:t>
      </w:r>
      <w:r>
        <w:rPr>
          <w:rFonts w:hint="eastAsia"/>
          <w:b/>
          <w:bCs/>
          <w:lang w:eastAsia="zh-CN"/>
        </w:rPr>
        <w:t>（</w:t>
      </w:r>
      <w:r>
        <w:rPr>
          <w:rFonts w:hint="eastAsia"/>
          <w:b/>
          <w:bCs/>
          <w:lang w:val="en-US" w:eastAsia="zh-CN"/>
        </w:rPr>
        <w:t>新建</w:t>
      </w:r>
      <w:r>
        <w:rPr>
          <w:rFonts w:hint="eastAsia"/>
          <w:b/>
          <w:bCs/>
          <w:lang w:eastAsia="zh-CN"/>
        </w:rPr>
        <w:t>）</w:t>
      </w:r>
    </w:p>
    <w:p>
      <w:pPr>
        <w:bidi w:val="0"/>
        <w:rPr>
          <w:rFonts w:hint="eastAsia"/>
        </w:rPr>
      </w:pPr>
      <w:r>
        <w:rPr>
          <w:rFonts w:hint="eastAsia"/>
        </w:rPr>
        <w:t>建设机构档案和机构画像模块，实现机构信息的全面数字化管理。涵盖机构的基本信息、试验项目信息、监督检查、风险预警信息展示。协助监管人员在药物临床试验机构监督检查时及时查询机构档案相关信息。</w:t>
      </w:r>
    </w:p>
    <w:p>
      <w:pPr>
        <w:numPr>
          <w:ilvl w:val="0"/>
          <w:numId w:val="2"/>
        </w:numPr>
        <w:ind w:left="425" w:leftChars="0" w:hanging="425" w:firstLineChars="0"/>
        <w:rPr>
          <w:rFonts w:hint="eastAsia"/>
          <w:b/>
          <w:bCs/>
        </w:rPr>
      </w:pPr>
      <w:r>
        <w:rPr>
          <w:rFonts w:hint="eastAsia"/>
          <w:b/>
          <w:bCs/>
        </w:rPr>
        <w:t>药物非临床试验机构管理</w:t>
      </w:r>
      <w:r>
        <w:rPr>
          <w:rFonts w:hint="eastAsia"/>
          <w:b/>
          <w:bCs/>
          <w:lang w:eastAsia="zh-CN"/>
        </w:rPr>
        <w:t>（</w:t>
      </w:r>
      <w:r>
        <w:rPr>
          <w:rFonts w:hint="eastAsia"/>
          <w:b/>
          <w:bCs/>
          <w:lang w:val="en-US" w:eastAsia="zh-CN"/>
        </w:rPr>
        <w:t>新建</w:t>
      </w:r>
      <w:r>
        <w:rPr>
          <w:rFonts w:hint="eastAsia"/>
          <w:b/>
          <w:bCs/>
          <w:lang w:eastAsia="zh-CN"/>
        </w:rPr>
        <w:t>）</w:t>
      </w:r>
    </w:p>
    <w:p>
      <w:pPr>
        <w:bidi w:val="0"/>
        <w:rPr>
          <w:rFonts w:hint="eastAsia" w:cstheme="majorBidi"/>
          <w:bCs/>
          <w:szCs w:val="30"/>
        </w:rPr>
      </w:pPr>
      <w:r>
        <w:rPr>
          <w:rFonts w:hint="eastAsia"/>
        </w:rPr>
        <w:t>建设药物非临床试验机构管理模块，针对药物非临床试验机构开展监督检查，结合药审中心监督检查的业务场景，构建一套完整的数字化监督检查流程。对药物非临床试验机构监督检查计划的制定与执行、检查结果的记录与反馈、整改措施的跟踪、综合评定的记录及本次检查的质量自查通过系统化、电子化、流程化管理，确保每一步操作都有明确的记录，便于后续查阅和审计、提升监管效能。确保药物非临床试验的合规性和安全性。</w:t>
      </w:r>
    </w:p>
    <w:p>
      <w:pPr>
        <w:numPr>
          <w:ilvl w:val="0"/>
          <w:numId w:val="2"/>
        </w:numPr>
        <w:ind w:left="425" w:leftChars="0" w:hanging="425" w:firstLineChars="0"/>
        <w:rPr>
          <w:rFonts w:hint="eastAsia"/>
          <w:b/>
          <w:bCs/>
        </w:rPr>
      </w:pPr>
      <w:r>
        <w:rPr>
          <w:rFonts w:hint="eastAsia"/>
          <w:b/>
          <w:bCs/>
        </w:rPr>
        <w:t>对接市药监局检查码管理系统</w:t>
      </w:r>
      <w:r>
        <w:rPr>
          <w:rFonts w:hint="eastAsia"/>
          <w:b/>
          <w:bCs/>
          <w:lang w:eastAsia="zh-CN"/>
        </w:rPr>
        <w:t>（</w:t>
      </w:r>
      <w:r>
        <w:rPr>
          <w:rFonts w:hint="eastAsia"/>
          <w:b/>
          <w:bCs/>
          <w:lang w:val="en-US" w:eastAsia="zh-CN"/>
        </w:rPr>
        <w:t>新建</w:t>
      </w:r>
      <w:r>
        <w:rPr>
          <w:rFonts w:hint="eastAsia"/>
          <w:b/>
          <w:bCs/>
          <w:lang w:eastAsia="zh-CN"/>
        </w:rPr>
        <w:t>）</w:t>
      </w:r>
    </w:p>
    <w:p>
      <w:pPr>
        <w:bidi w:val="0"/>
      </w:pPr>
      <w:r>
        <w:rPr>
          <w:rFonts w:hint="eastAsia"/>
        </w:rPr>
        <w:t>根据上海市司法局局相关工作要求结合上海药品审评核查中心的日常监督检查、联合核查业务流程，接入药监局检查码系统。规范涉企检查确保检查流程的统一性和标准化。</w:t>
      </w:r>
    </w:p>
    <w:p>
      <w:pPr>
        <w:bidi w:val="0"/>
      </w:pPr>
      <w:r>
        <w:rPr>
          <w:rFonts w:hint="eastAsia"/>
        </w:rPr>
        <w:t>通过系统对接，实现检查码的生成、查询和管理，确保每一次检查都有明确的标识和记录。</w:t>
      </w:r>
    </w:p>
    <w:p>
      <w:pPr>
        <w:pStyle w:val="3"/>
        <w:bidi w:val="0"/>
        <w:rPr>
          <w:rFonts w:hint="eastAsia"/>
        </w:rPr>
      </w:pPr>
      <w:r>
        <w:rPr>
          <w:rFonts w:hint="eastAsia"/>
          <w:lang w:val="en-US" w:eastAsia="zh-CN"/>
        </w:rPr>
        <w:t>系统</w:t>
      </w:r>
      <w:bookmarkEnd w:id="17"/>
      <w:bookmarkEnd w:id="18"/>
      <w:r>
        <w:rPr>
          <w:rFonts w:hint="eastAsia"/>
          <w:lang w:val="en-US" w:eastAsia="zh-CN"/>
        </w:rPr>
        <w:t>架构图</w:t>
      </w:r>
    </w:p>
    <w:p>
      <w:pPr>
        <w:pStyle w:val="6"/>
        <w:ind w:left="0" w:leftChars="0" w:firstLine="0" w:firstLineChars="0"/>
        <w:jc w:val="both"/>
        <w:rPr>
          <w:rFonts w:hint="eastAsia" w:eastAsia="仿宋"/>
          <w:lang w:eastAsia="zh-CN"/>
        </w:rPr>
      </w:pPr>
      <w:r>
        <w:rPr>
          <w:rFonts w:hint="eastAsia" w:eastAsia="仿宋"/>
          <w:lang w:eastAsia="zh-CN"/>
        </w:rPr>
        <w:drawing>
          <wp:inline distT="0" distB="0" distL="114300" distR="114300">
            <wp:extent cx="5267325" cy="3312795"/>
            <wp:effectExtent l="9525" t="9525" r="19050" b="11430"/>
            <wp:docPr id="2" name="图片 2" descr="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系统架构图"/>
                    <pic:cNvPicPr>
                      <a:picLocks noChangeAspect="1"/>
                    </pic:cNvPicPr>
                  </pic:nvPicPr>
                  <pic:blipFill>
                    <a:blip r:embed="rId7"/>
                    <a:stretch>
                      <a:fillRect/>
                    </a:stretch>
                  </pic:blipFill>
                  <pic:spPr>
                    <a:xfrm>
                      <a:off x="0" y="0"/>
                      <a:ext cx="5267325" cy="3312795"/>
                    </a:xfrm>
                    <a:prstGeom prst="rect">
                      <a:avLst/>
                    </a:prstGeom>
                    <a:ln>
                      <a:solidFill>
                        <a:schemeClr val="tx1"/>
                      </a:solidFill>
                    </a:ln>
                  </pic:spPr>
                </pic:pic>
              </a:graphicData>
            </a:graphic>
          </wp:inline>
        </w:drawing>
      </w:r>
    </w:p>
    <w:p>
      <w:pPr>
        <w:bidi w:val="0"/>
        <w:rPr>
          <w:rFonts w:hint="eastAsia"/>
        </w:rPr>
      </w:pPr>
      <w:r>
        <w:rPr>
          <w:rFonts w:hint="eastAsia"/>
        </w:rPr>
        <w:t>本次升级改造数据资源层主要是对项目涉及的信息进行深入分析，调取</w:t>
      </w:r>
      <w:r>
        <w:rPr>
          <w:rFonts w:hint="eastAsia"/>
          <w:lang w:val="en-US" w:eastAsia="zh-CN"/>
        </w:rPr>
        <w:t>国家局数据资源、数据中台、药监局内业务数据机构上报的</w:t>
      </w:r>
      <w:r>
        <w:rPr>
          <w:rFonts w:hint="eastAsia"/>
        </w:rPr>
        <w:t>相应数据，完成对信息资源的规划和梳理。包括结构化数据与非结构化数据。</w:t>
      </w:r>
    </w:p>
    <w:p>
      <w:pPr>
        <w:bidi w:val="0"/>
        <w:rPr>
          <w:rFonts w:hint="eastAsia"/>
        </w:rPr>
      </w:pPr>
      <w:r>
        <w:rPr>
          <w:rFonts w:hint="eastAsia"/>
        </w:rPr>
        <w:t>应用支撑层主要是支撑系统所需的支撑模块，</w:t>
      </w:r>
      <w:r>
        <w:rPr>
          <w:rFonts w:hint="eastAsia"/>
          <w:lang w:val="en-US" w:eastAsia="zh-CN"/>
        </w:rPr>
        <w:t>统一入口</w:t>
      </w:r>
      <w:r>
        <w:rPr>
          <w:rFonts w:hint="eastAsia"/>
        </w:rPr>
        <w:t>、</w:t>
      </w:r>
      <w:r>
        <w:rPr>
          <w:rFonts w:hint="eastAsia"/>
          <w:lang w:val="en-US" w:eastAsia="zh-CN"/>
        </w:rPr>
        <w:t>统一用户</w:t>
      </w:r>
      <w:r>
        <w:rPr>
          <w:rFonts w:hint="eastAsia"/>
        </w:rPr>
        <w:t>、</w:t>
      </w:r>
      <w:r>
        <w:rPr>
          <w:rFonts w:hint="eastAsia"/>
          <w:lang w:val="en-US" w:eastAsia="zh-CN"/>
        </w:rPr>
        <w:t>统一权限</w:t>
      </w:r>
      <w:r>
        <w:rPr>
          <w:rFonts w:hint="eastAsia"/>
        </w:rPr>
        <w:t>、</w:t>
      </w:r>
      <w:r>
        <w:rPr>
          <w:rFonts w:hint="eastAsia"/>
          <w:lang w:val="en-US" w:eastAsia="zh-CN"/>
        </w:rPr>
        <w:t>数据分析模型</w:t>
      </w:r>
      <w:r>
        <w:rPr>
          <w:rFonts w:hint="eastAsia"/>
        </w:rPr>
        <w:t>、等，为各应用平台提</w:t>
      </w:r>
      <w:r>
        <w:rPr>
          <w:rFonts w:hint="eastAsia"/>
          <w:lang w:val="en-US" w:eastAsia="zh-CN"/>
        </w:rPr>
        <w:t>统一工作流等</w:t>
      </w:r>
      <w:r>
        <w:rPr>
          <w:rFonts w:hint="eastAsia"/>
        </w:rPr>
        <w:t>供应用支撑服务。</w:t>
      </w:r>
    </w:p>
    <w:p>
      <w:pPr>
        <w:bidi w:val="0"/>
        <w:rPr>
          <w:rFonts w:hint="eastAsia"/>
        </w:rPr>
      </w:pPr>
      <w:r>
        <w:rPr>
          <w:rFonts w:hint="eastAsia"/>
        </w:rPr>
        <w:t>应用层为</w:t>
      </w:r>
      <w:r>
        <w:rPr>
          <w:rFonts w:hint="eastAsia"/>
          <w:lang w:val="en-US" w:eastAsia="zh-CN"/>
        </w:rPr>
        <w:t>药物临床试验大数据监管平台，</w:t>
      </w:r>
      <w:r>
        <w:rPr>
          <w:rFonts w:hint="eastAsia"/>
        </w:rPr>
        <w:t>主要功能包括</w:t>
      </w:r>
      <w:r>
        <w:rPr>
          <w:rFonts w:hint="eastAsia"/>
          <w:lang w:val="en-US" w:eastAsia="zh-CN"/>
        </w:rPr>
        <w:t>药物临床试验监管驾驶舱、机构档案、机构画像、机构端管理、风险预警管理、创新服务管理</w:t>
      </w:r>
      <w:r>
        <w:rPr>
          <w:rFonts w:hint="eastAsia"/>
        </w:rPr>
        <w:t>、</w:t>
      </w:r>
      <w:r>
        <w:rPr>
          <w:rFonts w:hint="eastAsia"/>
          <w:lang w:val="en-US" w:eastAsia="zh-CN"/>
        </w:rPr>
        <w:t>临床试验机构监督检查、药物非临床试验机构监督检查、接入市药监局检查码管理系统</w:t>
      </w:r>
      <w:r>
        <w:rPr>
          <w:rFonts w:hint="eastAsia"/>
        </w:rPr>
        <w:t>。</w:t>
      </w:r>
    </w:p>
    <w:p>
      <w:pPr>
        <w:bidi w:val="0"/>
        <w:rPr>
          <w:rFonts w:hint="eastAsia"/>
          <w:lang w:eastAsia="zh-CN"/>
        </w:rPr>
      </w:pPr>
      <w:r>
        <w:rPr>
          <w:rFonts w:hint="eastAsia"/>
          <w:lang w:val="en-US" w:eastAsia="zh-CN"/>
        </w:rPr>
        <w:t>交互层</w:t>
      </w:r>
      <w:r>
        <w:rPr>
          <w:rFonts w:hint="eastAsia"/>
        </w:rPr>
        <w:t>主要</w:t>
      </w:r>
      <w:r>
        <w:rPr>
          <w:rFonts w:hint="eastAsia"/>
          <w:lang w:val="en-US" w:eastAsia="zh-CN"/>
        </w:rPr>
        <w:t>为药监局、药审中心、机构用户</w:t>
      </w:r>
      <w:r>
        <w:rPr>
          <w:rFonts w:hint="eastAsia"/>
        </w:rPr>
        <w:t>提供对应的信息服务</w:t>
      </w:r>
      <w:r>
        <w:rPr>
          <w:rFonts w:hint="eastAsia"/>
          <w:lang w:eastAsia="zh-CN"/>
        </w:rPr>
        <w:t>。</w:t>
      </w:r>
    </w:p>
    <w:p>
      <w:pPr>
        <w:pStyle w:val="3"/>
        <w:bidi w:val="0"/>
        <w:ind w:left="575" w:leftChars="0" w:hanging="575" w:firstLineChars="0"/>
        <w:rPr>
          <w:rFonts w:hint="eastAsia"/>
          <w:sz w:val="30"/>
          <w:szCs w:val="30"/>
          <w:lang w:val="en-US" w:eastAsia="zh-CN"/>
        </w:rPr>
      </w:pPr>
      <w:r>
        <w:rPr>
          <w:rFonts w:hint="eastAsia"/>
          <w:sz w:val="30"/>
          <w:szCs w:val="30"/>
          <w:lang w:val="en-US" w:eastAsia="zh-CN"/>
        </w:rPr>
        <w:t>部署环境和网络拓扑</w:t>
      </w:r>
    </w:p>
    <w:p>
      <w:pPr>
        <w:pStyle w:val="4"/>
        <w:bidi w:val="0"/>
        <w:ind w:left="0" w:leftChars="0" w:firstLine="0" w:firstLineChars="0"/>
        <w:rPr>
          <w:rFonts w:hint="default"/>
          <w:lang w:val="en-US" w:eastAsia="zh-CN"/>
        </w:rPr>
      </w:pPr>
      <w:r>
        <w:rPr>
          <w:rFonts w:hint="eastAsia"/>
          <w:lang w:val="en-US" w:eastAsia="zh-CN"/>
        </w:rPr>
        <w:t>云平台网络拓扑</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上海市电子政务云平台分为政务外网区域和互联网区域，分别面向政府部门和公众提供访问，两个区域之间通过安全隔离设备实现逻辑隔离。其网络架构如下所示：</w:t>
      </w:r>
    </w:p>
    <w:p>
      <w:pPr>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仿宋_GB2312" w:hAnsi="仿宋_GB2312" w:eastAsia="仿宋_GB2312" w:cs="仿宋_GB2312"/>
        </w:rPr>
        <w:drawing>
          <wp:inline distT="0" distB="0" distL="0" distR="0">
            <wp:extent cx="5273040" cy="2392680"/>
            <wp:effectExtent l="0" t="0" r="381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3040" cy="2392680"/>
                    </a:xfrm>
                    <a:prstGeom prst="rect">
                      <a:avLst/>
                    </a:prstGeom>
                    <a:noFill/>
                    <a:ln>
                      <a:noFill/>
                    </a:ln>
                  </pic:spPr>
                </pic:pic>
              </a:graphicData>
            </a:graphic>
          </wp:inline>
        </w:drawing>
      </w:r>
    </w:p>
    <w:p>
      <w:pPr>
        <w:pStyle w:val="4"/>
        <w:bidi w:val="0"/>
        <w:ind w:left="0" w:leftChars="0" w:firstLine="0" w:firstLineChars="0"/>
        <w:rPr>
          <w:rFonts w:hint="default" w:ascii="宋体" w:hAnsi="宋体" w:eastAsia="宋体" w:cs="宋体"/>
          <w:sz w:val="28"/>
          <w:szCs w:val="28"/>
          <w:lang w:val="en-US" w:eastAsia="zh-CN"/>
        </w:rPr>
      </w:pPr>
      <w:r>
        <w:rPr>
          <w:rStyle w:val="49"/>
          <w:rFonts w:hint="eastAsia"/>
          <w:b/>
          <w:lang w:val="en-US" w:eastAsia="zh-CN"/>
        </w:rPr>
        <w:t>现有系统网络拓扑</w:t>
      </w:r>
    </w:p>
    <w:p>
      <w:pPr>
        <w:pStyle w:val="6"/>
        <w:ind w:left="0" w:leftChars="0" w:firstLine="0" w:firstLineChars="0"/>
        <w:rPr>
          <w:rFonts w:hint="eastAsia" w:ascii="仿宋_GB2312" w:hAnsi="仿宋_GB2312" w:eastAsia="仿宋_GB2312" w:cs="仿宋_GB2312"/>
        </w:rPr>
      </w:pPr>
      <w:r>
        <w:rPr>
          <w:position w:val="-130"/>
        </w:rPr>
        <w:drawing>
          <wp:inline distT="0" distB="0" distL="0" distR="0">
            <wp:extent cx="4550410" cy="3126740"/>
            <wp:effectExtent l="0" t="0" r="2540" b="1651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
                    <a:stretch>
                      <a:fillRect/>
                    </a:stretch>
                  </pic:blipFill>
                  <pic:spPr>
                    <a:xfrm>
                      <a:off x="0" y="0"/>
                      <a:ext cx="4550410" cy="3126740"/>
                    </a:xfrm>
                    <a:prstGeom prst="rect">
                      <a:avLst/>
                    </a:prstGeom>
                  </pic:spPr>
                </pic:pic>
              </a:graphicData>
            </a:graphic>
          </wp:inline>
        </w:drawing>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上海市药物临床试验监管平台系统整体架构和部署情况为：</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(1)系统整体部署在上海市政务云移动云XC机房，由中国移动负责运维工作。云上划分政务外网和互联网两个网络区域，内部通过网闸设备进行通信。云环境在对外交互的区域配置了防火墙、IDS、WAF安全安排防护。</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项目系统根据业务类型不同，分别部署在政务外网和互联网两个区域，为用户提供政务外网、互联网两个环境的不同系统访问。系统在应用服务器前配置了安全认证网关，用户所有请求通过安全认证网关转发到应用服务器，并通过认证网关配置证书，实现Https链路。</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(3)项目各个系统部署在政务外网区域的应用在相同VPC内通过内网进行通信，部署在互联网区域的应用通过网闸访问数据库数据和业务接口等。</w:t>
      </w:r>
    </w:p>
    <w:p>
      <w:pPr>
        <w:ind w:left="0" w:leftChars="0"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(4)运维人员通过SSL VPN加堡垒机连接服务器进行运维管理；运维人员需要使用用户名、口令、动态令牌登录。</w:t>
      </w:r>
    </w:p>
    <w:p>
      <w:pPr>
        <w:ind w:left="0" w:leftChars="0" w:firstLine="0" w:firstLineChars="0"/>
        <w:rPr>
          <w:rFonts w:hint="eastAsia"/>
          <w:lang w:val="en-US" w:eastAsia="zh-CN"/>
        </w:rPr>
      </w:pPr>
    </w:p>
    <w:p>
      <w:pPr>
        <w:pStyle w:val="3"/>
        <w:bidi w:val="0"/>
        <w:ind w:left="575" w:leftChars="0" w:hanging="575" w:firstLineChars="0"/>
        <w:rPr>
          <w:rFonts w:hint="default"/>
          <w:sz w:val="30"/>
          <w:szCs w:val="30"/>
          <w:lang w:val="en-US" w:eastAsia="zh-CN"/>
        </w:rPr>
      </w:pPr>
      <w:r>
        <w:rPr>
          <w:rFonts w:hint="eastAsia"/>
          <w:sz w:val="30"/>
          <w:szCs w:val="30"/>
          <w:lang w:val="en-US" w:eastAsia="zh-CN"/>
        </w:rPr>
        <w:t>技术指标要求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本项目系统性能需求如下：</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同时在线用户数≥</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00；</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并发用户数≥50；</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系统登录时间≤5秒；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一般查询和写入操作响应时间（90%的操作页面）≤5秒；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搜索类操作响应时间≤10秒；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报表统计类操作响应时间≤15秒；</w:t>
      </w:r>
    </w:p>
    <w:p>
      <w:pPr>
        <w:pStyle w:val="26"/>
        <w:numPr>
          <w:ilvl w:val="0"/>
          <w:numId w:val="3"/>
        </w:numPr>
        <w:ind w:firstLineChars="0"/>
        <w:rPr>
          <w:rFonts w:hint="default"/>
          <w:lang w:val="en-US" w:eastAsia="zh-CN"/>
        </w:rPr>
      </w:pPr>
      <w:r>
        <w:rPr>
          <w:rFonts w:hint="eastAsia"/>
          <w:color w:val="000000" w:themeColor="text1"/>
          <w14:textFill>
            <w14:solidFill>
              <w14:schemeClr w14:val="tx1"/>
            </w14:solidFill>
          </w14:textFill>
        </w:rPr>
        <w:t>响应时间较长的操作页面应显示进度条。</w:t>
      </w:r>
    </w:p>
    <w:p>
      <w:pPr>
        <w:pStyle w:val="3"/>
        <w:bidi w:val="0"/>
      </w:pPr>
      <w:r>
        <w:rPr>
          <w:rFonts w:hint="eastAsia"/>
        </w:rPr>
        <w:t>软件开发清单</w:t>
      </w:r>
    </w:p>
    <w:tbl>
      <w:tblPr>
        <w:tblStyle w:val="18"/>
        <w:tblW w:w="9701" w:type="dxa"/>
        <w:jc w:val="center"/>
        <w:tblLayout w:type="fixed"/>
        <w:tblCellMar>
          <w:top w:w="0" w:type="dxa"/>
          <w:left w:w="108" w:type="dxa"/>
          <w:bottom w:w="0" w:type="dxa"/>
          <w:right w:w="108" w:type="dxa"/>
        </w:tblCellMar>
      </w:tblPr>
      <w:tblGrid>
        <w:gridCol w:w="658"/>
        <w:gridCol w:w="1250"/>
        <w:gridCol w:w="1763"/>
        <w:gridCol w:w="6030"/>
      </w:tblGrid>
      <w:tr>
        <w:tblPrEx>
          <w:tblCellMar>
            <w:top w:w="0" w:type="dxa"/>
            <w:left w:w="108" w:type="dxa"/>
            <w:bottom w:w="0" w:type="dxa"/>
            <w:right w:w="108" w:type="dxa"/>
          </w:tblCellMar>
        </w:tblPrEx>
        <w:trPr>
          <w:trHeight w:val="0" w:hRule="atLeast"/>
          <w:tblHeader/>
          <w:jc w:val="center"/>
        </w:trPr>
        <w:tc>
          <w:tcPr>
            <w:tcW w:w="658" w:type="dxa"/>
            <w:tcBorders>
              <w:top w:val="single" w:color="auto" w:sz="4" w:space="0"/>
              <w:left w:val="single" w:color="auto" w:sz="4" w:space="0"/>
              <w:bottom w:val="single" w:color="auto" w:sz="4" w:space="0"/>
              <w:right w:val="single" w:color="auto" w:sz="4" w:space="0"/>
            </w:tcBorders>
            <w:shd w:val="clear" w:color="000000" w:fill="F3F8FC"/>
            <w:noWrap/>
            <w:vAlign w:val="center"/>
          </w:tcPr>
          <w:p>
            <w:pPr>
              <w:pStyle w:val="46"/>
              <w:keepNext/>
              <w:bidi w:val="0"/>
              <w:snapToGrid w:val="0"/>
              <w:ind w:left="0" w:leftChars="0" w:right="0" w:rightChars="0" w:firstLine="0" w:firstLineChars="0"/>
              <w:jc w:val="center"/>
              <w:rPr>
                <w:b/>
                <w:bCs w:val="0"/>
              </w:rPr>
            </w:pPr>
            <w:r>
              <w:rPr>
                <w:rFonts w:hint="eastAsia"/>
                <w:b/>
                <w:bCs w:val="0"/>
              </w:rPr>
              <w:t>序号</w:t>
            </w:r>
          </w:p>
        </w:tc>
        <w:tc>
          <w:tcPr>
            <w:tcW w:w="1250" w:type="dxa"/>
            <w:tcBorders>
              <w:top w:val="single" w:color="auto" w:sz="4" w:space="0"/>
              <w:left w:val="nil"/>
              <w:bottom w:val="single" w:color="auto" w:sz="4" w:space="0"/>
              <w:right w:val="single" w:color="auto" w:sz="4" w:space="0"/>
            </w:tcBorders>
            <w:shd w:val="clear" w:color="000000" w:fill="F3F8FC"/>
            <w:noWrap/>
            <w:vAlign w:val="center"/>
          </w:tcPr>
          <w:p>
            <w:pPr>
              <w:pStyle w:val="46"/>
              <w:keepNext/>
              <w:bidi w:val="0"/>
              <w:snapToGrid w:val="0"/>
              <w:ind w:left="0" w:leftChars="0" w:right="0" w:rightChars="0" w:firstLine="0" w:firstLineChars="0"/>
              <w:jc w:val="center"/>
              <w:rPr>
                <w:rFonts w:hint="default"/>
                <w:b/>
                <w:bCs w:val="0"/>
                <w:lang w:val="en-US" w:eastAsia="zh-CN"/>
              </w:rPr>
            </w:pPr>
            <w:r>
              <w:rPr>
                <w:rFonts w:hint="eastAsia"/>
                <w:b/>
                <w:bCs w:val="0"/>
                <w:lang w:val="en-US" w:eastAsia="zh-CN"/>
              </w:rPr>
              <w:t>模块名称</w:t>
            </w:r>
          </w:p>
        </w:tc>
        <w:tc>
          <w:tcPr>
            <w:tcW w:w="1763" w:type="dxa"/>
            <w:tcBorders>
              <w:top w:val="single" w:color="auto" w:sz="4" w:space="0"/>
              <w:left w:val="nil"/>
              <w:bottom w:val="single" w:color="auto" w:sz="4" w:space="0"/>
              <w:right w:val="single" w:color="auto" w:sz="4" w:space="0"/>
            </w:tcBorders>
            <w:shd w:val="clear" w:color="000000" w:fill="F3F8FC"/>
            <w:noWrap/>
            <w:vAlign w:val="center"/>
          </w:tcPr>
          <w:p>
            <w:pPr>
              <w:pStyle w:val="46"/>
              <w:keepNext/>
              <w:bidi w:val="0"/>
              <w:snapToGrid w:val="0"/>
              <w:ind w:left="0" w:leftChars="0" w:right="0" w:rightChars="0" w:firstLine="0" w:firstLineChars="0"/>
              <w:jc w:val="center"/>
              <w:rPr>
                <w:rFonts w:hint="default"/>
                <w:b/>
                <w:bCs w:val="0"/>
                <w:lang w:val="en-US" w:eastAsia="zh-CN"/>
              </w:rPr>
            </w:pPr>
            <w:r>
              <w:rPr>
                <w:rFonts w:hint="eastAsia"/>
                <w:b/>
                <w:bCs w:val="0"/>
                <w:lang w:val="en-US" w:eastAsia="zh-CN"/>
              </w:rPr>
              <w:t>功能名称</w:t>
            </w:r>
          </w:p>
        </w:tc>
        <w:tc>
          <w:tcPr>
            <w:tcW w:w="6030" w:type="dxa"/>
            <w:tcBorders>
              <w:top w:val="single" w:color="auto" w:sz="4" w:space="0"/>
              <w:left w:val="nil"/>
              <w:bottom w:val="single" w:color="auto" w:sz="4" w:space="0"/>
              <w:right w:val="single" w:color="auto" w:sz="4" w:space="0"/>
            </w:tcBorders>
            <w:shd w:val="clear" w:color="000000" w:fill="F3F8FC"/>
            <w:vAlign w:val="center"/>
          </w:tcPr>
          <w:p>
            <w:pPr>
              <w:pStyle w:val="46"/>
              <w:keepNext/>
              <w:bidi w:val="0"/>
              <w:snapToGrid w:val="0"/>
              <w:ind w:left="0" w:leftChars="0" w:right="0" w:rightChars="0" w:firstLine="0" w:firstLineChars="0"/>
              <w:jc w:val="center"/>
              <w:rPr>
                <w:rFonts w:hint="default"/>
                <w:b/>
                <w:bCs w:val="0"/>
                <w:lang w:val="en-US" w:eastAsia="zh-CN"/>
              </w:rPr>
            </w:pPr>
            <w:r>
              <w:rPr>
                <w:rFonts w:hint="eastAsia"/>
                <w:b/>
                <w:bCs w:val="0"/>
                <w:lang w:val="en-US" w:eastAsia="zh-CN"/>
              </w:rPr>
              <w:t>功能描述</w:t>
            </w:r>
          </w:p>
        </w:tc>
      </w:tr>
      <w:tr>
        <w:tblPrEx>
          <w:tblCellMar>
            <w:top w:w="0" w:type="dxa"/>
            <w:left w:w="108" w:type="dxa"/>
            <w:bottom w:w="0" w:type="dxa"/>
            <w:right w:w="108" w:type="dxa"/>
          </w:tblCellMar>
        </w:tblPrEx>
        <w:trPr>
          <w:trHeight w:val="16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风险预警规则管理</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提供可配置化界面，用户可动态调整风险预警提示规则，新增风险预警提示信息。同时，支持多维度查询风险信息和风险等级。</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新增风险预警规则的过程中，用户可设置风险预警规则的触发条件、预警规则的适用范围、触发条件、处置措施等关键信息，并通过预览功能确认配置的正确性。支持对已有预警规则的编辑和更新功能。管理人员可以通过直观的界面，修改预警规则的触发条件、风险提示等信息。系统应记录每次规则修改的详细信息，包括修改时间、修改人及修改内容对比。</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在修改风险预警规则的过程中，用户可设置风险预警规则的触发条件、预警规则的适用范围、触发条件、处置措施等关键信息，并通过预览功能确认配置的正确性。</w:t>
            </w:r>
          </w:p>
        </w:tc>
      </w:tr>
      <w:tr>
        <w:tblPrEx>
          <w:tblCellMar>
            <w:top w:w="0" w:type="dxa"/>
            <w:left w:w="108" w:type="dxa"/>
            <w:bottom w:w="0" w:type="dxa"/>
            <w:right w:w="108" w:type="dxa"/>
          </w:tblCellMar>
        </w:tblPrEx>
        <w:trPr>
          <w:trHeight w:val="87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国家局监管结果数据导入</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导入国家局对上海市药物临床试验的监督检查报表。系统将自动解析和识别报表内容，提取关键信息，并将其整合至风险预警监测模块。</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风险监测—国家局核查风险监测</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获取国家药监局对上海市药物临床试验机构的监督检查数据，构建在缺陷条款的风险指标。进行监督检查数据提取，若监督检查数据中包含主要缺陷条款或严重缺陷条款，提示缺陷待整改风险。</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ascii="微软雅黑" w:hAnsi="微软雅黑" w:eastAsia="微软雅黑" w:cs="微软雅黑"/>
                <w:lang w:val="en-US" w:eastAsia="zh-CN"/>
              </w:rPr>
              <w:t>④</w:t>
            </w:r>
            <w:r>
              <w:rPr>
                <w:rFonts w:hint="eastAsia" w:ascii="微软雅黑" w:hAnsi="微软雅黑" w:eastAsia="微软雅黑" w:cs="微软雅黑"/>
                <w:sz w:val="2"/>
                <w:szCs w:val="2"/>
                <w:lang w:val="en-US" w:eastAsia="zh-CN"/>
              </w:rPr>
              <w:t>,,,,</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风险监测-监督检查风险监测</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获取药审中心对药物临床试验机构的监督检查数据，构建监督检查指标风险评估体系。对监督检查数据进行筛查，若发现现场检查结论中存在“不符合”或“待整改后评定”的情况，提示该机构存在整改风险。</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5</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风险监测-综合评定风险监测</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获取药物临床试验机构综合评定数据，对综合评定数据进行筛查。构建综合评定结论指标，在试验专业、试验机构综评结论为不符合，提示试验专业或试验机构体系存在风险。</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6</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风险监测-机构整改风险监测</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依据药物临床试验检查SOP（标准操作规程）的原则及相关法规要求，构建机构整改数据上报时效指标。进行数据提取时，若机构已提交整改计划但未在规定期限内提交整改报告，则提示该机构存在待整改风险。</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7</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风险监测-主要研究者风险监测</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对药物临床试验机构上报的试验项目数据进行实时监测，并构建药物临床试验项目指标。在数据监测过程中，若发现同一研究者同时承担多个药物临床试验项目，则提示机构主要研究者存在潜在风险。</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8</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风险信号定级管理</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SA"/>
              </w:rPr>
              <w:t>对风险信号实施分级管理，用户可根据实际触发的风险预警规则灵活调整风险等级。当风险等级被调至高风险时，系统在发出预警时会以红色预警灯进行醒目提示。</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对风险信号实施分级管理，用户可根据实际触发的风险预警规则动态调整风险等级。当风险信号被调整为中风险级别时，系统在发出预警时会以黄色预警灯进行提示。</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对风险信号实施分级管理，用户可根据实际触发的风险预警规则灵活调整风险等级。当风险等级调至低风险时，系统在发出预警时将以蓝色预警灯进行提示。</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ascii="微软雅黑" w:hAnsi="微软雅黑" w:eastAsia="微软雅黑" w:cs="微软雅黑"/>
                <w:lang w:val="en-US" w:eastAsia="zh-CN"/>
              </w:rPr>
              <w:t>⑨</w:t>
            </w:r>
            <w:r>
              <w:rPr>
                <w:rFonts w:hint="eastAsia" w:ascii="微软雅黑" w:hAnsi="微软雅黑" w:eastAsia="微软雅黑" w:cs="微软雅黑"/>
                <w:sz w:val="2"/>
                <w:szCs w:val="2"/>
                <w:lang w:val="en-US" w:eastAsia="zh-CN"/>
              </w:rPr>
              <w:t>,,,,</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风险监测运行管理</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已构建的风险预警模型实施统一管理，全面监控模型的运行状态、数据处理流程、模型计算规则及输出结果，并提供对模型数据加工和计算过程中异常情况的及时提示，为管理人员配备异常信息及日志查询功能。</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10</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启停管理</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提供对系统中定制的风险监测模型启停的控制功能，可对系统中已发布的风险监测模型进行启动或停止操作。</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启动后，风险预警模型将开始进行数据巡查；</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停止时，风险预警模型将终止数据巡查，且之前产生的风险信号将不再进行提示。</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11</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风险信号管理</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为上海药品核查审评中心提供药物临床试验风险信号结果查询应用，支持多种风险监测模型的监测结果查询，并具备查询结果的排序、导出、筛选等功能。系统还提供对已生成风险预警的快速查看功能，用户可通过预警提示信息进行数据下钻，查阅相关风险的详细数据。</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风险信号排序：用户根据风险信号的紧急程度，对风险信号进行排序，确保监管部门能够优先处理高风险、紧急的信号，提高监管效率。</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风险信号查询：支持按风险信号等级、风险类型、触发规则、机构名称等条件进行筛选。支持将查询结果导出为Excel、PDF等格式。</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12</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风险信号处置管理—自动处置</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针对系统中产生的风险监测预警，依据系统预设的风险指标，结合不同的预警模型，制定相应的数据巡查模式。对于符合风险指标的数据，实现风险信号的自动处理。</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13</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风险信号处置管理—手动处置</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对系统中生成的风险监测信息，提供用户手动处理方式，并对处理记录、处理原因、处理时间等关键信息进行详尽记录。针对已处理的风险预警，提供预警信号追溯功能。</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rPr>
                <w:rFonts w:hint="default"/>
                <w:lang w:val="en-US"/>
              </w:rPr>
            </w:pPr>
            <w:r>
              <w:rPr>
                <w:rFonts w:hint="eastAsia" w:ascii="微软雅黑" w:hAnsi="微软雅黑" w:eastAsia="微软雅黑" w:cs="微软雅黑"/>
                <w:lang w:val="en-US" w:eastAsia="zh-CN"/>
              </w:rPr>
              <w:t>⑭</w:t>
            </w:r>
            <w:r>
              <w:rPr>
                <w:rFonts w:hint="eastAsia" w:ascii="微软雅黑" w:hAnsi="微软雅黑" w:eastAsia="微软雅黑" w:cs="微软雅黑"/>
                <w:sz w:val="2"/>
                <w:szCs w:val="2"/>
                <w:lang w:val="en-US" w:eastAsia="zh-CN"/>
              </w:rPr>
              <w:t>,,,,</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风险信号处置管理—暂时隐藏</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系统生成的风险监测信息可暂时予以隐藏，用户可自行设定隐藏周期。一旦超过设定的隐藏周期，系统将重新提醒相关风险信号。</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15</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风险信号使用-药物临床试验大数据监管平台监管端使用</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对于系统生成的风险信号信息，监管用户在监督检查过程中可实时查看相关机构的风险信号，从而协助监管人员迅速确定本次核查的重点内容。</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16</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风险预警监测（新建）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风险信号使用-药物临床试验大数据监管平台机构端使用</w:t>
            </w:r>
            <w:r>
              <w:rPr>
                <w:rFonts w:hint="eastAsia"/>
                <w:b w:val="0"/>
                <w:bCs w:val="0"/>
                <w:lang w:eastAsia="zh-CN"/>
              </w:rPr>
              <w:t>（</w:t>
            </w:r>
            <w:r>
              <w:rPr>
                <w:rFonts w:hint="eastAsia"/>
                <w:b w:val="0"/>
                <w:bCs w:val="0"/>
                <w:lang w:val="en-US" w:eastAsia="zh-CN"/>
              </w:rPr>
              <w:t>新建</w:t>
            </w:r>
            <w:r>
              <w:rPr>
                <w:rFonts w:hint="eastAsia"/>
                <w:b w:val="0"/>
                <w:bCs w:val="0"/>
                <w:lang w:eastAsia="zh-CN"/>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对于系统生成的风险信号，将同步推送至机构端系统中，用户可查阅风险信号的详细信息，并在机构端进行相应的风险信号处理。</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监管用户则通过监管端系统核实机构用户的处理情况，若确认处理完毕，风险信号将不再提示，从而实现闭环管理；若确认处理未完成，则持续发出预警，并反馈未完成处理的具体原因。</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17</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服务创新（新建）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本市创新药获批情况管理（新建）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系统支持对创新药获批情况的详细记录，包括药品名称、获批时间、药品类型、治疗领域、研发企业等关键信息。提供便捷的数据录入界面，支持用户快速录入和批量导入数据。</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对已录入的数据进行编辑和更新，确保数据的时效性。系统记录每次修改的详细信息，包括修改时间、修改人及修改内容。可查询已维护完成的全国创新药获批信息、上海市创新药获批信息以及获批药品详情，并支持系统导出明细清单。通过系统内置的查询功能，用户能快速检索到所需信息，如特定药品的获批情况及相关企业信息等。用户将查询结果可以通过Excel等格式导出。</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18</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服务创新（新建）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创新药临床试验审评审批试点项目管理（新建）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通过系统新增或批量导入本市创新药临床试验审评审批试点中的试点机构数量、专业组数量、项目启动时间、首个试点项目确认时间、项目启动数量、首例知情同意时间以及首个IND试点项目获批时间等信息。</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对已维护完成的试点项目进行编辑，允许用户修改试点项目的相关信息，包括试点机构数量、专业组数量等关键数据，确保数据的准确性和时效性。系统记录每次修改的详细信息，包括修改时间、修改人及修改内容。为创新药临床试验审评审批试点项目提供便捷的统一检索功能，用户可通过药物名称、项目名称等关键信息，迅速查找试点项目的相关资料，并支持将已查询的结果信息导出。</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19</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机构基本信息（新建）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rPr>
                <w:rFonts w:hint="eastAsia"/>
              </w:rPr>
            </w:pPr>
            <w:r>
              <w:rPr>
                <w:rFonts w:hint="eastAsia"/>
                <w:bCs w:val="0"/>
                <w:lang w:val="en-US" w:eastAsia="zh-CN"/>
              </w:rPr>
              <w:t>机构基本信息模块通过直观的可视化页面，全面展示了机构的名称、地址、联系方式，以及专业组的名称、研究方向、研究人员名单、主要研究者当前所属机构及其承担的试验项目。通过折线图、柱状图、饼图、环形图等多种图表形式展示机构基本信息的各项数据。</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20</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试验项目信息（新建）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rPr>
                <w:rFonts w:hint="eastAsia"/>
              </w:rPr>
            </w:pPr>
            <w:r>
              <w:rPr>
                <w:rFonts w:hint="eastAsia"/>
                <w:bCs w:val="0"/>
                <w:lang w:val="en-US" w:eastAsia="zh-CN"/>
              </w:rPr>
              <w:t>临床试验项目模块详尽展示了当前机构所承担的临床试验项目，涵盖项目名称、试验药物、试验阶段、主要研究者等核心信息。通过折线图、柱状图、饼图、环形图等多种图表形式，机构清晰呈现项目各项数据。</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21</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监督检查信息（新建）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rPr>
                <w:rFonts w:hint="eastAsia"/>
              </w:rPr>
            </w:pPr>
            <w:r>
              <w:rPr>
                <w:rFonts w:hint="eastAsia"/>
                <w:bCs w:val="0"/>
                <w:lang w:val="en-US" w:eastAsia="zh-CN"/>
              </w:rPr>
              <w:t>监督检查管理模块记录了机构历次的监督检查情况，包括检查时间、检查人员、检查结果以及整改时效性等。以统计图表的形式展示具体的检查结果、综合评定结果、涉及的缺陷条款数量及缺陷条款类型分布，提供了对历次监督检查数据的对比分析功能，通过趋势图、对比图等图表形式，可用于监管用户查看机构历次检查重点、整改时效性等信息。</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22</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风险预警信息（新建）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rPr>
                <w:rFonts w:hint="eastAsia"/>
              </w:rPr>
            </w:pPr>
            <w:r>
              <w:rPr>
                <w:rFonts w:hint="eastAsia"/>
                <w:bCs w:val="0"/>
                <w:lang w:val="en-US" w:eastAsia="zh-CN"/>
              </w:rPr>
              <w:t>风险预警模块展示机构当前的风险预警信息和历史预警信息查询，监管人员可以查阅过去的预警记录，分析风险发生的规律和趋势，为未来的监管工作提供参考和依据。通过折线图、柱状图、饼图、环形图等多种图表形式展示机构所存在的风险数量趋势分析、风险项占比等信息。</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23</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指标项管理（新建）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建立机构指标项标准，建立评分标准，根据机构的规模、专业能力、在研项目、监督检查信息、预警信息多维度进行综合考量，确保评估的全面性和客观性。用户可动态维护指标项基础信息。</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1.指标项创建</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系统支持对指标项的创建和编辑，用户可以根据实际情况定义新的指标项，或者对已有的指标项进行修改和完善。</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2.指标项删除</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用户可以对不在纳入机构画像的指标项进行删除。为确保数据的安全性和可追溯性，系统在执行删除操作前会进行二次确认，并记录每次删除操作的详细信息，包括删除时间、删除人及被删除的指标项内容，便于后续审计和追溯。</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3.指标项历史版本管理</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针对已删除的指标项指标项的历史版本管理功能，用户可以随时查阅和恢复被删除的指标项或其历史版本。</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4.指标项权重分配</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系统提供了指标项的权重分配功能。用户可以根据指标项的重要性和影响力，灵活调整其在综合评估中的权重。</w:t>
            </w:r>
          </w:p>
          <w:p>
            <w:pPr>
              <w:pStyle w:val="46"/>
              <w:keepNext/>
              <w:bidi w:val="0"/>
              <w:snapToGrid w:val="0"/>
              <w:ind w:left="0" w:leftChars="0" w:right="0" w:rightChars="0" w:firstLine="0" w:firstLineChars="0"/>
              <w:jc w:val="left"/>
              <w:rPr>
                <w:rFonts w:hint="eastAsia"/>
                <w:bCs w:val="0"/>
                <w:lang w:val="en-US" w:eastAsia="zh-CN"/>
              </w:rPr>
            </w:pPr>
            <w:r>
              <w:rPr>
                <w:rFonts w:hint="eastAsia"/>
                <w:bCs w:val="0"/>
                <w:lang w:val="en-US" w:eastAsia="zh-CN"/>
              </w:rPr>
              <w:t>5.指标项评分管理</w:t>
            </w:r>
          </w:p>
          <w:p>
            <w:pPr>
              <w:pStyle w:val="46"/>
              <w:keepNext/>
              <w:bidi w:val="0"/>
              <w:snapToGrid w:val="0"/>
              <w:ind w:left="0" w:leftChars="0" w:right="0" w:rightChars="0" w:firstLine="0" w:firstLineChars="0"/>
              <w:jc w:val="left"/>
              <w:rPr>
                <w:rFonts w:hint="eastAsia"/>
              </w:rPr>
            </w:pPr>
            <w:r>
              <w:rPr>
                <w:rFonts w:hint="eastAsia"/>
                <w:bCs w:val="0"/>
                <w:lang w:val="en-US" w:eastAsia="zh-CN"/>
              </w:rPr>
              <w:t>系统提供了指标项的评分标准管理功能。用户可以定义每个指标项的评分标准，以及对应的得分范围。</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24</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机构画像数据分析（新建）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根据建立的指标项对机构数据进行深入分析。采用指标项评分模型对机构指标项进行评分。综合考虑各项指标的实际表现与预设标准的匹配程度，确保评分的客观性和准确性。</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通过对各项指标项的评分结果进行汇总和分析，生成机构画像报告。该报告全面展示了机构的综合评估结果，包括得分排名、优势领域、待改进项等关键信息。</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25</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机构画像展示（新建）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根据评分标准展示机构雷达图通过图形的方式直观展示机构在各个评分维度上的表现。在展示时，每个维度对应雷达图的一个轴，机构的得分则体现在该轴上距离中心点的远近。通过连接各轴上的得分点，形成一个多边形，该多边形的形状和面积即可反映机构的整体表现及在各维度上的优劣。</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展示界面上，用户可通过交互操作，如缩放、旋转雷达图，以便更细致地观察和分析机构在不同维度上的表现。此外，系统还提供机构画像对比功能，用户可以选择多个机构进行雷达图对比，直观展现各机构在综合评估中的优势和差距，为监管决策提供有力支持。</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26</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机构画像对比（新建）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可以将不同机构的雷达图进行对比，以便更清晰地识别各机构之间的差异和优势。通过对比不同机构的雷达图，可以直观地发现哪些机构在特定维度上表现卓越，哪些机构存在不足，并生成详细的对比差异项说明。</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27</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机构档案、机构画像（新建）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统一信息检索（新建）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统一的信息检索服务，实现对主体机构的检索功能，展示机构档案信息、机构画像信息。通过关键词、机构名称或相关属性等信息进行快速检索，找到对应的机构列表。支持对检索结果进行筛选和排序，用户可根据实际需求选择特定的筛选条件，如机构类型、专业组方向等，对检索结果进行精细化处理。</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28</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bCs w:val="0"/>
              </w:rPr>
            </w:pPr>
            <w:r>
              <w:rPr>
                <w:rFonts w:hint="eastAsia" w:ascii="宋体" w:hAnsi="宋体" w:eastAsia="宋体" w:cs="宋体"/>
                <w:b w:val="0"/>
                <w:bCs/>
                <w:i w:val="0"/>
                <w:iCs w:val="0"/>
                <w:color w:val="000000"/>
                <w:kern w:val="2"/>
                <w:sz w:val="21"/>
                <w:szCs w:val="21"/>
                <w:u w:val="none"/>
                <w:lang w:val="en-US" w:eastAsia="zh-CN" w:bidi="ar-SA"/>
              </w:rPr>
              <w:t>日常监督检查计划管理（新建</w:t>
            </w:r>
            <w:r>
              <w:rPr>
                <w:rFonts w:hint="eastAsia" w:ascii="等线" w:hAnsi="等线" w:eastAsia="等线" w:cs="等线"/>
                <w:b w:val="0"/>
                <w:bCs w:val="0"/>
                <w:i w:val="0"/>
                <w:iCs w:val="0"/>
                <w:color w:val="000000"/>
                <w:kern w:val="0"/>
                <w:sz w:val="22"/>
                <w:szCs w:val="22"/>
                <w:u w:val="none"/>
                <w:lang w:val="en-US" w:eastAsia="zh-CN" w:bidi="ar"/>
              </w:rPr>
              <w:t>）</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提供用户创建日常监管计划的功能，需填写检查类型、检查日期、检查部门等相关信息。创建完成后，监管计划将自动推送至综合业务平台，由业务部门统一进行派发。</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用户可查看监管计划的执行情况。在综合业务平台中，未派发的监管计划允许进行删除和修改操作，而已派发的检查计划则不支持删除和修改。</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用户可以根据实际需求调整监管计划的优先级，确保重要任务得到及时处理。</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支持对监管计划的执行进度进行跟踪，通过图形化界面展示计划的完成情况，便于用户对监管工作进行全面把控。</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提供监管计划的统计分析功能，帮助用户了解监管工作的整体情况。</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29</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bCs w:val="0"/>
              </w:rPr>
            </w:pPr>
            <w:r>
              <w:rPr>
                <w:rFonts w:hint="eastAsia" w:ascii="宋体" w:hAnsi="宋体" w:eastAsia="宋体" w:cs="宋体"/>
                <w:b w:val="0"/>
                <w:bCs/>
                <w:i w:val="0"/>
                <w:iCs w:val="0"/>
                <w:color w:val="000000"/>
                <w:kern w:val="2"/>
                <w:sz w:val="21"/>
                <w:szCs w:val="21"/>
                <w:u w:val="none"/>
                <w:lang w:val="en-US" w:eastAsia="zh-CN" w:bidi="ar-SA"/>
              </w:rPr>
              <w:t>专项监督检查计划管理（新建）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用户可进行专项的发布，需要填写专项名称、专项时间、专项要求、专项条款、纳入专项检查的机构。可对专项检查计划进行修改、取消。</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在专项检查计划管理中，用户发布的专项检查计划将被系统详细记录，用户可以实时查看计划的执行状态、检查进度以及检查人员等关键信息。</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对专项检查计划执行情况的统计分析。用户可以通过系统内置的统计分析模块，快速生成各类统计报表，如专项检查计划完成情况统计表、检查缺陷分布图等。</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专项检查计划执行过程中，若遇到特殊情况或需要调整计划内容，用户可以通过系统对专项检查计划进行修改或取消操作。系统将对修改或取消的操作进行详细记录，确保数据的完整性和可追溯性。同时，系统还提供预警提示功能，当专项检查计划即将到期或已超期未完成时，系统将自动发出预警提示，提醒用户及时处理。</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30</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对接综合业务平台检查计划（新建）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系统接收由综合业务平台下发的日常监督计划、专项检查计划等。接收到的检查计划将自动整合至系统内，并根据预设的规则和流程进行分配与调度。</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支持对检查计划的详细信息进行查看和管理，确保检查工作的透明度和可追溯性。</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检查计划完成后，系统将自动汇总检查结果和相关数据，生成检查报告，并将报告推送回综合业务平台，实现信息的闭环传递和共享。</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31</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制定检查方案（新建）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用户可创建检查方案，填写检查类型、检查机构名称、检查地址、核查要点等信息。</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用户可编辑已创建的检查方案，对检查类型、检查机构名称、检查地址、核查要点等关键信息进行修改和完善，确保检查方案的准确性和适用性。系统记录每次修改的详细信息，包括修改时间、修改人及修改内容。</w:t>
            </w:r>
            <w:r>
              <w:rPr>
                <w:rFonts w:hint="eastAsia" w:ascii="宋体" w:hAnsi="宋体" w:eastAsia="宋体" w:cs="宋体"/>
                <w:b w:val="0"/>
                <w:bCs/>
                <w:i w:val="0"/>
                <w:iCs w:val="0"/>
                <w:color w:val="000000"/>
                <w:kern w:val="2"/>
                <w:sz w:val="21"/>
                <w:szCs w:val="21"/>
                <w:u w:val="none"/>
                <w:lang w:val="en-US" w:eastAsia="zh-CN" w:bidi="ar-SA"/>
              </w:rPr>
              <w:br w:type="textWrapping"/>
            </w:r>
            <w:r>
              <w:rPr>
                <w:rFonts w:hint="eastAsia" w:ascii="宋体" w:hAnsi="宋体" w:eastAsia="宋体" w:cs="宋体"/>
                <w:b w:val="0"/>
                <w:bCs/>
                <w:i w:val="0"/>
                <w:iCs w:val="0"/>
                <w:color w:val="000000"/>
                <w:kern w:val="2"/>
                <w:sz w:val="21"/>
                <w:szCs w:val="21"/>
                <w:u w:val="none"/>
                <w:lang w:val="en-US" w:eastAsia="zh-CN" w:bidi="ar-SA"/>
              </w:rPr>
              <w:t>系统自动对检查方案进行状态管理，检查方案为“待检查”、“已检查”、或“已取消”等状态，以清晰反映检查方案的当前进度。</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32</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bCs w:val="0"/>
              </w:rPr>
            </w:pPr>
            <w:r>
              <w:rPr>
                <w:rFonts w:hint="eastAsia" w:ascii="宋体" w:hAnsi="宋体" w:eastAsia="宋体" w:cs="宋体"/>
                <w:b w:val="0"/>
                <w:bCs/>
                <w:i w:val="0"/>
                <w:iCs w:val="0"/>
                <w:color w:val="000000"/>
                <w:kern w:val="2"/>
                <w:sz w:val="21"/>
                <w:szCs w:val="21"/>
                <w:u w:val="none"/>
                <w:lang w:val="en-US" w:eastAsia="zh-CN" w:bidi="ar-SA"/>
              </w:rPr>
              <w:t>检查方案附近文书生成（新建）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用户创建检查方案后，系统可同步生成核查通知单、无利益冲突声明等附件文书。</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核查通知单详细列出了检查的时间、地点、核查要点以及检查人员名单。无利益冲突声明则由相关人员签署，承诺在检查过程中保持客观公正，不存在任何利益冲突。</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33</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对接市局检查员系统（新建）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系统通过接口与市局检查员系统进行数据交互，确保检查员信息的实时同步和准确性。用户在制定检查计划、检查方案。可直接从系统内选择并分配相应的检查员。</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34</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检查信息录入（新建）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系统提供电子表单，用户在录入检查信息时，需选择相应的试验项目、填写检查情况说明，并记录现场检查结果等信息，以便对现场检查情况进行数据结构化归档。系统还支持同步生成检查报告和现场检查意见并可下载为PDF或其他格式，便于文件的存档和分享。</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35</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检查信息审核（新建）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提供检查信息、检查报告审核功能，可查看检查人员的现场检查信息、检查报告，审核通过的检查信息无法修改。</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审核人员可退回并编辑退回意见至检查人员处，检查人员可重新核实修改。</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审核通过后，系统将自动更新检查信息的状态，并锁定相关数据，防止后续修改，确保数据的真实性和完整性。系统记录每次审核的详细信息，包括审核时间、审核人及审核意见。</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36</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机构整改提交（新建）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系统支持机构在线提交整改报告、整改计划及整改附件等详细信息，并在系统中确认整改完成状态及完成时间。整改报告提交后，系统将自动关联至相应的检查计划、检查方案及检查信息，方便监管人员跟踪和审核整改情况。</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37</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监管整改确认（新建）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监管人员可在线查看机构提交的整改报告、整改计划及整改附件，对整改情况进行审核。</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整改不符合要求，监管人员可退回整改报告，并附上退回意见，要求机构重新整改。机构需根据退回意见对整改内容进行修改和完善，并重新提交整改报告。监管人员将持续跟踪机构的整改进度，直至整改符合要求。</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系统记录整改的详细信息，整改完成状态、审核状态等，便于后续审计和追溯。</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38</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综合评定信息录入（新建）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用户可录入综合评定信息，包括综合评定时间、评定人员、地点及综合评定结果等详细内容，并对这些综评信息进行数据结构化归档。同时，系统支持同步综评定报告并可下载为PDF或其他格式，便于文件的存档和分享。</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39</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质量自查管理（新建）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检查人员完成综合评定信息录入后，可通过系统对本次现场检查进行质量自查，确保检查过程的合规性和质量。质量自查内容包括但不限于检查流程的执行情况、检查标准的遵循程度、检查记录的完整性和准确性等方面。系统提供质量自查模板，检查人员可根据模板逐项进行自查，并记录自查结果。质量自查结果提交检查人员完成质量自查后，需将自查结果提交至系统。系统将对自查结果、本次检查中产生的文件进行自动归档，并与相应的检查计划、检查方案及综合评定信息进行关联。</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40</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综合评定报告审核（新建）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在综合评定报告审核阶段，系统审核功能。审核人员可在线查看综合评定报告及相关附件，对报告内容的完整性、准确性以及合规性进行全面审核。审核过程中，审核人员可对综合评定信息进行批注、修改意见录入等。将审核意见直接反馈至检查人员进行修改和完善。</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系统记录每次审核的详细信息，包括审核时间、审核人、审核意见及修改反馈。</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审核通过后，系统将自动更新本次检查的状态，并锁定相关数据，所有用户均无法修改相关检查数据。</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41</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药物非临床试验机构管理（新建）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检查信息管理（新建）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提供对用户在首次检查、日常监督检查、专项检查以及有因检查过程中产生的各类检查信息进行集中管理。用户可查看、修改和删除包括药物非临床机构检查信息、综合评定信息及检查文书在内的相关数据。此管理功能与审核功能紧密关联，审核通过的检查报告和综合评定报告将无法进行修改。</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系统支持按照不同的检查类型、时间范围、机构名称等条件对检查信息进行筛选和排序，以便用户快速定位到所需信息。支持导出功能，用户可将筛选后的检查信息导出为Excel、PDF等格式，便于数据的进一步分析和利用。</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在检查信息管理过程中，系统会对所有操作进行详细记录，包括操作时间、操作人、操作内容等。</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42</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对接市药监局检查码管理系统（新建）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药物临床试验大数据监管平台接入检查码（新建）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通过嵌入药械化现场监管检查码管理提供的检查码申码和亮码页面实现检查码相关功能的接入，在完成检查信息录入后可以将检查结果推送至药械化现场监管检查码管理中。</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 xml:space="preserve">1.嵌入单部门申码页面 </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通过嵌入检查码管理系统的单部门申码页面实现在检查前进行检查码申请，申请成功后可以获取检查码的结果信息。</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2.嵌入单部门检查码亮码页面</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通过嵌入检查码管理系统的单部门亮码页面实现在检查时进行检查码的激活和亮码。</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3.</w:t>
            </w:r>
            <w:r>
              <w:rPr>
                <w:rFonts w:hint="eastAsia" w:cs="宋体"/>
                <w:b w:val="0"/>
                <w:bCs/>
                <w:i w:val="0"/>
                <w:iCs w:val="0"/>
                <w:color w:val="000000"/>
                <w:kern w:val="2"/>
                <w:sz w:val="21"/>
                <w:szCs w:val="21"/>
                <w:u w:val="none"/>
                <w:lang w:val="en-US" w:eastAsia="zh-CN" w:bidi="ar"/>
              </w:rPr>
              <w:t xml:space="preserve"> </w:t>
            </w:r>
            <w:r>
              <w:rPr>
                <w:rFonts w:hint="eastAsia" w:ascii="宋体" w:hAnsi="宋体" w:eastAsia="宋体" w:cs="宋体"/>
                <w:b w:val="0"/>
                <w:bCs/>
                <w:i w:val="0"/>
                <w:iCs w:val="0"/>
                <w:color w:val="000000"/>
                <w:kern w:val="2"/>
                <w:sz w:val="21"/>
                <w:szCs w:val="21"/>
                <w:u w:val="none"/>
                <w:lang w:val="en-US" w:eastAsia="zh-CN" w:bidi="ar"/>
              </w:rPr>
              <w:t>嵌入</w:t>
            </w:r>
            <w:r>
              <w:rPr>
                <w:rFonts w:hint="eastAsia" w:cs="宋体"/>
                <w:b w:val="0"/>
                <w:bCs/>
                <w:i w:val="0"/>
                <w:iCs w:val="0"/>
                <w:color w:val="000000"/>
                <w:kern w:val="2"/>
                <w:sz w:val="21"/>
                <w:szCs w:val="21"/>
                <w:u w:val="none"/>
                <w:lang w:val="en-US" w:eastAsia="zh-CN" w:bidi="ar"/>
              </w:rPr>
              <w:t>LH</w:t>
            </w:r>
            <w:r>
              <w:rPr>
                <w:rFonts w:hint="eastAsia" w:ascii="宋体" w:hAnsi="宋体" w:eastAsia="宋体" w:cs="宋体"/>
                <w:b w:val="0"/>
                <w:bCs/>
                <w:i w:val="0"/>
                <w:iCs w:val="0"/>
                <w:color w:val="000000"/>
                <w:kern w:val="2"/>
                <w:sz w:val="21"/>
                <w:szCs w:val="21"/>
                <w:u w:val="none"/>
                <w:lang w:val="en-US" w:eastAsia="zh-CN" w:bidi="ar"/>
              </w:rPr>
              <w:t>联合检查码亮码页面</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通过嵌入检查码管理系统的联合亮码页面实现在检查时进行检查码的激活和亮码。</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4.推送检查结果</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通过调用检查码管理系统的接收检查结果接口推送检查结果。</w:t>
            </w:r>
          </w:p>
        </w:tc>
      </w:tr>
      <w:tr>
        <w:tblPrEx>
          <w:tblCellMar>
            <w:top w:w="0" w:type="dxa"/>
            <w:left w:w="108" w:type="dxa"/>
            <w:bottom w:w="0" w:type="dxa"/>
            <w:right w:w="108" w:type="dxa"/>
          </w:tblCellMar>
        </w:tblPrEx>
        <w:trPr>
          <w:trHeight w:val="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center"/>
            </w:pPr>
            <w:r>
              <w:rPr>
                <w:rFonts w:hint="eastAsia"/>
                <w:lang w:val="en-US" w:eastAsia="zh-CN"/>
              </w:rPr>
              <w:t>43</w:t>
            </w:r>
          </w:p>
        </w:tc>
        <w:tc>
          <w:tcPr>
            <w:tcW w:w="1250" w:type="dxa"/>
            <w:tcBorders>
              <w:top w:val="single" w:color="auto" w:sz="4" w:space="0"/>
              <w:left w:val="nil"/>
              <w:bottom w:val="single" w:color="auto" w:sz="4" w:space="0"/>
              <w:right w:val="single" w:color="auto" w:sz="4" w:space="0"/>
            </w:tcBorders>
            <w:shd w:val="clear" w:color="auto" w:fill="FFFFFF"/>
            <w:vAlign w:val="center"/>
          </w:tcPr>
          <w:p>
            <w:pPr>
              <w:pStyle w:val="46"/>
              <w:keepNext/>
              <w:bidi w:val="0"/>
              <w:snapToGrid w:val="0"/>
              <w:ind w:left="0" w:leftChars="0" w:right="0" w:rightChars="0" w:firstLine="0" w:firstLineChars="0"/>
              <w:jc w:val="left"/>
            </w:pPr>
            <w:r>
              <w:rPr>
                <w:rFonts w:hint="eastAsia"/>
                <w:lang w:val="en-US" w:eastAsia="zh-CN"/>
              </w:rPr>
              <w:t>对接市药监局检查码管理系统（新建）</w:t>
            </w:r>
          </w:p>
        </w:tc>
        <w:tc>
          <w:tcPr>
            <w:tcW w:w="176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ind w:right="-58" w:rightChars="-24" w:firstLine="0" w:firstLineChars="0"/>
              <w:jc w:val="both"/>
              <w:textAlignment w:val="center"/>
              <w:rPr>
                <w:rFonts w:hint="eastAsia"/>
                <w:sz w:val="21"/>
                <w:szCs w:val="21"/>
                <w:u w:val="none"/>
              </w:rPr>
            </w:pPr>
            <w:r>
              <w:rPr>
                <w:rFonts w:hint="eastAsia" w:ascii="宋体" w:hAnsi="宋体" w:eastAsia="宋体" w:cs="宋体"/>
                <w:b w:val="0"/>
                <w:bCs/>
                <w:i w:val="0"/>
                <w:iCs w:val="0"/>
                <w:color w:val="000000"/>
                <w:kern w:val="2"/>
                <w:sz w:val="21"/>
                <w:szCs w:val="21"/>
                <w:u w:val="none"/>
                <w:lang w:val="en-US" w:eastAsia="zh-CN" w:bidi="ar-SA"/>
              </w:rPr>
              <w:t>检查码统计分析（新建）</w:t>
            </w:r>
          </w:p>
        </w:tc>
        <w:tc>
          <w:tcPr>
            <w:tcW w:w="6030" w:type="dxa"/>
            <w:tcBorders>
              <w:top w:val="single" w:color="auto" w:sz="4" w:space="0"/>
              <w:left w:val="nil"/>
              <w:bottom w:val="single" w:color="auto" w:sz="4" w:space="0"/>
              <w:right w:val="single" w:color="auto" w:sz="4" w:space="0"/>
            </w:tcBorders>
            <w:shd w:val="clear" w:color="auto" w:fill="FFFFFF"/>
            <w:vAlign w:val="center"/>
          </w:tcPr>
          <w:p>
            <w:pPr>
              <w:pStyle w:val="46"/>
              <w:keepNext/>
              <w:keepLines w:val="0"/>
              <w:widowControl/>
              <w:suppressLineNumbers w:val="0"/>
              <w:snapToGrid w:val="0"/>
              <w:ind w:right="0" w:rightChars="0" w:firstLine="0" w:firstLineChars="0"/>
              <w:jc w:val="left"/>
              <w:textAlignment w:val="center"/>
              <w:rPr>
                <w:rFonts w:hint="eastAsia"/>
              </w:rPr>
            </w:pPr>
            <w:r>
              <w:rPr>
                <w:rFonts w:hint="eastAsia" w:ascii="宋体" w:hAnsi="宋体" w:eastAsia="宋体" w:cs="宋体"/>
                <w:b w:val="0"/>
                <w:bCs/>
                <w:i w:val="0"/>
                <w:iCs w:val="0"/>
                <w:color w:val="000000"/>
                <w:kern w:val="2"/>
                <w:sz w:val="21"/>
                <w:szCs w:val="21"/>
                <w:u w:val="none"/>
                <w:lang w:val="en-US" w:eastAsia="zh-CN" w:bidi="ar"/>
              </w:rPr>
              <w:t>对检查码的申码情况进行统计，包括申码数量、企业数量、激活数量、亮码数量、注销数量、作废数量、检查次数、检查企业数量、申码检查次数、未申码检查次数、问题发现率等统计。</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1.检查码申请情况统计：根据用户输入的时间范围统计一段时间内的整体申码情况统计。包含码数量、企业数量、激活数量、亮码数量、注销数量、作废数量、检查次数、检查企业数量申码检查次数、未申码检查次数等。并生成统计图表。</w:t>
            </w:r>
            <w:r>
              <w:rPr>
                <w:rFonts w:hint="eastAsia" w:ascii="宋体" w:hAnsi="宋体" w:eastAsia="宋体" w:cs="宋体"/>
                <w:b w:val="0"/>
                <w:bCs/>
                <w:i w:val="0"/>
                <w:iCs w:val="0"/>
                <w:color w:val="000000"/>
                <w:kern w:val="2"/>
                <w:sz w:val="21"/>
                <w:szCs w:val="21"/>
                <w:u w:val="none"/>
                <w:lang w:val="en-US" w:eastAsia="zh-CN" w:bidi="ar"/>
              </w:rPr>
              <w:br w:type="textWrapping"/>
            </w:r>
            <w:r>
              <w:rPr>
                <w:rFonts w:hint="eastAsia" w:ascii="宋体" w:hAnsi="宋体" w:eastAsia="宋体" w:cs="宋体"/>
                <w:b w:val="0"/>
                <w:bCs/>
                <w:i w:val="0"/>
                <w:iCs w:val="0"/>
                <w:color w:val="000000"/>
                <w:kern w:val="2"/>
                <w:sz w:val="21"/>
                <w:szCs w:val="21"/>
                <w:u w:val="none"/>
                <w:lang w:val="en-US" w:eastAsia="zh-CN" w:bidi="ar"/>
              </w:rPr>
              <w:t>2.对检查码问题发现率进行统计：根据用户输入的时间范围统计一段时间内的问题发现率情况。并生成统计图表。</w:t>
            </w:r>
          </w:p>
        </w:tc>
      </w:tr>
    </w:tbl>
    <w:p>
      <w:pPr>
        <w:pStyle w:val="2"/>
        <w:rPr>
          <w:rFonts w:hint="eastAsia" w:ascii="黑体" w:hAnsi="黑体" w:eastAsia="黑体" w:cs="黑体"/>
          <w:sz w:val="32"/>
          <w:szCs w:val="32"/>
        </w:rPr>
      </w:pPr>
      <w:bookmarkStart w:id="19" w:name="_Toc63785502"/>
      <w:r>
        <w:rPr>
          <w:rFonts w:hint="eastAsia" w:ascii="黑体" w:hAnsi="黑体" w:eastAsia="黑体" w:cs="黑体"/>
          <w:sz w:val="32"/>
          <w:szCs w:val="32"/>
        </w:rPr>
        <w:t>电子政务云资源需求</w:t>
      </w:r>
      <w:bookmarkEnd w:id="19"/>
    </w:p>
    <w:p>
      <w:pPr>
        <w:rPr>
          <w:rFonts w:hint="default" w:eastAsia="宋体"/>
          <w:b/>
          <w:lang w:val="en-US" w:eastAsia="zh-CN"/>
        </w:rPr>
      </w:pPr>
      <w:r>
        <w:rPr>
          <w:rFonts w:hint="eastAsia"/>
          <w:b w:val="0"/>
          <w:bCs/>
          <w:lang w:val="en-US" w:eastAsia="zh-CN"/>
        </w:rPr>
        <w:t>本项目为升级改造项目，直接延用现有的政务云资源，无需再额外申请。</w:t>
      </w:r>
    </w:p>
    <w:p>
      <w:pPr>
        <w:pStyle w:val="2"/>
        <w:rPr>
          <w:rFonts w:hint="eastAsia" w:ascii="黑体" w:hAnsi="黑体" w:eastAsia="黑体" w:cs="黑体"/>
          <w:sz w:val="32"/>
          <w:szCs w:val="32"/>
        </w:rPr>
      </w:pPr>
      <w:bookmarkStart w:id="20" w:name="_Toc63785503"/>
      <w:r>
        <w:rPr>
          <w:rFonts w:hint="eastAsia" w:ascii="黑体" w:hAnsi="黑体" w:eastAsia="黑体" w:cs="黑体"/>
          <w:sz w:val="32"/>
          <w:szCs w:val="32"/>
        </w:rPr>
        <w:t>其他工作要求</w:t>
      </w:r>
    </w:p>
    <w:p>
      <w:pPr>
        <w:keepNext/>
        <w:keepLines/>
        <w:numPr>
          <w:ilvl w:val="1"/>
          <w:numId w:val="4"/>
        </w:numPr>
        <w:tabs>
          <w:tab w:val="left" w:pos="360"/>
        </w:tabs>
        <w:spacing w:before="120" w:line="240" w:lineRule="auto"/>
        <w:ind w:left="0" w:firstLine="0" w:firstLineChars="0"/>
        <w:outlineLvl w:val="1"/>
        <w:rPr>
          <w:rFonts w:cs="宋体"/>
          <w:b/>
          <w:vanish/>
          <w:color w:val="000000"/>
          <w:sz w:val="28"/>
          <w:szCs w:val="20"/>
        </w:rPr>
      </w:pPr>
    </w:p>
    <w:p>
      <w:pPr>
        <w:pStyle w:val="3"/>
        <w:ind w:left="1200" w:leftChars="0" w:firstLineChars="0"/>
        <w:rPr>
          <w:rFonts w:cs="宋体"/>
        </w:rPr>
      </w:pPr>
      <w:r>
        <w:rPr>
          <w:rFonts w:hint="eastAsia" w:cs="宋体"/>
        </w:rPr>
        <w:t>售后服务要求</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本项目从系统验收通过之日起1年内提供7*24小时免费技术支持和售后服务，1年后进入有偿维护期。</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rPr>
          <w:rFonts w:cs="宋体"/>
        </w:rPr>
      </w:pPr>
      <w:r>
        <w:rPr>
          <w:rFonts w:hint="eastAsia" w:cs="宋体"/>
        </w:rPr>
        <w:t>在质量保证期内，供应商负责信息系统的运行维护工作，确保信息系统安全、稳定、可靠地运行。本项目涉及的运行维护工作范围为：日常监控巡检、系统扩容、应急演练与应急响应、安全扫描与加固、配置实施及管理、节假日保障、故障处理与响应。</w:t>
      </w:r>
    </w:p>
    <w:p>
      <w:pPr>
        <w:rPr>
          <w:rFonts w:cs="宋体"/>
          <w:szCs w:val="21"/>
        </w:rPr>
      </w:pPr>
      <w:r>
        <w:rPr>
          <w:rFonts w:hint="eastAsia" w:cs="宋体"/>
        </w:rPr>
        <w:t>在质量保证期内，</w:t>
      </w:r>
      <w:r>
        <w:rPr>
          <w:rFonts w:hint="eastAsia" w:cs="宋体"/>
          <w:szCs w:val="21"/>
        </w:rPr>
        <w:t>供应商应配合采购人做好系统运行情况健康体征监测和数据归集工作。</w:t>
      </w:r>
    </w:p>
    <w:p>
      <w:pPr>
        <w:pStyle w:val="3"/>
        <w:ind w:left="1200" w:leftChars="0" w:firstLineChars="0"/>
        <w:rPr>
          <w:rFonts w:cs="宋体"/>
        </w:rPr>
      </w:pPr>
      <w:r>
        <w:rPr>
          <w:rFonts w:hint="eastAsia" w:cs="宋体"/>
        </w:rPr>
        <w:t>应急响应要求</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供应商对系统故障应能够实时响应，若系统发生故障，接到通知后30分钟之内响应，专业工程师2小时内到达现场。特殊故障与客户沟通协商后，按照协商的方式制定解决方案并进行处理。</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具体故障级别及对应的应急响应要求如下：</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一级故障：在1小时内确诊，总故障解决时间不超过4小时。</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二级故障：在2小时内确诊，并在4小时内由专家到达现场确诊并解决，总故障解决时间不超过8小时；</w:t>
      </w:r>
    </w:p>
    <w:p>
      <w:pPr>
        <w:pStyle w:val="48"/>
        <w:snapToGrid w:val="0"/>
        <w:spacing w:line="360" w:lineRule="auto"/>
        <w:ind w:firstLine="480"/>
        <w:rPr>
          <w:rFonts w:ascii="宋体" w:hAnsi="宋体" w:cs="宋体"/>
          <w:sz w:val="24"/>
          <w:szCs w:val="24"/>
        </w:rPr>
      </w:pPr>
      <w:r>
        <w:rPr>
          <w:rFonts w:hint="eastAsia" w:ascii="宋体" w:hAnsi="宋体" w:cs="宋体"/>
          <w:sz w:val="24"/>
          <w:szCs w:val="24"/>
        </w:rPr>
        <w:t>三、四级故障：在4小时内确诊故障，总故障解决时间不超过16小时。</w:t>
      </w:r>
    </w:p>
    <w:p>
      <w:pPr>
        <w:pStyle w:val="3"/>
        <w:ind w:left="1200" w:leftChars="0" w:firstLineChars="0"/>
        <w:rPr>
          <w:rFonts w:cs="宋体"/>
        </w:rPr>
      </w:pPr>
      <w:r>
        <w:rPr>
          <w:rFonts w:hint="eastAsia" w:cs="宋体"/>
        </w:rPr>
        <w:t>培训要求</w:t>
      </w:r>
    </w:p>
    <w:p>
      <w:pPr>
        <w:rPr>
          <w:rFonts w:cs="宋体"/>
        </w:rPr>
      </w:pPr>
      <w:r>
        <w:rPr>
          <w:rFonts w:hint="eastAsia" w:cs="宋体"/>
        </w:rPr>
        <w:t>对系统使用单位提供业务操作培训，应提供详细培训方案。</w:t>
      </w:r>
    </w:p>
    <w:p>
      <w:pPr>
        <w:rPr>
          <w:rFonts w:cs="宋体"/>
        </w:rPr>
      </w:pPr>
      <w:r>
        <w:rPr>
          <w:rFonts w:hint="eastAsia" w:cs="宋体"/>
        </w:rPr>
        <w:t>(1)在12个月的质量保证期内，提供2次与项目相关的必要培训。</w:t>
      </w:r>
    </w:p>
    <w:p>
      <w:pPr>
        <w:rPr>
          <w:rFonts w:cs="宋体"/>
        </w:rPr>
      </w:pPr>
      <w:r>
        <w:rPr>
          <w:rFonts w:hint="eastAsia" w:cs="宋体"/>
        </w:rPr>
        <w:t>(2)供应商需要开展分层次的人员培训工作，每次培训后应对参加培训人员进行测试，评估培训成果。培训应具有培训教材、培训环境和高水平的培训讲师。</w:t>
      </w:r>
    </w:p>
    <w:p>
      <w:pPr>
        <w:rPr>
          <w:rFonts w:cs="宋体"/>
        </w:rPr>
      </w:pPr>
      <w:r>
        <w:rPr>
          <w:rFonts w:hint="eastAsia" w:cs="宋体"/>
        </w:rPr>
        <w:t>(3)供应商应提供一般用户的基础操作培训和部门信息管理员的日常应用维护的培训，确保用户对象能够掌握对应的操作技能。</w:t>
      </w:r>
    </w:p>
    <w:p>
      <w:pPr>
        <w:pStyle w:val="3"/>
        <w:ind w:left="1200" w:leftChars="0" w:firstLineChars="0"/>
        <w:rPr>
          <w:rFonts w:cs="宋体"/>
        </w:rPr>
      </w:pPr>
      <w:r>
        <w:rPr>
          <w:rFonts w:hint="eastAsia" w:cs="宋体"/>
          <w:lang w:val="en-US" w:eastAsia="zh-CN"/>
        </w:rPr>
        <w:t>验收要求</w:t>
      </w:r>
    </w:p>
    <w:p>
      <w:pPr>
        <w:rPr>
          <w:rFonts w:cs="宋体"/>
          <w:szCs w:val="21"/>
        </w:rPr>
      </w:pPr>
      <w:r>
        <w:rPr>
          <w:rFonts w:hint="eastAsia" w:cs="宋体"/>
          <w:szCs w:val="21"/>
        </w:rPr>
        <w:t>本项目按下述方式开展验收。</w:t>
      </w:r>
    </w:p>
    <w:p>
      <w:pPr>
        <w:rPr>
          <w:rFonts w:cs="宋体"/>
          <w:szCs w:val="21"/>
        </w:rPr>
      </w:pPr>
      <w:r>
        <w:rPr>
          <w:rFonts w:hint="eastAsia" w:cs="宋体"/>
          <w:szCs w:val="21"/>
        </w:rPr>
        <w:t>（1）验收分初验和终验。</w:t>
      </w:r>
    </w:p>
    <w:p>
      <w:pPr>
        <w:rPr>
          <w:rFonts w:cs="宋体"/>
          <w:szCs w:val="21"/>
        </w:rPr>
      </w:pPr>
      <w:r>
        <w:rPr>
          <w:rFonts w:hint="eastAsia" w:cs="宋体"/>
          <w:szCs w:val="21"/>
        </w:rPr>
        <w:t>（2）初验前，供应商须完成软件开发、软硬件安装和信息系统的调试等，并对本项目进行功能和运行检测，确保所有信息系统功能模块能够正常运行且已达到本项目约定的各类标准要求。供应商应以书面形式向采购人递交初验通知书。采购人应当在接到通知后的5个工作日内确定初验的具体日期，由双方按照本项目的约定完成本项目的初验。采购人有权委托第三方检测机构进行验收，对此供应商应当配合。</w:t>
      </w:r>
    </w:p>
    <w:p>
      <w:pPr>
        <w:rPr>
          <w:rFonts w:cs="宋体"/>
          <w:szCs w:val="21"/>
        </w:rPr>
      </w:pPr>
      <w:r>
        <w:rPr>
          <w:rFonts w:hint="eastAsia" w:cs="宋体"/>
          <w:szCs w:val="21"/>
        </w:rPr>
        <w:t>（3）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采购人应向供应商出具书面报告，陈述需要改进的缺陷。供应商应立即严格依照采购人的书面报告中的要求改进缺陷，并再次进行初验。</w:t>
      </w:r>
    </w:p>
    <w:p>
      <w:pPr>
        <w:rPr>
          <w:rFonts w:cs="宋体"/>
          <w:szCs w:val="21"/>
        </w:rPr>
      </w:pPr>
      <w:r>
        <w:rPr>
          <w:rFonts w:hint="eastAsia" w:cs="宋体"/>
          <w:szCs w:val="21"/>
        </w:rPr>
        <w:t>（4）自初验通过之日起，采购人享有供应商免费提供的30天的信息系统试运行现场驻场服务期。该期间内，供应商应当按照采购人的要求提供现场技术支持服务，解决信息系统试运行期间可能出现的各类问题，或进一步提高与完善信息系统运行水平。</w:t>
      </w:r>
    </w:p>
    <w:p>
      <w:pPr>
        <w:rPr>
          <w:rFonts w:cs="宋体"/>
          <w:szCs w:val="21"/>
        </w:rPr>
      </w:pPr>
      <w:r>
        <w:rPr>
          <w:rFonts w:hint="eastAsia" w:cs="宋体"/>
          <w:szCs w:val="21"/>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的15     个工作日内发起组织专家验收会。</w:t>
      </w:r>
    </w:p>
    <w:p>
      <w:pPr>
        <w:rPr>
          <w:rFonts w:cs="宋体"/>
          <w:szCs w:val="21"/>
        </w:rPr>
      </w:pPr>
      <w:r>
        <w:rPr>
          <w:rFonts w:hint="eastAsia" w:cs="宋体"/>
          <w:szCs w:val="21"/>
        </w:rPr>
        <w:t>（6）如果属于供应商原因致使本项目未能通过终验，供应商应当排除缺陷，直至本项目完全符合验收标准，由上述情形而产生的相关费用应由供应商自行承担。</w:t>
      </w:r>
    </w:p>
    <w:p>
      <w:pPr>
        <w:rPr>
          <w:rFonts w:cs="宋体"/>
          <w:szCs w:val="21"/>
        </w:rPr>
      </w:pPr>
      <w:r>
        <w:rPr>
          <w:rFonts w:hint="eastAsia" w:cs="宋体"/>
          <w:szCs w:val="21"/>
        </w:rPr>
        <w:t>（7）如果由于采购人原因导致本项目在终验通过前出现故障或问题，供应商应及时配合排除该方面的故障或问题。</w:t>
      </w:r>
    </w:p>
    <w:p>
      <w:pPr>
        <w:ind w:left="0" w:leftChars="0" w:firstLineChars="0"/>
      </w:pPr>
      <w:r>
        <w:rPr>
          <w:rFonts w:hint="eastAsia" w:cs="宋体"/>
          <w:szCs w:val="21"/>
        </w:rPr>
        <w:t>（8）如本项目连续2次验收未通过（含初验未通过或终验未通过），采购人有权解除项目，并有权依照本项目约定的违约条款追究供应商的违约责任。</w:t>
      </w:r>
    </w:p>
    <w:p>
      <w:pPr>
        <w:pStyle w:val="3"/>
        <w:ind w:left="1200" w:leftChars="0" w:firstLineChars="0"/>
        <w:rPr>
          <w:rFonts w:cs="宋体"/>
        </w:rPr>
      </w:pPr>
      <w:r>
        <w:rPr>
          <w:rFonts w:hint="eastAsia" w:cs="宋体"/>
        </w:rPr>
        <w:t>进度要求</w:t>
      </w:r>
    </w:p>
    <w:p>
      <w:pPr>
        <w:rPr>
          <w:rFonts w:cs="宋体"/>
        </w:rPr>
      </w:pPr>
      <w:r>
        <w:rPr>
          <w:rFonts w:hint="eastAsia" w:cs="宋体"/>
        </w:rPr>
        <w:t>供应商应根据建设内容，分阶段制定合理的时间进度，并且应根据采购人要求进行调整和细化。</w:t>
      </w:r>
    </w:p>
    <w:p>
      <w:pPr>
        <w:rPr>
          <w:rFonts w:hint="eastAsia" w:cs="宋体"/>
        </w:rPr>
      </w:pPr>
      <w:r>
        <w:rPr>
          <w:rFonts w:hint="eastAsia"/>
        </w:rPr>
        <w:t>本项目在合同签订之日起的</w:t>
      </w:r>
      <w:r>
        <w:rPr>
          <w:rFonts w:hint="eastAsia"/>
          <w:lang w:val="en-US" w:eastAsia="zh-CN"/>
        </w:rPr>
        <w:t>7</w:t>
      </w:r>
      <w:r>
        <w:rPr>
          <w:rFonts w:hint="eastAsia"/>
        </w:rPr>
        <w:t>个月内完成用系统开发、集成、调试工作，嗣后开始进行为期</w:t>
      </w:r>
      <w:r>
        <w:rPr>
          <w:rFonts w:hint="eastAsia"/>
          <w:lang w:val="en-US" w:eastAsia="zh-CN"/>
        </w:rPr>
        <w:t>1</w:t>
      </w:r>
      <w:r>
        <w:rPr>
          <w:rFonts w:hint="eastAsia"/>
        </w:rPr>
        <w:t>个月的试运行。试运行至少连续</w:t>
      </w:r>
      <w:r>
        <w:rPr>
          <w:rFonts w:hint="eastAsia"/>
          <w:lang w:val="en-US" w:eastAsia="zh-CN"/>
        </w:rPr>
        <w:t>1</w:t>
      </w:r>
      <w:r>
        <w:rPr>
          <w:rFonts w:hint="eastAsia"/>
        </w:rPr>
        <w:t>个月无重大缺陷、无重大故障方可进行正式验收。</w:t>
      </w:r>
      <w:bookmarkStart w:id="21" w:name="_Hlk125986311"/>
    </w:p>
    <w:bookmarkEnd w:id="21"/>
    <w:p>
      <w:pPr>
        <w:pStyle w:val="3"/>
        <w:ind w:left="1200" w:leftChars="0" w:firstLineChars="0"/>
        <w:rPr>
          <w:rFonts w:cs="宋体"/>
          <w:highlight w:val="yellow"/>
        </w:rPr>
      </w:pPr>
      <w:r>
        <w:rPr>
          <w:rFonts w:hint="eastAsia" w:cs="宋体"/>
          <w:highlight w:val="none"/>
        </w:rPr>
        <w:t>项目团</w:t>
      </w:r>
      <w:r>
        <w:rPr>
          <w:rFonts w:hint="eastAsia" w:cs="宋体"/>
        </w:rPr>
        <w:t>队及驻场人员要求</w:t>
      </w:r>
    </w:p>
    <w:p>
      <w:pPr>
        <w:rPr>
          <w:rFonts w:cs="宋体"/>
        </w:rPr>
      </w:pPr>
      <w:r>
        <w:rPr>
          <w:rFonts w:hint="eastAsia" w:cs="宋体"/>
        </w:rPr>
        <w:t>1）供应商须具有稳定的在职技术保障力量，能够提供及时的技术支援或服务，应针对本项目提供不少于</w:t>
      </w:r>
      <w:r>
        <w:rPr>
          <w:rFonts w:hint="eastAsia" w:cs="宋体"/>
          <w:lang w:val="en-US" w:eastAsia="zh-CN"/>
        </w:rPr>
        <w:t>7</w:t>
      </w:r>
      <w:r>
        <w:rPr>
          <w:rFonts w:hint="eastAsia" w:cs="宋体"/>
        </w:rPr>
        <w:t>人的项目服务团队（包括项目经理、产品经理、技术负责人、研发等），供应商的相关服务人员需具备相应的服务能力，需提供相关证明。</w:t>
      </w:r>
      <w:r>
        <w:rPr>
          <w:rFonts w:hint="eastAsia"/>
        </w:rPr>
        <w:t>项目经理每月在本项目现场工作时间不得少于60%，且未经业主方书面许可不得变更。</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63"/>
        <w:gridCol w:w="851"/>
        <w:gridCol w:w="297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cs="宋体"/>
                <w:b/>
              </w:rPr>
            </w:pPr>
            <w:r>
              <w:rPr>
                <w:rFonts w:hint="eastAsia" w:cs="宋体"/>
                <w:b/>
              </w:rPr>
              <w:t>角色</w:t>
            </w:r>
          </w:p>
        </w:tc>
        <w:tc>
          <w:tcPr>
            <w:tcW w:w="2363" w:type="dxa"/>
            <w:shd w:val="clear" w:color="auto" w:fill="auto"/>
            <w:noWrap/>
            <w:vAlign w:val="center"/>
          </w:tcPr>
          <w:p>
            <w:pPr>
              <w:widowControl/>
              <w:spacing w:line="240" w:lineRule="auto"/>
              <w:ind w:firstLine="0" w:firstLineChars="0"/>
              <w:jc w:val="center"/>
              <w:rPr>
                <w:rFonts w:cs="宋体"/>
                <w:b/>
              </w:rPr>
            </w:pPr>
            <w:r>
              <w:rPr>
                <w:rFonts w:hint="eastAsia" w:cs="宋体"/>
                <w:b/>
              </w:rPr>
              <w:t>主要职责</w:t>
            </w:r>
          </w:p>
        </w:tc>
        <w:tc>
          <w:tcPr>
            <w:tcW w:w="851" w:type="dxa"/>
            <w:shd w:val="clear" w:color="auto" w:fill="auto"/>
            <w:noWrap/>
            <w:vAlign w:val="center"/>
          </w:tcPr>
          <w:p>
            <w:pPr>
              <w:widowControl/>
              <w:spacing w:line="240" w:lineRule="auto"/>
              <w:ind w:firstLine="0" w:firstLineChars="0"/>
              <w:jc w:val="center"/>
              <w:rPr>
                <w:rFonts w:cs="宋体"/>
                <w:b/>
              </w:rPr>
            </w:pPr>
            <w:r>
              <w:rPr>
                <w:rFonts w:hint="eastAsia" w:cs="宋体"/>
                <w:b/>
              </w:rPr>
              <w:t>人员数量</w:t>
            </w:r>
          </w:p>
        </w:tc>
        <w:tc>
          <w:tcPr>
            <w:tcW w:w="2976" w:type="dxa"/>
            <w:vAlign w:val="center"/>
          </w:tcPr>
          <w:p>
            <w:pPr>
              <w:widowControl/>
              <w:spacing w:line="240" w:lineRule="auto"/>
              <w:ind w:firstLine="0" w:firstLineChars="0"/>
              <w:jc w:val="center"/>
              <w:rPr>
                <w:rFonts w:cs="宋体"/>
                <w:b/>
              </w:rPr>
            </w:pPr>
            <w:r>
              <w:rPr>
                <w:rFonts w:hint="eastAsia" w:cs="宋体"/>
                <w:b/>
              </w:rPr>
              <w:t>人员要求</w:t>
            </w:r>
          </w:p>
        </w:tc>
        <w:tc>
          <w:tcPr>
            <w:tcW w:w="993" w:type="dxa"/>
            <w:shd w:val="clear" w:color="auto" w:fill="auto"/>
            <w:noWrap/>
            <w:vAlign w:val="center"/>
          </w:tcPr>
          <w:p>
            <w:pPr>
              <w:widowControl/>
              <w:spacing w:line="240" w:lineRule="auto"/>
              <w:ind w:firstLine="0" w:firstLineChars="0"/>
              <w:jc w:val="center"/>
              <w:rPr>
                <w:rFonts w:cs="宋体"/>
                <w:b/>
              </w:rPr>
            </w:pPr>
            <w:r>
              <w:rPr>
                <w:rFonts w:hint="eastAsia" w:cs="宋体"/>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cs="宋体"/>
              </w:rPr>
            </w:pPr>
            <w:r>
              <w:rPr>
                <w:rFonts w:hint="eastAsia" w:cs="宋体"/>
              </w:rPr>
              <w:t>项目经理</w:t>
            </w:r>
          </w:p>
        </w:tc>
        <w:tc>
          <w:tcPr>
            <w:tcW w:w="2363" w:type="dxa"/>
            <w:shd w:val="clear" w:color="auto" w:fill="auto"/>
            <w:vAlign w:val="center"/>
          </w:tcPr>
          <w:p>
            <w:pPr>
              <w:widowControl/>
              <w:spacing w:line="240" w:lineRule="auto"/>
              <w:ind w:firstLine="0" w:firstLineChars="0"/>
              <w:jc w:val="center"/>
              <w:rPr>
                <w:rFonts w:cs="宋体"/>
              </w:rPr>
            </w:pPr>
            <w:r>
              <w:rPr>
                <w:rFonts w:hint="eastAsia" w:cs="宋体"/>
              </w:rPr>
              <w:t>负责项目质量和进度控制</w:t>
            </w:r>
          </w:p>
        </w:tc>
        <w:tc>
          <w:tcPr>
            <w:tcW w:w="851" w:type="dxa"/>
            <w:shd w:val="clear" w:color="auto" w:fill="auto"/>
            <w:noWrap/>
            <w:vAlign w:val="center"/>
          </w:tcPr>
          <w:p>
            <w:pPr>
              <w:widowControl/>
              <w:spacing w:line="240" w:lineRule="auto"/>
              <w:ind w:firstLine="0" w:firstLineChars="0"/>
              <w:jc w:val="center"/>
              <w:rPr>
                <w:rFonts w:cs="宋体"/>
              </w:rPr>
            </w:pPr>
            <w:r>
              <w:rPr>
                <w:rFonts w:hint="eastAsia" w:cs="宋体"/>
              </w:rPr>
              <w:t>1人</w:t>
            </w:r>
          </w:p>
        </w:tc>
        <w:tc>
          <w:tcPr>
            <w:tcW w:w="2976" w:type="dxa"/>
            <w:vAlign w:val="center"/>
          </w:tcPr>
          <w:p>
            <w:pPr>
              <w:widowControl/>
              <w:spacing w:line="240" w:lineRule="auto"/>
              <w:ind w:firstLine="0" w:firstLineChars="0"/>
              <w:jc w:val="center"/>
              <w:rPr>
                <w:rFonts w:cs="宋体"/>
              </w:rPr>
            </w:pPr>
            <w:r>
              <w:rPr>
                <w:rFonts w:hint="eastAsia" w:cs="宋体"/>
              </w:rPr>
              <w:t>本科及以上学历； 具有类似政务信息系统项目建设管理经验，且在项目中担任项目经理；具有《信息系统项目管理师》证书</w:t>
            </w:r>
            <w:r>
              <w:rPr>
                <w:rFonts w:hint="eastAsia" w:cs="宋体"/>
                <w:lang w:eastAsia="zh-CN"/>
              </w:rPr>
              <w:t>（高级</w:t>
            </w:r>
            <w:bookmarkStart w:id="22" w:name="_GoBack"/>
            <w:bookmarkEnd w:id="22"/>
            <w:r>
              <w:rPr>
                <w:rFonts w:hint="eastAsia" w:cs="宋体"/>
                <w:lang w:eastAsia="zh-CN"/>
              </w:rPr>
              <w:t>）</w:t>
            </w:r>
            <w:r>
              <w:rPr>
                <w:rFonts w:hint="eastAsia" w:cs="宋体"/>
              </w:rPr>
              <w:t>。</w:t>
            </w:r>
          </w:p>
        </w:tc>
        <w:tc>
          <w:tcPr>
            <w:tcW w:w="993" w:type="dxa"/>
            <w:shd w:val="clear" w:color="auto" w:fill="auto"/>
            <w:noWrap/>
            <w:vAlign w:val="center"/>
          </w:tcPr>
          <w:p>
            <w:pPr>
              <w:widowControl/>
              <w:spacing w:line="240" w:lineRule="auto"/>
              <w:ind w:firstLine="0" w:firstLineChars="0"/>
              <w:jc w:val="center"/>
              <w:rPr>
                <w:rFonts w:cs="宋体"/>
              </w:rPr>
            </w:pPr>
            <w:r>
              <w:rPr>
                <w:rFonts w:hint="eastAsia" w:cs="宋体"/>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cs="宋体"/>
              </w:rPr>
            </w:pPr>
            <w:r>
              <w:rPr>
                <w:rFonts w:hint="eastAsia" w:cs="宋体"/>
              </w:rPr>
              <w:t>产品经理</w:t>
            </w:r>
          </w:p>
        </w:tc>
        <w:tc>
          <w:tcPr>
            <w:tcW w:w="2363" w:type="dxa"/>
            <w:shd w:val="clear" w:color="auto" w:fill="auto"/>
            <w:vAlign w:val="center"/>
          </w:tcPr>
          <w:p>
            <w:pPr>
              <w:widowControl/>
              <w:spacing w:line="240" w:lineRule="auto"/>
              <w:ind w:firstLine="0" w:firstLineChars="0"/>
              <w:jc w:val="center"/>
              <w:rPr>
                <w:rFonts w:cs="宋体"/>
              </w:rPr>
            </w:pPr>
            <w:r>
              <w:rPr>
                <w:rFonts w:hint="eastAsia" w:cs="宋体"/>
              </w:rPr>
              <w:t>负责项目需求评估与产品设计</w:t>
            </w:r>
          </w:p>
        </w:tc>
        <w:tc>
          <w:tcPr>
            <w:tcW w:w="851" w:type="dxa"/>
            <w:shd w:val="clear" w:color="auto" w:fill="auto"/>
            <w:noWrap/>
            <w:vAlign w:val="center"/>
          </w:tcPr>
          <w:p>
            <w:pPr>
              <w:widowControl/>
              <w:spacing w:line="240" w:lineRule="auto"/>
              <w:ind w:firstLine="0" w:firstLineChars="0"/>
              <w:jc w:val="center"/>
              <w:rPr>
                <w:rFonts w:cs="宋体"/>
              </w:rPr>
            </w:pPr>
            <w:r>
              <w:rPr>
                <w:rFonts w:hint="eastAsia" w:cs="宋体"/>
              </w:rPr>
              <w:t>1人</w:t>
            </w:r>
          </w:p>
        </w:tc>
        <w:tc>
          <w:tcPr>
            <w:tcW w:w="2976" w:type="dxa"/>
            <w:vAlign w:val="center"/>
          </w:tcPr>
          <w:p>
            <w:pPr>
              <w:widowControl/>
              <w:spacing w:line="240" w:lineRule="auto"/>
              <w:ind w:firstLine="0" w:firstLineChars="0"/>
              <w:jc w:val="center"/>
              <w:rPr>
                <w:rFonts w:cs="宋体"/>
              </w:rPr>
            </w:pPr>
            <w:r>
              <w:rPr>
                <w:rFonts w:hint="eastAsia" w:cs="宋体"/>
              </w:rPr>
              <w:t>具备药械化监管类系统开发经验</w:t>
            </w:r>
          </w:p>
        </w:tc>
        <w:tc>
          <w:tcPr>
            <w:tcW w:w="993" w:type="dxa"/>
            <w:shd w:val="clear" w:color="auto" w:fill="auto"/>
            <w:noWrap/>
            <w:vAlign w:val="center"/>
          </w:tcPr>
          <w:p>
            <w:pPr>
              <w:widowControl/>
              <w:spacing w:line="240" w:lineRule="auto"/>
              <w:ind w:firstLine="0" w:firstLineChars="0"/>
              <w:jc w:val="center"/>
              <w:rPr>
                <w:rFonts w:cs="宋体"/>
              </w:rPr>
            </w:pPr>
            <w:r>
              <w:rPr>
                <w:rFonts w:hint="eastAsia" w:cs="宋体"/>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cs="宋体"/>
              </w:rPr>
            </w:pPr>
            <w:r>
              <w:rPr>
                <w:rFonts w:hint="eastAsia" w:cs="宋体"/>
              </w:rPr>
              <w:t>研发</w:t>
            </w:r>
          </w:p>
        </w:tc>
        <w:tc>
          <w:tcPr>
            <w:tcW w:w="2363" w:type="dxa"/>
            <w:shd w:val="clear" w:color="auto" w:fill="auto"/>
            <w:noWrap/>
            <w:vAlign w:val="center"/>
          </w:tcPr>
          <w:p>
            <w:pPr>
              <w:widowControl/>
              <w:spacing w:line="240" w:lineRule="auto"/>
              <w:ind w:firstLine="0" w:firstLineChars="0"/>
              <w:jc w:val="center"/>
              <w:rPr>
                <w:rFonts w:cs="宋体"/>
              </w:rPr>
            </w:pPr>
            <w:r>
              <w:rPr>
                <w:rFonts w:hint="eastAsia" w:cs="宋体"/>
              </w:rPr>
              <w:t>负责项目具体开发与实施</w:t>
            </w:r>
          </w:p>
        </w:tc>
        <w:tc>
          <w:tcPr>
            <w:tcW w:w="851" w:type="dxa"/>
            <w:shd w:val="clear" w:color="auto" w:fill="auto"/>
            <w:noWrap/>
            <w:vAlign w:val="center"/>
          </w:tcPr>
          <w:p>
            <w:pPr>
              <w:widowControl/>
              <w:spacing w:line="240" w:lineRule="auto"/>
              <w:ind w:firstLine="0" w:firstLineChars="0"/>
              <w:jc w:val="center"/>
              <w:rPr>
                <w:rFonts w:cs="宋体"/>
              </w:rPr>
            </w:pPr>
            <w:r>
              <w:rPr>
                <w:rFonts w:hint="eastAsia" w:cs="宋体"/>
                <w:lang w:val="en-US" w:eastAsia="zh-CN"/>
              </w:rPr>
              <w:t>5</w:t>
            </w:r>
            <w:r>
              <w:rPr>
                <w:rFonts w:hint="eastAsia" w:cs="宋体"/>
              </w:rPr>
              <w:t>人</w:t>
            </w:r>
          </w:p>
        </w:tc>
        <w:tc>
          <w:tcPr>
            <w:tcW w:w="2976" w:type="dxa"/>
            <w:vAlign w:val="center"/>
          </w:tcPr>
          <w:p>
            <w:pPr>
              <w:widowControl/>
              <w:spacing w:line="240" w:lineRule="auto"/>
              <w:ind w:firstLine="0" w:firstLineChars="0"/>
              <w:jc w:val="center"/>
              <w:rPr>
                <w:rFonts w:cs="宋体"/>
              </w:rPr>
            </w:pPr>
            <w:r>
              <w:rPr>
                <w:rFonts w:hint="eastAsia" w:cs="宋体"/>
              </w:rPr>
              <w:t>是否具备药械化监管类系统开发经验</w:t>
            </w:r>
          </w:p>
        </w:tc>
        <w:tc>
          <w:tcPr>
            <w:tcW w:w="993" w:type="dxa"/>
            <w:shd w:val="clear" w:color="auto" w:fill="auto"/>
            <w:noWrap/>
            <w:vAlign w:val="center"/>
          </w:tcPr>
          <w:p>
            <w:pPr>
              <w:widowControl/>
              <w:spacing w:line="240" w:lineRule="auto"/>
              <w:ind w:firstLine="0" w:firstLineChars="0"/>
              <w:jc w:val="center"/>
              <w:rPr>
                <w:rFonts w:hint="default" w:eastAsia="宋体" w:cs="宋体"/>
                <w:lang w:val="en-US" w:eastAsia="zh-CN"/>
              </w:rPr>
            </w:pPr>
            <w:r>
              <w:rPr>
                <w:rFonts w:hint="eastAsia" w:cs="宋体"/>
              </w:rPr>
              <w:t>驻场</w:t>
            </w:r>
            <w:r>
              <w:rPr>
                <w:rFonts w:hint="eastAsia" w:cs="宋体"/>
                <w:lang w:val="en-US" w:eastAsia="zh-CN"/>
              </w:rPr>
              <w:t>1人</w:t>
            </w:r>
          </w:p>
        </w:tc>
      </w:tr>
    </w:tbl>
    <w:p>
      <w:pPr>
        <w:rPr>
          <w:rFonts w:cs="宋体"/>
        </w:rPr>
      </w:pPr>
      <w:r>
        <w:rPr>
          <w:rFonts w:hint="eastAsia" w:cs="宋体"/>
        </w:rPr>
        <w:t>2）供应商应针对本项目提供不少于</w:t>
      </w:r>
      <w:r>
        <w:rPr>
          <w:rFonts w:hint="eastAsia" w:cs="宋体"/>
          <w:lang w:val="en-US" w:eastAsia="zh-CN"/>
        </w:rPr>
        <w:t>3</w:t>
      </w:r>
      <w:r>
        <w:rPr>
          <w:rFonts w:hint="eastAsia" w:cs="宋体"/>
        </w:rPr>
        <w:t>人的质保期间支撑团队（其中项目经理1人，技术工程师不少于</w:t>
      </w:r>
      <w:r>
        <w:rPr>
          <w:rFonts w:hint="eastAsia" w:cs="宋体"/>
          <w:lang w:val="en-US" w:eastAsia="zh-CN"/>
        </w:rPr>
        <w:t>2</w:t>
      </w:r>
      <w:r>
        <w:rPr>
          <w:rFonts w:hint="eastAsia" w:cs="宋体"/>
        </w:rPr>
        <w:t>人）；供应商的相关服务人员需具备相应的服务能力。</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102"/>
        <w:gridCol w:w="860"/>
        <w:gridCol w:w="213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cs="宋体"/>
                <w:b/>
              </w:rPr>
            </w:pPr>
            <w:r>
              <w:rPr>
                <w:rFonts w:hint="eastAsia" w:cs="宋体"/>
                <w:b/>
              </w:rPr>
              <w:t>角色</w:t>
            </w:r>
          </w:p>
        </w:tc>
        <w:tc>
          <w:tcPr>
            <w:tcW w:w="2102" w:type="dxa"/>
            <w:shd w:val="clear" w:color="auto" w:fill="auto"/>
            <w:noWrap/>
            <w:vAlign w:val="center"/>
          </w:tcPr>
          <w:p>
            <w:pPr>
              <w:widowControl/>
              <w:spacing w:line="240" w:lineRule="auto"/>
              <w:ind w:firstLine="0" w:firstLineChars="0"/>
              <w:jc w:val="center"/>
              <w:rPr>
                <w:rFonts w:cs="宋体"/>
                <w:b/>
              </w:rPr>
            </w:pPr>
            <w:r>
              <w:rPr>
                <w:rFonts w:hint="eastAsia" w:cs="宋体"/>
                <w:b/>
              </w:rPr>
              <w:t>主要职责</w:t>
            </w:r>
          </w:p>
        </w:tc>
        <w:tc>
          <w:tcPr>
            <w:tcW w:w="860" w:type="dxa"/>
            <w:shd w:val="clear" w:color="auto" w:fill="auto"/>
            <w:noWrap/>
            <w:vAlign w:val="center"/>
          </w:tcPr>
          <w:p>
            <w:pPr>
              <w:widowControl/>
              <w:spacing w:line="240" w:lineRule="auto"/>
              <w:ind w:firstLine="0" w:firstLineChars="0"/>
              <w:jc w:val="center"/>
              <w:rPr>
                <w:rFonts w:cs="宋体"/>
                <w:b/>
              </w:rPr>
            </w:pPr>
            <w:r>
              <w:rPr>
                <w:rFonts w:hint="eastAsia" w:cs="宋体"/>
                <w:b/>
              </w:rPr>
              <w:t>人员数量</w:t>
            </w:r>
          </w:p>
        </w:tc>
        <w:tc>
          <w:tcPr>
            <w:tcW w:w="2138" w:type="dxa"/>
            <w:vAlign w:val="center"/>
          </w:tcPr>
          <w:p>
            <w:pPr>
              <w:widowControl/>
              <w:spacing w:line="240" w:lineRule="auto"/>
              <w:ind w:firstLine="0" w:firstLineChars="0"/>
              <w:jc w:val="center"/>
              <w:rPr>
                <w:rFonts w:cs="宋体"/>
                <w:b/>
              </w:rPr>
            </w:pPr>
            <w:r>
              <w:rPr>
                <w:rFonts w:hint="eastAsia" w:cs="宋体"/>
                <w:b/>
              </w:rPr>
              <w:t>人员要求</w:t>
            </w:r>
          </w:p>
        </w:tc>
        <w:tc>
          <w:tcPr>
            <w:tcW w:w="1843" w:type="dxa"/>
            <w:shd w:val="clear" w:color="auto" w:fill="auto"/>
            <w:noWrap/>
            <w:vAlign w:val="center"/>
          </w:tcPr>
          <w:p>
            <w:pPr>
              <w:widowControl/>
              <w:spacing w:line="240" w:lineRule="auto"/>
              <w:ind w:firstLine="0" w:firstLineChars="0"/>
              <w:jc w:val="center"/>
              <w:rPr>
                <w:rFonts w:cs="宋体"/>
                <w:b/>
              </w:rPr>
            </w:pPr>
            <w:r>
              <w:rPr>
                <w:rFonts w:hint="eastAsia" w:cs="宋体"/>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cs="宋体"/>
              </w:rPr>
            </w:pPr>
            <w:r>
              <w:rPr>
                <w:rFonts w:hint="eastAsia" w:cs="宋体"/>
              </w:rPr>
              <w:t>项目经理</w:t>
            </w:r>
          </w:p>
        </w:tc>
        <w:tc>
          <w:tcPr>
            <w:tcW w:w="2102" w:type="dxa"/>
            <w:shd w:val="clear" w:color="auto" w:fill="auto"/>
            <w:vAlign w:val="center"/>
          </w:tcPr>
          <w:p>
            <w:pPr>
              <w:widowControl/>
              <w:spacing w:line="240" w:lineRule="auto"/>
              <w:ind w:firstLine="0" w:firstLineChars="0"/>
              <w:jc w:val="center"/>
              <w:rPr>
                <w:rFonts w:cs="宋体"/>
              </w:rPr>
            </w:pPr>
            <w:r>
              <w:rPr>
                <w:rFonts w:hint="eastAsia" w:cs="宋体"/>
              </w:rPr>
              <w:t>负责项目质量和进度控制</w:t>
            </w:r>
          </w:p>
        </w:tc>
        <w:tc>
          <w:tcPr>
            <w:tcW w:w="860" w:type="dxa"/>
            <w:shd w:val="clear" w:color="auto" w:fill="auto"/>
            <w:noWrap/>
            <w:vAlign w:val="center"/>
          </w:tcPr>
          <w:p>
            <w:pPr>
              <w:widowControl/>
              <w:spacing w:line="240" w:lineRule="auto"/>
              <w:ind w:firstLine="0" w:firstLineChars="0"/>
              <w:jc w:val="center"/>
              <w:rPr>
                <w:rFonts w:cs="宋体"/>
              </w:rPr>
            </w:pPr>
            <w:r>
              <w:rPr>
                <w:rFonts w:hint="eastAsia" w:cs="宋体"/>
              </w:rPr>
              <w:t>1人</w:t>
            </w:r>
          </w:p>
        </w:tc>
        <w:tc>
          <w:tcPr>
            <w:tcW w:w="2138" w:type="dxa"/>
            <w:vAlign w:val="center"/>
          </w:tcPr>
          <w:p>
            <w:pPr>
              <w:widowControl/>
              <w:spacing w:line="240" w:lineRule="auto"/>
              <w:ind w:firstLine="0" w:firstLineChars="0"/>
              <w:jc w:val="center"/>
              <w:rPr>
                <w:rFonts w:cs="宋体"/>
              </w:rPr>
            </w:pPr>
            <w:r>
              <w:rPr>
                <w:rFonts w:hint="eastAsia" w:cs="宋体"/>
              </w:rPr>
              <w:t>本科及以上学历； 具有类似政务信息系统项目建设管理经验，且在项目中担任项目经理；具有《信息系统项目管理师》（高级）资质证书。</w:t>
            </w:r>
          </w:p>
        </w:tc>
        <w:tc>
          <w:tcPr>
            <w:tcW w:w="1843" w:type="dxa"/>
            <w:shd w:val="clear" w:color="auto" w:fill="auto"/>
            <w:noWrap/>
            <w:vAlign w:val="center"/>
          </w:tcPr>
          <w:p>
            <w:pPr>
              <w:widowControl/>
              <w:spacing w:line="240" w:lineRule="auto"/>
              <w:ind w:firstLine="0" w:firstLineChars="0"/>
              <w:jc w:val="center"/>
              <w:rPr>
                <w:rFonts w:cs="宋体"/>
              </w:rPr>
            </w:pPr>
            <w:r>
              <w:rPr>
                <w:rFonts w:hint="eastAsia" w:cs="宋体"/>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cs="宋体"/>
              </w:rPr>
            </w:pPr>
            <w:r>
              <w:rPr>
                <w:rFonts w:hint="eastAsia" w:cs="宋体"/>
              </w:rPr>
              <w:t>技术工程师</w:t>
            </w:r>
          </w:p>
        </w:tc>
        <w:tc>
          <w:tcPr>
            <w:tcW w:w="2102" w:type="dxa"/>
            <w:shd w:val="clear" w:color="auto" w:fill="auto"/>
            <w:noWrap/>
            <w:vAlign w:val="center"/>
          </w:tcPr>
          <w:p>
            <w:pPr>
              <w:widowControl/>
              <w:spacing w:line="240" w:lineRule="auto"/>
              <w:ind w:firstLine="0" w:firstLineChars="0"/>
              <w:jc w:val="center"/>
              <w:rPr>
                <w:rFonts w:cs="宋体"/>
              </w:rPr>
            </w:pPr>
            <w:r>
              <w:rPr>
                <w:rFonts w:hint="eastAsia" w:cs="宋体"/>
              </w:rPr>
              <w:t>负责项目运行维护</w:t>
            </w:r>
          </w:p>
        </w:tc>
        <w:tc>
          <w:tcPr>
            <w:tcW w:w="860" w:type="dxa"/>
            <w:shd w:val="clear" w:color="auto" w:fill="auto"/>
            <w:noWrap/>
            <w:vAlign w:val="center"/>
          </w:tcPr>
          <w:p>
            <w:pPr>
              <w:widowControl/>
              <w:spacing w:line="240" w:lineRule="auto"/>
              <w:ind w:firstLine="0" w:firstLineChars="0"/>
              <w:jc w:val="center"/>
              <w:rPr>
                <w:rFonts w:cs="宋体"/>
              </w:rPr>
            </w:pPr>
            <w:r>
              <w:rPr>
                <w:rFonts w:hint="eastAsia" w:cs="宋体"/>
                <w:lang w:val="en-US" w:eastAsia="zh-CN"/>
              </w:rPr>
              <w:t>2</w:t>
            </w:r>
            <w:r>
              <w:rPr>
                <w:rFonts w:hint="eastAsia" w:cs="宋体"/>
              </w:rPr>
              <w:t>人</w:t>
            </w:r>
          </w:p>
        </w:tc>
        <w:tc>
          <w:tcPr>
            <w:tcW w:w="2138" w:type="dxa"/>
            <w:vAlign w:val="center"/>
          </w:tcPr>
          <w:p>
            <w:pPr>
              <w:widowControl/>
              <w:spacing w:line="240" w:lineRule="auto"/>
              <w:ind w:firstLine="0" w:firstLineChars="0"/>
              <w:jc w:val="center"/>
              <w:rPr>
                <w:rFonts w:cs="宋体"/>
              </w:rPr>
            </w:pPr>
            <w:r>
              <w:rPr>
                <w:rFonts w:hint="eastAsia" w:cs="宋体"/>
              </w:rPr>
              <w:t>是否具备药械化监管类系统维护经验</w:t>
            </w:r>
          </w:p>
        </w:tc>
        <w:tc>
          <w:tcPr>
            <w:tcW w:w="1843" w:type="dxa"/>
            <w:shd w:val="clear" w:color="auto" w:fill="auto"/>
            <w:noWrap/>
            <w:vAlign w:val="center"/>
          </w:tcPr>
          <w:p>
            <w:pPr>
              <w:widowControl/>
              <w:spacing w:line="240" w:lineRule="auto"/>
              <w:ind w:firstLine="0" w:firstLineChars="0"/>
              <w:jc w:val="center"/>
              <w:rPr>
                <w:rFonts w:hint="default" w:eastAsia="宋体" w:cs="宋体"/>
                <w:lang w:val="en-US" w:eastAsia="zh-CN"/>
              </w:rPr>
            </w:pPr>
            <w:r>
              <w:rPr>
                <w:rFonts w:hint="eastAsia" w:cs="宋体"/>
              </w:rPr>
              <w:t>驻场</w:t>
            </w:r>
            <w:r>
              <w:rPr>
                <w:rFonts w:hint="eastAsia" w:cs="宋体"/>
                <w:lang w:val="en-US" w:eastAsia="zh-CN"/>
              </w:rPr>
              <w:t>1人</w:t>
            </w:r>
          </w:p>
        </w:tc>
      </w:tr>
    </w:tbl>
    <w:p>
      <w:pPr>
        <w:pStyle w:val="3"/>
        <w:ind w:left="1200" w:leftChars="0" w:firstLineChars="0"/>
        <w:rPr>
          <w:rFonts w:cs="宋体"/>
        </w:rPr>
      </w:pPr>
      <w:r>
        <w:rPr>
          <w:rFonts w:hint="eastAsia" w:cs="宋体"/>
        </w:rPr>
        <w:t>等级保护要求</w:t>
      </w:r>
    </w:p>
    <w:p>
      <w:pPr>
        <w:rPr>
          <w:rFonts w:cs="宋体"/>
        </w:rPr>
      </w:pPr>
      <w:r>
        <w:rPr>
          <w:rFonts w:hint="eastAsia" w:cs="宋体"/>
        </w:rPr>
        <w:t>本项目等级保护要求： 参照等保三级要求建设。</w:t>
      </w:r>
    </w:p>
    <w:p>
      <w:pPr>
        <w:pStyle w:val="3"/>
        <w:ind w:left="1200" w:leftChars="0" w:firstLineChars="0"/>
        <w:rPr>
          <w:rFonts w:cs="宋体"/>
        </w:rPr>
      </w:pPr>
      <w:r>
        <w:rPr>
          <w:rFonts w:hint="eastAsia" w:cs="宋体"/>
        </w:rPr>
        <w:t>商业密码应用需求</w:t>
      </w:r>
    </w:p>
    <w:p>
      <w:pPr>
        <w:rPr>
          <w:rFonts w:cs="宋体"/>
        </w:rPr>
      </w:pPr>
      <w:r>
        <w:rPr>
          <w:rFonts w:hint="eastAsia" w:cs="宋体"/>
        </w:rPr>
        <w:t>信息系统需使用经检测认证的商用密码产品或服务，使用的商用密码算法、技术应遵循密码相关国家标准或行业标准。从物理和环境安全、网络和通信安全、设备和计算安全、应用和数据安全等四个层面采用密码技术措施，建立安全的秘钥管理方案，并采用有效的安全管理措施，对信息系统进行保护。</w:t>
      </w:r>
    </w:p>
    <w:p>
      <w:pPr>
        <w:pStyle w:val="6"/>
        <w:ind w:firstLine="480"/>
        <w:rPr>
          <w:rFonts w:hint="eastAsia" w:ascii="宋体" w:hAnsi="宋体" w:eastAsia="宋体"/>
          <w:sz w:val="24"/>
          <w:szCs w:val="24"/>
        </w:rPr>
      </w:pPr>
      <w:r>
        <w:rPr>
          <w:rFonts w:hint="eastAsia" w:ascii="宋体" w:hAnsi="宋体" w:eastAsia="宋体"/>
          <w:sz w:val="24"/>
          <w:szCs w:val="24"/>
        </w:rPr>
        <w:t>根据密测要求，以国产算法为基础算力的服务器密码机为密码资源层，在密码资源层上层建设基础密码服务，包括但不限于安全认证网关服务、签名验签服务、证书认证服务等，对业务应用层提供密码支撑，提供包括：身份鉴别、传输保护、签名验签、数据加密等密码服务。</w:t>
      </w:r>
    </w:p>
    <w:p>
      <w:pPr>
        <w:pStyle w:val="6"/>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通过商业密码测评，综合评分不得低于75分。</w:t>
      </w:r>
    </w:p>
    <w:p>
      <w:pPr>
        <w:pStyle w:val="3"/>
        <w:ind w:left="1200" w:leftChars="0" w:firstLineChars="0"/>
        <w:rPr>
          <w:rFonts w:cs="宋体"/>
        </w:rPr>
      </w:pPr>
      <w:r>
        <w:rPr>
          <w:rFonts w:hint="eastAsia" w:cs="宋体"/>
        </w:rPr>
        <w:t>技术文件要求</w:t>
      </w:r>
    </w:p>
    <w:p>
      <w:pPr>
        <w:rPr>
          <w:rFonts w:cs="宋体"/>
        </w:rPr>
      </w:pPr>
      <w:r>
        <w:rPr>
          <w:rFonts w:hint="eastAsia" w:cs="宋体"/>
        </w:rPr>
        <w:t>供应商提供的书面技术资料应能确保系统正常运行所需的管理、运营及维护有关的全套文件。技术文件应该全面、完整、详细。供应商提供的技术文件至少应包括：</w:t>
      </w:r>
    </w:p>
    <w:p>
      <w:pPr>
        <w:rPr>
          <w:rFonts w:cs="宋体"/>
        </w:rPr>
      </w:pPr>
      <w:r>
        <w:rPr>
          <w:rFonts w:hint="eastAsia" w:cs="宋体"/>
        </w:rPr>
        <w:t xml:space="preserve">－ 系统说明文件； </w:t>
      </w:r>
    </w:p>
    <w:p>
      <w:pPr>
        <w:rPr>
          <w:rFonts w:cs="宋体"/>
        </w:rPr>
      </w:pPr>
      <w:r>
        <w:rPr>
          <w:rFonts w:hint="eastAsia" w:cs="宋体"/>
        </w:rPr>
        <w:t xml:space="preserve">－ 技术手册(安装、测试、操作、维护、故障排除等)； </w:t>
      </w:r>
    </w:p>
    <w:p>
      <w:pPr>
        <w:rPr>
          <w:rFonts w:cs="宋体"/>
        </w:rPr>
      </w:pPr>
      <w:r>
        <w:rPr>
          <w:rFonts w:hint="eastAsia" w:cs="宋体"/>
        </w:rPr>
        <w:t>－ 项目文档，应该包括：</w:t>
      </w:r>
    </w:p>
    <w:p>
      <w:pPr>
        <w:ind w:left="360"/>
        <w:rPr>
          <w:rFonts w:cs="宋体"/>
        </w:rPr>
      </w:pPr>
      <w:r>
        <w:rPr>
          <w:rFonts w:hint="eastAsia" w:cs="宋体"/>
        </w:rPr>
        <w:t>(1)软件需求说明书</w:t>
      </w:r>
    </w:p>
    <w:p>
      <w:pPr>
        <w:ind w:left="360"/>
        <w:rPr>
          <w:rFonts w:cs="宋体"/>
        </w:rPr>
      </w:pPr>
      <w:r>
        <w:rPr>
          <w:rFonts w:hint="eastAsia" w:cs="宋体"/>
        </w:rPr>
        <w:t>(2)</w:t>
      </w:r>
      <w:r>
        <w:rPr>
          <w:rFonts w:hint="eastAsia" w:cs="宋体"/>
        </w:rPr>
        <w:tab/>
      </w:r>
      <w:r>
        <w:rPr>
          <w:rFonts w:hint="eastAsia" w:cs="宋体"/>
        </w:rPr>
        <w:t>系统总体设计说明书</w:t>
      </w:r>
    </w:p>
    <w:p>
      <w:pPr>
        <w:ind w:left="360"/>
        <w:rPr>
          <w:rFonts w:cs="宋体"/>
        </w:rPr>
      </w:pPr>
      <w:r>
        <w:rPr>
          <w:rFonts w:hint="eastAsia" w:cs="宋体"/>
        </w:rPr>
        <w:t>(3)</w:t>
      </w:r>
      <w:r>
        <w:rPr>
          <w:rFonts w:hint="eastAsia" w:cs="宋体"/>
        </w:rPr>
        <w:tab/>
      </w:r>
      <w:r>
        <w:rPr>
          <w:rFonts w:hint="eastAsia" w:cs="宋体"/>
        </w:rPr>
        <w:t>应用软件功能清单</w:t>
      </w:r>
    </w:p>
    <w:p>
      <w:pPr>
        <w:rPr>
          <w:rFonts w:hint="eastAsia" w:cs="宋体"/>
        </w:rPr>
      </w:pPr>
      <w:r>
        <w:rPr>
          <w:rFonts w:hint="eastAsia" w:cs="宋体"/>
        </w:rPr>
        <w:t>提供全套技术文件纸介质3套以及电子文件1套。</w:t>
      </w:r>
      <w:bookmarkEnd w:id="20"/>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供应商要求</w:t>
      </w:r>
    </w:p>
    <w:p>
      <w:pPr>
        <w:rPr>
          <w:rFonts w:eastAsia="宋体" w:cs="宋体"/>
        </w:rPr>
      </w:pPr>
      <w:r>
        <w:rPr>
          <w:rFonts w:hint="eastAsia"/>
          <w:lang w:val="en-US" w:eastAsia="zh-CN"/>
        </w:rPr>
        <w:t>供应商应当具有类似项目建设开发经验，具备</w:t>
      </w:r>
      <w:r>
        <w:rPr>
          <w:rFonts w:hint="eastAsia"/>
        </w:rPr>
        <w:t>ISO9001质量管理体系认证证书、ISO20000信息技术服务管理体系认证证书、ISO27001信息安全管理体系认证证书</w:t>
      </w:r>
      <w:r>
        <w:rPr>
          <w:rFonts w:hint="eastAsia"/>
          <w:lang w:val="en-US" w:eastAsia="zh-CN"/>
        </w:rPr>
        <w:t>的优先。</w:t>
      </w: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违约责任</w:t>
      </w:r>
    </w:p>
    <w:p>
      <w:pPr>
        <w:rPr>
          <w:rFonts w:hint="eastAsia"/>
        </w:rPr>
      </w:pPr>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pPr>
        <w:rPr>
          <w:rFonts w:hint="eastAsia"/>
        </w:rPr>
      </w:pPr>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pPr>
        <w:rPr>
          <w:rFonts w:hint="eastAsia"/>
        </w:rPr>
      </w:pPr>
      <w:r>
        <w:t>3、中标人有其他违反本项目合同约定的行为，中标人应当支付本项目总价款金额的20%作为违约金，违约金不足以弥补采购人损失的，采购人有权要求中标人赔偿超过部分。</w:t>
      </w:r>
    </w:p>
    <w:p>
      <w:pPr>
        <w:rPr>
          <w:rFonts w:hint="eastAsia"/>
        </w:rPr>
      </w:pPr>
      <w:r>
        <w:t>4、中标人有下列情形之一，采购人有权解除合同：</w:t>
      </w:r>
    </w:p>
    <w:p>
      <w:pPr>
        <w:rPr>
          <w:rFonts w:hint="eastAsia"/>
        </w:rPr>
      </w:pPr>
      <w:r>
        <w:rPr>
          <w:rFonts w:hint="eastAsia"/>
        </w:rPr>
        <w:t>（1</w:t>
      </w:r>
      <w:r>
        <w:t>）因中标人服务质量问题导致采购人无法实现目的；</w:t>
      </w:r>
    </w:p>
    <w:p>
      <w:pPr>
        <w:rPr>
          <w:rFonts w:hint="eastAsia"/>
        </w:rPr>
      </w:pPr>
      <w:r>
        <w:rPr>
          <w:rFonts w:hint="eastAsia"/>
        </w:rPr>
        <w:t>（2</w:t>
      </w:r>
      <w:r>
        <w:t>）擅自转让或者分包其应履行的义务的；</w:t>
      </w:r>
    </w:p>
    <w:p>
      <w:pPr>
        <w:rPr>
          <w:rFonts w:hint="eastAsia"/>
        </w:rPr>
      </w:pPr>
      <w:r>
        <w:rPr>
          <w:rFonts w:hint="eastAsia"/>
        </w:rPr>
        <w:t>（3</w:t>
      </w:r>
      <w:r>
        <w:t>）违反或者未履行本项目合同约定的其他相关义务，且在采购人要求的合理时间内未能纠正的。</w:t>
      </w: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附录</w:t>
      </w:r>
    </w:p>
    <w:p>
      <w:pPr>
        <w:rPr>
          <w:rFonts w:hint="eastAsia" w:ascii="宋体" w:hAnsi="宋体" w:eastAsia="宋体" w:cs="宋体"/>
        </w:rPr>
      </w:pPr>
      <w:r>
        <w:rPr>
          <w:rFonts w:hint="eastAsia" w:ascii="宋体" w:hAnsi="宋体" w:eastAsia="宋体" w:cs="宋体"/>
        </w:rPr>
        <w:t>项目建设过程中需符合相关技术标准或规范文件的要求：</w:t>
      </w:r>
    </w:p>
    <w:p>
      <w:pPr>
        <w:numPr>
          <w:ilvl w:val="0"/>
          <w:numId w:val="5"/>
        </w:numPr>
        <w:ind w:left="840" w:leftChars="0" w:hanging="420" w:firstLineChars="0"/>
        <w:rPr>
          <w:rFonts w:hint="eastAsia" w:ascii="宋体" w:hAnsi="宋体" w:eastAsia="宋体" w:cs="宋体"/>
        </w:rPr>
      </w:pPr>
      <w:r>
        <w:rPr>
          <w:rFonts w:hint="eastAsia" w:ascii="宋体" w:hAnsi="宋体" w:eastAsia="宋体" w:cs="宋体"/>
        </w:rPr>
        <w:t>《政务网络安全监测平台总体技术要求》</w:t>
      </w:r>
    </w:p>
    <w:p>
      <w:pPr>
        <w:numPr>
          <w:ilvl w:val="0"/>
          <w:numId w:val="5"/>
        </w:numPr>
        <w:ind w:left="840" w:leftChars="0" w:hanging="420" w:firstLineChars="0"/>
        <w:rPr>
          <w:rFonts w:hint="eastAsia" w:ascii="宋体" w:hAnsi="宋体" w:eastAsia="宋体" w:cs="宋体"/>
        </w:rPr>
      </w:pPr>
      <w:r>
        <w:rPr>
          <w:rFonts w:hint="eastAsia" w:ascii="宋体" w:hAnsi="宋体" w:eastAsia="宋体" w:cs="宋体"/>
        </w:rPr>
        <w:t>《上海市电子政务外网建设和运行管理指南（试行）》</w:t>
      </w:r>
    </w:p>
    <w:p>
      <w:pPr>
        <w:numPr>
          <w:ilvl w:val="0"/>
          <w:numId w:val="5"/>
        </w:numPr>
        <w:ind w:left="840" w:leftChars="0" w:hanging="420" w:firstLineChars="0"/>
        <w:rPr>
          <w:rFonts w:hint="eastAsia" w:ascii="宋体" w:hAnsi="宋体" w:eastAsia="宋体" w:cs="宋体"/>
        </w:rPr>
      </w:pPr>
      <w:r>
        <w:rPr>
          <w:rFonts w:hint="eastAsia" w:ascii="宋体" w:hAnsi="宋体" w:eastAsia="宋体" w:cs="宋体"/>
        </w:rPr>
        <w:t>其他</w:t>
      </w:r>
      <w:r>
        <w:rPr>
          <w:rFonts w:hint="eastAsia" w:ascii="宋体" w:hAnsi="宋体" w:eastAsia="宋体" w:cs="宋体"/>
          <w:lang w:val="en-US" w:eastAsia="zh-CN"/>
        </w:rPr>
        <w:t>必要的</w:t>
      </w:r>
      <w:r>
        <w:rPr>
          <w:rFonts w:hint="eastAsia" w:ascii="宋体" w:hAnsi="宋体" w:eastAsia="宋体" w:cs="宋体"/>
        </w:rPr>
        <w:t>标准</w:t>
      </w:r>
    </w:p>
    <w:p>
      <w:pPr>
        <w:ind w:left="0" w:leftChars="0" w:firstLine="0" w:firstLineChars="0"/>
      </w:pPr>
    </w:p>
    <w:p>
      <w:pPr>
        <w:ind w:left="0" w:leftChars="0" w:firstLine="0" w:firstLineChars="0"/>
        <w:rPr>
          <w:rFonts w:hint="eastAsia" w:cs="宋体"/>
        </w:rPr>
      </w:pPr>
    </w:p>
    <w:p>
      <w:pPr>
        <w:ind w:left="0" w:leftChars="0" w:firstLine="0" w:firstLineChars="0"/>
        <w:rPr>
          <w:rFonts w:hint="eastAsia" w:cs="宋体"/>
        </w:rPr>
      </w:pPr>
    </w:p>
    <w:p>
      <w:pPr>
        <w:ind w:left="0" w:leftChars="0" w:firstLine="0" w:firstLineChars="0"/>
        <w:rPr>
          <w:rFonts w:hint="eastAsia" w:cs="宋体"/>
        </w:rPr>
      </w:pPr>
      <w:r>
        <w:rPr>
          <w:rFonts w:hint="eastAsia" w:cs="宋体"/>
        </w:rPr>
        <w:br w:type="page"/>
      </w:r>
    </w:p>
    <w:p>
      <w:pPr>
        <w:ind w:left="0" w:leftChars="0" w:firstLine="0" w:firstLineChars="0"/>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58"/>
      </w:pPr>
      <w:r>
        <w:separator/>
      </w:r>
    </w:p>
  </w:endnote>
  <w:endnote w:type="continuationSeparator" w:id="1">
    <w:p>
      <w:pPr>
        <w:spacing w:line="240" w:lineRule="auto"/>
        <w:ind w:right="-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PMingLiU">
    <w:altName w:val="文泉驿微米黑"/>
    <w:panose1 w:val="02020500000000000000"/>
    <w:charset w:val="88"/>
    <w:family w:val="auto"/>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posOffset>2365375</wp:posOffset>
              </wp:positionH>
              <wp:positionV relativeFrom="paragraph">
                <wp:posOffset>94615</wp:posOffset>
              </wp:positionV>
              <wp:extent cx="1828800" cy="2286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25pt;margin-top:7.45pt;height:18pt;width:144pt;mso-position-horizontal-relative:margin;mso-wrap-style:none;z-index:251659264;mso-width-relative:page;mso-height-relative:page;" filled="f" stroked="f" coordsize="21600,21600" o:gfxdata="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wgk9F2AAAAAkBAAAPAAAAAAAAAAEAIAAA&#10;ADgAAABkcnMvZG93bnJldi54bWxQSwECFAAUAAAACACHTuJAlRtBoi8CAABUBAAADgAAAAAAAAAB&#10;ACAAAAA9AQAAZHJzL2Uyb0RvYy54bWxQSwUGAAAAAAYABgBZAQAA3gUAAAAA&#10;">
              <v:fill on="f" focussize="0,0"/>
              <v:stroke on="f" weight="0.5pt"/>
              <v:imagedata o:title=""/>
              <o:lock v:ext="edit" aspectratio="f"/>
              <v:textbox inset="0mm,0mm,0mm,0mm">
                <w:txbxContent>
                  <w:p>
                    <w:pPr>
                      <w:pStyle w:val="1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58"/>
      </w:pPr>
      <w:r>
        <w:separator/>
      </w:r>
    </w:p>
  </w:footnote>
  <w:footnote w:type="continuationSeparator" w:id="1">
    <w:p>
      <w:pPr>
        <w:spacing w:line="360" w:lineRule="auto"/>
        <w:ind w:right="-5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C64294E5"/>
    <w:multiLevelType w:val="singleLevel"/>
    <w:tmpl w:val="C64294E5"/>
    <w:lvl w:ilvl="0" w:tentative="0">
      <w:start w:val="1"/>
      <w:numFmt w:val="decimal"/>
      <w:lvlText w:val="%1."/>
      <w:lvlJc w:val="left"/>
      <w:pPr>
        <w:ind w:left="425" w:hanging="425"/>
      </w:pPr>
      <w:rPr>
        <w:rFonts w:hint="default"/>
      </w:rPr>
    </w:lvl>
  </w:abstractNum>
  <w:abstractNum w:abstractNumId="2">
    <w:nsid w:val="0C9B65C5"/>
    <w:multiLevelType w:val="multilevel"/>
    <w:tmpl w:val="0C9B65C5"/>
    <w:lvl w:ilvl="0" w:tentative="0">
      <w:start w:val="1"/>
      <w:numFmt w:val="chineseCounting"/>
      <w:pStyle w:val="2"/>
      <w:suff w:val="nothing"/>
      <w:lvlText w:val="%1、"/>
      <w:lvlJc w:val="left"/>
      <w:pPr>
        <w:tabs>
          <w:tab w:val="left" w:pos="420"/>
        </w:tabs>
        <w:ind w:left="432" w:hanging="432"/>
      </w:pPr>
      <w:rPr>
        <w:rFonts w:hint="eastAsia"/>
      </w:rPr>
    </w:lvl>
    <w:lvl w:ilvl="1" w:tentative="0">
      <w:start w:val="1"/>
      <w:numFmt w:val="decimal"/>
      <w:pStyle w:val="3"/>
      <w:isLgl/>
      <w:lvlText w:val="%1.%2."/>
      <w:lvlJc w:val="left"/>
      <w:pPr>
        <w:tabs>
          <w:tab w:val="left" w:pos="420"/>
        </w:tabs>
        <w:ind w:left="575" w:hanging="575"/>
      </w:pPr>
      <w:rPr>
        <w:rFonts w:hint="default"/>
        <w:highlight w:val="none"/>
      </w:rPr>
    </w:lvl>
    <w:lvl w:ilvl="2" w:tentative="0">
      <w:start w:val="1"/>
      <w:numFmt w:val="decimal"/>
      <w:pStyle w:val="4"/>
      <w:isLgl/>
      <w:lvlText w:val="%1.%2.%3."/>
      <w:lvlJc w:val="left"/>
      <w:pPr>
        <w:ind w:left="10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3">
    <w:nsid w:val="22CD3ED9"/>
    <w:multiLevelType w:val="singleLevel"/>
    <w:tmpl w:val="22CD3ED9"/>
    <w:lvl w:ilvl="0" w:tentative="0">
      <w:start w:val="1"/>
      <w:numFmt w:val="bullet"/>
      <w:lvlText w:val=""/>
      <w:lvlJc w:val="left"/>
      <w:pPr>
        <w:tabs>
          <w:tab w:val="left" w:pos="420"/>
        </w:tabs>
        <w:ind w:left="840" w:hanging="420"/>
      </w:pPr>
      <w:rPr>
        <w:rFonts w:hint="default" w:ascii="Wingdings" w:hAnsi="Wingdings"/>
      </w:rPr>
    </w:lvl>
  </w:abstractNum>
  <w:abstractNum w:abstractNumId="4">
    <w:nsid w:val="50A406CA"/>
    <w:multiLevelType w:val="singleLevel"/>
    <w:tmpl w:val="50A406CA"/>
    <w:lvl w:ilvl="0" w:tentative="0">
      <w:start w:val="1"/>
      <w:numFmt w:val="bullet"/>
      <w:lvlText w:val=""/>
      <w:lvlJc w:val="left"/>
      <w:pPr>
        <w:tabs>
          <w:tab w:val="left" w:pos="420"/>
        </w:tabs>
        <w:ind w:left="840" w:hanging="420"/>
      </w:pPr>
      <w:rPr>
        <w:rFonts w:hint="default" w:ascii="Wingdings" w:hAnsi="Wingdings"/>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MzczZDAxNzhhNzIyMzk5OGNlNjZkZWM1MWFkNmIifQ=="/>
  </w:docVars>
  <w:rsids>
    <w:rsidRoot w:val="00116A4C"/>
    <w:rsid w:val="000473AC"/>
    <w:rsid w:val="00057D21"/>
    <w:rsid w:val="000940C5"/>
    <w:rsid w:val="000D2306"/>
    <w:rsid w:val="000D75B4"/>
    <w:rsid w:val="000E45B6"/>
    <w:rsid w:val="00116A4C"/>
    <w:rsid w:val="0012099C"/>
    <w:rsid w:val="0012146E"/>
    <w:rsid w:val="0013538C"/>
    <w:rsid w:val="00135E4D"/>
    <w:rsid w:val="0015288C"/>
    <w:rsid w:val="0016617E"/>
    <w:rsid w:val="001A13C2"/>
    <w:rsid w:val="001B639D"/>
    <w:rsid w:val="001D4C1D"/>
    <w:rsid w:val="00211B64"/>
    <w:rsid w:val="002E2AD7"/>
    <w:rsid w:val="002E4EDC"/>
    <w:rsid w:val="003357CA"/>
    <w:rsid w:val="00340B39"/>
    <w:rsid w:val="00341697"/>
    <w:rsid w:val="003D4761"/>
    <w:rsid w:val="003F42CA"/>
    <w:rsid w:val="004109EE"/>
    <w:rsid w:val="00427AEE"/>
    <w:rsid w:val="0043617A"/>
    <w:rsid w:val="004D1CB3"/>
    <w:rsid w:val="004D3559"/>
    <w:rsid w:val="00532BDD"/>
    <w:rsid w:val="005713ED"/>
    <w:rsid w:val="005800C5"/>
    <w:rsid w:val="005A6FA9"/>
    <w:rsid w:val="005A75CC"/>
    <w:rsid w:val="005E7921"/>
    <w:rsid w:val="00627DE7"/>
    <w:rsid w:val="006536B5"/>
    <w:rsid w:val="006566DC"/>
    <w:rsid w:val="006832D5"/>
    <w:rsid w:val="006A7448"/>
    <w:rsid w:val="006C42D2"/>
    <w:rsid w:val="006F3C6F"/>
    <w:rsid w:val="00747EAB"/>
    <w:rsid w:val="00767C9A"/>
    <w:rsid w:val="00777272"/>
    <w:rsid w:val="00783C56"/>
    <w:rsid w:val="008240EB"/>
    <w:rsid w:val="0087088B"/>
    <w:rsid w:val="0088138B"/>
    <w:rsid w:val="00886D2D"/>
    <w:rsid w:val="009632A2"/>
    <w:rsid w:val="00963392"/>
    <w:rsid w:val="00985AEF"/>
    <w:rsid w:val="009A4B9C"/>
    <w:rsid w:val="00A11810"/>
    <w:rsid w:val="00A150FE"/>
    <w:rsid w:val="00A25758"/>
    <w:rsid w:val="00A47694"/>
    <w:rsid w:val="00A563B0"/>
    <w:rsid w:val="00A8228A"/>
    <w:rsid w:val="00AF3CFC"/>
    <w:rsid w:val="00B14AC5"/>
    <w:rsid w:val="00B87FBF"/>
    <w:rsid w:val="00BA3DA8"/>
    <w:rsid w:val="00BF6142"/>
    <w:rsid w:val="00C22D67"/>
    <w:rsid w:val="00C5550B"/>
    <w:rsid w:val="00C77383"/>
    <w:rsid w:val="00C95CFB"/>
    <w:rsid w:val="00CA6654"/>
    <w:rsid w:val="00CD0618"/>
    <w:rsid w:val="00D012E3"/>
    <w:rsid w:val="00D02C44"/>
    <w:rsid w:val="00D1158B"/>
    <w:rsid w:val="00D12927"/>
    <w:rsid w:val="00D33B27"/>
    <w:rsid w:val="00D54D4D"/>
    <w:rsid w:val="00D91DD4"/>
    <w:rsid w:val="00E023C4"/>
    <w:rsid w:val="00E04D46"/>
    <w:rsid w:val="00E627D6"/>
    <w:rsid w:val="00E65E5B"/>
    <w:rsid w:val="00F14884"/>
    <w:rsid w:val="00F32572"/>
    <w:rsid w:val="00F41493"/>
    <w:rsid w:val="00F72B75"/>
    <w:rsid w:val="01785440"/>
    <w:rsid w:val="02140CAE"/>
    <w:rsid w:val="02E91610"/>
    <w:rsid w:val="02FE7E73"/>
    <w:rsid w:val="043F3615"/>
    <w:rsid w:val="04606F9C"/>
    <w:rsid w:val="049F7FE2"/>
    <w:rsid w:val="04E8167F"/>
    <w:rsid w:val="063539CA"/>
    <w:rsid w:val="07233E77"/>
    <w:rsid w:val="084864CB"/>
    <w:rsid w:val="08A76D63"/>
    <w:rsid w:val="08CC45F7"/>
    <w:rsid w:val="08D05C04"/>
    <w:rsid w:val="09060CCF"/>
    <w:rsid w:val="09114448"/>
    <w:rsid w:val="092A7FFA"/>
    <w:rsid w:val="0BF55034"/>
    <w:rsid w:val="0C9F2F7B"/>
    <w:rsid w:val="0DCE6ECC"/>
    <w:rsid w:val="0E6E3EFB"/>
    <w:rsid w:val="0EBD2E3C"/>
    <w:rsid w:val="0F466221"/>
    <w:rsid w:val="10A454AB"/>
    <w:rsid w:val="119754E5"/>
    <w:rsid w:val="126856BF"/>
    <w:rsid w:val="12B16728"/>
    <w:rsid w:val="12CC14BC"/>
    <w:rsid w:val="13514B39"/>
    <w:rsid w:val="150C6114"/>
    <w:rsid w:val="15B31B5C"/>
    <w:rsid w:val="16A91EF8"/>
    <w:rsid w:val="16E92198"/>
    <w:rsid w:val="18700F1F"/>
    <w:rsid w:val="199E7B0C"/>
    <w:rsid w:val="1A426715"/>
    <w:rsid w:val="1B6E1A2D"/>
    <w:rsid w:val="1B8257FF"/>
    <w:rsid w:val="1BA13216"/>
    <w:rsid w:val="1C2B09F3"/>
    <w:rsid w:val="1E5D1B3F"/>
    <w:rsid w:val="1ECE6B03"/>
    <w:rsid w:val="1F242A72"/>
    <w:rsid w:val="1FF91161"/>
    <w:rsid w:val="200932AB"/>
    <w:rsid w:val="21D96435"/>
    <w:rsid w:val="22006873"/>
    <w:rsid w:val="22C86AC2"/>
    <w:rsid w:val="23F8626D"/>
    <w:rsid w:val="25996EBE"/>
    <w:rsid w:val="25D009E3"/>
    <w:rsid w:val="26435E97"/>
    <w:rsid w:val="26B45C0E"/>
    <w:rsid w:val="284460E4"/>
    <w:rsid w:val="285322FF"/>
    <w:rsid w:val="28F03CB0"/>
    <w:rsid w:val="293711C1"/>
    <w:rsid w:val="2A06727F"/>
    <w:rsid w:val="2AA66A22"/>
    <w:rsid w:val="2AFF6012"/>
    <w:rsid w:val="2B09207A"/>
    <w:rsid w:val="2CFE261D"/>
    <w:rsid w:val="2D8242FA"/>
    <w:rsid w:val="2EBE48DC"/>
    <w:rsid w:val="2EF87F24"/>
    <w:rsid w:val="30A74FC6"/>
    <w:rsid w:val="31C34B5A"/>
    <w:rsid w:val="32175AD7"/>
    <w:rsid w:val="326C2705"/>
    <w:rsid w:val="32F76721"/>
    <w:rsid w:val="333F1EF9"/>
    <w:rsid w:val="34367D70"/>
    <w:rsid w:val="34C84CEA"/>
    <w:rsid w:val="351B4C31"/>
    <w:rsid w:val="35394A23"/>
    <w:rsid w:val="355E6877"/>
    <w:rsid w:val="35A16EC7"/>
    <w:rsid w:val="35C76B44"/>
    <w:rsid w:val="35CA2F45"/>
    <w:rsid w:val="36687282"/>
    <w:rsid w:val="37AA4E8E"/>
    <w:rsid w:val="37B3467E"/>
    <w:rsid w:val="386A3DC3"/>
    <w:rsid w:val="392A6941"/>
    <w:rsid w:val="39597865"/>
    <w:rsid w:val="3A5B3385"/>
    <w:rsid w:val="3ED07595"/>
    <w:rsid w:val="3F1D752A"/>
    <w:rsid w:val="3F71007A"/>
    <w:rsid w:val="44751CEE"/>
    <w:rsid w:val="461757E4"/>
    <w:rsid w:val="4622276E"/>
    <w:rsid w:val="47384637"/>
    <w:rsid w:val="47D76808"/>
    <w:rsid w:val="47E114CB"/>
    <w:rsid w:val="48123CAF"/>
    <w:rsid w:val="486017CE"/>
    <w:rsid w:val="487F6744"/>
    <w:rsid w:val="48AA124D"/>
    <w:rsid w:val="49F529A3"/>
    <w:rsid w:val="4A662BED"/>
    <w:rsid w:val="4AEE3DA2"/>
    <w:rsid w:val="4AF76C16"/>
    <w:rsid w:val="4B7D53FE"/>
    <w:rsid w:val="4C520360"/>
    <w:rsid w:val="4CC12BDB"/>
    <w:rsid w:val="4DC74371"/>
    <w:rsid w:val="4DD3515E"/>
    <w:rsid w:val="4E267123"/>
    <w:rsid w:val="4EE2777A"/>
    <w:rsid w:val="4FA05954"/>
    <w:rsid w:val="50B9659B"/>
    <w:rsid w:val="50CD34F7"/>
    <w:rsid w:val="51212A2B"/>
    <w:rsid w:val="517B0EFE"/>
    <w:rsid w:val="51A73BDA"/>
    <w:rsid w:val="524410A3"/>
    <w:rsid w:val="52BF7DD2"/>
    <w:rsid w:val="53B76ABF"/>
    <w:rsid w:val="54487A50"/>
    <w:rsid w:val="554B22FB"/>
    <w:rsid w:val="561C3A77"/>
    <w:rsid w:val="5814296E"/>
    <w:rsid w:val="582F0174"/>
    <w:rsid w:val="596F412A"/>
    <w:rsid w:val="598E44DA"/>
    <w:rsid w:val="59ED41B0"/>
    <w:rsid w:val="59F624BA"/>
    <w:rsid w:val="5BE36563"/>
    <w:rsid w:val="5CEE4816"/>
    <w:rsid w:val="5DD27308"/>
    <w:rsid w:val="5EEA408D"/>
    <w:rsid w:val="5EF2344C"/>
    <w:rsid w:val="5F6C7C21"/>
    <w:rsid w:val="5F7F663F"/>
    <w:rsid w:val="6001797A"/>
    <w:rsid w:val="60275934"/>
    <w:rsid w:val="61482544"/>
    <w:rsid w:val="619C7C5C"/>
    <w:rsid w:val="62114901"/>
    <w:rsid w:val="621517BC"/>
    <w:rsid w:val="6217493D"/>
    <w:rsid w:val="62F54CD7"/>
    <w:rsid w:val="64757122"/>
    <w:rsid w:val="64792963"/>
    <w:rsid w:val="658904F7"/>
    <w:rsid w:val="65CC6636"/>
    <w:rsid w:val="6676402B"/>
    <w:rsid w:val="66893714"/>
    <w:rsid w:val="672136C2"/>
    <w:rsid w:val="68B56585"/>
    <w:rsid w:val="6A604000"/>
    <w:rsid w:val="6AA96A0E"/>
    <w:rsid w:val="6AF56C93"/>
    <w:rsid w:val="6B217342"/>
    <w:rsid w:val="6B396CA5"/>
    <w:rsid w:val="6C7B0836"/>
    <w:rsid w:val="6CF00D98"/>
    <w:rsid w:val="6D0E30D0"/>
    <w:rsid w:val="6D394EF9"/>
    <w:rsid w:val="706B4C15"/>
    <w:rsid w:val="70EC7055"/>
    <w:rsid w:val="7181149F"/>
    <w:rsid w:val="71964D23"/>
    <w:rsid w:val="72FC5943"/>
    <w:rsid w:val="730E294D"/>
    <w:rsid w:val="73910FF9"/>
    <w:rsid w:val="73F52EE0"/>
    <w:rsid w:val="74742663"/>
    <w:rsid w:val="74C7789E"/>
    <w:rsid w:val="76085959"/>
    <w:rsid w:val="762B62A8"/>
    <w:rsid w:val="768C6D1B"/>
    <w:rsid w:val="77702795"/>
    <w:rsid w:val="77D17DD7"/>
    <w:rsid w:val="783E33C3"/>
    <w:rsid w:val="788658A4"/>
    <w:rsid w:val="79387266"/>
    <w:rsid w:val="797B5EB9"/>
    <w:rsid w:val="7A320D06"/>
    <w:rsid w:val="7ABB304D"/>
    <w:rsid w:val="7AEF3F99"/>
    <w:rsid w:val="7B032A3A"/>
    <w:rsid w:val="7B7F5081"/>
    <w:rsid w:val="7B8E1346"/>
    <w:rsid w:val="7C5717CF"/>
    <w:rsid w:val="7C807CB8"/>
    <w:rsid w:val="7D817FFB"/>
    <w:rsid w:val="7E1626EC"/>
    <w:rsid w:val="7E542759"/>
    <w:rsid w:val="7E837D82"/>
    <w:rsid w:val="7FF538F2"/>
    <w:rsid w:val="FE7FF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right="-58" w:rightChars="-24" w:firstLine="408"/>
    </w:pPr>
    <w:rPr>
      <w:rFonts w:ascii="宋体" w:hAnsi="宋体" w:eastAsia="宋体" w:cs="宋体"/>
      <w:bCs/>
      <w:color w:val="000000"/>
      <w:kern w:val="2"/>
      <w:sz w:val="24"/>
      <w:szCs w:val="22"/>
      <w:lang w:val="en-US" w:eastAsia="zh-CN" w:bidi="ar-SA"/>
    </w:rPr>
  </w:style>
  <w:style w:type="paragraph" w:styleId="2">
    <w:name w:val="heading 1"/>
    <w:basedOn w:val="1"/>
    <w:next w:val="1"/>
    <w:link w:val="23"/>
    <w:autoRedefine/>
    <w:qFormat/>
    <w:uiPriority w:val="9"/>
    <w:pPr>
      <w:keepNext/>
      <w:keepLines/>
      <w:numPr>
        <w:ilvl w:val="0"/>
        <w:numId w:val="1"/>
      </w:numPr>
      <w:spacing w:before="340" w:after="330" w:line="578" w:lineRule="auto"/>
      <w:ind w:left="432" w:hanging="432"/>
      <w:outlineLvl w:val="0"/>
    </w:pPr>
    <w:rPr>
      <w:b/>
      <w:bCs w:val="0"/>
      <w:kern w:val="44"/>
      <w:sz w:val="44"/>
      <w:szCs w:val="44"/>
    </w:rPr>
  </w:style>
  <w:style w:type="paragraph" w:styleId="3">
    <w:name w:val="heading 2"/>
    <w:basedOn w:val="1"/>
    <w:next w:val="1"/>
    <w:link w:val="25"/>
    <w:autoRedefine/>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val="0"/>
      <w:sz w:val="32"/>
      <w:szCs w:val="32"/>
    </w:rPr>
  </w:style>
  <w:style w:type="paragraph" w:styleId="4">
    <w:name w:val="heading 3"/>
    <w:basedOn w:val="1"/>
    <w:next w:val="1"/>
    <w:link w:val="49"/>
    <w:autoRedefine/>
    <w:unhideWhenUsed/>
    <w:qFormat/>
    <w:uiPriority w:val="9"/>
    <w:pPr>
      <w:keepNext/>
      <w:keepLines/>
      <w:numPr>
        <w:ilvl w:val="2"/>
        <w:numId w:val="1"/>
      </w:numPr>
      <w:spacing w:before="260" w:after="260" w:line="416" w:lineRule="auto"/>
      <w:ind w:left="1020" w:hanging="720"/>
      <w:outlineLvl w:val="2"/>
    </w:pPr>
    <w:rPr>
      <w:b/>
      <w:bCs w:val="0"/>
      <w:sz w:val="32"/>
      <w:szCs w:val="32"/>
    </w:rPr>
  </w:style>
  <w:style w:type="paragraph" w:styleId="5">
    <w:name w:val="heading 4"/>
    <w:basedOn w:val="1"/>
    <w:next w:val="6"/>
    <w:link w:val="38"/>
    <w:autoRedefine/>
    <w:semiHidden/>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val="0"/>
      <w:sz w:val="28"/>
      <w:szCs w:val="28"/>
    </w:rPr>
  </w:style>
  <w:style w:type="paragraph" w:styleId="7">
    <w:name w:val="heading 5"/>
    <w:basedOn w:val="1"/>
    <w:next w:val="1"/>
    <w:link w:val="39"/>
    <w:autoRedefine/>
    <w:semiHidden/>
    <w:unhideWhenUsed/>
    <w:qFormat/>
    <w:uiPriority w:val="9"/>
    <w:pPr>
      <w:keepNext/>
      <w:keepLines/>
      <w:numPr>
        <w:ilvl w:val="4"/>
        <w:numId w:val="1"/>
      </w:numPr>
      <w:spacing w:before="280" w:after="290" w:line="376" w:lineRule="auto"/>
      <w:ind w:left="1008" w:hanging="1008"/>
      <w:outlineLvl w:val="4"/>
    </w:pPr>
    <w:rPr>
      <w:b/>
      <w:bCs w:val="0"/>
      <w:sz w:val="28"/>
      <w:szCs w:val="28"/>
    </w:rPr>
  </w:style>
  <w:style w:type="paragraph" w:styleId="8">
    <w:name w:val="heading 6"/>
    <w:basedOn w:val="1"/>
    <w:next w:val="1"/>
    <w:link w:val="40"/>
    <w:autoRedefine/>
    <w:unhideWhenUsed/>
    <w:qFormat/>
    <w:uiPriority w:val="9"/>
    <w:pPr>
      <w:keepNext/>
      <w:keepLines/>
      <w:numPr>
        <w:ilvl w:val="5"/>
        <w:numId w:val="1"/>
      </w:numPr>
      <w:spacing w:before="240" w:after="64" w:line="320" w:lineRule="auto"/>
      <w:ind w:left="1151" w:hanging="1151"/>
      <w:outlineLvl w:val="5"/>
    </w:pPr>
    <w:rPr>
      <w:rFonts w:asciiTheme="majorHAnsi" w:hAnsiTheme="majorHAnsi" w:eastAsiaTheme="majorEastAsia" w:cstheme="majorBidi"/>
      <w:b/>
      <w:bCs w:val="0"/>
      <w:szCs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6">
    <w:name w:val="可研正文"/>
    <w:basedOn w:val="1"/>
    <w:autoRedefine/>
    <w:qFormat/>
    <w:uiPriority w:val="0"/>
    <w:pPr>
      <w:ind w:firstLine="200" w:firstLineChars="200"/>
    </w:pPr>
    <w:rPr>
      <w:rFonts w:ascii="仿宋" w:hAnsi="仿宋" w:eastAsia="仿宋"/>
      <w:sz w:val="28"/>
      <w:szCs w:val="28"/>
    </w:rPr>
  </w:style>
  <w:style w:type="paragraph" w:styleId="12">
    <w:name w:val="Normal Indent"/>
    <w:basedOn w:val="1"/>
    <w:autoRedefine/>
    <w:qFormat/>
    <w:uiPriority w:val="0"/>
    <w:pPr>
      <w:widowControl w:val="0"/>
      <w:ind w:firstLine="200"/>
      <w:jc w:val="both"/>
    </w:pPr>
    <w:rPr>
      <w:rFonts w:ascii="Times New Roman" w:hAnsi="Times New Roman"/>
      <w:szCs w:val="20"/>
    </w:rPr>
  </w:style>
  <w:style w:type="paragraph" w:styleId="13">
    <w:name w:val="annotation text"/>
    <w:basedOn w:val="1"/>
    <w:semiHidden/>
    <w:unhideWhenUsed/>
    <w:qFormat/>
    <w:uiPriority w:val="99"/>
    <w:pPr>
      <w:jc w:val="left"/>
    </w:pPr>
  </w:style>
  <w:style w:type="paragraph" w:styleId="14">
    <w:name w:val="footer"/>
    <w:basedOn w:val="1"/>
    <w:link w:val="28"/>
    <w:autoRedefine/>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99"/>
    <w:pPr>
      <w:spacing w:before="100" w:beforeAutospacing="1" w:after="100" w:afterAutospacing="1" w:line="240" w:lineRule="auto"/>
      <w:ind w:right="0" w:firstLine="0"/>
    </w:pPr>
    <w:rPr>
      <w:color w:val="auto"/>
      <w:kern w:val="0"/>
      <w:szCs w:val="24"/>
    </w:rPr>
  </w:style>
  <w:style w:type="table" w:styleId="19">
    <w:name w:val="Table Grid"/>
    <w:basedOn w:val="1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0563C1" w:themeColor="hyperlink"/>
      <w:u w:val="single"/>
      <w14:textFill>
        <w14:solidFill>
          <w14:schemeClr w14:val="hlink"/>
        </w14:solidFill>
      </w14:textFill>
    </w:rPr>
  </w:style>
  <w:style w:type="character" w:styleId="22">
    <w:name w:val="annotation reference"/>
    <w:autoRedefine/>
    <w:qFormat/>
    <w:uiPriority w:val="0"/>
    <w:rPr>
      <w:sz w:val="21"/>
      <w:szCs w:val="21"/>
    </w:rPr>
  </w:style>
  <w:style w:type="character" w:customStyle="1" w:styleId="23">
    <w:name w:val="标题 1 字符"/>
    <w:basedOn w:val="20"/>
    <w:link w:val="2"/>
    <w:autoRedefine/>
    <w:qFormat/>
    <w:uiPriority w:val="9"/>
    <w:rPr>
      <w:rFonts w:ascii="宋体" w:hAnsi="宋体" w:eastAsia="宋体" w:cs="宋体"/>
      <w:b/>
      <w:bCs/>
      <w:color w:val="000000"/>
      <w:kern w:val="44"/>
      <w:sz w:val="44"/>
      <w:szCs w:val="44"/>
    </w:rPr>
  </w:style>
  <w:style w:type="character" w:customStyle="1" w:styleId="24">
    <w:name w:val="标题 3 字符"/>
    <w:basedOn w:val="20"/>
    <w:link w:val="4"/>
    <w:autoRedefine/>
    <w:semiHidden/>
    <w:qFormat/>
    <w:uiPriority w:val="9"/>
    <w:rPr>
      <w:rFonts w:ascii="宋体" w:hAnsi="宋体" w:eastAsia="宋体" w:cs="宋体"/>
      <w:b/>
      <w:bCs/>
      <w:color w:val="000000"/>
      <w:sz w:val="32"/>
      <w:szCs w:val="32"/>
    </w:rPr>
  </w:style>
  <w:style w:type="character" w:customStyle="1" w:styleId="25">
    <w:name w:val="标题 2 字符"/>
    <w:basedOn w:val="20"/>
    <w:link w:val="3"/>
    <w:autoRedefine/>
    <w:qFormat/>
    <w:uiPriority w:val="9"/>
    <w:rPr>
      <w:rFonts w:asciiTheme="majorHAnsi" w:hAnsiTheme="majorHAnsi" w:eastAsiaTheme="majorEastAsia" w:cstheme="majorBidi"/>
      <w:b/>
      <w:bCs/>
      <w:color w:val="000000"/>
      <w:sz w:val="32"/>
      <w:szCs w:val="32"/>
    </w:rPr>
  </w:style>
  <w:style w:type="paragraph" w:styleId="26">
    <w:name w:val="List Paragraph"/>
    <w:basedOn w:val="1"/>
    <w:autoRedefine/>
    <w:qFormat/>
    <w:uiPriority w:val="34"/>
    <w:pPr>
      <w:ind w:firstLine="420" w:firstLineChars="200"/>
    </w:pPr>
  </w:style>
  <w:style w:type="character" w:customStyle="1" w:styleId="27">
    <w:name w:val="页眉 字符"/>
    <w:basedOn w:val="20"/>
    <w:link w:val="15"/>
    <w:autoRedefine/>
    <w:qFormat/>
    <w:uiPriority w:val="99"/>
    <w:rPr>
      <w:rFonts w:ascii="宋体" w:hAnsi="宋体" w:eastAsia="宋体" w:cs="宋体"/>
      <w:color w:val="000000"/>
      <w:sz w:val="18"/>
      <w:szCs w:val="18"/>
    </w:rPr>
  </w:style>
  <w:style w:type="character" w:customStyle="1" w:styleId="28">
    <w:name w:val="页脚 字符"/>
    <w:basedOn w:val="20"/>
    <w:link w:val="14"/>
    <w:autoRedefine/>
    <w:qFormat/>
    <w:uiPriority w:val="99"/>
    <w:rPr>
      <w:rFonts w:ascii="宋体" w:hAnsi="宋体" w:eastAsia="宋体" w:cs="宋体"/>
      <w:color w:val="000000"/>
      <w:sz w:val="18"/>
      <w:szCs w:val="18"/>
    </w:rPr>
  </w:style>
  <w:style w:type="paragraph" w:customStyle="1" w:styleId="29">
    <w:name w:val="MM Topic 1"/>
    <w:basedOn w:val="2"/>
    <w:link w:val="30"/>
    <w:autoRedefine/>
    <w:qFormat/>
    <w:uiPriority w:val="0"/>
    <w:pPr>
      <w:widowControl w:val="0"/>
      <w:tabs>
        <w:tab w:val="left" w:pos="425"/>
      </w:tabs>
      <w:ind w:right="0" w:firstLine="0"/>
      <w:jc w:val="both"/>
    </w:pPr>
    <w:rPr>
      <w:rFonts w:ascii="Times New Roman" w:hAnsi="Times New Roman" w:cs="Times New Roman"/>
      <w:color w:val="auto"/>
      <w:lang w:val="zh-CN"/>
    </w:rPr>
  </w:style>
  <w:style w:type="character" w:customStyle="1" w:styleId="30">
    <w:name w:val="MM Topic 1 Char"/>
    <w:link w:val="29"/>
    <w:autoRedefine/>
    <w:qFormat/>
    <w:uiPriority w:val="0"/>
    <w:rPr>
      <w:rFonts w:ascii="Times New Roman" w:hAnsi="Times New Roman" w:eastAsia="宋体" w:cs="Times New Roman"/>
      <w:b/>
      <w:bCs/>
      <w:kern w:val="44"/>
      <w:sz w:val="44"/>
      <w:szCs w:val="44"/>
      <w:lang w:val="zh-CN" w:eastAsia="zh-CN"/>
    </w:rPr>
  </w:style>
  <w:style w:type="paragraph" w:customStyle="1" w:styleId="31">
    <w:name w:val="MM Topic 2"/>
    <w:basedOn w:val="3"/>
    <w:link w:val="36"/>
    <w:autoRedefine/>
    <w:qFormat/>
    <w:uiPriority w:val="0"/>
    <w:pPr>
      <w:widowControl w:val="0"/>
      <w:tabs>
        <w:tab w:val="left" w:pos="992"/>
        <w:tab w:val="clear" w:pos="420"/>
      </w:tabs>
      <w:ind w:right="0" w:firstLine="0"/>
      <w:jc w:val="both"/>
    </w:pPr>
    <w:rPr>
      <w:rFonts w:ascii="Arial" w:hAnsi="Arial" w:eastAsia="黑体" w:cs="Times New Roman"/>
      <w:color w:val="auto"/>
      <w:lang w:val="zh-CN"/>
    </w:rPr>
  </w:style>
  <w:style w:type="paragraph" w:customStyle="1" w:styleId="32">
    <w:name w:val="MM Topic 3"/>
    <w:basedOn w:val="4"/>
    <w:link w:val="37"/>
    <w:autoRedefine/>
    <w:qFormat/>
    <w:uiPriority w:val="0"/>
    <w:pPr>
      <w:widowControl w:val="0"/>
      <w:tabs>
        <w:tab w:val="left" w:pos="7798"/>
      </w:tabs>
      <w:ind w:left="6380" w:right="0" w:firstLine="0"/>
      <w:jc w:val="both"/>
    </w:pPr>
    <w:rPr>
      <w:rFonts w:ascii="Times New Roman" w:hAnsi="Times New Roman" w:cs="Times New Roman"/>
      <w:color w:val="auto"/>
      <w:lang w:val="zh-CN"/>
    </w:rPr>
  </w:style>
  <w:style w:type="paragraph" w:customStyle="1" w:styleId="33">
    <w:name w:val="MM Topic 4"/>
    <w:basedOn w:val="5"/>
    <w:autoRedefine/>
    <w:qFormat/>
    <w:uiPriority w:val="0"/>
    <w:pPr>
      <w:widowControl w:val="0"/>
      <w:ind w:left="2100" w:right="0" w:hanging="420"/>
      <w:jc w:val="both"/>
    </w:pPr>
    <w:rPr>
      <w:rFonts w:ascii="Arial" w:hAnsi="Arial" w:eastAsia="黑体" w:cs="Times New Roman"/>
      <w:color w:val="auto"/>
    </w:rPr>
  </w:style>
  <w:style w:type="paragraph" w:customStyle="1" w:styleId="34">
    <w:name w:val="MM Topic 5"/>
    <w:basedOn w:val="7"/>
    <w:autoRedefine/>
    <w:qFormat/>
    <w:uiPriority w:val="0"/>
    <w:pPr>
      <w:widowControl w:val="0"/>
      <w:ind w:left="2520" w:right="0" w:hanging="420"/>
      <w:jc w:val="both"/>
    </w:pPr>
    <w:rPr>
      <w:rFonts w:ascii="Times New Roman" w:hAnsi="Times New Roman" w:cs="Times New Roman"/>
      <w:color w:val="auto"/>
    </w:rPr>
  </w:style>
  <w:style w:type="paragraph" w:customStyle="1" w:styleId="35">
    <w:name w:val="MM Topic 6"/>
    <w:basedOn w:val="8"/>
    <w:autoRedefine/>
    <w:qFormat/>
    <w:uiPriority w:val="0"/>
    <w:pPr>
      <w:widowControl w:val="0"/>
      <w:ind w:left="2940" w:right="0" w:hanging="420"/>
      <w:jc w:val="both"/>
    </w:pPr>
    <w:rPr>
      <w:rFonts w:ascii="Arial" w:hAnsi="Arial" w:eastAsia="黑体" w:cs="Times New Roman"/>
      <w:color w:val="auto"/>
    </w:rPr>
  </w:style>
  <w:style w:type="character" w:customStyle="1" w:styleId="36">
    <w:name w:val="MM Topic 2 Char"/>
    <w:link w:val="31"/>
    <w:autoRedefine/>
    <w:qFormat/>
    <w:uiPriority w:val="0"/>
    <w:rPr>
      <w:rFonts w:ascii="Arial" w:hAnsi="Arial" w:eastAsia="黑体" w:cs="Times New Roman"/>
      <w:b/>
      <w:bCs/>
      <w:sz w:val="32"/>
      <w:szCs w:val="32"/>
      <w:lang w:val="zh-CN" w:eastAsia="zh-CN"/>
    </w:rPr>
  </w:style>
  <w:style w:type="character" w:customStyle="1" w:styleId="37">
    <w:name w:val="MM Topic 3 Char"/>
    <w:link w:val="32"/>
    <w:autoRedefine/>
    <w:qFormat/>
    <w:uiPriority w:val="0"/>
    <w:rPr>
      <w:rFonts w:ascii="Times New Roman" w:hAnsi="Times New Roman" w:eastAsia="宋体" w:cs="Times New Roman"/>
      <w:b/>
      <w:bCs/>
      <w:sz w:val="32"/>
      <w:szCs w:val="32"/>
      <w:lang w:val="zh-CN" w:eastAsia="zh-CN"/>
    </w:rPr>
  </w:style>
  <w:style w:type="character" w:customStyle="1" w:styleId="38">
    <w:name w:val="标题 4 字符"/>
    <w:basedOn w:val="20"/>
    <w:link w:val="5"/>
    <w:autoRedefine/>
    <w:semiHidden/>
    <w:qFormat/>
    <w:uiPriority w:val="9"/>
    <w:rPr>
      <w:rFonts w:asciiTheme="majorHAnsi" w:hAnsiTheme="majorHAnsi" w:eastAsiaTheme="majorEastAsia" w:cstheme="majorBidi"/>
      <w:b/>
      <w:bCs/>
      <w:color w:val="000000"/>
      <w:sz w:val="28"/>
      <w:szCs w:val="28"/>
    </w:rPr>
  </w:style>
  <w:style w:type="character" w:customStyle="1" w:styleId="39">
    <w:name w:val="标题 5 字符"/>
    <w:basedOn w:val="20"/>
    <w:link w:val="7"/>
    <w:autoRedefine/>
    <w:semiHidden/>
    <w:qFormat/>
    <w:uiPriority w:val="9"/>
    <w:rPr>
      <w:rFonts w:ascii="宋体" w:hAnsi="宋体" w:eastAsia="宋体" w:cs="宋体"/>
      <w:b/>
      <w:bCs/>
      <w:color w:val="000000"/>
      <w:sz w:val="28"/>
      <w:szCs w:val="28"/>
    </w:rPr>
  </w:style>
  <w:style w:type="character" w:customStyle="1" w:styleId="40">
    <w:name w:val="标题 6 字符"/>
    <w:basedOn w:val="20"/>
    <w:link w:val="8"/>
    <w:autoRedefine/>
    <w:qFormat/>
    <w:uiPriority w:val="9"/>
    <w:rPr>
      <w:rFonts w:asciiTheme="majorHAnsi" w:hAnsiTheme="majorHAnsi" w:eastAsiaTheme="majorEastAsia" w:cstheme="majorBidi"/>
      <w:b/>
      <w:bCs/>
      <w:color w:val="000000"/>
      <w:sz w:val="24"/>
      <w:szCs w:val="24"/>
    </w:rPr>
  </w:style>
  <w:style w:type="paragraph" w:customStyle="1" w:styleId="41">
    <w:name w:val="TOC 标题1"/>
    <w:basedOn w:val="2"/>
    <w:next w:val="1"/>
    <w:autoRedefine/>
    <w:unhideWhenUsed/>
    <w:qFormat/>
    <w:uiPriority w:val="39"/>
    <w:pPr>
      <w:spacing w:before="240" w:after="0" w:line="259" w:lineRule="auto"/>
      <w:ind w:right="0" w:firstLine="0"/>
      <w:outlineLvl w:val="9"/>
    </w:pPr>
    <w:rPr>
      <w:rFonts w:asciiTheme="majorHAnsi" w:hAnsiTheme="majorHAnsi" w:eastAsiaTheme="majorEastAsia" w:cstheme="majorBidi"/>
      <w:b w:val="0"/>
      <w:bCs/>
      <w:color w:val="2E75B6" w:themeColor="accent1" w:themeShade="BF"/>
      <w:kern w:val="0"/>
      <w:sz w:val="32"/>
      <w:szCs w:val="32"/>
    </w:rPr>
  </w:style>
  <w:style w:type="paragraph" w:customStyle="1" w:styleId="42">
    <w:name w:val="WPSOffice手动目录 1"/>
    <w:autoRedefine/>
    <w:qFormat/>
    <w:uiPriority w:val="0"/>
    <w:rPr>
      <w:rFonts w:asciiTheme="minorHAnsi" w:hAnsiTheme="minorHAnsi" w:eastAsiaTheme="minorEastAsia" w:cstheme="minorBidi"/>
      <w:lang w:val="en-US" w:eastAsia="zh-CN" w:bidi="ar-SA"/>
    </w:rPr>
  </w:style>
  <w:style w:type="character" w:customStyle="1" w:styleId="43">
    <w:name w:val="font01"/>
    <w:basedOn w:val="20"/>
    <w:autoRedefine/>
    <w:qFormat/>
    <w:uiPriority w:val="0"/>
    <w:rPr>
      <w:rFonts w:hint="default" w:ascii="PMingLiU" w:hAnsi="PMingLiU" w:eastAsia="PMingLiU" w:cs="PMingLiU"/>
      <w:b/>
      <w:bCs/>
      <w:color w:val="000000"/>
      <w:sz w:val="22"/>
      <w:szCs w:val="22"/>
      <w:u w:val="none"/>
    </w:rPr>
  </w:style>
  <w:style w:type="character" w:customStyle="1" w:styleId="44">
    <w:name w:val="font21"/>
    <w:basedOn w:val="20"/>
    <w:autoRedefine/>
    <w:qFormat/>
    <w:uiPriority w:val="0"/>
    <w:rPr>
      <w:rFonts w:hint="eastAsia" w:ascii="宋体" w:hAnsi="宋体" w:eastAsia="宋体" w:cs="宋体"/>
      <w:b/>
      <w:bCs/>
      <w:color w:val="000000"/>
      <w:sz w:val="22"/>
      <w:szCs w:val="22"/>
      <w:u w:val="none"/>
    </w:rPr>
  </w:style>
  <w:style w:type="paragraph" w:customStyle="1" w:styleId="45">
    <w:name w:val="段"/>
    <w:autoRedefine/>
    <w:qFormat/>
    <w:uiPriority w:val="0"/>
    <w:pPr>
      <w:autoSpaceDE w:val="0"/>
      <w:autoSpaceDN w:val="0"/>
      <w:spacing w:after="200" w:line="276" w:lineRule="auto"/>
      <w:ind w:firstLine="200" w:firstLineChars="200"/>
      <w:jc w:val="both"/>
    </w:pPr>
    <w:rPr>
      <w:rFonts w:ascii="宋体" w:hAnsi="Cambria" w:eastAsia="宋体" w:cs="Times New Roman"/>
      <w:sz w:val="21"/>
      <w:szCs w:val="22"/>
      <w:lang w:val="en-US" w:eastAsia="zh-CN" w:bidi="ar-SA"/>
    </w:rPr>
  </w:style>
  <w:style w:type="paragraph" w:customStyle="1" w:styleId="46">
    <w:name w:val="正文正文2"/>
    <w:basedOn w:val="1"/>
    <w:qFormat/>
    <w:uiPriority w:val="0"/>
    <w:pPr>
      <w:ind w:firstLine="460"/>
    </w:pPr>
    <w:rPr>
      <w:sz w:val="21"/>
      <w:szCs w:val="21"/>
    </w:rPr>
  </w:style>
  <w:style w:type="paragraph" w:customStyle="1" w:styleId="47">
    <w:name w:val="B-表正文"/>
    <w:qFormat/>
    <w:uiPriority w:val="0"/>
    <w:rPr>
      <w:rFonts w:ascii="Times New Roman" w:hAnsi="Times New Roman" w:eastAsia="仿宋" w:cstheme="minorBidi"/>
      <w:kern w:val="2"/>
      <w:sz w:val="21"/>
      <w:szCs w:val="24"/>
      <w:lang w:val="en-US" w:eastAsia="zh-CN" w:bidi="ar-SA"/>
    </w:rPr>
  </w:style>
  <w:style w:type="paragraph" w:customStyle="1" w:styleId="48">
    <w:name w:val="正文缩进1"/>
    <w:basedOn w:val="1"/>
    <w:qFormat/>
    <w:uiPriority w:val="0"/>
    <w:pPr>
      <w:spacing w:line="240" w:lineRule="auto"/>
      <w:ind w:firstLine="420"/>
    </w:pPr>
    <w:rPr>
      <w:rFonts w:ascii="Times New Roman" w:hAnsi="Times New Roman"/>
      <w:sz w:val="21"/>
      <w:szCs w:val="20"/>
    </w:rPr>
  </w:style>
  <w:style w:type="character" w:customStyle="1" w:styleId="49">
    <w:name w:val="标题 3 Char"/>
    <w:link w:val="4"/>
    <w:qFormat/>
    <w:uiPriority w:val="0"/>
    <w:rPr>
      <w:b/>
      <w:sz w:val="32"/>
    </w:rPr>
  </w:style>
  <w:style w:type="table" w:customStyle="1" w:styleId="5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75ef8ab9-a88e-44f1-ae5d-cf4b9ded0ab9</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需要</item>
      </candidateList>
      <explain xmlns="http://schemas.wps.cn/vas-ai-hub/contract-review">❶〈动〉应该有或必须有：我们～一支强大的科学技术队伍。❷〈名〉对事物的欲望或要求：从群众的～出发。</explain>
      <paraID xmlns="http://schemas.wps.cn/vas-ai-hub/contract-review">7E5F01E3</paraID>
      <start xmlns="http://schemas.wps.cn/vas-ai-hub/contract-review">154</start>
      <end xmlns="http://schemas.wps.cn/vas-ai-hub/contract-review">156</end>
      <status xmlns="http://schemas.wps.cn/vas-ai-hub/contract-review">modified</status>
      <modifiedWord xmlns="http://schemas.wps.cn/vas-ai-hub/contract-review">需要</modifiedWord>
      <trackRevisions xmlns="http://schemas.wps.cn/vas-ai-hub/contract-review">false</trackRevisions>
    </reviewItem>
    <reviewItem xmlns="http://schemas.wps.cn/vas-ai-hub/contract-review">
      <errorID xmlns="http://schemas.wps.cn/vas-ai-hub/contract-review">aea6f9a8-ba4c-47c4-88e5-656d331c9e89</errorID>
      <errorWord xmlns="http://schemas.wps.cn/vas-ai-hub/contract-review">落实政策中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落实政策</item>
      </candidateList>
      <explain xmlns="http://schemas.wps.cn/vas-ai-hub/contract-review"/>
      <paraID xmlns="http://schemas.wps.cn/vas-ai-hub/contract-review">7E5F01E3</paraID>
      <start xmlns="http://schemas.wps.cn/vas-ai-hub/contract-review">272</start>
      <end xmlns="http://schemas.wps.cn/vas-ai-hub/contract-review">276</end>
      <status xmlns="http://schemas.wps.cn/vas-ai-hub/contract-review">modified</status>
      <modifiedWord xmlns="http://schemas.wps.cn/vas-ai-hub/contract-review">落实政策</modifiedWord>
      <trackRevisions xmlns="http://schemas.wps.cn/vas-ai-hub/contract-review">false</trackRevisions>
    </reviewItem>
    <reviewItem xmlns="http://schemas.wps.cn/vas-ai-hub/contract-review">
      <errorID xmlns="http://schemas.wps.cn/vas-ai-hub/contract-review">97ddab23-d17a-4133-9568-2fcf4d7ae3f4</errorID>
      <errorWord xmlns="http://schemas.wps.cn/vas-ai-hub/contract-review">两个</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两种</item>
      </candidateList>
      <explain xmlns="http://schemas.wps.cn/vas-ai-hub/contract-review"/>
      <paraID xmlns="http://schemas.wps.cn/vas-ai-hub/contract-review">3D40D5EB</paraID>
      <start xmlns="http://schemas.wps.cn/vas-ai-hub/contract-review">48</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aa62b4f4-b7cd-406d-aa1a-8612e8bf790c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 4B9518B</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92c3ec07-aed9-4395-8c1d-0270ea4067f5</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2FFBD701</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dfb47213-0e9d-4432-af0d-8dfee9f19f83</errorID>
      <errorWord xmlns="http://schemas.wps.cn/vas-ai-hub/contract-review">之内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12FD6CD3</paraID>
      <start xmlns="http://schemas.wps.cn/vas-ai-hub/contract-review">33</start>
      <end xmlns="http://schemas.wps.cn/vas-ai-hub/contract-review">34</end>
      <status xmlns="http://schemas.wps.cn/vas-ai-hub/contract-review">modified</status>
      <modifiedWord xmlns="http://schemas.wps.cn/vas-ai-hub/contract-review">内</modifiedWord>
      <trackRevisions xmlns="http://schemas.wps.cn/vas-ai-hub/contract-review">false</trackRevisions>
    </reviewItem>
    <reviewItem xmlns="http://schemas.wps.cn/vas-ai-hub/contract-review">
      <errorID xmlns="http://schemas.wps.cn/vas-ai-hub/contract-review">dc664405-53fc-4df5-93a6-c83afbef0a9d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27</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05d6303f-329d-4146-834b-c5b4fb213dc9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38</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1c9589d4-f1d7-47b1-b353-3ee1ab86e45c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49</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4cb43443-a86c-4b49-b0fe-2e74d48e22bf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60</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30b3d9d2-bad5-4032-be58-4c737e42c162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66</start>
      <end xmlns="http://schemas.wps.cn/vas-ai-hub/contract-review">68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cf598763-e28b-41d3-847f-9fe93fdd9d33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74</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0c995136-226c-4087-9543-3d041b443c53</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4D1B506A</paraID>
      <start xmlns="http://schemas.wps.cn/vas-ai-hub/contract-review">85</start>
      <end xmlns="http://schemas.wps.cn/vas-ai-hub/contract-review">86</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da6a8c75-606c-4cb9-84d1-e69ca9898549</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55B00340</paraID>
      <start xmlns="http://schemas.wps.cn/vas-ai-hub/contract-review">39</start>
      <end xmlns="http://schemas.wps.cn/vas-ai-hub/contract-review">40</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70eca841-8f20-47f8-addf-1b962f112cb4</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49E03066</paraID>
      <start xmlns="http://schemas.wps.cn/vas-ai-hub/contract-review">47</start>
      <end xmlns="http://schemas.wps.cn/vas-ai-hub/contract-review">48</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a0e93ade-71b2-4af3-8ed8-2f08395eff50</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4053EE46</paraID>
      <start xmlns="http://schemas.wps.cn/vas-ai-hub/contract-review">59</start>
      <end xmlns="http://schemas.wps.cn/vas-ai-hub/contract-review">60</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cd82b51c-6eae-489a-ad80-567b30df7694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21B530A4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59db9d67-8b43-44ef-ac6f-560219b4352f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21B530A4</paraID>
      <start xmlns="http://schemas.wps.cn/vas-ai-hub/contract-review">41</start>
      <end xmlns="http://schemas.wps.cn/vas-ai-hub/contract-review">45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78fe0ccd-e3ba-4d33-8c0c-b0a4fcbd38a5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720656DA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5b027500-1176-479a-a2f7-f1259351395d</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720656DA</paraID>
      <start xmlns="http://schemas.wps.cn/vas-ai-hub/contract-review">158</start>
      <end xmlns="http://schemas.wps.cn/vas-ai-hub/contract-review">160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3a0ac57d-c28a-4a2e-97c3-5c66b51ee629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438192C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97df9770-c6ad-4c3a-a611-56ea5e8c2bfa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5E7DEC20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34acb094-c582-4966-a337-3b8474db2dde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49C5B5F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5880944a-062e-43f5-b467-9b54166aefe9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2A3442AB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9d1d835d-b677-445f-836b-606de5c1aee9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70B53CEA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9116203f-d2a1-4bc6-8c2a-cc22aa9fef4d</errorID>
      <errorWord xmlns="http://schemas.wps.cn/vas-ai-hub/contract-review">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权等</item>
      </candidateList>
      <explain xmlns="http://schemas.wps.cn/vas-ai-hub/contract-review"/>
      <paraID xmlns="http://schemas.wps.cn/vas-ai-hub/contract-review">5013E0AA</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61389081-24a0-40e7-b8fc-45755ba9af55</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 46578BD</paraID>
      <start xmlns="http://schemas.wps.cn/vas-ai-hub/contract-review">19</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e92d5760-c668-4bf1-9577-17652a1442ee</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19DB033C</paraID>
      <start xmlns="http://schemas.wps.cn/vas-ai-hub/contract-review">7</start>
      <end xmlns="http://schemas.wps.cn/vas-ai-hub/contract-review">9</end>
      <status xmlns="http://schemas.wps.cn/vas-ai-hub/contract-review">modified</status>
      <modifiedWord xmlns="http://schemas.wps.cn/vas-ai-hub/contract-review">提供</modifiedWord>
      <trackRevisions xmlns="http://schemas.wps.cn/vas-ai-hub/contract-review">false</trackRevisions>
    </reviewItem>
    <reviewItem xmlns="http://schemas.wps.cn/vas-ai-hub/contract-review">
      <errorID xmlns="http://schemas.wps.cn/vas-ai-hub/contract-review">ad363e83-eb58-4fd0-9c29-98f4b12e27bc</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19DB033C</paraID>
      <start xmlns="http://schemas.wps.cn/vas-ai-hub/contract-review">26</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6fc9d37d-9abd-4293-ad2a-ebee5ec9b7de</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3769B4CC</paraID>
      <start xmlns="http://schemas.wps.cn/vas-ai-hub/contract-review">54</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7af50371-0506-4c1d-a850-1325afd2bdfa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190D1B28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072f4a90-88aa-492c-9839-04cf87bc6393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2D49D7F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374cd3bd-953d-45df-a666-2ef1379f5d67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512DB8D8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29220a31-e704-41e9-a451-d45d3668325e</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68F5102D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9cba0-5a1d-4fdf-90a5-0bcfc100c971}">
  <ds:schemaRefs/>
</ds:datastoreItem>
</file>

<file path=customXml/itemProps3.xml><?xml version="1.0" encoding="utf-8"?>
<ds:datastoreItem xmlns:ds="http://schemas.openxmlformats.org/officeDocument/2006/customXml" ds:itemID="{1BD97FFB-92DE-4761-A16C-6DC4202EBBD0}">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29</Pages>
  <Words>5400</Words>
  <Characters>5490</Characters>
  <Lines>4</Lines>
  <Paragraphs>24</Paragraphs>
  <TotalTime>28</TotalTime>
  <ScaleCrop>false</ScaleCrop>
  <LinksUpToDate>false</LinksUpToDate>
  <CharactersWithSpaces>5491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2024-02-06T20:50:00Z</dcterms:created>
  <dc:creator>于龙龙</dc:creator>
  <cp:lastModifiedBy>user</cp:lastModifiedBy>
  <dcterms:modified xsi:type="dcterms:W3CDTF">2026-02-28T08:14:01Z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4FAFB558BE054689891D1D824008C7FA_13</vt:lpwstr>
  </property>
  <property fmtid="{D5CDD505-2E9C-101B-9397-08002B2CF9AE}" pid="4" name="KSOTemplateDocerSaveRecord">
    <vt:lpwstr>eyJoZGlkIjoiNDc2YzMxNzU0YzY2MGI1ZjExZGVmODQ0MDNlNTM0NWMiLCJ1c2VySWQiOiI0Mjc1NjEwMjQifQ==</vt:lpwstr>
  </property>
</Properties>
</file>