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B1E09">
      <w:pPr>
        <w:pStyle w:val="39"/>
        <w:jc w:val="center"/>
      </w:pPr>
      <w:r>
        <w:rPr>
          <w:rFonts w:hint="eastAsia"/>
        </w:rPr>
        <w:t>硬X射线自由电子激光装置-5号井数据采集、存储和计算服务器设备采购需求</w:t>
      </w:r>
    </w:p>
    <w:p w14:paraId="167C15BD">
      <w:pPr>
        <w:spacing w:line="360" w:lineRule="auto"/>
        <w:rPr>
          <w:b/>
          <w:szCs w:val="21"/>
        </w:rPr>
      </w:pPr>
    </w:p>
    <w:p w14:paraId="315ABEAA">
      <w:pPr>
        <w:widowControl/>
        <w:spacing w:line="360" w:lineRule="auto"/>
        <w:jc w:val="left"/>
        <w:rPr>
          <w:b/>
          <w:bCs/>
          <w:kern w:val="0"/>
          <w:szCs w:val="21"/>
        </w:rPr>
      </w:pPr>
      <w:r>
        <w:rPr>
          <w:b/>
          <w:bCs/>
          <w:kern w:val="0"/>
          <w:szCs w:val="21"/>
        </w:rPr>
        <w:t>1. 设备配置清单</w:t>
      </w:r>
    </w:p>
    <w:p w14:paraId="015152C8">
      <w:pPr>
        <w:spacing w:line="360" w:lineRule="auto"/>
        <w:rPr>
          <w:b/>
          <w:szCs w:val="21"/>
        </w:rPr>
      </w:pPr>
      <w:r>
        <w:rPr>
          <w:b/>
          <w:szCs w:val="21"/>
        </w:rPr>
        <w:t>配置清单一览表：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549"/>
        <w:gridCol w:w="850"/>
        <w:gridCol w:w="709"/>
      </w:tblGrid>
      <w:tr w14:paraId="6FF4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49DDB511">
            <w:pPr>
              <w:pStyle w:val="21"/>
              <w:rPr>
                <w:rFonts w:cs="Times New Roman"/>
                <w:szCs w:val="21"/>
              </w:rPr>
            </w:pPr>
            <w:r>
              <w:rPr>
                <w:rFonts w:cs="Times New Roman"/>
                <w:szCs w:val="21"/>
              </w:rPr>
              <w:t>序号</w:t>
            </w:r>
          </w:p>
        </w:tc>
        <w:tc>
          <w:tcPr>
            <w:tcW w:w="3549" w:type="dxa"/>
            <w:vAlign w:val="center"/>
          </w:tcPr>
          <w:p w14:paraId="597824EA">
            <w:pPr>
              <w:pStyle w:val="21"/>
              <w:jc w:val="center"/>
              <w:rPr>
                <w:rFonts w:cs="Times New Roman"/>
                <w:szCs w:val="21"/>
              </w:rPr>
            </w:pPr>
            <w:r>
              <w:rPr>
                <w:rFonts w:cs="Times New Roman"/>
                <w:szCs w:val="21"/>
              </w:rPr>
              <w:t>货物名称</w:t>
            </w:r>
          </w:p>
        </w:tc>
        <w:tc>
          <w:tcPr>
            <w:tcW w:w="850" w:type="dxa"/>
            <w:vAlign w:val="center"/>
          </w:tcPr>
          <w:p w14:paraId="712D19BE">
            <w:pPr>
              <w:pStyle w:val="21"/>
              <w:jc w:val="center"/>
              <w:rPr>
                <w:rFonts w:cs="Times New Roman"/>
                <w:szCs w:val="21"/>
              </w:rPr>
            </w:pPr>
            <w:r>
              <w:rPr>
                <w:rFonts w:cs="Times New Roman"/>
                <w:szCs w:val="21"/>
              </w:rPr>
              <w:t>单位</w:t>
            </w:r>
          </w:p>
        </w:tc>
        <w:tc>
          <w:tcPr>
            <w:tcW w:w="709" w:type="dxa"/>
            <w:vAlign w:val="center"/>
          </w:tcPr>
          <w:p w14:paraId="6A418E13">
            <w:pPr>
              <w:pStyle w:val="21"/>
              <w:jc w:val="center"/>
              <w:rPr>
                <w:rFonts w:cs="Times New Roman"/>
                <w:szCs w:val="21"/>
              </w:rPr>
            </w:pPr>
            <w:r>
              <w:rPr>
                <w:rFonts w:cs="Times New Roman"/>
                <w:szCs w:val="21"/>
              </w:rPr>
              <w:t>数量</w:t>
            </w:r>
          </w:p>
        </w:tc>
      </w:tr>
      <w:tr w14:paraId="3E2D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0C0A1681">
            <w:pPr>
              <w:pStyle w:val="21"/>
              <w:jc w:val="center"/>
              <w:rPr>
                <w:rFonts w:cs="Times New Roman"/>
                <w:szCs w:val="21"/>
              </w:rPr>
            </w:pPr>
            <w:r>
              <w:rPr>
                <w:rFonts w:cs="Times New Roman"/>
                <w:szCs w:val="21"/>
              </w:rPr>
              <w:t>1</w:t>
            </w:r>
          </w:p>
        </w:tc>
        <w:tc>
          <w:tcPr>
            <w:tcW w:w="3549" w:type="dxa"/>
            <w:vAlign w:val="center"/>
          </w:tcPr>
          <w:p w14:paraId="7A0E1C37">
            <w:pPr>
              <w:pStyle w:val="21"/>
              <w:jc w:val="center"/>
              <w:rPr>
                <w:rFonts w:cs="Times New Roman"/>
                <w:szCs w:val="21"/>
              </w:rPr>
            </w:pPr>
            <w:r>
              <w:rPr>
                <w:rFonts w:cs="Times New Roman"/>
                <w:szCs w:val="21"/>
              </w:rPr>
              <w:t>数据采集服务器</w:t>
            </w:r>
          </w:p>
        </w:tc>
        <w:tc>
          <w:tcPr>
            <w:tcW w:w="850" w:type="dxa"/>
            <w:vAlign w:val="center"/>
          </w:tcPr>
          <w:p w14:paraId="0A5D6385">
            <w:pPr>
              <w:pStyle w:val="21"/>
              <w:jc w:val="center"/>
              <w:rPr>
                <w:rFonts w:cs="Times New Roman"/>
                <w:szCs w:val="21"/>
              </w:rPr>
            </w:pPr>
            <w:r>
              <w:rPr>
                <w:rFonts w:cs="Times New Roman"/>
                <w:szCs w:val="21"/>
              </w:rPr>
              <w:t>台</w:t>
            </w:r>
          </w:p>
        </w:tc>
        <w:tc>
          <w:tcPr>
            <w:tcW w:w="709" w:type="dxa"/>
            <w:vAlign w:val="center"/>
          </w:tcPr>
          <w:p w14:paraId="3BBF8A68">
            <w:pPr>
              <w:pStyle w:val="21"/>
              <w:jc w:val="center"/>
              <w:rPr>
                <w:rFonts w:cs="Times New Roman"/>
                <w:szCs w:val="21"/>
              </w:rPr>
            </w:pPr>
            <w:r>
              <w:rPr>
                <w:rFonts w:cs="Times New Roman"/>
                <w:szCs w:val="21"/>
              </w:rPr>
              <w:t>10</w:t>
            </w:r>
          </w:p>
        </w:tc>
      </w:tr>
      <w:tr w14:paraId="0394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74B6F840">
            <w:pPr>
              <w:pStyle w:val="21"/>
              <w:jc w:val="center"/>
              <w:rPr>
                <w:rFonts w:cs="Times New Roman"/>
                <w:szCs w:val="21"/>
              </w:rPr>
            </w:pPr>
            <w:r>
              <w:rPr>
                <w:rFonts w:cs="Times New Roman"/>
                <w:szCs w:val="21"/>
              </w:rPr>
              <w:t>2</w:t>
            </w:r>
          </w:p>
        </w:tc>
        <w:tc>
          <w:tcPr>
            <w:tcW w:w="3549" w:type="dxa"/>
            <w:vAlign w:val="center"/>
          </w:tcPr>
          <w:p w14:paraId="2A5EA8A3">
            <w:pPr>
              <w:pStyle w:val="21"/>
              <w:jc w:val="center"/>
              <w:rPr>
                <w:rFonts w:cs="Times New Roman"/>
                <w:szCs w:val="21"/>
              </w:rPr>
            </w:pPr>
            <w:r>
              <w:rPr>
                <w:rFonts w:hint="eastAsia" w:cs="Times New Roman"/>
                <w:szCs w:val="21"/>
              </w:rPr>
              <w:t>在线分析</w:t>
            </w:r>
            <w:r>
              <w:rPr>
                <w:rFonts w:cs="Times New Roman"/>
                <w:szCs w:val="21"/>
              </w:rPr>
              <w:t>服务器</w:t>
            </w:r>
          </w:p>
        </w:tc>
        <w:tc>
          <w:tcPr>
            <w:tcW w:w="850" w:type="dxa"/>
            <w:vAlign w:val="center"/>
          </w:tcPr>
          <w:p w14:paraId="0C783296">
            <w:pPr>
              <w:pStyle w:val="21"/>
              <w:jc w:val="center"/>
              <w:rPr>
                <w:rFonts w:cs="Times New Roman"/>
                <w:szCs w:val="21"/>
              </w:rPr>
            </w:pPr>
            <w:r>
              <w:rPr>
                <w:rFonts w:cs="Times New Roman"/>
                <w:szCs w:val="21"/>
              </w:rPr>
              <w:t>台</w:t>
            </w:r>
          </w:p>
        </w:tc>
        <w:tc>
          <w:tcPr>
            <w:tcW w:w="709" w:type="dxa"/>
            <w:vAlign w:val="center"/>
          </w:tcPr>
          <w:p w14:paraId="7A394EE6">
            <w:pPr>
              <w:pStyle w:val="21"/>
              <w:jc w:val="center"/>
              <w:rPr>
                <w:rFonts w:cs="Times New Roman"/>
                <w:szCs w:val="21"/>
              </w:rPr>
            </w:pPr>
            <w:r>
              <w:rPr>
                <w:rFonts w:cs="Times New Roman"/>
                <w:szCs w:val="21"/>
              </w:rPr>
              <w:t>20</w:t>
            </w:r>
          </w:p>
        </w:tc>
      </w:tr>
      <w:tr w14:paraId="6090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7D8CA9E5">
            <w:pPr>
              <w:pStyle w:val="21"/>
              <w:jc w:val="center"/>
              <w:rPr>
                <w:rFonts w:cs="Times New Roman"/>
                <w:szCs w:val="21"/>
              </w:rPr>
            </w:pPr>
            <w:r>
              <w:rPr>
                <w:rFonts w:cs="Times New Roman"/>
                <w:szCs w:val="21"/>
              </w:rPr>
              <w:t>3</w:t>
            </w:r>
          </w:p>
        </w:tc>
        <w:tc>
          <w:tcPr>
            <w:tcW w:w="3549" w:type="dxa"/>
            <w:vAlign w:val="center"/>
          </w:tcPr>
          <w:p w14:paraId="185EAAC8">
            <w:pPr>
              <w:pStyle w:val="21"/>
              <w:jc w:val="center"/>
              <w:rPr>
                <w:rFonts w:cs="Times New Roman"/>
                <w:szCs w:val="21"/>
              </w:rPr>
            </w:pPr>
            <w:r>
              <w:rPr>
                <w:rFonts w:cs="Times New Roman"/>
                <w:szCs w:val="21"/>
              </w:rPr>
              <w:t>在线存储服务器</w:t>
            </w:r>
            <w:r>
              <w:rPr>
                <w:rFonts w:hint="eastAsia" w:cs="Times New Roman"/>
                <w:szCs w:val="21"/>
              </w:rPr>
              <w:t>（核心产品）</w:t>
            </w:r>
          </w:p>
        </w:tc>
        <w:tc>
          <w:tcPr>
            <w:tcW w:w="850" w:type="dxa"/>
            <w:vAlign w:val="center"/>
          </w:tcPr>
          <w:p w14:paraId="02CA866A">
            <w:pPr>
              <w:pStyle w:val="21"/>
              <w:jc w:val="center"/>
              <w:rPr>
                <w:rFonts w:cs="Times New Roman"/>
                <w:szCs w:val="21"/>
              </w:rPr>
            </w:pPr>
            <w:r>
              <w:rPr>
                <w:rFonts w:hint="eastAsia" w:cs="Times New Roman"/>
                <w:szCs w:val="21"/>
              </w:rPr>
              <w:t>套</w:t>
            </w:r>
          </w:p>
        </w:tc>
        <w:tc>
          <w:tcPr>
            <w:tcW w:w="709" w:type="dxa"/>
            <w:vAlign w:val="center"/>
          </w:tcPr>
          <w:p w14:paraId="2E933620">
            <w:pPr>
              <w:pStyle w:val="21"/>
              <w:jc w:val="center"/>
              <w:rPr>
                <w:rFonts w:cs="Times New Roman"/>
                <w:szCs w:val="21"/>
              </w:rPr>
            </w:pPr>
            <w:r>
              <w:rPr>
                <w:rFonts w:cs="Times New Roman"/>
                <w:szCs w:val="21"/>
              </w:rPr>
              <w:t>1</w:t>
            </w:r>
          </w:p>
        </w:tc>
      </w:tr>
      <w:tr w14:paraId="0240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14C78AF7">
            <w:pPr>
              <w:pStyle w:val="21"/>
              <w:jc w:val="center"/>
              <w:rPr>
                <w:rFonts w:cs="Times New Roman"/>
                <w:szCs w:val="21"/>
              </w:rPr>
            </w:pPr>
            <w:r>
              <w:rPr>
                <w:rFonts w:cs="Times New Roman"/>
                <w:szCs w:val="21"/>
              </w:rPr>
              <w:t>4</w:t>
            </w:r>
          </w:p>
        </w:tc>
        <w:tc>
          <w:tcPr>
            <w:tcW w:w="3549" w:type="dxa"/>
            <w:vAlign w:val="center"/>
          </w:tcPr>
          <w:p w14:paraId="462AF24F">
            <w:pPr>
              <w:pStyle w:val="21"/>
              <w:jc w:val="center"/>
              <w:rPr>
                <w:rFonts w:cs="Times New Roman"/>
                <w:szCs w:val="21"/>
              </w:rPr>
            </w:pPr>
            <w:r>
              <w:rPr>
                <w:rFonts w:hint="eastAsia" w:cs="Times New Roman"/>
                <w:szCs w:val="21"/>
              </w:rPr>
              <w:t>离线存储服务器</w:t>
            </w:r>
          </w:p>
        </w:tc>
        <w:tc>
          <w:tcPr>
            <w:tcW w:w="850" w:type="dxa"/>
            <w:vAlign w:val="center"/>
          </w:tcPr>
          <w:p w14:paraId="789E8C99">
            <w:pPr>
              <w:pStyle w:val="21"/>
              <w:jc w:val="center"/>
              <w:rPr>
                <w:rFonts w:cs="Times New Roman"/>
                <w:szCs w:val="21"/>
              </w:rPr>
            </w:pPr>
            <w:r>
              <w:rPr>
                <w:rFonts w:hint="eastAsia" w:cs="Times New Roman"/>
                <w:szCs w:val="21"/>
              </w:rPr>
              <w:t>套</w:t>
            </w:r>
          </w:p>
        </w:tc>
        <w:tc>
          <w:tcPr>
            <w:tcW w:w="709" w:type="dxa"/>
            <w:vAlign w:val="center"/>
          </w:tcPr>
          <w:p w14:paraId="7584C9DB">
            <w:pPr>
              <w:pStyle w:val="21"/>
              <w:jc w:val="center"/>
              <w:rPr>
                <w:rFonts w:cs="Times New Roman"/>
                <w:szCs w:val="21"/>
              </w:rPr>
            </w:pPr>
            <w:r>
              <w:rPr>
                <w:rFonts w:cs="Times New Roman"/>
                <w:szCs w:val="21"/>
              </w:rPr>
              <w:t>1</w:t>
            </w:r>
          </w:p>
        </w:tc>
      </w:tr>
      <w:tr w14:paraId="3D89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0C4DCAA9">
            <w:pPr>
              <w:pStyle w:val="21"/>
              <w:jc w:val="center"/>
              <w:rPr>
                <w:rFonts w:cs="Times New Roman"/>
                <w:szCs w:val="21"/>
              </w:rPr>
            </w:pPr>
            <w:r>
              <w:rPr>
                <w:rFonts w:cs="Times New Roman"/>
                <w:szCs w:val="21"/>
              </w:rPr>
              <w:t>5</w:t>
            </w:r>
          </w:p>
        </w:tc>
        <w:tc>
          <w:tcPr>
            <w:tcW w:w="3549" w:type="dxa"/>
            <w:vAlign w:val="center"/>
          </w:tcPr>
          <w:p w14:paraId="1F64649B">
            <w:pPr>
              <w:pStyle w:val="21"/>
              <w:jc w:val="center"/>
              <w:rPr>
                <w:rFonts w:cs="Times New Roman"/>
                <w:szCs w:val="21"/>
              </w:rPr>
            </w:pPr>
            <w:r>
              <w:rPr>
                <w:rFonts w:hint="eastAsia" w:cs="Times New Roman"/>
                <w:szCs w:val="21"/>
              </w:rPr>
              <w:t>数据管理服务器</w:t>
            </w:r>
          </w:p>
        </w:tc>
        <w:tc>
          <w:tcPr>
            <w:tcW w:w="850" w:type="dxa"/>
            <w:vAlign w:val="center"/>
          </w:tcPr>
          <w:p w14:paraId="6974430C">
            <w:pPr>
              <w:pStyle w:val="21"/>
              <w:jc w:val="center"/>
              <w:rPr>
                <w:rFonts w:cs="Times New Roman"/>
                <w:szCs w:val="21"/>
              </w:rPr>
            </w:pPr>
            <w:r>
              <w:rPr>
                <w:rFonts w:hint="eastAsia" w:cs="Times New Roman"/>
                <w:szCs w:val="21"/>
              </w:rPr>
              <w:t>台</w:t>
            </w:r>
          </w:p>
        </w:tc>
        <w:tc>
          <w:tcPr>
            <w:tcW w:w="709" w:type="dxa"/>
            <w:vAlign w:val="center"/>
          </w:tcPr>
          <w:p w14:paraId="2C3D0F85">
            <w:pPr>
              <w:pStyle w:val="21"/>
              <w:jc w:val="center"/>
              <w:rPr>
                <w:rFonts w:cs="Times New Roman"/>
                <w:szCs w:val="21"/>
              </w:rPr>
            </w:pPr>
            <w:r>
              <w:rPr>
                <w:rFonts w:cs="Times New Roman"/>
                <w:szCs w:val="21"/>
              </w:rPr>
              <w:t>4</w:t>
            </w:r>
          </w:p>
        </w:tc>
      </w:tr>
      <w:tr w14:paraId="241E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52F1B33F">
            <w:pPr>
              <w:pStyle w:val="21"/>
              <w:jc w:val="center"/>
              <w:rPr>
                <w:rFonts w:cs="Times New Roman"/>
                <w:szCs w:val="21"/>
              </w:rPr>
            </w:pPr>
            <w:r>
              <w:rPr>
                <w:rFonts w:cs="Times New Roman"/>
                <w:szCs w:val="21"/>
              </w:rPr>
              <w:t>6</w:t>
            </w:r>
          </w:p>
        </w:tc>
        <w:tc>
          <w:tcPr>
            <w:tcW w:w="3549" w:type="dxa"/>
            <w:vAlign w:val="center"/>
          </w:tcPr>
          <w:p w14:paraId="1D766A3B">
            <w:pPr>
              <w:pStyle w:val="21"/>
              <w:jc w:val="center"/>
              <w:rPr>
                <w:rFonts w:cs="Times New Roman"/>
                <w:szCs w:val="21"/>
              </w:rPr>
            </w:pPr>
            <w:r>
              <w:rPr>
                <w:rFonts w:hint="eastAsia" w:cs="Times New Roman"/>
                <w:szCs w:val="21"/>
              </w:rPr>
              <w:t>冷数据归档存储</w:t>
            </w:r>
          </w:p>
        </w:tc>
        <w:tc>
          <w:tcPr>
            <w:tcW w:w="850" w:type="dxa"/>
            <w:vAlign w:val="center"/>
          </w:tcPr>
          <w:p w14:paraId="62D613F3">
            <w:pPr>
              <w:pStyle w:val="21"/>
              <w:jc w:val="center"/>
              <w:rPr>
                <w:rFonts w:cs="Times New Roman"/>
                <w:szCs w:val="21"/>
              </w:rPr>
            </w:pPr>
            <w:r>
              <w:rPr>
                <w:rFonts w:cs="Times New Roman"/>
                <w:szCs w:val="21"/>
              </w:rPr>
              <w:t>套</w:t>
            </w:r>
          </w:p>
        </w:tc>
        <w:tc>
          <w:tcPr>
            <w:tcW w:w="709" w:type="dxa"/>
            <w:vAlign w:val="center"/>
          </w:tcPr>
          <w:p w14:paraId="49C84C29">
            <w:pPr>
              <w:pStyle w:val="21"/>
              <w:jc w:val="center"/>
              <w:rPr>
                <w:rFonts w:cs="Times New Roman"/>
                <w:szCs w:val="21"/>
              </w:rPr>
            </w:pPr>
            <w:r>
              <w:rPr>
                <w:rFonts w:cs="Times New Roman"/>
                <w:szCs w:val="21"/>
              </w:rPr>
              <w:t>1</w:t>
            </w:r>
          </w:p>
        </w:tc>
      </w:tr>
      <w:tr w14:paraId="58BC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4481F736">
            <w:pPr>
              <w:pStyle w:val="21"/>
              <w:jc w:val="center"/>
              <w:rPr>
                <w:rFonts w:cs="Times New Roman"/>
                <w:szCs w:val="21"/>
              </w:rPr>
            </w:pPr>
            <w:r>
              <w:rPr>
                <w:rFonts w:cs="Times New Roman"/>
                <w:szCs w:val="21"/>
              </w:rPr>
              <w:t>7</w:t>
            </w:r>
          </w:p>
        </w:tc>
        <w:tc>
          <w:tcPr>
            <w:tcW w:w="3549" w:type="dxa"/>
            <w:vAlign w:val="center"/>
          </w:tcPr>
          <w:p w14:paraId="48F5AC9B">
            <w:pPr>
              <w:pStyle w:val="21"/>
              <w:jc w:val="center"/>
              <w:rPr>
                <w:rFonts w:cs="Times New Roman"/>
                <w:szCs w:val="21"/>
              </w:rPr>
            </w:pPr>
            <w:r>
              <w:rPr>
                <w:rFonts w:cs="Times New Roman"/>
                <w:szCs w:val="21"/>
              </w:rPr>
              <w:t>现场OPI工作站</w:t>
            </w:r>
          </w:p>
        </w:tc>
        <w:tc>
          <w:tcPr>
            <w:tcW w:w="850" w:type="dxa"/>
            <w:vAlign w:val="center"/>
          </w:tcPr>
          <w:p w14:paraId="13EB95EC">
            <w:pPr>
              <w:pStyle w:val="21"/>
              <w:jc w:val="center"/>
              <w:rPr>
                <w:rFonts w:cs="Times New Roman"/>
                <w:szCs w:val="21"/>
              </w:rPr>
            </w:pPr>
            <w:r>
              <w:rPr>
                <w:rFonts w:cs="Times New Roman"/>
                <w:szCs w:val="21"/>
              </w:rPr>
              <w:t>台</w:t>
            </w:r>
          </w:p>
        </w:tc>
        <w:tc>
          <w:tcPr>
            <w:tcW w:w="709" w:type="dxa"/>
            <w:vAlign w:val="center"/>
          </w:tcPr>
          <w:p w14:paraId="4FE32985">
            <w:pPr>
              <w:pStyle w:val="21"/>
              <w:jc w:val="center"/>
              <w:rPr>
                <w:rFonts w:cs="Times New Roman"/>
                <w:szCs w:val="21"/>
              </w:rPr>
            </w:pPr>
            <w:r>
              <w:rPr>
                <w:rFonts w:cs="Times New Roman"/>
                <w:szCs w:val="21"/>
              </w:rPr>
              <w:t>5</w:t>
            </w:r>
          </w:p>
        </w:tc>
      </w:tr>
      <w:tr w14:paraId="6A75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57AADBF4">
            <w:pPr>
              <w:pStyle w:val="21"/>
              <w:jc w:val="center"/>
              <w:rPr>
                <w:rFonts w:cs="Times New Roman"/>
                <w:szCs w:val="21"/>
              </w:rPr>
            </w:pPr>
            <w:r>
              <w:rPr>
                <w:rFonts w:cs="Times New Roman"/>
                <w:szCs w:val="21"/>
              </w:rPr>
              <w:t>8</w:t>
            </w:r>
          </w:p>
        </w:tc>
        <w:tc>
          <w:tcPr>
            <w:tcW w:w="3549" w:type="dxa"/>
            <w:vAlign w:val="center"/>
          </w:tcPr>
          <w:p w14:paraId="50C50F22">
            <w:pPr>
              <w:pStyle w:val="21"/>
              <w:jc w:val="center"/>
              <w:rPr>
                <w:rFonts w:cs="Times New Roman"/>
                <w:szCs w:val="21"/>
              </w:rPr>
            </w:pPr>
            <w:r>
              <w:rPr>
                <w:rFonts w:cs="Times New Roman"/>
                <w:szCs w:val="21"/>
              </w:rPr>
              <w:t>中控OPI工作站</w:t>
            </w:r>
            <w:r>
              <w:rPr>
                <w:rFonts w:hint="eastAsia" w:cs="Times New Roman"/>
                <w:szCs w:val="21"/>
              </w:rPr>
              <w:t>1</w:t>
            </w:r>
          </w:p>
        </w:tc>
        <w:tc>
          <w:tcPr>
            <w:tcW w:w="850" w:type="dxa"/>
            <w:vAlign w:val="center"/>
          </w:tcPr>
          <w:p w14:paraId="32E26FFB">
            <w:pPr>
              <w:pStyle w:val="21"/>
              <w:jc w:val="center"/>
              <w:rPr>
                <w:rFonts w:cs="Times New Roman"/>
                <w:szCs w:val="21"/>
              </w:rPr>
            </w:pPr>
            <w:r>
              <w:rPr>
                <w:rFonts w:cs="Times New Roman"/>
                <w:szCs w:val="21"/>
              </w:rPr>
              <w:t>台</w:t>
            </w:r>
          </w:p>
        </w:tc>
        <w:tc>
          <w:tcPr>
            <w:tcW w:w="709" w:type="dxa"/>
            <w:vAlign w:val="center"/>
          </w:tcPr>
          <w:p w14:paraId="33EEC7DA">
            <w:pPr>
              <w:pStyle w:val="21"/>
              <w:jc w:val="center"/>
              <w:rPr>
                <w:rFonts w:cs="Times New Roman"/>
                <w:szCs w:val="21"/>
              </w:rPr>
            </w:pPr>
            <w:r>
              <w:rPr>
                <w:rFonts w:cs="Times New Roman"/>
                <w:szCs w:val="21"/>
              </w:rPr>
              <w:t>10</w:t>
            </w:r>
          </w:p>
        </w:tc>
      </w:tr>
      <w:tr w14:paraId="0E0D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41F79AC1">
            <w:pPr>
              <w:pStyle w:val="21"/>
              <w:jc w:val="center"/>
              <w:rPr>
                <w:rFonts w:cs="Times New Roman"/>
                <w:szCs w:val="21"/>
              </w:rPr>
            </w:pPr>
            <w:r>
              <w:rPr>
                <w:rFonts w:cs="Times New Roman"/>
                <w:szCs w:val="21"/>
              </w:rPr>
              <w:t>9</w:t>
            </w:r>
          </w:p>
        </w:tc>
        <w:tc>
          <w:tcPr>
            <w:tcW w:w="3549" w:type="dxa"/>
            <w:vAlign w:val="center"/>
          </w:tcPr>
          <w:p w14:paraId="52F8C7D6">
            <w:pPr>
              <w:pStyle w:val="21"/>
              <w:jc w:val="center"/>
              <w:rPr>
                <w:rFonts w:cs="Times New Roman"/>
                <w:szCs w:val="21"/>
              </w:rPr>
            </w:pPr>
            <w:r>
              <w:rPr>
                <w:rFonts w:cs="Times New Roman"/>
                <w:szCs w:val="21"/>
              </w:rPr>
              <w:t>中控OPI工作站</w:t>
            </w:r>
            <w:r>
              <w:rPr>
                <w:rFonts w:hint="eastAsia" w:cs="Times New Roman"/>
                <w:szCs w:val="21"/>
              </w:rPr>
              <w:t>2</w:t>
            </w:r>
          </w:p>
        </w:tc>
        <w:tc>
          <w:tcPr>
            <w:tcW w:w="850" w:type="dxa"/>
            <w:vAlign w:val="center"/>
          </w:tcPr>
          <w:p w14:paraId="2D1741E6">
            <w:pPr>
              <w:pStyle w:val="21"/>
              <w:jc w:val="center"/>
              <w:rPr>
                <w:rFonts w:cs="Times New Roman"/>
                <w:szCs w:val="21"/>
              </w:rPr>
            </w:pPr>
            <w:r>
              <w:rPr>
                <w:rFonts w:hint="eastAsia" w:cs="Times New Roman"/>
                <w:szCs w:val="21"/>
              </w:rPr>
              <w:t>台</w:t>
            </w:r>
          </w:p>
        </w:tc>
        <w:tc>
          <w:tcPr>
            <w:tcW w:w="709" w:type="dxa"/>
            <w:vAlign w:val="center"/>
          </w:tcPr>
          <w:p w14:paraId="7047D045">
            <w:pPr>
              <w:pStyle w:val="21"/>
              <w:jc w:val="center"/>
              <w:rPr>
                <w:rFonts w:cs="Times New Roman"/>
                <w:szCs w:val="21"/>
              </w:rPr>
            </w:pPr>
            <w:r>
              <w:rPr>
                <w:rFonts w:cs="Times New Roman"/>
                <w:szCs w:val="21"/>
              </w:rPr>
              <w:t>10</w:t>
            </w:r>
          </w:p>
        </w:tc>
      </w:tr>
      <w:tr w14:paraId="246E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45180321">
            <w:pPr>
              <w:pStyle w:val="21"/>
              <w:jc w:val="center"/>
              <w:rPr>
                <w:rFonts w:cs="Times New Roman"/>
                <w:szCs w:val="21"/>
              </w:rPr>
            </w:pPr>
            <w:r>
              <w:rPr>
                <w:rFonts w:cs="Times New Roman"/>
                <w:szCs w:val="21"/>
              </w:rPr>
              <w:t>10</w:t>
            </w:r>
          </w:p>
        </w:tc>
        <w:tc>
          <w:tcPr>
            <w:tcW w:w="3549" w:type="dxa"/>
            <w:vAlign w:val="center"/>
          </w:tcPr>
          <w:p w14:paraId="453CDA10">
            <w:pPr>
              <w:pStyle w:val="21"/>
              <w:jc w:val="center"/>
              <w:rPr>
                <w:rFonts w:cs="Times New Roman"/>
                <w:szCs w:val="21"/>
              </w:rPr>
            </w:pPr>
            <w:r>
              <w:rPr>
                <w:rFonts w:cs="Times New Roman"/>
                <w:szCs w:val="21"/>
              </w:rPr>
              <w:t>移动OPI工作站</w:t>
            </w:r>
          </w:p>
        </w:tc>
        <w:tc>
          <w:tcPr>
            <w:tcW w:w="850" w:type="dxa"/>
            <w:vAlign w:val="center"/>
          </w:tcPr>
          <w:p w14:paraId="4A865FD1">
            <w:pPr>
              <w:pStyle w:val="21"/>
              <w:jc w:val="center"/>
              <w:rPr>
                <w:rFonts w:cs="Times New Roman"/>
                <w:szCs w:val="21"/>
              </w:rPr>
            </w:pPr>
            <w:r>
              <w:rPr>
                <w:rFonts w:cs="Times New Roman"/>
                <w:szCs w:val="21"/>
              </w:rPr>
              <w:t>台</w:t>
            </w:r>
          </w:p>
        </w:tc>
        <w:tc>
          <w:tcPr>
            <w:tcW w:w="709" w:type="dxa"/>
            <w:vAlign w:val="center"/>
          </w:tcPr>
          <w:p w14:paraId="2016C41F">
            <w:pPr>
              <w:pStyle w:val="21"/>
              <w:jc w:val="center"/>
              <w:rPr>
                <w:rFonts w:cs="Times New Roman"/>
                <w:szCs w:val="21"/>
              </w:rPr>
            </w:pPr>
            <w:r>
              <w:rPr>
                <w:rFonts w:cs="Times New Roman"/>
                <w:szCs w:val="21"/>
              </w:rPr>
              <w:t>4</w:t>
            </w:r>
          </w:p>
        </w:tc>
      </w:tr>
      <w:tr w14:paraId="7AF8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48A48FC5">
            <w:pPr>
              <w:pStyle w:val="21"/>
              <w:jc w:val="center"/>
              <w:rPr>
                <w:rFonts w:cs="Times New Roman"/>
                <w:szCs w:val="21"/>
              </w:rPr>
            </w:pPr>
          </w:p>
        </w:tc>
        <w:tc>
          <w:tcPr>
            <w:tcW w:w="3549" w:type="dxa"/>
            <w:vAlign w:val="center"/>
          </w:tcPr>
          <w:p w14:paraId="6C2C4A50">
            <w:pPr>
              <w:pStyle w:val="21"/>
              <w:jc w:val="center"/>
              <w:rPr>
                <w:rFonts w:cs="Times New Roman"/>
                <w:szCs w:val="21"/>
              </w:rPr>
            </w:pPr>
          </w:p>
        </w:tc>
        <w:tc>
          <w:tcPr>
            <w:tcW w:w="850" w:type="dxa"/>
            <w:vAlign w:val="center"/>
          </w:tcPr>
          <w:p w14:paraId="7A2BBF6B">
            <w:pPr>
              <w:pStyle w:val="21"/>
              <w:jc w:val="center"/>
              <w:rPr>
                <w:rFonts w:cs="Times New Roman"/>
                <w:szCs w:val="21"/>
              </w:rPr>
            </w:pPr>
          </w:p>
        </w:tc>
        <w:tc>
          <w:tcPr>
            <w:tcW w:w="709" w:type="dxa"/>
            <w:vAlign w:val="center"/>
          </w:tcPr>
          <w:p w14:paraId="7B5B5C7C">
            <w:pPr>
              <w:pStyle w:val="21"/>
              <w:jc w:val="center"/>
              <w:rPr>
                <w:rFonts w:cs="Times New Roman"/>
                <w:szCs w:val="21"/>
              </w:rPr>
            </w:pPr>
          </w:p>
        </w:tc>
      </w:tr>
    </w:tbl>
    <w:p w14:paraId="7255BB16">
      <w:pPr>
        <w:rPr>
          <w:szCs w:val="21"/>
        </w:rPr>
      </w:pPr>
    </w:p>
    <w:p w14:paraId="40A02355">
      <w:pPr>
        <w:spacing w:line="360" w:lineRule="auto"/>
        <w:rPr>
          <w:b/>
          <w:szCs w:val="21"/>
        </w:rPr>
      </w:pPr>
      <w:r>
        <w:rPr>
          <w:b/>
          <w:szCs w:val="21"/>
        </w:rPr>
        <w:t>2. 主要技术参数：</w:t>
      </w:r>
    </w:p>
    <w:p w14:paraId="0FF9BFAA">
      <w:pPr>
        <w:tabs>
          <w:tab w:val="left" w:pos="1350"/>
        </w:tabs>
        <w:spacing w:line="360" w:lineRule="auto"/>
        <w:rPr>
          <w:szCs w:val="21"/>
        </w:rPr>
      </w:pPr>
      <w:r>
        <w:rPr>
          <w:szCs w:val="21"/>
        </w:rPr>
        <w:t>注：表中“</w:t>
      </w:r>
      <w:r>
        <w:rPr>
          <w:rFonts w:hint="eastAsia"/>
          <w:szCs w:val="21"/>
        </w:rPr>
        <w:t>*</w:t>
      </w:r>
      <w:r>
        <w:rPr>
          <w:szCs w:val="21"/>
        </w:rPr>
        <w:t>”</w:t>
      </w:r>
      <w:r>
        <w:rPr>
          <w:rFonts w:hint="eastAsia"/>
          <w:szCs w:val="21"/>
        </w:rPr>
        <w:t>为实质性要求</w:t>
      </w:r>
      <w:r>
        <w:rPr>
          <w:szCs w:val="21"/>
        </w:rPr>
        <w:t>；“</w:t>
      </w:r>
      <w:r>
        <w:rPr>
          <w:kern w:val="0"/>
          <w:szCs w:val="21"/>
        </w:rPr>
        <w:t>▲</w:t>
      </w:r>
      <w:r>
        <w:rPr>
          <w:szCs w:val="21"/>
        </w:rPr>
        <w:t>”代表重要指标</w:t>
      </w:r>
      <w:r>
        <w:rPr>
          <w:rFonts w:hint="eastAsia"/>
          <w:szCs w:val="21"/>
        </w:rPr>
        <w:t>，为评审因素（▲技术参数）</w:t>
      </w:r>
      <w:r>
        <w:rPr>
          <w:szCs w:val="21"/>
        </w:rPr>
        <w:t>；无标识则表示属一般指标项</w:t>
      </w:r>
      <w:r>
        <w:rPr>
          <w:rFonts w:hint="eastAsia"/>
          <w:szCs w:val="21"/>
        </w:rPr>
        <w:t>，为评审因素（一般技术参数）</w:t>
      </w:r>
      <w:r>
        <w:rPr>
          <w:szCs w:val="21"/>
        </w:rPr>
        <w:t>。</w:t>
      </w:r>
    </w:p>
    <w:p w14:paraId="5F19AD26">
      <w:pPr>
        <w:tabs>
          <w:tab w:val="left" w:pos="1350"/>
        </w:tabs>
        <w:spacing w:line="360" w:lineRule="auto"/>
        <w:rPr>
          <w:szCs w:val="21"/>
        </w:rPr>
      </w:pPr>
      <w:r>
        <w:rPr>
          <w:rFonts w:hint="eastAsia"/>
          <w:szCs w:val="21"/>
        </w:rPr>
        <w:t>“*”指标需提供加盖投标人公章的承诺函，否则视为无</w:t>
      </w:r>
      <w:bookmarkStart w:id="12" w:name="_GoBack"/>
      <w:bookmarkEnd w:id="12"/>
      <w:r>
        <w:rPr>
          <w:rFonts w:hint="eastAsia"/>
          <w:szCs w:val="21"/>
        </w:rPr>
        <w:t>效投标。</w:t>
      </w:r>
    </w:p>
    <w:p w14:paraId="0625B896">
      <w:pPr>
        <w:tabs>
          <w:tab w:val="left" w:pos="1350"/>
        </w:tabs>
        <w:spacing w:line="360" w:lineRule="auto"/>
        <w:rPr>
          <w:szCs w:val="21"/>
        </w:rPr>
      </w:pPr>
      <w:r>
        <w:rPr>
          <w:rFonts w:hint="eastAsia"/>
          <w:szCs w:val="21"/>
        </w:rPr>
        <w:t>“▲”指标均需提供技术支持资料。其中技术支持资料以制造商公开发布的印刷资料（产品彩页、产品说明书、产品白皮书、官网截图）、界面截图、第三方检测机构出具的检测报告或在有效期内的证书扫描件等为准，投标人可以只提供上述材料关键页的复印件，关键页需体现投标产品的品牌、规格型号、相关性能指标，相关性能指标需以醒目的方式标明招标文件技术要求对应的序号，凡不符合上述要求的视为无效技术支持资料。</w:t>
      </w:r>
    </w:p>
    <w:p w14:paraId="5480FB0F">
      <w:pPr>
        <w:rPr>
          <w:b/>
          <w:szCs w:val="21"/>
        </w:rPr>
      </w:pPr>
    </w:p>
    <w:p w14:paraId="204E47CE">
      <w:pPr>
        <w:widowControl/>
        <w:jc w:val="left"/>
        <w:rPr>
          <w:b/>
          <w:szCs w:val="21"/>
        </w:rPr>
      </w:pPr>
      <w:r>
        <w:rPr>
          <w:b/>
          <w:szCs w:val="21"/>
        </w:rPr>
        <w:br w:type="page"/>
      </w:r>
    </w:p>
    <w:p w14:paraId="65F3D7A3">
      <w:pPr>
        <w:rPr>
          <w:b/>
          <w:szCs w:val="21"/>
        </w:rPr>
      </w:pPr>
      <w:r>
        <w:rPr>
          <w:b/>
          <w:szCs w:val="21"/>
        </w:rPr>
        <w:t>（1）数据采集服务器</w:t>
      </w:r>
    </w:p>
    <w:p w14:paraId="08502E87">
      <w:pPr>
        <w:adjustRightInd w:val="0"/>
        <w:snapToGrid w:val="0"/>
        <w:spacing w:line="360" w:lineRule="auto"/>
        <w:ind w:firstLine="525" w:firstLineChars="250"/>
        <w:rPr>
          <w:rFonts w:hint="eastAsia"/>
          <w:b w:val="0"/>
          <w:szCs w:val="21"/>
        </w:rPr>
      </w:pPr>
      <w:r>
        <w:rPr>
          <w:rFonts w:hint="eastAsia"/>
          <w:b w:val="0"/>
          <w:szCs w:val="21"/>
          <w:lang w:eastAsia="zh-CN"/>
        </w:rPr>
        <w:t>技术参数见文件“数据采集服务器、在线分析服务器、数据管理服务器技术参数”的表单“1.数据采集服务器”。</w:t>
      </w:r>
    </w:p>
    <w:p w14:paraId="2AAD2114">
      <w:pPr>
        <w:rPr>
          <w:b/>
          <w:szCs w:val="21"/>
        </w:rPr>
      </w:pPr>
    </w:p>
    <w:p w14:paraId="0715A45F">
      <w:pPr>
        <w:rPr>
          <w:b/>
          <w:szCs w:val="21"/>
        </w:rPr>
      </w:pPr>
      <w:r>
        <w:rPr>
          <w:b/>
          <w:szCs w:val="21"/>
        </w:rPr>
        <w:t>（2）</w:t>
      </w:r>
      <w:r>
        <w:rPr>
          <w:rFonts w:hint="eastAsia"/>
          <w:b/>
          <w:szCs w:val="21"/>
        </w:rPr>
        <w:t>在线分析服务器</w:t>
      </w:r>
    </w:p>
    <w:p w14:paraId="44970454">
      <w:pPr>
        <w:adjustRightInd w:val="0"/>
        <w:snapToGrid w:val="0"/>
        <w:spacing w:line="360" w:lineRule="auto"/>
        <w:ind w:firstLine="525" w:firstLineChars="250"/>
        <w:rPr>
          <w:rFonts w:hint="eastAsia"/>
          <w:b w:val="0"/>
          <w:szCs w:val="21"/>
        </w:rPr>
      </w:pPr>
      <w:r>
        <w:rPr>
          <w:rFonts w:hint="eastAsia"/>
          <w:b w:val="0"/>
          <w:szCs w:val="21"/>
          <w:lang w:eastAsia="zh-CN"/>
        </w:rPr>
        <w:t>技术参数见文件“数据采集服务器、在线分析服务器、数据管理服务器技术参数”的表单“2.在线分析服务器”。</w:t>
      </w:r>
    </w:p>
    <w:p w14:paraId="1895DB2C">
      <w:pPr>
        <w:rPr>
          <w:b/>
          <w:szCs w:val="21"/>
        </w:rPr>
      </w:pPr>
    </w:p>
    <w:p w14:paraId="7191D26A">
      <w:pPr>
        <w:rPr>
          <w:b/>
          <w:szCs w:val="21"/>
        </w:rPr>
      </w:pPr>
      <w:r>
        <w:rPr>
          <w:b/>
          <w:szCs w:val="21"/>
        </w:rPr>
        <w:t>（3）在线存储服务器</w:t>
      </w:r>
      <w:r>
        <w:rPr>
          <w:rFonts w:hint="eastAsia"/>
          <w:b/>
          <w:szCs w:val="21"/>
        </w:rPr>
        <w:t>（核心产品）</w:t>
      </w:r>
    </w:p>
    <w:tbl>
      <w:tblPr>
        <w:tblStyle w:val="14"/>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804"/>
      </w:tblGrid>
      <w:tr w14:paraId="45A9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418" w:type="dxa"/>
            <w:tcBorders>
              <w:bottom w:val="single" w:color="auto" w:sz="4" w:space="0"/>
            </w:tcBorders>
            <w:shd w:val="clear" w:color="auto" w:fill="auto"/>
            <w:vAlign w:val="center"/>
          </w:tcPr>
          <w:p w14:paraId="02421320">
            <w:pPr>
              <w:pStyle w:val="21"/>
              <w:rPr>
                <w:rFonts w:cs="Times New Roman"/>
                <w:szCs w:val="21"/>
              </w:rPr>
            </w:pPr>
            <w:r>
              <w:rPr>
                <w:rFonts w:cs="Times New Roman"/>
                <w:szCs w:val="21"/>
              </w:rPr>
              <w:t>部件</w:t>
            </w:r>
          </w:p>
        </w:tc>
        <w:tc>
          <w:tcPr>
            <w:tcW w:w="6804" w:type="dxa"/>
            <w:tcBorders>
              <w:bottom w:val="single" w:color="auto" w:sz="4" w:space="0"/>
            </w:tcBorders>
            <w:shd w:val="clear" w:color="auto" w:fill="auto"/>
            <w:vAlign w:val="center"/>
          </w:tcPr>
          <w:p w14:paraId="3BE46FFE">
            <w:pPr>
              <w:pStyle w:val="21"/>
              <w:rPr>
                <w:rFonts w:cs="Times New Roman"/>
                <w:szCs w:val="21"/>
              </w:rPr>
            </w:pPr>
            <w:r>
              <w:rPr>
                <w:rFonts w:cs="Times New Roman"/>
                <w:szCs w:val="21"/>
              </w:rPr>
              <w:t>技术要求</w:t>
            </w:r>
          </w:p>
        </w:tc>
      </w:tr>
      <w:tr w14:paraId="5480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073E99DD">
            <w:pPr>
              <w:pStyle w:val="21"/>
              <w:rPr>
                <w:rFonts w:cs="Times New Roman"/>
                <w:szCs w:val="21"/>
              </w:rPr>
            </w:pPr>
            <w:r>
              <w:rPr>
                <w:rFonts w:cs="Times New Roman"/>
                <w:szCs w:val="21"/>
              </w:rPr>
              <w:t>架构</w:t>
            </w:r>
          </w:p>
        </w:tc>
        <w:tc>
          <w:tcPr>
            <w:tcW w:w="6804" w:type="dxa"/>
            <w:shd w:val="clear" w:color="auto" w:fill="auto"/>
            <w:vAlign w:val="center"/>
          </w:tcPr>
          <w:p w14:paraId="07A15D2D">
            <w:pPr>
              <w:pStyle w:val="21"/>
              <w:rPr>
                <w:rFonts w:cs="Times New Roman"/>
                <w:szCs w:val="21"/>
              </w:rPr>
            </w:pPr>
            <w:r>
              <w:rPr>
                <w:rFonts w:cs="Times New Roman"/>
                <w:szCs w:val="21"/>
              </w:rPr>
              <w:t>采用</w:t>
            </w:r>
            <w:r>
              <w:rPr>
                <w:rFonts w:hint="eastAsia" w:cs="Times New Roman"/>
                <w:szCs w:val="21"/>
                <w:lang w:eastAsia="zh-CN"/>
              </w:rPr>
              <w:t>优质</w:t>
            </w:r>
            <w:r>
              <w:rPr>
                <w:rFonts w:cs="Times New Roman"/>
                <w:szCs w:val="21"/>
              </w:rPr>
              <w:t>企业级服务器，非OEM产品</w:t>
            </w:r>
          </w:p>
        </w:tc>
      </w:tr>
      <w:tr w14:paraId="4728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613F601D">
            <w:pPr>
              <w:pStyle w:val="21"/>
              <w:rPr>
                <w:rFonts w:cs="Times New Roman"/>
                <w:szCs w:val="21"/>
              </w:rPr>
            </w:pPr>
            <w:r>
              <w:rPr>
                <w:rFonts w:hint="eastAsia"/>
                <w:szCs w:val="21"/>
              </w:rPr>
              <w:t>*</w:t>
            </w:r>
            <w:r>
              <w:rPr>
                <w:rFonts w:hint="eastAsia" w:cs="Times New Roman"/>
                <w:szCs w:val="21"/>
              </w:rPr>
              <w:t>容量要求</w:t>
            </w:r>
          </w:p>
        </w:tc>
        <w:tc>
          <w:tcPr>
            <w:tcW w:w="6804" w:type="dxa"/>
            <w:shd w:val="clear" w:color="auto" w:fill="auto"/>
            <w:vAlign w:val="center"/>
          </w:tcPr>
          <w:p w14:paraId="57573211">
            <w:pPr>
              <w:pStyle w:val="21"/>
              <w:rPr>
                <w:rFonts w:cs="Times New Roman"/>
                <w:szCs w:val="21"/>
              </w:rPr>
            </w:pPr>
            <w:r>
              <w:rPr>
                <w:rFonts w:cs="Times New Roman"/>
                <w:szCs w:val="21"/>
              </w:rPr>
              <w:t>可用容量≥1PiB（按照1024进位计算，</w:t>
            </w:r>
            <w:r>
              <w:rPr>
                <w:rFonts w:hint="eastAsia" w:cs="Times New Roman"/>
                <w:szCs w:val="21"/>
              </w:rPr>
              <w:t>并且</w:t>
            </w:r>
            <w:r>
              <w:rPr>
                <w:rFonts w:cs="Times New Roman"/>
                <w:szCs w:val="21"/>
              </w:rPr>
              <w:t>扣除所有其他开销）</w:t>
            </w:r>
          </w:p>
        </w:tc>
      </w:tr>
      <w:tr w14:paraId="7CE5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418" w:type="dxa"/>
            <w:vMerge w:val="restart"/>
            <w:shd w:val="clear" w:color="auto" w:fill="auto"/>
            <w:vAlign w:val="center"/>
          </w:tcPr>
          <w:p w14:paraId="53B440F9">
            <w:pPr>
              <w:pStyle w:val="21"/>
              <w:rPr>
                <w:rFonts w:cs="Times New Roman"/>
                <w:szCs w:val="21"/>
              </w:rPr>
            </w:pPr>
            <w:r>
              <w:rPr>
                <w:rFonts w:hint="eastAsia"/>
                <w:szCs w:val="21"/>
              </w:rPr>
              <w:t>*</w:t>
            </w:r>
            <w:r>
              <w:rPr>
                <w:rFonts w:hint="eastAsia" w:cs="Times New Roman"/>
                <w:szCs w:val="21"/>
              </w:rPr>
              <w:t>性能</w:t>
            </w:r>
            <w:r>
              <w:rPr>
                <w:rFonts w:cs="Times New Roman"/>
                <w:szCs w:val="21"/>
              </w:rPr>
              <w:t>要求</w:t>
            </w:r>
          </w:p>
        </w:tc>
        <w:tc>
          <w:tcPr>
            <w:tcW w:w="6804" w:type="dxa"/>
            <w:shd w:val="clear" w:color="auto" w:fill="auto"/>
            <w:vAlign w:val="center"/>
          </w:tcPr>
          <w:p w14:paraId="452D7B74">
            <w:pPr>
              <w:pStyle w:val="21"/>
              <w:rPr>
                <w:rFonts w:cs="Times New Roman"/>
                <w:szCs w:val="21"/>
              </w:rPr>
            </w:pPr>
            <w:r>
              <w:rPr>
                <w:rFonts w:cs="Times New Roman"/>
                <w:szCs w:val="21"/>
              </w:rPr>
              <w:t>存储空间从0~900TiB时候，通过以太网和IB网络多进程读写带宽</w:t>
            </w:r>
            <w:r>
              <w:rPr>
                <w:rFonts w:hint="eastAsia" w:cs="Times New Roman"/>
                <w:szCs w:val="21"/>
              </w:rPr>
              <w:t>都</w:t>
            </w:r>
            <w:r>
              <w:rPr>
                <w:rFonts w:cs="Times New Roman"/>
                <w:szCs w:val="21"/>
              </w:rPr>
              <w:t>不小于100GB/s</w:t>
            </w:r>
            <w:r>
              <w:rPr>
                <w:rFonts w:hint="eastAsia" w:cs="Times New Roman"/>
                <w:szCs w:val="21"/>
              </w:rPr>
              <w:t>，并且单</w:t>
            </w:r>
            <w:r>
              <w:rPr>
                <w:rFonts w:cs="Times New Roman"/>
                <w:szCs w:val="21"/>
              </w:rPr>
              <w:t>进程读写带宽</w:t>
            </w:r>
            <w:r>
              <w:rPr>
                <w:rFonts w:hint="eastAsia" w:cs="Times New Roman"/>
                <w:szCs w:val="21"/>
              </w:rPr>
              <w:t>都</w:t>
            </w:r>
            <w:r>
              <w:rPr>
                <w:rFonts w:cs="Times New Roman"/>
                <w:szCs w:val="21"/>
              </w:rPr>
              <w:t>不小于5GB/s</w:t>
            </w:r>
            <w:r>
              <w:rPr>
                <w:rFonts w:hint="eastAsia" w:cs="Times New Roman"/>
                <w:szCs w:val="21"/>
              </w:rPr>
              <w:t>，读写带宽测试</w:t>
            </w:r>
            <w:r>
              <w:rPr>
                <w:rFonts w:cs="Times New Roman"/>
                <w:szCs w:val="21"/>
              </w:rPr>
              <w:t>要求采用c/c++语言自带的fprintf/fscanf、fwrite/fread等函数的程序实现，非iozone、fio等工具测试结果</w:t>
            </w:r>
          </w:p>
        </w:tc>
      </w:tr>
      <w:tr w14:paraId="7B01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418" w:type="dxa"/>
            <w:vMerge w:val="continue"/>
            <w:shd w:val="clear" w:color="auto" w:fill="auto"/>
            <w:vAlign w:val="center"/>
          </w:tcPr>
          <w:p w14:paraId="786E4CF2">
            <w:pPr>
              <w:pStyle w:val="21"/>
              <w:rPr>
                <w:rFonts w:cs="Times New Roman"/>
                <w:szCs w:val="21"/>
              </w:rPr>
            </w:pPr>
          </w:p>
        </w:tc>
        <w:tc>
          <w:tcPr>
            <w:tcW w:w="6804" w:type="dxa"/>
            <w:shd w:val="clear" w:color="auto" w:fill="auto"/>
            <w:vAlign w:val="center"/>
          </w:tcPr>
          <w:p w14:paraId="3A8AD45A">
            <w:pPr>
              <w:pStyle w:val="21"/>
              <w:rPr>
                <w:rFonts w:cs="Times New Roman"/>
                <w:szCs w:val="21"/>
              </w:rPr>
            </w:pPr>
            <w:r>
              <w:rPr>
                <w:rFonts w:cs="Times New Roman"/>
                <w:szCs w:val="21"/>
              </w:rPr>
              <w:t>通过以太网和IB网络的</w:t>
            </w:r>
            <w:r>
              <w:rPr>
                <w:rFonts w:hint="eastAsia" w:cs="Times New Roman"/>
                <w:szCs w:val="21"/>
              </w:rPr>
              <w:t>4K写IOPS都不小于1</w:t>
            </w:r>
            <w:r>
              <w:rPr>
                <w:rFonts w:cs="Times New Roman"/>
                <w:szCs w:val="21"/>
              </w:rPr>
              <w:t>0</w:t>
            </w:r>
            <w:r>
              <w:rPr>
                <w:rFonts w:hint="eastAsia" w:cs="Times New Roman"/>
                <w:szCs w:val="21"/>
              </w:rPr>
              <w:t>0万，4K读IOPS都不小于2</w:t>
            </w:r>
            <w:r>
              <w:rPr>
                <w:rFonts w:cs="Times New Roman"/>
                <w:szCs w:val="21"/>
              </w:rPr>
              <w:t>0</w:t>
            </w:r>
            <w:r>
              <w:rPr>
                <w:rFonts w:hint="eastAsia" w:cs="Times New Roman"/>
                <w:szCs w:val="21"/>
              </w:rPr>
              <w:t>0万</w:t>
            </w:r>
          </w:p>
        </w:tc>
      </w:tr>
      <w:tr w14:paraId="2C73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0EBEB7C6">
            <w:pPr>
              <w:pStyle w:val="21"/>
              <w:rPr>
                <w:rFonts w:cs="Times New Roman"/>
                <w:szCs w:val="21"/>
              </w:rPr>
            </w:pPr>
            <w:r>
              <w:rPr>
                <w:rFonts w:hint="eastAsia"/>
                <w:szCs w:val="21"/>
              </w:rPr>
              <w:t>*</w:t>
            </w:r>
            <w:r>
              <w:rPr>
                <w:rFonts w:cs="Times New Roman"/>
                <w:szCs w:val="21"/>
              </w:rPr>
              <w:t>文件系统</w:t>
            </w:r>
          </w:p>
        </w:tc>
        <w:tc>
          <w:tcPr>
            <w:tcW w:w="6804" w:type="dxa"/>
            <w:shd w:val="clear" w:color="auto" w:fill="auto"/>
            <w:vAlign w:val="center"/>
          </w:tcPr>
          <w:p w14:paraId="459CD3BD">
            <w:pPr>
              <w:pStyle w:val="21"/>
              <w:rPr>
                <w:rFonts w:cs="Times New Roman"/>
                <w:szCs w:val="21"/>
              </w:rPr>
            </w:pPr>
            <w:r>
              <w:rPr>
                <w:rFonts w:cs="Times New Roman"/>
                <w:szCs w:val="21"/>
              </w:rPr>
              <w:t>采用商业版并行文件系统，投标人应确保该并行文件系统与所投存储产品兼容，且本次所投产品包含所有存储容量的并行文件系统的正版商业License。所有存储服务器可通过该并行文件系统进行统一管理和使用。</w:t>
            </w:r>
          </w:p>
        </w:tc>
      </w:tr>
      <w:tr w14:paraId="0457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70580042">
            <w:pPr>
              <w:pStyle w:val="21"/>
              <w:rPr>
                <w:rFonts w:cs="Times New Roman"/>
                <w:szCs w:val="21"/>
              </w:rPr>
            </w:pPr>
            <w:r>
              <w:rPr>
                <w:kern w:val="0"/>
                <w:szCs w:val="21"/>
              </w:rPr>
              <w:t>▲</w:t>
            </w:r>
            <w:r>
              <w:rPr>
                <w:rFonts w:cs="Times New Roman"/>
                <w:szCs w:val="21"/>
              </w:rPr>
              <w:t>可靠性</w:t>
            </w:r>
          </w:p>
        </w:tc>
        <w:tc>
          <w:tcPr>
            <w:tcW w:w="6804" w:type="dxa"/>
            <w:shd w:val="clear" w:color="auto" w:fill="auto"/>
            <w:vAlign w:val="center"/>
          </w:tcPr>
          <w:p w14:paraId="7B0EDD95">
            <w:pPr>
              <w:pStyle w:val="21"/>
              <w:rPr>
                <w:rFonts w:cs="Times New Roman"/>
                <w:szCs w:val="21"/>
              </w:rPr>
            </w:pPr>
            <w:r>
              <w:rPr>
                <w:rFonts w:cs="Times New Roman"/>
                <w:szCs w:val="21"/>
              </w:rPr>
              <w:t>具备高可靠性，可采用副本/纠删码/RAID等方式保证数据安全冗余度，需保证当任意1个节点/盘柜故障时，业务不中断、数据不丢失并且性能不下降</w:t>
            </w:r>
            <w:r>
              <w:rPr>
                <w:rFonts w:hint="eastAsia" w:cs="Times New Roman"/>
                <w:szCs w:val="21"/>
              </w:rPr>
              <w:t>，存储介质采用企业级硬盘。</w:t>
            </w:r>
          </w:p>
        </w:tc>
      </w:tr>
      <w:tr w14:paraId="2C53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418" w:type="dxa"/>
            <w:shd w:val="clear" w:color="auto" w:fill="auto"/>
            <w:vAlign w:val="center"/>
          </w:tcPr>
          <w:p w14:paraId="2F1C248F">
            <w:pPr>
              <w:pStyle w:val="21"/>
              <w:rPr>
                <w:rFonts w:cs="Times New Roman"/>
                <w:szCs w:val="21"/>
              </w:rPr>
            </w:pPr>
            <w:r>
              <w:rPr>
                <w:kern w:val="0"/>
                <w:szCs w:val="21"/>
              </w:rPr>
              <w:t>▲</w:t>
            </w:r>
            <w:r>
              <w:rPr>
                <w:rFonts w:hint="eastAsia"/>
                <w:kern w:val="0"/>
                <w:szCs w:val="21"/>
              </w:rPr>
              <w:t>数据</w:t>
            </w:r>
            <w:r>
              <w:rPr>
                <w:rFonts w:cs="Times New Roman"/>
                <w:szCs w:val="21"/>
              </w:rPr>
              <w:t>网络</w:t>
            </w:r>
          </w:p>
        </w:tc>
        <w:tc>
          <w:tcPr>
            <w:tcW w:w="6804" w:type="dxa"/>
            <w:shd w:val="clear" w:color="auto" w:fill="auto"/>
            <w:vAlign w:val="center"/>
          </w:tcPr>
          <w:p w14:paraId="65B3586A">
            <w:pPr>
              <w:pStyle w:val="21"/>
              <w:rPr>
                <w:rFonts w:cs="Times New Roman"/>
                <w:szCs w:val="21"/>
              </w:rPr>
            </w:pPr>
            <w:r>
              <w:rPr>
                <w:rFonts w:hint="eastAsia" w:cs="Times New Roman"/>
                <w:szCs w:val="21"/>
              </w:rPr>
              <w:t>同时</w:t>
            </w:r>
            <w:r>
              <w:rPr>
                <w:rFonts w:cs="Times New Roman"/>
                <w:szCs w:val="21"/>
              </w:rPr>
              <w:t>采用200Gbps HDR InfiniBand网络</w:t>
            </w:r>
            <w:r>
              <w:rPr>
                <w:rFonts w:hint="eastAsia" w:cs="Times New Roman"/>
                <w:szCs w:val="21"/>
              </w:rPr>
              <w:t>和</w:t>
            </w:r>
            <w:r>
              <w:rPr>
                <w:rFonts w:cs="Times New Roman"/>
                <w:szCs w:val="21"/>
              </w:rPr>
              <w:t>100Gbps 以太网</w:t>
            </w:r>
            <w:r>
              <w:rPr>
                <w:rFonts w:hint="eastAsia" w:cs="Times New Roman"/>
                <w:szCs w:val="21"/>
              </w:rPr>
              <w:t>（</w:t>
            </w:r>
            <w:r>
              <w:rPr>
                <w:rFonts w:cs="Times New Roman"/>
                <w:szCs w:val="21"/>
              </w:rPr>
              <w:t>支持RoCEv2</w:t>
            </w:r>
            <w:r>
              <w:rPr>
                <w:rFonts w:hint="eastAsia" w:cs="Times New Roman"/>
                <w:szCs w:val="21"/>
              </w:rPr>
              <w:t>）读写数据</w:t>
            </w:r>
          </w:p>
        </w:tc>
      </w:tr>
      <w:tr w14:paraId="32CD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1418" w:type="dxa"/>
            <w:shd w:val="clear" w:color="auto" w:fill="auto"/>
            <w:vAlign w:val="center"/>
          </w:tcPr>
          <w:p w14:paraId="1656AC86">
            <w:pPr>
              <w:pStyle w:val="21"/>
              <w:rPr>
                <w:rFonts w:cs="Times New Roman"/>
                <w:szCs w:val="21"/>
              </w:rPr>
            </w:pPr>
            <w:r>
              <w:rPr>
                <w:rFonts w:hint="eastAsia" w:cs="Times New Roman"/>
                <w:szCs w:val="21"/>
              </w:rPr>
              <w:t>管理网络</w:t>
            </w:r>
          </w:p>
        </w:tc>
        <w:tc>
          <w:tcPr>
            <w:tcW w:w="6804" w:type="dxa"/>
            <w:shd w:val="clear" w:color="auto" w:fill="auto"/>
            <w:vAlign w:val="center"/>
          </w:tcPr>
          <w:p w14:paraId="16255F82">
            <w:pPr>
              <w:pStyle w:val="21"/>
              <w:rPr>
                <w:rFonts w:cs="Times New Roman"/>
                <w:szCs w:val="21"/>
              </w:rPr>
            </w:pPr>
            <w:r>
              <w:rPr>
                <w:rFonts w:cs="Times New Roman"/>
                <w:szCs w:val="21"/>
              </w:rPr>
              <w:t>采用≥</w:t>
            </w:r>
            <w:r>
              <w:rPr>
                <w:rFonts w:hint="eastAsia" w:cs="Times New Roman"/>
                <w:szCs w:val="21"/>
              </w:rPr>
              <w:t>1</w:t>
            </w:r>
            <w:r>
              <w:rPr>
                <w:rFonts w:cs="Times New Roman"/>
                <w:szCs w:val="21"/>
              </w:rPr>
              <w:t>口1Gbps以太网</w:t>
            </w:r>
            <w:r>
              <w:rPr>
                <w:rFonts w:hint="eastAsia" w:cs="Times New Roman"/>
                <w:szCs w:val="21"/>
              </w:rPr>
              <w:t>管理</w:t>
            </w:r>
          </w:p>
        </w:tc>
      </w:tr>
      <w:tr w14:paraId="7BCD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74D2175F">
            <w:pPr>
              <w:pStyle w:val="21"/>
              <w:rPr>
                <w:rFonts w:cs="Times New Roman"/>
                <w:szCs w:val="21"/>
              </w:rPr>
            </w:pPr>
            <w:r>
              <w:rPr>
                <w:rFonts w:cs="Times New Roman"/>
                <w:szCs w:val="21"/>
              </w:rPr>
              <w:t>权限认证管理</w:t>
            </w:r>
          </w:p>
        </w:tc>
        <w:tc>
          <w:tcPr>
            <w:tcW w:w="6804" w:type="dxa"/>
            <w:shd w:val="clear" w:color="auto" w:fill="auto"/>
            <w:vAlign w:val="center"/>
          </w:tcPr>
          <w:p w14:paraId="3AD7971E">
            <w:pPr>
              <w:pStyle w:val="21"/>
              <w:rPr>
                <w:rFonts w:cs="Times New Roman"/>
                <w:szCs w:val="21"/>
              </w:rPr>
            </w:pPr>
            <w:r>
              <w:rPr>
                <w:rFonts w:cs="Times New Roman"/>
                <w:szCs w:val="21"/>
              </w:rPr>
              <w:t>支持按用户/组/目录分别设置配额，支持AD/LDAP/NIS用户认证，支持ACL认证管理</w:t>
            </w:r>
          </w:p>
        </w:tc>
      </w:tr>
      <w:tr w14:paraId="310D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0675574F">
            <w:pPr>
              <w:pStyle w:val="21"/>
              <w:rPr>
                <w:rFonts w:cs="Times New Roman"/>
                <w:szCs w:val="21"/>
              </w:rPr>
            </w:pPr>
            <w:r>
              <w:rPr>
                <w:rFonts w:cs="Times New Roman"/>
                <w:szCs w:val="21"/>
              </w:rPr>
              <w:t>API接口</w:t>
            </w:r>
          </w:p>
        </w:tc>
        <w:tc>
          <w:tcPr>
            <w:tcW w:w="6804" w:type="dxa"/>
            <w:shd w:val="clear" w:color="auto" w:fill="auto"/>
            <w:vAlign w:val="center"/>
          </w:tcPr>
          <w:p w14:paraId="5EA31297">
            <w:pPr>
              <w:pStyle w:val="21"/>
              <w:rPr>
                <w:rFonts w:cs="Times New Roman"/>
                <w:szCs w:val="21"/>
              </w:rPr>
            </w:pPr>
            <w:r>
              <w:rPr>
                <w:rFonts w:cs="Times New Roman"/>
                <w:szCs w:val="21"/>
              </w:rPr>
              <w:t>要求提供标准的API接口，可以供第三方系统调用存储运行信息，包括但不限于：用户/用户组配额及用量，存储整体容量和使用量等</w:t>
            </w:r>
          </w:p>
        </w:tc>
      </w:tr>
      <w:tr w14:paraId="0FCA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5FBB6152">
            <w:pPr>
              <w:pStyle w:val="21"/>
              <w:rPr>
                <w:rFonts w:cs="Times New Roman"/>
                <w:szCs w:val="21"/>
              </w:rPr>
            </w:pPr>
            <w:r>
              <w:rPr>
                <w:rFonts w:cs="Times New Roman"/>
                <w:szCs w:val="21"/>
              </w:rPr>
              <w:t>▲兼容性</w:t>
            </w:r>
          </w:p>
        </w:tc>
        <w:tc>
          <w:tcPr>
            <w:tcW w:w="6804" w:type="dxa"/>
            <w:shd w:val="clear" w:color="auto" w:fill="auto"/>
            <w:vAlign w:val="center"/>
          </w:tcPr>
          <w:p w14:paraId="32916B32">
            <w:pPr>
              <w:pStyle w:val="21"/>
              <w:rPr>
                <w:rFonts w:cs="Times New Roman"/>
                <w:szCs w:val="21"/>
              </w:rPr>
            </w:pPr>
            <w:r>
              <w:rPr>
                <w:rFonts w:cs="Times New Roman"/>
                <w:szCs w:val="21"/>
              </w:rPr>
              <w:t>兼容POSIX标准接口，支持主流Linux、Windows操作系统</w:t>
            </w:r>
            <w:r>
              <w:rPr>
                <w:rFonts w:hint="eastAsia" w:cs="Times New Roman"/>
                <w:szCs w:val="21"/>
              </w:rPr>
              <w:t>的客户端挂载</w:t>
            </w:r>
            <w:r>
              <w:rPr>
                <w:rFonts w:cs="Times New Roman"/>
                <w:szCs w:val="21"/>
              </w:rPr>
              <w:t>，</w:t>
            </w:r>
            <w:r>
              <w:rPr>
                <w:rFonts w:hint="eastAsia" w:cs="Times New Roman"/>
                <w:szCs w:val="21"/>
              </w:rPr>
              <w:t>提供客户端软件截图并加盖公章</w:t>
            </w:r>
          </w:p>
        </w:tc>
      </w:tr>
      <w:tr w14:paraId="0A1B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58379ADE">
            <w:pPr>
              <w:pStyle w:val="21"/>
              <w:rPr>
                <w:rFonts w:cs="Times New Roman"/>
                <w:szCs w:val="21"/>
              </w:rPr>
            </w:pPr>
            <w:r>
              <w:rPr>
                <w:rFonts w:cs="Times New Roman"/>
                <w:szCs w:val="21"/>
              </w:rPr>
              <w:t>电源</w:t>
            </w:r>
          </w:p>
        </w:tc>
        <w:tc>
          <w:tcPr>
            <w:tcW w:w="6804" w:type="dxa"/>
            <w:shd w:val="clear" w:color="auto" w:fill="auto"/>
            <w:vAlign w:val="center"/>
          </w:tcPr>
          <w:p w14:paraId="683D1355">
            <w:pPr>
              <w:pStyle w:val="21"/>
              <w:rPr>
                <w:rFonts w:cs="Times New Roman"/>
                <w:szCs w:val="21"/>
              </w:rPr>
            </w:pPr>
            <w:r>
              <w:rPr>
                <w:rFonts w:cs="Times New Roman"/>
                <w:szCs w:val="21"/>
              </w:rPr>
              <w:t>金牌以上冗余电源，支持热插拔，半数电源不影响服务器性能</w:t>
            </w:r>
          </w:p>
        </w:tc>
      </w:tr>
      <w:tr w14:paraId="1078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trPr>
        <w:tc>
          <w:tcPr>
            <w:tcW w:w="1418" w:type="dxa"/>
            <w:shd w:val="clear" w:color="auto" w:fill="auto"/>
            <w:vAlign w:val="center"/>
          </w:tcPr>
          <w:p w14:paraId="5FA97FDD">
            <w:pPr>
              <w:pStyle w:val="21"/>
              <w:rPr>
                <w:rFonts w:cs="Times New Roman"/>
                <w:szCs w:val="21"/>
              </w:rPr>
            </w:pPr>
            <w:r>
              <w:rPr>
                <w:rFonts w:cs="Times New Roman"/>
                <w:szCs w:val="21"/>
              </w:rPr>
              <w:t>监控要求</w:t>
            </w:r>
          </w:p>
        </w:tc>
        <w:tc>
          <w:tcPr>
            <w:tcW w:w="6804" w:type="dxa"/>
            <w:shd w:val="clear" w:color="auto" w:fill="auto"/>
            <w:vAlign w:val="center"/>
          </w:tcPr>
          <w:p w14:paraId="049B1DC0">
            <w:pPr>
              <w:pStyle w:val="21"/>
              <w:rPr>
                <w:rFonts w:cs="Times New Roman"/>
                <w:szCs w:val="21"/>
              </w:rPr>
            </w:pPr>
            <w:r>
              <w:rPr>
                <w:rFonts w:cs="Times New Roman"/>
                <w:szCs w:val="21"/>
              </w:rPr>
              <w:t>1. 存储集群状态，每个存储节点的服务状态，连接状态，共享磁盘状态，存储节点及磁盘健康情况</w:t>
            </w:r>
          </w:p>
          <w:p w14:paraId="4DD107C5">
            <w:pPr>
              <w:pStyle w:val="21"/>
              <w:rPr>
                <w:rFonts w:cs="Times New Roman"/>
                <w:szCs w:val="21"/>
              </w:rPr>
            </w:pPr>
            <w:r>
              <w:rPr>
                <w:rFonts w:cs="Times New Roman"/>
                <w:szCs w:val="21"/>
              </w:rPr>
              <w:t>2. 文件系统的总读写带宽，读写IOPS，元数据访问性能</w:t>
            </w:r>
          </w:p>
          <w:p w14:paraId="6723F32C">
            <w:pPr>
              <w:pStyle w:val="21"/>
              <w:rPr>
                <w:rFonts w:cs="Times New Roman"/>
                <w:szCs w:val="21"/>
              </w:rPr>
            </w:pPr>
            <w:r>
              <w:rPr>
                <w:rFonts w:cs="Times New Roman"/>
                <w:szCs w:val="21"/>
              </w:rPr>
              <w:t>3. 每台存储及计算节点对并行文件系统的读写速率，读写IOPS，访问元数据压力等</w:t>
            </w:r>
          </w:p>
          <w:p w14:paraId="6934BA52">
            <w:pPr>
              <w:pStyle w:val="21"/>
              <w:rPr>
                <w:rFonts w:cs="Times New Roman"/>
                <w:szCs w:val="21"/>
              </w:rPr>
            </w:pPr>
            <w:r>
              <w:rPr>
                <w:rFonts w:cs="Times New Roman"/>
                <w:szCs w:val="21"/>
              </w:rPr>
              <w:t>4. 每台数据采集和计算节点文件系统挂载状态</w:t>
            </w:r>
          </w:p>
          <w:p w14:paraId="26DCC5BD">
            <w:pPr>
              <w:pStyle w:val="21"/>
              <w:rPr>
                <w:rFonts w:cs="Times New Roman"/>
                <w:szCs w:val="21"/>
              </w:rPr>
            </w:pPr>
            <w:r>
              <w:rPr>
                <w:rFonts w:cs="Times New Roman"/>
                <w:szCs w:val="21"/>
              </w:rPr>
              <w:t>5. 存储节点Infiniband和RoCE网络发送和接收速率，发送和接收数据包数量</w:t>
            </w:r>
          </w:p>
          <w:p w14:paraId="7E9AB75A">
            <w:pPr>
              <w:pStyle w:val="21"/>
              <w:rPr>
                <w:rFonts w:cs="Times New Roman"/>
                <w:szCs w:val="21"/>
              </w:rPr>
            </w:pPr>
            <w:r>
              <w:rPr>
                <w:rFonts w:cs="Times New Roman"/>
                <w:szCs w:val="21"/>
              </w:rPr>
              <w:t>6. 监控存储节点CPU核温度，平均温度，最高、最低温度</w:t>
            </w:r>
          </w:p>
        </w:tc>
      </w:tr>
      <w:tr w14:paraId="0F62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0B2CEB58">
            <w:pPr>
              <w:pStyle w:val="21"/>
              <w:rPr>
                <w:rFonts w:cs="Times New Roman"/>
                <w:szCs w:val="21"/>
              </w:rPr>
            </w:pPr>
            <w:r>
              <w:rPr>
                <w:rFonts w:cs="Times New Roman"/>
                <w:szCs w:val="21"/>
              </w:rPr>
              <w:t>性能分析</w:t>
            </w:r>
          </w:p>
        </w:tc>
        <w:tc>
          <w:tcPr>
            <w:tcW w:w="6804" w:type="dxa"/>
            <w:shd w:val="clear" w:color="auto" w:fill="auto"/>
            <w:vAlign w:val="center"/>
          </w:tcPr>
          <w:p w14:paraId="554D3E79">
            <w:pPr>
              <w:pStyle w:val="21"/>
              <w:rPr>
                <w:rFonts w:cs="Times New Roman"/>
                <w:szCs w:val="21"/>
              </w:rPr>
            </w:pPr>
            <w:r>
              <w:rPr>
                <w:rFonts w:cs="Times New Roman"/>
                <w:szCs w:val="21"/>
              </w:rPr>
              <w:t>配置存储性能收集分析工具，支持图形化界面操作，对存储的容量、带宽、延时、IOPS、队列深度和主机端的CPU、内存、磁盘容量以及主机操作系统版本摘要等进行能收集分析</w:t>
            </w:r>
          </w:p>
        </w:tc>
      </w:tr>
      <w:tr w14:paraId="3216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5205F62D">
            <w:pPr>
              <w:pStyle w:val="21"/>
              <w:rPr>
                <w:rFonts w:cs="Times New Roman"/>
                <w:szCs w:val="21"/>
              </w:rPr>
            </w:pPr>
            <w:r>
              <w:rPr>
                <w:rFonts w:cs="Times New Roman"/>
                <w:szCs w:val="21"/>
              </w:rPr>
              <w:t>管理界面</w:t>
            </w:r>
          </w:p>
        </w:tc>
        <w:tc>
          <w:tcPr>
            <w:tcW w:w="6804" w:type="dxa"/>
            <w:shd w:val="clear" w:color="auto" w:fill="auto"/>
            <w:vAlign w:val="center"/>
          </w:tcPr>
          <w:p w14:paraId="49C1FD14">
            <w:pPr>
              <w:pStyle w:val="21"/>
              <w:rPr>
                <w:rFonts w:cs="Times New Roman"/>
                <w:szCs w:val="21"/>
              </w:rPr>
            </w:pPr>
            <w:r>
              <w:rPr>
                <w:rFonts w:cs="Times New Roman"/>
                <w:szCs w:val="21"/>
              </w:rPr>
              <w:t>提供GUI管理界面，支持运维可视化，无需第三方软件或插件</w:t>
            </w:r>
          </w:p>
        </w:tc>
      </w:tr>
      <w:tr w14:paraId="2189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30FE5681">
            <w:pPr>
              <w:pStyle w:val="21"/>
              <w:rPr>
                <w:rFonts w:cs="Times New Roman"/>
                <w:szCs w:val="21"/>
              </w:rPr>
            </w:pPr>
            <w:r>
              <w:rPr>
                <w:rFonts w:cs="Times New Roman"/>
                <w:szCs w:val="21"/>
              </w:rPr>
              <w:t>可管理型</w:t>
            </w:r>
          </w:p>
        </w:tc>
        <w:tc>
          <w:tcPr>
            <w:tcW w:w="6804" w:type="dxa"/>
            <w:shd w:val="clear" w:color="auto" w:fill="auto"/>
            <w:vAlign w:val="center"/>
          </w:tcPr>
          <w:p w14:paraId="28495D32">
            <w:pPr>
              <w:pStyle w:val="21"/>
              <w:rPr>
                <w:rFonts w:cs="Times New Roman"/>
                <w:szCs w:val="21"/>
              </w:rPr>
            </w:pPr>
            <w:r>
              <w:rPr>
                <w:rFonts w:cs="Times New Roman"/>
                <w:szCs w:val="21"/>
              </w:rPr>
              <w:t>具有单独的管理网口，支持WEB界面的带外管理等，可独立于操作系统运行，实现远程对服务器的完全控制，支持虚拟控制台，支持IPMI和SNMP协议</w:t>
            </w:r>
          </w:p>
        </w:tc>
      </w:tr>
      <w:tr w14:paraId="0374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20182AD6">
            <w:pPr>
              <w:pStyle w:val="21"/>
              <w:rPr>
                <w:rFonts w:cs="Times New Roman"/>
                <w:szCs w:val="21"/>
              </w:rPr>
            </w:pPr>
            <w:r>
              <w:rPr>
                <w:rFonts w:cs="Times New Roman"/>
                <w:szCs w:val="21"/>
              </w:rPr>
              <w:t>其他</w:t>
            </w:r>
          </w:p>
        </w:tc>
        <w:tc>
          <w:tcPr>
            <w:tcW w:w="6804" w:type="dxa"/>
            <w:shd w:val="clear" w:color="auto" w:fill="auto"/>
            <w:vAlign w:val="center"/>
          </w:tcPr>
          <w:p w14:paraId="5A302124">
            <w:pPr>
              <w:pStyle w:val="21"/>
              <w:rPr>
                <w:rFonts w:cs="Times New Roman"/>
                <w:szCs w:val="21"/>
              </w:rPr>
            </w:pPr>
            <w:r>
              <w:rPr>
                <w:rFonts w:cs="Times New Roman"/>
                <w:szCs w:val="21"/>
              </w:rPr>
              <w:t>含线缆、导轨等</w:t>
            </w:r>
          </w:p>
        </w:tc>
      </w:tr>
      <w:tr w14:paraId="4CD4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41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0D1AE04">
            <w:pPr>
              <w:pStyle w:val="21"/>
              <w:rPr>
                <w:rFonts w:cs="Times New Roman"/>
                <w:szCs w:val="21"/>
              </w:rPr>
            </w:pPr>
            <w:r>
              <w:rPr>
                <w:rFonts w:cs="Times New Roman"/>
                <w:szCs w:val="21"/>
              </w:rPr>
              <w:t>售后服务</w:t>
            </w:r>
          </w:p>
        </w:tc>
        <w:tc>
          <w:tcPr>
            <w:tcW w:w="680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70D85DA">
            <w:pPr>
              <w:pStyle w:val="21"/>
              <w:rPr>
                <w:rFonts w:cs="Times New Roman"/>
                <w:szCs w:val="21"/>
              </w:rPr>
            </w:pPr>
            <w:r>
              <w:rPr>
                <w:rFonts w:cs="Times New Roman"/>
                <w:szCs w:val="21"/>
              </w:rPr>
              <w:t>提供原厂5年7x24</w:t>
            </w:r>
            <w:r>
              <w:rPr>
                <w:rFonts w:hint="eastAsia" w:cs="Times New Roman"/>
                <w:szCs w:val="21"/>
              </w:rPr>
              <w:t>小时售后服务</w:t>
            </w:r>
            <w:r>
              <w:rPr>
                <w:rFonts w:cs="Times New Roman"/>
                <w:szCs w:val="21"/>
              </w:rPr>
              <w:t>，</w:t>
            </w:r>
            <w:r>
              <w:rPr>
                <w:rFonts w:hint="eastAsia" w:cs="Times New Roman"/>
                <w:szCs w:val="21"/>
              </w:rPr>
              <w:t>2</w:t>
            </w:r>
            <w:r>
              <w:rPr>
                <w:rFonts w:cs="Times New Roman"/>
                <w:szCs w:val="21"/>
              </w:rPr>
              <w:t>4小时原厂备件上门更换服务</w:t>
            </w:r>
          </w:p>
        </w:tc>
      </w:tr>
    </w:tbl>
    <w:p w14:paraId="7FC77439">
      <w:pPr>
        <w:rPr>
          <w:b/>
          <w:szCs w:val="21"/>
        </w:rPr>
      </w:pPr>
    </w:p>
    <w:p w14:paraId="4C771D0F">
      <w:pPr>
        <w:rPr>
          <w:b/>
          <w:szCs w:val="21"/>
        </w:rPr>
      </w:pPr>
      <w:r>
        <w:rPr>
          <w:b/>
          <w:szCs w:val="21"/>
        </w:rPr>
        <w:t>（4）</w:t>
      </w:r>
      <w:r>
        <w:rPr>
          <w:rFonts w:hint="eastAsia"/>
          <w:b/>
          <w:szCs w:val="21"/>
        </w:rPr>
        <w:t>离</w:t>
      </w:r>
      <w:r>
        <w:rPr>
          <w:b/>
          <w:szCs w:val="21"/>
        </w:rPr>
        <w:t>线存储服务器</w:t>
      </w:r>
    </w:p>
    <w:tbl>
      <w:tblPr>
        <w:tblStyle w:val="14"/>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804"/>
      </w:tblGrid>
      <w:tr w14:paraId="576A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418" w:type="dxa"/>
            <w:tcBorders>
              <w:bottom w:val="single" w:color="auto" w:sz="4" w:space="0"/>
            </w:tcBorders>
            <w:shd w:val="clear" w:color="auto" w:fill="auto"/>
            <w:vAlign w:val="center"/>
          </w:tcPr>
          <w:p w14:paraId="10A2982D">
            <w:pPr>
              <w:pStyle w:val="21"/>
              <w:rPr>
                <w:rFonts w:cs="Times New Roman"/>
                <w:szCs w:val="21"/>
              </w:rPr>
            </w:pPr>
            <w:r>
              <w:rPr>
                <w:rFonts w:cs="Times New Roman"/>
                <w:szCs w:val="21"/>
              </w:rPr>
              <w:t>部件</w:t>
            </w:r>
          </w:p>
        </w:tc>
        <w:tc>
          <w:tcPr>
            <w:tcW w:w="6804" w:type="dxa"/>
            <w:tcBorders>
              <w:bottom w:val="single" w:color="auto" w:sz="4" w:space="0"/>
            </w:tcBorders>
            <w:shd w:val="clear" w:color="auto" w:fill="auto"/>
            <w:vAlign w:val="center"/>
          </w:tcPr>
          <w:p w14:paraId="48B4B403">
            <w:pPr>
              <w:pStyle w:val="21"/>
              <w:rPr>
                <w:rFonts w:cs="Times New Roman"/>
                <w:szCs w:val="21"/>
              </w:rPr>
            </w:pPr>
            <w:r>
              <w:rPr>
                <w:rFonts w:cs="Times New Roman"/>
                <w:szCs w:val="21"/>
              </w:rPr>
              <w:t>技术要求</w:t>
            </w:r>
          </w:p>
        </w:tc>
      </w:tr>
      <w:tr w14:paraId="1D79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35E3EBAC">
            <w:pPr>
              <w:pStyle w:val="21"/>
              <w:rPr>
                <w:rFonts w:cs="Times New Roman"/>
                <w:szCs w:val="21"/>
              </w:rPr>
            </w:pPr>
            <w:r>
              <w:rPr>
                <w:rFonts w:cs="Times New Roman"/>
                <w:szCs w:val="21"/>
              </w:rPr>
              <w:t>架构</w:t>
            </w:r>
          </w:p>
        </w:tc>
        <w:tc>
          <w:tcPr>
            <w:tcW w:w="6804" w:type="dxa"/>
            <w:shd w:val="clear" w:color="auto" w:fill="auto"/>
            <w:vAlign w:val="center"/>
          </w:tcPr>
          <w:p w14:paraId="03D5004D">
            <w:pPr>
              <w:pStyle w:val="21"/>
              <w:rPr>
                <w:rFonts w:cs="Times New Roman"/>
                <w:szCs w:val="21"/>
              </w:rPr>
            </w:pPr>
            <w:r>
              <w:rPr>
                <w:rFonts w:cs="Times New Roman"/>
                <w:szCs w:val="21"/>
              </w:rPr>
              <w:t>采用</w:t>
            </w:r>
            <w:r>
              <w:rPr>
                <w:rFonts w:hint="eastAsia" w:cs="Times New Roman"/>
                <w:szCs w:val="21"/>
                <w:lang w:eastAsia="zh-CN"/>
              </w:rPr>
              <w:t>优质</w:t>
            </w:r>
            <w:r>
              <w:rPr>
                <w:rFonts w:cs="Times New Roman"/>
                <w:szCs w:val="21"/>
              </w:rPr>
              <w:t>企业级服务器，非OEM产品</w:t>
            </w:r>
          </w:p>
        </w:tc>
      </w:tr>
      <w:tr w14:paraId="25FE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5011AC9F">
            <w:pPr>
              <w:pStyle w:val="21"/>
              <w:rPr>
                <w:rFonts w:cs="Times New Roman"/>
                <w:szCs w:val="21"/>
              </w:rPr>
            </w:pPr>
            <w:r>
              <w:rPr>
                <w:rFonts w:hint="eastAsia"/>
                <w:szCs w:val="21"/>
              </w:rPr>
              <w:t>*</w:t>
            </w:r>
            <w:r>
              <w:rPr>
                <w:rFonts w:hint="eastAsia" w:cs="Times New Roman"/>
                <w:szCs w:val="21"/>
              </w:rPr>
              <w:t>容量要求</w:t>
            </w:r>
          </w:p>
        </w:tc>
        <w:tc>
          <w:tcPr>
            <w:tcW w:w="6804" w:type="dxa"/>
            <w:shd w:val="clear" w:color="auto" w:fill="auto"/>
            <w:vAlign w:val="center"/>
          </w:tcPr>
          <w:p w14:paraId="511822DB">
            <w:pPr>
              <w:pStyle w:val="21"/>
              <w:rPr>
                <w:rFonts w:cs="Times New Roman"/>
                <w:szCs w:val="21"/>
              </w:rPr>
            </w:pPr>
            <w:r>
              <w:rPr>
                <w:rFonts w:cs="Times New Roman"/>
                <w:szCs w:val="21"/>
              </w:rPr>
              <w:t>可用容量≥6PiB（按照1024进位计算，</w:t>
            </w:r>
            <w:r>
              <w:rPr>
                <w:rFonts w:hint="eastAsia" w:cs="Times New Roman"/>
                <w:szCs w:val="21"/>
              </w:rPr>
              <w:t>并且</w:t>
            </w:r>
            <w:r>
              <w:rPr>
                <w:rFonts w:cs="Times New Roman"/>
                <w:szCs w:val="21"/>
              </w:rPr>
              <w:t>扣除所有其他开销）</w:t>
            </w:r>
          </w:p>
        </w:tc>
      </w:tr>
      <w:tr w14:paraId="297F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418" w:type="dxa"/>
            <w:shd w:val="clear" w:color="auto" w:fill="auto"/>
            <w:vAlign w:val="center"/>
          </w:tcPr>
          <w:p w14:paraId="1FA8AEA1">
            <w:pPr>
              <w:pStyle w:val="21"/>
              <w:rPr>
                <w:rFonts w:cs="Times New Roman"/>
                <w:szCs w:val="21"/>
              </w:rPr>
            </w:pPr>
            <w:r>
              <w:rPr>
                <w:rFonts w:hint="eastAsia"/>
                <w:szCs w:val="21"/>
              </w:rPr>
              <w:t>*</w:t>
            </w:r>
            <w:r>
              <w:rPr>
                <w:rFonts w:hint="eastAsia" w:cs="Times New Roman"/>
                <w:szCs w:val="21"/>
              </w:rPr>
              <w:t>性能</w:t>
            </w:r>
            <w:r>
              <w:rPr>
                <w:rFonts w:cs="Times New Roman"/>
                <w:szCs w:val="21"/>
              </w:rPr>
              <w:t>要求</w:t>
            </w:r>
          </w:p>
        </w:tc>
        <w:tc>
          <w:tcPr>
            <w:tcW w:w="6804" w:type="dxa"/>
            <w:shd w:val="clear" w:color="auto" w:fill="auto"/>
            <w:vAlign w:val="center"/>
          </w:tcPr>
          <w:p w14:paraId="2540295C">
            <w:pPr>
              <w:pStyle w:val="21"/>
              <w:rPr>
                <w:rFonts w:cs="Times New Roman"/>
                <w:szCs w:val="21"/>
              </w:rPr>
            </w:pPr>
            <w:r>
              <w:rPr>
                <w:rFonts w:cs="Times New Roman"/>
                <w:szCs w:val="21"/>
              </w:rPr>
              <w:t>通过以太网和IB网络多进程读写带宽</w:t>
            </w:r>
            <w:r>
              <w:rPr>
                <w:rFonts w:hint="eastAsia" w:cs="Times New Roman"/>
                <w:szCs w:val="21"/>
              </w:rPr>
              <w:t>都</w:t>
            </w:r>
            <w:r>
              <w:rPr>
                <w:rFonts w:cs="Times New Roman"/>
                <w:szCs w:val="21"/>
              </w:rPr>
              <w:t>不小于20GB/s</w:t>
            </w:r>
            <w:r>
              <w:rPr>
                <w:rFonts w:hint="eastAsia" w:cs="Times New Roman"/>
                <w:szCs w:val="21"/>
              </w:rPr>
              <w:t>，读写带宽测试</w:t>
            </w:r>
            <w:r>
              <w:rPr>
                <w:rFonts w:cs="Times New Roman"/>
                <w:szCs w:val="21"/>
              </w:rPr>
              <w:t>要求采用c/c++语言自带的fprintf/fscanf、fwrite/fread等函数的程序实现，非iozone、fio等工具测试结果</w:t>
            </w:r>
          </w:p>
        </w:tc>
      </w:tr>
      <w:tr w14:paraId="106C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5D381478">
            <w:pPr>
              <w:pStyle w:val="21"/>
              <w:rPr>
                <w:rFonts w:cs="Times New Roman"/>
                <w:szCs w:val="21"/>
              </w:rPr>
            </w:pPr>
            <w:r>
              <w:rPr>
                <w:rFonts w:hint="eastAsia"/>
                <w:szCs w:val="21"/>
              </w:rPr>
              <w:t>*</w:t>
            </w:r>
            <w:r>
              <w:rPr>
                <w:rFonts w:cs="Times New Roman"/>
                <w:szCs w:val="21"/>
              </w:rPr>
              <w:t>文件系统</w:t>
            </w:r>
          </w:p>
        </w:tc>
        <w:tc>
          <w:tcPr>
            <w:tcW w:w="6804" w:type="dxa"/>
            <w:shd w:val="clear" w:color="auto" w:fill="auto"/>
            <w:vAlign w:val="center"/>
          </w:tcPr>
          <w:p w14:paraId="4B763215">
            <w:pPr>
              <w:pStyle w:val="21"/>
              <w:rPr>
                <w:rFonts w:cs="Times New Roman"/>
                <w:szCs w:val="21"/>
              </w:rPr>
            </w:pPr>
            <w:r>
              <w:rPr>
                <w:rFonts w:cs="Times New Roman"/>
                <w:szCs w:val="21"/>
              </w:rPr>
              <w:t>采用商业版并行文件系统，投标人应确保该并行文件系统与所投存储产品兼容，且本次所投产品包含所有存储容量的并行文件系统的正版商业License。所有存储服务器可通过该并行文件系统进行统一管理和使用。</w:t>
            </w:r>
          </w:p>
        </w:tc>
      </w:tr>
      <w:tr w14:paraId="120F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23A48E0E">
            <w:pPr>
              <w:pStyle w:val="21"/>
              <w:rPr>
                <w:rFonts w:cs="Times New Roman"/>
                <w:szCs w:val="21"/>
              </w:rPr>
            </w:pPr>
            <w:r>
              <w:rPr>
                <w:kern w:val="0"/>
                <w:szCs w:val="21"/>
              </w:rPr>
              <w:t>▲</w:t>
            </w:r>
            <w:r>
              <w:rPr>
                <w:rFonts w:cs="Times New Roman"/>
                <w:szCs w:val="21"/>
              </w:rPr>
              <w:t>可靠性</w:t>
            </w:r>
          </w:p>
        </w:tc>
        <w:tc>
          <w:tcPr>
            <w:tcW w:w="6804" w:type="dxa"/>
            <w:shd w:val="clear" w:color="auto" w:fill="auto"/>
            <w:vAlign w:val="center"/>
          </w:tcPr>
          <w:p w14:paraId="7AEA857A">
            <w:pPr>
              <w:pStyle w:val="21"/>
              <w:rPr>
                <w:rFonts w:cs="Times New Roman"/>
                <w:szCs w:val="21"/>
              </w:rPr>
            </w:pPr>
            <w:r>
              <w:rPr>
                <w:rFonts w:cs="Times New Roman"/>
                <w:szCs w:val="21"/>
              </w:rPr>
              <w:t>具备高可靠性，可采用副本/纠删码/RAID等方式保证数据安全冗余度，需保证当任意1个节点/盘柜故障时，业务不中断、数据不丢失并且性能不下降</w:t>
            </w:r>
            <w:r>
              <w:rPr>
                <w:rFonts w:hint="eastAsia" w:cs="Times New Roman"/>
                <w:szCs w:val="21"/>
              </w:rPr>
              <w:t>，存储介质采用企业级硬盘。</w:t>
            </w:r>
          </w:p>
        </w:tc>
      </w:tr>
      <w:tr w14:paraId="721E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418" w:type="dxa"/>
            <w:shd w:val="clear" w:color="auto" w:fill="auto"/>
            <w:vAlign w:val="center"/>
          </w:tcPr>
          <w:p w14:paraId="783D00FB">
            <w:pPr>
              <w:pStyle w:val="21"/>
              <w:rPr>
                <w:rFonts w:cs="Times New Roman"/>
                <w:szCs w:val="21"/>
              </w:rPr>
            </w:pPr>
            <w:r>
              <w:rPr>
                <w:kern w:val="0"/>
                <w:szCs w:val="21"/>
              </w:rPr>
              <w:t>▲</w:t>
            </w:r>
            <w:r>
              <w:rPr>
                <w:rFonts w:hint="eastAsia"/>
                <w:kern w:val="0"/>
                <w:szCs w:val="21"/>
              </w:rPr>
              <w:t>数据</w:t>
            </w:r>
            <w:r>
              <w:rPr>
                <w:rFonts w:cs="Times New Roman"/>
                <w:szCs w:val="21"/>
              </w:rPr>
              <w:t>网络</w:t>
            </w:r>
          </w:p>
        </w:tc>
        <w:tc>
          <w:tcPr>
            <w:tcW w:w="6804" w:type="dxa"/>
            <w:shd w:val="clear" w:color="auto" w:fill="auto"/>
            <w:vAlign w:val="center"/>
          </w:tcPr>
          <w:p w14:paraId="575BA6E7">
            <w:pPr>
              <w:pStyle w:val="21"/>
              <w:rPr>
                <w:rFonts w:cs="Times New Roman"/>
                <w:szCs w:val="21"/>
              </w:rPr>
            </w:pPr>
            <w:r>
              <w:rPr>
                <w:rFonts w:hint="eastAsia" w:cs="Times New Roman"/>
                <w:szCs w:val="21"/>
              </w:rPr>
              <w:t>同时</w:t>
            </w:r>
            <w:r>
              <w:rPr>
                <w:rFonts w:cs="Times New Roman"/>
                <w:szCs w:val="21"/>
              </w:rPr>
              <w:t>采用200Gbps HDR InfiniBand网络</w:t>
            </w:r>
            <w:r>
              <w:rPr>
                <w:rFonts w:hint="eastAsia" w:cs="Times New Roman"/>
                <w:szCs w:val="21"/>
              </w:rPr>
              <w:t>和</w:t>
            </w:r>
            <w:r>
              <w:rPr>
                <w:rFonts w:cs="Times New Roman"/>
                <w:szCs w:val="21"/>
              </w:rPr>
              <w:t>100Gbps 以太网</w:t>
            </w:r>
            <w:r>
              <w:rPr>
                <w:rFonts w:hint="eastAsia" w:cs="Times New Roman"/>
                <w:szCs w:val="21"/>
              </w:rPr>
              <w:t>（</w:t>
            </w:r>
            <w:r>
              <w:rPr>
                <w:rFonts w:cs="Times New Roman"/>
                <w:szCs w:val="21"/>
              </w:rPr>
              <w:t>支持RoCEv2</w:t>
            </w:r>
            <w:r>
              <w:rPr>
                <w:rFonts w:hint="eastAsia" w:cs="Times New Roman"/>
                <w:szCs w:val="21"/>
              </w:rPr>
              <w:t>）读写数据</w:t>
            </w:r>
          </w:p>
        </w:tc>
      </w:tr>
      <w:tr w14:paraId="44BB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1418" w:type="dxa"/>
            <w:shd w:val="clear" w:color="auto" w:fill="auto"/>
            <w:vAlign w:val="center"/>
          </w:tcPr>
          <w:p w14:paraId="20C67E76">
            <w:pPr>
              <w:pStyle w:val="21"/>
              <w:rPr>
                <w:rFonts w:cs="Times New Roman"/>
                <w:szCs w:val="21"/>
              </w:rPr>
            </w:pPr>
            <w:r>
              <w:rPr>
                <w:rFonts w:hint="eastAsia" w:cs="Times New Roman"/>
                <w:szCs w:val="21"/>
              </w:rPr>
              <w:t>管理网络</w:t>
            </w:r>
          </w:p>
        </w:tc>
        <w:tc>
          <w:tcPr>
            <w:tcW w:w="6804" w:type="dxa"/>
            <w:shd w:val="clear" w:color="auto" w:fill="auto"/>
            <w:vAlign w:val="center"/>
          </w:tcPr>
          <w:p w14:paraId="79EE4437">
            <w:pPr>
              <w:pStyle w:val="21"/>
              <w:rPr>
                <w:rFonts w:cs="Times New Roman"/>
                <w:szCs w:val="21"/>
              </w:rPr>
            </w:pPr>
            <w:r>
              <w:rPr>
                <w:rFonts w:cs="Times New Roman"/>
                <w:szCs w:val="21"/>
              </w:rPr>
              <w:t>采用≥</w:t>
            </w:r>
            <w:r>
              <w:rPr>
                <w:rFonts w:hint="eastAsia" w:cs="Times New Roman"/>
                <w:szCs w:val="21"/>
              </w:rPr>
              <w:t>1</w:t>
            </w:r>
            <w:r>
              <w:rPr>
                <w:rFonts w:cs="Times New Roman"/>
                <w:szCs w:val="21"/>
              </w:rPr>
              <w:t>口1Gbps以太网</w:t>
            </w:r>
            <w:r>
              <w:rPr>
                <w:rFonts w:hint="eastAsia" w:cs="Times New Roman"/>
                <w:szCs w:val="21"/>
              </w:rPr>
              <w:t>管理</w:t>
            </w:r>
          </w:p>
        </w:tc>
      </w:tr>
      <w:tr w14:paraId="7344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shd w:val="clear" w:color="auto" w:fill="auto"/>
            <w:vAlign w:val="center"/>
          </w:tcPr>
          <w:p w14:paraId="75951171">
            <w:pPr>
              <w:pStyle w:val="21"/>
              <w:rPr>
                <w:rFonts w:cs="Times New Roman"/>
                <w:szCs w:val="21"/>
              </w:rPr>
            </w:pPr>
            <w:r>
              <w:rPr>
                <w:rFonts w:cs="Times New Roman"/>
                <w:szCs w:val="21"/>
              </w:rPr>
              <w:t>权限认证管理</w:t>
            </w:r>
          </w:p>
        </w:tc>
        <w:tc>
          <w:tcPr>
            <w:tcW w:w="6804" w:type="dxa"/>
            <w:shd w:val="clear" w:color="auto" w:fill="auto"/>
            <w:vAlign w:val="center"/>
          </w:tcPr>
          <w:p w14:paraId="72CB107D">
            <w:pPr>
              <w:pStyle w:val="21"/>
              <w:rPr>
                <w:rFonts w:cs="Times New Roman"/>
                <w:szCs w:val="21"/>
              </w:rPr>
            </w:pPr>
            <w:r>
              <w:rPr>
                <w:rFonts w:cs="Times New Roman"/>
                <w:szCs w:val="21"/>
              </w:rPr>
              <w:t>支持按用户/组/目录分别设置配额，支持AD/LDAP/NIS用户认证，支持ACL认证管理</w:t>
            </w:r>
          </w:p>
        </w:tc>
      </w:tr>
      <w:tr w14:paraId="3562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237F87E5">
            <w:pPr>
              <w:pStyle w:val="21"/>
              <w:rPr>
                <w:rFonts w:cs="Times New Roman"/>
                <w:szCs w:val="21"/>
              </w:rPr>
            </w:pPr>
            <w:r>
              <w:rPr>
                <w:rFonts w:cs="Times New Roman"/>
                <w:szCs w:val="21"/>
              </w:rPr>
              <w:t>API接口</w:t>
            </w:r>
          </w:p>
        </w:tc>
        <w:tc>
          <w:tcPr>
            <w:tcW w:w="6804" w:type="dxa"/>
            <w:shd w:val="clear" w:color="auto" w:fill="auto"/>
            <w:vAlign w:val="center"/>
          </w:tcPr>
          <w:p w14:paraId="6E8D14C2">
            <w:pPr>
              <w:pStyle w:val="21"/>
              <w:rPr>
                <w:rFonts w:cs="Times New Roman"/>
                <w:szCs w:val="21"/>
              </w:rPr>
            </w:pPr>
            <w:r>
              <w:rPr>
                <w:rFonts w:cs="Times New Roman"/>
                <w:szCs w:val="21"/>
              </w:rPr>
              <w:t>要求提供标准的API接口，可以供第三方系统调用存储运行信息，包括但不限于：用户/用户组配额及用量，存储整体容量和使用量等</w:t>
            </w:r>
          </w:p>
        </w:tc>
      </w:tr>
      <w:tr w14:paraId="14F1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197039DA">
            <w:pPr>
              <w:pStyle w:val="21"/>
              <w:rPr>
                <w:rFonts w:cs="Times New Roman"/>
                <w:szCs w:val="21"/>
              </w:rPr>
            </w:pPr>
            <w:r>
              <w:rPr>
                <w:rFonts w:cs="Times New Roman"/>
                <w:szCs w:val="21"/>
              </w:rPr>
              <w:t>▲兼容性</w:t>
            </w:r>
          </w:p>
        </w:tc>
        <w:tc>
          <w:tcPr>
            <w:tcW w:w="6804" w:type="dxa"/>
            <w:shd w:val="clear" w:color="auto" w:fill="auto"/>
            <w:vAlign w:val="center"/>
          </w:tcPr>
          <w:p w14:paraId="01682F79">
            <w:pPr>
              <w:pStyle w:val="21"/>
              <w:rPr>
                <w:rFonts w:cs="Times New Roman"/>
                <w:szCs w:val="21"/>
              </w:rPr>
            </w:pPr>
            <w:r>
              <w:rPr>
                <w:rFonts w:cs="Times New Roman"/>
                <w:szCs w:val="21"/>
              </w:rPr>
              <w:t>兼容POSIX标准接口，支持主流Linux、Windows操作系统</w:t>
            </w:r>
            <w:r>
              <w:rPr>
                <w:rFonts w:hint="eastAsia" w:cs="Times New Roman"/>
                <w:szCs w:val="21"/>
              </w:rPr>
              <w:t>的客户端挂载</w:t>
            </w:r>
            <w:r>
              <w:rPr>
                <w:rFonts w:cs="Times New Roman"/>
                <w:szCs w:val="21"/>
              </w:rPr>
              <w:t>，</w:t>
            </w:r>
            <w:r>
              <w:rPr>
                <w:rFonts w:hint="eastAsia" w:cs="Times New Roman"/>
                <w:szCs w:val="21"/>
              </w:rPr>
              <w:t>提供客户端软件截图并加盖公章</w:t>
            </w:r>
          </w:p>
        </w:tc>
      </w:tr>
      <w:tr w14:paraId="2E87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2071705C">
            <w:pPr>
              <w:pStyle w:val="21"/>
              <w:rPr>
                <w:rFonts w:cs="Times New Roman"/>
                <w:szCs w:val="21"/>
              </w:rPr>
            </w:pPr>
            <w:r>
              <w:rPr>
                <w:rFonts w:cs="Times New Roman"/>
                <w:szCs w:val="21"/>
              </w:rPr>
              <w:t>电源</w:t>
            </w:r>
          </w:p>
        </w:tc>
        <w:tc>
          <w:tcPr>
            <w:tcW w:w="6804" w:type="dxa"/>
            <w:shd w:val="clear" w:color="auto" w:fill="auto"/>
            <w:vAlign w:val="center"/>
          </w:tcPr>
          <w:p w14:paraId="3AF044B0">
            <w:pPr>
              <w:pStyle w:val="21"/>
              <w:rPr>
                <w:rFonts w:cs="Times New Roman"/>
                <w:szCs w:val="21"/>
              </w:rPr>
            </w:pPr>
            <w:r>
              <w:rPr>
                <w:rFonts w:cs="Times New Roman"/>
                <w:szCs w:val="21"/>
              </w:rPr>
              <w:t>金牌以上冗余电源，支持热插拔，半数电源不影响服务器性能</w:t>
            </w:r>
          </w:p>
        </w:tc>
      </w:tr>
      <w:tr w14:paraId="1C16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trPr>
        <w:tc>
          <w:tcPr>
            <w:tcW w:w="1418" w:type="dxa"/>
            <w:shd w:val="clear" w:color="auto" w:fill="auto"/>
            <w:vAlign w:val="center"/>
          </w:tcPr>
          <w:p w14:paraId="2F7BEFB6">
            <w:pPr>
              <w:pStyle w:val="21"/>
              <w:rPr>
                <w:rFonts w:cs="Times New Roman"/>
                <w:szCs w:val="21"/>
              </w:rPr>
            </w:pPr>
            <w:r>
              <w:rPr>
                <w:rFonts w:cs="Times New Roman"/>
                <w:szCs w:val="21"/>
              </w:rPr>
              <w:t>监控要求</w:t>
            </w:r>
          </w:p>
        </w:tc>
        <w:tc>
          <w:tcPr>
            <w:tcW w:w="6804" w:type="dxa"/>
            <w:shd w:val="clear" w:color="auto" w:fill="auto"/>
            <w:vAlign w:val="center"/>
          </w:tcPr>
          <w:p w14:paraId="40A7D489">
            <w:pPr>
              <w:pStyle w:val="21"/>
              <w:rPr>
                <w:rFonts w:cs="Times New Roman"/>
                <w:szCs w:val="21"/>
              </w:rPr>
            </w:pPr>
            <w:r>
              <w:rPr>
                <w:rFonts w:cs="Times New Roman"/>
                <w:szCs w:val="21"/>
              </w:rPr>
              <w:t>1. 存储集群状态，每个存储节点的服务状态，连接状态，共享磁盘状态，存储节点及磁盘健康情况</w:t>
            </w:r>
          </w:p>
          <w:p w14:paraId="01916730">
            <w:pPr>
              <w:pStyle w:val="21"/>
              <w:rPr>
                <w:rFonts w:cs="Times New Roman"/>
                <w:szCs w:val="21"/>
              </w:rPr>
            </w:pPr>
            <w:r>
              <w:rPr>
                <w:rFonts w:cs="Times New Roman"/>
                <w:szCs w:val="21"/>
              </w:rPr>
              <w:t>2. 文件系统的总读写带宽，读写IOPS，元数据访问性能</w:t>
            </w:r>
          </w:p>
          <w:p w14:paraId="423040A1">
            <w:pPr>
              <w:pStyle w:val="21"/>
              <w:rPr>
                <w:rFonts w:cs="Times New Roman"/>
                <w:szCs w:val="21"/>
              </w:rPr>
            </w:pPr>
            <w:r>
              <w:rPr>
                <w:rFonts w:cs="Times New Roman"/>
                <w:szCs w:val="21"/>
              </w:rPr>
              <w:t>3. 每台存储及计算节点对并行文件系统的读写速率，读写IOPS，访问元数据压力等</w:t>
            </w:r>
          </w:p>
          <w:p w14:paraId="502C3010">
            <w:pPr>
              <w:pStyle w:val="21"/>
              <w:rPr>
                <w:rFonts w:cs="Times New Roman"/>
                <w:szCs w:val="21"/>
              </w:rPr>
            </w:pPr>
            <w:r>
              <w:rPr>
                <w:rFonts w:cs="Times New Roman"/>
                <w:szCs w:val="21"/>
              </w:rPr>
              <w:t>4. 每台数据采集和计算节点文件系统挂载状态</w:t>
            </w:r>
          </w:p>
          <w:p w14:paraId="4A3CB75E">
            <w:pPr>
              <w:pStyle w:val="21"/>
              <w:rPr>
                <w:rFonts w:cs="Times New Roman"/>
                <w:szCs w:val="21"/>
              </w:rPr>
            </w:pPr>
            <w:r>
              <w:rPr>
                <w:rFonts w:cs="Times New Roman"/>
                <w:szCs w:val="21"/>
              </w:rPr>
              <w:t>5. 存储节点Infiniband和RoCE网络发送和接收速率，发送和接收数据包数量</w:t>
            </w:r>
          </w:p>
          <w:p w14:paraId="16537E06">
            <w:pPr>
              <w:pStyle w:val="21"/>
              <w:rPr>
                <w:rFonts w:cs="Times New Roman"/>
                <w:szCs w:val="21"/>
              </w:rPr>
            </w:pPr>
            <w:r>
              <w:rPr>
                <w:rFonts w:cs="Times New Roman"/>
                <w:szCs w:val="21"/>
              </w:rPr>
              <w:t>6. 监控存储节点CPU核温度，平均温度，最高、最低温度</w:t>
            </w:r>
          </w:p>
        </w:tc>
      </w:tr>
      <w:tr w14:paraId="1430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20F066C0">
            <w:pPr>
              <w:pStyle w:val="21"/>
              <w:rPr>
                <w:rFonts w:cs="Times New Roman"/>
                <w:szCs w:val="21"/>
              </w:rPr>
            </w:pPr>
            <w:r>
              <w:rPr>
                <w:rFonts w:cs="Times New Roman"/>
                <w:szCs w:val="21"/>
              </w:rPr>
              <w:t>性能分析</w:t>
            </w:r>
          </w:p>
        </w:tc>
        <w:tc>
          <w:tcPr>
            <w:tcW w:w="6804" w:type="dxa"/>
            <w:shd w:val="clear" w:color="auto" w:fill="auto"/>
            <w:vAlign w:val="center"/>
          </w:tcPr>
          <w:p w14:paraId="41A28E0B">
            <w:pPr>
              <w:pStyle w:val="21"/>
              <w:rPr>
                <w:rFonts w:cs="Times New Roman"/>
                <w:szCs w:val="21"/>
              </w:rPr>
            </w:pPr>
            <w:r>
              <w:rPr>
                <w:rFonts w:cs="Times New Roman"/>
                <w:szCs w:val="21"/>
              </w:rPr>
              <w:t>配置存储性能收集分析工具，支持图形化界面操作，对存储的容量、带宽、延时、IOPS、队列深度和主机端的CPU、内存、磁盘容量以及主机操作系统版本摘要等进行能收集分析</w:t>
            </w:r>
          </w:p>
        </w:tc>
      </w:tr>
      <w:tr w14:paraId="69D9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shd w:val="clear" w:color="auto" w:fill="auto"/>
            <w:vAlign w:val="center"/>
          </w:tcPr>
          <w:p w14:paraId="15942F77">
            <w:pPr>
              <w:pStyle w:val="21"/>
              <w:rPr>
                <w:rFonts w:cs="Times New Roman"/>
                <w:szCs w:val="21"/>
              </w:rPr>
            </w:pPr>
            <w:r>
              <w:rPr>
                <w:rFonts w:cs="Times New Roman"/>
                <w:szCs w:val="21"/>
              </w:rPr>
              <w:t>管理界面</w:t>
            </w:r>
          </w:p>
        </w:tc>
        <w:tc>
          <w:tcPr>
            <w:tcW w:w="6804" w:type="dxa"/>
            <w:shd w:val="clear" w:color="auto" w:fill="auto"/>
            <w:vAlign w:val="center"/>
          </w:tcPr>
          <w:p w14:paraId="70EDB22F">
            <w:pPr>
              <w:pStyle w:val="21"/>
              <w:rPr>
                <w:rFonts w:cs="Times New Roman"/>
                <w:szCs w:val="21"/>
              </w:rPr>
            </w:pPr>
            <w:r>
              <w:rPr>
                <w:rFonts w:cs="Times New Roman"/>
                <w:szCs w:val="21"/>
              </w:rPr>
              <w:t>提供GUI管理界面，支持运维可视化，无需第三方软件或插件</w:t>
            </w:r>
          </w:p>
        </w:tc>
      </w:tr>
      <w:tr w14:paraId="561F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5BE78656">
            <w:pPr>
              <w:pStyle w:val="21"/>
              <w:rPr>
                <w:rFonts w:cs="Times New Roman"/>
                <w:szCs w:val="21"/>
              </w:rPr>
            </w:pPr>
            <w:r>
              <w:rPr>
                <w:rFonts w:cs="Times New Roman"/>
                <w:szCs w:val="21"/>
              </w:rPr>
              <w:t>可管理型</w:t>
            </w:r>
          </w:p>
        </w:tc>
        <w:tc>
          <w:tcPr>
            <w:tcW w:w="6804" w:type="dxa"/>
            <w:shd w:val="clear" w:color="auto" w:fill="auto"/>
            <w:vAlign w:val="center"/>
          </w:tcPr>
          <w:p w14:paraId="5C196AB5">
            <w:pPr>
              <w:pStyle w:val="21"/>
              <w:rPr>
                <w:rFonts w:cs="Times New Roman"/>
                <w:szCs w:val="21"/>
              </w:rPr>
            </w:pPr>
            <w:r>
              <w:rPr>
                <w:rFonts w:cs="Times New Roman"/>
                <w:szCs w:val="21"/>
              </w:rPr>
              <w:t>具有单独的管理网口，支持WEB界面的带外管理等，可独立于操作系统运行，实现远程对服务器的完全控制，支持虚拟控制台，支持IPMI和SNMP协议</w:t>
            </w:r>
          </w:p>
        </w:tc>
      </w:tr>
      <w:tr w14:paraId="4F25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14:paraId="10230FE9">
            <w:pPr>
              <w:pStyle w:val="21"/>
              <w:rPr>
                <w:rFonts w:cs="Times New Roman"/>
                <w:szCs w:val="21"/>
              </w:rPr>
            </w:pPr>
            <w:r>
              <w:rPr>
                <w:rFonts w:cs="Times New Roman"/>
                <w:szCs w:val="21"/>
              </w:rPr>
              <w:t>其他</w:t>
            </w:r>
          </w:p>
        </w:tc>
        <w:tc>
          <w:tcPr>
            <w:tcW w:w="6804" w:type="dxa"/>
            <w:shd w:val="clear" w:color="auto" w:fill="auto"/>
            <w:vAlign w:val="center"/>
          </w:tcPr>
          <w:p w14:paraId="2C2629FF">
            <w:pPr>
              <w:pStyle w:val="21"/>
              <w:rPr>
                <w:rFonts w:cs="Times New Roman"/>
                <w:szCs w:val="21"/>
              </w:rPr>
            </w:pPr>
            <w:r>
              <w:rPr>
                <w:rFonts w:cs="Times New Roman"/>
                <w:szCs w:val="21"/>
              </w:rPr>
              <w:t>含线缆、导轨等</w:t>
            </w:r>
          </w:p>
        </w:tc>
      </w:tr>
      <w:tr w14:paraId="3043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41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ECE34E9">
            <w:pPr>
              <w:pStyle w:val="21"/>
              <w:rPr>
                <w:rFonts w:cs="Times New Roman"/>
                <w:szCs w:val="21"/>
              </w:rPr>
            </w:pPr>
            <w:r>
              <w:rPr>
                <w:rFonts w:cs="Times New Roman"/>
                <w:szCs w:val="21"/>
              </w:rPr>
              <w:t>售后服务</w:t>
            </w:r>
          </w:p>
        </w:tc>
        <w:tc>
          <w:tcPr>
            <w:tcW w:w="680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7D0CC86">
            <w:pPr>
              <w:pStyle w:val="21"/>
              <w:rPr>
                <w:rFonts w:cs="Times New Roman"/>
                <w:szCs w:val="21"/>
              </w:rPr>
            </w:pPr>
            <w:r>
              <w:rPr>
                <w:rFonts w:cs="Times New Roman"/>
                <w:szCs w:val="21"/>
              </w:rPr>
              <w:t>提供原厂5年7x24</w:t>
            </w:r>
            <w:r>
              <w:rPr>
                <w:rFonts w:hint="eastAsia" w:cs="Times New Roman"/>
                <w:szCs w:val="21"/>
              </w:rPr>
              <w:t>小时售后服务</w:t>
            </w:r>
            <w:r>
              <w:rPr>
                <w:rFonts w:cs="Times New Roman"/>
                <w:szCs w:val="21"/>
              </w:rPr>
              <w:t>，</w:t>
            </w:r>
            <w:r>
              <w:rPr>
                <w:rFonts w:hint="eastAsia" w:cs="Times New Roman"/>
                <w:szCs w:val="21"/>
              </w:rPr>
              <w:t>2</w:t>
            </w:r>
            <w:r>
              <w:rPr>
                <w:rFonts w:cs="Times New Roman"/>
                <w:szCs w:val="21"/>
              </w:rPr>
              <w:t>4小时原厂备件上门更换服务</w:t>
            </w:r>
          </w:p>
        </w:tc>
      </w:tr>
    </w:tbl>
    <w:p w14:paraId="53B71995">
      <w:pPr>
        <w:rPr>
          <w:b/>
          <w:szCs w:val="21"/>
        </w:rPr>
      </w:pPr>
    </w:p>
    <w:p w14:paraId="260792C0">
      <w:pPr>
        <w:rPr>
          <w:b/>
          <w:szCs w:val="21"/>
        </w:rPr>
      </w:pPr>
      <w:r>
        <w:rPr>
          <w:b/>
          <w:szCs w:val="21"/>
        </w:rPr>
        <w:t>（5）</w:t>
      </w:r>
      <w:r>
        <w:rPr>
          <w:rFonts w:hint="eastAsia"/>
          <w:b/>
          <w:szCs w:val="21"/>
        </w:rPr>
        <w:t>数据管理</w:t>
      </w:r>
      <w:r>
        <w:rPr>
          <w:b/>
          <w:szCs w:val="21"/>
        </w:rPr>
        <w:t>服务器</w:t>
      </w:r>
    </w:p>
    <w:p w14:paraId="45AB9073">
      <w:pPr>
        <w:adjustRightInd w:val="0"/>
        <w:snapToGrid w:val="0"/>
        <w:spacing w:line="360" w:lineRule="auto"/>
        <w:ind w:firstLine="525" w:firstLineChars="250"/>
        <w:rPr>
          <w:rFonts w:hint="eastAsia"/>
          <w:b w:val="0"/>
          <w:szCs w:val="21"/>
        </w:rPr>
      </w:pPr>
      <w:r>
        <w:rPr>
          <w:rFonts w:hint="eastAsia"/>
          <w:b w:val="0"/>
          <w:szCs w:val="21"/>
          <w:lang w:eastAsia="zh-CN"/>
        </w:rPr>
        <w:t>技术参数见文件“数据采集服务器、在线分析服务器、数据管理服务器技术参数”的表单“5.数据管理服务器”。</w:t>
      </w:r>
    </w:p>
    <w:p w14:paraId="41FD2857">
      <w:pPr>
        <w:rPr>
          <w:b/>
          <w:szCs w:val="21"/>
        </w:rPr>
      </w:pPr>
    </w:p>
    <w:p w14:paraId="6D2BBF00">
      <w:pPr>
        <w:rPr>
          <w:b/>
          <w:szCs w:val="21"/>
        </w:rPr>
      </w:pPr>
      <w:r>
        <w:rPr>
          <w:b/>
          <w:szCs w:val="21"/>
        </w:rPr>
        <w:t>（6）</w:t>
      </w:r>
      <w:r>
        <w:rPr>
          <w:rFonts w:hint="eastAsia"/>
          <w:b/>
          <w:szCs w:val="21"/>
        </w:rPr>
        <w:t>冷数据归档存储</w:t>
      </w:r>
    </w:p>
    <w:tbl>
      <w:tblPr>
        <w:tblStyle w:val="14"/>
        <w:tblW w:w="8222" w:type="dxa"/>
        <w:tblInd w:w="-5" w:type="dxa"/>
        <w:tblLayout w:type="autofit"/>
        <w:tblCellMar>
          <w:top w:w="0" w:type="dxa"/>
          <w:left w:w="108" w:type="dxa"/>
          <w:bottom w:w="0" w:type="dxa"/>
          <w:right w:w="108" w:type="dxa"/>
        </w:tblCellMar>
      </w:tblPr>
      <w:tblGrid>
        <w:gridCol w:w="1480"/>
        <w:gridCol w:w="6742"/>
      </w:tblGrid>
      <w:tr w14:paraId="193CECF6">
        <w:tblPrEx>
          <w:tblCellMar>
            <w:top w:w="0" w:type="dxa"/>
            <w:left w:w="108" w:type="dxa"/>
            <w:bottom w:w="0" w:type="dxa"/>
            <w:right w:w="108" w:type="dxa"/>
          </w:tblCellMar>
        </w:tblPrEx>
        <w:trPr>
          <w:trHeight w:val="408" w:hRule="atLeast"/>
        </w:trPr>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14:paraId="48FC602D">
            <w:pPr>
              <w:widowControl/>
              <w:jc w:val="left"/>
              <w:rPr>
                <w:rFonts w:ascii="宋体" w:hAnsi="宋体" w:cs="Calibri"/>
                <w:kern w:val="0"/>
                <w:szCs w:val="21"/>
              </w:rPr>
            </w:pPr>
            <w:r>
              <w:rPr>
                <w:rFonts w:hint="eastAsia" w:ascii="宋体" w:hAnsi="宋体" w:cs="Calibri"/>
                <w:kern w:val="0"/>
                <w:szCs w:val="21"/>
              </w:rPr>
              <w:t>部件</w:t>
            </w:r>
          </w:p>
        </w:tc>
        <w:tc>
          <w:tcPr>
            <w:tcW w:w="6742" w:type="dxa"/>
            <w:tcBorders>
              <w:top w:val="single" w:color="auto" w:sz="4" w:space="0"/>
              <w:left w:val="nil"/>
              <w:bottom w:val="single" w:color="auto" w:sz="4" w:space="0"/>
              <w:right w:val="single" w:color="auto" w:sz="4" w:space="0"/>
            </w:tcBorders>
            <w:shd w:val="clear" w:color="auto" w:fill="auto"/>
            <w:vAlign w:val="center"/>
          </w:tcPr>
          <w:p w14:paraId="15026DD9">
            <w:pPr>
              <w:widowControl/>
              <w:jc w:val="left"/>
              <w:rPr>
                <w:rFonts w:ascii="宋体" w:hAnsi="宋体" w:cs="Calibri"/>
                <w:kern w:val="0"/>
                <w:szCs w:val="21"/>
              </w:rPr>
            </w:pPr>
            <w:r>
              <w:rPr>
                <w:rFonts w:hint="eastAsia" w:ascii="宋体" w:hAnsi="宋体" w:cs="Calibri"/>
                <w:kern w:val="0"/>
                <w:szCs w:val="21"/>
              </w:rPr>
              <w:t>需求配置</w:t>
            </w:r>
          </w:p>
        </w:tc>
      </w:tr>
      <w:tr w14:paraId="50FFA4F7">
        <w:tblPrEx>
          <w:tblCellMar>
            <w:top w:w="0" w:type="dxa"/>
            <w:left w:w="108" w:type="dxa"/>
            <w:bottom w:w="0" w:type="dxa"/>
            <w:right w:w="108" w:type="dxa"/>
          </w:tblCellMar>
        </w:tblPrEx>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515B45A6">
            <w:pPr>
              <w:widowControl/>
              <w:jc w:val="left"/>
              <w:rPr>
                <w:rFonts w:ascii="宋体" w:hAnsi="宋体" w:cs="Calibri"/>
                <w:kern w:val="0"/>
                <w:szCs w:val="21"/>
              </w:rPr>
            </w:pPr>
            <w:r>
              <w:rPr>
                <w:rFonts w:hint="eastAsia" w:ascii="宋体" w:hAnsi="宋体" w:cs="Calibri"/>
                <w:kern w:val="0"/>
                <w:szCs w:val="21"/>
              </w:rPr>
              <w:t>架构</w:t>
            </w:r>
          </w:p>
        </w:tc>
        <w:tc>
          <w:tcPr>
            <w:tcW w:w="6742" w:type="dxa"/>
            <w:tcBorders>
              <w:top w:val="nil"/>
              <w:left w:val="nil"/>
              <w:bottom w:val="single" w:color="auto" w:sz="4" w:space="0"/>
              <w:right w:val="single" w:color="auto" w:sz="4" w:space="0"/>
            </w:tcBorders>
            <w:shd w:val="clear" w:color="000000" w:fill="FFFFFF"/>
            <w:vAlign w:val="center"/>
          </w:tcPr>
          <w:p w14:paraId="358BD88F">
            <w:pPr>
              <w:widowControl/>
              <w:jc w:val="left"/>
              <w:rPr>
                <w:rFonts w:ascii="宋体" w:hAnsi="宋体" w:cs="Calibri"/>
                <w:kern w:val="0"/>
                <w:szCs w:val="21"/>
              </w:rPr>
            </w:pPr>
            <w:r>
              <w:rPr>
                <w:rFonts w:hint="eastAsia" w:ascii="宋体" w:hAnsi="宋体" w:cs="Calibri"/>
                <w:kern w:val="0"/>
                <w:szCs w:val="21"/>
              </w:rPr>
              <w:t>企业级超大型模块化物理磁带库</w:t>
            </w:r>
          </w:p>
        </w:tc>
      </w:tr>
      <w:tr w14:paraId="27C7A208">
        <w:tblPrEx>
          <w:tblCellMar>
            <w:top w:w="0" w:type="dxa"/>
            <w:left w:w="108" w:type="dxa"/>
            <w:bottom w:w="0" w:type="dxa"/>
            <w:right w:w="108" w:type="dxa"/>
          </w:tblCellMar>
        </w:tblPrEx>
        <w:trPr>
          <w:trHeight w:val="696"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7A68685A">
            <w:pPr>
              <w:widowControl/>
              <w:jc w:val="left"/>
              <w:rPr>
                <w:rFonts w:ascii="宋体" w:hAnsi="宋体" w:cs="Calibri"/>
                <w:kern w:val="0"/>
                <w:szCs w:val="21"/>
              </w:rPr>
            </w:pPr>
            <w:r>
              <w:rPr>
                <w:szCs w:val="21"/>
              </w:rPr>
              <w:t>▲</w:t>
            </w:r>
            <w:r>
              <w:rPr>
                <w:rFonts w:hint="eastAsia" w:ascii="宋体" w:hAnsi="宋体" w:cs="Calibri"/>
                <w:kern w:val="0"/>
                <w:szCs w:val="21"/>
              </w:rPr>
              <w:t>磁带柜</w:t>
            </w:r>
          </w:p>
        </w:tc>
        <w:tc>
          <w:tcPr>
            <w:tcW w:w="6742" w:type="dxa"/>
            <w:tcBorders>
              <w:top w:val="nil"/>
              <w:left w:val="nil"/>
              <w:bottom w:val="single" w:color="auto" w:sz="4" w:space="0"/>
              <w:right w:val="single" w:color="auto" w:sz="4" w:space="0"/>
            </w:tcBorders>
            <w:shd w:val="clear" w:color="000000" w:fill="FFFFFF"/>
            <w:vAlign w:val="center"/>
          </w:tcPr>
          <w:p w14:paraId="12782F9F">
            <w:pPr>
              <w:widowControl/>
              <w:jc w:val="left"/>
              <w:rPr>
                <w:rFonts w:ascii="宋体" w:hAnsi="宋体" w:cs="Calibri"/>
                <w:kern w:val="0"/>
                <w:szCs w:val="21"/>
              </w:rPr>
            </w:pPr>
            <w:r>
              <w:rPr>
                <w:rFonts w:hint="eastAsia" w:ascii="宋体" w:hAnsi="宋体" w:cs="Calibri"/>
                <w:kern w:val="0"/>
                <w:szCs w:val="21"/>
              </w:rPr>
              <w:t>采用主磁带柜+扩展柜，主柜可安装不少于10个驱动器和不少于730盘磁带，扩展柜可安装不少于1300盘磁带</w:t>
            </w:r>
          </w:p>
        </w:tc>
      </w:tr>
      <w:tr w14:paraId="60DA7BE1">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309FDA62">
            <w:pPr>
              <w:widowControl/>
              <w:jc w:val="left"/>
              <w:rPr>
                <w:rFonts w:ascii="宋体" w:hAnsi="宋体" w:cs="Calibri"/>
                <w:kern w:val="0"/>
                <w:szCs w:val="21"/>
              </w:rPr>
            </w:pPr>
            <w:r>
              <w:rPr>
                <w:kern w:val="0"/>
                <w:szCs w:val="21"/>
              </w:rPr>
              <w:t>▲</w:t>
            </w:r>
            <w:r>
              <w:rPr>
                <w:rFonts w:hint="eastAsia" w:ascii="宋体" w:hAnsi="宋体" w:cs="Calibri"/>
                <w:kern w:val="0"/>
                <w:szCs w:val="21"/>
              </w:rPr>
              <w:t>驱动器</w:t>
            </w:r>
          </w:p>
        </w:tc>
        <w:tc>
          <w:tcPr>
            <w:tcW w:w="6742" w:type="dxa"/>
            <w:tcBorders>
              <w:top w:val="nil"/>
              <w:left w:val="nil"/>
              <w:bottom w:val="single" w:color="auto" w:sz="4" w:space="0"/>
              <w:right w:val="single" w:color="auto" w:sz="4" w:space="0"/>
            </w:tcBorders>
            <w:shd w:val="clear" w:color="000000" w:fill="FFFFFF"/>
            <w:vAlign w:val="center"/>
          </w:tcPr>
          <w:p w14:paraId="7F89B465">
            <w:pPr>
              <w:widowControl/>
              <w:jc w:val="left"/>
              <w:rPr>
                <w:rFonts w:ascii="宋体" w:hAnsi="宋体" w:cs="Calibri"/>
                <w:kern w:val="0"/>
                <w:szCs w:val="21"/>
              </w:rPr>
            </w:pPr>
            <w:r>
              <w:rPr>
                <w:rFonts w:hint="eastAsia" w:ascii="宋体" w:hAnsi="宋体" w:cs="Calibri"/>
                <w:kern w:val="0"/>
                <w:szCs w:val="21"/>
              </w:rPr>
              <w:t>企业级LTO-10 FC驱动器，每个驱动器含不少于2个32G FC端口</w:t>
            </w:r>
          </w:p>
        </w:tc>
      </w:tr>
      <w:tr w14:paraId="79C1B843">
        <w:tblPrEx>
          <w:tblCellMar>
            <w:top w:w="0" w:type="dxa"/>
            <w:left w:w="108" w:type="dxa"/>
            <w:bottom w:w="0" w:type="dxa"/>
            <w:right w:w="108" w:type="dxa"/>
          </w:tblCellMar>
        </w:tblPrEx>
        <w:trPr>
          <w:trHeight w:val="696"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38CF43E0">
            <w:pPr>
              <w:widowControl/>
              <w:jc w:val="left"/>
              <w:rPr>
                <w:rFonts w:ascii="宋体" w:hAnsi="宋体" w:cs="Calibri"/>
                <w:kern w:val="0"/>
                <w:szCs w:val="21"/>
              </w:rPr>
            </w:pPr>
            <w:r>
              <w:rPr>
                <w:rFonts w:hint="eastAsia" w:ascii="宋体" w:hAnsi="宋体" w:cs="Calibri"/>
                <w:kern w:val="0"/>
                <w:szCs w:val="21"/>
              </w:rPr>
              <w:t>机械臂</w:t>
            </w:r>
          </w:p>
        </w:tc>
        <w:tc>
          <w:tcPr>
            <w:tcW w:w="6742" w:type="dxa"/>
            <w:tcBorders>
              <w:top w:val="nil"/>
              <w:left w:val="nil"/>
              <w:bottom w:val="single" w:color="auto" w:sz="4" w:space="0"/>
              <w:right w:val="single" w:color="auto" w:sz="4" w:space="0"/>
            </w:tcBorders>
            <w:shd w:val="clear" w:color="000000" w:fill="FFFFFF"/>
            <w:vAlign w:val="center"/>
          </w:tcPr>
          <w:p w14:paraId="026BB9C0">
            <w:pPr>
              <w:widowControl/>
              <w:jc w:val="left"/>
              <w:rPr>
                <w:rFonts w:ascii="宋体" w:hAnsi="宋体" w:cs="Calibri"/>
                <w:kern w:val="0"/>
                <w:szCs w:val="21"/>
              </w:rPr>
            </w:pPr>
            <w:r>
              <w:rPr>
                <w:rFonts w:hint="eastAsia" w:ascii="宋体" w:hAnsi="宋体" w:cs="Calibri"/>
                <w:kern w:val="0"/>
                <w:szCs w:val="21"/>
              </w:rPr>
              <w:t>支持配置冗余的机械臂和机械手，每个机械臂配置不少于2个机械手，确保每一个磁带位都可以被所配置的机械臂和机械手访问到</w:t>
            </w:r>
          </w:p>
        </w:tc>
      </w:tr>
      <w:tr w14:paraId="16484613">
        <w:tblPrEx>
          <w:tblCellMar>
            <w:top w:w="0" w:type="dxa"/>
            <w:left w:w="108" w:type="dxa"/>
            <w:bottom w:w="0" w:type="dxa"/>
            <w:right w:w="108" w:type="dxa"/>
          </w:tblCellMar>
        </w:tblPrEx>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17C6E76B">
            <w:pPr>
              <w:widowControl/>
              <w:jc w:val="left"/>
              <w:rPr>
                <w:rFonts w:ascii="宋体" w:hAnsi="宋体" w:cs="Calibri"/>
                <w:kern w:val="0"/>
                <w:szCs w:val="21"/>
              </w:rPr>
            </w:pPr>
            <w:r>
              <w:rPr>
                <w:szCs w:val="21"/>
              </w:rPr>
              <w:t>▲</w:t>
            </w:r>
            <w:r>
              <w:rPr>
                <w:rFonts w:hint="eastAsia" w:ascii="宋体" w:hAnsi="宋体" w:cs="Calibri"/>
                <w:kern w:val="0"/>
                <w:szCs w:val="21"/>
              </w:rPr>
              <w:t>磁带</w:t>
            </w:r>
          </w:p>
        </w:tc>
        <w:tc>
          <w:tcPr>
            <w:tcW w:w="6742" w:type="dxa"/>
            <w:tcBorders>
              <w:top w:val="nil"/>
              <w:left w:val="nil"/>
              <w:bottom w:val="single" w:color="auto" w:sz="4" w:space="0"/>
              <w:right w:val="single" w:color="auto" w:sz="4" w:space="0"/>
            </w:tcBorders>
            <w:shd w:val="clear" w:color="000000" w:fill="FFFFFF"/>
            <w:vAlign w:val="center"/>
          </w:tcPr>
          <w:p w14:paraId="44A8AED7">
            <w:pPr>
              <w:widowControl/>
              <w:jc w:val="left"/>
              <w:rPr>
                <w:rFonts w:ascii="宋体" w:hAnsi="宋体" w:cs="Calibri"/>
                <w:kern w:val="0"/>
                <w:szCs w:val="21"/>
              </w:rPr>
            </w:pPr>
            <w:r>
              <w:rPr>
                <w:rFonts w:hint="eastAsia" w:ascii="宋体" w:hAnsi="宋体" w:cs="Calibri"/>
                <w:kern w:val="0"/>
                <w:szCs w:val="21"/>
              </w:rPr>
              <w:t>LTO10磁带，单盘不少于30TB容量（非压缩）</w:t>
            </w:r>
          </w:p>
        </w:tc>
      </w:tr>
      <w:tr w14:paraId="0FCDDE43">
        <w:tblPrEx>
          <w:tblCellMar>
            <w:top w:w="0" w:type="dxa"/>
            <w:left w:w="108" w:type="dxa"/>
            <w:bottom w:w="0" w:type="dxa"/>
            <w:right w:w="108" w:type="dxa"/>
          </w:tblCellMar>
        </w:tblPrEx>
        <w:trPr>
          <w:trHeight w:val="696"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6DB503D1">
            <w:pPr>
              <w:widowControl/>
              <w:jc w:val="left"/>
              <w:rPr>
                <w:rFonts w:ascii="宋体" w:hAnsi="宋体" w:cs="Calibri"/>
                <w:kern w:val="0"/>
                <w:szCs w:val="21"/>
              </w:rPr>
            </w:pPr>
            <w:r>
              <w:rPr>
                <w:kern w:val="0"/>
                <w:szCs w:val="21"/>
              </w:rPr>
              <w:t>▲</w:t>
            </w:r>
            <w:r>
              <w:rPr>
                <w:rFonts w:hint="eastAsia" w:ascii="宋体" w:hAnsi="宋体" w:cs="Calibri"/>
                <w:kern w:val="0"/>
                <w:szCs w:val="21"/>
              </w:rPr>
              <w:t>磁带交换站</w:t>
            </w:r>
          </w:p>
        </w:tc>
        <w:tc>
          <w:tcPr>
            <w:tcW w:w="6742" w:type="dxa"/>
            <w:tcBorders>
              <w:top w:val="nil"/>
              <w:left w:val="nil"/>
              <w:bottom w:val="single" w:color="auto" w:sz="4" w:space="0"/>
              <w:right w:val="single" w:color="auto" w:sz="4" w:space="0"/>
            </w:tcBorders>
            <w:shd w:val="clear" w:color="000000" w:fill="FFFFFF"/>
            <w:vAlign w:val="center"/>
          </w:tcPr>
          <w:p w14:paraId="54605C9D">
            <w:pPr>
              <w:widowControl/>
              <w:jc w:val="left"/>
              <w:rPr>
                <w:rFonts w:ascii="宋体" w:hAnsi="宋体" w:cs="Calibri"/>
                <w:kern w:val="0"/>
                <w:szCs w:val="21"/>
              </w:rPr>
            </w:pPr>
            <w:r>
              <w:rPr>
                <w:rFonts w:hint="eastAsia" w:ascii="宋体" w:hAnsi="宋体" w:cs="Calibri"/>
                <w:kern w:val="0"/>
                <w:szCs w:val="21"/>
              </w:rPr>
              <w:t>I/O槽（IE槽）数量≥36个，可用于不停机快速导入导出磁带</w:t>
            </w:r>
          </w:p>
        </w:tc>
      </w:tr>
      <w:tr w14:paraId="4709EB04">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67D4610B">
            <w:pPr>
              <w:widowControl/>
              <w:jc w:val="left"/>
              <w:rPr>
                <w:rFonts w:ascii="宋体" w:hAnsi="宋体" w:cs="Calibri"/>
                <w:kern w:val="0"/>
                <w:szCs w:val="21"/>
              </w:rPr>
            </w:pPr>
            <w:r>
              <w:rPr>
                <w:rFonts w:hint="eastAsia" w:ascii="宋体" w:hAnsi="宋体" w:cs="Calibri"/>
                <w:kern w:val="0"/>
                <w:szCs w:val="21"/>
              </w:rPr>
              <w:t>可扩展性</w:t>
            </w:r>
          </w:p>
        </w:tc>
        <w:tc>
          <w:tcPr>
            <w:tcW w:w="6742" w:type="dxa"/>
            <w:tcBorders>
              <w:top w:val="nil"/>
              <w:left w:val="nil"/>
              <w:bottom w:val="single" w:color="auto" w:sz="4" w:space="0"/>
              <w:right w:val="single" w:color="auto" w:sz="4" w:space="0"/>
            </w:tcBorders>
            <w:shd w:val="clear" w:color="000000" w:fill="FFFFFF"/>
            <w:vAlign w:val="center"/>
          </w:tcPr>
          <w:p w14:paraId="599BBF62">
            <w:pPr>
              <w:widowControl/>
              <w:jc w:val="left"/>
              <w:rPr>
                <w:rFonts w:ascii="宋体" w:hAnsi="宋体" w:cs="Calibri"/>
                <w:kern w:val="0"/>
                <w:szCs w:val="21"/>
              </w:rPr>
            </w:pPr>
            <w:r>
              <w:rPr>
                <w:rFonts w:hint="eastAsia" w:ascii="宋体" w:hAnsi="宋体" w:cs="Calibri"/>
                <w:kern w:val="0"/>
                <w:szCs w:val="21"/>
              </w:rPr>
              <w:t>可扩展至不少于128个驱动器和20000盘磁带，非压缩容量不少于500PB</w:t>
            </w:r>
          </w:p>
        </w:tc>
      </w:tr>
      <w:tr w14:paraId="68902DF4">
        <w:tblPrEx>
          <w:tblCellMar>
            <w:top w:w="0" w:type="dxa"/>
            <w:left w:w="108" w:type="dxa"/>
            <w:bottom w:w="0" w:type="dxa"/>
            <w:right w:w="108" w:type="dxa"/>
          </w:tblCellMar>
        </w:tblPrEx>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6289DF2E">
            <w:pPr>
              <w:widowControl/>
              <w:jc w:val="left"/>
              <w:rPr>
                <w:rFonts w:ascii="宋体" w:hAnsi="宋体" w:cs="Calibri"/>
                <w:kern w:val="0"/>
                <w:szCs w:val="21"/>
              </w:rPr>
            </w:pPr>
            <w:r>
              <w:rPr>
                <w:rFonts w:hint="eastAsia" w:ascii="宋体" w:hAnsi="宋体" w:cs="Calibri"/>
                <w:kern w:val="0"/>
                <w:szCs w:val="21"/>
              </w:rPr>
              <w:t>存储时间</w:t>
            </w:r>
          </w:p>
        </w:tc>
        <w:tc>
          <w:tcPr>
            <w:tcW w:w="6742" w:type="dxa"/>
            <w:tcBorders>
              <w:top w:val="nil"/>
              <w:left w:val="nil"/>
              <w:bottom w:val="single" w:color="auto" w:sz="4" w:space="0"/>
              <w:right w:val="single" w:color="auto" w:sz="4" w:space="0"/>
            </w:tcBorders>
            <w:shd w:val="clear" w:color="000000" w:fill="FFFFFF"/>
            <w:vAlign w:val="center"/>
          </w:tcPr>
          <w:p w14:paraId="5E43C2AC">
            <w:pPr>
              <w:widowControl/>
              <w:jc w:val="left"/>
              <w:rPr>
                <w:rFonts w:ascii="宋体" w:hAnsi="宋体" w:cs="Calibri"/>
                <w:kern w:val="0"/>
                <w:szCs w:val="21"/>
              </w:rPr>
            </w:pPr>
            <w:r>
              <w:rPr>
                <w:rFonts w:hint="eastAsia" w:ascii="宋体" w:hAnsi="宋体" w:cs="Calibri"/>
                <w:kern w:val="0"/>
                <w:szCs w:val="21"/>
              </w:rPr>
              <w:t>数据存储时间不少于10年</w:t>
            </w:r>
          </w:p>
        </w:tc>
      </w:tr>
      <w:tr w14:paraId="6C11AC6B">
        <w:tblPrEx>
          <w:tblCellMar>
            <w:top w:w="0" w:type="dxa"/>
            <w:left w:w="108" w:type="dxa"/>
            <w:bottom w:w="0" w:type="dxa"/>
            <w:right w:w="108" w:type="dxa"/>
          </w:tblCellMar>
        </w:tblPrEx>
        <w:trPr>
          <w:trHeight w:val="1044"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7E3FD1F0">
            <w:pPr>
              <w:widowControl/>
              <w:jc w:val="left"/>
              <w:rPr>
                <w:rFonts w:ascii="宋体" w:hAnsi="宋体" w:cs="Calibri"/>
                <w:kern w:val="0"/>
                <w:szCs w:val="21"/>
              </w:rPr>
            </w:pPr>
            <w:r>
              <w:rPr>
                <w:rFonts w:hint="eastAsia" w:ascii="宋体" w:hAnsi="宋体" w:cs="Calibri"/>
                <w:kern w:val="0"/>
                <w:szCs w:val="21"/>
              </w:rPr>
              <w:t>分区功能</w:t>
            </w:r>
          </w:p>
        </w:tc>
        <w:tc>
          <w:tcPr>
            <w:tcW w:w="6742" w:type="dxa"/>
            <w:tcBorders>
              <w:top w:val="nil"/>
              <w:left w:val="nil"/>
              <w:bottom w:val="single" w:color="auto" w:sz="4" w:space="0"/>
              <w:right w:val="single" w:color="auto" w:sz="4" w:space="0"/>
            </w:tcBorders>
            <w:shd w:val="clear" w:color="000000" w:fill="FFFFFF"/>
            <w:vAlign w:val="center"/>
          </w:tcPr>
          <w:p w14:paraId="7165DE65">
            <w:pPr>
              <w:widowControl/>
              <w:jc w:val="left"/>
              <w:rPr>
                <w:rFonts w:ascii="宋体" w:hAnsi="宋体" w:cs="Calibri"/>
                <w:kern w:val="0"/>
                <w:szCs w:val="21"/>
              </w:rPr>
            </w:pPr>
            <w:r>
              <w:rPr>
                <w:rFonts w:hint="eastAsia" w:ascii="宋体" w:hAnsi="宋体" w:cs="Calibri"/>
                <w:kern w:val="0"/>
                <w:szCs w:val="21"/>
              </w:rPr>
              <w:t>支持逻辑磁带库分区，分区数量应该不少于实配驱动器数量，支持动态分区。可动态创建和更改逻辑磁带库，同时可动态将任一驱动器配置到任一逻辑磁带库中。</w:t>
            </w:r>
          </w:p>
        </w:tc>
      </w:tr>
      <w:tr w14:paraId="313A4CDC">
        <w:tblPrEx>
          <w:tblCellMar>
            <w:top w:w="0" w:type="dxa"/>
            <w:left w:w="108" w:type="dxa"/>
            <w:bottom w:w="0" w:type="dxa"/>
            <w:right w:w="108" w:type="dxa"/>
          </w:tblCellMar>
        </w:tblPrEx>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7D107C14">
            <w:pPr>
              <w:widowControl/>
              <w:jc w:val="left"/>
              <w:rPr>
                <w:rFonts w:ascii="宋体" w:hAnsi="宋体" w:cs="Calibri"/>
                <w:kern w:val="0"/>
                <w:szCs w:val="21"/>
              </w:rPr>
            </w:pPr>
            <w:r>
              <w:rPr>
                <w:rFonts w:hint="eastAsia" w:ascii="宋体" w:hAnsi="宋体" w:cs="Calibri"/>
                <w:kern w:val="0"/>
                <w:szCs w:val="21"/>
              </w:rPr>
              <w:t>管理性</w:t>
            </w:r>
          </w:p>
        </w:tc>
        <w:tc>
          <w:tcPr>
            <w:tcW w:w="6742" w:type="dxa"/>
            <w:tcBorders>
              <w:top w:val="nil"/>
              <w:left w:val="nil"/>
              <w:bottom w:val="single" w:color="auto" w:sz="4" w:space="0"/>
              <w:right w:val="single" w:color="auto" w:sz="4" w:space="0"/>
            </w:tcBorders>
            <w:shd w:val="clear" w:color="000000" w:fill="FFFFFF"/>
            <w:vAlign w:val="center"/>
          </w:tcPr>
          <w:p w14:paraId="7C750B2A">
            <w:pPr>
              <w:widowControl/>
              <w:jc w:val="left"/>
              <w:rPr>
                <w:rFonts w:ascii="宋体" w:hAnsi="宋体" w:cs="Calibri"/>
                <w:kern w:val="0"/>
                <w:szCs w:val="21"/>
              </w:rPr>
            </w:pPr>
            <w:r>
              <w:rPr>
                <w:rFonts w:hint="eastAsia" w:ascii="宋体" w:hAnsi="宋体" w:cs="Calibri"/>
                <w:kern w:val="0"/>
                <w:szCs w:val="21"/>
              </w:rPr>
              <w:t>内置集成管理系统，包含操作用键盘、显示器等；</w:t>
            </w:r>
          </w:p>
        </w:tc>
      </w:tr>
      <w:tr w14:paraId="158F5049">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24A35E7A">
            <w:pPr>
              <w:widowControl/>
              <w:jc w:val="left"/>
              <w:rPr>
                <w:rFonts w:ascii="宋体" w:hAnsi="宋体" w:cs="Calibri"/>
                <w:kern w:val="0"/>
                <w:szCs w:val="21"/>
              </w:rPr>
            </w:pPr>
            <w:r>
              <w:rPr>
                <w:rFonts w:hint="eastAsia" w:ascii="宋体" w:hAnsi="宋体" w:cs="Calibri"/>
                <w:kern w:val="0"/>
                <w:szCs w:val="21"/>
              </w:rPr>
              <w:t>冗余电源</w:t>
            </w:r>
          </w:p>
        </w:tc>
        <w:tc>
          <w:tcPr>
            <w:tcW w:w="6742" w:type="dxa"/>
            <w:tcBorders>
              <w:top w:val="nil"/>
              <w:left w:val="nil"/>
              <w:bottom w:val="single" w:color="auto" w:sz="4" w:space="0"/>
              <w:right w:val="single" w:color="auto" w:sz="4" w:space="0"/>
            </w:tcBorders>
            <w:shd w:val="clear" w:color="000000" w:fill="FFFFFF"/>
            <w:vAlign w:val="center"/>
          </w:tcPr>
          <w:p w14:paraId="2A6C3DE5">
            <w:pPr>
              <w:widowControl/>
              <w:jc w:val="left"/>
              <w:rPr>
                <w:rFonts w:ascii="宋体" w:hAnsi="宋体" w:cs="Calibri"/>
                <w:kern w:val="0"/>
                <w:szCs w:val="21"/>
              </w:rPr>
            </w:pPr>
            <w:r>
              <w:rPr>
                <w:rFonts w:hint="eastAsia" w:ascii="宋体" w:hAnsi="宋体" w:cs="Calibri"/>
                <w:kern w:val="0"/>
                <w:szCs w:val="21"/>
              </w:rPr>
              <w:t>1+1冗余电源，支持热插拔，单电源不影响设备工作</w:t>
            </w:r>
          </w:p>
        </w:tc>
      </w:tr>
      <w:tr w14:paraId="3950759E">
        <w:tblPrEx>
          <w:tblCellMar>
            <w:top w:w="0" w:type="dxa"/>
            <w:left w:w="108" w:type="dxa"/>
            <w:bottom w:w="0" w:type="dxa"/>
            <w:right w:w="108" w:type="dxa"/>
          </w:tblCellMar>
        </w:tblPrEx>
        <w:trPr>
          <w:trHeight w:val="90" w:hRule="atLeast"/>
        </w:trPr>
        <w:tc>
          <w:tcPr>
            <w:tcW w:w="1480" w:type="dxa"/>
            <w:vMerge w:val="restart"/>
            <w:tcBorders>
              <w:top w:val="nil"/>
              <w:left w:val="single" w:color="auto" w:sz="4" w:space="0"/>
              <w:bottom w:val="nil"/>
              <w:right w:val="single" w:color="auto" w:sz="4" w:space="0"/>
            </w:tcBorders>
            <w:shd w:val="clear" w:color="000000" w:fill="FFFFFF"/>
            <w:vAlign w:val="center"/>
          </w:tcPr>
          <w:p w14:paraId="3607CF0C">
            <w:pPr>
              <w:widowControl/>
              <w:jc w:val="left"/>
              <w:rPr>
                <w:rFonts w:ascii="宋体" w:hAnsi="宋体" w:cs="Calibri"/>
                <w:kern w:val="0"/>
                <w:szCs w:val="21"/>
              </w:rPr>
            </w:pPr>
            <w:r>
              <w:rPr>
                <w:rFonts w:hint="eastAsia" w:ascii="宋体" w:hAnsi="宋体" w:cs="Calibri"/>
                <w:kern w:val="0"/>
                <w:szCs w:val="21"/>
              </w:rPr>
              <w:t>数据管理要求</w:t>
            </w:r>
          </w:p>
        </w:tc>
        <w:tc>
          <w:tcPr>
            <w:tcW w:w="6742" w:type="dxa"/>
            <w:tcBorders>
              <w:top w:val="nil"/>
              <w:left w:val="nil"/>
              <w:bottom w:val="single" w:color="auto" w:sz="4" w:space="0"/>
              <w:right w:val="single" w:color="auto" w:sz="4" w:space="0"/>
            </w:tcBorders>
            <w:shd w:val="clear" w:color="000000" w:fill="FFFFFF"/>
            <w:vAlign w:val="center"/>
          </w:tcPr>
          <w:p w14:paraId="649EC09F">
            <w:pPr>
              <w:widowControl/>
              <w:jc w:val="left"/>
              <w:rPr>
                <w:rFonts w:ascii="宋体" w:hAnsi="宋体" w:cs="Calibri"/>
                <w:kern w:val="0"/>
                <w:szCs w:val="21"/>
              </w:rPr>
            </w:pPr>
            <w:r>
              <w:rPr>
                <w:rFonts w:hint="eastAsia" w:ascii="宋体" w:hAnsi="宋体" w:cs="Calibri"/>
                <w:kern w:val="0"/>
                <w:szCs w:val="21"/>
              </w:rPr>
              <w:t>现有存储与本存储可实现全局统一的命名空间，便于用户访问数据。数据管理系统支持与SHINE现有存储整合，实现文件数据按照设定的策略自动地从磁盘层迁移到磁带库。迁移后文件保持可见，目录结构和命名空间不变，当访问文件时数据可自动从磁带库回迁。</w:t>
            </w:r>
          </w:p>
        </w:tc>
      </w:tr>
      <w:tr w14:paraId="3933354E">
        <w:tblPrEx>
          <w:tblCellMar>
            <w:top w:w="0" w:type="dxa"/>
            <w:left w:w="108" w:type="dxa"/>
            <w:bottom w:w="0" w:type="dxa"/>
            <w:right w:w="108" w:type="dxa"/>
          </w:tblCellMar>
        </w:tblPrEx>
        <w:trPr>
          <w:trHeight w:val="696" w:hRule="atLeast"/>
        </w:trPr>
        <w:tc>
          <w:tcPr>
            <w:tcW w:w="1480" w:type="dxa"/>
            <w:vMerge w:val="continue"/>
            <w:tcBorders>
              <w:top w:val="nil"/>
              <w:left w:val="single" w:color="auto" w:sz="4" w:space="0"/>
              <w:bottom w:val="nil"/>
              <w:right w:val="single" w:color="auto" w:sz="4" w:space="0"/>
            </w:tcBorders>
            <w:vAlign w:val="center"/>
          </w:tcPr>
          <w:p w14:paraId="5EBD10C7">
            <w:pPr>
              <w:widowControl/>
              <w:jc w:val="left"/>
              <w:rPr>
                <w:rFonts w:ascii="宋体" w:hAnsi="宋体" w:cs="Calibri"/>
                <w:kern w:val="0"/>
                <w:szCs w:val="21"/>
              </w:rPr>
            </w:pPr>
          </w:p>
        </w:tc>
        <w:tc>
          <w:tcPr>
            <w:tcW w:w="6742" w:type="dxa"/>
            <w:tcBorders>
              <w:top w:val="nil"/>
              <w:left w:val="nil"/>
              <w:bottom w:val="single" w:color="auto" w:sz="4" w:space="0"/>
              <w:right w:val="single" w:color="auto" w:sz="4" w:space="0"/>
            </w:tcBorders>
            <w:shd w:val="clear" w:color="000000" w:fill="FFFFFF"/>
            <w:vAlign w:val="center"/>
          </w:tcPr>
          <w:p w14:paraId="16398F17">
            <w:pPr>
              <w:widowControl/>
              <w:jc w:val="left"/>
              <w:rPr>
                <w:rFonts w:ascii="宋体" w:hAnsi="宋体" w:cs="Calibri"/>
                <w:kern w:val="0"/>
                <w:szCs w:val="21"/>
              </w:rPr>
            </w:pPr>
            <w:r>
              <w:rPr>
                <w:rFonts w:hint="eastAsia" w:ascii="宋体" w:hAnsi="宋体" w:cs="Calibri"/>
                <w:kern w:val="0"/>
                <w:szCs w:val="21"/>
              </w:rPr>
              <w:t>支持批量文件回迁。批量文件回迁时，应对磁带访问(文件回迁顺序)进行优化，以减少磁带加载和卸载操作，减少磁带查找操作。</w:t>
            </w:r>
          </w:p>
        </w:tc>
      </w:tr>
      <w:tr w14:paraId="38692CE3">
        <w:tblPrEx>
          <w:tblCellMar>
            <w:top w:w="0" w:type="dxa"/>
            <w:left w:w="108" w:type="dxa"/>
            <w:bottom w:w="0" w:type="dxa"/>
            <w:right w:w="108" w:type="dxa"/>
          </w:tblCellMar>
        </w:tblPrEx>
        <w:trPr>
          <w:trHeight w:val="696" w:hRule="atLeast"/>
        </w:trPr>
        <w:tc>
          <w:tcPr>
            <w:tcW w:w="1480" w:type="dxa"/>
            <w:vMerge w:val="continue"/>
            <w:tcBorders>
              <w:top w:val="nil"/>
              <w:left w:val="single" w:color="auto" w:sz="4" w:space="0"/>
              <w:bottom w:val="nil"/>
              <w:right w:val="single" w:color="auto" w:sz="4" w:space="0"/>
            </w:tcBorders>
            <w:vAlign w:val="center"/>
          </w:tcPr>
          <w:p w14:paraId="7C90C3E7">
            <w:pPr>
              <w:widowControl/>
              <w:jc w:val="left"/>
              <w:rPr>
                <w:rFonts w:ascii="宋体" w:hAnsi="宋体" w:cs="Calibri"/>
                <w:kern w:val="0"/>
                <w:szCs w:val="21"/>
              </w:rPr>
            </w:pPr>
          </w:p>
        </w:tc>
        <w:tc>
          <w:tcPr>
            <w:tcW w:w="6742" w:type="dxa"/>
            <w:tcBorders>
              <w:top w:val="nil"/>
              <w:left w:val="nil"/>
              <w:bottom w:val="single" w:color="auto" w:sz="4" w:space="0"/>
              <w:right w:val="single" w:color="auto" w:sz="4" w:space="0"/>
            </w:tcBorders>
            <w:shd w:val="clear" w:color="000000" w:fill="FFFFFF"/>
            <w:vAlign w:val="center"/>
          </w:tcPr>
          <w:p w14:paraId="58B87B90">
            <w:pPr>
              <w:widowControl/>
              <w:jc w:val="left"/>
              <w:rPr>
                <w:rFonts w:ascii="宋体" w:hAnsi="宋体" w:cs="Calibri"/>
                <w:kern w:val="0"/>
                <w:szCs w:val="21"/>
              </w:rPr>
            </w:pPr>
            <w:r>
              <w:rPr>
                <w:rFonts w:hint="eastAsia" w:ascii="宋体" w:hAnsi="宋体" w:cs="Calibri"/>
                <w:kern w:val="0"/>
                <w:szCs w:val="21"/>
              </w:rPr>
              <w:t>支持系统高可用功能，当单个系统节点发生故障时，集群内其它节点可以自动接管数据迁移和回迁业务。</w:t>
            </w:r>
          </w:p>
        </w:tc>
      </w:tr>
      <w:tr w14:paraId="1EC00FF2">
        <w:trPr>
          <w:trHeight w:val="1044" w:hRule="atLeast"/>
        </w:trPr>
        <w:tc>
          <w:tcPr>
            <w:tcW w:w="1480" w:type="dxa"/>
            <w:vMerge w:val="continue"/>
            <w:tcBorders>
              <w:top w:val="nil"/>
              <w:left w:val="single" w:color="auto" w:sz="4" w:space="0"/>
              <w:bottom w:val="nil"/>
              <w:right w:val="single" w:color="auto" w:sz="4" w:space="0"/>
            </w:tcBorders>
            <w:vAlign w:val="center"/>
          </w:tcPr>
          <w:p w14:paraId="35EBD7AF">
            <w:pPr>
              <w:widowControl/>
              <w:jc w:val="left"/>
              <w:rPr>
                <w:rFonts w:ascii="宋体" w:hAnsi="宋体" w:cs="Calibri"/>
                <w:kern w:val="0"/>
                <w:szCs w:val="21"/>
              </w:rPr>
            </w:pPr>
          </w:p>
        </w:tc>
        <w:tc>
          <w:tcPr>
            <w:tcW w:w="6742" w:type="dxa"/>
            <w:tcBorders>
              <w:top w:val="nil"/>
              <w:left w:val="nil"/>
              <w:bottom w:val="single" w:color="auto" w:sz="4" w:space="0"/>
              <w:right w:val="single" w:color="auto" w:sz="4" w:space="0"/>
            </w:tcBorders>
            <w:shd w:val="clear" w:color="000000" w:fill="FFFFFF"/>
            <w:vAlign w:val="center"/>
          </w:tcPr>
          <w:p w14:paraId="33BE1889">
            <w:pPr>
              <w:widowControl/>
              <w:jc w:val="left"/>
              <w:rPr>
                <w:rFonts w:ascii="宋体" w:hAnsi="宋体" w:cs="Calibri"/>
                <w:kern w:val="0"/>
                <w:szCs w:val="21"/>
              </w:rPr>
            </w:pPr>
            <w:r>
              <w:rPr>
                <w:rFonts w:hint="eastAsia" w:ascii="宋体" w:hAnsi="宋体" w:cs="Calibri"/>
                <w:kern w:val="0"/>
                <w:szCs w:val="21"/>
              </w:rPr>
              <w:t>通过Web图形界面实现主要数据管理功能，包括查看磁盘和磁带库存储系统状态和使用容量，查看磁带机和磁带信息，监控文件数量和历史增长趋势，配置磁带存储池和迁移策略等。</w:t>
            </w:r>
          </w:p>
        </w:tc>
      </w:tr>
      <w:tr w14:paraId="460F317D">
        <w:tblPrEx>
          <w:tblCellMar>
            <w:top w:w="0" w:type="dxa"/>
            <w:left w:w="108" w:type="dxa"/>
            <w:bottom w:w="0" w:type="dxa"/>
            <w:right w:w="108" w:type="dxa"/>
          </w:tblCellMar>
        </w:tblPrEx>
        <w:trPr>
          <w:trHeight w:val="1740" w:hRule="atLeast"/>
        </w:trPr>
        <w:tc>
          <w:tcPr>
            <w:tcW w:w="1480" w:type="dxa"/>
            <w:vMerge w:val="continue"/>
            <w:tcBorders>
              <w:top w:val="nil"/>
              <w:left w:val="single" w:color="auto" w:sz="4" w:space="0"/>
              <w:bottom w:val="nil"/>
              <w:right w:val="single" w:color="auto" w:sz="4" w:space="0"/>
            </w:tcBorders>
            <w:vAlign w:val="center"/>
          </w:tcPr>
          <w:p w14:paraId="49307807">
            <w:pPr>
              <w:widowControl/>
              <w:jc w:val="left"/>
              <w:rPr>
                <w:rFonts w:ascii="宋体" w:hAnsi="宋体" w:cs="Calibri"/>
                <w:kern w:val="0"/>
                <w:szCs w:val="21"/>
              </w:rPr>
            </w:pPr>
          </w:p>
        </w:tc>
        <w:tc>
          <w:tcPr>
            <w:tcW w:w="6742" w:type="dxa"/>
            <w:tcBorders>
              <w:top w:val="nil"/>
              <w:left w:val="nil"/>
              <w:bottom w:val="single" w:color="auto" w:sz="4" w:space="0"/>
              <w:right w:val="single" w:color="auto" w:sz="4" w:space="0"/>
            </w:tcBorders>
            <w:shd w:val="clear" w:color="000000" w:fill="FFFFFF"/>
            <w:vAlign w:val="center"/>
          </w:tcPr>
          <w:p w14:paraId="63797876">
            <w:pPr>
              <w:widowControl/>
              <w:jc w:val="left"/>
              <w:rPr>
                <w:rFonts w:ascii="宋体" w:hAnsi="宋体" w:cs="Calibri"/>
                <w:kern w:val="0"/>
                <w:szCs w:val="21"/>
              </w:rPr>
            </w:pPr>
            <w:r>
              <w:rPr>
                <w:rFonts w:hint="eastAsia" w:ascii="宋体" w:hAnsi="宋体" w:cs="Calibri"/>
                <w:kern w:val="0"/>
                <w:szCs w:val="21"/>
              </w:rPr>
              <w:t>为方便海量数据管理，能自动检测整体文件存储系统中文件的变化（增、删、改）并索引和更新相关的元数据信息，能通过插件对指定文件自动生成语义标签并进行关联。能通过文件元数据信息（文件名、目录名、属主、创建/修改日期等）和语义标签对文件进行检索，支持多种检索条件的联合检索，千万级文件检索时间不超过1秒。</w:t>
            </w:r>
          </w:p>
        </w:tc>
      </w:tr>
      <w:tr w14:paraId="59FB748E">
        <w:tblPrEx>
          <w:tblCellMar>
            <w:top w:w="0" w:type="dxa"/>
            <w:left w:w="108" w:type="dxa"/>
            <w:bottom w:w="0" w:type="dxa"/>
            <w:right w:w="108" w:type="dxa"/>
          </w:tblCellMar>
        </w:tblPrEx>
        <w:trPr>
          <w:trHeight w:val="1392" w:hRule="atLeast"/>
        </w:trPr>
        <w:tc>
          <w:tcPr>
            <w:tcW w:w="1480" w:type="dxa"/>
            <w:tcBorders>
              <w:top w:val="single" w:color="auto" w:sz="4" w:space="0"/>
              <w:left w:val="single" w:color="auto" w:sz="4" w:space="0"/>
              <w:bottom w:val="single" w:color="auto" w:sz="4" w:space="0"/>
              <w:right w:val="single" w:color="auto" w:sz="4" w:space="0"/>
            </w:tcBorders>
            <w:shd w:val="clear" w:color="000000" w:fill="FFFFFF"/>
            <w:vAlign w:val="center"/>
          </w:tcPr>
          <w:p w14:paraId="4FEA7475">
            <w:pPr>
              <w:widowControl/>
              <w:jc w:val="left"/>
              <w:rPr>
                <w:rFonts w:ascii="宋体" w:hAnsi="宋体" w:cs="Calibri"/>
                <w:kern w:val="0"/>
                <w:szCs w:val="21"/>
              </w:rPr>
            </w:pPr>
            <w:r>
              <w:rPr>
                <w:rFonts w:hint="eastAsia" w:ascii="宋体" w:hAnsi="宋体" w:cs="Calibri"/>
                <w:kern w:val="0"/>
                <w:szCs w:val="21"/>
              </w:rPr>
              <w:t>其他</w:t>
            </w:r>
          </w:p>
        </w:tc>
        <w:tc>
          <w:tcPr>
            <w:tcW w:w="6742" w:type="dxa"/>
            <w:tcBorders>
              <w:top w:val="nil"/>
              <w:left w:val="nil"/>
              <w:bottom w:val="single" w:color="auto" w:sz="4" w:space="0"/>
              <w:right w:val="single" w:color="auto" w:sz="4" w:space="0"/>
            </w:tcBorders>
            <w:shd w:val="clear" w:color="000000" w:fill="FFFFFF"/>
            <w:vAlign w:val="center"/>
          </w:tcPr>
          <w:p w14:paraId="7082837E">
            <w:pPr>
              <w:widowControl/>
              <w:jc w:val="left"/>
              <w:rPr>
                <w:rFonts w:ascii="宋体" w:hAnsi="宋体" w:cs="Calibri"/>
                <w:kern w:val="0"/>
                <w:szCs w:val="21"/>
              </w:rPr>
            </w:pPr>
            <w:r>
              <w:rPr>
                <w:rFonts w:hint="eastAsia" w:ascii="宋体" w:hAnsi="宋体" w:cs="Calibri"/>
                <w:kern w:val="0"/>
                <w:szCs w:val="21"/>
              </w:rPr>
              <w:t>提供数据管理和迁移软件安装部署所需相关的网络和服务器设备；其中服务器配置不低于：双处理器（不低于8C/2.6GHz）/128G/2*480G/200G IB/25G以太网/32G FC网卡</w:t>
            </w:r>
            <w:r>
              <w:rPr>
                <w:rFonts w:hint="eastAsia" w:ascii="宋体" w:hAnsi="宋体" w:cs="Calibri"/>
                <w:kern w:val="0"/>
                <w:szCs w:val="21"/>
              </w:rPr>
              <w:br w:type="textWrapping"/>
            </w:r>
            <w:r>
              <w:rPr>
                <w:rFonts w:hint="eastAsia" w:ascii="宋体" w:hAnsi="宋体" w:cs="Calibri"/>
                <w:kern w:val="0"/>
                <w:szCs w:val="21"/>
              </w:rPr>
              <w:t>为了最大化兼容，磁带库库体和磁带驱动器为相同品牌</w:t>
            </w:r>
          </w:p>
        </w:tc>
      </w:tr>
      <w:tr w14:paraId="3A116C85">
        <w:tblPrEx>
          <w:tblCellMar>
            <w:top w:w="0" w:type="dxa"/>
            <w:left w:w="108" w:type="dxa"/>
            <w:bottom w:w="0" w:type="dxa"/>
            <w:right w:w="108" w:type="dxa"/>
          </w:tblCellMar>
        </w:tblPrEx>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1EB34820">
            <w:pPr>
              <w:widowControl/>
              <w:jc w:val="left"/>
              <w:rPr>
                <w:rFonts w:ascii="宋体" w:hAnsi="宋体" w:cs="Calibri"/>
                <w:kern w:val="0"/>
                <w:szCs w:val="21"/>
              </w:rPr>
            </w:pPr>
            <w:r>
              <w:rPr>
                <w:kern w:val="0"/>
                <w:szCs w:val="21"/>
              </w:rPr>
              <w:t>▲</w:t>
            </w:r>
            <w:r>
              <w:rPr>
                <w:rFonts w:hint="eastAsia" w:ascii="宋体" w:hAnsi="宋体" w:cs="Calibri"/>
                <w:kern w:val="0"/>
                <w:szCs w:val="21"/>
              </w:rPr>
              <w:t>License</w:t>
            </w:r>
          </w:p>
        </w:tc>
        <w:tc>
          <w:tcPr>
            <w:tcW w:w="6742" w:type="dxa"/>
            <w:tcBorders>
              <w:top w:val="nil"/>
              <w:left w:val="nil"/>
              <w:bottom w:val="single" w:color="auto" w:sz="4" w:space="0"/>
              <w:right w:val="single" w:color="auto" w:sz="4" w:space="0"/>
            </w:tcBorders>
            <w:shd w:val="clear" w:color="000000" w:fill="FFFFFF"/>
            <w:vAlign w:val="center"/>
          </w:tcPr>
          <w:p w14:paraId="5EE2B39D">
            <w:pPr>
              <w:widowControl/>
              <w:jc w:val="left"/>
              <w:rPr>
                <w:rFonts w:ascii="宋体" w:hAnsi="宋体" w:cs="Calibri"/>
                <w:kern w:val="0"/>
                <w:szCs w:val="21"/>
              </w:rPr>
            </w:pPr>
            <w:r>
              <w:rPr>
                <w:rFonts w:hint="eastAsia" w:ascii="宋体" w:hAnsi="宋体" w:cs="Calibri"/>
                <w:kern w:val="0"/>
                <w:szCs w:val="21"/>
              </w:rPr>
              <w:t>含所有License，无需单独购买License可使用全部功能</w:t>
            </w:r>
          </w:p>
        </w:tc>
      </w:tr>
      <w:tr w14:paraId="7BC6AF8B">
        <w:trPr>
          <w:trHeight w:val="348"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497D0607">
            <w:pPr>
              <w:widowControl/>
              <w:jc w:val="left"/>
              <w:rPr>
                <w:rFonts w:ascii="宋体" w:hAnsi="宋体" w:cs="Calibri"/>
                <w:kern w:val="0"/>
                <w:szCs w:val="21"/>
              </w:rPr>
            </w:pPr>
            <w:r>
              <w:rPr>
                <w:rFonts w:hint="eastAsia" w:ascii="宋体" w:hAnsi="宋体" w:cs="Calibri"/>
                <w:kern w:val="0"/>
                <w:szCs w:val="21"/>
              </w:rPr>
              <w:t>质保期</w:t>
            </w:r>
          </w:p>
        </w:tc>
        <w:tc>
          <w:tcPr>
            <w:tcW w:w="6742" w:type="dxa"/>
            <w:tcBorders>
              <w:top w:val="nil"/>
              <w:left w:val="nil"/>
              <w:bottom w:val="single" w:color="auto" w:sz="4" w:space="0"/>
              <w:right w:val="single" w:color="auto" w:sz="4" w:space="0"/>
            </w:tcBorders>
            <w:shd w:val="clear" w:color="000000" w:fill="FFFFFF"/>
            <w:vAlign w:val="center"/>
          </w:tcPr>
          <w:p w14:paraId="5C5D20F8">
            <w:pPr>
              <w:widowControl/>
              <w:jc w:val="left"/>
              <w:rPr>
                <w:rFonts w:ascii="宋体" w:hAnsi="宋体" w:cs="Calibri"/>
                <w:kern w:val="0"/>
                <w:szCs w:val="21"/>
              </w:rPr>
            </w:pPr>
            <w:r>
              <w:rPr>
                <w:rFonts w:hint="eastAsia" w:ascii="宋体" w:hAnsi="宋体" w:cs="Calibri"/>
                <w:kern w:val="0"/>
                <w:szCs w:val="21"/>
              </w:rPr>
              <w:t>不少于5年</w:t>
            </w:r>
          </w:p>
        </w:tc>
      </w:tr>
      <w:tr w14:paraId="42559691">
        <w:tblPrEx>
          <w:tblCellMar>
            <w:top w:w="0" w:type="dxa"/>
            <w:left w:w="108" w:type="dxa"/>
            <w:bottom w:w="0" w:type="dxa"/>
            <w:right w:w="108" w:type="dxa"/>
          </w:tblCellMar>
        </w:tblPrEx>
        <w:trPr>
          <w:trHeight w:val="2436" w:hRule="atLeast"/>
        </w:trPr>
        <w:tc>
          <w:tcPr>
            <w:tcW w:w="1480" w:type="dxa"/>
            <w:tcBorders>
              <w:top w:val="nil"/>
              <w:left w:val="single" w:color="auto" w:sz="4" w:space="0"/>
              <w:bottom w:val="single" w:color="auto" w:sz="4" w:space="0"/>
              <w:right w:val="single" w:color="auto" w:sz="4" w:space="0"/>
            </w:tcBorders>
            <w:shd w:val="clear" w:color="000000" w:fill="FFFFFF"/>
            <w:vAlign w:val="center"/>
          </w:tcPr>
          <w:p w14:paraId="10496574">
            <w:pPr>
              <w:widowControl/>
              <w:jc w:val="left"/>
              <w:rPr>
                <w:rFonts w:ascii="宋体" w:hAnsi="宋体" w:cs="Calibri"/>
                <w:kern w:val="0"/>
                <w:szCs w:val="21"/>
              </w:rPr>
            </w:pPr>
            <w:r>
              <w:rPr>
                <w:rFonts w:hint="eastAsia"/>
                <w:szCs w:val="21"/>
              </w:rPr>
              <w:t>*</w:t>
            </w:r>
            <w:r>
              <w:rPr>
                <w:rFonts w:hint="eastAsia" w:ascii="宋体" w:hAnsi="宋体" w:cs="Calibri"/>
                <w:kern w:val="0"/>
                <w:szCs w:val="21"/>
              </w:rPr>
              <w:t>实配要求</w:t>
            </w:r>
          </w:p>
        </w:tc>
        <w:tc>
          <w:tcPr>
            <w:tcW w:w="6742" w:type="dxa"/>
            <w:tcBorders>
              <w:top w:val="nil"/>
              <w:left w:val="nil"/>
              <w:bottom w:val="single" w:color="auto" w:sz="4" w:space="0"/>
              <w:right w:val="single" w:color="auto" w:sz="4" w:space="0"/>
            </w:tcBorders>
            <w:shd w:val="clear" w:color="000000" w:fill="FFFFFF"/>
            <w:vAlign w:val="center"/>
          </w:tcPr>
          <w:p w14:paraId="6AC5D3A7">
            <w:pPr>
              <w:widowControl/>
              <w:jc w:val="left"/>
              <w:rPr>
                <w:rFonts w:ascii="宋体" w:hAnsi="宋体" w:cs="Calibri"/>
                <w:kern w:val="0"/>
                <w:szCs w:val="21"/>
              </w:rPr>
            </w:pPr>
            <w:r>
              <w:rPr>
                <w:rFonts w:hint="eastAsia" w:ascii="宋体" w:hAnsi="宋体" w:cs="Calibri"/>
                <w:kern w:val="0"/>
                <w:szCs w:val="21"/>
              </w:rPr>
              <w:t>（1）1个磁带主柜（提供不少于10个驱动器位和730个磁带槽位）+1个大容量扩展柜（提供不少于1300个磁带存储槽）</w:t>
            </w:r>
            <w:r>
              <w:rPr>
                <w:rFonts w:hint="eastAsia" w:ascii="宋体" w:hAnsi="宋体" w:cs="Calibri"/>
                <w:kern w:val="0"/>
                <w:szCs w:val="21"/>
              </w:rPr>
              <w:br w:type="textWrapping"/>
            </w:r>
            <w:r>
              <w:rPr>
                <w:rFonts w:hint="eastAsia" w:ascii="宋体" w:hAnsi="宋体" w:cs="Calibri"/>
                <w:kern w:val="0"/>
                <w:szCs w:val="21"/>
              </w:rPr>
              <w:t>（2）不少于2个LTO-10 FC驱动器，每个驱动器2个32G FC端口（含模块）</w:t>
            </w:r>
            <w:r>
              <w:rPr>
                <w:rFonts w:hint="eastAsia" w:ascii="宋体" w:hAnsi="宋体" w:cs="Calibri"/>
                <w:kern w:val="0"/>
                <w:szCs w:val="21"/>
              </w:rPr>
              <w:br w:type="textWrapping"/>
            </w:r>
            <w:r>
              <w:rPr>
                <w:rFonts w:hint="eastAsia" w:ascii="宋体" w:hAnsi="宋体" w:cs="Calibri"/>
                <w:kern w:val="0"/>
                <w:szCs w:val="21"/>
              </w:rPr>
              <w:t>（3）不少于340个LTO10磁带，2个清洁带,容量不少于10PB（非压缩）</w:t>
            </w:r>
            <w:r>
              <w:rPr>
                <w:rFonts w:hint="eastAsia" w:ascii="宋体" w:hAnsi="宋体" w:cs="Calibri"/>
                <w:kern w:val="0"/>
                <w:szCs w:val="21"/>
              </w:rPr>
              <w:br w:type="textWrapping"/>
            </w:r>
            <w:r>
              <w:rPr>
                <w:rFonts w:hint="eastAsia" w:ascii="宋体" w:hAnsi="宋体" w:cs="Calibri"/>
                <w:kern w:val="0"/>
                <w:szCs w:val="21"/>
              </w:rPr>
              <w:t>（4）不少于2个机械手</w:t>
            </w:r>
            <w:r>
              <w:rPr>
                <w:rFonts w:hint="eastAsia" w:ascii="宋体" w:hAnsi="宋体" w:cs="Calibri"/>
                <w:kern w:val="0"/>
                <w:szCs w:val="21"/>
              </w:rPr>
              <w:br w:type="textWrapping"/>
            </w:r>
            <w:r>
              <w:rPr>
                <w:rFonts w:hint="eastAsia" w:ascii="宋体" w:hAnsi="宋体" w:cs="Calibri"/>
                <w:kern w:val="0"/>
                <w:szCs w:val="21"/>
              </w:rPr>
              <w:t>（5）1+1冗余电源</w:t>
            </w:r>
          </w:p>
        </w:tc>
      </w:tr>
    </w:tbl>
    <w:p w14:paraId="69CBEF35">
      <w:pPr>
        <w:rPr>
          <w:b/>
          <w:szCs w:val="21"/>
        </w:rPr>
      </w:pPr>
    </w:p>
    <w:p w14:paraId="4FA4BB77">
      <w:pPr>
        <w:rPr>
          <w:b/>
          <w:szCs w:val="21"/>
        </w:rPr>
      </w:pPr>
      <w:r>
        <w:rPr>
          <w:b/>
          <w:szCs w:val="21"/>
        </w:rPr>
        <w:t>（7）现场OPI工作站</w:t>
      </w:r>
    </w:p>
    <w:tbl>
      <w:tblPr>
        <w:tblStyle w:val="14"/>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6522"/>
      </w:tblGrid>
      <w:tr w14:paraId="7A89E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700" w:type="dxa"/>
            <w:tcBorders>
              <w:bottom w:val="single" w:color="auto" w:sz="4" w:space="0"/>
            </w:tcBorders>
            <w:shd w:val="clear" w:color="auto" w:fill="auto"/>
            <w:vAlign w:val="center"/>
          </w:tcPr>
          <w:p w14:paraId="7DB89DB1">
            <w:pPr>
              <w:pStyle w:val="21"/>
              <w:rPr>
                <w:rFonts w:cs="Times New Roman"/>
                <w:szCs w:val="21"/>
              </w:rPr>
            </w:pPr>
            <w:r>
              <w:rPr>
                <w:rFonts w:cs="Times New Roman"/>
                <w:szCs w:val="21"/>
              </w:rPr>
              <w:t>部件</w:t>
            </w:r>
          </w:p>
        </w:tc>
        <w:tc>
          <w:tcPr>
            <w:tcW w:w="6517" w:type="dxa"/>
            <w:tcBorders>
              <w:bottom w:val="single" w:color="auto" w:sz="4" w:space="0"/>
            </w:tcBorders>
            <w:shd w:val="clear" w:color="auto" w:fill="auto"/>
            <w:vAlign w:val="center"/>
          </w:tcPr>
          <w:p w14:paraId="2E868ADC">
            <w:pPr>
              <w:pStyle w:val="21"/>
              <w:rPr>
                <w:rFonts w:cs="Times New Roman"/>
                <w:szCs w:val="21"/>
              </w:rPr>
            </w:pPr>
            <w:r>
              <w:rPr>
                <w:rFonts w:cs="Times New Roman"/>
                <w:szCs w:val="21"/>
              </w:rPr>
              <w:t>技术要求</w:t>
            </w:r>
          </w:p>
        </w:tc>
      </w:tr>
      <w:tr w14:paraId="70E4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16A1B0D0">
            <w:pPr>
              <w:pStyle w:val="21"/>
              <w:rPr>
                <w:rFonts w:cs="Times New Roman"/>
                <w:szCs w:val="21"/>
              </w:rPr>
            </w:pPr>
            <w:r>
              <w:rPr>
                <w:rFonts w:cs="Times New Roman"/>
                <w:szCs w:val="21"/>
              </w:rPr>
              <w:t>CPU</w:t>
            </w:r>
          </w:p>
        </w:tc>
        <w:tc>
          <w:tcPr>
            <w:tcW w:w="6517" w:type="dxa"/>
            <w:shd w:val="clear" w:color="auto" w:fill="auto"/>
            <w:vAlign w:val="center"/>
          </w:tcPr>
          <w:p w14:paraId="5408CE70">
            <w:pPr>
              <w:pStyle w:val="21"/>
              <w:rPr>
                <w:rFonts w:cs="Times New Roman"/>
                <w:szCs w:val="21"/>
              </w:rPr>
            </w:pPr>
            <w:r>
              <w:rPr>
                <w:rFonts w:cs="Times New Roman"/>
                <w:szCs w:val="21"/>
              </w:rPr>
              <w:t>主频≥3.</w:t>
            </w:r>
            <w:r>
              <w:rPr>
                <w:rFonts w:hint="eastAsia" w:cs="Times New Roman"/>
                <w:szCs w:val="21"/>
              </w:rPr>
              <w:t>3</w:t>
            </w:r>
            <w:r>
              <w:rPr>
                <w:rFonts w:cs="Times New Roman"/>
                <w:szCs w:val="21"/>
              </w:rPr>
              <w:t>GHz，核心数≥</w:t>
            </w:r>
            <w:r>
              <w:rPr>
                <w:rFonts w:hint="eastAsia" w:cs="Times New Roman"/>
                <w:szCs w:val="21"/>
              </w:rPr>
              <w:t>10</w:t>
            </w:r>
            <w:r>
              <w:rPr>
                <w:rFonts w:cs="Times New Roman"/>
                <w:szCs w:val="21"/>
              </w:rPr>
              <w:t>核</w:t>
            </w:r>
          </w:p>
        </w:tc>
      </w:tr>
      <w:tr w14:paraId="680E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09DC2E9B">
            <w:pPr>
              <w:pStyle w:val="21"/>
              <w:rPr>
                <w:rFonts w:cs="Times New Roman"/>
                <w:szCs w:val="21"/>
              </w:rPr>
            </w:pPr>
            <w:r>
              <w:rPr>
                <w:rFonts w:cs="Times New Roman"/>
                <w:szCs w:val="21"/>
              </w:rPr>
              <w:t>内存</w:t>
            </w:r>
          </w:p>
        </w:tc>
        <w:tc>
          <w:tcPr>
            <w:tcW w:w="6517" w:type="dxa"/>
            <w:shd w:val="clear" w:color="auto" w:fill="auto"/>
            <w:vAlign w:val="center"/>
          </w:tcPr>
          <w:p w14:paraId="5EF4953F">
            <w:pPr>
              <w:pStyle w:val="21"/>
              <w:rPr>
                <w:rFonts w:cs="Times New Roman"/>
                <w:szCs w:val="21"/>
              </w:rPr>
            </w:pPr>
            <w:r>
              <w:rPr>
                <w:rFonts w:cs="Times New Roman"/>
                <w:szCs w:val="21"/>
              </w:rPr>
              <w:t>≥</w:t>
            </w:r>
            <w:r>
              <w:rPr>
                <w:rFonts w:hint="eastAsia" w:cs="Times New Roman"/>
                <w:szCs w:val="21"/>
              </w:rPr>
              <w:t>32</w:t>
            </w:r>
            <w:r>
              <w:rPr>
                <w:rFonts w:cs="Times New Roman"/>
                <w:szCs w:val="21"/>
              </w:rPr>
              <w:t>GB</w:t>
            </w:r>
          </w:p>
        </w:tc>
      </w:tr>
      <w:tr w14:paraId="43B0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0F6F4BE8">
            <w:pPr>
              <w:pStyle w:val="21"/>
              <w:rPr>
                <w:rFonts w:cs="Times New Roman"/>
                <w:szCs w:val="21"/>
              </w:rPr>
            </w:pPr>
            <w:r>
              <w:rPr>
                <w:rFonts w:cs="Times New Roman"/>
                <w:szCs w:val="21"/>
              </w:rPr>
              <w:t>系统盘</w:t>
            </w:r>
          </w:p>
        </w:tc>
        <w:tc>
          <w:tcPr>
            <w:tcW w:w="6517" w:type="dxa"/>
            <w:shd w:val="clear" w:color="auto" w:fill="auto"/>
            <w:vAlign w:val="center"/>
          </w:tcPr>
          <w:p w14:paraId="3BBFAF31">
            <w:pPr>
              <w:pStyle w:val="21"/>
              <w:rPr>
                <w:rFonts w:cs="Times New Roman"/>
                <w:szCs w:val="21"/>
              </w:rPr>
            </w:pPr>
            <w:r>
              <w:rPr>
                <w:rFonts w:cs="Times New Roman"/>
                <w:szCs w:val="21"/>
              </w:rPr>
              <w:t>1块≥1TB Nvme SSD硬盘</w:t>
            </w:r>
          </w:p>
        </w:tc>
      </w:tr>
      <w:tr w14:paraId="562B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6C3E7E3C">
            <w:pPr>
              <w:pStyle w:val="21"/>
              <w:rPr>
                <w:rFonts w:cs="Times New Roman"/>
                <w:szCs w:val="21"/>
              </w:rPr>
            </w:pPr>
            <w:r>
              <w:rPr>
                <w:rFonts w:cs="Times New Roman"/>
                <w:szCs w:val="21"/>
              </w:rPr>
              <w:t>数据盘</w:t>
            </w:r>
          </w:p>
        </w:tc>
        <w:tc>
          <w:tcPr>
            <w:tcW w:w="6517" w:type="dxa"/>
            <w:shd w:val="clear" w:color="auto" w:fill="auto"/>
            <w:vAlign w:val="center"/>
          </w:tcPr>
          <w:p w14:paraId="347DB8E9">
            <w:pPr>
              <w:pStyle w:val="21"/>
              <w:rPr>
                <w:rFonts w:cs="Times New Roman"/>
                <w:szCs w:val="21"/>
              </w:rPr>
            </w:pPr>
            <w:r>
              <w:rPr>
                <w:rFonts w:cs="Times New Roman"/>
                <w:szCs w:val="21"/>
              </w:rPr>
              <w:t>1块≥2TB 企业级HDD硬盘</w:t>
            </w:r>
          </w:p>
        </w:tc>
      </w:tr>
      <w:tr w14:paraId="432D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619518ED">
            <w:pPr>
              <w:pStyle w:val="21"/>
              <w:rPr>
                <w:rFonts w:cs="Times New Roman"/>
                <w:szCs w:val="21"/>
              </w:rPr>
            </w:pPr>
            <w:r>
              <w:rPr>
                <w:rFonts w:cs="Times New Roman"/>
                <w:szCs w:val="21"/>
              </w:rPr>
              <w:t>显卡</w:t>
            </w:r>
          </w:p>
        </w:tc>
        <w:tc>
          <w:tcPr>
            <w:tcW w:w="6517" w:type="dxa"/>
            <w:shd w:val="clear" w:color="auto" w:fill="auto"/>
            <w:vAlign w:val="center"/>
          </w:tcPr>
          <w:p w14:paraId="2FEA1B7C">
            <w:pPr>
              <w:pStyle w:val="21"/>
              <w:rPr>
                <w:rFonts w:cs="Times New Roman"/>
                <w:szCs w:val="21"/>
              </w:rPr>
            </w:pPr>
            <w:r>
              <w:rPr>
                <w:rFonts w:cs="Times New Roman"/>
                <w:szCs w:val="21"/>
              </w:rPr>
              <w:t>独立显卡，显存≥</w:t>
            </w:r>
            <w:r>
              <w:rPr>
                <w:rFonts w:hint="eastAsia" w:cs="Times New Roman"/>
                <w:szCs w:val="21"/>
              </w:rPr>
              <w:t>8</w:t>
            </w:r>
            <w:r>
              <w:rPr>
                <w:rFonts w:cs="Times New Roman"/>
                <w:szCs w:val="21"/>
              </w:rPr>
              <w:t>GB</w:t>
            </w:r>
          </w:p>
        </w:tc>
      </w:tr>
      <w:tr w14:paraId="0DC2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353C9239">
            <w:pPr>
              <w:pStyle w:val="21"/>
              <w:rPr>
                <w:rFonts w:cs="Times New Roman"/>
                <w:szCs w:val="21"/>
              </w:rPr>
            </w:pPr>
            <w:r>
              <w:rPr>
                <w:rFonts w:cs="Times New Roman"/>
                <w:szCs w:val="21"/>
              </w:rPr>
              <w:t>显示器</w:t>
            </w:r>
          </w:p>
        </w:tc>
        <w:tc>
          <w:tcPr>
            <w:tcW w:w="6517" w:type="dxa"/>
            <w:shd w:val="clear" w:color="auto" w:fill="auto"/>
            <w:vAlign w:val="center"/>
          </w:tcPr>
          <w:p w14:paraId="6FC2584A">
            <w:pPr>
              <w:pStyle w:val="21"/>
              <w:rPr>
                <w:rFonts w:cs="Times New Roman"/>
                <w:szCs w:val="21"/>
              </w:rPr>
            </w:pPr>
            <w:r>
              <w:rPr>
                <w:rFonts w:cs="Times New Roman"/>
                <w:szCs w:val="21"/>
              </w:rPr>
              <w:t>3块</w:t>
            </w:r>
            <w:r>
              <w:rPr>
                <w:rFonts w:hint="eastAsia" w:cs="Times New Roman"/>
                <w:szCs w:val="21"/>
              </w:rPr>
              <w:t>独立</w:t>
            </w:r>
            <w:r>
              <w:rPr>
                <w:rFonts w:cs="Times New Roman"/>
                <w:szCs w:val="21"/>
              </w:rPr>
              <w:t>27英寸显示器，分辨率不小于 2560×1440，60Hz，ISP旋转升降，DP、HDMI接口</w:t>
            </w:r>
          </w:p>
        </w:tc>
      </w:tr>
      <w:tr w14:paraId="0DB7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Merge w:val="restart"/>
            <w:shd w:val="clear" w:color="auto" w:fill="auto"/>
            <w:vAlign w:val="center"/>
          </w:tcPr>
          <w:p w14:paraId="67DDDB57">
            <w:pPr>
              <w:pStyle w:val="21"/>
              <w:rPr>
                <w:rFonts w:cs="Times New Roman"/>
                <w:szCs w:val="21"/>
              </w:rPr>
            </w:pPr>
            <w:r>
              <w:rPr>
                <w:rFonts w:cs="Times New Roman"/>
                <w:szCs w:val="21"/>
              </w:rPr>
              <w:t>网络</w:t>
            </w:r>
          </w:p>
        </w:tc>
        <w:tc>
          <w:tcPr>
            <w:tcW w:w="6517" w:type="dxa"/>
            <w:shd w:val="clear" w:color="auto" w:fill="auto"/>
            <w:vAlign w:val="center"/>
          </w:tcPr>
          <w:p w14:paraId="453497FC">
            <w:pPr>
              <w:pStyle w:val="21"/>
              <w:rPr>
                <w:rFonts w:cs="Times New Roman"/>
                <w:szCs w:val="21"/>
              </w:rPr>
            </w:pPr>
            <w:r>
              <w:rPr>
                <w:rFonts w:cs="Times New Roman"/>
                <w:szCs w:val="21"/>
              </w:rPr>
              <w:t>2端口25Gbps网卡，带原装单模模块</w:t>
            </w:r>
          </w:p>
        </w:tc>
      </w:tr>
      <w:tr w14:paraId="6A37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Merge w:val="continue"/>
            <w:shd w:val="clear" w:color="auto" w:fill="auto"/>
            <w:vAlign w:val="center"/>
          </w:tcPr>
          <w:p w14:paraId="515BCD9A">
            <w:pPr>
              <w:pStyle w:val="21"/>
              <w:rPr>
                <w:rFonts w:cs="Times New Roman"/>
                <w:szCs w:val="21"/>
              </w:rPr>
            </w:pPr>
          </w:p>
        </w:tc>
        <w:tc>
          <w:tcPr>
            <w:tcW w:w="6517" w:type="dxa"/>
            <w:shd w:val="clear" w:color="auto" w:fill="auto"/>
            <w:vAlign w:val="center"/>
          </w:tcPr>
          <w:p w14:paraId="49EB7D6A">
            <w:pPr>
              <w:pStyle w:val="21"/>
              <w:rPr>
                <w:rFonts w:cs="Times New Roman"/>
                <w:szCs w:val="21"/>
              </w:rPr>
            </w:pPr>
            <w:r>
              <w:rPr>
                <w:rFonts w:hint="eastAsia" w:cs="Times New Roman"/>
                <w:szCs w:val="21"/>
              </w:rPr>
              <w:t>1</w:t>
            </w:r>
            <w:r>
              <w:rPr>
                <w:rFonts w:cs="Times New Roman"/>
                <w:szCs w:val="21"/>
              </w:rPr>
              <w:t>端口1Gbps网卡</w:t>
            </w:r>
          </w:p>
        </w:tc>
      </w:tr>
      <w:tr w14:paraId="1DA0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7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24CBC8A">
            <w:pPr>
              <w:pStyle w:val="21"/>
              <w:rPr>
                <w:rFonts w:cs="Times New Roman"/>
                <w:szCs w:val="21"/>
              </w:rPr>
            </w:pPr>
            <w:r>
              <w:rPr>
                <w:rFonts w:cs="Times New Roman"/>
                <w:szCs w:val="21"/>
              </w:rPr>
              <w:t>售后服务</w:t>
            </w:r>
          </w:p>
        </w:tc>
        <w:tc>
          <w:tcPr>
            <w:tcW w:w="652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4E9EFC6">
            <w:pPr>
              <w:pStyle w:val="21"/>
              <w:rPr>
                <w:rFonts w:cs="Times New Roman"/>
                <w:szCs w:val="21"/>
              </w:rPr>
            </w:pPr>
            <w:r>
              <w:rPr>
                <w:rFonts w:cs="Times New Roman"/>
                <w:szCs w:val="21"/>
              </w:rPr>
              <w:t>提供原厂5年7x24</w:t>
            </w:r>
            <w:r>
              <w:rPr>
                <w:rFonts w:hint="eastAsia" w:cs="Times New Roman"/>
                <w:szCs w:val="21"/>
              </w:rPr>
              <w:t>小时售后服务</w:t>
            </w:r>
            <w:r>
              <w:rPr>
                <w:rFonts w:cs="Times New Roman"/>
                <w:szCs w:val="21"/>
              </w:rPr>
              <w:t>，</w:t>
            </w:r>
            <w:r>
              <w:rPr>
                <w:rFonts w:hint="eastAsia" w:cs="Times New Roman"/>
                <w:szCs w:val="21"/>
              </w:rPr>
              <w:t>2</w:t>
            </w:r>
            <w:r>
              <w:rPr>
                <w:rFonts w:cs="Times New Roman"/>
                <w:szCs w:val="21"/>
              </w:rPr>
              <w:t>4小时原厂备件上门更换服务</w:t>
            </w:r>
          </w:p>
        </w:tc>
      </w:tr>
    </w:tbl>
    <w:p w14:paraId="6881DADB">
      <w:pPr>
        <w:rPr>
          <w:b/>
          <w:szCs w:val="21"/>
        </w:rPr>
      </w:pPr>
    </w:p>
    <w:p w14:paraId="37C4E2C3">
      <w:pPr>
        <w:rPr>
          <w:b/>
          <w:szCs w:val="21"/>
        </w:rPr>
      </w:pPr>
      <w:r>
        <w:rPr>
          <w:b/>
          <w:szCs w:val="21"/>
        </w:rPr>
        <w:t>（8）中控OPI工作站</w:t>
      </w:r>
      <w:r>
        <w:rPr>
          <w:rFonts w:hint="eastAsia"/>
          <w:b/>
          <w:szCs w:val="21"/>
        </w:rPr>
        <w:t>1</w:t>
      </w:r>
    </w:p>
    <w:tbl>
      <w:tblPr>
        <w:tblStyle w:val="14"/>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6522"/>
      </w:tblGrid>
      <w:tr w14:paraId="6C3B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700" w:type="dxa"/>
            <w:tcBorders>
              <w:bottom w:val="single" w:color="auto" w:sz="4" w:space="0"/>
            </w:tcBorders>
            <w:shd w:val="clear" w:color="auto" w:fill="auto"/>
            <w:vAlign w:val="center"/>
          </w:tcPr>
          <w:p w14:paraId="173C293C">
            <w:pPr>
              <w:pStyle w:val="21"/>
              <w:rPr>
                <w:rFonts w:cs="Times New Roman"/>
                <w:szCs w:val="21"/>
              </w:rPr>
            </w:pPr>
            <w:r>
              <w:rPr>
                <w:rFonts w:cs="Times New Roman"/>
                <w:szCs w:val="21"/>
              </w:rPr>
              <w:t>部件</w:t>
            </w:r>
          </w:p>
        </w:tc>
        <w:tc>
          <w:tcPr>
            <w:tcW w:w="6522" w:type="dxa"/>
            <w:tcBorders>
              <w:bottom w:val="single" w:color="auto" w:sz="4" w:space="0"/>
            </w:tcBorders>
            <w:shd w:val="clear" w:color="auto" w:fill="auto"/>
            <w:vAlign w:val="center"/>
          </w:tcPr>
          <w:p w14:paraId="7A06A6D4">
            <w:pPr>
              <w:pStyle w:val="21"/>
              <w:rPr>
                <w:rFonts w:cs="Times New Roman"/>
                <w:szCs w:val="21"/>
              </w:rPr>
            </w:pPr>
            <w:r>
              <w:rPr>
                <w:rFonts w:cs="Times New Roman"/>
                <w:szCs w:val="21"/>
              </w:rPr>
              <w:t>技术要求</w:t>
            </w:r>
          </w:p>
        </w:tc>
      </w:tr>
      <w:tr w14:paraId="090E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30F5A1BF">
            <w:pPr>
              <w:pStyle w:val="21"/>
              <w:rPr>
                <w:rFonts w:cs="Times New Roman"/>
                <w:szCs w:val="21"/>
              </w:rPr>
            </w:pPr>
            <w:r>
              <w:rPr>
                <w:rFonts w:cs="Times New Roman"/>
                <w:szCs w:val="21"/>
              </w:rPr>
              <w:t>CPU</w:t>
            </w:r>
          </w:p>
        </w:tc>
        <w:tc>
          <w:tcPr>
            <w:tcW w:w="6522" w:type="dxa"/>
            <w:shd w:val="clear" w:color="auto" w:fill="auto"/>
            <w:vAlign w:val="center"/>
          </w:tcPr>
          <w:p w14:paraId="5A4AF7B9">
            <w:pPr>
              <w:pStyle w:val="21"/>
              <w:rPr>
                <w:rFonts w:cs="Times New Roman"/>
                <w:szCs w:val="21"/>
              </w:rPr>
            </w:pPr>
            <w:r>
              <w:rPr>
                <w:rFonts w:cs="Times New Roman"/>
                <w:szCs w:val="21"/>
              </w:rPr>
              <w:t>主频≥</w:t>
            </w:r>
            <w:r>
              <w:rPr>
                <w:rFonts w:hint="eastAsia" w:cs="Times New Roman"/>
                <w:szCs w:val="21"/>
              </w:rPr>
              <w:t>2.5</w:t>
            </w:r>
            <w:r>
              <w:rPr>
                <w:rFonts w:cs="Times New Roman"/>
                <w:szCs w:val="21"/>
              </w:rPr>
              <w:t>GHz，核心数≥</w:t>
            </w:r>
            <w:r>
              <w:rPr>
                <w:rFonts w:hint="eastAsia" w:cs="Times New Roman"/>
                <w:szCs w:val="21"/>
              </w:rPr>
              <w:t>10</w:t>
            </w:r>
            <w:r>
              <w:rPr>
                <w:rFonts w:cs="Times New Roman"/>
                <w:szCs w:val="21"/>
              </w:rPr>
              <w:t>核</w:t>
            </w:r>
          </w:p>
        </w:tc>
      </w:tr>
      <w:tr w14:paraId="5969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073EF83B">
            <w:pPr>
              <w:pStyle w:val="21"/>
              <w:rPr>
                <w:rFonts w:cs="Times New Roman"/>
                <w:szCs w:val="21"/>
              </w:rPr>
            </w:pPr>
            <w:r>
              <w:rPr>
                <w:rFonts w:cs="Times New Roman"/>
                <w:szCs w:val="21"/>
              </w:rPr>
              <w:t>内存</w:t>
            </w:r>
          </w:p>
        </w:tc>
        <w:tc>
          <w:tcPr>
            <w:tcW w:w="6522" w:type="dxa"/>
            <w:shd w:val="clear" w:color="auto" w:fill="auto"/>
            <w:vAlign w:val="center"/>
          </w:tcPr>
          <w:p w14:paraId="15C59ECB">
            <w:pPr>
              <w:pStyle w:val="21"/>
              <w:rPr>
                <w:rFonts w:cs="Times New Roman"/>
                <w:szCs w:val="21"/>
              </w:rPr>
            </w:pPr>
            <w:r>
              <w:rPr>
                <w:rFonts w:cs="Times New Roman"/>
                <w:szCs w:val="21"/>
              </w:rPr>
              <w:t>≥</w:t>
            </w:r>
            <w:r>
              <w:rPr>
                <w:rFonts w:hint="eastAsia" w:cs="Times New Roman"/>
                <w:szCs w:val="21"/>
              </w:rPr>
              <w:t>16</w:t>
            </w:r>
            <w:r>
              <w:rPr>
                <w:rFonts w:cs="Times New Roman"/>
                <w:szCs w:val="21"/>
              </w:rPr>
              <w:t>GB</w:t>
            </w:r>
          </w:p>
        </w:tc>
      </w:tr>
      <w:tr w14:paraId="284B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3EFDBAD4">
            <w:pPr>
              <w:pStyle w:val="21"/>
              <w:rPr>
                <w:rFonts w:cs="Times New Roman"/>
                <w:szCs w:val="21"/>
              </w:rPr>
            </w:pPr>
            <w:r>
              <w:rPr>
                <w:rFonts w:cs="Times New Roman"/>
                <w:szCs w:val="21"/>
              </w:rPr>
              <w:t>系统盘</w:t>
            </w:r>
          </w:p>
        </w:tc>
        <w:tc>
          <w:tcPr>
            <w:tcW w:w="6522" w:type="dxa"/>
            <w:shd w:val="clear" w:color="auto" w:fill="auto"/>
            <w:vAlign w:val="center"/>
          </w:tcPr>
          <w:p w14:paraId="26F53700">
            <w:pPr>
              <w:pStyle w:val="21"/>
              <w:rPr>
                <w:rFonts w:cs="Times New Roman"/>
                <w:szCs w:val="21"/>
              </w:rPr>
            </w:pPr>
            <w:r>
              <w:rPr>
                <w:rFonts w:cs="Times New Roman"/>
                <w:szCs w:val="21"/>
              </w:rPr>
              <w:t>1块≥</w:t>
            </w:r>
            <w:r>
              <w:rPr>
                <w:rFonts w:hint="eastAsia" w:cs="Times New Roman"/>
                <w:szCs w:val="21"/>
              </w:rPr>
              <w:t>512G</w:t>
            </w:r>
            <w:r>
              <w:rPr>
                <w:rFonts w:cs="Times New Roman"/>
                <w:szCs w:val="21"/>
              </w:rPr>
              <w:t xml:space="preserve"> Nvme SSD硬盘</w:t>
            </w:r>
          </w:p>
        </w:tc>
      </w:tr>
      <w:tr w14:paraId="483E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7EDC31D1">
            <w:pPr>
              <w:pStyle w:val="21"/>
              <w:rPr>
                <w:rFonts w:cs="Times New Roman"/>
                <w:szCs w:val="21"/>
              </w:rPr>
            </w:pPr>
            <w:r>
              <w:rPr>
                <w:rFonts w:cs="Times New Roman"/>
                <w:szCs w:val="21"/>
              </w:rPr>
              <w:t>显示器</w:t>
            </w:r>
          </w:p>
        </w:tc>
        <w:tc>
          <w:tcPr>
            <w:tcW w:w="6522" w:type="dxa"/>
            <w:shd w:val="clear" w:color="auto" w:fill="auto"/>
            <w:vAlign w:val="center"/>
          </w:tcPr>
          <w:p w14:paraId="60701E14">
            <w:pPr>
              <w:pStyle w:val="21"/>
              <w:rPr>
                <w:rFonts w:cs="Times New Roman"/>
                <w:szCs w:val="21"/>
              </w:rPr>
            </w:pPr>
            <w:r>
              <w:rPr>
                <w:rFonts w:hint="eastAsia" w:cs="Times New Roman"/>
                <w:szCs w:val="21"/>
              </w:rPr>
              <w:t>2</w:t>
            </w:r>
            <w:r>
              <w:rPr>
                <w:rFonts w:cs="Times New Roman"/>
                <w:szCs w:val="21"/>
              </w:rPr>
              <w:t>块</w:t>
            </w:r>
            <w:r>
              <w:rPr>
                <w:rFonts w:hint="eastAsia" w:cs="Times New Roman"/>
                <w:szCs w:val="21"/>
              </w:rPr>
              <w:t>独立23.8</w:t>
            </w:r>
            <w:r>
              <w:rPr>
                <w:rFonts w:cs="Times New Roman"/>
                <w:szCs w:val="21"/>
              </w:rPr>
              <w:t>英寸显示器，分辨率不小于</w:t>
            </w:r>
            <w:r>
              <w:rPr>
                <w:rFonts w:hint="eastAsia" w:cs="Times New Roman"/>
                <w:szCs w:val="21"/>
              </w:rPr>
              <w:t>1920*1080</w:t>
            </w:r>
          </w:p>
        </w:tc>
      </w:tr>
      <w:tr w14:paraId="1677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167C313D">
            <w:pPr>
              <w:pStyle w:val="21"/>
              <w:rPr>
                <w:rFonts w:cs="Times New Roman"/>
                <w:szCs w:val="21"/>
              </w:rPr>
            </w:pPr>
            <w:r>
              <w:rPr>
                <w:rFonts w:hint="eastAsia" w:cs="Times New Roman"/>
                <w:szCs w:val="21"/>
              </w:rPr>
              <w:t>网络</w:t>
            </w:r>
          </w:p>
        </w:tc>
        <w:tc>
          <w:tcPr>
            <w:tcW w:w="6522" w:type="dxa"/>
            <w:shd w:val="clear" w:color="auto" w:fill="auto"/>
            <w:vAlign w:val="center"/>
          </w:tcPr>
          <w:p w14:paraId="3579A337">
            <w:pPr>
              <w:pStyle w:val="21"/>
              <w:rPr>
                <w:rFonts w:cs="Times New Roman"/>
                <w:szCs w:val="21"/>
              </w:rPr>
            </w:pPr>
            <w:r>
              <w:rPr>
                <w:rFonts w:hint="eastAsia" w:cs="Times New Roman"/>
                <w:szCs w:val="21"/>
              </w:rPr>
              <w:t>1</w:t>
            </w:r>
            <w:r>
              <w:rPr>
                <w:rFonts w:cs="Times New Roman"/>
                <w:szCs w:val="21"/>
              </w:rPr>
              <w:t>端口1Gbps网卡</w:t>
            </w:r>
          </w:p>
        </w:tc>
      </w:tr>
      <w:tr w14:paraId="19DC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7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4E9829E">
            <w:pPr>
              <w:pStyle w:val="21"/>
              <w:rPr>
                <w:rFonts w:cs="Times New Roman"/>
                <w:szCs w:val="21"/>
              </w:rPr>
            </w:pPr>
            <w:r>
              <w:rPr>
                <w:rFonts w:cs="Times New Roman"/>
                <w:szCs w:val="21"/>
              </w:rPr>
              <w:t>售后服务</w:t>
            </w:r>
          </w:p>
        </w:tc>
        <w:tc>
          <w:tcPr>
            <w:tcW w:w="652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D448CDE">
            <w:pPr>
              <w:pStyle w:val="21"/>
              <w:rPr>
                <w:rFonts w:cs="Times New Roman"/>
                <w:szCs w:val="21"/>
              </w:rPr>
            </w:pPr>
            <w:r>
              <w:rPr>
                <w:rFonts w:cs="Times New Roman"/>
                <w:szCs w:val="21"/>
              </w:rPr>
              <w:t>提供原厂</w:t>
            </w:r>
            <w:r>
              <w:rPr>
                <w:rFonts w:hint="eastAsia" w:cs="Times New Roman"/>
                <w:szCs w:val="21"/>
              </w:rPr>
              <w:t>5</w:t>
            </w:r>
            <w:r>
              <w:rPr>
                <w:rFonts w:cs="Times New Roman"/>
                <w:szCs w:val="21"/>
              </w:rPr>
              <w:t>年7x24</w:t>
            </w:r>
            <w:r>
              <w:rPr>
                <w:rFonts w:hint="eastAsia" w:cs="Times New Roman"/>
                <w:szCs w:val="21"/>
              </w:rPr>
              <w:t>小时售后服务</w:t>
            </w:r>
            <w:r>
              <w:rPr>
                <w:rFonts w:cs="Times New Roman"/>
                <w:szCs w:val="21"/>
              </w:rPr>
              <w:t>，</w:t>
            </w:r>
            <w:r>
              <w:rPr>
                <w:rFonts w:hint="eastAsia" w:cs="Times New Roman"/>
                <w:szCs w:val="21"/>
              </w:rPr>
              <w:t>2</w:t>
            </w:r>
            <w:r>
              <w:rPr>
                <w:rFonts w:cs="Times New Roman"/>
                <w:szCs w:val="21"/>
              </w:rPr>
              <w:t>4小时原厂备件上门更换服务</w:t>
            </w:r>
          </w:p>
        </w:tc>
      </w:tr>
    </w:tbl>
    <w:p w14:paraId="266C66D0">
      <w:pPr>
        <w:rPr>
          <w:b/>
          <w:szCs w:val="21"/>
        </w:rPr>
      </w:pPr>
    </w:p>
    <w:p w14:paraId="54D8DAE0">
      <w:pPr>
        <w:rPr>
          <w:b/>
          <w:szCs w:val="21"/>
        </w:rPr>
      </w:pPr>
      <w:r>
        <w:rPr>
          <w:b/>
          <w:szCs w:val="21"/>
        </w:rPr>
        <w:t>（9）中控OPI工作站2</w:t>
      </w:r>
    </w:p>
    <w:tbl>
      <w:tblPr>
        <w:tblStyle w:val="14"/>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6522"/>
      </w:tblGrid>
      <w:tr w14:paraId="381D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700" w:type="dxa"/>
            <w:tcBorders>
              <w:bottom w:val="single" w:color="auto" w:sz="4" w:space="0"/>
            </w:tcBorders>
            <w:shd w:val="clear" w:color="auto" w:fill="auto"/>
            <w:vAlign w:val="center"/>
          </w:tcPr>
          <w:p w14:paraId="1E51A083">
            <w:pPr>
              <w:pStyle w:val="21"/>
              <w:rPr>
                <w:rFonts w:cs="Times New Roman"/>
                <w:szCs w:val="21"/>
              </w:rPr>
            </w:pPr>
            <w:r>
              <w:rPr>
                <w:rFonts w:cs="Times New Roman"/>
                <w:szCs w:val="21"/>
              </w:rPr>
              <w:t>部件</w:t>
            </w:r>
          </w:p>
        </w:tc>
        <w:tc>
          <w:tcPr>
            <w:tcW w:w="6522" w:type="dxa"/>
            <w:tcBorders>
              <w:bottom w:val="single" w:color="auto" w:sz="4" w:space="0"/>
            </w:tcBorders>
            <w:shd w:val="clear" w:color="auto" w:fill="auto"/>
            <w:vAlign w:val="center"/>
          </w:tcPr>
          <w:p w14:paraId="3C8792F6">
            <w:pPr>
              <w:pStyle w:val="21"/>
              <w:rPr>
                <w:rFonts w:cs="Times New Roman"/>
                <w:szCs w:val="21"/>
              </w:rPr>
            </w:pPr>
            <w:r>
              <w:rPr>
                <w:rFonts w:cs="Times New Roman"/>
                <w:szCs w:val="21"/>
              </w:rPr>
              <w:t>技术要求</w:t>
            </w:r>
          </w:p>
        </w:tc>
      </w:tr>
      <w:tr w14:paraId="2254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0" w:type="dxa"/>
            <w:shd w:val="clear" w:color="auto" w:fill="auto"/>
            <w:vAlign w:val="center"/>
          </w:tcPr>
          <w:p w14:paraId="6A0B0E98">
            <w:pPr>
              <w:pStyle w:val="21"/>
              <w:rPr>
                <w:rFonts w:cs="Times New Roman"/>
                <w:szCs w:val="21"/>
              </w:rPr>
            </w:pPr>
            <w:r>
              <w:rPr>
                <w:rFonts w:cs="Times New Roman"/>
                <w:szCs w:val="21"/>
              </w:rPr>
              <w:t>CPU</w:t>
            </w:r>
          </w:p>
        </w:tc>
        <w:tc>
          <w:tcPr>
            <w:tcW w:w="6522" w:type="dxa"/>
            <w:shd w:val="clear" w:color="auto" w:fill="auto"/>
            <w:vAlign w:val="center"/>
          </w:tcPr>
          <w:p w14:paraId="453BCDD6">
            <w:pPr>
              <w:pStyle w:val="21"/>
              <w:rPr>
                <w:rFonts w:cs="Times New Roman"/>
                <w:szCs w:val="21"/>
              </w:rPr>
            </w:pPr>
            <w:r>
              <w:rPr>
                <w:rFonts w:cs="Times New Roman"/>
                <w:szCs w:val="21"/>
              </w:rPr>
              <w:t>主频≥</w:t>
            </w:r>
            <w:r>
              <w:rPr>
                <w:rFonts w:hint="eastAsia" w:cs="Times New Roman"/>
                <w:szCs w:val="21"/>
              </w:rPr>
              <w:t>2.4</w:t>
            </w:r>
            <w:r>
              <w:rPr>
                <w:rFonts w:cs="Times New Roman"/>
                <w:szCs w:val="21"/>
              </w:rPr>
              <w:t>GHz，核心数≥</w:t>
            </w:r>
            <w:r>
              <w:rPr>
                <w:rFonts w:hint="eastAsia" w:cs="Times New Roman"/>
                <w:szCs w:val="21"/>
              </w:rPr>
              <w:t>10</w:t>
            </w:r>
            <w:r>
              <w:rPr>
                <w:rFonts w:cs="Times New Roman"/>
                <w:szCs w:val="21"/>
              </w:rPr>
              <w:t>核</w:t>
            </w:r>
          </w:p>
        </w:tc>
      </w:tr>
      <w:tr w14:paraId="5D1B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1AAC196A">
            <w:pPr>
              <w:pStyle w:val="21"/>
              <w:rPr>
                <w:rFonts w:cs="Times New Roman"/>
                <w:szCs w:val="21"/>
              </w:rPr>
            </w:pPr>
            <w:r>
              <w:rPr>
                <w:rFonts w:cs="Times New Roman"/>
                <w:szCs w:val="21"/>
              </w:rPr>
              <w:t>内存</w:t>
            </w:r>
          </w:p>
        </w:tc>
        <w:tc>
          <w:tcPr>
            <w:tcW w:w="6522" w:type="dxa"/>
            <w:shd w:val="clear" w:color="auto" w:fill="auto"/>
            <w:vAlign w:val="center"/>
          </w:tcPr>
          <w:p w14:paraId="5757C488">
            <w:pPr>
              <w:pStyle w:val="21"/>
              <w:rPr>
                <w:rFonts w:cs="Times New Roman"/>
                <w:szCs w:val="21"/>
              </w:rPr>
            </w:pPr>
            <w:r>
              <w:rPr>
                <w:rFonts w:cs="Times New Roman"/>
                <w:szCs w:val="21"/>
              </w:rPr>
              <w:t>≥</w:t>
            </w:r>
            <w:r>
              <w:rPr>
                <w:rFonts w:hint="eastAsia" w:cs="Times New Roman"/>
                <w:szCs w:val="21"/>
              </w:rPr>
              <w:t>16</w:t>
            </w:r>
            <w:r>
              <w:rPr>
                <w:rFonts w:cs="Times New Roman"/>
                <w:szCs w:val="21"/>
              </w:rPr>
              <w:t>GB</w:t>
            </w:r>
          </w:p>
        </w:tc>
      </w:tr>
      <w:tr w14:paraId="0671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04B4E574">
            <w:pPr>
              <w:pStyle w:val="21"/>
              <w:rPr>
                <w:rFonts w:cs="Times New Roman"/>
                <w:szCs w:val="21"/>
              </w:rPr>
            </w:pPr>
            <w:r>
              <w:rPr>
                <w:rFonts w:cs="Times New Roman"/>
                <w:szCs w:val="21"/>
              </w:rPr>
              <w:t>系统盘</w:t>
            </w:r>
          </w:p>
        </w:tc>
        <w:tc>
          <w:tcPr>
            <w:tcW w:w="6522" w:type="dxa"/>
            <w:shd w:val="clear" w:color="auto" w:fill="auto"/>
            <w:vAlign w:val="center"/>
          </w:tcPr>
          <w:p w14:paraId="2AD347AB">
            <w:pPr>
              <w:pStyle w:val="21"/>
              <w:rPr>
                <w:rFonts w:cs="Times New Roman"/>
                <w:szCs w:val="21"/>
              </w:rPr>
            </w:pPr>
            <w:r>
              <w:rPr>
                <w:rFonts w:cs="Times New Roman"/>
                <w:szCs w:val="21"/>
              </w:rPr>
              <w:t>1块≥1TB Nvme SSD硬盘</w:t>
            </w:r>
          </w:p>
        </w:tc>
      </w:tr>
      <w:tr w14:paraId="47EB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auto"/>
            <w:vAlign w:val="center"/>
          </w:tcPr>
          <w:p w14:paraId="3DCC05F8">
            <w:pPr>
              <w:pStyle w:val="21"/>
              <w:rPr>
                <w:rFonts w:cs="Times New Roman"/>
                <w:szCs w:val="21"/>
              </w:rPr>
            </w:pPr>
            <w:r>
              <w:rPr>
                <w:rFonts w:cs="Times New Roman"/>
                <w:szCs w:val="21"/>
              </w:rPr>
              <w:t>显示器</w:t>
            </w:r>
          </w:p>
        </w:tc>
        <w:tc>
          <w:tcPr>
            <w:tcW w:w="6522" w:type="dxa"/>
            <w:shd w:val="clear" w:color="auto" w:fill="auto"/>
            <w:vAlign w:val="center"/>
          </w:tcPr>
          <w:p w14:paraId="570DCFD6">
            <w:pPr>
              <w:pStyle w:val="21"/>
              <w:rPr>
                <w:rFonts w:cs="Times New Roman"/>
                <w:szCs w:val="21"/>
              </w:rPr>
            </w:pPr>
            <w:r>
              <w:rPr>
                <w:rFonts w:hint="eastAsia" w:cs="Times New Roman"/>
                <w:szCs w:val="21"/>
              </w:rPr>
              <w:t>1</w:t>
            </w:r>
            <w:r>
              <w:rPr>
                <w:rFonts w:cs="Times New Roman"/>
                <w:szCs w:val="21"/>
              </w:rPr>
              <w:t>块</w:t>
            </w:r>
            <w:r>
              <w:rPr>
                <w:rFonts w:hint="eastAsia" w:cs="Times New Roman"/>
                <w:szCs w:val="21"/>
              </w:rPr>
              <w:t>一体化23.8</w:t>
            </w:r>
            <w:r>
              <w:rPr>
                <w:rFonts w:cs="Times New Roman"/>
                <w:szCs w:val="21"/>
              </w:rPr>
              <w:t>英寸显示器，分辨率不小于</w:t>
            </w:r>
            <w:r>
              <w:rPr>
                <w:rFonts w:hint="eastAsia" w:cs="Times New Roman"/>
                <w:szCs w:val="21"/>
              </w:rPr>
              <w:t>1920*1080</w:t>
            </w:r>
          </w:p>
        </w:tc>
      </w:tr>
      <w:tr w14:paraId="1124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0" w:type="dxa"/>
            <w:shd w:val="clear" w:color="auto" w:fill="auto"/>
            <w:vAlign w:val="center"/>
          </w:tcPr>
          <w:p w14:paraId="4BD1D4A1">
            <w:pPr>
              <w:pStyle w:val="21"/>
              <w:rPr>
                <w:rFonts w:cs="Times New Roman"/>
                <w:szCs w:val="21"/>
              </w:rPr>
            </w:pPr>
            <w:r>
              <w:rPr>
                <w:rFonts w:hint="eastAsia" w:cs="Times New Roman"/>
                <w:szCs w:val="21"/>
              </w:rPr>
              <w:t>网卡</w:t>
            </w:r>
          </w:p>
        </w:tc>
        <w:tc>
          <w:tcPr>
            <w:tcW w:w="6522" w:type="dxa"/>
            <w:shd w:val="clear" w:color="auto" w:fill="auto"/>
            <w:vAlign w:val="center"/>
          </w:tcPr>
          <w:p w14:paraId="4BD6F93B">
            <w:pPr>
              <w:pStyle w:val="21"/>
              <w:rPr>
                <w:rFonts w:cs="Times New Roman"/>
                <w:szCs w:val="21"/>
              </w:rPr>
            </w:pPr>
            <w:r>
              <w:rPr>
                <w:rFonts w:hint="eastAsia" w:cs="Times New Roman"/>
                <w:szCs w:val="21"/>
              </w:rPr>
              <w:t>1</w:t>
            </w:r>
            <w:r>
              <w:rPr>
                <w:rFonts w:cs="Times New Roman"/>
                <w:szCs w:val="21"/>
              </w:rPr>
              <w:t>端口1Gbps网卡</w:t>
            </w:r>
          </w:p>
        </w:tc>
      </w:tr>
      <w:tr w14:paraId="1CF48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7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55E2043">
            <w:pPr>
              <w:pStyle w:val="21"/>
              <w:rPr>
                <w:rFonts w:cs="Times New Roman"/>
                <w:szCs w:val="21"/>
              </w:rPr>
            </w:pPr>
            <w:r>
              <w:rPr>
                <w:rFonts w:cs="Times New Roman"/>
                <w:szCs w:val="21"/>
              </w:rPr>
              <w:t>售后服务</w:t>
            </w:r>
          </w:p>
        </w:tc>
        <w:tc>
          <w:tcPr>
            <w:tcW w:w="652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7088573">
            <w:pPr>
              <w:pStyle w:val="21"/>
              <w:rPr>
                <w:rFonts w:cs="Times New Roman"/>
                <w:szCs w:val="21"/>
              </w:rPr>
            </w:pPr>
            <w:r>
              <w:rPr>
                <w:rFonts w:cs="Times New Roman"/>
                <w:szCs w:val="21"/>
              </w:rPr>
              <w:t>提供原厂5年7x24</w:t>
            </w:r>
            <w:r>
              <w:rPr>
                <w:rFonts w:hint="eastAsia" w:cs="Times New Roman"/>
                <w:szCs w:val="21"/>
              </w:rPr>
              <w:t>小时售后服务</w:t>
            </w:r>
            <w:r>
              <w:rPr>
                <w:rFonts w:cs="Times New Roman"/>
                <w:szCs w:val="21"/>
              </w:rPr>
              <w:t>，</w:t>
            </w:r>
            <w:r>
              <w:rPr>
                <w:rFonts w:hint="eastAsia" w:cs="Times New Roman"/>
                <w:szCs w:val="21"/>
              </w:rPr>
              <w:t>2</w:t>
            </w:r>
            <w:r>
              <w:rPr>
                <w:rFonts w:cs="Times New Roman"/>
                <w:szCs w:val="21"/>
              </w:rPr>
              <w:t>4小时原厂备件上门更换服务</w:t>
            </w:r>
          </w:p>
        </w:tc>
      </w:tr>
    </w:tbl>
    <w:p w14:paraId="6C195334">
      <w:pPr>
        <w:rPr>
          <w:b/>
          <w:szCs w:val="21"/>
        </w:rPr>
      </w:pPr>
    </w:p>
    <w:p w14:paraId="01DBD6EF">
      <w:pPr>
        <w:rPr>
          <w:b/>
          <w:szCs w:val="21"/>
        </w:rPr>
      </w:pPr>
      <w:r>
        <w:rPr>
          <w:b/>
          <w:szCs w:val="21"/>
        </w:rPr>
        <w:t>（10）移动OPI工作站</w:t>
      </w:r>
    </w:p>
    <w:tbl>
      <w:tblPr>
        <w:tblStyle w:val="14"/>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521"/>
      </w:tblGrid>
      <w:tr w14:paraId="72E3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696" w:type="dxa"/>
            <w:tcBorders>
              <w:bottom w:val="single" w:color="auto" w:sz="4" w:space="0"/>
            </w:tcBorders>
            <w:shd w:val="clear" w:color="auto" w:fill="auto"/>
            <w:vAlign w:val="center"/>
          </w:tcPr>
          <w:p w14:paraId="69D150D5">
            <w:pPr>
              <w:pStyle w:val="21"/>
              <w:rPr>
                <w:rFonts w:cs="Times New Roman"/>
                <w:szCs w:val="21"/>
              </w:rPr>
            </w:pPr>
            <w:r>
              <w:rPr>
                <w:rFonts w:cs="Times New Roman"/>
                <w:szCs w:val="21"/>
              </w:rPr>
              <w:t>部件</w:t>
            </w:r>
          </w:p>
        </w:tc>
        <w:tc>
          <w:tcPr>
            <w:tcW w:w="6521" w:type="dxa"/>
            <w:tcBorders>
              <w:bottom w:val="single" w:color="auto" w:sz="4" w:space="0"/>
            </w:tcBorders>
            <w:shd w:val="clear" w:color="auto" w:fill="auto"/>
            <w:vAlign w:val="center"/>
          </w:tcPr>
          <w:p w14:paraId="1E16FC8F">
            <w:pPr>
              <w:pStyle w:val="21"/>
              <w:rPr>
                <w:rFonts w:cs="Times New Roman"/>
                <w:szCs w:val="21"/>
              </w:rPr>
            </w:pPr>
            <w:r>
              <w:rPr>
                <w:rFonts w:cs="Times New Roman"/>
                <w:szCs w:val="21"/>
              </w:rPr>
              <w:t>技术要求</w:t>
            </w:r>
          </w:p>
        </w:tc>
      </w:tr>
      <w:tr w14:paraId="7022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14:paraId="27CDEEBD">
            <w:pPr>
              <w:pStyle w:val="21"/>
              <w:rPr>
                <w:rFonts w:cs="Times New Roman"/>
                <w:szCs w:val="21"/>
              </w:rPr>
            </w:pPr>
            <w:r>
              <w:rPr>
                <w:rFonts w:cs="Times New Roman"/>
                <w:szCs w:val="21"/>
              </w:rPr>
              <w:t>CPU</w:t>
            </w:r>
          </w:p>
        </w:tc>
        <w:tc>
          <w:tcPr>
            <w:tcW w:w="6521" w:type="dxa"/>
            <w:shd w:val="clear" w:color="auto" w:fill="auto"/>
            <w:vAlign w:val="center"/>
          </w:tcPr>
          <w:p w14:paraId="224C9CA8">
            <w:pPr>
              <w:pStyle w:val="21"/>
              <w:rPr>
                <w:rFonts w:cs="Times New Roman"/>
                <w:szCs w:val="21"/>
              </w:rPr>
            </w:pPr>
            <w:r>
              <w:rPr>
                <w:rFonts w:cs="Times New Roman"/>
                <w:szCs w:val="21"/>
              </w:rPr>
              <w:t>核心数≥8核，主频≥4.8GHz</w:t>
            </w:r>
          </w:p>
        </w:tc>
      </w:tr>
      <w:tr w14:paraId="0147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14:paraId="7C045FE6">
            <w:pPr>
              <w:pStyle w:val="21"/>
              <w:rPr>
                <w:rFonts w:cs="Times New Roman"/>
                <w:szCs w:val="21"/>
              </w:rPr>
            </w:pPr>
            <w:r>
              <w:rPr>
                <w:rFonts w:cs="Times New Roman"/>
                <w:szCs w:val="21"/>
              </w:rPr>
              <w:t>内存</w:t>
            </w:r>
          </w:p>
        </w:tc>
        <w:tc>
          <w:tcPr>
            <w:tcW w:w="6521" w:type="dxa"/>
            <w:shd w:val="clear" w:color="auto" w:fill="auto"/>
            <w:vAlign w:val="center"/>
          </w:tcPr>
          <w:p w14:paraId="4EDFF85C">
            <w:pPr>
              <w:pStyle w:val="21"/>
              <w:rPr>
                <w:rFonts w:cs="Times New Roman"/>
                <w:szCs w:val="21"/>
              </w:rPr>
            </w:pPr>
            <w:r>
              <w:rPr>
                <w:rFonts w:cs="Times New Roman"/>
                <w:szCs w:val="21"/>
              </w:rPr>
              <w:t>≥64GB</w:t>
            </w:r>
          </w:p>
        </w:tc>
      </w:tr>
      <w:tr w14:paraId="3B85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14:paraId="37C54C90">
            <w:pPr>
              <w:pStyle w:val="21"/>
              <w:rPr>
                <w:rFonts w:cs="Times New Roman"/>
                <w:szCs w:val="21"/>
              </w:rPr>
            </w:pPr>
            <w:r>
              <w:rPr>
                <w:rFonts w:cs="Times New Roman"/>
                <w:szCs w:val="21"/>
              </w:rPr>
              <w:t>硬盘</w:t>
            </w:r>
          </w:p>
        </w:tc>
        <w:tc>
          <w:tcPr>
            <w:tcW w:w="6521" w:type="dxa"/>
            <w:shd w:val="clear" w:color="auto" w:fill="auto"/>
            <w:vAlign w:val="center"/>
          </w:tcPr>
          <w:p w14:paraId="271714CB">
            <w:pPr>
              <w:pStyle w:val="21"/>
              <w:rPr>
                <w:rFonts w:cs="Times New Roman"/>
                <w:szCs w:val="21"/>
              </w:rPr>
            </w:pPr>
            <w:r>
              <w:rPr>
                <w:rFonts w:cs="Times New Roman"/>
                <w:szCs w:val="21"/>
              </w:rPr>
              <w:t>≥1TB SSD</w:t>
            </w:r>
          </w:p>
        </w:tc>
      </w:tr>
      <w:tr w14:paraId="756C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14:paraId="0C49D930">
            <w:pPr>
              <w:pStyle w:val="21"/>
              <w:rPr>
                <w:rFonts w:cs="Times New Roman"/>
                <w:szCs w:val="21"/>
              </w:rPr>
            </w:pPr>
            <w:r>
              <w:rPr>
                <w:rFonts w:cs="Times New Roman"/>
                <w:szCs w:val="21"/>
              </w:rPr>
              <w:t>显卡</w:t>
            </w:r>
          </w:p>
        </w:tc>
        <w:tc>
          <w:tcPr>
            <w:tcW w:w="6521" w:type="dxa"/>
            <w:shd w:val="clear" w:color="auto" w:fill="auto"/>
            <w:vAlign w:val="center"/>
          </w:tcPr>
          <w:p w14:paraId="081DAC6E">
            <w:pPr>
              <w:pStyle w:val="21"/>
              <w:rPr>
                <w:rFonts w:cs="Times New Roman"/>
                <w:szCs w:val="21"/>
              </w:rPr>
            </w:pPr>
            <w:r>
              <w:rPr>
                <w:rFonts w:cs="Times New Roman"/>
                <w:szCs w:val="21"/>
              </w:rPr>
              <w:t>独立显卡，显存≥6GB</w:t>
            </w:r>
          </w:p>
        </w:tc>
      </w:tr>
      <w:tr w14:paraId="2F91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14:paraId="6580D347">
            <w:pPr>
              <w:pStyle w:val="21"/>
              <w:rPr>
                <w:rFonts w:cs="Times New Roman"/>
                <w:szCs w:val="21"/>
              </w:rPr>
            </w:pPr>
            <w:r>
              <w:rPr>
                <w:rFonts w:cs="Times New Roman"/>
                <w:szCs w:val="21"/>
              </w:rPr>
              <w:t>屏幕</w:t>
            </w:r>
          </w:p>
        </w:tc>
        <w:tc>
          <w:tcPr>
            <w:tcW w:w="6521" w:type="dxa"/>
            <w:shd w:val="clear" w:color="auto" w:fill="auto"/>
            <w:vAlign w:val="center"/>
          </w:tcPr>
          <w:p w14:paraId="1A3648C0">
            <w:pPr>
              <w:pStyle w:val="21"/>
              <w:rPr>
                <w:rFonts w:cs="Times New Roman"/>
                <w:szCs w:val="21"/>
              </w:rPr>
            </w:pPr>
            <w:r>
              <w:rPr>
                <w:rFonts w:cs="Times New Roman"/>
                <w:szCs w:val="21"/>
              </w:rPr>
              <w:t>≥14英寸</w:t>
            </w:r>
          </w:p>
        </w:tc>
      </w:tr>
      <w:tr w14:paraId="4852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shd w:val="clear" w:color="auto" w:fill="auto"/>
            <w:vAlign w:val="center"/>
          </w:tcPr>
          <w:p w14:paraId="4EADF48E">
            <w:pPr>
              <w:pStyle w:val="21"/>
              <w:rPr>
                <w:rFonts w:cs="Times New Roman"/>
                <w:szCs w:val="21"/>
              </w:rPr>
            </w:pPr>
            <w:r>
              <w:rPr>
                <w:rFonts w:cs="Times New Roman"/>
                <w:szCs w:val="21"/>
              </w:rPr>
              <w:t>售后服务</w:t>
            </w:r>
          </w:p>
        </w:tc>
        <w:tc>
          <w:tcPr>
            <w:tcW w:w="6521" w:type="dxa"/>
            <w:tcBorders>
              <w:top w:val="single" w:color="auto" w:sz="4" w:space="0"/>
              <w:left w:val="single" w:color="auto" w:sz="4" w:space="0"/>
              <w:bottom w:val="single" w:color="auto" w:sz="4" w:space="0"/>
              <w:right w:val="single" w:color="auto" w:sz="4" w:space="0"/>
            </w:tcBorders>
            <w:shd w:val="clear" w:color="auto" w:fill="auto"/>
            <w:vAlign w:val="center"/>
          </w:tcPr>
          <w:p w14:paraId="028BCD5F">
            <w:pPr>
              <w:pStyle w:val="21"/>
              <w:rPr>
                <w:rFonts w:cs="Times New Roman"/>
                <w:szCs w:val="21"/>
              </w:rPr>
            </w:pPr>
            <w:r>
              <w:rPr>
                <w:rFonts w:cs="Times New Roman"/>
                <w:szCs w:val="21"/>
              </w:rPr>
              <w:t>提供原厂5年7x24</w:t>
            </w:r>
            <w:r>
              <w:rPr>
                <w:rFonts w:hint="eastAsia" w:cs="Times New Roman"/>
                <w:szCs w:val="21"/>
              </w:rPr>
              <w:t>小时售后服务</w:t>
            </w:r>
            <w:r>
              <w:rPr>
                <w:rFonts w:cs="Times New Roman"/>
                <w:szCs w:val="21"/>
              </w:rPr>
              <w:t>，</w:t>
            </w:r>
            <w:r>
              <w:rPr>
                <w:rFonts w:hint="eastAsia" w:cs="Times New Roman"/>
                <w:szCs w:val="21"/>
              </w:rPr>
              <w:t>2</w:t>
            </w:r>
            <w:r>
              <w:rPr>
                <w:rFonts w:cs="Times New Roman"/>
                <w:szCs w:val="21"/>
              </w:rPr>
              <w:t>4小时原厂备件上门更换服务</w:t>
            </w:r>
          </w:p>
        </w:tc>
      </w:tr>
    </w:tbl>
    <w:p w14:paraId="02D4495F">
      <w:pPr>
        <w:rPr>
          <w:b/>
          <w:szCs w:val="21"/>
        </w:rPr>
      </w:pPr>
    </w:p>
    <w:p w14:paraId="7A0DA64F">
      <w:pPr>
        <w:adjustRightInd w:val="0"/>
        <w:snapToGrid w:val="0"/>
        <w:spacing w:line="360" w:lineRule="auto"/>
        <w:ind w:firstLine="525" w:firstLineChars="250"/>
        <w:rPr>
          <w:szCs w:val="21"/>
        </w:rPr>
      </w:pPr>
      <w:r>
        <w:rPr>
          <w:szCs w:val="21"/>
        </w:rPr>
        <w:t>招标人在技术需求中指出的工艺、材料和货物的标准以及参照的技术参数或型号仅起说明作用，并没有任何限制性，投标人在投标中可以选用其他替代标准、技术参数或型号，但这些替代要实质上优于或相当于技术规格的要求。</w:t>
      </w:r>
    </w:p>
    <w:p w14:paraId="710E3A41">
      <w:pPr>
        <w:rPr>
          <w:szCs w:val="21"/>
        </w:rPr>
      </w:pPr>
    </w:p>
    <w:p w14:paraId="509A8430">
      <w:pPr>
        <w:widowControl/>
        <w:spacing w:line="360" w:lineRule="auto"/>
        <w:jc w:val="left"/>
        <w:rPr>
          <w:b/>
          <w:bCs/>
          <w:kern w:val="0"/>
          <w:szCs w:val="21"/>
        </w:rPr>
      </w:pPr>
      <w:r>
        <w:rPr>
          <w:b/>
          <w:bCs/>
          <w:kern w:val="0"/>
          <w:szCs w:val="21"/>
        </w:rPr>
        <w:t>3．总体要求</w:t>
      </w:r>
    </w:p>
    <w:p w14:paraId="52CE0F3C">
      <w:pPr>
        <w:spacing w:line="360" w:lineRule="auto"/>
        <w:ind w:firstLine="422" w:firstLineChars="200"/>
        <w:rPr>
          <w:b/>
          <w:bCs/>
          <w:kern w:val="0"/>
          <w:szCs w:val="21"/>
        </w:rPr>
      </w:pPr>
      <w:r>
        <w:rPr>
          <w:b/>
          <w:bCs/>
          <w:kern w:val="0"/>
          <w:szCs w:val="21"/>
        </w:rPr>
        <w:t>完整性要求：</w:t>
      </w:r>
      <w:r>
        <w:rPr>
          <w:szCs w:val="21"/>
          <w:lang w:val="zh-TW" w:eastAsia="zh-TW"/>
        </w:rPr>
        <w:t>本项目为交钥匙项目。提供的所有设备需完全满足本项目建设要求。所有需要的接口设备、缆线、软件、控制器、服务器I/O槽等需配齐，以构成实用系统。如在实际实施时，发现有内容缺失，无法构成实用系统，需由中标方负责提供，所产生的费用由中标方承担。</w:t>
      </w:r>
    </w:p>
    <w:p w14:paraId="462B5CEB">
      <w:pPr>
        <w:spacing w:line="360" w:lineRule="auto"/>
        <w:ind w:firstLine="422" w:firstLineChars="200"/>
        <w:rPr>
          <w:szCs w:val="21"/>
          <w:lang w:val="zh-TW" w:eastAsia="zh-TW"/>
        </w:rPr>
      </w:pPr>
      <w:r>
        <w:rPr>
          <w:b/>
          <w:bCs/>
          <w:kern w:val="0"/>
          <w:szCs w:val="21"/>
        </w:rPr>
        <w:t>报价要求：</w:t>
      </w:r>
      <w:r>
        <w:rPr>
          <w:szCs w:val="21"/>
          <w:lang w:val="zh-TW" w:eastAsia="zh-TW"/>
        </w:rPr>
        <w:t>投标人的报价不仅应包含招标文件提供的技术条款的要求，</w:t>
      </w:r>
      <w:r>
        <w:rPr>
          <w:szCs w:val="21"/>
        </w:rPr>
        <w:t>还应包括任何未明确标出的保证正常安全运行所不可缺少的配件及附件的全部费用</w:t>
      </w:r>
      <w:r>
        <w:rPr>
          <w:szCs w:val="21"/>
          <w:lang w:val="zh-TW" w:eastAsia="zh-TW"/>
        </w:rPr>
        <w:t>。报价须包括但不限于货物费、材料费、设计和安装调试费、税金、运输和运输保险费、售后服务费以及其他的风险、责任等各项应有的费用，采购人不再支付任何费用。</w:t>
      </w:r>
    </w:p>
    <w:p w14:paraId="08988156">
      <w:pPr>
        <w:spacing w:line="360" w:lineRule="auto"/>
        <w:ind w:firstLine="422" w:firstLineChars="200"/>
        <w:rPr>
          <w:bCs/>
          <w:kern w:val="0"/>
          <w:szCs w:val="21"/>
        </w:rPr>
      </w:pPr>
      <w:bookmarkStart w:id="0" w:name="_Hlk231466557"/>
      <w:r>
        <w:rPr>
          <w:b/>
          <w:bCs/>
          <w:kern w:val="0"/>
          <w:szCs w:val="21"/>
        </w:rPr>
        <w:t>质保要求：</w:t>
      </w:r>
      <w:r>
        <w:rPr>
          <w:bCs/>
          <w:kern w:val="0"/>
          <w:szCs w:val="21"/>
        </w:rPr>
        <w:t>项目总体提供不少于5年的免费硬件和软件原厂售后服务，从项目验收合格之日开始算起</w:t>
      </w:r>
      <w:r>
        <w:rPr>
          <w:szCs w:val="21"/>
        </w:rPr>
        <w:t>，并且所有设备必须为针对本项目的全新设备</w:t>
      </w:r>
      <w:r>
        <w:rPr>
          <w:bCs/>
          <w:kern w:val="0"/>
          <w:szCs w:val="21"/>
        </w:rPr>
        <w:t>。质保期内</w:t>
      </w:r>
      <w:r>
        <w:rPr>
          <w:bCs/>
          <w:szCs w:val="21"/>
        </w:rPr>
        <w:t>所有软件、硬件需提供7x24小时原厂维保，10分钟电话响应，4小时上门，硬件故障承诺24小时内更换配件完成修复，软件保修期内提供免费升级。</w:t>
      </w:r>
    </w:p>
    <w:bookmarkEnd w:id="0"/>
    <w:p w14:paraId="5DA66B2D">
      <w:pPr>
        <w:spacing w:line="360" w:lineRule="auto"/>
        <w:ind w:firstLine="422" w:firstLineChars="200"/>
        <w:rPr>
          <w:szCs w:val="21"/>
        </w:rPr>
      </w:pPr>
      <w:r>
        <w:rPr>
          <w:b/>
          <w:bCs/>
          <w:kern w:val="0"/>
          <w:szCs w:val="21"/>
        </w:rPr>
        <w:t>安装要求：</w:t>
      </w:r>
      <w:r>
        <w:rPr>
          <w:szCs w:val="21"/>
        </w:rPr>
        <w:t>设备必须能够放入42U标准机柜（600*1200*2000mm</w:t>
      </w:r>
      <w:r>
        <w:rPr>
          <w:szCs w:val="21"/>
          <w:vertAlign w:val="superscript"/>
        </w:rPr>
        <w:t>3</w:t>
      </w:r>
      <w:r>
        <w:rPr>
          <w:szCs w:val="21"/>
        </w:rPr>
        <w:t>），</w:t>
      </w:r>
      <w:r>
        <w:rPr>
          <w:bCs/>
          <w:kern w:val="0"/>
          <w:szCs w:val="21"/>
        </w:rPr>
        <w:t>单个机柜功耗不超过12kw，</w:t>
      </w:r>
      <w:r>
        <w:rPr>
          <w:szCs w:val="21"/>
        </w:rPr>
        <w:t>不接受非标整柜设备。</w:t>
      </w:r>
    </w:p>
    <w:p w14:paraId="546A7A42">
      <w:pPr>
        <w:spacing w:line="360" w:lineRule="auto"/>
        <w:ind w:firstLine="422" w:firstLineChars="200"/>
        <w:rPr>
          <w:bCs/>
          <w:kern w:val="0"/>
          <w:szCs w:val="21"/>
        </w:rPr>
      </w:pPr>
      <w:r>
        <w:rPr>
          <w:b/>
          <w:bCs/>
          <w:kern w:val="0"/>
          <w:szCs w:val="21"/>
        </w:rPr>
        <w:t>性能要求：</w:t>
      </w:r>
      <w:r>
        <w:rPr>
          <w:bCs/>
          <w:kern w:val="0"/>
          <w:szCs w:val="21"/>
        </w:rPr>
        <w:t>如果投标人所投标的产品经过实际测试后，无法达到性能要求，则投标人需要进行解决，所采取的措施包括但不限于免费升级服务器、免费增加服务器数量、免费更换服务器配件等，所采取的措施需要提交加盖公章的情况说明，并取得采购方签字认可。</w:t>
      </w:r>
    </w:p>
    <w:p w14:paraId="26732D0B">
      <w:pPr>
        <w:spacing w:line="360" w:lineRule="auto"/>
        <w:ind w:firstLine="420" w:firstLineChars="200"/>
        <w:rPr>
          <w:bCs/>
          <w:kern w:val="0"/>
          <w:szCs w:val="21"/>
        </w:rPr>
      </w:pPr>
      <w:r>
        <w:rPr>
          <w:rFonts w:ascii="Segoe UI Symbol" w:hAnsi="Segoe UI Symbol" w:cs="Segoe UI Symbol"/>
          <w:szCs w:val="21"/>
        </w:rPr>
        <w:t>★</w:t>
      </w:r>
      <w:r>
        <w:rPr>
          <w:rFonts w:hint="eastAsia"/>
          <w:b/>
          <w:bCs/>
          <w:kern w:val="0"/>
          <w:szCs w:val="21"/>
        </w:rPr>
        <w:t>兼容性</w:t>
      </w:r>
      <w:r>
        <w:rPr>
          <w:b/>
          <w:bCs/>
          <w:kern w:val="0"/>
          <w:szCs w:val="21"/>
        </w:rPr>
        <w:t>要求：</w:t>
      </w:r>
      <w:r>
        <w:rPr>
          <w:rFonts w:hint="eastAsia"/>
          <w:bCs/>
          <w:kern w:val="0"/>
          <w:szCs w:val="21"/>
        </w:rPr>
        <w:t>因数据分析应用场景的需求，需要将本次采购的存储与4号井现有的存储通过内核客户端同时挂载到所有计算集群上，因此不接受与现有4号井在线存储系统不兼容的存储。4号井现有存储的文件系统为GPFS-</w:t>
      </w:r>
      <w:r>
        <w:rPr>
          <w:bCs/>
          <w:kern w:val="0"/>
          <w:szCs w:val="21"/>
        </w:rPr>
        <w:t>5.2.3。</w:t>
      </w:r>
    </w:p>
    <w:p w14:paraId="3BF2C8CB">
      <w:pPr>
        <w:spacing w:line="360" w:lineRule="auto"/>
        <w:ind w:firstLine="420" w:firstLineChars="200"/>
        <w:rPr>
          <w:bCs/>
          <w:kern w:val="0"/>
          <w:szCs w:val="21"/>
        </w:rPr>
      </w:pPr>
    </w:p>
    <w:p w14:paraId="6EF66B03">
      <w:pPr>
        <w:spacing w:line="360" w:lineRule="auto"/>
        <w:rPr>
          <w:b/>
          <w:bCs/>
          <w:szCs w:val="21"/>
        </w:rPr>
      </w:pPr>
      <w:r>
        <w:rPr>
          <w:b/>
          <w:bCs/>
          <w:szCs w:val="21"/>
        </w:rPr>
        <w:t>4. 交货时间</w:t>
      </w:r>
    </w:p>
    <w:p w14:paraId="7E74439A">
      <w:pPr>
        <w:spacing w:line="360" w:lineRule="auto"/>
        <w:ind w:firstLine="420" w:firstLineChars="200"/>
        <w:rPr>
          <w:szCs w:val="21"/>
        </w:rPr>
      </w:pPr>
      <w:r>
        <w:rPr>
          <w:szCs w:val="21"/>
        </w:rPr>
        <w:t>自合同签订</w:t>
      </w:r>
      <w:r>
        <w:rPr>
          <w:rFonts w:hint="eastAsia"/>
          <w:szCs w:val="21"/>
        </w:rPr>
        <w:t>之</w:t>
      </w:r>
      <w:r>
        <w:rPr>
          <w:szCs w:val="21"/>
        </w:rPr>
        <w:t>日起</w:t>
      </w:r>
      <w:r>
        <w:rPr>
          <w:szCs w:val="21"/>
          <w:u w:val="single"/>
        </w:rPr>
        <w:t xml:space="preserve"> 90 </w:t>
      </w:r>
      <w:r>
        <w:rPr>
          <w:szCs w:val="21"/>
        </w:rPr>
        <w:t>天内完成供货、安装、调试和验收。</w:t>
      </w:r>
    </w:p>
    <w:p w14:paraId="4D527257">
      <w:pPr>
        <w:spacing w:line="360" w:lineRule="auto"/>
        <w:rPr>
          <w:bCs/>
          <w:szCs w:val="21"/>
        </w:rPr>
      </w:pPr>
      <w:r>
        <w:rPr>
          <w:b/>
          <w:bCs/>
          <w:szCs w:val="21"/>
        </w:rPr>
        <w:t>5．项目团队要求</w:t>
      </w:r>
    </w:p>
    <w:p w14:paraId="6EF95622">
      <w:pPr>
        <w:spacing w:line="360" w:lineRule="auto"/>
        <w:ind w:firstLine="420" w:firstLineChars="200"/>
        <w:rPr>
          <w:szCs w:val="21"/>
        </w:rPr>
      </w:pPr>
      <w:r>
        <w:rPr>
          <w:szCs w:val="21"/>
        </w:rPr>
        <w:t>供应商应确定一名项目经理，在设备安装、调试期间项目经理须每日到现场。直至项目验收结束前不得更换项目经理。如因不可抗力因素需要更换项目经理，需要提前书面通知采购方，并且征得采购方书面同意。</w:t>
      </w:r>
    </w:p>
    <w:p w14:paraId="6E6A5115">
      <w:pPr>
        <w:spacing w:line="360" w:lineRule="auto"/>
        <w:ind w:firstLine="420" w:firstLineChars="200"/>
        <w:rPr>
          <w:b/>
          <w:bCs/>
          <w:szCs w:val="21"/>
        </w:rPr>
      </w:pPr>
      <w:r>
        <w:rPr>
          <w:szCs w:val="21"/>
        </w:rPr>
        <w:t>现场管理团队，设备进场安装前需得到采购方的批准同意，并且服从采购方的管理。</w:t>
      </w:r>
    </w:p>
    <w:p w14:paraId="7FB580D8">
      <w:pPr>
        <w:spacing w:line="360" w:lineRule="auto"/>
        <w:rPr>
          <w:b/>
          <w:bCs/>
          <w:szCs w:val="21"/>
        </w:rPr>
      </w:pPr>
      <w:r>
        <w:rPr>
          <w:b/>
          <w:bCs/>
          <w:szCs w:val="21"/>
        </w:rPr>
        <w:t>6．验收标准</w:t>
      </w:r>
    </w:p>
    <w:p w14:paraId="711CE629">
      <w:pPr>
        <w:spacing w:line="360" w:lineRule="auto"/>
        <w:ind w:firstLine="420" w:firstLineChars="200"/>
        <w:rPr>
          <w:bCs/>
          <w:szCs w:val="21"/>
        </w:rPr>
      </w:pPr>
      <w:r>
        <w:rPr>
          <w:bCs/>
          <w:szCs w:val="21"/>
        </w:rPr>
        <w:t>在用户和设备技术人员双方确认设备的各项技术指标均达到要求且运行正常后方可对设备进行验收。</w:t>
      </w:r>
    </w:p>
    <w:p w14:paraId="7CB6B14C">
      <w:pPr>
        <w:spacing w:line="360" w:lineRule="auto"/>
        <w:ind w:firstLine="420" w:firstLineChars="200"/>
        <w:rPr>
          <w:bCs/>
          <w:szCs w:val="21"/>
        </w:rPr>
      </w:pPr>
      <w:r>
        <w:rPr>
          <w:bCs/>
          <w:szCs w:val="21"/>
        </w:rPr>
        <w:t>根据采购方的要求，由供应商提供能够满足采购方验收指标要求，并且能够体现设备性能的测试验收方案，起草测试大纲，经采购方签字确认后，由采购方组织测试和验收</w:t>
      </w:r>
      <w:r>
        <w:rPr>
          <w:rFonts w:hint="eastAsia"/>
          <w:bCs/>
          <w:szCs w:val="21"/>
        </w:rPr>
        <w:t>，由供应商进行测试操作</w:t>
      </w:r>
      <w:r>
        <w:rPr>
          <w:bCs/>
          <w:szCs w:val="21"/>
        </w:rPr>
        <w:t>。测试验收合格后，形成技术验收报告。</w:t>
      </w:r>
    </w:p>
    <w:p w14:paraId="07BC9AF0">
      <w:pPr>
        <w:spacing w:line="360" w:lineRule="auto"/>
        <w:ind w:firstLine="420" w:firstLineChars="200"/>
        <w:rPr>
          <w:bCs/>
          <w:szCs w:val="21"/>
        </w:rPr>
      </w:pPr>
      <w:r>
        <w:rPr>
          <w:rFonts w:hint="eastAsia"/>
          <w:bCs/>
          <w:szCs w:val="21"/>
        </w:rPr>
        <w:t>在测试过程中，出现设备产品性能指标或者功能不符合要求时，由供应商进行整改，整改方案包括但不限于更换性能更好的设备、增加设备数量等，整改结束后，可经过再次测试，经过三次测试仍无法达到要求，采购方有权退货或者更换符合要求的产品，由此产生的费用由供应商承担。</w:t>
      </w:r>
    </w:p>
    <w:p w14:paraId="3970B29A">
      <w:pPr>
        <w:spacing w:line="360" w:lineRule="auto"/>
        <w:ind w:firstLine="420" w:firstLineChars="200"/>
        <w:rPr>
          <w:bCs/>
          <w:szCs w:val="21"/>
        </w:rPr>
      </w:pPr>
    </w:p>
    <w:p w14:paraId="21D01366">
      <w:pPr>
        <w:spacing w:line="360" w:lineRule="auto"/>
        <w:rPr>
          <w:b/>
          <w:bCs/>
          <w:szCs w:val="21"/>
        </w:rPr>
      </w:pPr>
      <w:bookmarkStart w:id="1" w:name="_Toc187733153"/>
      <w:r>
        <w:rPr>
          <w:rFonts w:hint="eastAsia"/>
          <w:b/>
          <w:bCs/>
          <w:szCs w:val="21"/>
        </w:rPr>
        <w:t>7</w:t>
      </w:r>
      <w:r>
        <w:rPr>
          <w:b/>
          <w:bCs/>
          <w:szCs w:val="21"/>
        </w:rPr>
        <w:t>. 售后服务</w:t>
      </w:r>
      <w:bookmarkEnd w:id="1"/>
    </w:p>
    <w:p w14:paraId="4684FB95">
      <w:pPr>
        <w:spacing w:line="360" w:lineRule="auto"/>
        <w:rPr>
          <w:b/>
          <w:bCs/>
          <w:szCs w:val="21"/>
        </w:rPr>
      </w:pPr>
      <w:bookmarkStart w:id="2" w:name="_Toc187733154"/>
      <w:r>
        <w:rPr>
          <w:rFonts w:hint="eastAsia"/>
          <w:b/>
          <w:bCs/>
          <w:szCs w:val="21"/>
        </w:rPr>
        <w:t>7</w:t>
      </w:r>
      <w:r>
        <w:rPr>
          <w:b/>
          <w:bCs/>
          <w:szCs w:val="21"/>
        </w:rPr>
        <w:t>.1 质保期要求</w:t>
      </w:r>
      <w:bookmarkEnd w:id="2"/>
    </w:p>
    <w:p w14:paraId="76B46090">
      <w:pPr>
        <w:spacing w:line="360" w:lineRule="auto"/>
        <w:ind w:firstLine="420" w:firstLineChars="200"/>
        <w:rPr>
          <w:bCs/>
          <w:szCs w:val="21"/>
        </w:rPr>
      </w:pPr>
      <w:r>
        <w:rPr>
          <w:rFonts w:hint="eastAsia"/>
          <w:bCs/>
          <w:szCs w:val="21"/>
        </w:rPr>
        <w:t>自验收合格之日起提供不少于 60 个月软件与硬件的免费全面原厂质保。</w:t>
      </w:r>
    </w:p>
    <w:p w14:paraId="00E96190">
      <w:pPr>
        <w:spacing w:line="360" w:lineRule="auto"/>
        <w:rPr>
          <w:b/>
          <w:bCs/>
          <w:szCs w:val="21"/>
        </w:rPr>
      </w:pPr>
      <w:bookmarkStart w:id="3" w:name="_Toc187733155"/>
      <w:r>
        <w:rPr>
          <w:b/>
          <w:bCs/>
          <w:szCs w:val="21"/>
        </w:rPr>
        <w:t>7.2 质保期内服务内容</w:t>
      </w:r>
      <w:bookmarkEnd w:id="3"/>
    </w:p>
    <w:p w14:paraId="14507E7F">
      <w:pPr>
        <w:spacing w:line="360" w:lineRule="auto"/>
        <w:ind w:firstLine="420" w:firstLineChars="200"/>
        <w:rPr>
          <w:bCs/>
          <w:szCs w:val="21"/>
        </w:rPr>
      </w:pPr>
      <w:r>
        <w:rPr>
          <w:bCs/>
          <w:szCs w:val="21"/>
        </w:rPr>
        <w:t>1、</w:t>
      </w:r>
      <w:r>
        <w:rPr>
          <w:rFonts w:hint="eastAsia"/>
          <w:bCs/>
          <w:szCs w:val="21"/>
        </w:rPr>
        <w:t>售后服务内容</w:t>
      </w:r>
    </w:p>
    <w:p w14:paraId="6F1195EB">
      <w:pPr>
        <w:spacing w:line="360" w:lineRule="auto"/>
        <w:ind w:firstLine="420" w:firstLineChars="200"/>
        <w:rPr>
          <w:bCs/>
          <w:szCs w:val="21"/>
        </w:rPr>
      </w:pPr>
      <w:r>
        <w:rPr>
          <w:rFonts w:hint="eastAsia"/>
          <w:bCs/>
          <w:szCs w:val="21"/>
        </w:rPr>
        <w:t>质保期内，供应商必须保障系统和设备的安全稳定运行，并提供包括但不限于以下服务内容：</w:t>
      </w:r>
    </w:p>
    <w:p w14:paraId="10B13E2A">
      <w:pPr>
        <w:spacing w:line="360" w:lineRule="auto"/>
        <w:ind w:firstLine="420" w:firstLineChars="200"/>
        <w:rPr>
          <w:bCs/>
          <w:szCs w:val="21"/>
        </w:rPr>
      </w:pPr>
      <w:r>
        <w:rPr>
          <w:rFonts w:hint="eastAsia"/>
          <w:bCs/>
          <w:szCs w:val="21"/>
        </w:rPr>
        <w:t>（1）质保期内必须提供所安装软件的免费升级服务。在此质量保证期内发生的任何故障，供应商均应负责免费修复和更换，质量保证期内供应商修复系统所需的备品、备件由供应商负责提供且为全新配件，采购方不承担任何费用。</w:t>
      </w:r>
    </w:p>
    <w:p w14:paraId="7AAA8EC5">
      <w:pPr>
        <w:spacing w:line="360" w:lineRule="auto"/>
        <w:ind w:firstLine="420" w:firstLineChars="200"/>
        <w:rPr>
          <w:bCs/>
          <w:szCs w:val="21"/>
        </w:rPr>
      </w:pPr>
      <w:r>
        <w:rPr>
          <w:rFonts w:hint="eastAsia"/>
          <w:bCs/>
          <w:szCs w:val="21"/>
        </w:rPr>
        <w:t>（</w:t>
      </w:r>
      <w:r>
        <w:rPr>
          <w:bCs/>
          <w:szCs w:val="21"/>
        </w:rPr>
        <w:t>2</w:t>
      </w:r>
      <w:r>
        <w:rPr>
          <w:rFonts w:hint="eastAsia"/>
          <w:bCs/>
          <w:szCs w:val="21"/>
        </w:rPr>
        <w:t>）免费保修期结束后，仍须提供与保修期内等同的原厂服务响应，所收服务费与主要配件更换费用（如主板、CPU、内存、硬盘、电源等），请在投标文件中明示。</w:t>
      </w:r>
    </w:p>
    <w:p w14:paraId="7C3420A3">
      <w:pPr>
        <w:spacing w:line="360" w:lineRule="auto"/>
        <w:ind w:firstLine="420" w:firstLineChars="200"/>
        <w:rPr>
          <w:bCs/>
          <w:szCs w:val="21"/>
        </w:rPr>
      </w:pPr>
      <w:bookmarkStart w:id="4" w:name="_Hlk231466608"/>
      <w:r>
        <w:rPr>
          <w:rFonts w:hint="eastAsia"/>
          <w:bCs/>
          <w:szCs w:val="21"/>
        </w:rPr>
        <w:t>（</w:t>
      </w:r>
      <w:r>
        <w:rPr>
          <w:bCs/>
          <w:szCs w:val="21"/>
        </w:rPr>
        <w:t>3）</w:t>
      </w:r>
      <w:r>
        <w:rPr>
          <w:rFonts w:hint="eastAsia"/>
          <w:bCs/>
          <w:szCs w:val="21"/>
        </w:rPr>
        <w:t>供应商</w:t>
      </w:r>
      <w:r>
        <w:rPr>
          <w:bCs/>
          <w:szCs w:val="21"/>
        </w:rPr>
        <w:t>承诺提供质保期外服务，保证长期提供技术服务支持，并提供明确的报修电话等联系方式及7×24电话技术支持服务。</w:t>
      </w:r>
    </w:p>
    <w:bookmarkEnd w:id="4"/>
    <w:p w14:paraId="76D4FDD4">
      <w:pPr>
        <w:spacing w:line="360" w:lineRule="auto"/>
        <w:ind w:firstLine="420" w:firstLineChars="200"/>
        <w:rPr>
          <w:bCs/>
          <w:szCs w:val="21"/>
        </w:rPr>
      </w:pPr>
      <w:r>
        <w:rPr>
          <w:rFonts w:hint="eastAsia"/>
          <w:bCs/>
          <w:szCs w:val="21"/>
        </w:rPr>
        <w:t>（</w:t>
      </w:r>
      <w:r>
        <w:rPr>
          <w:bCs/>
          <w:szCs w:val="21"/>
        </w:rPr>
        <w:t>4）保修期内，提供</w:t>
      </w:r>
      <w:r>
        <w:rPr>
          <w:rFonts w:hint="eastAsia"/>
          <w:bCs/>
          <w:szCs w:val="21"/>
        </w:rPr>
        <w:t>原厂</w:t>
      </w:r>
      <w:r>
        <w:rPr>
          <w:bCs/>
          <w:szCs w:val="21"/>
        </w:rPr>
        <w:t>7×24小时的电话响应与4小时以内的现场服务响应，提供售后服务。</w:t>
      </w:r>
    </w:p>
    <w:p w14:paraId="641AAE84">
      <w:pPr>
        <w:spacing w:line="360" w:lineRule="auto"/>
        <w:ind w:firstLine="420" w:firstLineChars="200"/>
        <w:rPr>
          <w:bCs/>
          <w:szCs w:val="21"/>
        </w:rPr>
      </w:pPr>
      <w:r>
        <w:rPr>
          <w:rFonts w:hint="eastAsia"/>
          <w:bCs/>
          <w:szCs w:val="21"/>
        </w:rPr>
        <w:t>（</w:t>
      </w:r>
      <w:r>
        <w:rPr>
          <w:bCs/>
          <w:szCs w:val="21"/>
        </w:rPr>
        <w:t>5）原厂在中国大陆地区必须拥有专业的售后服务和技术支持团队，提供高效的软件与硬件售后技术支持，及时排除各种故障，确保系统健康运转。</w:t>
      </w:r>
    </w:p>
    <w:p w14:paraId="6EA5EB92">
      <w:pPr>
        <w:spacing w:line="360" w:lineRule="auto"/>
        <w:ind w:firstLine="420" w:firstLineChars="200"/>
        <w:rPr>
          <w:bCs/>
          <w:szCs w:val="21"/>
        </w:rPr>
      </w:pPr>
      <w:r>
        <w:rPr>
          <w:bCs/>
          <w:szCs w:val="21"/>
        </w:rPr>
        <w:t>2</w:t>
      </w:r>
      <w:r>
        <w:rPr>
          <w:rFonts w:hint="eastAsia"/>
          <w:bCs/>
          <w:szCs w:val="21"/>
        </w:rPr>
        <w:t>、现场保障</w:t>
      </w:r>
    </w:p>
    <w:p w14:paraId="6E4B3646">
      <w:pPr>
        <w:spacing w:line="360" w:lineRule="auto"/>
        <w:ind w:firstLine="420" w:firstLineChars="200"/>
        <w:rPr>
          <w:bCs/>
          <w:szCs w:val="21"/>
        </w:rPr>
      </w:pPr>
      <w:r>
        <w:rPr>
          <w:rFonts w:hint="eastAsia"/>
          <w:bCs/>
          <w:szCs w:val="21"/>
        </w:rPr>
        <w:t>在质保期内，在SHINE装置进行调试、做实验等采购方认为需要进行现场提供保障的时候，需要派不少于一名原厂工程师进行现场保障，包括但不限于处理SHINE装置调试和实验过程中，服务器出现的故障和问题、服务器性能优化以及其他相关的事情。质保期内提供现场保障的次数不超过3</w:t>
      </w:r>
      <w:r>
        <w:rPr>
          <w:bCs/>
          <w:szCs w:val="21"/>
        </w:rPr>
        <w:t>0</w:t>
      </w:r>
      <w:r>
        <w:rPr>
          <w:rFonts w:hint="eastAsia"/>
          <w:bCs/>
          <w:szCs w:val="21"/>
        </w:rPr>
        <w:t>次。</w:t>
      </w:r>
    </w:p>
    <w:p w14:paraId="566E0D8B">
      <w:pPr>
        <w:spacing w:line="360" w:lineRule="auto"/>
        <w:ind w:firstLine="420" w:firstLineChars="200"/>
        <w:rPr>
          <w:bCs/>
          <w:szCs w:val="21"/>
        </w:rPr>
      </w:pPr>
      <w:r>
        <w:rPr>
          <w:bCs/>
          <w:szCs w:val="21"/>
        </w:rPr>
        <w:t>3、</w:t>
      </w:r>
      <w:bookmarkStart w:id="5" w:name="_Hlk231466696"/>
      <w:r>
        <w:rPr>
          <w:rFonts w:hint="eastAsia"/>
          <w:bCs/>
          <w:szCs w:val="21"/>
        </w:rPr>
        <w:t>技术支持团队</w:t>
      </w:r>
      <w:bookmarkEnd w:id="5"/>
    </w:p>
    <w:p w14:paraId="570A7FE9">
      <w:pPr>
        <w:spacing w:line="360" w:lineRule="auto"/>
        <w:ind w:firstLine="420" w:firstLineChars="200"/>
        <w:rPr>
          <w:bCs/>
          <w:szCs w:val="21"/>
        </w:rPr>
      </w:pPr>
      <w:r>
        <w:rPr>
          <w:rFonts w:hint="eastAsia"/>
          <w:bCs/>
          <w:szCs w:val="21"/>
        </w:rPr>
        <w:t>供应商承诺</w:t>
      </w:r>
      <w:bookmarkStart w:id="6" w:name="_Hlk231466711"/>
      <w:r>
        <w:rPr>
          <w:rFonts w:hint="eastAsia"/>
          <w:bCs/>
          <w:szCs w:val="21"/>
        </w:rPr>
        <w:t>指定</w:t>
      </w:r>
      <w:r>
        <w:rPr>
          <w:bCs/>
          <w:szCs w:val="21"/>
        </w:rPr>
        <w:t>1</w:t>
      </w:r>
      <w:r>
        <w:rPr>
          <w:rFonts w:hint="eastAsia"/>
          <w:bCs/>
          <w:szCs w:val="21"/>
        </w:rPr>
        <w:t>名工程师在质保期内提供远程技术支持，在用户遇到问题时，</w:t>
      </w:r>
      <w:r>
        <w:rPr>
          <w:bCs/>
          <w:szCs w:val="21"/>
        </w:rPr>
        <w:t>20</w:t>
      </w:r>
      <w:r>
        <w:rPr>
          <w:rFonts w:hint="eastAsia"/>
          <w:bCs/>
          <w:szCs w:val="21"/>
        </w:rPr>
        <w:t>分钟内进行响应，在必要时，</w:t>
      </w:r>
      <w:r>
        <w:rPr>
          <w:bCs/>
          <w:szCs w:val="21"/>
        </w:rPr>
        <w:t>1</w:t>
      </w:r>
      <w:r>
        <w:rPr>
          <w:rFonts w:hint="eastAsia"/>
          <w:bCs/>
          <w:szCs w:val="21"/>
        </w:rPr>
        <w:t>小时内到达现场。</w:t>
      </w:r>
      <w:bookmarkEnd w:id="6"/>
      <w:r>
        <w:rPr>
          <w:rFonts w:hint="eastAsia"/>
          <w:bCs/>
          <w:szCs w:val="21"/>
        </w:rPr>
        <w:t>需要处理的问题包括但不限于设备性能调优、硬件故障处置、用户使用问题处理、管理平台运维工作、设备巡检等，并且协助用户处理数据采集过程中遇到的相关问题。工程师</w:t>
      </w:r>
      <w:r>
        <w:rPr>
          <w:bCs/>
          <w:szCs w:val="21"/>
        </w:rPr>
        <w:t>需要有</w:t>
      </w:r>
      <w:r>
        <w:rPr>
          <w:rFonts w:hint="eastAsia"/>
          <w:bCs/>
          <w:szCs w:val="21"/>
        </w:rPr>
        <w:t>一</w:t>
      </w:r>
      <w:r>
        <w:rPr>
          <w:bCs/>
          <w:szCs w:val="21"/>
        </w:rPr>
        <w:t>年以上</w:t>
      </w:r>
      <w:r>
        <w:rPr>
          <w:rFonts w:hint="eastAsia"/>
          <w:bCs/>
          <w:szCs w:val="21"/>
        </w:rPr>
        <w:t>Linux操作系统运维、软件编译安装等</w:t>
      </w:r>
      <w:r>
        <w:rPr>
          <w:bCs/>
          <w:szCs w:val="21"/>
        </w:rPr>
        <w:t>经验</w:t>
      </w:r>
      <w:r>
        <w:rPr>
          <w:rFonts w:hint="eastAsia"/>
          <w:bCs/>
          <w:szCs w:val="21"/>
        </w:rPr>
        <w:t>，具有</w:t>
      </w:r>
      <w:r>
        <w:rPr>
          <w:bCs/>
          <w:szCs w:val="21"/>
        </w:rPr>
        <w:t>工程师</w:t>
      </w:r>
      <w:r>
        <w:rPr>
          <w:rFonts w:hint="eastAsia"/>
          <w:bCs/>
          <w:szCs w:val="21"/>
        </w:rPr>
        <w:t>及以上职称优先考虑；</w:t>
      </w:r>
      <w:bookmarkStart w:id="7" w:name="_Hlk231466756"/>
      <w:r>
        <w:rPr>
          <w:bCs/>
          <w:szCs w:val="21"/>
        </w:rPr>
        <w:t>并承诺除非该工程师离职或招标人提出，否则不得另换他人。</w:t>
      </w:r>
      <w:bookmarkEnd w:id="7"/>
      <w:r>
        <w:rPr>
          <w:rFonts w:hint="eastAsia"/>
          <w:bCs/>
          <w:szCs w:val="21"/>
        </w:rPr>
        <w:t>投标时</w:t>
      </w:r>
      <w:r>
        <w:rPr>
          <w:bCs/>
          <w:szCs w:val="21"/>
        </w:rPr>
        <w:t>提供该工程师的姓名、社保证明及工作简历（含现职位说明、工作经历等）</w:t>
      </w:r>
      <w:r>
        <w:rPr>
          <w:rFonts w:hint="eastAsia"/>
          <w:bCs/>
          <w:szCs w:val="21"/>
        </w:rPr>
        <w:t>以及加盖公章的承诺书优先考虑。</w:t>
      </w:r>
    </w:p>
    <w:p w14:paraId="48D9F57F">
      <w:pPr>
        <w:spacing w:line="360" w:lineRule="auto"/>
        <w:ind w:firstLine="420" w:firstLineChars="200"/>
        <w:rPr>
          <w:bCs/>
          <w:szCs w:val="21"/>
        </w:rPr>
      </w:pPr>
      <w:r>
        <w:rPr>
          <w:bCs/>
          <w:szCs w:val="21"/>
        </w:rPr>
        <w:t>4、应急响应服务</w:t>
      </w:r>
    </w:p>
    <w:p w14:paraId="6CABD988">
      <w:pPr>
        <w:spacing w:line="360" w:lineRule="auto"/>
        <w:ind w:firstLine="420" w:firstLineChars="200"/>
        <w:rPr>
          <w:bCs/>
          <w:szCs w:val="21"/>
        </w:rPr>
      </w:pPr>
      <w:r>
        <w:rPr>
          <w:rFonts w:hint="eastAsia"/>
          <w:bCs/>
          <w:szCs w:val="21"/>
        </w:rPr>
        <w:t>故障级别故障描述响应要求：</w:t>
      </w:r>
    </w:p>
    <w:p w14:paraId="17C532CA">
      <w:pPr>
        <w:spacing w:line="360" w:lineRule="auto"/>
        <w:ind w:firstLine="420" w:firstLineChars="200"/>
        <w:rPr>
          <w:bCs/>
          <w:szCs w:val="21"/>
        </w:rPr>
      </w:pPr>
      <w:r>
        <w:rPr>
          <w:bCs/>
          <w:szCs w:val="21"/>
        </w:rPr>
        <w:t>A 级故障严重故障导致业务停止；1小时内现场响应，1小时内排除故障；</w:t>
      </w:r>
    </w:p>
    <w:p w14:paraId="033A36F2">
      <w:pPr>
        <w:spacing w:line="360" w:lineRule="auto"/>
        <w:ind w:firstLine="420" w:firstLineChars="200"/>
        <w:rPr>
          <w:bCs/>
          <w:szCs w:val="21"/>
        </w:rPr>
      </w:pPr>
      <w:r>
        <w:rPr>
          <w:bCs/>
          <w:szCs w:val="21"/>
        </w:rPr>
        <w:t>B 级故障一般故障导致性能下降但不影响正常业务运行；2小时内现场响应，2小时内排除故障；</w:t>
      </w:r>
    </w:p>
    <w:p w14:paraId="6B5A80EF">
      <w:pPr>
        <w:spacing w:line="360" w:lineRule="auto"/>
        <w:ind w:firstLine="420" w:firstLineChars="200"/>
        <w:rPr>
          <w:bCs/>
          <w:szCs w:val="21"/>
        </w:rPr>
      </w:pPr>
      <w:r>
        <w:rPr>
          <w:bCs/>
          <w:szCs w:val="21"/>
        </w:rPr>
        <w:t>C 级故障系统功能，安装或配置咨询，或其他显然不影响业务的预约服务4小时内现场响应，24小时内排除故障。如果故障升级需按照升级后故障等级响应。</w:t>
      </w:r>
    </w:p>
    <w:p w14:paraId="0A113250">
      <w:pPr>
        <w:spacing w:line="360" w:lineRule="auto"/>
        <w:ind w:firstLine="420" w:firstLineChars="200"/>
        <w:rPr>
          <w:bCs/>
          <w:szCs w:val="21"/>
        </w:rPr>
      </w:pPr>
      <w:r>
        <w:rPr>
          <w:bCs/>
          <w:szCs w:val="21"/>
        </w:rPr>
        <w:t>5、维修记录文件要求</w:t>
      </w:r>
    </w:p>
    <w:p w14:paraId="50C3D73E">
      <w:pPr>
        <w:spacing w:line="360" w:lineRule="auto"/>
        <w:ind w:firstLine="420" w:firstLineChars="200"/>
        <w:rPr>
          <w:bCs/>
          <w:szCs w:val="21"/>
        </w:rPr>
      </w:pPr>
      <w:r>
        <w:rPr>
          <w:rFonts w:hint="eastAsia"/>
          <w:bCs/>
          <w:szCs w:val="21"/>
        </w:rPr>
        <w:t>提交现场工作报告：包括维护记录、故障分析和解决报告。在每次报修结束后的</w:t>
      </w:r>
      <w:r>
        <w:rPr>
          <w:bCs/>
          <w:szCs w:val="21"/>
        </w:rPr>
        <w:t>3个工作日内送交采购方一份维修报告，标明维修时间、故障原因、采取的维修措施及系统恢复时间。</w:t>
      </w:r>
    </w:p>
    <w:p w14:paraId="04253780">
      <w:pPr>
        <w:spacing w:line="360" w:lineRule="auto"/>
        <w:ind w:firstLine="420" w:firstLineChars="200"/>
        <w:rPr>
          <w:bCs/>
          <w:szCs w:val="21"/>
        </w:rPr>
      </w:pPr>
      <w:r>
        <w:rPr>
          <w:bCs/>
          <w:szCs w:val="21"/>
        </w:rPr>
        <w:t>6、</w:t>
      </w:r>
      <w:bookmarkStart w:id="8" w:name="_Hlk231466800"/>
      <w:r>
        <w:rPr>
          <w:bCs/>
          <w:szCs w:val="21"/>
        </w:rPr>
        <w:t>备品备件</w:t>
      </w:r>
      <w:r>
        <w:rPr>
          <w:rFonts w:hint="eastAsia"/>
          <w:bCs/>
          <w:szCs w:val="21"/>
        </w:rPr>
        <w:t>仓库</w:t>
      </w:r>
      <w:bookmarkEnd w:id="8"/>
    </w:p>
    <w:p w14:paraId="22CED20A">
      <w:pPr>
        <w:spacing w:line="360" w:lineRule="auto"/>
        <w:ind w:firstLine="420" w:firstLineChars="200"/>
        <w:rPr>
          <w:bCs/>
          <w:szCs w:val="21"/>
        </w:rPr>
      </w:pPr>
      <w:r>
        <w:rPr>
          <w:rFonts w:hint="eastAsia"/>
          <w:bCs/>
          <w:szCs w:val="21"/>
        </w:rPr>
        <w:t>供应商需要</w:t>
      </w:r>
      <w:bookmarkStart w:id="9" w:name="_Hlk231466817"/>
      <w:r>
        <w:rPr>
          <w:rFonts w:hint="eastAsia"/>
          <w:bCs/>
          <w:szCs w:val="21"/>
        </w:rPr>
        <w:t>在本地有备品备件仓库，需提供备品备件清单，关键备件要求在1小时内送达现场</w:t>
      </w:r>
      <w:bookmarkEnd w:id="9"/>
      <w:r>
        <w:rPr>
          <w:rFonts w:hint="eastAsia"/>
          <w:bCs/>
          <w:szCs w:val="21"/>
        </w:rPr>
        <w:t>，投标时提供加盖公章的</w:t>
      </w:r>
      <w:bookmarkStart w:id="10" w:name="_Hlk231466842"/>
      <w:r>
        <w:rPr>
          <w:bCs/>
          <w:szCs w:val="21"/>
        </w:rPr>
        <w:t>7×24小时服务</w:t>
      </w:r>
      <w:bookmarkEnd w:id="10"/>
      <w:r>
        <w:rPr>
          <w:bCs/>
          <w:szCs w:val="21"/>
        </w:rPr>
        <w:t>承诺函。</w:t>
      </w:r>
    </w:p>
    <w:p w14:paraId="735C875F">
      <w:pPr>
        <w:spacing w:line="360" w:lineRule="auto"/>
        <w:rPr>
          <w:b/>
          <w:bCs/>
          <w:szCs w:val="21"/>
        </w:rPr>
      </w:pPr>
      <w:bookmarkStart w:id="11" w:name="_Toc187733156"/>
      <w:r>
        <w:rPr>
          <w:rFonts w:hint="eastAsia"/>
          <w:b/>
          <w:bCs/>
          <w:szCs w:val="21"/>
        </w:rPr>
        <w:t>7</w:t>
      </w:r>
      <w:r>
        <w:rPr>
          <w:b/>
          <w:bCs/>
          <w:szCs w:val="21"/>
        </w:rPr>
        <w:t>.3 培训服务要求</w:t>
      </w:r>
      <w:bookmarkEnd w:id="11"/>
    </w:p>
    <w:p w14:paraId="3FC23B20">
      <w:pPr>
        <w:spacing w:line="360" w:lineRule="auto"/>
        <w:ind w:firstLine="420" w:firstLineChars="200"/>
        <w:rPr>
          <w:bCs/>
          <w:szCs w:val="21"/>
        </w:rPr>
      </w:pPr>
      <w:r>
        <w:rPr>
          <w:rFonts w:hint="eastAsia"/>
          <w:bCs/>
          <w:szCs w:val="21"/>
        </w:rPr>
        <w:t>供应商应负责对供应商管理人员和技术人员进行培训，使其能熟悉并掌握各系统、各设备的软硬件维护技能，及时排除设备故障。</w:t>
      </w:r>
    </w:p>
    <w:p w14:paraId="31C65C4F">
      <w:pPr>
        <w:spacing w:line="360" w:lineRule="auto"/>
        <w:ind w:firstLine="420" w:firstLineChars="200"/>
        <w:rPr>
          <w:bCs/>
          <w:szCs w:val="21"/>
        </w:rPr>
      </w:pPr>
      <w:r>
        <w:rPr>
          <w:rFonts w:hint="eastAsia"/>
          <w:bCs/>
          <w:szCs w:val="21"/>
        </w:rPr>
        <w:t>供应商应收到采购方培训时间安排后，一个月内提出培训计划，并提供相应的设备、场地、培训资料。培训内容至少应包括：系统介绍、系统原理、设备运行操作程序、调校程序、日常保养维护、设备维修、应急措施和安全保护措施等。使受培人员掌握设备的运行原理和使用方法，具备日常维护及设备维修等常用技能。培训的时间、人数、地点等具体内容由双方商定。供应商应免费为所有被培训人员提供培训用文字资料和讲义等相关用品。</w:t>
      </w:r>
    </w:p>
    <w:p w14:paraId="7DE79533">
      <w:pPr>
        <w:spacing w:line="360" w:lineRule="auto"/>
        <w:rPr>
          <w:b/>
          <w:bCs/>
          <w:szCs w:val="21"/>
        </w:rPr>
      </w:pPr>
      <w:r>
        <w:rPr>
          <w:rFonts w:hint="eastAsia"/>
          <w:b/>
          <w:bCs/>
          <w:szCs w:val="21"/>
        </w:rPr>
        <w:t>7</w:t>
      </w:r>
      <w:r>
        <w:rPr>
          <w:b/>
          <w:bCs/>
          <w:szCs w:val="21"/>
        </w:rPr>
        <w:t>.</w:t>
      </w:r>
      <w:r>
        <w:rPr>
          <w:rFonts w:hint="eastAsia"/>
          <w:b/>
          <w:bCs/>
          <w:szCs w:val="21"/>
        </w:rPr>
        <w:t>4</w:t>
      </w:r>
      <w:r>
        <w:rPr>
          <w:b/>
          <w:bCs/>
          <w:szCs w:val="21"/>
        </w:rPr>
        <w:t xml:space="preserve"> </w:t>
      </w:r>
      <w:r>
        <w:rPr>
          <w:rFonts w:hint="eastAsia"/>
          <w:b/>
          <w:bCs/>
          <w:szCs w:val="21"/>
        </w:rPr>
        <w:t>企业综合能力</w:t>
      </w:r>
      <w:r>
        <w:rPr>
          <w:b/>
          <w:bCs/>
          <w:szCs w:val="21"/>
        </w:rPr>
        <w:t>要求</w:t>
      </w:r>
    </w:p>
    <w:p w14:paraId="1095B2F3">
      <w:pPr>
        <w:spacing w:line="360" w:lineRule="auto"/>
        <w:ind w:firstLine="420" w:firstLineChars="200"/>
        <w:rPr>
          <w:bCs/>
          <w:szCs w:val="21"/>
        </w:rPr>
      </w:pPr>
      <w:r>
        <w:rPr>
          <w:rFonts w:hint="eastAsia"/>
          <w:bCs/>
          <w:szCs w:val="21"/>
        </w:rPr>
        <w:t>投标人具有ISO9001质量管理体系认证证书、ISO27001信息安全管理体系认证证书优先考虑。</w:t>
      </w:r>
    </w:p>
    <w:p w14:paraId="3AC381E2">
      <w:pPr>
        <w:spacing w:line="360" w:lineRule="auto"/>
        <w:ind w:firstLine="420" w:firstLineChars="200"/>
        <w:rPr>
          <w:rFonts w:hint="eastAsia"/>
          <w:bCs/>
          <w:szCs w:val="21"/>
        </w:rPr>
      </w:pPr>
      <w:r>
        <w:rPr>
          <w:rFonts w:hint="eastAsia"/>
          <w:bCs/>
          <w:szCs w:val="21"/>
        </w:rPr>
        <w:t>投标人具有近三年类似项目业绩的优先考虑。</w:t>
      </w:r>
    </w:p>
    <w:p w14:paraId="0AD45C0B">
      <w:pPr>
        <w:spacing w:line="360" w:lineRule="auto"/>
        <w:ind w:firstLine="420" w:firstLineChars="200"/>
        <w:rPr>
          <w:rFonts w:hint="eastAsia" w:eastAsia="宋体"/>
          <w:bCs/>
          <w:szCs w:val="21"/>
          <w:lang w:eastAsia="zh-CN"/>
        </w:rPr>
      </w:pPr>
      <w:r>
        <w:rPr>
          <w:rFonts w:hint="eastAsia"/>
          <w:bCs/>
          <w:szCs w:val="21"/>
          <w:lang w:eastAsia="zh-CN"/>
        </w:rPr>
        <w:t>投标人提供服务承诺的优先考虑。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等线">
    <w:altName w:val="Noto Sans CJK SC"/>
    <w:panose1 w:val="00000000000000000000"/>
    <w:charset w:val="86"/>
    <w:family w:val="auto"/>
    <w:pitch w:val="default"/>
    <w:sig w:usb0="00000000" w:usb1="00000000" w:usb2="00000000" w:usb3="00000000" w:csb0="00000000" w:csb1="00000000"/>
  </w:font>
  <w:font w:name="等线">
    <w:altName w:val="Noto Sans CJK SC"/>
    <w:panose1 w:val="00000000000000000000"/>
    <w:charset w:val="00"/>
    <w:family w:val="auto"/>
    <w:pitch w:val="default"/>
    <w:sig w:usb0="00000000" w:usb1="00000000" w:usb2="00000000" w:usb3="00000000" w:csb0="00000000" w:csb1="00000000"/>
  </w:font>
  <w:font w:name="等线 Light">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Microsoft YaHei UI">
    <w:altName w:val="文泉驿微米黑"/>
    <w:panose1 w:val="020B0503020204020204"/>
    <w:charset w:val="86"/>
    <w:family w:val="swiss"/>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 w:name="Segoe UI Symbol">
    <w:altName w:val="Noto Sans"/>
    <w:panose1 w:val="020B0502040204020203"/>
    <w:charset w:val="00"/>
    <w:family w:val="swiss"/>
    <w:pitch w:val="default"/>
    <w:sig w:usb0="00000000" w:usb1="00000000" w:usb2="00040000" w:usb3="00000000" w:csb0="00000001" w:csb1="00000000"/>
  </w:font>
  <w:font w:name="Noto Sans">
    <w:panose1 w:val="020B0502040504020204"/>
    <w:charset w:val="00"/>
    <w:family w:val="auto"/>
    <w:pitch w:val="default"/>
    <w:sig w:usb0="E00002FF" w:usb1="4000201F" w:usb2="08000029" w:usb3="00100000" w:csb0="0000019F" w:csb1="00000000"/>
  </w:font>
  <w:font w:name="等线 Light">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94A03"/>
    <w:multiLevelType w:val="multilevel"/>
    <w:tmpl w:val="0D994A03"/>
    <w:lvl w:ilvl="0" w:tentative="0">
      <w:start w:val="1"/>
      <w:numFmt w:val="decimal"/>
      <w:pStyle w:val="27"/>
      <w:lvlText w:val="%1."/>
      <w:lvlJc w:val="left"/>
      <w:pPr>
        <w:ind w:left="360" w:hanging="360"/>
      </w:pPr>
    </w:lvl>
    <w:lvl w:ilvl="1" w:tentative="0">
      <w:start w:val="1"/>
      <w:numFmt w:val="decimal"/>
      <w:pStyle w:val="28"/>
      <w:lvlText w:val="%1.%2."/>
      <w:lvlJc w:val="left"/>
      <w:pPr>
        <w:ind w:left="792" w:hanging="432"/>
      </w:pPr>
    </w:lvl>
    <w:lvl w:ilvl="2" w:tentative="0">
      <w:start w:val="1"/>
      <w:numFmt w:val="decimal"/>
      <w:pStyle w:val="35"/>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
    <w:nsid w:val="643F1E7B"/>
    <w:multiLevelType w:val="multilevel"/>
    <w:tmpl w:val="643F1E7B"/>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pStyle w:val="30"/>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BA"/>
    <w:rsid w:val="00013C1F"/>
    <w:rsid w:val="00024F6A"/>
    <w:rsid w:val="00045198"/>
    <w:rsid w:val="00045A10"/>
    <w:rsid w:val="000477C9"/>
    <w:rsid w:val="0005637A"/>
    <w:rsid w:val="000648CF"/>
    <w:rsid w:val="00066CBE"/>
    <w:rsid w:val="000935D5"/>
    <w:rsid w:val="000A0055"/>
    <w:rsid w:val="000A1CBE"/>
    <w:rsid w:val="000D7D82"/>
    <w:rsid w:val="000E69CB"/>
    <w:rsid w:val="00102270"/>
    <w:rsid w:val="00105FBE"/>
    <w:rsid w:val="00134726"/>
    <w:rsid w:val="0014149A"/>
    <w:rsid w:val="001607B2"/>
    <w:rsid w:val="0017150A"/>
    <w:rsid w:val="00176006"/>
    <w:rsid w:val="0017629C"/>
    <w:rsid w:val="001A4AB9"/>
    <w:rsid w:val="001D4D3C"/>
    <w:rsid w:val="001E0A33"/>
    <w:rsid w:val="001E218E"/>
    <w:rsid w:val="001F601C"/>
    <w:rsid w:val="002061B3"/>
    <w:rsid w:val="0022127B"/>
    <w:rsid w:val="00231213"/>
    <w:rsid w:val="00246F1E"/>
    <w:rsid w:val="00252C0D"/>
    <w:rsid w:val="0026047F"/>
    <w:rsid w:val="00263CB2"/>
    <w:rsid w:val="00267669"/>
    <w:rsid w:val="00270425"/>
    <w:rsid w:val="00274011"/>
    <w:rsid w:val="00285D11"/>
    <w:rsid w:val="00285F19"/>
    <w:rsid w:val="002A353D"/>
    <w:rsid w:val="002A7A3E"/>
    <w:rsid w:val="002B1C37"/>
    <w:rsid w:val="002B604A"/>
    <w:rsid w:val="002C522C"/>
    <w:rsid w:val="002D54FE"/>
    <w:rsid w:val="002E5CEB"/>
    <w:rsid w:val="002F7271"/>
    <w:rsid w:val="00302178"/>
    <w:rsid w:val="00312A6A"/>
    <w:rsid w:val="00355434"/>
    <w:rsid w:val="00364027"/>
    <w:rsid w:val="00370C90"/>
    <w:rsid w:val="00371136"/>
    <w:rsid w:val="003718C5"/>
    <w:rsid w:val="00372558"/>
    <w:rsid w:val="003817ED"/>
    <w:rsid w:val="00393D91"/>
    <w:rsid w:val="00394E3D"/>
    <w:rsid w:val="00395FE2"/>
    <w:rsid w:val="003A6337"/>
    <w:rsid w:val="003B1900"/>
    <w:rsid w:val="003B2523"/>
    <w:rsid w:val="003B75E3"/>
    <w:rsid w:val="003D37BC"/>
    <w:rsid w:val="003D4EDB"/>
    <w:rsid w:val="003F7655"/>
    <w:rsid w:val="004020B8"/>
    <w:rsid w:val="00403CD1"/>
    <w:rsid w:val="00434265"/>
    <w:rsid w:val="00447638"/>
    <w:rsid w:val="00454DD1"/>
    <w:rsid w:val="00461E78"/>
    <w:rsid w:val="004644F3"/>
    <w:rsid w:val="00485AAC"/>
    <w:rsid w:val="00494FCC"/>
    <w:rsid w:val="00495358"/>
    <w:rsid w:val="004A1182"/>
    <w:rsid w:val="004A5894"/>
    <w:rsid w:val="004C7ED7"/>
    <w:rsid w:val="004D55E1"/>
    <w:rsid w:val="004E2E98"/>
    <w:rsid w:val="004F5A9D"/>
    <w:rsid w:val="00504D12"/>
    <w:rsid w:val="005127C8"/>
    <w:rsid w:val="005228C5"/>
    <w:rsid w:val="00527A73"/>
    <w:rsid w:val="00532097"/>
    <w:rsid w:val="00541809"/>
    <w:rsid w:val="00564AA5"/>
    <w:rsid w:val="005706B1"/>
    <w:rsid w:val="0058573E"/>
    <w:rsid w:val="005C62E9"/>
    <w:rsid w:val="005C7A7F"/>
    <w:rsid w:val="0061358E"/>
    <w:rsid w:val="00613FAD"/>
    <w:rsid w:val="006259E0"/>
    <w:rsid w:val="00626AF9"/>
    <w:rsid w:val="00635BD4"/>
    <w:rsid w:val="00636EDC"/>
    <w:rsid w:val="00641402"/>
    <w:rsid w:val="00655454"/>
    <w:rsid w:val="00655FC7"/>
    <w:rsid w:val="00690001"/>
    <w:rsid w:val="006951C0"/>
    <w:rsid w:val="00695CD5"/>
    <w:rsid w:val="006D1983"/>
    <w:rsid w:val="006F2C19"/>
    <w:rsid w:val="006F5483"/>
    <w:rsid w:val="006F59F7"/>
    <w:rsid w:val="007059DA"/>
    <w:rsid w:val="00711EE4"/>
    <w:rsid w:val="007137E5"/>
    <w:rsid w:val="00724869"/>
    <w:rsid w:val="00742161"/>
    <w:rsid w:val="00753AF3"/>
    <w:rsid w:val="007605FA"/>
    <w:rsid w:val="00770FC0"/>
    <w:rsid w:val="0078014F"/>
    <w:rsid w:val="0078197C"/>
    <w:rsid w:val="00781B3B"/>
    <w:rsid w:val="007C5E71"/>
    <w:rsid w:val="007E635F"/>
    <w:rsid w:val="007E7170"/>
    <w:rsid w:val="00803433"/>
    <w:rsid w:val="008167E9"/>
    <w:rsid w:val="00816BB0"/>
    <w:rsid w:val="00827ECC"/>
    <w:rsid w:val="00840383"/>
    <w:rsid w:val="00840846"/>
    <w:rsid w:val="00840EA6"/>
    <w:rsid w:val="00842555"/>
    <w:rsid w:val="00844ED8"/>
    <w:rsid w:val="00850FE0"/>
    <w:rsid w:val="00854168"/>
    <w:rsid w:val="00857BD0"/>
    <w:rsid w:val="008759E6"/>
    <w:rsid w:val="0089161F"/>
    <w:rsid w:val="0089415C"/>
    <w:rsid w:val="00894EFC"/>
    <w:rsid w:val="00895F7A"/>
    <w:rsid w:val="008A6444"/>
    <w:rsid w:val="008B5EA5"/>
    <w:rsid w:val="008B64CB"/>
    <w:rsid w:val="008C5022"/>
    <w:rsid w:val="008D27C8"/>
    <w:rsid w:val="008D768D"/>
    <w:rsid w:val="008E41FB"/>
    <w:rsid w:val="008E5E75"/>
    <w:rsid w:val="00903DD5"/>
    <w:rsid w:val="00907149"/>
    <w:rsid w:val="00922758"/>
    <w:rsid w:val="0092380F"/>
    <w:rsid w:val="00926E29"/>
    <w:rsid w:val="0093125B"/>
    <w:rsid w:val="00937696"/>
    <w:rsid w:val="00940DBE"/>
    <w:rsid w:val="00950387"/>
    <w:rsid w:val="009756DE"/>
    <w:rsid w:val="00987E20"/>
    <w:rsid w:val="009A0B46"/>
    <w:rsid w:val="009A5593"/>
    <w:rsid w:val="009B2ABA"/>
    <w:rsid w:val="00A0265C"/>
    <w:rsid w:val="00A04807"/>
    <w:rsid w:val="00A11C48"/>
    <w:rsid w:val="00A258BC"/>
    <w:rsid w:val="00A26718"/>
    <w:rsid w:val="00A30051"/>
    <w:rsid w:val="00A37E39"/>
    <w:rsid w:val="00A46CF7"/>
    <w:rsid w:val="00A65DEF"/>
    <w:rsid w:val="00A71E8C"/>
    <w:rsid w:val="00A722EC"/>
    <w:rsid w:val="00A73A19"/>
    <w:rsid w:val="00A747A9"/>
    <w:rsid w:val="00A75D55"/>
    <w:rsid w:val="00A90EBE"/>
    <w:rsid w:val="00A914DD"/>
    <w:rsid w:val="00A96CAE"/>
    <w:rsid w:val="00AA3BC0"/>
    <w:rsid w:val="00AB35E8"/>
    <w:rsid w:val="00AE0844"/>
    <w:rsid w:val="00AE2660"/>
    <w:rsid w:val="00B00C73"/>
    <w:rsid w:val="00B27969"/>
    <w:rsid w:val="00B416D1"/>
    <w:rsid w:val="00B51CCF"/>
    <w:rsid w:val="00B55FE0"/>
    <w:rsid w:val="00B8007B"/>
    <w:rsid w:val="00BA401B"/>
    <w:rsid w:val="00BB6C18"/>
    <w:rsid w:val="00BC0CB0"/>
    <w:rsid w:val="00BC26D9"/>
    <w:rsid w:val="00BC6284"/>
    <w:rsid w:val="00BD19FF"/>
    <w:rsid w:val="00BE5BBF"/>
    <w:rsid w:val="00BF64E7"/>
    <w:rsid w:val="00C17205"/>
    <w:rsid w:val="00C375D1"/>
    <w:rsid w:val="00C6124F"/>
    <w:rsid w:val="00C858D2"/>
    <w:rsid w:val="00CC6F46"/>
    <w:rsid w:val="00CD1FC7"/>
    <w:rsid w:val="00CD58EC"/>
    <w:rsid w:val="00CD7CD7"/>
    <w:rsid w:val="00CF265E"/>
    <w:rsid w:val="00D102EE"/>
    <w:rsid w:val="00D16963"/>
    <w:rsid w:val="00D31707"/>
    <w:rsid w:val="00D32443"/>
    <w:rsid w:val="00D434C8"/>
    <w:rsid w:val="00D51619"/>
    <w:rsid w:val="00D573AC"/>
    <w:rsid w:val="00D658DF"/>
    <w:rsid w:val="00D72725"/>
    <w:rsid w:val="00D777DD"/>
    <w:rsid w:val="00D87377"/>
    <w:rsid w:val="00D95F6D"/>
    <w:rsid w:val="00D971D3"/>
    <w:rsid w:val="00DA34D7"/>
    <w:rsid w:val="00DA5A19"/>
    <w:rsid w:val="00DB263F"/>
    <w:rsid w:val="00DB394C"/>
    <w:rsid w:val="00DD1E34"/>
    <w:rsid w:val="00DD71BA"/>
    <w:rsid w:val="00DF5B5C"/>
    <w:rsid w:val="00E016F8"/>
    <w:rsid w:val="00E107E1"/>
    <w:rsid w:val="00E310E8"/>
    <w:rsid w:val="00E337C6"/>
    <w:rsid w:val="00E35CFF"/>
    <w:rsid w:val="00E41C6C"/>
    <w:rsid w:val="00E55FB9"/>
    <w:rsid w:val="00E6320C"/>
    <w:rsid w:val="00E67712"/>
    <w:rsid w:val="00E678B9"/>
    <w:rsid w:val="00E7440F"/>
    <w:rsid w:val="00E96FC0"/>
    <w:rsid w:val="00EA291D"/>
    <w:rsid w:val="00EA3C79"/>
    <w:rsid w:val="00EA47E9"/>
    <w:rsid w:val="00EB0E27"/>
    <w:rsid w:val="00EB4359"/>
    <w:rsid w:val="00EC06FB"/>
    <w:rsid w:val="00EC4F5C"/>
    <w:rsid w:val="00ED3D03"/>
    <w:rsid w:val="00EE46E6"/>
    <w:rsid w:val="00F06F25"/>
    <w:rsid w:val="00F12700"/>
    <w:rsid w:val="00F135A5"/>
    <w:rsid w:val="00F27579"/>
    <w:rsid w:val="00F2777C"/>
    <w:rsid w:val="00F342AC"/>
    <w:rsid w:val="00F6081E"/>
    <w:rsid w:val="00F64D88"/>
    <w:rsid w:val="00F834D4"/>
    <w:rsid w:val="00F86150"/>
    <w:rsid w:val="00FA011B"/>
    <w:rsid w:val="00FA01D9"/>
    <w:rsid w:val="00FA062B"/>
    <w:rsid w:val="00FA1EC1"/>
    <w:rsid w:val="00FA62CA"/>
    <w:rsid w:val="00FB097D"/>
    <w:rsid w:val="00FB6C82"/>
    <w:rsid w:val="00FC338D"/>
    <w:rsid w:val="00FC7499"/>
    <w:rsid w:val="00FE1B5F"/>
    <w:rsid w:val="0BBD3E28"/>
    <w:rsid w:val="346D124D"/>
    <w:rsid w:val="39861EF9"/>
    <w:rsid w:val="3BFFC76F"/>
    <w:rsid w:val="3E5B029F"/>
    <w:rsid w:val="3FAFBEB2"/>
    <w:rsid w:val="43F25407"/>
    <w:rsid w:val="498B139A"/>
    <w:rsid w:val="54AA8DF3"/>
    <w:rsid w:val="5B6E3A00"/>
    <w:rsid w:val="5FAD4A0D"/>
    <w:rsid w:val="622B1E57"/>
    <w:rsid w:val="67FA7CD3"/>
    <w:rsid w:val="6AD38676"/>
    <w:rsid w:val="6BEED92F"/>
    <w:rsid w:val="6EEE2DB9"/>
    <w:rsid w:val="6F259CB6"/>
    <w:rsid w:val="6FDB5E45"/>
    <w:rsid w:val="6FFD0532"/>
    <w:rsid w:val="76244AD5"/>
    <w:rsid w:val="7BCD11E6"/>
    <w:rsid w:val="7BFDB969"/>
    <w:rsid w:val="7C9EBA0A"/>
    <w:rsid w:val="7DCFE8EA"/>
    <w:rsid w:val="7EC9A481"/>
    <w:rsid w:val="7ECC7F78"/>
    <w:rsid w:val="7EDF336E"/>
    <w:rsid w:val="7EEECF34"/>
    <w:rsid w:val="7EF22473"/>
    <w:rsid w:val="7F7F522A"/>
    <w:rsid w:val="7FBFE1D4"/>
    <w:rsid w:val="7FE64CDD"/>
    <w:rsid w:val="7FE7C810"/>
    <w:rsid w:val="7FF9FA10"/>
    <w:rsid w:val="7FFD9BE6"/>
    <w:rsid w:val="AD9F55BF"/>
    <w:rsid w:val="AFFF22DA"/>
    <w:rsid w:val="B5D78F8A"/>
    <w:rsid w:val="B6AE202B"/>
    <w:rsid w:val="BD735D20"/>
    <w:rsid w:val="BDE7A3EC"/>
    <w:rsid w:val="BEBE9827"/>
    <w:rsid w:val="BEEF6091"/>
    <w:rsid w:val="D763C086"/>
    <w:rsid w:val="D8FF64A3"/>
    <w:rsid w:val="EFDE78EB"/>
    <w:rsid w:val="EFDFF68D"/>
    <w:rsid w:val="F3EB9CA0"/>
    <w:rsid w:val="F5D5C82B"/>
    <w:rsid w:val="F9B3BF45"/>
    <w:rsid w:val="FB7E9832"/>
    <w:rsid w:val="FC7F9D67"/>
    <w:rsid w:val="FDF4A988"/>
    <w:rsid w:val="FE196910"/>
    <w:rsid w:val="FF2FE92C"/>
    <w:rsid w:val="FFFE8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240" w:line="440" w:lineRule="exact"/>
      <w:ind w:firstLine="42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4"/>
    <w:semiHidden/>
    <w:unhideWhenUsed/>
    <w:qFormat/>
    <w:uiPriority w:val="9"/>
    <w:pPr>
      <w:keepNext/>
      <w:keepLines/>
      <w:spacing w:before="40" w:line="440" w:lineRule="exact"/>
      <w:ind w:firstLine="42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25"/>
    <w:semiHidden/>
    <w:unhideWhenUsed/>
    <w:qFormat/>
    <w:uiPriority w:val="9"/>
    <w:pPr>
      <w:keepNext/>
      <w:keepLines/>
      <w:spacing w:before="40" w:line="440" w:lineRule="exact"/>
      <w:ind w:firstLine="420"/>
      <w:outlineLvl w:val="2"/>
    </w:pPr>
    <w:rPr>
      <w:rFonts w:asciiTheme="majorHAnsi" w:hAnsiTheme="majorHAnsi" w:eastAsiaTheme="majorEastAsia" w:cstheme="majorBidi"/>
      <w:color w:val="203864" w:themeColor="accent1" w:themeShade="80"/>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spacing w:line="440" w:lineRule="exact"/>
      <w:ind w:firstLine="420"/>
      <w:jc w:val="left"/>
    </w:pPr>
    <w:rPr>
      <w:rFonts w:cstheme="minorBidi"/>
      <w:szCs w:val="22"/>
    </w:rPr>
  </w:style>
  <w:style w:type="paragraph" w:styleId="6">
    <w:name w:val="toc 3"/>
    <w:basedOn w:val="1"/>
    <w:next w:val="1"/>
    <w:autoRedefine/>
    <w:unhideWhenUsed/>
    <w:qFormat/>
    <w:uiPriority w:val="39"/>
    <w:pPr>
      <w:spacing w:after="100" w:line="440" w:lineRule="exact"/>
      <w:ind w:left="420" w:firstLine="420"/>
    </w:pPr>
    <w:rPr>
      <w:rFonts w:cstheme="minorBidi"/>
      <w:szCs w:val="22"/>
    </w:rPr>
  </w:style>
  <w:style w:type="paragraph" w:styleId="7">
    <w:name w:val="Balloon Text"/>
    <w:basedOn w:val="1"/>
    <w:link w:val="42"/>
    <w:semiHidden/>
    <w:unhideWhenUsed/>
    <w:qFormat/>
    <w:uiPriority w:val="99"/>
    <w:pPr>
      <w:ind w:firstLine="420"/>
    </w:pPr>
    <w:rPr>
      <w:rFonts w:ascii="Microsoft YaHei UI" w:eastAsia="Microsoft YaHei UI" w:cstheme="minorBidi"/>
      <w:sz w:val="18"/>
      <w:szCs w:val="18"/>
    </w:rPr>
  </w:style>
  <w:style w:type="paragraph" w:styleId="8">
    <w:name w:val="footer"/>
    <w:basedOn w:val="1"/>
    <w:link w:val="20"/>
    <w:unhideWhenUsed/>
    <w:qFormat/>
    <w:uiPriority w:val="99"/>
    <w:pPr>
      <w:tabs>
        <w:tab w:val="center" w:pos="4153"/>
        <w:tab w:val="right" w:pos="8306"/>
      </w:tabs>
    </w:pPr>
  </w:style>
  <w:style w:type="paragraph" w:styleId="9">
    <w:name w:val="header"/>
    <w:basedOn w:val="1"/>
    <w:link w:val="19"/>
    <w:unhideWhenUsed/>
    <w:qFormat/>
    <w:uiPriority w:val="99"/>
    <w:pPr>
      <w:tabs>
        <w:tab w:val="center" w:pos="4153"/>
        <w:tab w:val="right" w:pos="8306"/>
      </w:tabs>
    </w:pPr>
  </w:style>
  <w:style w:type="paragraph" w:styleId="10">
    <w:name w:val="toc 1"/>
    <w:basedOn w:val="1"/>
    <w:next w:val="1"/>
    <w:autoRedefine/>
    <w:unhideWhenUsed/>
    <w:qFormat/>
    <w:uiPriority w:val="39"/>
    <w:pPr>
      <w:spacing w:after="100" w:line="440" w:lineRule="exact"/>
      <w:ind w:firstLine="420"/>
    </w:pPr>
    <w:rPr>
      <w:rFonts w:cstheme="minorBidi"/>
      <w:szCs w:val="22"/>
    </w:rPr>
  </w:style>
  <w:style w:type="paragraph" w:styleId="11">
    <w:name w:val="Subtitle"/>
    <w:basedOn w:val="1"/>
    <w:next w:val="1"/>
    <w:link w:val="38"/>
    <w:qFormat/>
    <w:uiPriority w:val="0"/>
    <w:pPr>
      <w:spacing w:before="240" w:after="60" w:line="312" w:lineRule="auto"/>
      <w:jc w:val="center"/>
      <w:outlineLvl w:val="1"/>
    </w:pPr>
    <w:rPr>
      <w:rFonts w:ascii="等线 Light" w:hAnsi="等线 Light"/>
      <w:b/>
      <w:bCs/>
      <w:kern w:val="28"/>
      <w:sz w:val="32"/>
      <w:szCs w:val="32"/>
    </w:rPr>
  </w:style>
  <w:style w:type="paragraph" w:styleId="12">
    <w:name w:val="toc 2"/>
    <w:basedOn w:val="1"/>
    <w:next w:val="1"/>
    <w:autoRedefine/>
    <w:unhideWhenUsed/>
    <w:qFormat/>
    <w:uiPriority w:val="39"/>
    <w:pPr>
      <w:spacing w:after="100" w:line="440" w:lineRule="exact"/>
      <w:ind w:left="210" w:firstLine="420"/>
    </w:pPr>
    <w:rPr>
      <w:rFonts w:cstheme="minorBidi"/>
      <w:szCs w:val="22"/>
    </w:rPr>
  </w:style>
  <w:style w:type="paragraph" w:styleId="13">
    <w:name w:val="annotation subject"/>
    <w:basedOn w:val="5"/>
    <w:next w:val="5"/>
    <w:link w:val="43"/>
    <w:semiHidden/>
    <w:unhideWhenUsed/>
    <w:qFormat/>
    <w:uiPriority w:val="99"/>
    <w:pPr>
      <w:spacing w:line="240" w:lineRule="auto"/>
      <w:jc w:val="both"/>
    </w:pPr>
    <w:rPr>
      <w:b/>
      <w:bCs/>
      <w:sz w:val="20"/>
      <w:szCs w:val="20"/>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unhideWhenUsed/>
    <w:qFormat/>
    <w:uiPriority w:val="0"/>
    <w:rPr>
      <w:sz w:val="21"/>
      <w:szCs w:val="21"/>
    </w:rPr>
  </w:style>
  <w:style w:type="character" w:customStyle="1" w:styleId="19">
    <w:name w:val="页眉 字符"/>
    <w:basedOn w:val="16"/>
    <w:link w:val="9"/>
    <w:qFormat/>
    <w:uiPriority w:val="99"/>
  </w:style>
  <w:style w:type="character" w:customStyle="1" w:styleId="20">
    <w:name w:val="页脚 字符"/>
    <w:basedOn w:val="16"/>
    <w:link w:val="8"/>
    <w:qFormat/>
    <w:uiPriority w:val="99"/>
  </w:style>
  <w:style w:type="paragraph" w:customStyle="1" w:styleId="21">
    <w:name w:val="表格内容"/>
    <w:basedOn w:val="1"/>
    <w:link w:val="22"/>
    <w:qFormat/>
    <w:uiPriority w:val="0"/>
    <w:pPr>
      <w:jc w:val="left"/>
    </w:pPr>
    <w:rPr>
      <w:rFonts w:cstheme="minorBidi"/>
      <w:szCs w:val="18"/>
    </w:rPr>
  </w:style>
  <w:style w:type="character" w:customStyle="1" w:styleId="22">
    <w:name w:val="表格内容 字符"/>
    <w:basedOn w:val="16"/>
    <w:link w:val="21"/>
    <w:qFormat/>
    <w:uiPriority w:val="0"/>
    <w:rPr>
      <w:rFonts w:ascii="Times New Roman" w:hAnsi="Times New Roman" w:eastAsia="宋体"/>
      <w:szCs w:val="18"/>
    </w:rPr>
  </w:style>
  <w:style w:type="character" w:customStyle="1" w:styleId="23">
    <w:name w:val="标题 1 字符"/>
    <w:basedOn w:val="16"/>
    <w:link w:val="2"/>
    <w:qFormat/>
    <w:uiPriority w:val="9"/>
    <w:rPr>
      <w:rFonts w:asciiTheme="majorHAnsi" w:hAnsiTheme="majorHAnsi" w:eastAsiaTheme="majorEastAsia" w:cstheme="majorBidi"/>
      <w:color w:val="2F5597" w:themeColor="accent1" w:themeShade="BF"/>
      <w:sz w:val="32"/>
      <w:szCs w:val="32"/>
    </w:rPr>
  </w:style>
  <w:style w:type="character" w:customStyle="1" w:styleId="24">
    <w:name w:val="标题 2 字符"/>
    <w:basedOn w:val="16"/>
    <w:link w:val="3"/>
    <w:semiHidden/>
    <w:qFormat/>
    <w:uiPriority w:val="9"/>
    <w:rPr>
      <w:rFonts w:asciiTheme="majorHAnsi" w:hAnsiTheme="majorHAnsi" w:eastAsiaTheme="majorEastAsia" w:cstheme="majorBidi"/>
      <w:color w:val="2F5597" w:themeColor="accent1" w:themeShade="BF"/>
      <w:sz w:val="26"/>
      <w:szCs w:val="26"/>
    </w:rPr>
  </w:style>
  <w:style w:type="character" w:customStyle="1" w:styleId="25">
    <w:name w:val="标题 3 字符"/>
    <w:basedOn w:val="16"/>
    <w:link w:val="4"/>
    <w:semiHidden/>
    <w:qFormat/>
    <w:uiPriority w:val="9"/>
    <w:rPr>
      <w:rFonts w:asciiTheme="majorHAnsi" w:hAnsiTheme="majorHAnsi" w:eastAsiaTheme="majorEastAsia" w:cstheme="majorBidi"/>
      <w:color w:val="203864" w:themeColor="accent1" w:themeShade="80"/>
      <w:sz w:val="24"/>
      <w:szCs w:val="24"/>
    </w:rPr>
  </w:style>
  <w:style w:type="paragraph" w:styleId="26">
    <w:name w:val="List Paragraph"/>
    <w:basedOn w:val="1"/>
    <w:link w:val="31"/>
    <w:qFormat/>
    <w:uiPriority w:val="34"/>
    <w:pPr>
      <w:spacing w:line="440" w:lineRule="exact"/>
      <w:ind w:left="720" w:firstLine="420"/>
      <w:contextualSpacing/>
    </w:pPr>
    <w:rPr>
      <w:rFonts w:cstheme="minorBidi"/>
      <w:szCs w:val="22"/>
    </w:rPr>
  </w:style>
  <w:style w:type="paragraph" w:customStyle="1" w:styleId="27">
    <w:name w:val="技术1"/>
    <w:basedOn w:val="2"/>
    <w:next w:val="1"/>
    <w:link w:val="29"/>
    <w:qFormat/>
    <w:uiPriority w:val="0"/>
    <w:pPr>
      <w:numPr>
        <w:ilvl w:val="0"/>
        <w:numId w:val="1"/>
      </w:numPr>
    </w:pPr>
    <w:rPr>
      <w:rFonts w:ascii="宋体" w:hAnsi="宋体"/>
      <w:b/>
      <w:sz w:val="28"/>
    </w:rPr>
  </w:style>
  <w:style w:type="paragraph" w:customStyle="1" w:styleId="28">
    <w:name w:val="技术2"/>
    <w:basedOn w:val="3"/>
    <w:next w:val="1"/>
    <w:link w:val="32"/>
    <w:qFormat/>
    <w:uiPriority w:val="0"/>
    <w:pPr>
      <w:numPr>
        <w:ilvl w:val="1"/>
        <w:numId w:val="1"/>
      </w:numPr>
    </w:pPr>
    <w:rPr>
      <w:rFonts w:ascii="Times New Roman" w:hAnsi="Times New Roman" w:eastAsia="宋体"/>
      <w:b/>
      <w:color w:val="auto"/>
    </w:rPr>
  </w:style>
  <w:style w:type="character" w:customStyle="1" w:styleId="29">
    <w:name w:val="技术1 字符"/>
    <w:basedOn w:val="23"/>
    <w:link w:val="27"/>
    <w:qFormat/>
    <w:uiPriority w:val="0"/>
    <w:rPr>
      <w:rFonts w:ascii="宋体" w:hAnsi="宋体" w:eastAsiaTheme="majorEastAsia" w:cstheme="majorBidi"/>
      <w:b/>
      <w:color w:val="2F5597" w:themeColor="accent1" w:themeShade="BF"/>
      <w:sz w:val="28"/>
      <w:szCs w:val="32"/>
    </w:rPr>
  </w:style>
  <w:style w:type="paragraph" w:customStyle="1" w:styleId="30">
    <w:name w:val="技术3"/>
    <w:basedOn w:val="4"/>
    <w:link w:val="34"/>
    <w:qFormat/>
    <w:uiPriority w:val="0"/>
    <w:pPr>
      <w:numPr>
        <w:ilvl w:val="2"/>
        <w:numId w:val="2"/>
      </w:numPr>
      <w:ind w:left="0" w:firstLine="0"/>
    </w:pPr>
    <w:rPr>
      <w:rFonts w:ascii="宋体" w:hAnsi="宋体"/>
      <w:b/>
    </w:rPr>
  </w:style>
  <w:style w:type="character" w:customStyle="1" w:styleId="31">
    <w:name w:val="列表段落 字符"/>
    <w:basedOn w:val="16"/>
    <w:link w:val="26"/>
    <w:qFormat/>
    <w:uiPriority w:val="34"/>
    <w:rPr>
      <w:rFonts w:ascii="Times New Roman" w:hAnsi="Times New Roman" w:eastAsia="宋体"/>
    </w:rPr>
  </w:style>
  <w:style w:type="character" w:customStyle="1" w:styleId="32">
    <w:name w:val="技术2 字符"/>
    <w:basedOn w:val="31"/>
    <w:link w:val="28"/>
    <w:qFormat/>
    <w:uiPriority w:val="0"/>
    <w:rPr>
      <w:rFonts w:ascii="Times New Roman" w:hAnsi="Times New Roman" w:eastAsia="宋体" w:cstheme="majorBidi"/>
      <w:b/>
      <w:sz w:val="26"/>
      <w:szCs w:val="26"/>
    </w:rPr>
  </w:style>
  <w:style w:type="paragraph" w:customStyle="1" w:styleId="33">
    <w:name w:val="TOC 标题1"/>
    <w:basedOn w:val="2"/>
    <w:next w:val="1"/>
    <w:unhideWhenUsed/>
    <w:qFormat/>
    <w:uiPriority w:val="39"/>
    <w:pPr>
      <w:widowControl/>
      <w:spacing w:line="259" w:lineRule="auto"/>
      <w:ind w:firstLine="0"/>
      <w:jc w:val="left"/>
      <w:outlineLvl w:val="9"/>
    </w:pPr>
    <w:rPr>
      <w:kern w:val="0"/>
    </w:rPr>
  </w:style>
  <w:style w:type="character" w:customStyle="1" w:styleId="34">
    <w:name w:val="技术3 字符"/>
    <w:basedOn w:val="25"/>
    <w:link w:val="30"/>
    <w:qFormat/>
    <w:uiPriority w:val="0"/>
    <w:rPr>
      <w:rFonts w:ascii="宋体" w:hAnsi="宋体" w:eastAsiaTheme="majorEastAsia" w:cstheme="majorBidi"/>
      <w:b/>
      <w:color w:val="203864" w:themeColor="accent1" w:themeShade="80"/>
      <w:sz w:val="24"/>
      <w:szCs w:val="24"/>
    </w:rPr>
  </w:style>
  <w:style w:type="paragraph" w:customStyle="1" w:styleId="35">
    <w:name w:val="技术31"/>
    <w:basedOn w:val="28"/>
    <w:next w:val="1"/>
    <w:link w:val="36"/>
    <w:qFormat/>
    <w:uiPriority w:val="0"/>
    <w:pPr>
      <w:numPr>
        <w:ilvl w:val="2"/>
      </w:numPr>
      <w:ind w:left="0" w:firstLine="0"/>
    </w:pPr>
    <w:rPr>
      <w:sz w:val="24"/>
    </w:rPr>
  </w:style>
  <w:style w:type="character" w:customStyle="1" w:styleId="36">
    <w:name w:val="技术31 字符"/>
    <w:basedOn w:val="32"/>
    <w:link w:val="35"/>
    <w:qFormat/>
    <w:uiPriority w:val="0"/>
    <w:rPr>
      <w:rFonts w:ascii="Times New Roman" w:hAnsi="Times New Roman" w:eastAsia="宋体" w:cstheme="majorBidi"/>
      <w:sz w:val="24"/>
      <w:szCs w:val="26"/>
    </w:rPr>
  </w:style>
  <w:style w:type="paragraph" w:styleId="37">
    <w:name w:val="No Spacing"/>
    <w:qFormat/>
    <w:uiPriority w:val="1"/>
    <w:pPr>
      <w:widowControl w:val="0"/>
      <w:ind w:firstLine="420"/>
      <w:jc w:val="both"/>
    </w:pPr>
    <w:rPr>
      <w:rFonts w:ascii="宋体" w:hAnsi="宋体" w:eastAsiaTheme="minorEastAsia" w:cstheme="minorBidi"/>
      <w:kern w:val="2"/>
      <w:sz w:val="21"/>
      <w:szCs w:val="22"/>
      <w:lang w:val="en-US" w:eastAsia="zh-CN" w:bidi="ar-SA"/>
    </w:rPr>
  </w:style>
  <w:style w:type="character" w:customStyle="1" w:styleId="38">
    <w:name w:val="副标题 字符"/>
    <w:basedOn w:val="16"/>
    <w:link w:val="11"/>
    <w:qFormat/>
    <w:uiPriority w:val="0"/>
    <w:rPr>
      <w:rFonts w:ascii="等线 Light" w:hAnsi="等线 Light" w:eastAsia="宋体" w:cs="Times New Roman"/>
      <w:b/>
      <w:bCs/>
      <w:kern w:val="28"/>
      <w:sz w:val="32"/>
      <w:szCs w:val="32"/>
    </w:rPr>
  </w:style>
  <w:style w:type="paragraph" w:customStyle="1" w:styleId="39">
    <w:name w:val="封面"/>
    <w:basedOn w:val="1"/>
    <w:link w:val="40"/>
    <w:qFormat/>
    <w:uiPriority w:val="0"/>
    <w:pPr>
      <w:widowControl/>
      <w:spacing w:line="600" w:lineRule="auto"/>
      <w:jc w:val="center"/>
    </w:pPr>
    <w:rPr>
      <w:b/>
      <w:sz w:val="32"/>
      <w:szCs w:val="32"/>
    </w:rPr>
  </w:style>
  <w:style w:type="character" w:customStyle="1" w:styleId="40">
    <w:name w:val="封面 字符"/>
    <w:basedOn w:val="16"/>
    <w:link w:val="39"/>
    <w:qFormat/>
    <w:uiPriority w:val="0"/>
    <w:rPr>
      <w:rFonts w:ascii="Times New Roman" w:hAnsi="Times New Roman" w:eastAsia="宋体" w:cs="Times New Roman"/>
      <w:b/>
      <w:sz w:val="32"/>
      <w:szCs w:val="32"/>
    </w:rPr>
  </w:style>
  <w:style w:type="character" w:customStyle="1" w:styleId="41">
    <w:name w:val="批注文字 字符"/>
    <w:basedOn w:val="16"/>
    <w:link w:val="5"/>
    <w:qFormat/>
    <w:uiPriority w:val="99"/>
    <w:rPr>
      <w:rFonts w:ascii="Times New Roman" w:hAnsi="Times New Roman" w:eastAsia="宋体"/>
    </w:rPr>
  </w:style>
  <w:style w:type="character" w:customStyle="1" w:styleId="42">
    <w:name w:val="批注框文本 字符"/>
    <w:basedOn w:val="16"/>
    <w:link w:val="7"/>
    <w:semiHidden/>
    <w:qFormat/>
    <w:uiPriority w:val="99"/>
    <w:rPr>
      <w:rFonts w:ascii="Microsoft YaHei UI" w:hAnsi="Times New Roman" w:eastAsia="Microsoft YaHei UI"/>
      <w:sz w:val="18"/>
      <w:szCs w:val="18"/>
    </w:rPr>
  </w:style>
  <w:style w:type="character" w:customStyle="1" w:styleId="43">
    <w:name w:val="批注主题 字符"/>
    <w:basedOn w:val="41"/>
    <w:link w:val="13"/>
    <w:semiHidden/>
    <w:qFormat/>
    <w:uiPriority w:val="99"/>
    <w:rPr>
      <w:rFonts w:ascii="Times New Roman" w:hAnsi="Times New Roman" w:eastAsia="宋体"/>
      <w:b/>
      <w:bCs/>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1432</Words>
  <Characters>8165</Characters>
  <Lines>68</Lines>
  <Paragraphs>19</Paragraphs>
  <TotalTime>5</TotalTime>
  <ScaleCrop>false</ScaleCrop>
  <LinksUpToDate>false</LinksUpToDate>
  <CharactersWithSpaces>9578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2026-06-06T12:04:00Z</dcterms:created>
  <dc:creator>swj</dc:creator>
  <cp:lastModifiedBy>陈俊宇</cp:lastModifiedBy>
  <dcterms:modified xsi:type="dcterms:W3CDTF">2026-06-22T09:14:49Z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471AFFA51D2345F297EC9046AEC69C24_13</vt:lpwstr>
  </property>
  <property fmtid="{D5CDD505-2E9C-101B-9397-08002B2CF9AE}" pid="4" name="KSOTemplateDocerSaveRecord">
    <vt:lpwstr>eyJoZGlkIjoiZWUyYTliNzFjODRjNjc5OWRlNzZkMWNjZjQzNWZhYjUiLCJ1c2VySWQiOiIzNzI1MDIyNzMifQ==</vt:lpwstr>
  </property>
</Properties>
</file>