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A8C8C">
      <w:pPr>
        <w:pStyle w:val="2"/>
        <w:numPr>
          <w:ilvl w:val="0"/>
          <w:numId w:val="0"/>
        </w:numPr>
        <w:ind w:left="425" w:firstLine="0" w:firstLineChars="0"/>
        <w:jc w:val="center"/>
        <w:rPr>
          <w:rFonts w:hint="eastAsia"/>
          <w:color w:val="auto"/>
          <w:highlight w:val="none"/>
        </w:rPr>
      </w:pPr>
      <w:bookmarkStart w:id="0" w:name="_Toc31618"/>
      <w:bookmarkStart w:id="1" w:name="_Toc17542"/>
      <w:bookmarkStart w:id="2" w:name="_Toc20531"/>
      <w:bookmarkStart w:id="3" w:name="_Toc8400"/>
      <w:bookmarkStart w:id="4" w:name="_Toc29122"/>
      <w:bookmarkStart w:id="5" w:name="PO_PURCHASE_REQUIREMENT_FILE17370_1"/>
      <w:r>
        <w:rPr>
          <w:rFonts w:hint="eastAsia"/>
          <w:color w:val="auto"/>
          <w:highlight w:val="none"/>
        </w:rPr>
        <w:t>上海市交通行业视频监控共享综合应用平台</w:t>
      </w:r>
    </w:p>
    <w:p w14:paraId="2243CD7D">
      <w:pPr>
        <w:pStyle w:val="2"/>
        <w:numPr>
          <w:ilvl w:val="0"/>
          <w:numId w:val="0"/>
        </w:numPr>
        <w:ind w:left="425" w:firstLine="0" w:firstLineChars="0"/>
        <w:jc w:val="center"/>
        <w:rPr>
          <w:rFonts w:hint="eastAsia"/>
          <w:color w:val="auto"/>
          <w:highlight w:val="none"/>
        </w:rPr>
      </w:pPr>
      <w:r>
        <w:rPr>
          <w:rFonts w:hint="eastAsia"/>
          <w:color w:val="auto"/>
          <w:highlight w:val="none"/>
        </w:rPr>
        <w:t>（2026年升级改造）</w:t>
      </w:r>
      <w:bookmarkEnd w:id="0"/>
      <w:bookmarkEnd w:id="1"/>
      <w:bookmarkEnd w:id="2"/>
      <w:bookmarkEnd w:id="3"/>
      <w:bookmarkEnd w:id="4"/>
      <w:r>
        <w:rPr>
          <w:rFonts w:hint="eastAsia"/>
          <w:color w:val="auto"/>
          <w:highlight w:val="none"/>
        </w:rPr>
        <w:t>项目建设需求</w:t>
      </w:r>
    </w:p>
    <w:bookmarkEnd w:id="5"/>
    <w:p w14:paraId="495B40EF">
      <w:pPr>
        <w:pStyle w:val="2"/>
        <w:bidi w:val="0"/>
        <w:rPr>
          <w:rFonts w:hint="eastAsia"/>
          <w:color w:val="auto"/>
          <w:highlight w:val="none"/>
        </w:rPr>
      </w:pPr>
      <w:r>
        <w:rPr>
          <w:rFonts w:hint="eastAsia"/>
          <w:color w:val="auto"/>
          <w:highlight w:val="none"/>
        </w:rPr>
        <w:t>项目概况</w:t>
      </w:r>
    </w:p>
    <w:p w14:paraId="0F69F6B9">
      <w:pPr>
        <w:pStyle w:val="3"/>
        <w:numPr>
          <w:ilvl w:val="1"/>
          <w:numId w:val="1"/>
        </w:numPr>
        <w:tabs>
          <w:tab w:val="clear" w:pos="0"/>
        </w:tabs>
        <w:ind w:left="567" w:leftChars="0" w:hanging="567" w:firstLineChars="0"/>
        <w:rPr>
          <w:color w:val="auto"/>
          <w:sz w:val="28"/>
          <w:szCs w:val="36"/>
          <w:highlight w:val="none"/>
        </w:rPr>
      </w:pPr>
      <w:r>
        <w:rPr>
          <w:rFonts w:hint="eastAsia"/>
          <w:color w:val="auto"/>
          <w:sz w:val="28"/>
          <w:szCs w:val="36"/>
          <w:highlight w:val="none"/>
        </w:rPr>
        <w:t>项目背景</w:t>
      </w:r>
    </w:p>
    <w:p w14:paraId="21E8D3A9">
      <w:pPr>
        <w:pStyle w:val="46"/>
        <w:bidi w:val="0"/>
        <w:rPr>
          <w:rFonts w:hint="eastAsia"/>
          <w:color w:val="auto"/>
          <w:highlight w:val="none"/>
        </w:rPr>
      </w:pPr>
      <w:r>
        <w:rPr>
          <w:rFonts w:hint="eastAsia"/>
          <w:color w:val="auto"/>
          <w:highlight w:val="none"/>
        </w:rPr>
        <w:t>上海市交通行业涉及路网监测、轨道交通、交通枢纽、工地、航道港口码头、公交、重点区域等业态，根据《上海市交通委员会“一网统管”建设三年行动计划（2020年-2022年）》（沪交科函</w:t>
      </w:r>
      <w:r>
        <w:rPr>
          <w:rFonts w:hint="eastAsia"/>
          <w:color w:val="auto"/>
          <w:highlight w:val="none"/>
          <w:lang w:eastAsia="zh-CN"/>
        </w:rPr>
        <w:t>〔2020〕</w:t>
      </w:r>
      <w:r>
        <w:rPr>
          <w:rFonts w:hint="eastAsia"/>
          <w:color w:val="auto"/>
          <w:highlight w:val="none"/>
        </w:rPr>
        <w:t>857号）中“视频数据经由委指挥中心实现共享”要求，委交通指挥中心的“交通行业视频监控共享综合应用平台”已初步汇聚了行业内各业态的视频资源。截止目前，平台已汇聚接入视频监控图像5</w:t>
      </w:r>
      <w:r>
        <w:rPr>
          <w:rFonts w:hint="eastAsia"/>
          <w:color w:val="auto"/>
          <w:highlight w:val="none"/>
          <w:lang w:val="en-US" w:eastAsia="zh-CN"/>
        </w:rPr>
        <w:t>万余</w:t>
      </w:r>
      <w:r>
        <w:rPr>
          <w:rFonts w:hint="eastAsia"/>
          <w:color w:val="auto"/>
          <w:highlight w:val="none"/>
        </w:rPr>
        <w:t>路。视频平台为本市交通运行监测和应急指挥业务提供了较好的支撑。</w:t>
      </w:r>
    </w:p>
    <w:p w14:paraId="157972A3">
      <w:pPr>
        <w:pStyle w:val="46"/>
        <w:bidi w:val="0"/>
        <w:rPr>
          <w:rFonts w:hint="eastAsia"/>
          <w:color w:val="auto"/>
          <w:highlight w:val="none"/>
        </w:rPr>
      </w:pPr>
      <w:r>
        <w:rPr>
          <w:rFonts w:hint="eastAsia"/>
          <w:color w:val="auto"/>
          <w:highlight w:val="none"/>
        </w:rPr>
        <w:t>但随着数字化转型发展的持续深入，视频中心建设也应该持续推进。根据《上海交通数字化转型实施意见（2024-2026）》部署，明确提出要“强化感知能力建设，聚焦路网、航道、港口码头的智慧感知系统，推动视频图像等智能终端的科学部署，深化既有视频资源智慧化应用”的任务。随着人工智能、大数据、云计算等技术的不断进步，交通行业视频建设的应用已经从传统的监控模式转变为更加智能化、自动化的管理模式。当前交通委交通视频监控平台的基础平台已经显</w:t>
      </w:r>
      <w:r>
        <w:rPr>
          <w:rFonts w:hint="eastAsia"/>
          <w:color w:val="auto"/>
          <w:highlight w:val="none"/>
          <w:lang w:eastAsia="zh-CN"/>
        </w:rPr>
        <w:t>得</w:t>
      </w:r>
      <w:r>
        <w:rPr>
          <w:rFonts w:hint="eastAsia"/>
          <w:color w:val="auto"/>
          <w:highlight w:val="none"/>
        </w:rPr>
        <w:t>过于老旧，难以承担新的历史使命，主要存在以下几点亟</w:t>
      </w:r>
      <w:r>
        <w:rPr>
          <w:rFonts w:hint="eastAsia"/>
          <w:color w:val="auto"/>
          <w:highlight w:val="none"/>
          <w:lang w:val="en-US" w:eastAsia="zh-CN"/>
        </w:rPr>
        <w:t>须</w:t>
      </w:r>
      <w:r>
        <w:rPr>
          <w:rFonts w:hint="eastAsia"/>
          <w:color w:val="auto"/>
          <w:highlight w:val="none"/>
        </w:rPr>
        <w:t>优化的问题：</w:t>
      </w:r>
    </w:p>
    <w:p w14:paraId="254869A1">
      <w:pPr>
        <w:pStyle w:val="46"/>
        <w:bidi w:val="0"/>
        <w:rPr>
          <w:rFonts w:hint="eastAsia"/>
          <w:color w:val="auto"/>
          <w:highlight w:val="none"/>
        </w:rPr>
      </w:pPr>
      <w:r>
        <w:rPr>
          <w:rFonts w:hint="eastAsia"/>
          <w:color w:val="auto"/>
          <w:highlight w:val="none"/>
        </w:rPr>
        <w:t>一是系统架构落后，无法支撑大规模集约化管理需求。视频接入服务器和水印共享设备采用传统分散式部署，缺乏统一的集群管理和智能调度机制，设备资源利用率不足，系统扩展能力受限，难以适应视频资源规模快速增长和用户访问量激增的发展趋势，严重制约了平台的承载能力和服务质量。</w:t>
      </w:r>
    </w:p>
    <w:p w14:paraId="25256C88">
      <w:pPr>
        <w:pStyle w:val="46"/>
        <w:bidi w:val="0"/>
        <w:rPr>
          <w:rFonts w:hint="eastAsia"/>
          <w:color w:val="auto"/>
          <w:highlight w:val="none"/>
        </w:rPr>
      </w:pPr>
      <w:r>
        <w:rPr>
          <w:rFonts w:hint="eastAsia"/>
          <w:color w:val="auto"/>
          <w:highlight w:val="none"/>
          <w:lang w:val="en-US" w:eastAsia="zh-CN"/>
        </w:rPr>
        <w:t>二</w:t>
      </w:r>
      <w:r>
        <w:rPr>
          <w:rFonts w:hint="eastAsia"/>
          <w:color w:val="auto"/>
          <w:highlight w:val="none"/>
        </w:rPr>
        <w:t>是平台功能与用户需求脱节，操作体验亟待改善。现有Web系统界面设计陈旧，操作流程与日常业务场景不匹配，缺乏个性化配置和快捷操作功能，系统易用性差，严重影响工作效率和系统推广应用。</w:t>
      </w:r>
    </w:p>
    <w:p w14:paraId="17A11F8A">
      <w:pPr>
        <w:pStyle w:val="46"/>
        <w:bidi w:val="0"/>
        <w:rPr>
          <w:rFonts w:hint="eastAsia"/>
          <w:color w:val="auto"/>
          <w:highlight w:val="none"/>
          <w:lang w:eastAsia="zh-CN"/>
        </w:rPr>
      </w:pPr>
      <w:r>
        <w:rPr>
          <w:rFonts w:hint="eastAsia"/>
          <w:color w:val="auto"/>
          <w:highlight w:val="none"/>
          <w:lang w:val="en-US" w:eastAsia="zh-CN"/>
        </w:rPr>
        <w:t>三</w:t>
      </w:r>
      <w:r>
        <w:rPr>
          <w:rFonts w:hint="eastAsia"/>
          <w:color w:val="auto"/>
          <w:highlight w:val="none"/>
        </w:rPr>
        <w:t>是视频资源共享监管机制不完善，资源配置缺乏科学依据。当前向</w:t>
      </w:r>
      <w:r>
        <w:rPr>
          <w:rFonts w:hint="eastAsia"/>
          <w:color w:val="auto"/>
          <w:highlight w:val="none"/>
          <w:lang w:val="en-US" w:eastAsia="zh-CN"/>
        </w:rPr>
        <w:t>行业内外</w:t>
      </w:r>
      <w:r>
        <w:rPr>
          <w:rFonts w:hint="eastAsia"/>
          <w:color w:val="auto"/>
          <w:highlight w:val="none"/>
        </w:rPr>
        <w:t>30多个外单位提供视频共享服务，各单位共享并发路数从4路到</w:t>
      </w:r>
      <w:r>
        <w:rPr>
          <w:rFonts w:hint="eastAsia"/>
          <w:color w:val="auto"/>
          <w:highlight w:val="none"/>
          <w:lang w:val="en-US" w:eastAsia="zh-CN"/>
        </w:rPr>
        <w:t>5</w:t>
      </w:r>
      <w:r>
        <w:rPr>
          <w:rFonts w:hint="eastAsia"/>
          <w:color w:val="auto"/>
          <w:highlight w:val="none"/>
        </w:rPr>
        <w:t>0路不等，共享视频总量超过40000路，但缺乏对共享资源实际使用情况的统计分析。无法掌握各单位的真实访问频次、高峰时段分布、热点视频分析等关键数据，导致水印叠加设备、带宽资源等共享基础设施配置盲目，资源利用率无法评估，投入产出效益不明确，资源配置优化缺乏数据支撑。</w:t>
      </w:r>
    </w:p>
    <w:p w14:paraId="6B3D815B">
      <w:pPr>
        <w:pStyle w:val="46"/>
        <w:bidi w:val="0"/>
        <w:rPr>
          <w:rFonts w:hint="eastAsia"/>
          <w:color w:val="auto"/>
          <w:highlight w:val="none"/>
        </w:rPr>
      </w:pPr>
      <w:r>
        <w:rPr>
          <w:rFonts w:hint="eastAsia"/>
          <w:color w:val="auto"/>
          <w:highlight w:val="none"/>
          <w:lang w:val="en-US" w:eastAsia="zh-CN"/>
        </w:rPr>
        <w:t>四</w:t>
      </w:r>
      <w:r>
        <w:rPr>
          <w:rFonts w:hint="eastAsia"/>
          <w:color w:val="auto"/>
          <w:highlight w:val="none"/>
        </w:rPr>
        <w:t>是信息安全防护体系不完善。缺乏完善的网络边界防护、数据加密传输、访问权限细粒度控制等安全机制，视频数据在传输和存储过程中存在</w:t>
      </w:r>
      <w:r>
        <w:rPr>
          <w:rFonts w:hint="eastAsia"/>
          <w:color w:val="auto"/>
          <w:highlight w:val="none"/>
          <w:lang w:val="en-US" w:eastAsia="zh-CN"/>
        </w:rPr>
        <w:t>泄漏</w:t>
      </w:r>
      <w:r>
        <w:rPr>
          <w:rFonts w:hint="eastAsia"/>
          <w:color w:val="auto"/>
          <w:highlight w:val="none"/>
        </w:rPr>
        <w:t>风险。安全审计和态势感知能力不足，无法及时发现和应对网络攻击、非法访问等安全威胁，存在较大的信息安全隐患。</w:t>
      </w:r>
    </w:p>
    <w:p w14:paraId="72CD554D">
      <w:pPr>
        <w:pStyle w:val="46"/>
        <w:bidi w:val="0"/>
        <w:rPr>
          <w:rFonts w:hint="eastAsia"/>
          <w:color w:val="auto"/>
          <w:highlight w:val="none"/>
        </w:rPr>
      </w:pPr>
      <w:r>
        <w:rPr>
          <w:rFonts w:hint="eastAsia"/>
          <w:color w:val="auto"/>
          <w:highlight w:val="none"/>
          <w:lang w:val="en-US" w:eastAsia="zh-CN"/>
        </w:rPr>
        <w:t>五</w:t>
      </w:r>
      <w:r>
        <w:rPr>
          <w:rFonts w:hint="eastAsia"/>
          <w:color w:val="auto"/>
          <w:highlight w:val="none"/>
        </w:rPr>
        <w:t>是智能化应用水平严重滞后，无法适应现代化精细</w:t>
      </w:r>
      <w:r>
        <w:rPr>
          <w:rFonts w:hint="eastAsia"/>
          <w:color w:val="auto"/>
          <w:highlight w:val="none"/>
          <w:lang w:val="en-US" w:eastAsia="zh-CN"/>
        </w:rPr>
        <w:t>化</w:t>
      </w:r>
      <w:r>
        <w:rPr>
          <w:rFonts w:hint="eastAsia"/>
          <w:color w:val="auto"/>
          <w:highlight w:val="none"/>
        </w:rPr>
        <w:t>管理需求。缺乏</w:t>
      </w:r>
      <w:r>
        <w:rPr>
          <w:rFonts w:hint="eastAsia"/>
          <w:color w:val="auto"/>
          <w:highlight w:val="none"/>
          <w:lang w:val="en-US" w:eastAsia="zh-CN"/>
        </w:rPr>
        <w:t>智能</w:t>
      </w:r>
      <w:r>
        <w:rPr>
          <w:rFonts w:hint="eastAsia"/>
          <w:color w:val="auto"/>
          <w:highlight w:val="none"/>
        </w:rPr>
        <w:t>视频分析等核心技术能力，90%以上的业务流程依赖人工处理。无法实现视频内容自动标注、异常情况自动预警等功能，视频数据的深层价值无法有效挖掘，管理决策缺乏数据支撑和智能辅助。</w:t>
      </w:r>
    </w:p>
    <w:p w14:paraId="1F24D10A">
      <w:pPr>
        <w:pStyle w:val="46"/>
        <w:bidi w:val="0"/>
        <w:rPr>
          <w:rFonts w:hint="eastAsia"/>
          <w:color w:val="auto"/>
          <w:highlight w:val="none"/>
        </w:rPr>
      </w:pPr>
      <w:r>
        <w:rPr>
          <w:rFonts w:hint="eastAsia"/>
          <w:color w:val="auto"/>
          <w:highlight w:val="none"/>
        </w:rPr>
        <w:t>综上所述，上海市交通行业视频监控共享综合应用平台升级改造是非常紧迫和亟</w:t>
      </w:r>
      <w:r>
        <w:rPr>
          <w:rFonts w:hint="eastAsia"/>
          <w:color w:val="auto"/>
          <w:highlight w:val="none"/>
          <w:lang w:val="en-US" w:eastAsia="zh-CN"/>
        </w:rPr>
        <w:t>须</w:t>
      </w:r>
      <w:r>
        <w:rPr>
          <w:rFonts w:hint="eastAsia"/>
          <w:color w:val="auto"/>
          <w:highlight w:val="none"/>
        </w:rPr>
        <w:t>的。</w:t>
      </w:r>
    </w:p>
    <w:p w14:paraId="3C7C50E4">
      <w:pPr>
        <w:pStyle w:val="3"/>
        <w:numPr>
          <w:ilvl w:val="1"/>
          <w:numId w:val="1"/>
        </w:numPr>
        <w:tabs>
          <w:tab w:val="clear" w:pos="0"/>
        </w:tabs>
        <w:ind w:left="567" w:leftChars="0" w:hanging="567" w:firstLineChars="0"/>
        <w:rPr>
          <w:rFonts w:hint="eastAsia"/>
          <w:color w:val="auto"/>
          <w:sz w:val="28"/>
          <w:szCs w:val="36"/>
          <w:highlight w:val="none"/>
          <w:lang w:val="en-US" w:eastAsia="zh-CN"/>
        </w:rPr>
      </w:pPr>
      <w:r>
        <w:rPr>
          <w:rFonts w:hint="eastAsia"/>
          <w:color w:val="auto"/>
          <w:sz w:val="28"/>
          <w:szCs w:val="36"/>
          <w:highlight w:val="none"/>
          <w:lang w:val="en-US" w:eastAsia="zh-CN"/>
        </w:rPr>
        <w:t>系统现状</w:t>
      </w:r>
    </w:p>
    <w:p w14:paraId="26D2D227">
      <w:pPr>
        <w:pStyle w:val="4"/>
        <w:bidi w:val="0"/>
        <w:rPr>
          <w:rFonts w:hint="eastAsia"/>
          <w:color w:val="auto"/>
          <w:highlight w:val="none"/>
          <w:lang w:val="en-US" w:eastAsia="zh-CN"/>
        </w:rPr>
      </w:pPr>
      <w:r>
        <w:rPr>
          <w:rFonts w:hint="eastAsia"/>
          <w:color w:val="auto"/>
          <w:highlight w:val="none"/>
          <w:lang w:val="en-US" w:eastAsia="zh-CN"/>
        </w:rPr>
        <w:t>项目现状</w:t>
      </w:r>
    </w:p>
    <w:p w14:paraId="77706D41">
      <w:pPr>
        <w:pStyle w:val="46"/>
        <w:bidi w:val="0"/>
        <w:rPr>
          <w:rFonts w:hint="eastAsia"/>
          <w:color w:val="auto"/>
          <w:highlight w:val="none"/>
          <w:lang w:val="en-US" w:eastAsia="zh-CN"/>
        </w:rPr>
      </w:pPr>
      <w:r>
        <w:rPr>
          <w:rFonts w:hint="eastAsia"/>
          <w:color w:val="auto"/>
          <w:highlight w:val="none"/>
          <w:lang w:val="en-US" w:eastAsia="zh-CN"/>
        </w:rPr>
        <w:t>上海市交通行业视频监控共享综合应用平台（以下简称“本平台”）是依托高快速路视频监控管理系统、路政行业专用通信网等资源，开发的面向本市交通行业的视频监控管理平台，由视频接入子系统、视频管理子系统、视频共享子系统组成，形成了从视频接入、处理管理到对外共享的完整业务链条，可实现本市交通行业内数字、模拟视频的混合共存管理，部署和运行在路政行业专网内，但受当前现有硬件资源不足的影响，目前平台已不具备新接入或共享视频图像的技术条件。</w:t>
      </w:r>
    </w:p>
    <w:p w14:paraId="70265C3A">
      <w:pPr>
        <w:pStyle w:val="46"/>
        <w:bidi w:val="0"/>
        <w:rPr>
          <w:rFonts w:hint="eastAsia"/>
          <w:color w:val="auto"/>
          <w:highlight w:val="none"/>
          <w:lang w:val="en-US" w:eastAsia="zh-CN"/>
        </w:rPr>
      </w:pPr>
      <w:r>
        <w:rPr>
          <w:rFonts w:hint="eastAsia"/>
          <w:color w:val="auto"/>
          <w:highlight w:val="none"/>
          <w:lang w:val="en-US" w:eastAsia="zh-CN"/>
        </w:rPr>
        <w:t>视频接入子系统通过接入视频网关实现各类视频监控设备和下级平台的统一接入，支持多种视频协议和设备类型的兼容适配，为平台提供稳定可靠的视频数据源。视频管理子系统是平台的核心处理中枢，包含基础业务、管理业务、应用业务、对外接口四大功能模块。视频共享子系统通过共享视频网关向相关委办局等外部单位提供视频共享服务，实现跨部门、跨层级的视频资源协同应用。</w:t>
      </w:r>
    </w:p>
    <w:p w14:paraId="49F26181">
      <w:pPr>
        <w:pStyle w:val="4"/>
        <w:bidi w:val="0"/>
        <w:rPr>
          <w:rFonts w:hint="eastAsia"/>
          <w:color w:val="auto"/>
          <w:highlight w:val="none"/>
        </w:rPr>
      </w:pPr>
      <w:r>
        <w:rPr>
          <w:rFonts w:hint="eastAsia"/>
          <w:color w:val="auto"/>
          <w:highlight w:val="none"/>
          <w:lang w:val="en-US" w:eastAsia="zh-CN"/>
        </w:rPr>
        <w:t>新增需求</w:t>
      </w:r>
    </w:p>
    <w:p w14:paraId="7382A291">
      <w:pPr>
        <w:pStyle w:val="46"/>
        <w:bidi w:val="0"/>
        <w:rPr>
          <w:rFonts w:hint="eastAsia"/>
          <w:color w:val="auto"/>
          <w:highlight w:val="none"/>
        </w:rPr>
      </w:pPr>
      <w:r>
        <w:rPr>
          <w:rFonts w:hint="default"/>
          <w:color w:val="auto"/>
          <w:highlight w:val="none"/>
          <w:lang w:val="en-US" w:eastAsia="zh-CN"/>
        </w:rPr>
        <w:t>根据交通行业视频监控共享综合应用平台的现状和新的业务需求，本项目需在现有系统基础上</w:t>
      </w:r>
      <w:r>
        <w:rPr>
          <w:rFonts w:hint="eastAsia"/>
          <w:color w:val="auto"/>
          <w:highlight w:val="none"/>
          <w:lang w:val="en-US" w:eastAsia="zh-CN"/>
        </w:rPr>
        <w:t>，</w:t>
      </w:r>
      <w:r>
        <w:rPr>
          <w:rFonts w:hint="default"/>
          <w:color w:val="auto"/>
          <w:highlight w:val="none"/>
          <w:lang w:val="en-US" w:eastAsia="zh-CN"/>
        </w:rPr>
        <w:t>具备以下功能和性能特性，以满足交通行业视频资源统一接入、智能分析、安全共享和业务赋能的需求。</w:t>
      </w:r>
    </w:p>
    <w:p w14:paraId="6720285B">
      <w:pPr>
        <w:pStyle w:val="46"/>
        <w:numPr>
          <w:ilvl w:val="0"/>
          <w:numId w:val="0"/>
        </w:numPr>
        <w:bidi w:val="0"/>
        <w:ind w:firstLine="482" w:firstLineChars="200"/>
        <w:rPr>
          <w:rFonts w:hint="eastAsia"/>
          <w:color w:val="auto"/>
          <w:highlight w:val="none"/>
          <w:lang w:val="en-US" w:eastAsia="zh-CN"/>
        </w:rPr>
      </w:pPr>
      <w:r>
        <w:rPr>
          <w:rFonts w:hint="eastAsia" w:ascii="仿宋" w:hAnsi="仿宋" w:eastAsia="仿宋" w:cs="仿宋_GB2312"/>
          <w:b/>
          <w:bCs/>
          <w:color w:val="auto"/>
          <w:kern w:val="2"/>
          <w:sz w:val="24"/>
          <w:szCs w:val="28"/>
          <w:highlight w:val="none"/>
          <w:lang w:val="en-US" w:eastAsia="zh-CN" w:bidi="ar-SA"/>
        </w:rPr>
        <w:t>一、</w:t>
      </w:r>
      <w:r>
        <w:rPr>
          <w:rFonts w:hint="eastAsia"/>
          <w:b/>
          <w:bCs/>
          <w:color w:val="auto"/>
          <w:highlight w:val="none"/>
          <w:lang w:val="en-US" w:eastAsia="zh-CN"/>
        </w:rPr>
        <w:t>视频平台功能升级完善需求：</w:t>
      </w:r>
      <w:r>
        <w:rPr>
          <w:rFonts w:hint="eastAsia"/>
          <w:color w:val="auto"/>
          <w:highlight w:val="none"/>
          <w:lang w:val="en-US" w:eastAsia="zh-CN"/>
        </w:rPr>
        <w:t>升级服务层基于一张图的可视化监控点位管理、智能检索、多路视频播放、个性化预案管理等核心功能，全面优化用户体验；完善应用层全方位设备状态监测、共享资源多维度统计、视频调用精细化分析、用户配额智能预警等运维能力；构建能力层多层级标签分类管理框架、智能化检索引擎及深度业务集成机制；优化数据层统一接口配置、精细化权限控制、智能化格式转换、自动化数据同步及一体化设备档案管理等机制；实现视频接入、共享全流程线上管理体系；全面提升平台易用性、运维效能与数据管理水平。</w:t>
      </w:r>
    </w:p>
    <w:p w14:paraId="0EE83CB5">
      <w:pPr>
        <w:pStyle w:val="46"/>
        <w:numPr>
          <w:ilvl w:val="0"/>
          <w:numId w:val="0"/>
        </w:numPr>
        <w:bidi w:val="0"/>
        <w:ind w:firstLine="482" w:firstLineChars="200"/>
        <w:rPr>
          <w:rFonts w:hint="default"/>
          <w:color w:val="auto"/>
          <w:highlight w:val="none"/>
        </w:rPr>
      </w:pPr>
      <w:r>
        <w:rPr>
          <w:rFonts w:hint="eastAsia" w:ascii="仿宋" w:hAnsi="仿宋" w:eastAsia="仿宋" w:cs="仿宋_GB2312"/>
          <w:b/>
          <w:bCs/>
          <w:color w:val="auto"/>
          <w:kern w:val="2"/>
          <w:sz w:val="24"/>
          <w:szCs w:val="28"/>
          <w:highlight w:val="none"/>
          <w:lang w:val="en-US" w:eastAsia="zh-CN" w:bidi="ar-SA"/>
        </w:rPr>
        <w:t>二、</w:t>
      </w:r>
      <w:r>
        <w:rPr>
          <w:rFonts w:hint="eastAsia"/>
          <w:b/>
          <w:bCs/>
          <w:color w:val="auto"/>
          <w:highlight w:val="none"/>
          <w:lang w:val="en-US" w:eastAsia="zh-CN"/>
        </w:rPr>
        <w:t>中心业务系统改造需求：</w:t>
      </w:r>
      <w:r>
        <w:rPr>
          <w:rFonts w:hint="default"/>
          <w:color w:val="auto"/>
          <w:highlight w:val="none"/>
          <w:lang w:val="en-US" w:eastAsia="zh-CN"/>
        </w:rPr>
        <w:t>本项目需要对现有视频管理平台进行全面本地国产化改造升级改造，</w:t>
      </w:r>
      <w:r>
        <w:rPr>
          <w:rFonts w:hint="eastAsia"/>
          <w:color w:val="auto"/>
          <w:highlight w:val="none"/>
          <w:lang w:val="en-US" w:eastAsia="zh-CN"/>
        </w:rPr>
        <w:t>更换</w:t>
      </w:r>
      <w:r>
        <w:rPr>
          <w:rFonts w:hint="default"/>
          <w:color w:val="auto"/>
          <w:highlight w:val="none"/>
          <w:lang w:val="en-US" w:eastAsia="zh-CN"/>
        </w:rPr>
        <w:t>视频管理服务器为国产设备，承载业务中心的视频流调度管理、设备控制联动、应急预案执行等实时性要求高的功能；</w:t>
      </w:r>
      <w:r>
        <w:rPr>
          <w:rFonts w:hint="eastAsia"/>
          <w:color w:val="auto"/>
          <w:highlight w:val="none"/>
          <w:lang w:val="en-US" w:eastAsia="zh-CN"/>
        </w:rPr>
        <w:t>更换</w:t>
      </w:r>
      <w:r>
        <w:rPr>
          <w:rFonts w:hint="default"/>
          <w:color w:val="auto"/>
          <w:highlight w:val="none"/>
          <w:lang w:val="en-US" w:eastAsia="zh-CN"/>
        </w:rPr>
        <w:t>WEB管理服务器为国产设备，承载与本地设备直接相关的WEB管理功能，包括设备控制界面、实时监控界面、应急操作界面等</w:t>
      </w:r>
      <w:r>
        <w:rPr>
          <w:rFonts w:hint="eastAsia"/>
          <w:color w:val="auto"/>
          <w:highlight w:val="none"/>
          <w:lang w:val="en-US" w:eastAsia="zh-CN"/>
        </w:rPr>
        <w:t>；同步实现云端功能迁移。</w:t>
      </w:r>
    </w:p>
    <w:p w14:paraId="67C67A0B">
      <w:pPr>
        <w:pStyle w:val="46"/>
        <w:numPr>
          <w:ilvl w:val="0"/>
          <w:numId w:val="0"/>
        </w:numPr>
        <w:bidi w:val="0"/>
        <w:ind w:firstLine="482" w:firstLineChars="200"/>
        <w:rPr>
          <w:rFonts w:hint="default"/>
          <w:color w:val="auto"/>
          <w:highlight w:val="none"/>
        </w:rPr>
      </w:pPr>
      <w:r>
        <w:rPr>
          <w:rFonts w:hint="eastAsia" w:ascii="仿宋" w:hAnsi="仿宋" w:eastAsia="仿宋" w:cs="仿宋_GB2312"/>
          <w:b/>
          <w:bCs/>
          <w:color w:val="auto"/>
          <w:kern w:val="2"/>
          <w:sz w:val="24"/>
          <w:szCs w:val="28"/>
          <w:highlight w:val="none"/>
          <w:lang w:val="en-US" w:eastAsia="zh-CN" w:bidi="ar-SA"/>
        </w:rPr>
        <w:t>三、</w:t>
      </w:r>
      <w:r>
        <w:rPr>
          <w:rFonts w:hint="eastAsia"/>
          <w:b/>
          <w:bCs/>
          <w:color w:val="auto"/>
          <w:highlight w:val="none"/>
          <w:lang w:val="en-US" w:eastAsia="zh-CN"/>
        </w:rPr>
        <w:t>轨道交通视频接入改造需求：</w:t>
      </w:r>
      <w:r>
        <w:rPr>
          <w:rFonts w:hint="default"/>
          <w:color w:val="auto"/>
          <w:highlight w:val="none"/>
          <w:lang w:val="en-US" w:eastAsia="zh-CN"/>
        </w:rPr>
        <w:t>对现有轨道交通视频接入网关进行</w:t>
      </w:r>
      <w:r>
        <w:rPr>
          <w:rFonts w:hint="eastAsia"/>
          <w:color w:val="auto"/>
          <w:highlight w:val="none"/>
          <w:lang w:val="en-US" w:eastAsia="zh-CN"/>
        </w:rPr>
        <w:t>国产</w:t>
      </w:r>
      <w:r>
        <w:rPr>
          <w:rFonts w:hint="default"/>
          <w:color w:val="auto"/>
          <w:highlight w:val="none"/>
          <w:lang w:val="en-US" w:eastAsia="zh-CN"/>
        </w:rPr>
        <w:t>化改造，更换为国产硬件平台，新增1台轨道交通视频接入网关，形成双机协同工作模式。2台设备支持</w:t>
      </w:r>
      <w:r>
        <w:rPr>
          <w:rFonts w:hint="eastAsia"/>
          <w:color w:val="auto"/>
          <w:highlight w:val="none"/>
          <w:lang w:val="en-US" w:eastAsia="zh-CN"/>
        </w:rPr>
        <w:t>单台</w:t>
      </w:r>
      <w:r>
        <w:rPr>
          <w:rFonts w:hint="default"/>
          <w:color w:val="auto"/>
          <w:highlight w:val="none"/>
          <w:lang w:val="en-US" w:eastAsia="zh-CN"/>
        </w:rPr>
        <w:t>不低于1</w:t>
      </w:r>
      <w:r>
        <w:rPr>
          <w:rFonts w:hint="eastAsia"/>
          <w:color w:val="auto"/>
          <w:highlight w:val="none"/>
          <w:lang w:val="en-US" w:eastAsia="zh-CN"/>
        </w:rPr>
        <w:t>00</w:t>
      </w:r>
      <w:r>
        <w:rPr>
          <w:rFonts w:hint="default"/>
          <w:color w:val="auto"/>
          <w:highlight w:val="none"/>
          <w:lang w:val="en-US" w:eastAsia="zh-CN"/>
        </w:rPr>
        <w:t>路并发视频访问能力，其中100路专门用于向市城运中心视觉中枢和交委各业务系统转发稳定的视频共享服务。</w:t>
      </w:r>
    </w:p>
    <w:p w14:paraId="61B90ED0">
      <w:pPr>
        <w:pStyle w:val="46"/>
        <w:numPr>
          <w:ilvl w:val="0"/>
          <w:numId w:val="0"/>
        </w:numPr>
        <w:bidi w:val="0"/>
        <w:ind w:firstLine="482" w:firstLineChars="200"/>
        <w:rPr>
          <w:rFonts w:hint="default"/>
          <w:color w:val="auto"/>
          <w:highlight w:val="none"/>
          <w:lang w:val="en-US" w:eastAsia="zh-CN"/>
        </w:rPr>
      </w:pPr>
      <w:r>
        <w:rPr>
          <w:rFonts w:hint="eastAsia" w:ascii="仿宋" w:hAnsi="仿宋" w:eastAsia="仿宋" w:cs="仿宋_GB2312"/>
          <w:b/>
          <w:bCs/>
          <w:color w:val="auto"/>
          <w:kern w:val="2"/>
          <w:sz w:val="24"/>
          <w:szCs w:val="28"/>
          <w:highlight w:val="none"/>
          <w:lang w:val="en-US" w:eastAsia="zh-CN" w:bidi="ar-SA"/>
        </w:rPr>
        <w:t>四、</w:t>
      </w:r>
      <w:r>
        <w:rPr>
          <w:rFonts w:hint="eastAsia"/>
          <w:b/>
          <w:bCs/>
          <w:color w:val="auto"/>
          <w:highlight w:val="none"/>
          <w:lang w:val="en-US" w:eastAsia="zh-CN"/>
        </w:rPr>
        <w:t>政务外网统一共享功能需求：</w:t>
      </w:r>
      <w:r>
        <w:rPr>
          <w:rFonts w:hint="default"/>
          <w:color w:val="auto"/>
          <w:highlight w:val="none"/>
          <w:lang w:val="en-US" w:eastAsia="zh-CN"/>
        </w:rPr>
        <w:t>搭建2台国产视频共享及水印叠加一体机，组成高可用的视频共享服务集群</w:t>
      </w:r>
      <w:r>
        <w:rPr>
          <w:rFonts w:hint="eastAsia"/>
          <w:color w:val="auto"/>
          <w:highlight w:val="none"/>
          <w:lang w:val="en-US" w:eastAsia="zh-CN"/>
        </w:rPr>
        <w:t>。</w:t>
      </w:r>
      <w:r>
        <w:rPr>
          <w:rFonts w:hint="default"/>
          <w:color w:val="auto"/>
          <w:highlight w:val="none"/>
          <w:lang w:val="en-US" w:eastAsia="zh-CN"/>
        </w:rPr>
        <w:t>建立与市城运中心“视觉中枢”200路视频并发共享通道，支持多协议适配、并发控制与安全访问，实现基于用户身份、时间等参数的动态水印生成，保障视频共享可追溯与防篡改。</w:t>
      </w:r>
    </w:p>
    <w:p w14:paraId="2A45AF9D">
      <w:pPr>
        <w:pStyle w:val="46"/>
        <w:bidi w:val="0"/>
        <w:rPr>
          <w:rFonts w:hint="eastAsia"/>
          <w:color w:val="auto"/>
          <w:highlight w:val="none"/>
          <w:lang w:val="en-US" w:eastAsia="zh-CN"/>
        </w:rPr>
      </w:pPr>
      <w:r>
        <w:rPr>
          <w:rFonts w:hint="eastAsia"/>
          <w:b/>
          <w:bCs/>
          <w:color w:val="auto"/>
          <w:highlight w:val="none"/>
          <w:lang w:val="en-US" w:eastAsia="zh-CN"/>
        </w:rPr>
        <w:t>五、部省联动视频联网功能需求：</w:t>
      </w:r>
      <w:r>
        <w:rPr>
          <w:rFonts w:hint="eastAsia"/>
          <w:b w:val="0"/>
          <w:bCs w:val="0"/>
          <w:color w:val="auto"/>
          <w:highlight w:val="none"/>
          <w:lang w:val="en-US" w:eastAsia="zh-CN"/>
        </w:rPr>
        <w:t>对照交通部相关规范定制开发，</w:t>
      </w:r>
      <w:r>
        <w:rPr>
          <w:rFonts w:hint="eastAsia"/>
          <w:color w:val="auto"/>
          <w:highlight w:val="none"/>
          <w:lang w:val="en-US" w:eastAsia="zh-CN"/>
        </w:rPr>
        <w:t>实现与国家综合交通运输信息平台互联互通。需满足《国家综合交通运输信息平台视频资源编码与命名规范》和《国家综合交通运输信息平台视频资源接入技术要求》、视频资源编码规范统一、资源目录主动推送及增量更新、历史视频检索回放与下载、云台及镜头远程控制、NTP 时钟同步、视频质量异常诊断及上报等核心功能；落实等级保护、访问控制、威胁防护、安全加固、恶意代码防护、协议识别、服务认证、信令与媒体安全、数据安全、边界防护等安全要求；满足交通部考核要求，确保上传视频在线率不低于 90%，配套开发考核指标配置、巡检计划制定、联网状态监测、调度详情查询等功能，保障联动服务稳定合规。</w:t>
      </w:r>
    </w:p>
    <w:p w14:paraId="2D3461B2">
      <w:pPr>
        <w:pStyle w:val="46"/>
        <w:bidi w:val="0"/>
        <w:rPr>
          <w:rFonts w:hint="default"/>
          <w:color w:val="auto"/>
          <w:highlight w:val="none"/>
          <w:lang w:val="en-US" w:eastAsia="zh-CN"/>
        </w:rPr>
      </w:pPr>
      <w:r>
        <w:rPr>
          <w:rFonts w:hint="eastAsia"/>
          <w:b/>
          <w:bCs/>
          <w:color w:val="auto"/>
          <w:highlight w:val="none"/>
          <w:lang w:val="en-US" w:eastAsia="zh-CN"/>
        </w:rPr>
        <w:t>六、</w:t>
      </w:r>
      <w:r>
        <w:rPr>
          <w:rFonts w:hint="eastAsia"/>
          <w:b/>
          <w:bCs/>
          <w:color w:val="auto"/>
          <w:highlight w:val="none"/>
        </w:rPr>
        <w:t>信息安全需求</w:t>
      </w:r>
      <w:r>
        <w:rPr>
          <w:rFonts w:hint="eastAsia"/>
          <w:b/>
          <w:bCs/>
          <w:color w:val="auto"/>
          <w:highlight w:val="none"/>
          <w:lang w:eastAsia="zh-CN"/>
        </w:rPr>
        <w:t>：</w:t>
      </w:r>
      <w:r>
        <w:rPr>
          <w:rFonts w:hint="default"/>
          <w:color w:val="auto"/>
          <w:highlight w:val="none"/>
          <w:lang w:val="en-US" w:eastAsia="zh-CN"/>
        </w:rPr>
        <w:t>系统软硬件选型和系统开发，</w:t>
      </w:r>
      <w:r>
        <w:rPr>
          <w:rFonts w:hint="eastAsia"/>
          <w:color w:val="auto"/>
          <w:highlight w:val="none"/>
          <w:lang w:val="en-US" w:eastAsia="zh-CN"/>
        </w:rPr>
        <w:t>需</w:t>
      </w:r>
      <w:r>
        <w:rPr>
          <w:rFonts w:hint="default"/>
          <w:color w:val="auto"/>
          <w:highlight w:val="none"/>
          <w:lang w:val="en-US" w:eastAsia="zh-CN"/>
        </w:rPr>
        <w:t>符合</w:t>
      </w:r>
      <w:r>
        <w:rPr>
          <w:rFonts w:hint="eastAsia"/>
          <w:color w:val="auto"/>
          <w:highlight w:val="none"/>
          <w:lang w:val="en-US" w:eastAsia="zh-CN"/>
        </w:rPr>
        <w:t>国产化安全</w:t>
      </w:r>
      <w:r>
        <w:rPr>
          <w:rFonts w:hint="default"/>
          <w:color w:val="auto"/>
          <w:highlight w:val="none"/>
          <w:lang w:val="en-US" w:eastAsia="zh-CN"/>
        </w:rPr>
        <w:t>要求</w:t>
      </w:r>
      <w:r>
        <w:rPr>
          <w:rFonts w:hint="eastAsia"/>
          <w:color w:val="auto"/>
          <w:highlight w:val="none"/>
          <w:lang w:val="en-US" w:eastAsia="zh-CN"/>
        </w:rPr>
        <w:t>、密码安全要求</w:t>
      </w:r>
      <w:r>
        <w:rPr>
          <w:rFonts w:hint="default"/>
          <w:color w:val="auto"/>
          <w:highlight w:val="none"/>
          <w:lang w:val="en-US" w:eastAsia="zh-CN"/>
        </w:rPr>
        <w:t>。根据行业标准《网络安全等级保护定级指南》（GA/T 1389—2017），综合考虑本项目建设后信息系统受到破坏时对社会秩序、公共利益及公民和法人的合法权益造成侵害的程度，本项目系统</w:t>
      </w:r>
      <w:r>
        <w:rPr>
          <w:rFonts w:hint="eastAsia"/>
          <w:color w:val="auto"/>
          <w:highlight w:val="none"/>
          <w:lang w:val="en-US" w:eastAsia="zh-CN"/>
        </w:rPr>
        <w:t>需满足</w:t>
      </w:r>
      <w:r>
        <w:rPr>
          <w:rFonts w:hint="default"/>
          <w:color w:val="auto"/>
          <w:highlight w:val="none"/>
          <w:lang w:val="en-US" w:eastAsia="zh-CN"/>
        </w:rPr>
        <w:t>安全等级二级</w:t>
      </w:r>
      <w:r>
        <w:rPr>
          <w:rFonts w:hint="eastAsia"/>
          <w:color w:val="auto"/>
          <w:highlight w:val="none"/>
          <w:lang w:val="en-US" w:eastAsia="zh-CN"/>
        </w:rPr>
        <w:t>相关要求</w:t>
      </w:r>
      <w:r>
        <w:rPr>
          <w:rFonts w:hint="default"/>
          <w:color w:val="auto"/>
          <w:highlight w:val="none"/>
          <w:lang w:val="en-US" w:eastAsia="zh-CN"/>
        </w:rPr>
        <w:t>。</w:t>
      </w:r>
    </w:p>
    <w:p w14:paraId="162DE020">
      <w:pPr>
        <w:pStyle w:val="46"/>
        <w:numPr>
          <w:ilvl w:val="0"/>
          <w:numId w:val="0"/>
        </w:numPr>
        <w:bidi w:val="0"/>
        <w:ind w:firstLine="482" w:firstLineChars="200"/>
        <w:rPr>
          <w:rFonts w:hint="default"/>
          <w:color w:val="auto"/>
          <w:highlight w:val="none"/>
        </w:rPr>
      </w:pPr>
      <w:r>
        <w:rPr>
          <w:rFonts w:hint="eastAsia" w:cs="仿宋_GB2312"/>
          <w:b/>
          <w:bCs/>
          <w:color w:val="auto"/>
          <w:kern w:val="2"/>
          <w:sz w:val="24"/>
          <w:szCs w:val="28"/>
          <w:highlight w:val="none"/>
          <w:lang w:val="en-US" w:eastAsia="zh-CN" w:bidi="ar-SA"/>
        </w:rPr>
        <w:t>七</w:t>
      </w:r>
      <w:r>
        <w:rPr>
          <w:rFonts w:hint="eastAsia" w:ascii="仿宋" w:hAnsi="仿宋" w:eastAsia="仿宋" w:cs="仿宋_GB2312"/>
          <w:b/>
          <w:bCs/>
          <w:color w:val="auto"/>
          <w:kern w:val="2"/>
          <w:sz w:val="24"/>
          <w:szCs w:val="28"/>
          <w:highlight w:val="none"/>
          <w:lang w:val="en-US" w:eastAsia="zh-CN" w:bidi="ar-SA"/>
        </w:rPr>
        <w:t>、</w:t>
      </w:r>
      <w:r>
        <w:rPr>
          <w:rFonts w:hint="eastAsia"/>
          <w:b/>
          <w:bCs/>
          <w:color w:val="auto"/>
          <w:highlight w:val="none"/>
          <w:lang w:val="en-US" w:eastAsia="zh-CN"/>
        </w:rPr>
        <w:t>视频智能应用功能提升需求：</w:t>
      </w:r>
      <w:r>
        <w:rPr>
          <w:rFonts w:hint="default"/>
          <w:color w:val="auto"/>
          <w:highlight w:val="none"/>
          <w:lang w:val="en-US" w:eastAsia="zh-CN"/>
        </w:rPr>
        <w:t>部署边缘智能采集单元，实现</w:t>
      </w:r>
      <w:r>
        <w:rPr>
          <w:rFonts w:hint="eastAsia"/>
          <w:color w:val="auto"/>
          <w:highlight w:val="none"/>
          <w:lang w:val="en-US" w:eastAsia="zh-CN"/>
        </w:rPr>
        <w:t>主流</w:t>
      </w:r>
      <w:r>
        <w:rPr>
          <w:rFonts w:hint="default"/>
          <w:color w:val="auto"/>
          <w:highlight w:val="none"/>
          <w:lang w:val="en-US" w:eastAsia="zh-CN"/>
        </w:rPr>
        <w:t>协议视频流接入、并发处理、质量评估与稳定传输</w:t>
      </w:r>
      <w:r>
        <w:rPr>
          <w:rFonts w:hint="eastAsia"/>
          <w:color w:val="auto"/>
          <w:highlight w:val="none"/>
          <w:lang w:val="en-US" w:eastAsia="zh-CN"/>
        </w:rPr>
        <w:t>；构建智能化的采集任务调度管理系统，实现采集任务的全生命周期管理。</w:t>
      </w:r>
      <w:r>
        <w:rPr>
          <w:rFonts w:hint="default"/>
          <w:color w:val="auto"/>
          <w:highlight w:val="none"/>
          <w:lang w:val="en-US" w:eastAsia="zh-CN"/>
        </w:rPr>
        <w:t>搭建云端智能分析平台，具备分析模型的生命周期管理、深度学习推理、定向标签识别、场景智能理解及可视化展示能力，完成海量视频自动标注与场景化分析。建设智能语音交互能力，集成语音采集、声纹核验、语音转写功能，实现现场口述内容自动解析、业务流程联动跳转和关联视频画面快速推送上墙，提升大屏调度和指挥处置效率。</w:t>
      </w:r>
      <w:r>
        <w:rPr>
          <w:rFonts w:hint="eastAsia"/>
          <w:color w:val="auto"/>
          <w:highlight w:val="none"/>
          <w:lang w:val="en-US" w:eastAsia="zh-CN"/>
        </w:rPr>
        <w:t>面向</w:t>
      </w:r>
      <w:r>
        <w:rPr>
          <w:rFonts w:hint="default"/>
          <w:color w:val="auto"/>
          <w:highlight w:val="none"/>
          <w:lang w:val="en-US" w:eastAsia="zh-CN"/>
        </w:rPr>
        <w:t>节假日交通枢纽、高速出入口等重点区域，构建大客流、车流智能分析算法模型，形成客流疏散、车流疏导和风险预警等多维分析结果</w:t>
      </w:r>
      <w:r>
        <w:rPr>
          <w:rFonts w:hint="eastAsia"/>
          <w:color w:val="auto"/>
          <w:highlight w:val="none"/>
          <w:lang w:val="en-US" w:eastAsia="zh-CN"/>
        </w:rPr>
        <w:t>；针对防汛防台场景，聚焦道路易积水点位构建积水智能监测分析模型，实现积水态势实时研判，</w:t>
      </w:r>
      <w:r>
        <w:rPr>
          <w:rFonts w:hint="default"/>
          <w:color w:val="auto"/>
          <w:highlight w:val="none"/>
          <w:lang w:val="en-US" w:eastAsia="zh-CN"/>
        </w:rPr>
        <w:t>为交通管控、应急疏散和指挥决策提供智能化支撑。</w:t>
      </w:r>
    </w:p>
    <w:p w14:paraId="156D0216">
      <w:pPr>
        <w:pStyle w:val="46"/>
        <w:bidi w:val="0"/>
        <w:rPr>
          <w:rFonts w:hint="default" w:eastAsia="仿宋"/>
          <w:color w:val="auto"/>
          <w:highlight w:val="none"/>
          <w:lang w:val="en-US" w:eastAsia="zh-CN"/>
        </w:rPr>
      </w:pPr>
      <w:r>
        <w:rPr>
          <w:rFonts w:hint="eastAsia"/>
          <w:b/>
          <w:bCs/>
          <w:color w:val="auto"/>
          <w:highlight w:val="none"/>
          <w:lang w:val="en-US" w:eastAsia="zh-CN"/>
        </w:rPr>
        <w:t>八、高质量数据集需求：</w:t>
      </w:r>
      <w:r>
        <w:rPr>
          <w:rFonts w:hint="eastAsia"/>
          <w:color w:val="auto"/>
          <w:highlight w:val="none"/>
          <w:lang w:val="en-US" w:eastAsia="zh-CN"/>
        </w:rPr>
        <w:t>汇聚高质量交通场景关键帧图像，配套人工/AI标注信息（目标框、行为标签、事件标签、路况标签），形成</w:t>
      </w:r>
      <w:r>
        <w:rPr>
          <w:rFonts w:hint="eastAsia"/>
          <w:b/>
          <w:bCs/>
          <w:color w:val="auto"/>
          <w:highlight w:val="none"/>
          <w:lang w:val="en-US" w:eastAsia="zh-CN"/>
        </w:rPr>
        <w:t>交通视觉标注数据集</w:t>
      </w:r>
      <w:r>
        <w:rPr>
          <w:rFonts w:hint="eastAsia"/>
          <w:color w:val="auto"/>
          <w:highlight w:val="none"/>
          <w:lang w:val="en-US" w:eastAsia="zh-CN"/>
        </w:rPr>
        <w:t>。形成统一、规范、可共享的</w:t>
      </w:r>
      <w:r>
        <w:rPr>
          <w:rFonts w:hint="eastAsia"/>
          <w:b/>
          <w:bCs/>
          <w:color w:val="auto"/>
          <w:highlight w:val="none"/>
          <w:lang w:val="en-US" w:eastAsia="zh-CN"/>
        </w:rPr>
        <w:t>交通路网视频资源目录数据集</w:t>
      </w:r>
      <w:r>
        <w:rPr>
          <w:rFonts w:hint="eastAsia"/>
          <w:color w:val="auto"/>
          <w:highlight w:val="none"/>
          <w:lang w:val="en-US" w:eastAsia="zh-CN"/>
        </w:rPr>
        <w:t>，包含摄像头编号、位置、所属单位、覆盖范围、权属、共享权限、在线状态等，实现视频资源“可查、可视、可调、可管”。</w:t>
      </w:r>
    </w:p>
    <w:p w14:paraId="6C5C910F">
      <w:pPr>
        <w:pStyle w:val="2"/>
        <w:bidi w:val="0"/>
        <w:rPr>
          <w:rFonts w:hint="eastAsia"/>
          <w:color w:val="auto"/>
          <w:highlight w:val="none"/>
        </w:rPr>
      </w:pPr>
      <w:r>
        <w:rPr>
          <w:rFonts w:hint="eastAsia"/>
          <w:color w:val="auto"/>
          <w:highlight w:val="none"/>
        </w:rPr>
        <w:t>建设</w:t>
      </w:r>
      <w:r>
        <w:rPr>
          <w:rFonts w:hint="eastAsia"/>
          <w:color w:val="auto"/>
          <w:highlight w:val="none"/>
          <w:lang w:val="en-US" w:eastAsia="zh-CN"/>
        </w:rPr>
        <w:t>目标</w:t>
      </w:r>
    </w:p>
    <w:p w14:paraId="46526CE4">
      <w:pPr>
        <w:pStyle w:val="3"/>
        <w:numPr>
          <w:ilvl w:val="1"/>
          <w:numId w:val="1"/>
        </w:numPr>
        <w:tabs>
          <w:tab w:val="clear" w:pos="0"/>
        </w:tabs>
        <w:ind w:left="567" w:leftChars="0" w:hanging="567" w:firstLineChars="0"/>
        <w:rPr>
          <w:color w:val="auto"/>
          <w:sz w:val="28"/>
          <w:szCs w:val="36"/>
          <w:highlight w:val="none"/>
        </w:rPr>
      </w:pPr>
      <w:r>
        <w:rPr>
          <w:rFonts w:hint="eastAsia"/>
          <w:color w:val="auto"/>
          <w:sz w:val="28"/>
          <w:szCs w:val="36"/>
          <w:highlight w:val="none"/>
          <w:lang w:val="en-US" w:eastAsia="zh-CN"/>
        </w:rPr>
        <w:t>建设</w:t>
      </w:r>
      <w:r>
        <w:rPr>
          <w:rFonts w:hint="eastAsia"/>
          <w:color w:val="auto"/>
          <w:sz w:val="28"/>
          <w:szCs w:val="36"/>
          <w:highlight w:val="none"/>
        </w:rPr>
        <w:t>目标</w:t>
      </w:r>
    </w:p>
    <w:p w14:paraId="50F0D502">
      <w:pPr>
        <w:pStyle w:val="46"/>
        <w:bidi w:val="0"/>
        <w:rPr>
          <w:rFonts w:hint="eastAsia"/>
          <w:color w:val="auto"/>
          <w:highlight w:val="none"/>
        </w:rPr>
      </w:pPr>
      <w:r>
        <w:rPr>
          <w:rFonts w:hint="eastAsia"/>
          <w:color w:val="auto"/>
          <w:highlight w:val="none"/>
        </w:rPr>
        <w:t>升级完善上海市交通行业视频监控共享综合应用平台</w:t>
      </w:r>
      <w:r>
        <w:rPr>
          <w:rFonts w:hint="eastAsia"/>
          <w:color w:val="auto"/>
          <w:highlight w:val="none"/>
          <w:lang w:eastAsia="zh-CN"/>
        </w:rPr>
        <w:t>，</w:t>
      </w:r>
      <w:r>
        <w:rPr>
          <w:rFonts w:hint="eastAsia"/>
          <w:color w:val="auto"/>
          <w:highlight w:val="none"/>
          <w:lang w:val="en-US" w:eastAsia="zh-CN"/>
        </w:rPr>
        <w:t>成为</w:t>
      </w:r>
      <w:r>
        <w:rPr>
          <w:rFonts w:hint="eastAsia"/>
          <w:color w:val="auto"/>
          <w:highlight w:val="none"/>
        </w:rPr>
        <w:t>全市统一的“交通行业视频中心”平台，实现视频资源统一接入、智能分析、安全共享，赋能交通治理和公众服务；按照数字化转型</w:t>
      </w:r>
      <w:r>
        <w:rPr>
          <w:rFonts w:hint="eastAsia"/>
          <w:color w:val="auto"/>
          <w:highlight w:val="none"/>
          <w:lang w:val="en-US" w:eastAsia="zh-CN"/>
        </w:rPr>
        <w:t>要求</w:t>
      </w:r>
      <w:r>
        <w:rPr>
          <w:rFonts w:hint="eastAsia"/>
          <w:color w:val="auto"/>
          <w:highlight w:val="none"/>
        </w:rPr>
        <w:t>驱动交通行业视频资源管理流程，构建规范、高效的视频资源数据应用体系；进一步升级完善视频平台功能，改善用户体验，增强业务支撑能力；建设边云协同</w:t>
      </w:r>
      <w:r>
        <w:rPr>
          <w:rFonts w:hint="eastAsia"/>
          <w:color w:val="auto"/>
          <w:highlight w:val="none"/>
          <w:lang w:eastAsia="zh-CN"/>
        </w:rPr>
        <w:t>的</w:t>
      </w:r>
      <w:r>
        <w:rPr>
          <w:rFonts w:hint="eastAsia"/>
          <w:color w:val="auto"/>
          <w:highlight w:val="none"/>
        </w:rPr>
        <w:t>视频智算</w:t>
      </w:r>
      <w:r>
        <w:rPr>
          <w:rFonts w:hint="eastAsia"/>
          <w:color w:val="auto"/>
          <w:highlight w:val="none"/>
          <w:lang w:val="en-US" w:eastAsia="zh-CN"/>
        </w:rPr>
        <w:t>能力，</w:t>
      </w:r>
      <w:r>
        <w:rPr>
          <w:rFonts w:hint="eastAsia"/>
          <w:color w:val="auto"/>
          <w:highlight w:val="none"/>
        </w:rPr>
        <w:t>提升交通视频资源的可检索性和应用价值；开展网络安全等级防护，增强视频应用安全保障能力。</w:t>
      </w:r>
    </w:p>
    <w:p w14:paraId="43FBE6AE">
      <w:pPr>
        <w:pStyle w:val="46"/>
        <w:bidi w:val="0"/>
        <w:rPr>
          <w:rFonts w:hint="eastAsia"/>
          <w:b/>
          <w:bCs/>
          <w:color w:val="auto"/>
          <w:highlight w:val="none"/>
        </w:rPr>
      </w:pPr>
      <w:r>
        <w:rPr>
          <w:rFonts w:hint="eastAsia"/>
          <w:b/>
          <w:bCs/>
          <w:color w:val="auto"/>
          <w:highlight w:val="none"/>
          <w:lang w:val="en-US" w:eastAsia="zh-CN"/>
        </w:rPr>
        <w:t>一、</w:t>
      </w:r>
      <w:r>
        <w:rPr>
          <w:rFonts w:hint="eastAsia"/>
          <w:b/>
          <w:bCs/>
          <w:color w:val="auto"/>
          <w:highlight w:val="none"/>
        </w:rPr>
        <w:t>进一步升级完善视频平台功能，改善用户体验，增强业务支撑能力；</w:t>
      </w:r>
    </w:p>
    <w:p w14:paraId="3F1DF1E4">
      <w:pPr>
        <w:pStyle w:val="46"/>
        <w:bidi w:val="0"/>
        <w:rPr>
          <w:rFonts w:hint="eastAsia"/>
          <w:color w:val="auto"/>
          <w:highlight w:val="none"/>
        </w:rPr>
      </w:pPr>
      <w:r>
        <w:rPr>
          <w:rFonts w:hint="eastAsia"/>
          <w:color w:val="auto"/>
          <w:highlight w:val="none"/>
        </w:rPr>
        <w:t>一是深度结合</w:t>
      </w:r>
      <w:r>
        <w:rPr>
          <w:rFonts w:hint="eastAsia"/>
          <w:color w:val="auto"/>
          <w:highlight w:val="none"/>
          <w:lang w:val="en-US" w:eastAsia="zh-CN"/>
        </w:rPr>
        <w:t>一张</w:t>
      </w:r>
      <w:r>
        <w:rPr>
          <w:rFonts w:hint="eastAsia"/>
          <w:color w:val="auto"/>
          <w:highlight w:val="none"/>
        </w:rPr>
        <w:t>图开展时空关系计算应用，实现图上指哪打哪的应用能力；二是补强视频点位智能</w:t>
      </w:r>
      <w:r>
        <w:rPr>
          <w:rFonts w:hint="eastAsia"/>
          <w:color w:val="auto"/>
          <w:highlight w:val="none"/>
          <w:lang w:val="en-US" w:eastAsia="zh-CN"/>
        </w:rPr>
        <w:t>检索</w:t>
      </w:r>
      <w:r>
        <w:rPr>
          <w:rFonts w:hint="eastAsia"/>
          <w:color w:val="auto"/>
          <w:highlight w:val="none"/>
        </w:rPr>
        <w:t>能力；三是</w:t>
      </w:r>
      <w:r>
        <w:rPr>
          <w:rFonts w:hint="eastAsia"/>
          <w:color w:val="auto"/>
          <w:highlight w:val="none"/>
          <w:lang w:val="en-US" w:eastAsia="zh-CN"/>
        </w:rPr>
        <w:t>新增视频接入能力150000路，新增视频共享能力1000路</w:t>
      </w:r>
      <w:r>
        <w:rPr>
          <w:rFonts w:hint="eastAsia"/>
          <w:color w:val="auto"/>
          <w:highlight w:val="none"/>
        </w:rPr>
        <w:t>；四是</w:t>
      </w:r>
      <w:r>
        <w:rPr>
          <w:rFonts w:hint="eastAsia"/>
          <w:color w:val="auto"/>
          <w:highlight w:val="none"/>
          <w:lang w:val="en-US" w:eastAsia="zh-CN"/>
        </w:rPr>
        <w:t>利用</w:t>
      </w:r>
      <w:r>
        <w:rPr>
          <w:rFonts w:hint="eastAsia"/>
          <w:color w:val="auto"/>
          <w:highlight w:val="none"/>
        </w:rPr>
        <w:t>视觉智能技术辅助全面监测路网运行；五是增强视频资源调用效率、监测视频资源占用、管控图像质量数据风险等基础功能。通过建设Web视频监控服务、视频联网调度、视频赋能共享、权限安全管控、运维监测分析等核心功能模块，全面提升平台的业务支撑能力。</w:t>
      </w:r>
    </w:p>
    <w:p w14:paraId="1E62343D">
      <w:pPr>
        <w:pStyle w:val="46"/>
        <w:bidi w:val="0"/>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边云协同视频智算建设，提升交通视频资源的可检索性和应用价值；</w:t>
      </w:r>
    </w:p>
    <w:p w14:paraId="51B03338">
      <w:pPr>
        <w:pStyle w:val="46"/>
        <w:bidi w:val="0"/>
        <w:rPr>
          <w:rFonts w:hint="eastAsia"/>
          <w:color w:val="auto"/>
          <w:highlight w:val="none"/>
        </w:rPr>
      </w:pPr>
      <w:r>
        <w:rPr>
          <w:rFonts w:hint="eastAsia"/>
          <w:color w:val="auto"/>
          <w:highlight w:val="none"/>
        </w:rPr>
        <w:t>本次升级改造通过增加智能计算能力，挖掘视频数据价值，提取出有用的信息和特征，不仅能极大提升交通路网监测预警能力，服务海量交通视频资源的自动治理标注工作，降低人力投入；开展交通行业数据要素化深度场景应用。通过建设边缘智能采集单元和云端智能分析平台，实现</w:t>
      </w:r>
      <w:r>
        <w:rPr>
          <w:rFonts w:hint="eastAsia"/>
          <w:color w:val="auto"/>
          <w:highlight w:val="none"/>
          <w:lang w:val="en-US" w:eastAsia="zh-CN"/>
        </w:rPr>
        <w:t>全量</w:t>
      </w:r>
      <w:r>
        <w:rPr>
          <w:rFonts w:hint="eastAsia"/>
          <w:color w:val="auto"/>
          <w:highlight w:val="none"/>
        </w:rPr>
        <w:t>视频资源的自动标签生成，标注准确率达到9</w:t>
      </w:r>
      <w:r>
        <w:rPr>
          <w:rFonts w:hint="eastAsia"/>
          <w:color w:val="auto"/>
          <w:highlight w:val="none"/>
          <w:lang w:val="en-US" w:eastAsia="zh-CN"/>
        </w:rPr>
        <w:t>0</w:t>
      </w:r>
      <w:r>
        <w:rPr>
          <w:rFonts w:hint="eastAsia"/>
          <w:color w:val="auto"/>
          <w:highlight w:val="none"/>
        </w:rPr>
        <w:t>%以上。</w:t>
      </w:r>
    </w:p>
    <w:p w14:paraId="6D7D9FC3">
      <w:pPr>
        <w:pStyle w:val="46"/>
        <w:bidi w:val="0"/>
        <w:rPr>
          <w:rFonts w:hint="eastAsia"/>
          <w:b/>
          <w:bCs/>
          <w:color w:val="auto"/>
          <w:highlight w:val="none"/>
          <w:lang w:eastAsia="zh-CN"/>
        </w:rPr>
      </w:pPr>
      <w:r>
        <w:rPr>
          <w:rFonts w:hint="eastAsia"/>
          <w:b/>
          <w:bCs/>
          <w:color w:val="auto"/>
          <w:highlight w:val="none"/>
          <w:lang w:val="en-US" w:eastAsia="zh-CN"/>
        </w:rPr>
        <w:t>三、</w:t>
      </w:r>
      <w:r>
        <w:rPr>
          <w:rFonts w:hint="eastAsia"/>
          <w:b/>
          <w:bCs/>
          <w:color w:val="auto"/>
          <w:highlight w:val="none"/>
        </w:rPr>
        <w:t>开展网络安全等级防护，增强视频应用安全保障能力</w:t>
      </w:r>
      <w:r>
        <w:rPr>
          <w:rFonts w:hint="eastAsia"/>
          <w:b/>
          <w:bCs/>
          <w:color w:val="auto"/>
          <w:highlight w:val="none"/>
          <w:lang w:eastAsia="zh-CN"/>
        </w:rPr>
        <w:t>；</w:t>
      </w:r>
    </w:p>
    <w:p w14:paraId="4D54E8F1">
      <w:pPr>
        <w:pStyle w:val="46"/>
        <w:bidi w:val="0"/>
        <w:rPr>
          <w:rFonts w:hint="eastAsia"/>
          <w:color w:val="auto"/>
          <w:highlight w:val="none"/>
        </w:rPr>
      </w:pPr>
      <w:r>
        <w:rPr>
          <w:rFonts w:hint="eastAsia"/>
          <w:color w:val="auto"/>
          <w:highlight w:val="none"/>
        </w:rPr>
        <w:t>本次改造升级在安全防护方面进行提升，以</w:t>
      </w:r>
      <w:r>
        <w:rPr>
          <w:rFonts w:hint="eastAsia"/>
          <w:color w:val="auto"/>
          <w:highlight w:val="none"/>
          <w:lang w:eastAsia="zh-CN"/>
        </w:rPr>
        <w:t>“</w:t>
      </w:r>
      <w:r>
        <w:rPr>
          <w:rFonts w:hint="eastAsia"/>
          <w:color w:val="auto"/>
          <w:highlight w:val="none"/>
        </w:rPr>
        <w:t>安全为底线</w:t>
      </w:r>
      <w:r>
        <w:rPr>
          <w:rFonts w:hint="eastAsia"/>
          <w:color w:val="auto"/>
          <w:highlight w:val="none"/>
          <w:lang w:eastAsia="zh-CN"/>
        </w:rPr>
        <w:t>”</w:t>
      </w:r>
      <w:r>
        <w:rPr>
          <w:rFonts w:hint="eastAsia"/>
          <w:color w:val="auto"/>
          <w:highlight w:val="none"/>
        </w:rPr>
        <w:t>，强化视频数据全周期的安全防护能力。通过部署下一代防火墙、入侵检测、堡垒机等安全设备，建立立体化安全防护体系，确保视频资源的安全可控。</w:t>
      </w:r>
    </w:p>
    <w:p w14:paraId="4C7DA724">
      <w:pPr>
        <w:pStyle w:val="3"/>
        <w:numPr>
          <w:ilvl w:val="1"/>
          <w:numId w:val="1"/>
        </w:numPr>
        <w:tabs>
          <w:tab w:val="clear" w:pos="0"/>
        </w:tabs>
        <w:ind w:left="567" w:leftChars="0" w:hanging="567" w:firstLineChars="0"/>
        <w:rPr>
          <w:rFonts w:hint="eastAsia"/>
          <w:color w:val="auto"/>
          <w:highlight w:val="none"/>
        </w:rPr>
      </w:pPr>
      <w:r>
        <w:rPr>
          <w:rFonts w:hint="eastAsia"/>
          <w:color w:val="auto"/>
          <w:highlight w:val="none"/>
          <w:lang w:val="en-US" w:eastAsia="zh-CN"/>
        </w:rPr>
        <w:t>技术指标</w:t>
      </w:r>
    </w:p>
    <w:p w14:paraId="4A3D8CD8">
      <w:pPr>
        <w:pStyle w:val="46"/>
        <w:bidi w:val="0"/>
        <w:rPr>
          <w:rFonts w:hint="default"/>
          <w:color w:val="auto"/>
          <w:highlight w:val="none"/>
          <w:lang w:val="en-US" w:eastAsia="zh-CN"/>
        </w:rPr>
      </w:pPr>
      <w:r>
        <w:rPr>
          <w:rFonts w:hint="default"/>
          <w:color w:val="auto"/>
          <w:highlight w:val="none"/>
          <w:lang w:val="en-US" w:eastAsia="zh-CN"/>
        </w:rPr>
        <w:t>项目建设</w:t>
      </w:r>
      <w:r>
        <w:rPr>
          <w:rFonts w:hint="eastAsia"/>
          <w:color w:val="auto"/>
          <w:highlight w:val="none"/>
          <w:lang w:val="en-US" w:eastAsia="zh-CN"/>
        </w:rPr>
        <w:t>后</w:t>
      </w:r>
      <w:r>
        <w:rPr>
          <w:rFonts w:hint="default"/>
          <w:color w:val="auto"/>
          <w:highlight w:val="none"/>
          <w:lang w:val="en-US" w:eastAsia="zh-CN"/>
        </w:rPr>
        <w:t>，</w:t>
      </w:r>
      <w:r>
        <w:rPr>
          <w:rFonts w:hint="eastAsia"/>
          <w:color w:val="auto"/>
          <w:highlight w:val="none"/>
          <w:lang w:val="en-US" w:eastAsia="zh-CN"/>
        </w:rPr>
        <w:t>须</w:t>
      </w:r>
      <w:r>
        <w:rPr>
          <w:rFonts w:hint="default"/>
          <w:color w:val="auto"/>
          <w:highlight w:val="none"/>
          <w:lang w:val="en-US" w:eastAsia="zh-CN"/>
        </w:rPr>
        <w:t>满足以下</w:t>
      </w:r>
      <w:r>
        <w:rPr>
          <w:rFonts w:hint="eastAsia"/>
          <w:color w:val="auto"/>
          <w:highlight w:val="none"/>
          <w:lang w:val="en-US" w:eastAsia="zh-CN"/>
        </w:rPr>
        <w:t>技术指标要求</w:t>
      </w:r>
      <w:r>
        <w:rPr>
          <w:rFonts w:hint="default"/>
          <w:color w:val="auto"/>
          <w:highlight w:val="none"/>
          <w:lang w:val="en-US" w:eastAsia="zh-CN"/>
        </w:rPr>
        <w:t>：</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8"/>
        <w:gridCol w:w="1232"/>
        <w:gridCol w:w="1713"/>
        <w:gridCol w:w="3178"/>
        <w:gridCol w:w="1658"/>
      </w:tblGrid>
      <w:tr w14:paraId="25DA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56" w:type="pct"/>
            <w:gridSpan w:val="2"/>
            <w:shd w:val="clear" w:color="auto" w:fill="auto"/>
            <w:vAlign w:val="center"/>
          </w:tcPr>
          <w:p w14:paraId="472AA065">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bookmarkStart w:id="6" w:name="_Hlk170315533"/>
            <w:r>
              <w:rPr>
                <w:rFonts w:hint="eastAsia"/>
                <w:b/>
                <w:bCs/>
                <w:color w:val="auto"/>
                <w:highlight w:val="none"/>
                <w:lang w:val="en-US" w:eastAsia="zh-CN"/>
              </w:rPr>
              <w:t>业务目标</w:t>
            </w:r>
            <w:bookmarkEnd w:id="6"/>
          </w:p>
        </w:tc>
        <w:tc>
          <w:tcPr>
            <w:tcW w:w="3843" w:type="pct"/>
            <w:gridSpan w:val="3"/>
            <w:shd w:val="clear" w:color="auto" w:fill="auto"/>
            <w:vAlign w:val="center"/>
          </w:tcPr>
          <w:p w14:paraId="131F1557">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r>
              <w:rPr>
                <w:rFonts w:hint="eastAsia"/>
                <w:b/>
                <w:bCs/>
                <w:color w:val="auto"/>
                <w:highlight w:val="none"/>
                <w:lang w:val="en-US" w:eastAsia="zh-CN"/>
              </w:rPr>
              <w:t>考核目标</w:t>
            </w:r>
          </w:p>
        </w:tc>
      </w:tr>
      <w:tr w14:paraId="48DD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33" w:type="pct"/>
            <w:shd w:val="clear" w:color="auto" w:fill="auto"/>
            <w:vAlign w:val="center"/>
          </w:tcPr>
          <w:p w14:paraId="4EA8D583">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r>
              <w:rPr>
                <w:rFonts w:hint="eastAsia"/>
                <w:b/>
                <w:bCs/>
                <w:color w:val="auto"/>
                <w:highlight w:val="none"/>
                <w:lang w:val="en-US" w:eastAsia="zh-CN"/>
              </w:rPr>
              <w:t>序号</w:t>
            </w:r>
          </w:p>
        </w:tc>
        <w:tc>
          <w:tcPr>
            <w:tcW w:w="723" w:type="pct"/>
            <w:shd w:val="clear" w:color="auto" w:fill="auto"/>
            <w:vAlign w:val="center"/>
          </w:tcPr>
          <w:p w14:paraId="00ECA08C">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r>
              <w:rPr>
                <w:rFonts w:hint="eastAsia"/>
                <w:b/>
                <w:bCs/>
                <w:color w:val="auto"/>
                <w:highlight w:val="none"/>
                <w:lang w:val="en-US" w:eastAsia="zh-CN"/>
              </w:rPr>
              <w:t>一级指标</w:t>
            </w:r>
          </w:p>
        </w:tc>
        <w:tc>
          <w:tcPr>
            <w:tcW w:w="1005" w:type="pct"/>
            <w:shd w:val="clear" w:color="auto" w:fill="auto"/>
            <w:vAlign w:val="center"/>
          </w:tcPr>
          <w:p w14:paraId="06731FC2">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r>
              <w:rPr>
                <w:rFonts w:hint="eastAsia"/>
                <w:b/>
                <w:bCs/>
                <w:color w:val="auto"/>
                <w:highlight w:val="none"/>
                <w:lang w:val="en-US" w:eastAsia="zh-CN"/>
              </w:rPr>
              <w:t>二级指标</w:t>
            </w:r>
          </w:p>
        </w:tc>
        <w:tc>
          <w:tcPr>
            <w:tcW w:w="1865" w:type="pct"/>
            <w:shd w:val="clear" w:color="auto" w:fill="auto"/>
            <w:vAlign w:val="center"/>
          </w:tcPr>
          <w:p w14:paraId="7A3B900A">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r>
              <w:rPr>
                <w:rFonts w:hint="eastAsia"/>
                <w:b/>
                <w:bCs/>
                <w:color w:val="auto"/>
                <w:highlight w:val="none"/>
                <w:lang w:val="en-US" w:eastAsia="zh-CN"/>
              </w:rPr>
              <w:t>三级指标</w:t>
            </w:r>
          </w:p>
        </w:tc>
        <w:tc>
          <w:tcPr>
            <w:tcW w:w="973" w:type="pct"/>
            <w:shd w:val="clear" w:color="auto" w:fill="auto"/>
            <w:vAlign w:val="center"/>
          </w:tcPr>
          <w:p w14:paraId="15B311E5">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rPr>
            </w:pPr>
            <w:r>
              <w:rPr>
                <w:rFonts w:hint="eastAsia"/>
                <w:b/>
                <w:bCs/>
                <w:color w:val="auto"/>
                <w:highlight w:val="none"/>
                <w:lang w:val="en-US" w:eastAsia="zh-CN"/>
              </w:rPr>
              <w:t>指标值</w:t>
            </w:r>
          </w:p>
        </w:tc>
      </w:tr>
      <w:tr w14:paraId="11D6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5739854C">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w:t>
            </w:r>
          </w:p>
        </w:tc>
        <w:tc>
          <w:tcPr>
            <w:tcW w:w="723" w:type="pct"/>
            <w:vMerge w:val="restart"/>
            <w:shd w:val="clear" w:color="auto" w:fill="auto"/>
            <w:vAlign w:val="center"/>
          </w:tcPr>
          <w:p w14:paraId="207839FF">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通用指标</w:t>
            </w:r>
          </w:p>
        </w:tc>
        <w:tc>
          <w:tcPr>
            <w:tcW w:w="1005" w:type="pct"/>
            <w:vMerge w:val="restart"/>
            <w:shd w:val="clear" w:color="auto" w:fill="auto"/>
            <w:vAlign w:val="center"/>
          </w:tcPr>
          <w:p w14:paraId="515FB264">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产出数量</w:t>
            </w:r>
          </w:p>
        </w:tc>
        <w:tc>
          <w:tcPr>
            <w:tcW w:w="1865" w:type="pct"/>
            <w:shd w:val="clear" w:color="auto" w:fill="auto"/>
            <w:vAlign w:val="center"/>
          </w:tcPr>
          <w:p w14:paraId="0AF8D5DE">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硬件设备购置完成率</w:t>
            </w:r>
          </w:p>
        </w:tc>
        <w:tc>
          <w:tcPr>
            <w:tcW w:w="973" w:type="pct"/>
            <w:shd w:val="clear" w:color="auto" w:fill="auto"/>
            <w:vAlign w:val="center"/>
          </w:tcPr>
          <w:p w14:paraId="4A8BA524">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=100%</w:t>
            </w:r>
          </w:p>
        </w:tc>
      </w:tr>
      <w:tr w14:paraId="0A54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33" w:type="pct"/>
            <w:shd w:val="clear" w:color="auto" w:fill="auto"/>
            <w:vAlign w:val="center"/>
          </w:tcPr>
          <w:p w14:paraId="7BFD44A1">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w:t>
            </w:r>
          </w:p>
        </w:tc>
        <w:tc>
          <w:tcPr>
            <w:tcW w:w="723" w:type="pct"/>
            <w:vMerge w:val="continue"/>
            <w:shd w:val="clear" w:color="auto" w:fill="auto"/>
            <w:vAlign w:val="center"/>
          </w:tcPr>
          <w:p w14:paraId="53B507CE">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6D1FCBB3">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5CEA66E3">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软件产品购置完成率</w:t>
            </w:r>
          </w:p>
        </w:tc>
        <w:tc>
          <w:tcPr>
            <w:tcW w:w="973" w:type="pct"/>
            <w:shd w:val="clear" w:color="auto" w:fill="auto"/>
            <w:vAlign w:val="center"/>
          </w:tcPr>
          <w:p w14:paraId="0B27CCBD">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=100%</w:t>
            </w:r>
          </w:p>
        </w:tc>
      </w:tr>
      <w:tr w14:paraId="0422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54F9D179">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3</w:t>
            </w:r>
          </w:p>
        </w:tc>
        <w:tc>
          <w:tcPr>
            <w:tcW w:w="723" w:type="pct"/>
            <w:vMerge w:val="continue"/>
            <w:shd w:val="clear" w:color="auto" w:fill="auto"/>
            <w:vAlign w:val="center"/>
          </w:tcPr>
          <w:p w14:paraId="299D760B">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409CAE17">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2AEAF643">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软件开发完成率</w:t>
            </w:r>
          </w:p>
        </w:tc>
        <w:tc>
          <w:tcPr>
            <w:tcW w:w="973" w:type="pct"/>
            <w:shd w:val="clear" w:color="auto" w:fill="auto"/>
            <w:vAlign w:val="center"/>
          </w:tcPr>
          <w:p w14:paraId="2A3CA18D">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=100%</w:t>
            </w:r>
          </w:p>
        </w:tc>
      </w:tr>
      <w:tr w14:paraId="3540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55826A27">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4</w:t>
            </w:r>
          </w:p>
        </w:tc>
        <w:tc>
          <w:tcPr>
            <w:tcW w:w="723" w:type="pct"/>
            <w:vMerge w:val="continue"/>
            <w:shd w:val="clear" w:color="auto" w:fill="auto"/>
            <w:vAlign w:val="center"/>
          </w:tcPr>
          <w:p w14:paraId="4931E5D8">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restart"/>
            <w:shd w:val="clear" w:color="auto" w:fill="auto"/>
            <w:vAlign w:val="center"/>
          </w:tcPr>
          <w:p w14:paraId="401A8A66">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产出质量</w:t>
            </w:r>
          </w:p>
        </w:tc>
        <w:tc>
          <w:tcPr>
            <w:tcW w:w="1865" w:type="pct"/>
            <w:shd w:val="clear" w:color="auto" w:fill="auto"/>
            <w:vAlign w:val="center"/>
          </w:tcPr>
          <w:p w14:paraId="5E66CAB4">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软件测试达标</w:t>
            </w:r>
          </w:p>
        </w:tc>
        <w:tc>
          <w:tcPr>
            <w:tcW w:w="973" w:type="pct"/>
            <w:shd w:val="clear" w:color="auto" w:fill="auto"/>
            <w:vAlign w:val="center"/>
          </w:tcPr>
          <w:p w14:paraId="63AEA053">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通过</w:t>
            </w:r>
          </w:p>
        </w:tc>
      </w:tr>
      <w:tr w14:paraId="3164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4AEE2719">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5</w:t>
            </w:r>
          </w:p>
        </w:tc>
        <w:tc>
          <w:tcPr>
            <w:tcW w:w="723" w:type="pct"/>
            <w:vMerge w:val="continue"/>
            <w:shd w:val="clear" w:color="auto" w:fill="auto"/>
            <w:vAlign w:val="center"/>
          </w:tcPr>
          <w:p w14:paraId="23C33834">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2E5C21C6">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642BEFD9">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系统可靠性</w:t>
            </w:r>
          </w:p>
        </w:tc>
        <w:tc>
          <w:tcPr>
            <w:tcW w:w="973" w:type="pct"/>
            <w:shd w:val="clear" w:color="auto" w:fill="auto"/>
            <w:vAlign w:val="center"/>
          </w:tcPr>
          <w:p w14:paraId="443A781D">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99.9%</w:t>
            </w:r>
          </w:p>
        </w:tc>
      </w:tr>
      <w:tr w14:paraId="7DA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70F191A5">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6</w:t>
            </w:r>
          </w:p>
        </w:tc>
        <w:tc>
          <w:tcPr>
            <w:tcW w:w="723" w:type="pct"/>
            <w:vMerge w:val="continue"/>
            <w:shd w:val="clear" w:color="auto" w:fill="auto"/>
            <w:vAlign w:val="center"/>
          </w:tcPr>
          <w:p w14:paraId="5F476407">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450BDF83">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0A9374B0">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密码测试达标</w:t>
            </w:r>
          </w:p>
        </w:tc>
        <w:tc>
          <w:tcPr>
            <w:tcW w:w="973" w:type="pct"/>
            <w:shd w:val="clear" w:color="auto" w:fill="auto"/>
            <w:vAlign w:val="center"/>
          </w:tcPr>
          <w:p w14:paraId="5ADE0943">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通过</w:t>
            </w:r>
          </w:p>
        </w:tc>
      </w:tr>
      <w:tr w14:paraId="64DC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44E0A5FF">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7</w:t>
            </w:r>
          </w:p>
        </w:tc>
        <w:tc>
          <w:tcPr>
            <w:tcW w:w="723" w:type="pct"/>
            <w:vMerge w:val="continue"/>
            <w:shd w:val="clear" w:color="auto" w:fill="auto"/>
            <w:vAlign w:val="center"/>
          </w:tcPr>
          <w:p w14:paraId="3F1EEFF7">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1FCAE9EA">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42765151">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网络安全等级保护</w:t>
            </w:r>
          </w:p>
        </w:tc>
        <w:tc>
          <w:tcPr>
            <w:tcW w:w="973" w:type="pct"/>
            <w:shd w:val="clear" w:color="auto" w:fill="auto"/>
            <w:vAlign w:val="center"/>
          </w:tcPr>
          <w:p w14:paraId="50A21CD5">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二级</w:t>
            </w:r>
          </w:p>
        </w:tc>
      </w:tr>
      <w:tr w14:paraId="27F5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56DC9ADB">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8</w:t>
            </w:r>
          </w:p>
        </w:tc>
        <w:tc>
          <w:tcPr>
            <w:tcW w:w="723" w:type="pct"/>
            <w:vMerge w:val="continue"/>
            <w:shd w:val="clear" w:color="auto" w:fill="auto"/>
            <w:vAlign w:val="center"/>
          </w:tcPr>
          <w:p w14:paraId="41651C6A">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09542E87">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368465D0">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安全事件发生次数</w:t>
            </w:r>
          </w:p>
        </w:tc>
        <w:tc>
          <w:tcPr>
            <w:tcW w:w="973" w:type="pct"/>
            <w:shd w:val="clear" w:color="auto" w:fill="auto"/>
            <w:vAlign w:val="center"/>
          </w:tcPr>
          <w:p w14:paraId="4BE31E3B">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0</w:t>
            </w:r>
            <w:r>
              <w:rPr>
                <w:rFonts w:hint="eastAsia"/>
                <w:color w:val="auto"/>
                <w:highlight w:val="none"/>
                <w:lang w:val="en-US" w:eastAsia="zh-CN"/>
              </w:rPr>
              <w:t>次</w:t>
            </w:r>
          </w:p>
        </w:tc>
      </w:tr>
      <w:tr w14:paraId="1720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7C23C7A6">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9</w:t>
            </w:r>
          </w:p>
        </w:tc>
        <w:tc>
          <w:tcPr>
            <w:tcW w:w="723" w:type="pct"/>
            <w:vMerge w:val="continue"/>
            <w:shd w:val="clear" w:color="auto" w:fill="auto"/>
            <w:vAlign w:val="center"/>
          </w:tcPr>
          <w:p w14:paraId="69D7E214">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47A3D5AF">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2A2DDB0D">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一次性验收合格率</w:t>
            </w:r>
          </w:p>
        </w:tc>
        <w:tc>
          <w:tcPr>
            <w:tcW w:w="973" w:type="pct"/>
            <w:shd w:val="clear" w:color="auto" w:fill="auto"/>
            <w:vAlign w:val="center"/>
          </w:tcPr>
          <w:p w14:paraId="66FE6487">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=100%</w:t>
            </w:r>
          </w:p>
        </w:tc>
      </w:tr>
      <w:tr w14:paraId="7E6A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10D4147F">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10</w:t>
            </w:r>
          </w:p>
        </w:tc>
        <w:tc>
          <w:tcPr>
            <w:tcW w:w="723" w:type="pct"/>
            <w:vMerge w:val="continue"/>
            <w:shd w:val="clear" w:color="auto" w:fill="auto"/>
            <w:vAlign w:val="center"/>
          </w:tcPr>
          <w:p w14:paraId="7A816276">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shd w:val="clear" w:color="auto" w:fill="auto"/>
            <w:vAlign w:val="center"/>
          </w:tcPr>
          <w:p w14:paraId="103E6AE8">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产出时效</w:t>
            </w:r>
          </w:p>
        </w:tc>
        <w:tc>
          <w:tcPr>
            <w:tcW w:w="1865" w:type="pct"/>
            <w:shd w:val="clear" w:color="auto" w:fill="auto"/>
            <w:vAlign w:val="center"/>
          </w:tcPr>
          <w:p w14:paraId="211B846C">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项目建设周期</w:t>
            </w:r>
          </w:p>
        </w:tc>
        <w:tc>
          <w:tcPr>
            <w:tcW w:w="973" w:type="pct"/>
            <w:shd w:val="clear" w:color="auto" w:fill="auto"/>
            <w:vAlign w:val="center"/>
          </w:tcPr>
          <w:p w14:paraId="25D43ED0">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18</w:t>
            </w:r>
            <w:r>
              <w:rPr>
                <w:rFonts w:hint="eastAsia"/>
                <w:color w:val="auto"/>
                <w:highlight w:val="none"/>
                <w:lang w:val="en-US" w:eastAsia="zh-CN"/>
              </w:rPr>
              <w:t>月</w:t>
            </w:r>
          </w:p>
        </w:tc>
      </w:tr>
      <w:tr w14:paraId="3F97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33" w:type="pct"/>
            <w:shd w:val="clear" w:color="auto" w:fill="auto"/>
            <w:vAlign w:val="center"/>
          </w:tcPr>
          <w:p w14:paraId="1BDE4936">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11</w:t>
            </w:r>
          </w:p>
        </w:tc>
        <w:tc>
          <w:tcPr>
            <w:tcW w:w="723" w:type="pct"/>
            <w:vMerge w:val="continue"/>
            <w:shd w:val="clear" w:color="auto" w:fill="auto"/>
            <w:vAlign w:val="center"/>
          </w:tcPr>
          <w:p w14:paraId="57D79539">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shd w:val="clear" w:color="auto" w:fill="auto"/>
            <w:vAlign w:val="center"/>
          </w:tcPr>
          <w:p w14:paraId="5902D3A2">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产出成本</w:t>
            </w:r>
          </w:p>
        </w:tc>
        <w:tc>
          <w:tcPr>
            <w:tcW w:w="1865" w:type="pct"/>
            <w:shd w:val="clear" w:color="auto" w:fill="auto"/>
            <w:vAlign w:val="center"/>
          </w:tcPr>
          <w:p w14:paraId="0EE7E3ED">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标准化内容支出比例</w:t>
            </w:r>
          </w:p>
        </w:tc>
        <w:tc>
          <w:tcPr>
            <w:tcW w:w="973" w:type="pct"/>
            <w:shd w:val="clear" w:color="auto" w:fill="auto"/>
            <w:vAlign w:val="center"/>
          </w:tcPr>
          <w:p w14:paraId="7E48675A">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7.3%</w:t>
            </w:r>
          </w:p>
        </w:tc>
      </w:tr>
      <w:tr w14:paraId="4D6A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4F695746">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12</w:t>
            </w:r>
          </w:p>
        </w:tc>
        <w:tc>
          <w:tcPr>
            <w:tcW w:w="723" w:type="pct"/>
            <w:vMerge w:val="continue"/>
            <w:shd w:val="clear" w:color="auto" w:fill="auto"/>
            <w:vAlign w:val="center"/>
          </w:tcPr>
          <w:p w14:paraId="67D4A742">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shd w:val="clear" w:color="auto" w:fill="auto"/>
            <w:vAlign w:val="center"/>
          </w:tcPr>
          <w:p w14:paraId="52BB2D3D">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系统共享水平</w:t>
            </w:r>
          </w:p>
        </w:tc>
        <w:tc>
          <w:tcPr>
            <w:tcW w:w="1865" w:type="pct"/>
            <w:shd w:val="clear" w:color="auto" w:fill="auto"/>
            <w:vAlign w:val="center"/>
          </w:tcPr>
          <w:p w14:paraId="29F51C02">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跨部门数据共享程度</w:t>
            </w:r>
          </w:p>
        </w:tc>
        <w:tc>
          <w:tcPr>
            <w:tcW w:w="973" w:type="pct"/>
            <w:shd w:val="clear" w:color="auto" w:fill="auto"/>
            <w:vAlign w:val="center"/>
          </w:tcPr>
          <w:p w14:paraId="1F4838EA">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50%</w:t>
            </w:r>
          </w:p>
        </w:tc>
      </w:tr>
      <w:tr w14:paraId="79A0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351D88F2">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13</w:t>
            </w:r>
          </w:p>
        </w:tc>
        <w:tc>
          <w:tcPr>
            <w:tcW w:w="723" w:type="pct"/>
            <w:vMerge w:val="continue"/>
            <w:shd w:val="clear" w:color="auto" w:fill="auto"/>
            <w:vAlign w:val="center"/>
          </w:tcPr>
          <w:p w14:paraId="2F882418">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shd w:val="clear" w:color="auto" w:fill="auto"/>
            <w:vAlign w:val="center"/>
          </w:tcPr>
          <w:p w14:paraId="342626AC">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数据质量水平</w:t>
            </w:r>
          </w:p>
        </w:tc>
        <w:tc>
          <w:tcPr>
            <w:tcW w:w="1865" w:type="pct"/>
            <w:shd w:val="clear" w:color="auto" w:fill="auto"/>
            <w:vAlign w:val="center"/>
          </w:tcPr>
          <w:p w14:paraId="56537B65">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核心数据缺失率</w:t>
            </w:r>
          </w:p>
        </w:tc>
        <w:tc>
          <w:tcPr>
            <w:tcW w:w="973" w:type="pct"/>
            <w:shd w:val="clear" w:color="auto" w:fill="auto"/>
            <w:vAlign w:val="center"/>
          </w:tcPr>
          <w:p w14:paraId="73B0C594">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10%</w:t>
            </w:r>
          </w:p>
        </w:tc>
      </w:tr>
      <w:tr w14:paraId="4CBF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1C9EFAC1">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14</w:t>
            </w:r>
          </w:p>
        </w:tc>
        <w:tc>
          <w:tcPr>
            <w:tcW w:w="723" w:type="pct"/>
            <w:vMerge w:val="continue"/>
            <w:shd w:val="clear" w:color="auto" w:fill="auto"/>
            <w:vAlign w:val="center"/>
          </w:tcPr>
          <w:p w14:paraId="787C010B">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restart"/>
            <w:shd w:val="clear" w:color="auto" w:fill="auto"/>
            <w:vAlign w:val="center"/>
          </w:tcPr>
          <w:p w14:paraId="1238259B">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平台整合能力</w:t>
            </w:r>
          </w:p>
        </w:tc>
        <w:tc>
          <w:tcPr>
            <w:tcW w:w="1865" w:type="pct"/>
            <w:shd w:val="clear" w:color="auto" w:fill="auto"/>
            <w:vAlign w:val="center"/>
          </w:tcPr>
          <w:p w14:paraId="2D01AFD3">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覆盖部门数量</w:t>
            </w:r>
          </w:p>
        </w:tc>
        <w:tc>
          <w:tcPr>
            <w:tcW w:w="973" w:type="pct"/>
            <w:shd w:val="clear" w:color="auto" w:fill="auto"/>
            <w:vAlign w:val="center"/>
          </w:tcPr>
          <w:p w14:paraId="11474515">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3</w:t>
            </w:r>
            <w:r>
              <w:rPr>
                <w:rFonts w:hint="eastAsia"/>
                <w:color w:val="auto"/>
                <w:highlight w:val="none"/>
                <w:lang w:val="en-US" w:eastAsia="zh-CN"/>
              </w:rPr>
              <w:t>个</w:t>
            </w:r>
          </w:p>
        </w:tc>
      </w:tr>
      <w:tr w14:paraId="2B7A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433" w:type="pct"/>
            <w:shd w:val="clear" w:color="auto" w:fill="auto"/>
            <w:vAlign w:val="center"/>
          </w:tcPr>
          <w:p w14:paraId="7C25F8F9">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15</w:t>
            </w:r>
          </w:p>
        </w:tc>
        <w:tc>
          <w:tcPr>
            <w:tcW w:w="723" w:type="pct"/>
            <w:vMerge w:val="continue"/>
            <w:shd w:val="clear" w:color="auto" w:fill="auto"/>
            <w:vAlign w:val="center"/>
          </w:tcPr>
          <w:p w14:paraId="3214D868">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51F789FA">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4FE9FF9E">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统筹对接系统数量</w:t>
            </w:r>
          </w:p>
        </w:tc>
        <w:tc>
          <w:tcPr>
            <w:tcW w:w="973" w:type="pct"/>
            <w:shd w:val="clear" w:color="auto" w:fill="auto"/>
            <w:vAlign w:val="center"/>
          </w:tcPr>
          <w:p w14:paraId="67D9069C">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3</w:t>
            </w:r>
            <w:r>
              <w:rPr>
                <w:rFonts w:hint="eastAsia"/>
                <w:color w:val="auto"/>
                <w:highlight w:val="none"/>
                <w:lang w:val="en-US" w:eastAsia="zh-CN"/>
              </w:rPr>
              <w:t>个</w:t>
            </w:r>
          </w:p>
        </w:tc>
      </w:tr>
      <w:tr w14:paraId="5B69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7B3AE65F">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16</w:t>
            </w:r>
          </w:p>
        </w:tc>
        <w:tc>
          <w:tcPr>
            <w:tcW w:w="723" w:type="pct"/>
            <w:vMerge w:val="continue"/>
            <w:shd w:val="clear" w:color="auto" w:fill="auto"/>
            <w:vAlign w:val="center"/>
          </w:tcPr>
          <w:p w14:paraId="456F02AD">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restart"/>
            <w:shd w:val="clear" w:color="auto" w:fill="auto"/>
            <w:vAlign w:val="center"/>
          </w:tcPr>
          <w:p w14:paraId="311C8C9B">
            <w:pPr>
              <w:pStyle w:val="48"/>
              <w:keepNext w:val="0"/>
              <w:keepLines w:val="0"/>
              <w:suppressLineNumbers w:val="0"/>
              <w:bidi w:val="0"/>
              <w:spacing w:before="0" w:beforeAutospacing="0" w:after="0" w:afterAutospacing="0"/>
              <w:ind w:left="0" w:right="0"/>
              <w:rPr>
                <w:rFonts w:hint="eastAsia"/>
                <w:strike w:val="0"/>
                <w:dstrike w:val="0"/>
                <w:color w:val="auto"/>
                <w:highlight w:val="none"/>
              </w:rPr>
            </w:pPr>
            <w:r>
              <w:rPr>
                <w:rFonts w:hint="eastAsia"/>
                <w:strike w:val="0"/>
                <w:dstrike w:val="0"/>
                <w:color w:val="auto"/>
                <w:highlight w:val="none"/>
                <w:lang w:val="en-US" w:eastAsia="zh-CN"/>
              </w:rPr>
              <w:t>用户使用情况</w:t>
            </w:r>
          </w:p>
        </w:tc>
        <w:tc>
          <w:tcPr>
            <w:tcW w:w="1865" w:type="pct"/>
            <w:shd w:val="clear" w:color="auto" w:fill="auto"/>
            <w:vAlign w:val="center"/>
          </w:tcPr>
          <w:p w14:paraId="4867B1D3">
            <w:pPr>
              <w:pStyle w:val="48"/>
              <w:keepNext w:val="0"/>
              <w:keepLines w:val="0"/>
              <w:suppressLineNumbers w:val="0"/>
              <w:bidi w:val="0"/>
              <w:spacing w:before="0" w:beforeAutospacing="0" w:after="0" w:afterAutospacing="0"/>
              <w:ind w:left="0" w:right="0"/>
              <w:rPr>
                <w:rFonts w:hint="eastAsia"/>
                <w:strike w:val="0"/>
                <w:dstrike w:val="0"/>
                <w:color w:val="auto"/>
                <w:highlight w:val="none"/>
              </w:rPr>
            </w:pPr>
            <w:r>
              <w:rPr>
                <w:rFonts w:hint="eastAsia"/>
                <w:strike w:val="0"/>
                <w:dstrike w:val="0"/>
                <w:color w:val="auto"/>
                <w:highlight w:val="none"/>
                <w:lang w:val="en-US" w:eastAsia="zh-CN"/>
              </w:rPr>
              <w:t>月活跃用户量</w:t>
            </w:r>
          </w:p>
        </w:tc>
        <w:tc>
          <w:tcPr>
            <w:tcW w:w="973" w:type="pct"/>
            <w:shd w:val="clear" w:color="auto" w:fill="auto"/>
            <w:vAlign w:val="center"/>
          </w:tcPr>
          <w:p w14:paraId="20B5FEDB">
            <w:pPr>
              <w:pStyle w:val="48"/>
              <w:keepNext w:val="0"/>
              <w:keepLines w:val="0"/>
              <w:suppressLineNumbers w:val="0"/>
              <w:bidi w:val="0"/>
              <w:spacing w:before="0" w:beforeAutospacing="0" w:after="0" w:afterAutospacing="0"/>
              <w:ind w:left="0" w:right="0"/>
              <w:rPr>
                <w:rFonts w:hint="eastAsia"/>
                <w:strike w:val="0"/>
                <w:dstrike w:val="0"/>
                <w:color w:val="auto"/>
                <w:highlight w:val="none"/>
              </w:rPr>
            </w:pPr>
            <w:r>
              <w:rPr>
                <w:rFonts w:hint="eastAsia"/>
                <w:strike w:val="0"/>
                <w:dstrike w:val="0"/>
                <w:color w:val="auto"/>
                <w:highlight w:val="none"/>
                <w:lang w:val="en-US" w:eastAsia="zh-CN"/>
              </w:rPr>
              <w:t>≥</w:t>
            </w:r>
            <w:r>
              <w:rPr>
                <w:rFonts w:hint="default"/>
                <w:strike w:val="0"/>
                <w:dstrike w:val="0"/>
                <w:color w:val="auto"/>
                <w:highlight w:val="none"/>
                <w:lang w:val="en-US" w:eastAsia="zh-CN"/>
              </w:rPr>
              <w:t>50</w:t>
            </w:r>
            <w:r>
              <w:rPr>
                <w:rFonts w:hint="eastAsia"/>
                <w:strike w:val="0"/>
                <w:dstrike w:val="0"/>
                <w:color w:val="auto"/>
                <w:highlight w:val="none"/>
                <w:lang w:val="en-US" w:eastAsia="zh-CN"/>
              </w:rPr>
              <w:t>人次</w:t>
            </w:r>
            <w:r>
              <w:rPr>
                <w:rFonts w:hint="default"/>
                <w:strike w:val="0"/>
                <w:dstrike w:val="0"/>
                <w:color w:val="auto"/>
                <w:highlight w:val="none"/>
                <w:lang w:val="en-US" w:eastAsia="zh-CN"/>
              </w:rPr>
              <w:t>/</w:t>
            </w:r>
            <w:r>
              <w:rPr>
                <w:rFonts w:hint="eastAsia"/>
                <w:strike w:val="0"/>
                <w:dstrike w:val="0"/>
                <w:color w:val="auto"/>
                <w:highlight w:val="none"/>
                <w:lang w:val="en-US" w:eastAsia="zh-CN"/>
              </w:rPr>
              <w:t>月</w:t>
            </w:r>
          </w:p>
        </w:tc>
      </w:tr>
      <w:tr w14:paraId="4A49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488BCCBD">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17</w:t>
            </w:r>
          </w:p>
        </w:tc>
        <w:tc>
          <w:tcPr>
            <w:tcW w:w="723" w:type="pct"/>
            <w:vMerge w:val="continue"/>
            <w:shd w:val="clear" w:color="auto" w:fill="auto"/>
            <w:vAlign w:val="center"/>
          </w:tcPr>
          <w:p w14:paraId="12817BAB">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6C4CDD4C">
            <w:pPr>
              <w:pStyle w:val="48"/>
              <w:keepNext w:val="0"/>
              <w:keepLines w:val="0"/>
              <w:suppressLineNumbers w:val="0"/>
              <w:bidi w:val="0"/>
              <w:spacing w:before="0" w:beforeAutospacing="0" w:after="0" w:afterAutospacing="0"/>
              <w:ind w:left="0" w:right="0"/>
              <w:rPr>
                <w:rFonts w:hint="default"/>
                <w:strike/>
                <w:dstrike w:val="0"/>
                <w:color w:val="auto"/>
                <w:highlight w:val="none"/>
              </w:rPr>
            </w:pPr>
          </w:p>
        </w:tc>
        <w:tc>
          <w:tcPr>
            <w:tcW w:w="1865" w:type="pct"/>
            <w:shd w:val="clear" w:color="auto" w:fill="auto"/>
            <w:vAlign w:val="center"/>
          </w:tcPr>
          <w:p w14:paraId="09D3CC5E">
            <w:pPr>
              <w:pStyle w:val="48"/>
              <w:keepNext w:val="0"/>
              <w:keepLines w:val="0"/>
              <w:suppressLineNumbers w:val="0"/>
              <w:bidi w:val="0"/>
              <w:spacing w:before="0" w:beforeAutospacing="0" w:after="0" w:afterAutospacing="0"/>
              <w:ind w:left="0" w:right="0"/>
              <w:rPr>
                <w:rFonts w:hint="eastAsia"/>
                <w:strike w:val="0"/>
                <w:dstrike w:val="0"/>
                <w:color w:val="auto"/>
                <w:highlight w:val="none"/>
              </w:rPr>
            </w:pPr>
            <w:r>
              <w:rPr>
                <w:rFonts w:hint="eastAsia"/>
                <w:strike w:val="0"/>
                <w:dstrike w:val="0"/>
                <w:color w:val="auto"/>
                <w:highlight w:val="none"/>
                <w:lang w:val="en-US" w:eastAsia="zh-CN"/>
              </w:rPr>
              <w:t>系统用户量</w:t>
            </w:r>
          </w:p>
        </w:tc>
        <w:tc>
          <w:tcPr>
            <w:tcW w:w="973" w:type="pct"/>
            <w:shd w:val="clear" w:color="auto" w:fill="auto"/>
            <w:vAlign w:val="center"/>
          </w:tcPr>
          <w:p w14:paraId="0BAF8B65">
            <w:pPr>
              <w:pStyle w:val="48"/>
              <w:keepNext w:val="0"/>
              <w:keepLines w:val="0"/>
              <w:suppressLineNumbers w:val="0"/>
              <w:bidi w:val="0"/>
              <w:spacing w:before="0" w:beforeAutospacing="0" w:after="0" w:afterAutospacing="0"/>
              <w:ind w:left="0" w:right="0"/>
              <w:rPr>
                <w:rFonts w:hint="eastAsia"/>
                <w:strike w:val="0"/>
                <w:dstrike w:val="0"/>
                <w:color w:val="auto"/>
                <w:highlight w:val="none"/>
              </w:rPr>
            </w:pPr>
            <w:r>
              <w:rPr>
                <w:rFonts w:hint="eastAsia"/>
                <w:strike w:val="0"/>
                <w:dstrike w:val="0"/>
                <w:color w:val="auto"/>
                <w:highlight w:val="none"/>
                <w:lang w:val="en-US" w:eastAsia="zh-CN"/>
              </w:rPr>
              <w:t>≥</w:t>
            </w:r>
            <w:r>
              <w:rPr>
                <w:rFonts w:hint="default"/>
                <w:strike w:val="0"/>
                <w:dstrike w:val="0"/>
                <w:color w:val="auto"/>
                <w:highlight w:val="none"/>
                <w:lang w:val="en-US" w:eastAsia="zh-CN"/>
              </w:rPr>
              <w:t>80</w:t>
            </w:r>
            <w:r>
              <w:rPr>
                <w:rFonts w:hint="eastAsia"/>
                <w:strike w:val="0"/>
                <w:dstrike w:val="0"/>
                <w:color w:val="auto"/>
                <w:highlight w:val="none"/>
                <w:lang w:val="en-US" w:eastAsia="zh-CN"/>
              </w:rPr>
              <w:t>个</w:t>
            </w:r>
          </w:p>
        </w:tc>
      </w:tr>
      <w:tr w14:paraId="26A2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7F9F7889">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18</w:t>
            </w:r>
          </w:p>
        </w:tc>
        <w:tc>
          <w:tcPr>
            <w:tcW w:w="723" w:type="pct"/>
            <w:vMerge w:val="continue"/>
            <w:shd w:val="clear" w:color="auto" w:fill="auto"/>
            <w:vAlign w:val="center"/>
          </w:tcPr>
          <w:p w14:paraId="7C9E232D">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restart"/>
            <w:shd w:val="clear" w:color="auto" w:fill="auto"/>
            <w:vAlign w:val="center"/>
          </w:tcPr>
          <w:p w14:paraId="687363A9">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安全建设水平</w:t>
            </w:r>
          </w:p>
        </w:tc>
        <w:tc>
          <w:tcPr>
            <w:tcW w:w="1865" w:type="pct"/>
            <w:shd w:val="clear" w:color="auto" w:fill="auto"/>
            <w:vAlign w:val="center"/>
          </w:tcPr>
          <w:p w14:paraId="097458D5">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数据安全措施</w:t>
            </w:r>
          </w:p>
        </w:tc>
        <w:tc>
          <w:tcPr>
            <w:tcW w:w="973" w:type="pct"/>
            <w:shd w:val="clear" w:color="auto" w:fill="auto"/>
            <w:vAlign w:val="center"/>
          </w:tcPr>
          <w:p w14:paraId="5B02E391">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有</w:t>
            </w:r>
          </w:p>
        </w:tc>
      </w:tr>
      <w:tr w14:paraId="44E6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569FE588">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19</w:t>
            </w:r>
          </w:p>
        </w:tc>
        <w:tc>
          <w:tcPr>
            <w:tcW w:w="723" w:type="pct"/>
            <w:vMerge w:val="continue"/>
            <w:shd w:val="clear" w:color="auto" w:fill="auto"/>
            <w:vAlign w:val="center"/>
          </w:tcPr>
          <w:p w14:paraId="77531FD5">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51EE88AE">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6817BF2F">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信息系统安全监管覆盖率</w:t>
            </w:r>
          </w:p>
        </w:tc>
        <w:tc>
          <w:tcPr>
            <w:tcW w:w="973" w:type="pct"/>
            <w:shd w:val="clear" w:color="auto" w:fill="auto"/>
            <w:vAlign w:val="center"/>
          </w:tcPr>
          <w:p w14:paraId="750738BB">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default"/>
                <w:strike w:val="0"/>
                <w:color w:val="auto"/>
                <w:highlight w:val="none"/>
                <w:lang w:val="en-US" w:eastAsia="zh-CN"/>
              </w:rPr>
              <w:t>=100%</w:t>
            </w:r>
          </w:p>
        </w:tc>
      </w:tr>
      <w:tr w14:paraId="4C47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5C6BC9E8">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20</w:t>
            </w:r>
          </w:p>
        </w:tc>
        <w:tc>
          <w:tcPr>
            <w:tcW w:w="723" w:type="pct"/>
            <w:vMerge w:val="continue"/>
            <w:shd w:val="clear" w:color="auto" w:fill="auto"/>
            <w:vAlign w:val="center"/>
          </w:tcPr>
          <w:p w14:paraId="6A88947D">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194B8E7B">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67AB5715">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数据风险监测覆盖率</w:t>
            </w:r>
          </w:p>
        </w:tc>
        <w:tc>
          <w:tcPr>
            <w:tcW w:w="973" w:type="pct"/>
            <w:shd w:val="clear" w:color="auto" w:fill="auto"/>
            <w:vAlign w:val="center"/>
          </w:tcPr>
          <w:p w14:paraId="2D8BD0F6">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default"/>
                <w:strike w:val="0"/>
                <w:color w:val="auto"/>
                <w:highlight w:val="none"/>
                <w:lang w:val="en-US" w:eastAsia="zh-CN"/>
              </w:rPr>
              <w:t>=100%</w:t>
            </w:r>
          </w:p>
        </w:tc>
      </w:tr>
      <w:tr w14:paraId="7876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39E93C64">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21</w:t>
            </w:r>
          </w:p>
        </w:tc>
        <w:tc>
          <w:tcPr>
            <w:tcW w:w="723" w:type="pct"/>
            <w:vMerge w:val="continue"/>
            <w:shd w:val="clear" w:color="auto" w:fill="auto"/>
            <w:vAlign w:val="center"/>
          </w:tcPr>
          <w:p w14:paraId="10F25FE4">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7F99DB8B">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0FE28E57">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网络安全措施</w:t>
            </w:r>
          </w:p>
        </w:tc>
        <w:tc>
          <w:tcPr>
            <w:tcW w:w="973" w:type="pct"/>
            <w:shd w:val="clear" w:color="auto" w:fill="auto"/>
            <w:vAlign w:val="center"/>
          </w:tcPr>
          <w:p w14:paraId="1E5F86E6">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有</w:t>
            </w:r>
          </w:p>
        </w:tc>
      </w:tr>
      <w:tr w14:paraId="142F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4442E136">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22</w:t>
            </w:r>
          </w:p>
        </w:tc>
        <w:tc>
          <w:tcPr>
            <w:tcW w:w="723" w:type="pct"/>
            <w:vMerge w:val="continue"/>
            <w:shd w:val="clear" w:color="auto" w:fill="auto"/>
            <w:vAlign w:val="center"/>
          </w:tcPr>
          <w:p w14:paraId="3FEB19AC">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0C41F6FA">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4CF52197">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终端设备安全管理覆盖率</w:t>
            </w:r>
          </w:p>
        </w:tc>
        <w:tc>
          <w:tcPr>
            <w:tcW w:w="973" w:type="pct"/>
            <w:shd w:val="clear" w:color="auto" w:fill="auto"/>
            <w:vAlign w:val="center"/>
          </w:tcPr>
          <w:p w14:paraId="408741C1">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default"/>
                <w:strike w:val="0"/>
                <w:color w:val="auto"/>
                <w:highlight w:val="none"/>
                <w:lang w:val="en-US" w:eastAsia="zh-CN"/>
              </w:rPr>
              <w:t>=100%</w:t>
            </w:r>
          </w:p>
        </w:tc>
      </w:tr>
      <w:tr w14:paraId="3634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308E2C10">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23</w:t>
            </w:r>
          </w:p>
        </w:tc>
        <w:tc>
          <w:tcPr>
            <w:tcW w:w="723" w:type="pct"/>
            <w:vMerge w:val="continue"/>
            <w:shd w:val="clear" w:color="auto" w:fill="auto"/>
            <w:vAlign w:val="center"/>
          </w:tcPr>
          <w:p w14:paraId="3DF0DD3F">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1D1C7D0A">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0B13F3CD">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系统安全措施</w:t>
            </w:r>
          </w:p>
        </w:tc>
        <w:tc>
          <w:tcPr>
            <w:tcW w:w="973" w:type="pct"/>
            <w:shd w:val="clear" w:color="auto" w:fill="auto"/>
            <w:vAlign w:val="center"/>
          </w:tcPr>
          <w:p w14:paraId="2914A4EA">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有</w:t>
            </w:r>
          </w:p>
        </w:tc>
      </w:tr>
      <w:tr w14:paraId="4E95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44C7C6BE">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24</w:t>
            </w:r>
          </w:p>
        </w:tc>
        <w:tc>
          <w:tcPr>
            <w:tcW w:w="723" w:type="pct"/>
            <w:vMerge w:val="restart"/>
            <w:shd w:val="clear" w:color="auto" w:fill="auto"/>
            <w:vAlign w:val="center"/>
          </w:tcPr>
          <w:p w14:paraId="1FB2BE5A">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业务指标</w:t>
            </w:r>
          </w:p>
        </w:tc>
        <w:tc>
          <w:tcPr>
            <w:tcW w:w="1005" w:type="pct"/>
            <w:vMerge w:val="restart"/>
            <w:shd w:val="clear" w:color="auto" w:fill="auto"/>
            <w:vAlign w:val="center"/>
          </w:tcPr>
          <w:p w14:paraId="732D1C59">
            <w:pPr>
              <w:pStyle w:val="4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产出质量</w:t>
            </w:r>
          </w:p>
        </w:tc>
        <w:tc>
          <w:tcPr>
            <w:tcW w:w="1865" w:type="pct"/>
            <w:shd w:val="clear" w:color="auto" w:fill="auto"/>
            <w:vAlign w:val="center"/>
          </w:tcPr>
          <w:p w14:paraId="27A65D96">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支撑视频接入管理路数</w:t>
            </w:r>
          </w:p>
        </w:tc>
        <w:tc>
          <w:tcPr>
            <w:tcW w:w="973" w:type="pct"/>
            <w:shd w:val="clear" w:color="auto" w:fill="auto"/>
            <w:vAlign w:val="center"/>
          </w:tcPr>
          <w:p w14:paraId="2129C9D6">
            <w:pPr>
              <w:pStyle w:val="48"/>
              <w:keepNext w:val="0"/>
              <w:keepLines w:val="0"/>
              <w:suppressLineNumbers w:val="0"/>
              <w:bidi w:val="0"/>
              <w:spacing w:before="0" w:beforeAutospacing="0" w:after="0" w:afterAutospacing="0"/>
              <w:ind w:left="0" w:right="0"/>
              <w:rPr>
                <w:rFonts w:hint="default"/>
                <w:strike w:val="0"/>
                <w:color w:val="auto"/>
                <w:highlight w:val="none"/>
                <w:lang w:val="en-US"/>
              </w:rPr>
            </w:pPr>
            <w:r>
              <w:rPr>
                <w:rFonts w:hint="eastAsia"/>
                <w:strike w:val="0"/>
                <w:color w:val="auto"/>
                <w:highlight w:val="none"/>
                <w:lang w:val="en-US" w:eastAsia="zh-CN"/>
              </w:rPr>
              <w:t>≥75</w:t>
            </w:r>
            <w:r>
              <w:rPr>
                <w:rFonts w:hint="default"/>
                <w:strike w:val="0"/>
                <w:color w:val="auto"/>
                <w:highlight w:val="none"/>
                <w:lang w:val="en-US" w:eastAsia="zh-CN"/>
              </w:rPr>
              <w:t>000</w:t>
            </w:r>
            <w:r>
              <w:rPr>
                <w:rFonts w:hint="eastAsia"/>
                <w:strike w:val="0"/>
                <w:color w:val="auto"/>
                <w:highlight w:val="none"/>
                <w:lang w:val="en-US" w:eastAsia="zh-CN"/>
              </w:rPr>
              <w:t>路/台</w:t>
            </w:r>
          </w:p>
        </w:tc>
      </w:tr>
      <w:tr w14:paraId="2F5E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1068CD32">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25</w:t>
            </w:r>
          </w:p>
        </w:tc>
        <w:tc>
          <w:tcPr>
            <w:tcW w:w="723" w:type="pct"/>
            <w:vMerge w:val="continue"/>
            <w:shd w:val="clear" w:color="auto" w:fill="auto"/>
            <w:vAlign w:val="center"/>
          </w:tcPr>
          <w:p w14:paraId="6127D3B7">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58ECD77F">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7D6E6FE0">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视频调用响应时间</w:t>
            </w:r>
          </w:p>
        </w:tc>
        <w:tc>
          <w:tcPr>
            <w:tcW w:w="973" w:type="pct"/>
            <w:shd w:val="clear" w:color="auto" w:fill="auto"/>
            <w:vAlign w:val="center"/>
          </w:tcPr>
          <w:p w14:paraId="1D964DFA">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3</w:t>
            </w:r>
            <w:r>
              <w:rPr>
                <w:rFonts w:hint="eastAsia"/>
                <w:strike w:val="0"/>
                <w:color w:val="auto"/>
                <w:highlight w:val="none"/>
                <w:lang w:val="en-US" w:eastAsia="zh-CN"/>
              </w:rPr>
              <w:t>秒</w:t>
            </w:r>
          </w:p>
        </w:tc>
      </w:tr>
      <w:tr w14:paraId="027E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27109399">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26</w:t>
            </w:r>
          </w:p>
        </w:tc>
        <w:tc>
          <w:tcPr>
            <w:tcW w:w="723" w:type="pct"/>
            <w:vMerge w:val="continue"/>
            <w:shd w:val="clear" w:color="auto" w:fill="auto"/>
            <w:vAlign w:val="center"/>
          </w:tcPr>
          <w:p w14:paraId="3E73EB88">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540DC577">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36DD7A16">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平台用户并发能力</w:t>
            </w:r>
          </w:p>
        </w:tc>
        <w:tc>
          <w:tcPr>
            <w:tcW w:w="973" w:type="pct"/>
            <w:shd w:val="clear" w:color="auto" w:fill="auto"/>
            <w:vAlign w:val="center"/>
          </w:tcPr>
          <w:p w14:paraId="7CCF35F5">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100</w:t>
            </w:r>
            <w:r>
              <w:rPr>
                <w:rFonts w:hint="eastAsia"/>
                <w:strike w:val="0"/>
                <w:color w:val="auto"/>
                <w:highlight w:val="none"/>
                <w:lang w:val="en-US" w:eastAsia="zh-CN"/>
              </w:rPr>
              <w:t>个</w:t>
            </w:r>
          </w:p>
        </w:tc>
      </w:tr>
      <w:tr w14:paraId="63CA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0EEF13CE">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27</w:t>
            </w:r>
          </w:p>
        </w:tc>
        <w:tc>
          <w:tcPr>
            <w:tcW w:w="723" w:type="pct"/>
            <w:vMerge w:val="continue"/>
            <w:shd w:val="clear" w:color="auto" w:fill="auto"/>
            <w:vAlign w:val="center"/>
          </w:tcPr>
          <w:p w14:paraId="479CB030">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5B7F1E46">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4BA14248">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视频智能标注准确率</w:t>
            </w:r>
          </w:p>
        </w:tc>
        <w:tc>
          <w:tcPr>
            <w:tcW w:w="973" w:type="pct"/>
            <w:shd w:val="clear" w:color="auto" w:fill="auto"/>
            <w:vAlign w:val="center"/>
          </w:tcPr>
          <w:p w14:paraId="00AA9408">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90</w:t>
            </w:r>
            <w:r>
              <w:rPr>
                <w:rFonts w:hint="eastAsia"/>
                <w:strike w:val="0"/>
                <w:color w:val="auto"/>
                <w:highlight w:val="none"/>
                <w:lang w:val="en-US" w:eastAsia="zh-CN"/>
              </w:rPr>
              <w:t>%</w:t>
            </w:r>
          </w:p>
        </w:tc>
      </w:tr>
      <w:tr w14:paraId="2968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355B8E29">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28</w:t>
            </w:r>
          </w:p>
        </w:tc>
        <w:tc>
          <w:tcPr>
            <w:tcW w:w="723" w:type="pct"/>
            <w:vMerge w:val="continue"/>
            <w:shd w:val="clear" w:color="auto" w:fill="auto"/>
            <w:vAlign w:val="center"/>
          </w:tcPr>
          <w:p w14:paraId="1B4B61E4">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433CF463">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6DCAB4BB">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视频并发共享路数</w:t>
            </w:r>
          </w:p>
        </w:tc>
        <w:tc>
          <w:tcPr>
            <w:tcW w:w="973" w:type="pct"/>
            <w:shd w:val="clear" w:color="auto" w:fill="auto"/>
            <w:vAlign w:val="center"/>
          </w:tcPr>
          <w:p w14:paraId="6F9D627C">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≥500路/台</w:t>
            </w:r>
          </w:p>
        </w:tc>
      </w:tr>
      <w:tr w14:paraId="01E6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35794DB8">
            <w:pPr>
              <w:pStyle w:val="48"/>
              <w:keepNext w:val="0"/>
              <w:keepLines w:val="0"/>
              <w:suppressLineNumbers w:val="0"/>
              <w:bidi w:val="0"/>
              <w:spacing w:before="0" w:beforeAutospacing="0" w:after="0" w:afterAutospacing="0"/>
              <w:ind w:left="0" w:right="0"/>
              <w:rPr>
                <w:rFonts w:hint="eastAsia"/>
                <w:color w:val="auto"/>
                <w:highlight w:val="none"/>
              </w:rPr>
            </w:pPr>
            <w:r>
              <w:rPr>
                <w:rFonts w:hint="default"/>
                <w:color w:val="auto"/>
                <w:highlight w:val="none"/>
                <w:lang w:val="en-US" w:eastAsia="zh-CN"/>
              </w:rPr>
              <w:t>29</w:t>
            </w:r>
          </w:p>
        </w:tc>
        <w:tc>
          <w:tcPr>
            <w:tcW w:w="723" w:type="pct"/>
            <w:vMerge w:val="continue"/>
            <w:shd w:val="clear" w:color="auto" w:fill="auto"/>
            <w:vAlign w:val="center"/>
          </w:tcPr>
          <w:p w14:paraId="3F05E935">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6BFF8636">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5D0F5293">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视频质量合格率</w:t>
            </w:r>
          </w:p>
        </w:tc>
        <w:tc>
          <w:tcPr>
            <w:tcW w:w="973" w:type="pct"/>
            <w:shd w:val="clear" w:color="auto" w:fill="auto"/>
            <w:vAlign w:val="center"/>
          </w:tcPr>
          <w:p w14:paraId="1F73D7ED">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80%</w:t>
            </w:r>
          </w:p>
        </w:tc>
      </w:tr>
      <w:tr w14:paraId="7DA0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254AE0AF">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30</w:t>
            </w:r>
          </w:p>
        </w:tc>
        <w:tc>
          <w:tcPr>
            <w:tcW w:w="723" w:type="pct"/>
            <w:vMerge w:val="continue"/>
            <w:shd w:val="clear" w:color="auto" w:fill="auto"/>
            <w:vAlign w:val="center"/>
          </w:tcPr>
          <w:p w14:paraId="0DEFAC27">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restart"/>
            <w:shd w:val="clear" w:color="auto" w:fill="auto"/>
            <w:vAlign w:val="center"/>
          </w:tcPr>
          <w:p w14:paraId="5AE13917">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社会效益</w:t>
            </w:r>
          </w:p>
        </w:tc>
        <w:tc>
          <w:tcPr>
            <w:tcW w:w="1865" w:type="pct"/>
            <w:shd w:val="clear" w:color="auto" w:fill="auto"/>
            <w:vAlign w:val="center"/>
          </w:tcPr>
          <w:p w14:paraId="789B7021">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交通应急响应时间缩短至</w:t>
            </w:r>
          </w:p>
        </w:tc>
        <w:tc>
          <w:tcPr>
            <w:tcW w:w="973" w:type="pct"/>
            <w:shd w:val="clear" w:color="auto" w:fill="auto"/>
            <w:vAlign w:val="center"/>
          </w:tcPr>
          <w:p w14:paraId="28AD162C">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2</w:t>
            </w:r>
            <w:r>
              <w:rPr>
                <w:rFonts w:hint="eastAsia"/>
                <w:strike w:val="0"/>
                <w:color w:val="auto"/>
                <w:highlight w:val="none"/>
                <w:lang w:val="en-US" w:eastAsia="zh-CN"/>
              </w:rPr>
              <w:t>分钟</w:t>
            </w:r>
          </w:p>
        </w:tc>
      </w:tr>
      <w:tr w14:paraId="6C6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33" w:type="pct"/>
            <w:shd w:val="clear" w:color="auto" w:fill="auto"/>
            <w:vAlign w:val="center"/>
          </w:tcPr>
          <w:p w14:paraId="6A16FFFE">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31</w:t>
            </w:r>
          </w:p>
        </w:tc>
        <w:tc>
          <w:tcPr>
            <w:tcW w:w="723" w:type="pct"/>
            <w:vMerge w:val="continue"/>
            <w:shd w:val="clear" w:color="auto" w:fill="auto"/>
            <w:vAlign w:val="center"/>
          </w:tcPr>
          <w:p w14:paraId="4DA11614">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218C69C3">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00E4D77A">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视频资源检索时间缩短至</w:t>
            </w:r>
          </w:p>
        </w:tc>
        <w:tc>
          <w:tcPr>
            <w:tcW w:w="973" w:type="pct"/>
            <w:shd w:val="clear" w:color="auto" w:fill="auto"/>
            <w:vAlign w:val="center"/>
          </w:tcPr>
          <w:p w14:paraId="7B05F05C">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3</w:t>
            </w:r>
            <w:r>
              <w:rPr>
                <w:rFonts w:hint="eastAsia"/>
                <w:strike w:val="0"/>
                <w:color w:val="auto"/>
                <w:highlight w:val="none"/>
                <w:lang w:val="en-US" w:eastAsia="zh-CN"/>
              </w:rPr>
              <w:t>秒</w:t>
            </w:r>
          </w:p>
        </w:tc>
      </w:tr>
      <w:tr w14:paraId="242D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33" w:type="pct"/>
            <w:shd w:val="clear" w:color="auto" w:fill="auto"/>
            <w:vAlign w:val="center"/>
          </w:tcPr>
          <w:p w14:paraId="6DC33673">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32</w:t>
            </w:r>
          </w:p>
        </w:tc>
        <w:tc>
          <w:tcPr>
            <w:tcW w:w="723" w:type="pct"/>
            <w:vMerge w:val="continue"/>
            <w:shd w:val="clear" w:color="auto" w:fill="auto"/>
            <w:vAlign w:val="center"/>
          </w:tcPr>
          <w:p w14:paraId="120BB272">
            <w:pPr>
              <w:pStyle w:val="48"/>
              <w:keepNext w:val="0"/>
              <w:keepLines w:val="0"/>
              <w:suppressLineNumbers w:val="0"/>
              <w:bidi w:val="0"/>
              <w:spacing w:before="0" w:beforeAutospacing="0" w:after="0" w:afterAutospacing="0"/>
              <w:ind w:left="0" w:right="0"/>
              <w:rPr>
                <w:rFonts w:hint="default"/>
                <w:color w:val="auto"/>
                <w:highlight w:val="none"/>
              </w:rPr>
            </w:pPr>
          </w:p>
        </w:tc>
        <w:tc>
          <w:tcPr>
            <w:tcW w:w="1005" w:type="pct"/>
            <w:vMerge w:val="continue"/>
            <w:shd w:val="clear" w:color="auto" w:fill="auto"/>
            <w:vAlign w:val="center"/>
          </w:tcPr>
          <w:p w14:paraId="204187F1">
            <w:pPr>
              <w:pStyle w:val="48"/>
              <w:keepNext w:val="0"/>
              <w:keepLines w:val="0"/>
              <w:suppressLineNumbers w:val="0"/>
              <w:bidi w:val="0"/>
              <w:spacing w:before="0" w:beforeAutospacing="0" w:after="0" w:afterAutospacing="0"/>
              <w:ind w:left="0" w:right="0"/>
              <w:rPr>
                <w:rFonts w:hint="default"/>
                <w:color w:val="auto"/>
                <w:highlight w:val="none"/>
              </w:rPr>
            </w:pPr>
          </w:p>
        </w:tc>
        <w:tc>
          <w:tcPr>
            <w:tcW w:w="1865" w:type="pct"/>
            <w:shd w:val="clear" w:color="auto" w:fill="auto"/>
            <w:vAlign w:val="center"/>
          </w:tcPr>
          <w:p w14:paraId="537CD0B8">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支撑业务数量</w:t>
            </w:r>
          </w:p>
        </w:tc>
        <w:tc>
          <w:tcPr>
            <w:tcW w:w="973" w:type="pct"/>
            <w:shd w:val="clear" w:color="auto" w:fill="auto"/>
            <w:vAlign w:val="center"/>
          </w:tcPr>
          <w:p w14:paraId="5A5C3758">
            <w:pPr>
              <w:pStyle w:val="48"/>
              <w:keepNext w:val="0"/>
              <w:keepLines w:val="0"/>
              <w:suppressLineNumbers w:val="0"/>
              <w:bidi w:val="0"/>
              <w:spacing w:before="0" w:beforeAutospacing="0" w:after="0" w:afterAutospacing="0"/>
              <w:ind w:left="0" w:right="0"/>
              <w:rPr>
                <w:rFonts w:hint="eastAsia"/>
                <w:strike w:val="0"/>
                <w:color w:val="auto"/>
                <w:highlight w:val="none"/>
              </w:rPr>
            </w:pPr>
            <w:r>
              <w:rPr>
                <w:rFonts w:hint="eastAsia"/>
                <w:strike w:val="0"/>
                <w:color w:val="auto"/>
                <w:highlight w:val="none"/>
                <w:lang w:val="en-US" w:eastAsia="zh-CN"/>
              </w:rPr>
              <w:t>≥</w:t>
            </w:r>
            <w:r>
              <w:rPr>
                <w:rFonts w:hint="default"/>
                <w:strike w:val="0"/>
                <w:color w:val="auto"/>
                <w:highlight w:val="none"/>
                <w:lang w:val="en-US" w:eastAsia="zh-CN"/>
              </w:rPr>
              <w:t>3</w:t>
            </w:r>
            <w:r>
              <w:rPr>
                <w:rFonts w:hint="eastAsia"/>
                <w:strike w:val="0"/>
                <w:color w:val="auto"/>
                <w:highlight w:val="none"/>
                <w:lang w:val="en-US" w:eastAsia="zh-CN"/>
              </w:rPr>
              <w:t>个</w:t>
            </w:r>
          </w:p>
        </w:tc>
      </w:tr>
    </w:tbl>
    <w:p w14:paraId="26036383">
      <w:pPr>
        <w:pStyle w:val="46"/>
        <w:bidi w:val="0"/>
        <w:rPr>
          <w:rFonts w:hint="eastAsia"/>
          <w:color w:val="auto"/>
          <w:highlight w:val="none"/>
        </w:rPr>
      </w:pPr>
    </w:p>
    <w:p w14:paraId="6FAC2AFF">
      <w:pPr>
        <w:pStyle w:val="2"/>
        <w:bidi w:val="0"/>
        <w:rPr>
          <w:color w:val="auto"/>
          <w:sz w:val="28"/>
          <w:szCs w:val="36"/>
          <w:highlight w:val="none"/>
        </w:rPr>
      </w:pPr>
      <w:r>
        <w:rPr>
          <w:rFonts w:hint="eastAsia"/>
          <w:color w:val="auto"/>
          <w:sz w:val="28"/>
          <w:szCs w:val="36"/>
          <w:highlight w:val="none"/>
          <w:lang w:val="en-US" w:eastAsia="zh-CN"/>
        </w:rPr>
        <w:t>项目建设内容</w:t>
      </w:r>
    </w:p>
    <w:p w14:paraId="2EB8215C">
      <w:pPr>
        <w:pStyle w:val="3"/>
        <w:numPr>
          <w:ilvl w:val="1"/>
          <w:numId w:val="1"/>
        </w:numPr>
        <w:tabs>
          <w:tab w:val="clear" w:pos="0"/>
        </w:tabs>
        <w:ind w:left="567" w:leftChars="0" w:hanging="567" w:firstLineChars="0"/>
        <w:rPr>
          <w:color w:val="auto"/>
          <w:sz w:val="28"/>
          <w:szCs w:val="36"/>
          <w:highlight w:val="none"/>
        </w:rPr>
      </w:pPr>
      <w:r>
        <w:rPr>
          <w:rFonts w:hint="eastAsia"/>
          <w:color w:val="auto"/>
          <w:sz w:val="28"/>
          <w:szCs w:val="36"/>
          <w:highlight w:val="none"/>
          <w:lang w:val="en-US" w:eastAsia="zh-CN"/>
        </w:rPr>
        <w:t>总体</w:t>
      </w:r>
      <w:r>
        <w:rPr>
          <w:rFonts w:hint="eastAsia"/>
          <w:color w:val="auto"/>
          <w:sz w:val="28"/>
          <w:szCs w:val="36"/>
          <w:highlight w:val="none"/>
        </w:rPr>
        <w:t>建设内容</w:t>
      </w:r>
    </w:p>
    <w:p w14:paraId="1C8C2414">
      <w:pPr>
        <w:pStyle w:val="46"/>
        <w:bidi w:val="0"/>
        <w:rPr>
          <w:rFonts w:hint="eastAsia"/>
          <w:b/>
          <w:bCs/>
          <w:color w:val="auto"/>
          <w:highlight w:val="none"/>
        </w:rPr>
      </w:pPr>
      <w:bookmarkStart w:id="7" w:name="_Hlk173079783"/>
      <w:r>
        <w:rPr>
          <w:rFonts w:hint="eastAsia"/>
          <w:b/>
          <w:bCs/>
          <w:color w:val="auto"/>
          <w:highlight w:val="none"/>
          <w:lang w:val="en-US" w:eastAsia="zh-CN"/>
        </w:rPr>
        <w:t>一、</w:t>
      </w:r>
      <w:r>
        <w:rPr>
          <w:rFonts w:hint="eastAsia"/>
          <w:b/>
          <w:bCs/>
          <w:color w:val="auto"/>
          <w:highlight w:val="none"/>
        </w:rPr>
        <w:t>视频资源联网改造</w:t>
      </w:r>
    </w:p>
    <w:p w14:paraId="45CA0E2A">
      <w:pPr>
        <w:pStyle w:val="46"/>
        <w:bidi w:val="0"/>
        <w:rPr>
          <w:rFonts w:hint="eastAsia"/>
          <w:color w:val="auto"/>
          <w:highlight w:val="none"/>
        </w:rPr>
      </w:pPr>
      <w:r>
        <w:rPr>
          <w:rFonts w:hint="eastAsia"/>
          <w:color w:val="auto"/>
          <w:highlight w:val="none"/>
        </w:rPr>
        <w:t>采用</w:t>
      </w:r>
      <w:r>
        <w:rPr>
          <w:rFonts w:hint="eastAsia"/>
          <w:color w:val="auto"/>
          <w:highlight w:val="none"/>
          <w:lang w:eastAsia="zh-CN"/>
        </w:rPr>
        <w:t>“</w:t>
      </w:r>
      <w:r>
        <w:rPr>
          <w:rFonts w:hint="eastAsia"/>
          <w:color w:val="auto"/>
          <w:highlight w:val="none"/>
        </w:rPr>
        <w:t>本地+云端</w:t>
      </w:r>
      <w:r>
        <w:rPr>
          <w:rFonts w:hint="eastAsia"/>
          <w:color w:val="auto"/>
          <w:highlight w:val="none"/>
          <w:lang w:eastAsia="zh-CN"/>
        </w:rPr>
        <w:t>”</w:t>
      </w:r>
      <w:r>
        <w:rPr>
          <w:rFonts w:hint="eastAsia"/>
          <w:color w:val="auto"/>
          <w:highlight w:val="none"/>
        </w:rPr>
        <w:t>的混合部署模式，升级改造视频管理平台，完成视频管理服务器、Web管理服务器、数据库服务器的改造和云端部署；建设政务外网统一共享平台，向市城运中心视觉中枢提供200路核心交通视频资源并接入城运中心的城市管理视频资源；升级申通地铁前置视频接入网关，将并发访问能力由16路提升至100路；建设部省联动视频共享，向交通部国家综合交通运输信息平台共享40路视频。</w:t>
      </w:r>
    </w:p>
    <w:p w14:paraId="40AD7DFA">
      <w:pPr>
        <w:pStyle w:val="46"/>
        <w:bidi w:val="0"/>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视频平台应用功能升级完善</w:t>
      </w:r>
    </w:p>
    <w:p w14:paraId="235F1DE9">
      <w:pPr>
        <w:pStyle w:val="46"/>
        <w:bidi w:val="0"/>
        <w:rPr>
          <w:rFonts w:hint="default"/>
          <w:color w:val="auto"/>
          <w:highlight w:val="none"/>
          <w:lang w:val="en-US"/>
        </w:rPr>
      </w:pPr>
      <w:r>
        <w:rPr>
          <w:rFonts w:hint="eastAsia"/>
          <w:color w:val="auto"/>
          <w:highlight w:val="none"/>
        </w:rPr>
        <w:t>完成交通视频平台服务层、应用层、能力层、数据层的功能完善。服务层建设</w:t>
      </w:r>
      <w:r>
        <w:rPr>
          <w:rFonts w:hint="eastAsia"/>
          <w:color w:val="auto"/>
          <w:highlight w:val="none"/>
          <w:lang w:val="en-US" w:eastAsia="zh-CN"/>
        </w:rPr>
        <w:t>基于一张图地图的可视化监控点位管理，优化用户操作，</w:t>
      </w:r>
      <w:r>
        <w:rPr>
          <w:rFonts w:hint="eastAsia"/>
          <w:color w:val="auto"/>
          <w:highlight w:val="none"/>
        </w:rPr>
        <w:t>应用层建设运维监测</w:t>
      </w:r>
      <w:r>
        <w:rPr>
          <w:rFonts w:hint="eastAsia"/>
          <w:color w:val="auto"/>
          <w:highlight w:val="none"/>
          <w:lang w:val="en-US" w:eastAsia="zh-CN"/>
        </w:rPr>
        <w:t>与实时统计</w:t>
      </w:r>
      <w:r>
        <w:rPr>
          <w:rFonts w:hint="eastAsia"/>
          <w:color w:val="auto"/>
          <w:highlight w:val="none"/>
        </w:rPr>
        <w:t>等功能模块，能力层建设视频标签服务，数据层建设视频资源管理等。</w:t>
      </w:r>
      <w:r>
        <w:rPr>
          <w:rFonts w:hint="eastAsia"/>
          <w:color w:val="auto"/>
          <w:highlight w:val="none"/>
          <w:lang w:val="en-US" w:eastAsia="zh-CN"/>
        </w:rPr>
        <w:t>具体要求见软件开发清单。</w:t>
      </w:r>
    </w:p>
    <w:p w14:paraId="4A71A737">
      <w:pPr>
        <w:pStyle w:val="46"/>
        <w:bidi w:val="0"/>
        <w:rPr>
          <w:rFonts w:hint="eastAsia"/>
          <w:b/>
          <w:bCs/>
          <w:color w:val="auto"/>
          <w:highlight w:val="none"/>
        </w:rPr>
      </w:pPr>
      <w:r>
        <w:rPr>
          <w:rFonts w:hint="eastAsia"/>
          <w:b/>
          <w:bCs/>
          <w:color w:val="auto"/>
          <w:highlight w:val="none"/>
          <w:lang w:val="en-US" w:eastAsia="zh-CN"/>
        </w:rPr>
        <w:t>三、</w:t>
      </w:r>
      <w:r>
        <w:rPr>
          <w:rFonts w:hint="eastAsia"/>
          <w:b/>
          <w:bCs/>
          <w:color w:val="auto"/>
          <w:highlight w:val="none"/>
        </w:rPr>
        <w:t>视频智能标注系统建设</w:t>
      </w:r>
    </w:p>
    <w:p w14:paraId="761ABC4B">
      <w:pPr>
        <w:pStyle w:val="46"/>
        <w:bidi w:val="0"/>
        <w:rPr>
          <w:rFonts w:hint="eastAsia"/>
          <w:color w:val="auto"/>
          <w:highlight w:val="none"/>
          <w:lang w:eastAsia="zh-CN"/>
        </w:rPr>
      </w:pPr>
      <w:r>
        <w:rPr>
          <w:rFonts w:hint="eastAsia"/>
          <w:color w:val="auto"/>
          <w:highlight w:val="none"/>
        </w:rPr>
        <w:t>完成缘视觉感知器和视觉认知智能分析引擎部署应用，实现视频资源的自动标签生成，解决视频检索依赖人工标注效率低的问题。边缘智能采集单元，实现多路并发视频流拉取、智能关键帧提取、图像质量评估等功能；云端智能分析平台，实现深度学习模型推理、场景内容识别、标签自动生成等智能分析功能。</w:t>
      </w:r>
    </w:p>
    <w:p w14:paraId="2B038B35">
      <w:pPr>
        <w:pStyle w:val="46"/>
        <w:bidi w:val="0"/>
        <w:rPr>
          <w:rFonts w:hint="eastAsia"/>
          <w:b/>
          <w:bCs/>
          <w:color w:val="auto"/>
          <w:highlight w:val="none"/>
        </w:rPr>
      </w:pPr>
      <w:r>
        <w:rPr>
          <w:rFonts w:hint="eastAsia"/>
          <w:b/>
          <w:bCs/>
          <w:color w:val="auto"/>
          <w:highlight w:val="none"/>
          <w:lang w:val="en-US" w:eastAsia="zh-CN"/>
        </w:rPr>
        <w:t>四、</w:t>
      </w:r>
      <w:r>
        <w:rPr>
          <w:rFonts w:hint="eastAsia"/>
          <w:b/>
          <w:bCs/>
          <w:color w:val="auto"/>
          <w:highlight w:val="none"/>
        </w:rPr>
        <w:t>视频安全防护加固</w:t>
      </w:r>
    </w:p>
    <w:bookmarkEnd w:id="7"/>
    <w:p w14:paraId="294AC437">
      <w:pPr>
        <w:pStyle w:val="46"/>
        <w:bidi w:val="0"/>
        <w:rPr>
          <w:rFonts w:hint="eastAsia"/>
          <w:color w:val="auto"/>
          <w:highlight w:val="none"/>
        </w:rPr>
      </w:pPr>
      <w:r>
        <w:rPr>
          <w:rFonts w:hint="eastAsia"/>
          <w:color w:val="auto"/>
          <w:highlight w:val="none"/>
        </w:rPr>
        <w:t>按照等保二级要求开展交通视频平台网络、视频应用安全等方面加固，完成密码安全体系建设，建立视频共享的安全标识和权限管控体系。</w:t>
      </w:r>
    </w:p>
    <w:p w14:paraId="534A6C88">
      <w:pPr>
        <w:pStyle w:val="3"/>
        <w:numPr>
          <w:ilvl w:val="1"/>
          <w:numId w:val="1"/>
        </w:numPr>
        <w:tabs>
          <w:tab w:val="clear" w:pos="0"/>
        </w:tabs>
        <w:ind w:left="567" w:leftChars="0" w:hanging="567" w:firstLineChars="0"/>
        <w:rPr>
          <w:color w:val="auto"/>
          <w:sz w:val="28"/>
          <w:szCs w:val="36"/>
          <w:highlight w:val="none"/>
        </w:rPr>
      </w:pPr>
      <w:bookmarkStart w:id="8" w:name="_Toc11327"/>
      <w:bookmarkStart w:id="9" w:name="_Toc180659614"/>
      <w:r>
        <w:rPr>
          <w:rFonts w:hint="eastAsia"/>
          <w:color w:val="auto"/>
          <w:sz w:val="28"/>
          <w:szCs w:val="36"/>
          <w:highlight w:val="none"/>
          <w:lang w:val="en-US" w:eastAsia="zh-CN"/>
        </w:rPr>
        <w:t>部署环境</w:t>
      </w:r>
    </w:p>
    <w:p w14:paraId="514E432C">
      <w:pPr>
        <w:pStyle w:val="46"/>
        <w:bidi w:val="0"/>
        <w:rPr>
          <w:rFonts w:hint="eastAsia"/>
          <w:color w:val="auto"/>
          <w:highlight w:val="none"/>
          <w:lang w:eastAsia="zh-CN"/>
        </w:rPr>
      </w:pPr>
      <w:r>
        <w:rPr>
          <w:rFonts w:hint="eastAsia"/>
          <w:color w:val="auto"/>
          <w:highlight w:val="none"/>
          <w:lang w:val="en-US" w:eastAsia="zh-CN"/>
        </w:rPr>
        <w:t>本项目</w:t>
      </w:r>
      <w:r>
        <w:rPr>
          <w:rFonts w:hint="eastAsia"/>
          <w:color w:val="auto"/>
          <w:highlight w:val="none"/>
        </w:rPr>
        <w:t>采用</w:t>
      </w:r>
      <w:r>
        <w:rPr>
          <w:rFonts w:hint="eastAsia"/>
          <w:color w:val="auto"/>
          <w:highlight w:val="none"/>
          <w:lang w:eastAsia="zh-CN"/>
        </w:rPr>
        <w:t>“</w:t>
      </w:r>
      <w:r>
        <w:rPr>
          <w:rFonts w:hint="eastAsia"/>
          <w:color w:val="auto"/>
          <w:highlight w:val="none"/>
          <w:shd w:val="clear"/>
        </w:rPr>
        <w:t>本地+云端</w:t>
      </w:r>
      <w:r>
        <w:rPr>
          <w:rFonts w:hint="eastAsia"/>
          <w:color w:val="auto"/>
          <w:highlight w:val="none"/>
          <w:shd w:val="clear"/>
          <w:lang w:eastAsia="zh-CN"/>
        </w:rPr>
        <w:t>”</w:t>
      </w:r>
      <w:r>
        <w:rPr>
          <w:rFonts w:hint="eastAsia"/>
          <w:color w:val="auto"/>
          <w:highlight w:val="none"/>
          <w:shd w:val="clear"/>
        </w:rPr>
        <w:t>的混合部署模式。</w:t>
      </w:r>
      <w:r>
        <w:rPr>
          <w:color w:val="auto"/>
          <w:highlight w:val="none"/>
          <w:shd w:val="clear"/>
        </w:rPr>
        <w:t>据业务特性进行差异化部署：对实时性要求高、与硬件设备紧密相关的业务功能部署在本地</w:t>
      </w:r>
      <w:r>
        <w:rPr>
          <w:rFonts w:hint="eastAsia"/>
          <w:color w:val="auto"/>
          <w:highlight w:val="none"/>
          <w:shd w:val="clear"/>
          <w:lang w:eastAsia="zh-CN"/>
        </w:rPr>
        <w:t>，</w:t>
      </w:r>
      <w:r>
        <w:rPr>
          <w:rFonts w:hint="eastAsia"/>
          <w:color w:val="auto"/>
          <w:highlight w:val="none"/>
          <w:shd w:val="clear"/>
          <w:lang w:val="en-US" w:eastAsia="zh-CN"/>
        </w:rPr>
        <w:t>如部省联动视频联网建设、web视频监控服务、边缘智能分析等功能</w:t>
      </w:r>
      <w:r>
        <w:rPr>
          <w:color w:val="auto"/>
          <w:highlight w:val="none"/>
          <w:shd w:val="clear"/>
        </w:rPr>
        <w:t>；计算密集型、存储密集型业务优先部署在云端</w:t>
      </w:r>
      <w:r>
        <w:rPr>
          <w:rFonts w:hint="eastAsia"/>
          <w:color w:val="auto"/>
          <w:highlight w:val="none"/>
          <w:shd w:val="clear"/>
          <w:lang w:eastAsia="zh-CN"/>
        </w:rPr>
        <w:t>，</w:t>
      </w:r>
      <w:r>
        <w:rPr>
          <w:rFonts w:hint="eastAsia"/>
          <w:color w:val="auto"/>
          <w:highlight w:val="none"/>
          <w:shd w:val="clear"/>
          <w:lang w:val="en-US" w:eastAsia="zh-CN"/>
        </w:rPr>
        <w:t>如视频运维检测、视频标签服务、视频资源管理、视频智能标注系统建设等功能</w:t>
      </w:r>
      <w:r>
        <w:rPr>
          <w:rFonts w:hint="eastAsia"/>
          <w:color w:val="auto"/>
          <w:highlight w:val="none"/>
          <w:shd w:val="clear"/>
          <w:lang w:eastAsia="zh-CN"/>
        </w:rPr>
        <w:t>。</w:t>
      </w:r>
    </w:p>
    <w:p w14:paraId="7E7DE262">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cstheme="minorBidi"/>
          <w:color w:val="auto"/>
          <w:sz w:val="30"/>
          <w:szCs w:val="30"/>
          <w:highlight w:val="none"/>
          <w:lang w:val="en-US" w:eastAsia="zh-CN"/>
        </w:rPr>
        <w:t>新建内容</w:t>
      </w:r>
    </w:p>
    <w:p w14:paraId="2C125B10">
      <w:pPr>
        <w:pStyle w:val="46"/>
        <w:bidi w:val="0"/>
        <w:outlineLvl w:val="9"/>
        <w:rPr>
          <w:rFonts w:hint="eastAsia"/>
          <w:color w:val="auto"/>
          <w:highlight w:val="none"/>
        </w:rPr>
      </w:pPr>
      <w:r>
        <w:rPr>
          <w:rFonts w:hint="eastAsia"/>
          <w:color w:val="auto"/>
          <w:highlight w:val="none"/>
        </w:rPr>
        <w:t>根据项目批复，将新建内容以表单形式按照软件开发、产品软件购置、硬件购置、安全产品购置分类列出。</w:t>
      </w:r>
    </w:p>
    <w:p w14:paraId="15780C20">
      <w:pPr>
        <w:pStyle w:val="46"/>
        <w:bidi w:val="0"/>
        <w:outlineLvl w:val="9"/>
        <w:rPr>
          <w:rFonts w:hint="eastAsia"/>
          <w:color w:val="auto"/>
          <w:highlight w:val="none"/>
          <w:lang w:val="en-US" w:eastAsia="zh-CN"/>
        </w:rPr>
      </w:pPr>
      <w:r>
        <w:rPr>
          <w:rFonts w:hint="eastAsia"/>
          <w:color w:val="auto"/>
          <w:highlight w:val="none"/>
          <w:lang w:val="en-US" w:eastAsia="zh-CN"/>
        </w:rPr>
        <w:t>本次采购的服务器、网络安全设备等产品，须具备国家规定的生产许可资质及 CCC 等强制性认证标识，随货提供完整质量合格证明文件、签章及产品合格证，产品包装需以中文清晰标注产品名称、生产厂名、厂址等信息；同时须提供原厂出具的产品在产证明函、三年质保正式承诺函。</w:t>
      </w:r>
    </w:p>
    <w:p w14:paraId="422EB0AD">
      <w:pPr>
        <w:pStyle w:val="46"/>
        <w:bidi w:val="0"/>
        <w:outlineLvl w:val="3"/>
        <w:rPr>
          <w:rFonts w:hint="eastAsia"/>
          <w:b/>
          <w:bCs/>
          <w:color w:val="auto"/>
          <w:highlight w:val="none"/>
        </w:rPr>
      </w:pPr>
      <w:r>
        <w:rPr>
          <w:rFonts w:hint="eastAsia"/>
          <w:b/>
          <w:bCs/>
          <w:color w:val="auto"/>
          <w:highlight w:val="none"/>
          <w:lang w:eastAsia="zh-CN"/>
        </w:rPr>
        <w:t>1.</w:t>
      </w:r>
      <w:r>
        <w:rPr>
          <w:rFonts w:hint="eastAsia"/>
          <w:b/>
          <w:bCs/>
          <w:color w:val="auto"/>
          <w:highlight w:val="none"/>
        </w:rPr>
        <w:t>软件开发清单(包含但不限于以下内容)：</w:t>
      </w:r>
    </w:p>
    <w:tbl>
      <w:tblPr>
        <w:tblStyle w:val="19"/>
        <w:tblW w:w="821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5"/>
        <w:gridCol w:w="538"/>
        <w:gridCol w:w="2962"/>
        <w:gridCol w:w="4020"/>
      </w:tblGrid>
      <w:tr w14:paraId="7B28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blHeader/>
        </w:trPr>
        <w:tc>
          <w:tcPr>
            <w:tcW w:w="695" w:type="dxa"/>
            <w:shd w:val="clear" w:color="auto" w:fill="auto"/>
            <w:noWrap/>
            <w:tcMar>
              <w:top w:w="0" w:type="dxa"/>
              <w:left w:w="0" w:type="dxa"/>
              <w:bottom w:w="0" w:type="dxa"/>
              <w:right w:w="0" w:type="dxa"/>
            </w:tcMar>
            <w:vAlign w:val="center"/>
          </w:tcPr>
          <w:p w14:paraId="49654EFE">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lang w:val="en-US" w:eastAsia="zh-CN"/>
              </w:rPr>
            </w:pPr>
            <w:r>
              <w:rPr>
                <w:rFonts w:hint="eastAsia"/>
                <w:b/>
                <w:bCs/>
                <w:color w:val="auto"/>
                <w:highlight w:val="none"/>
                <w:lang w:val="en-US" w:eastAsia="zh-CN"/>
              </w:rPr>
              <w:t>模块</w:t>
            </w:r>
          </w:p>
        </w:tc>
        <w:tc>
          <w:tcPr>
            <w:tcW w:w="538" w:type="dxa"/>
            <w:shd w:val="clear" w:color="auto" w:fill="auto"/>
            <w:tcMar>
              <w:top w:w="0" w:type="dxa"/>
              <w:left w:w="0" w:type="dxa"/>
              <w:bottom w:w="0" w:type="dxa"/>
              <w:right w:w="0" w:type="dxa"/>
            </w:tcMar>
            <w:vAlign w:val="center"/>
          </w:tcPr>
          <w:p w14:paraId="098A7D0B">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lang w:val="en-US" w:eastAsia="zh-CN"/>
              </w:rPr>
            </w:pPr>
            <w:r>
              <w:rPr>
                <w:rFonts w:hint="eastAsia"/>
                <w:b/>
                <w:bCs/>
                <w:color w:val="auto"/>
                <w:highlight w:val="none"/>
                <w:lang w:val="en-US" w:eastAsia="zh-CN"/>
              </w:rPr>
              <w:t>序号</w:t>
            </w:r>
          </w:p>
        </w:tc>
        <w:tc>
          <w:tcPr>
            <w:tcW w:w="2962" w:type="dxa"/>
            <w:shd w:val="clear" w:color="auto" w:fill="auto"/>
            <w:noWrap/>
            <w:tcMar>
              <w:top w:w="0" w:type="dxa"/>
              <w:left w:w="108" w:type="dxa"/>
              <w:bottom w:w="0" w:type="dxa"/>
              <w:right w:w="108" w:type="dxa"/>
            </w:tcMar>
            <w:vAlign w:val="center"/>
          </w:tcPr>
          <w:p w14:paraId="4786EA55">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lang w:val="en-US" w:eastAsia="zh-CN"/>
              </w:rPr>
            </w:pPr>
            <w:r>
              <w:rPr>
                <w:rFonts w:hint="eastAsia"/>
                <w:b/>
                <w:bCs/>
                <w:color w:val="auto"/>
                <w:highlight w:val="none"/>
                <w:lang w:val="en-US" w:eastAsia="zh-CN"/>
              </w:rPr>
              <w:t>功能名称</w:t>
            </w:r>
          </w:p>
        </w:tc>
        <w:tc>
          <w:tcPr>
            <w:tcW w:w="4020" w:type="dxa"/>
            <w:shd w:val="clear" w:color="auto" w:fill="auto"/>
            <w:noWrap/>
            <w:tcMar>
              <w:top w:w="0" w:type="dxa"/>
              <w:left w:w="108" w:type="dxa"/>
              <w:bottom w:w="0" w:type="dxa"/>
              <w:right w:w="108" w:type="dxa"/>
            </w:tcMar>
            <w:vAlign w:val="center"/>
          </w:tcPr>
          <w:p w14:paraId="751CA2C0">
            <w:pPr>
              <w:pStyle w:val="48"/>
              <w:keepNext w:val="0"/>
              <w:keepLines w:val="0"/>
              <w:suppressLineNumbers w:val="0"/>
              <w:bidi w:val="0"/>
              <w:spacing w:before="0" w:beforeAutospacing="0" w:after="0" w:afterAutospacing="0"/>
              <w:ind w:left="0" w:leftChars="0" w:right="0" w:rightChars="0" w:firstLine="0" w:firstLineChars="0"/>
              <w:jc w:val="center"/>
              <w:rPr>
                <w:rFonts w:hint="eastAsia"/>
                <w:b/>
                <w:bCs/>
                <w:color w:val="auto"/>
                <w:highlight w:val="none"/>
                <w:lang w:val="en-US" w:eastAsia="zh-CN"/>
              </w:rPr>
            </w:pPr>
            <w:r>
              <w:rPr>
                <w:rFonts w:hint="eastAsia"/>
                <w:b/>
                <w:bCs/>
                <w:color w:val="auto"/>
                <w:highlight w:val="none"/>
                <w:lang w:val="en-US" w:eastAsia="zh-CN"/>
              </w:rPr>
              <w:t>功能描述</w:t>
            </w:r>
          </w:p>
        </w:tc>
      </w:tr>
      <w:tr w14:paraId="5B46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restart"/>
            <w:shd w:val="clear" w:color="auto" w:fill="auto"/>
            <w:noWrap/>
            <w:tcMar>
              <w:top w:w="0" w:type="dxa"/>
              <w:left w:w="108" w:type="dxa"/>
              <w:bottom w:w="0" w:type="dxa"/>
              <w:right w:w="108" w:type="dxa"/>
            </w:tcMar>
            <w:vAlign w:val="center"/>
          </w:tcPr>
          <w:p w14:paraId="63E83C3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模块一：视频平台功能升级完善-服务层</w:t>
            </w:r>
          </w:p>
        </w:tc>
        <w:tc>
          <w:tcPr>
            <w:tcW w:w="538" w:type="dxa"/>
            <w:shd w:val="clear" w:color="auto" w:fill="auto"/>
            <w:tcMar>
              <w:top w:w="0" w:type="dxa"/>
              <w:left w:w="108" w:type="dxa"/>
              <w:bottom w:w="0" w:type="dxa"/>
              <w:right w:w="108" w:type="dxa"/>
            </w:tcMar>
            <w:vAlign w:val="center"/>
          </w:tcPr>
          <w:p w14:paraId="764016D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38A2048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基于一张图地图的可视化监控点位管理功能（一张图管理）</w:t>
            </w:r>
          </w:p>
        </w:tc>
        <w:tc>
          <w:tcPr>
            <w:tcW w:w="4020" w:type="dxa"/>
            <w:shd w:val="clear" w:color="auto" w:fill="auto"/>
            <w:noWrap/>
            <w:tcMar>
              <w:top w:w="0" w:type="dxa"/>
              <w:left w:w="108" w:type="dxa"/>
              <w:bottom w:w="0" w:type="dxa"/>
              <w:right w:w="108" w:type="dxa"/>
            </w:tcMar>
            <w:vAlign w:val="center"/>
          </w:tcPr>
          <w:p w14:paraId="359E038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基于政务一张图支持300000路摄像机点位地理标注、状态可视化展示与实时同步，支持点位聚合、弹窗列表、筛选定位与批量操作。</w:t>
            </w:r>
          </w:p>
        </w:tc>
      </w:tr>
      <w:tr w14:paraId="64F0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38" w:hRule="atLeast"/>
        </w:trPr>
        <w:tc>
          <w:tcPr>
            <w:tcW w:w="695" w:type="dxa"/>
            <w:vMerge w:val="continue"/>
            <w:shd w:val="clear" w:color="auto" w:fill="auto"/>
            <w:noWrap/>
            <w:tcMar>
              <w:top w:w="0" w:type="dxa"/>
              <w:left w:w="108" w:type="dxa"/>
              <w:bottom w:w="0" w:type="dxa"/>
              <w:right w:w="108" w:type="dxa"/>
            </w:tcMar>
            <w:vAlign w:val="center"/>
          </w:tcPr>
          <w:p w14:paraId="0700BA6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5D4CE6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2962" w:type="dxa"/>
            <w:shd w:val="clear" w:color="auto" w:fill="auto"/>
            <w:noWrap/>
            <w:tcMar>
              <w:top w:w="0" w:type="dxa"/>
              <w:left w:w="108" w:type="dxa"/>
              <w:bottom w:w="0" w:type="dxa"/>
              <w:right w:w="108" w:type="dxa"/>
            </w:tcMar>
            <w:vAlign w:val="center"/>
          </w:tcPr>
          <w:p w14:paraId="4D8495C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地图区域智能框选与摄像机批量管理功能（区域框选管理）</w:t>
            </w:r>
          </w:p>
        </w:tc>
        <w:tc>
          <w:tcPr>
            <w:tcW w:w="4020" w:type="dxa"/>
            <w:shd w:val="clear" w:color="auto" w:fill="auto"/>
            <w:noWrap/>
            <w:tcMar>
              <w:top w:w="0" w:type="dxa"/>
              <w:left w:w="108" w:type="dxa"/>
              <w:bottom w:w="0" w:type="dxa"/>
              <w:right w:w="108" w:type="dxa"/>
            </w:tcMar>
            <w:vAlign w:val="center"/>
          </w:tcPr>
          <w:p w14:paraId="660FE8E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支持矩形、圆形、多边形等自定义框选，快速检索区域内设备，支持框选结果保存、复用与共享，提升应急指挥效率。</w:t>
            </w:r>
          </w:p>
        </w:tc>
      </w:tr>
      <w:tr w14:paraId="1B45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198949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15FA438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c>
          <w:tcPr>
            <w:tcW w:w="2962" w:type="dxa"/>
            <w:shd w:val="clear" w:color="auto" w:fill="auto"/>
            <w:noWrap/>
            <w:tcMar>
              <w:top w:w="0" w:type="dxa"/>
              <w:left w:w="108" w:type="dxa"/>
              <w:bottom w:w="0" w:type="dxa"/>
              <w:right w:w="108" w:type="dxa"/>
            </w:tcMar>
            <w:vAlign w:val="center"/>
          </w:tcPr>
          <w:p w14:paraId="4472C74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基于用户权限的视频设备列表管理功能（权限设备管理）</w:t>
            </w:r>
          </w:p>
        </w:tc>
        <w:tc>
          <w:tcPr>
            <w:tcW w:w="4020" w:type="dxa"/>
            <w:shd w:val="clear" w:color="auto" w:fill="auto"/>
            <w:noWrap/>
            <w:tcMar>
              <w:top w:w="0" w:type="dxa"/>
              <w:left w:w="108" w:type="dxa"/>
              <w:bottom w:w="0" w:type="dxa"/>
              <w:right w:w="108" w:type="dxa"/>
            </w:tcMar>
            <w:vAlign w:val="center"/>
          </w:tcPr>
          <w:p w14:paraId="0D5D9E6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按角色、区域、场景实现设备权限精细化管控，提供树形设备列表，实时展示在线 / 离线状态，确保权限合规、状态可视。</w:t>
            </w:r>
          </w:p>
        </w:tc>
      </w:tr>
      <w:tr w14:paraId="588E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29583A3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A1B03F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w:t>
            </w:r>
          </w:p>
        </w:tc>
        <w:tc>
          <w:tcPr>
            <w:tcW w:w="2962" w:type="dxa"/>
            <w:shd w:val="clear" w:color="auto" w:fill="auto"/>
            <w:noWrap/>
            <w:tcMar>
              <w:top w:w="0" w:type="dxa"/>
              <w:left w:w="108" w:type="dxa"/>
              <w:bottom w:w="0" w:type="dxa"/>
              <w:right w:w="108" w:type="dxa"/>
            </w:tcMar>
            <w:vAlign w:val="center"/>
          </w:tcPr>
          <w:p w14:paraId="70FA9F8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多路视频流同步播放与窗格管理功能（多路播放管理）</w:t>
            </w:r>
          </w:p>
        </w:tc>
        <w:tc>
          <w:tcPr>
            <w:tcW w:w="4020" w:type="dxa"/>
            <w:shd w:val="clear" w:color="auto" w:fill="auto"/>
            <w:noWrap/>
            <w:tcMar>
              <w:top w:w="0" w:type="dxa"/>
              <w:left w:w="108" w:type="dxa"/>
              <w:bottom w:w="0" w:type="dxa"/>
              <w:right w:w="108" w:type="dxa"/>
            </w:tcMar>
            <w:vAlign w:val="center"/>
          </w:tcPr>
          <w:p w14:paraId="73D502E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 1/4/9/16 路视频同步播放，兼容 RTSP、RTMP、WebRTC 等协议，支持窗格拖拽、全屏、录制、截图，播放延迟≤1 秒。</w:t>
            </w:r>
          </w:p>
        </w:tc>
      </w:tr>
      <w:tr w14:paraId="41B5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46BC85F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71F1466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w:t>
            </w:r>
          </w:p>
        </w:tc>
        <w:tc>
          <w:tcPr>
            <w:tcW w:w="2962" w:type="dxa"/>
            <w:shd w:val="clear" w:color="auto" w:fill="auto"/>
            <w:noWrap/>
            <w:tcMar>
              <w:top w:w="0" w:type="dxa"/>
              <w:left w:w="108" w:type="dxa"/>
              <w:bottom w:w="0" w:type="dxa"/>
              <w:right w:w="108" w:type="dxa"/>
            </w:tcMar>
            <w:vAlign w:val="center"/>
          </w:tcPr>
          <w:p w14:paraId="7B20AA7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摄像机自动巡游与序列播放管理功能（巡游播放管理）</w:t>
            </w:r>
          </w:p>
        </w:tc>
        <w:tc>
          <w:tcPr>
            <w:tcW w:w="4020" w:type="dxa"/>
            <w:shd w:val="clear" w:color="auto" w:fill="auto"/>
            <w:noWrap/>
            <w:tcMar>
              <w:top w:w="0" w:type="dxa"/>
              <w:left w:w="108" w:type="dxa"/>
              <w:bottom w:w="0" w:type="dxa"/>
              <w:right w:w="108" w:type="dxa"/>
            </w:tcMar>
            <w:vAlign w:val="center"/>
          </w:tcPr>
          <w:p w14:paraId="71F2971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支持批量选点、序列编排、定时切换、手动控制，可保存巡游模板，满足日常巡检与重点监控需求。</w:t>
            </w:r>
          </w:p>
        </w:tc>
      </w:tr>
      <w:tr w14:paraId="2F5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DCEBB7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1710450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2962" w:type="dxa"/>
            <w:shd w:val="clear" w:color="auto" w:fill="auto"/>
            <w:noWrap/>
            <w:tcMar>
              <w:top w:w="0" w:type="dxa"/>
              <w:left w:w="108" w:type="dxa"/>
              <w:bottom w:w="0" w:type="dxa"/>
              <w:right w:w="108" w:type="dxa"/>
            </w:tcMar>
            <w:vAlign w:val="center"/>
          </w:tcPr>
          <w:p w14:paraId="456BF52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多维度智能搜索与设备筛选管理功能（智能搜索管理）</w:t>
            </w:r>
          </w:p>
        </w:tc>
        <w:tc>
          <w:tcPr>
            <w:tcW w:w="4020" w:type="dxa"/>
            <w:shd w:val="clear" w:color="auto" w:fill="auto"/>
            <w:noWrap/>
            <w:tcMar>
              <w:top w:w="0" w:type="dxa"/>
              <w:left w:w="108" w:type="dxa"/>
              <w:bottom w:w="0" w:type="dxa"/>
              <w:right w:w="108" w:type="dxa"/>
            </w:tcMar>
            <w:vAlign w:val="center"/>
          </w:tcPr>
          <w:p w14:paraId="51F8111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支持标签组合检索、关键字模糊搜索、高级条件筛选，提供搜索联想、历史记录与收藏，实现设备快速定位。</w:t>
            </w:r>
          </w:p>
        </w:tc>
      </w:tr>
      <w:tr w14:paraId="709F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497C68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056DE9A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7</w:t>
            </w:r>
          </w:p>
        </w:tc>
        <w:tc>
          <w:tcPr>
            <w:tcW w:w="2962" w:type="dxa"/>
            <w:shd w:val="clear" w:color="auto" w:fill="auto"/>
            <w:noWrap/>
            <w:tcMar>
              <w:top w:w="0" w:type="dxa"/>
              <w:left w:w="108" w:type="dxa"/>
              <w:bottom w:w="0" w:type="dxa"/>
              <w:right w:w="108" w:type="dxa"/>
            </w:tcMar>
            <w:vAlign w:val="center"/>
          </w:tcPr>
          <w:p w14:paraId="20056B0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地理位置智能定位与自动导航功能（智能定位导航）</w:t>
            </w:r>
          </w:p>
        </w:tc>
        <w:tc>
          <w:tcPr>
            <w:tcW w:w="4020" w:type="dxa"/>
            <w:shd w:val="clear" w:color="auto" w:fill="auto"/>
            <w:noWrap/>
            <w:tcMar>
              <w:top w:w="0" w:type="dxa"/>
              <w:left w:w="108" w:type="dxa"/>
              <w:bottom w:w="0" w:type="dxa"/>
              <w:right w:w="108" w:type="dxa"/>
            </w:tcMar>
            <w:vAlign w:val="center"/>
          </w:tcPr>
          <w:p w14:paraId="2F9C793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支持地址解析、坐标定位、设备一键地图定位，提供地理编码与双向转换服务，实现精准空间导航。</w:t>
            </w:r>
          </w:p>
        </w:tc>
      </w:tr>
      <w:tr w14:paraId="6668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3BBC6E3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22BC10C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8</w:t>
            </w:r>
          </w:p>
        </w:tc>
        <w:tc>
          <w:tcPr>
            <w:tcW w:w="2962" w:type="dxa"/>
            <w:shd w:val="clear" w:color="auto" w:fill="auto"/>
            <w:noWrap/>
            <w:tcMar>
              <w:top w:w="0" w:type="dxa"/>
              <w:left w:w="108" w:type="dxa"/>
              <w:bottom w:w="0" w:type="dxa"/>
              <w:right w:w="108" w:type="dxa"/>
            </w:tcMar>
            <w:vAlign w:val="center"/>
          </w:tcPr>
          <w:p w14:paraId="590034C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个人应急预案创建与执行管理功能（预案创建管理）</w:t>
            </w:r>
          </w:p>
        </w:tc>
        <w:tc>
          <w:tcPr>
            <w:tcW w:w="4020" w:type="dxa"/>
            <w:shd w:val="clear" w:color="auto" w:fill="auto"/>
            <w:noWrap/>
            <w:tcMar>
              <w:top w:w="0" w:type="dxa"/>
              <w:left w:w="108" w:type="dxa"/>
              <w:bottom w:w="0" w:type="dxa"/>
              <w:right w:w="108" w:type="dxa"/>
            </w:tcMar>
            <w:vAlign w:val="center"/>
          </w:tcPr>
          <w:p w14:paraId="6AC4E02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支持预案可视化编辑、模板化配置、摄像机关联与一键启动，可分享协作，提升应急响应规范化水平。</w:t>
            </w:r>
          </w:p>
        </w:tc>
      </w:tr>
      <w:tr w14:paraId="7FC4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46774CE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36C484E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w:t>
            </w:r>
          </w:p>
        </w:tc>
        <w:tc>
          <w:tcPr>
            <w:tcW w:w="2962" w:type="dxa"/>
            <w:shd w:val="clear" w:color="auto" w:fill="auto"/>
            <w:noWrap/>
            <w:tcMar>
              <w:top w:w="0" w:type="dxa"/>
              <w:left w:w="108" w:type="dxa"/>
              <w:bottom w:w="0" w:type="dxa"/>
              <w:right w:w="108" w:type="dxa"/>
            </w:tcMar>
            <w:vAlign w:val="center"/>
          </w:tcPr>
          <w:p w14:paraId="16E7BED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多场景主题分类框架管理模块功能（场景主题管理）</w:t>
            </w:r>
          </w:p>
        </w:tc>
        <w:tc>
          <w:tcPr>
            <w:tcW w:w="4020" w:type="dxa"/>
            <w:shd w:val="clear" w:color="auto" w:fill="auto"/>
            <w:noWrap/>
            <w:tcMar>
              <w:top w:w="0" w:type="dxa"/>
              <w:left w:w="108" w:type="dxa"/>
              <w:bottom w:w="0" w:type="dxa"/>
              <w:right w:w="108" w:type="dxa"/>
            </w:tcMar>
            <w:vAlign w:val="center"/>
          </w:tcPr>
          <w:p w14:paraId="67CCEA0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建立多层级场景分类体系，支持场景页面定制、风格配置与摄像机关联，适配不同业务场景展示需求。</w:t>
            </w:r>
          </w:p>
        </w:tc>
      </w:tr>
      <w:tr w14:paraId="6872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E7139D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2EBBB2A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10</w:t>
            </w:r>
          </w:p>
        </w:tc>
        <w:tc>
          <w:tcPr>
            <w:tcW w:w="2962" w:type="dxa"/>
            <w:shd w:val="clear" w:color="auto" w:fill="auto"/>
            <w:noWrap/>
            <w:tcMar>
              <w:top w:w="0" w:type="dxa"/>
              <w:left w:w="108" w:type="dxa"/>
              <w:bottom w:w="0" w:type="dxa"/>
              <w:right w:w="108" w:type="dxa"/>
            </w:tcMar>
            <w:vAlign w:val="center"/>
          </w:tcPr>
          <w:p w14:paraId="19B260C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摄像机设备信息详情展示管理功能（设备详情管理）</w:t>
            </w:r>
          </w:p>
        </w:tc>
        <w:tc>
          <w:tcPr>
            <w:tcW w:w="4020" w:type="dxa"/>
            <w:shd w:val="clear" w:color="auto" w:fill="auto"/>
            <w:noWrap/>
            <w:tcMar>
              <w:top w:w="0" w:type="dxa"/>
              <w:left w:w="108" w:type="dxa"/>
              <w:bottom w:w="0" w:type="dxa"/>
              <w:right w:w="108" w:type="dxa"/>
            </w:tcMar>
            <w:vAlign w:val="center"/>
          </w:tcPr>
          <w:p w14:paraId="55BFF24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提供设备全量信息弹窗展示，包括基本参数、视频质量、运行状态，支持信息查阅与对比。</w:t>
            </w:r>
          </w:p>
        </w:tc>
      </w:tr>
      <w:tr w14:paraId="218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2F8C268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0905C21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11</w:t>
            </w:r>
          </w:p>
        </w:tc>
        <w:tc>
          <w:tcPr>
            <w:tcW w:w="2962" w:type="dxa"/>
            <w:shd w:val="clear" w:color="auto" w:fill="auto"/>
            <w:noWrap/>
            <w:tcMar>
              <w:top w:w="0" w:type="dxa"/>
              <w:left w:w="108" w:type="dxa"/>
              <w:bottom w:w="0" w:type="dxa"/>
              <w:right w:w="108" w:type="dxa"/>
            </w:tcMar>
            <w:vAlign w:val="center"/>
          </w:tcPr>
          <w:p w14:paraId="697BC47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地图操作工具与辅助功能管理功能（地图工具管理）</w:t>
            </w:r>
          </w:p>
        </w:tc>
        <w:tc>
          <w:tcPr>
            <w:tcW w:w="4020" w:type="dxa"/>
            <w:shd w:val="clear" w:color="auto" w:fill="auto"/>
            <w:noWrap/>
            <w:tcMar>
              <w:top w:w="0" w:type="dxa"/>
              <w:left w:w="108" w:type="dxa"/>
              <w:bottom w:w="0" w:type="dxa"/>
              <w:right w:w="108" w:type="dxa"/>
            </w:tcMar>
            <w:vAlign w:val="center"/>
          </w:tcPr>
          <w:p w14:paraId="0288607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提供点位显隐、图层切换、距离 / 面积测量、自定义标注等地图工具，增强地图操作能力。</w:t>
            </w:r>
          </w:p>
        </w:tc>
      </w:tr>
      <w:tr w14:paraId="791B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BA3C9B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702342D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12</w:t>
            </w:r>
          </w:p>
        </w:tc>
        <w:tc>
          <w:tcPr>
            <w:tcW w:w="2962" w:type="dxa"/>
            <w:shd w:val="clear" w:color="auto" w:fill="auto"/>
            <w:noWrap/>
            <w:tcMar>
              <w:top w:w="0" w:type="dxa"/>
              <w:left w:w="108" w:type="dxa"/>
              <w:bottom w:w="0" w:type="dxa"/>
              <w:right w:w="108" w:type="dxa"/>
            </w:tcMar>
            <w:vAlign w:val="center"/>
          </w:tcPr>
          <w:p w14:paraId="44906EA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用户界面交互优化与性能管理功能（界面交互管理）</w:t>
            </w:r>
          </w:p>
        </w:tc>
        <w:tc>
          <w:tcPr>
            <w:tcW w:w="4020" w:type="dxa"/>
            <w:shd w:val="clear" w:color="auto" w:fill="auto"/>
            <w:noWrap/>
            <w:tcMar>
              <w:top w:w="0" w:type="dxa"/>
              <w:left w:w="108" w:type="dxa"/>
              <w:bottom w:w="0" w:type="dxa"/>
              <w:right w:w="108" w:type="dxa"/>
            </w:tcMar>
            <w:vAlign w:val="center"/>
          </w:tcPr>
          <w:p w14:paraId="14C2D53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采用响应式界面设计，支持多终端适配、快捷键操作、主题切换与操作引导，提升易用性与操作效率。</w:t>
            </w:r>
          </w:p>
        </w:tc>
      </w:tr>
      <w:tr w14:paraId="2E14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restart"/>
            <w:shd w:val="clear" w:color="auto" w:fill="auto"/>
            <w:noWrap/>
            <w:tcMar>
              <w:top w:w="0" w:type="dxa"/>
              <w:left w:w="108" w:type="dxa"/>
              <w:bottom w:w="0" w:type="dxa"/>
              <w:right w:w="108" w:type="dxa"/>
            </w:tcMar>
            <w:vAlign w:val="center"/>
          </w:tcPr>
          <w:p w14:paraId="3AF04B5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模块二：视频平台功能升级完善-应用层</w:t>
            </w:r>
          </w:p>
        </w:tc>
        <w:tc>
          <w:tcPr>
            <w:tcW w:w="538" w:type="dxa"/>
            <w:shd w:val="clear" w:color="auto" w:fill="auto"/>
            <w:tcMar>
              <w:top w:w="0" w:type="dxa"/>
              <w:left w:w="108" w:type="dxa"/>
              <w:bottom w:w="0" w:type="dxa"/>
              <w:right w:w="108" w:type="dxa"/>
            </w:tcMar>
            <w:vAlign w:val="center"/>
          </w:tcPr>
          <w:p w14:paraId="49E4F8E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315E771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视频设备网络状态实时在线监测功能（设备状态监测）</w:t>
            </w:r>
          </w:p>
        </w:tc>
        <w:tc>
          <w:tcPr>
            <w:tcW w:w="4020" w:type="dxa"/>
            <w:shd w:val="clear" w:color="auto" w:fill="auto"/>
            <w:noWrap/>
            <w:tcMar>
              <w:top w:w="0" w:type="dxa"/>
              <w:left w:w="108" w:type="dxa"/>
              <w:bottom w:w="0" w:type="dxa"/>
              <w:right w:w="108" w:type="dxa"/>
            </w:tcMar>
            <w:vAlign w:val="center"/>
          </w:tcPr>
          <w:p w14:paraId="5975D02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通过多协议对设备连通性、运行状态进行全方位监测，支持故障自动预警、历史记录留存与可视化展示。</w:t>
            </w:r>
          </w:p>
        </w:tc>
      </w:tr>
      <w:tr w14:paraId="4183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D1FBFB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11D8440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2962" w:type="dxa"/>
            <w:shd w:val="clear" w:color="auto" w:fill="auto"/>
            <w:noWrap/>
            <w:tcMar>
              <w:top w:w="0" w:type="dxa"/>
              <w:left w:w="108" w:type="dxa"/>
              <w:bottom w:w="0" w:type="dxa"/>
              <w:right w:w="108" w:type="dxa"/>
            </w:tcMar>
            <w:vAlign w:val="center"/>
          </w:tcPr>
          <w:p w14:paraId="30F17E9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国标共享单位综合统计功能（共享综合统计）</w:t>
            </w:r>
          </w:p>
        </w:tc>
        <w:tc>
          <w:tcPr>
            <w:tcW w:w="4020" w:type="dxa"/>
            <w:shd w:val="clear" w:color="auto" w:fill="auto"/>
            <w:noWrap/>
            <w:tcMar>
              <w:top w:w="0" w:type="dxa"/>
              <w:left w:w="108" w:type="dxa"/>
              <w:bottom w:w="0" w:type="dxa"/>
              <w:right w:w="108" w:type="dxa"/>
            </w:tcMar>
            <w:vAlign w:val="center"/>
          </w:tcPr>
          <w:p w14:paraId="53EF965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对共享单位基础信息、运行状态、资源使用情况进行多维度统计与评估，支撑管理决策。</w:t>
            </w:r>
          </w:p>
        </w:tc>
      </w:tr>
      <w:tr w14:paraId="20B9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83AA2E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EEE7DE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c>
          <w:tcPr>
            <w:tcW w:w="2962" w:type="dxa"/>
            <w:shd w:val="clear" w:color="auto" w:fill="auto"/>
            <w:noWrap/>
            <w:tcMar>
              <w:top w:w="0" w:type="dxa"/>
              <w:left w:w="108" w:type="dxa"/>
              <w:bottom w:w="0" w:type="dxa"/>
              <w:right w:w="108" w:type="dxa"/>
            </w:tcMar>
            <w:vAlign w:val="center"/>
          </w:tcPr>
          <w:p w14:paraId="4496AAE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视频对外共享调用统计功能（视频调用统计）</w:t>
            </w:r>
          </w:p>
        </w:tc>
        <w:tc>
          <w:tcPr>
            <w:tcW w:w="4020" w:type="dxa"/>
            <w:shd w:val="clear" w:color="auto" w:fill="auto"/>
            <w:noWrap/>
            <w:tcMar>
              <w:top w:w="0" w:type="dxa"/>
              <w:left w:w="108" w:type="dxa"/>
              <w:bottom w:w="0" w:type="dxa"/>
              <w:right w:w="108" w:type="dxa"/>
            </w:tcMar>
            <w:vAlign w:val="center"/>
          </w:tcPr>
          <w:p w14:paraId="6A38DF4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对视频点位调用次数、时长、频率、时段进行精细化统计分析，支持异常监测与数据导出。</w:t>
            </w:r>
          </w:p>
        </w:tc>
      </w:tr>
      <w:tr w14:paraId="3CB0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2D7A77D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546D68F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w:t>
            </w:r>
          </w:p>
        </w:tc>
        <w:tc>
          <w:tcPr>
            <w:tcW w:w="2962" w:type="dxa"/>
            <w:shd w:val="clear" w:color="auto" w:fill="auto"/>
            <w:noWrap/>
            <w:tcMar>
              <w:top w:w="0" w:type="dxa"/>
              <w:left w:w="108" w:type="dxa"/>
              <w:bottom w:w="0" w:type="dxa"/>
              <w:right w:w="108" w:type="dxa"/>
            </w:tcMar>
            <w:vAlign w:val="center"/>
          </w:tcPr>
          <w:p w14:paraId="5C64013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共享单位调用次数统计功能（共享调用统计）</w:t>
            </w:r>
          </w:p>
        </w:tc>
        <w:tc>
          <w:tcPr>
            <w:tcW w:w="4020" w:type="dxa"/>
            <w:shd w:val="clear" w:color="auto" w:fill="auto"/>
            <w:noWrap/>
            <w:tcMar>
              <w:top w:w="0" w:type="dxa"/>
              <w:left w:w="108" w:type="dxa"/>
              <w:bottom w:w="0" w:type="dxa"/>
              <w:right w:w="108" w:type="dxa"/>
            </w:tcMar>
            <w:vAlign w:val="center"/>
          </w:tcPr>
          <w:p w14:paraId="788BC53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精准计量各单位调用量，形成趋势分析，为资源分配与计费管理提供依据。</w:t>
            </w:r>
          </w:p>
        </w:tc>
      </w:tr>
      <w:tr w14:paraId="5D58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1E5D156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4B74781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w:t>
            </w:r>
          </w:p>
        </w:tc>
        <w:tc>
          <w:tcPr>
            <w:tcW w:w="2962" w:type="dxa"/>
            <w:shd w:val="clear" w:color="auto" w:fill="auto"/>
            <w:noWrap/>
            <w:tcMar>
              <w:top w:w="0" w:type="dxa"/>
              <w:left w:w="108" w:type="dxa"/>
              <w:bottom w:w="0" w:type="dxa"/>
              <w:right w:w="108" w:type="dxa"/>
            </w:tcMar>
            <w:vAlign w:val="center"/>
          </w:tcPr>
          <w:p w14:paraId="089286D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共享单位调用并发统计功能（共享并发统计）</w:t>
            </w:r>
          </w:p>
        </w:tc>
        <w:tc>
          <w:tcPr>
            <w:tcW w:w="4020" w:type="dxa"/>
            <w:shd w:val="clear" w:color="auto" w:fill="auto"/>
            <w:noWrap/>
            <w:tcMar>
              <w:top w:w="0" w:type="dxa"/>
              <w:left w:w="108" w:type="dxa"/>
              <w:bottom w:w="0" w:type="dxa"/>
              <w:right w:w="108" w:type="dxa"/>
            </w:tcMar>
            <w:vAlign w:val="center"/>
          </w:tcPr>
          <w:p w14:paraId="0FFAC0E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实时监控并发连接数与峰值负载，支持容量分析、异常预警与性能优化。</w:t>
            </w:r>
          </w:p>
        </w:tc>
      </w:tr>
      <w:tr w14:paraId="4113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3DEC49C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7E43E73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2962" w:type="dxa"/>
            <w:shd w:val="clear" w:color="auto" w:fill="auto"/>
            <w:noWrap/>
            <w:tcMar>
              <w:top w:w="0" w:type="dxa"/>
              <w:left w:w="108" w:type="dxa"/>
              <w:bottom w:w="0" w:type="dxa"/>
              <w:right w:w="108" w:type="dxa"/>
            </w:tcMar>
            <w:vAlign w:val="center"/>
          </w:tcPr>
          <w:p w14:paraId="4C773E0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接入单位综合统计功能（接入综合统计）</w:t>
            </w:r>
          </w:p>
        </w:tc>
        <w:tc>
          <w:tcPr>
            <w:tcW w:w="4020" w:type="dxa"/>
            <w:shd w:val="clear" w:color="auto" w:fill="auto"/>
            <w:noWrap/>
            <w:tcMar>
              <w:top w:w="0" w:type="dxa"/>
              <w:left w:w="108" w:type="dxa"/>
              <w:bottom w:w="0" w:type="dxa"/>
              <w:right w:w="108" w:type="dxa"/>
            </w:tcMar>
            <w:vAlign w:val="center"/>
          </w:tcPr>
          <w:p w14:paraId="091CC1F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统计接入单位资源规模、服务质量、关注度，形成运营分析与热度排行。</w:t>
            </w:r>
          </w:p>
        </w:tc>
      </w:tr>
      <w:tr w14:paraId="6A0A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AB4987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309B395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7</w:t>
            </w:r>
          </w:p>
        </w:tc>
        <w:tc>
          <w:tcPr>
            <w:tcW w:w="2962" w:type="dxa"/>
            <w:shd w:val="clear" w:color="auto" w:fill="auto"/>
            <w:noWrap/>
            <w:tcMar>
              <w:top w:w="0" w:type="dxa"/>
              <w:left w:w="108" w:type="dxa"/>
              <w:bottom w:w="0" w:type="dxa"/>
              <w:right w:w="108" w:type="dxa"/>
            </w:tcMar>
            <w:vAlign w:val="center"/>
          </w:tcPr>
          <w:p w14:paraId="48147F2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接入单位视频调用次数统计功能（接入调用统计）</w:t>
            </w:r>
          </w:p>
        </w:tc>
        <w:tc>
          <w:tcPr>
            <w:tcW w:w="4020" w:type="dxa"/>
            <w:shd w:val="clear" w:color="auto" w:fill="auto"/>
            <w:noWrap/>
            <w:tcMar>
              <w:top w:w="0" w:type="dxa"/>
              <w:left w:w="108" w:type="dxa"/>
              <w:bottom w:w="0" w:type="dxa"/>
              <w:right w:w="108" w:type="dxa"/>
            </w:tcMar>
            <w:vAlign w:val="center"/>
          </w:tcPr>
          <w:p w14:paraId="274F2C9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统计各单位视频被调用频次与高峰时段，识别热点资源，支撑资源优化。</w:t>
            </w:r>
          </w:p>
        </w:tc>
      </w:tr>
      <w:tr w14:paraId="460B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1A0E0F4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33723EA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8</w:t>
            </w:r>
          </w:p>
        </w:tc>
        <w:tc>
          <w:tcPr>
            <w:tcW w:w="2962" w:type="dxa"/>
            <w:shd w:val="clear" w:color="auto" w:fill="auto"/>
            <w:noWrap/>
            <w:tcMar>
              <w:top w:w="0" w:type="dxa"/>
              <w:left w:w="108" w:type="dxa"/>
              <w:bottom w:w="0" w:type="dxa"/>
              <w:right w:w="108" w:type="dxa"/>
            </w:tcMar>
            <w:vAlign w:val="center"/>
          </w:tcPr>
          <w:p w14:paraId="363E324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接入单位视频并发调用次数统计功能（接入并发统计）</w:t>
            </w:r>
          </w:p>
        </w:tc>
        <w:tc>
          <w:tcPr>
            <w:tcW w:w="4020" w:type="dxa"/>
            <w:shd w:val="clear" w:color="auto" w:fill="auto"/>
            <w:noWrap/>
            <w:tcMar>
              <w:top w:w="0" w:type="dxa"/>
              <w:left w:w="108" w:type="dxa"/>
              <w:bottom w:w="0" w:type="dxa"/>
              <w:right w:w="108" w:type="dxa"/>
            </w:tcMar>
            <w:vAlign w:val="center"/>
          </w:tcPr>
          <w:p w14:paraId="771DD00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监控接入单位并发峰值，评估容量瓶颈，提供预警与扩容建议。</w:t>
            </w:r>
          </w:p>
        </w:tc>
      </w:tr>
      <w:tr w14:paraId="506C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restart"/>
            <w:shd w:val="clear" w:color="auto" w:fill="auto"/>
            <w:noWrap/>
            <w:tcMar>
              <w:top w:w="0" w:type="dxa"/>
              <w:left w:w="108" w:type="dxa"/>
              <w:bottom w:w="0" w:type="dxa"/>
              <w:right w:w="108" w:type="dxa"/>
            </w:tcMar>
            <w:vAlign w:val="center"/>
          </w:tcPr>
          <w:p w14:paraId="787CC9E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模块三：视频平台功能升级完善－能力层</w:t>
            </w:r>
          </w:p>
        </w:tc>
        <w:tc>
          <w:tcPr>
            <w:tcW w:w="538" w:type="dxa"/>
            <w:shd w:val="clear" w:color="auto" w:fill="auto"/>
            <w:tcMar>
              <w:top w:w="0" w:type="dxa"/>
              <w:left w:w="108" w:type="dxa"/>
              <w:bottom w:w="0" w:type="dxa"/>
              <w:right w:w="108" w:type="dxa"/>
            </w:tcMar>
            <w:vAlign w:val="center"/>
          </w:tcPr>
          <w:p w14:paraId="4DFF94B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21BD21A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标签分类体系管理功能（分类体系管理）</w:t>
            </w:r>
          </w:p>
        </w:tc>
        <w:tc>
          <w:tcPr>
            <w:tcW w:w="4020" w:type="dxa"/>
            <w:shd w:val="clear" w:color="auto" w:fill="auto"/>
            <w:noWrap/>
            <w:tcMar>
              <w:top w:w="0" w:type="dxa"/>
              <w:left w:w="108" w:type="dxa"/>
              <w:bottom w:w="0" w:type="dxa"/>
              <w:right w:w="108" w:type="dxa"/>
            </w:tcMar>
            <w:vAlign w:val="center"/>
          </w:tcPr>
          <w:p w14:paraId="36F1E0F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构建多层级树形标签分类体系，支持多维度分类、权限管控、版本管理与标准化维护。</w:t>
            </w:r>
          </w:p>
        </w:tc>
      </w:tr>
      <w:tr w14:paraId="52CD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2E4B98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B5E617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2962" w:type="dxa"/>
            <w:shd w:val="clear" w:color="auto" w:fill="auto"/>
            <w:noWrap/>
            <w:tcMar>
              <w:top w:w="0" w:type="dxa"/>
              <w:left w:w="108" w:type="dxa"/>
              <w:bottom w:w="0" w:type="dxa"/>
              <w:right w:w="108" w:type="dxa"/>
            </w:tcMar>
            <w:vAlign w:val="center"/>
          </w:tcPr>
          <w:p w14:paraId="4416DC0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智能标签检索服务功能（智能检索服务）</w:t>
            </w:r>
          </w:p>
        </w:tc>
        <w:tc>
          <w:tcPr>
            <w:tcW w:w="4020" w:type="dxa"/>
            <w:shd w:val="clear" w:color="auto" w:fill="auto"/>
            <w:noWrap/>
            <w:tcMar>
              <w:top w:w="0" w:type="dxa"/>
              <w:left w:w="108" w:type="dxa"/>
              <w:bottom w:w="0" w:type="dxa"/>
              <w:right w:w="108" w:type="dxa"/>
            </w:tcMar>
            <w:vAlign w:val="center"/>
          </w:tcPr>
          <w:p w14:paraId="0CAF155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提供多模式、高吞吐、智能化标签检索引擎，支持精准查询、语义理解、结果排序与性能优化。</w:t>
            </w:r>
          </w:p>
        </w:tc>
      </w:tr>
      <w:tr w14:paraId="7230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30BF52D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128AB41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c>
          <w:tcPr>
            <w:tcW w:w="2962" w:type="dxa"/>
            <w:shd w:val="clear" w:color="auto" w:fill="auto"/>
            <w:noWrap/>
            <w:tcMar>
              <w:top w:w="0" w:type="dxa"/>
              <w:left w:w="108" w:type="dxa"/>
              <w:bottom w:w="0" w:type="dxa"/>
              <w:right w:w="108" w:type="dxa"/>
            </w:tcMar>
            <w:vAlign w:val="center"/>
          </w:tcPr>
          <w:p w14:paraId="555B842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标签业务集成应用功能（业务集成应用）</w:t>
            </w:r>
          </w:p>
        </w:tc>
        <w:tc>
          <w:tcPr>
            <w:tcW w:w="4020" w:type="dxa"/>
            <w:shd w:val="clear" w:color="auto" w:fill="auto"/>
            <w:noWrap/>
            <w:tcMar>
              <w:top w:w="0" w:type="dxa"/>
              <w:left w:w="108" w:type="dxa"/>
              <w:bottom w:w="0" w:type="dxa"/>
              <w:right w:w="108" w:type="dxa"/>
            </w:tcMar>
            <w:vAlign w:val="center"/>
          </w:tcPr>
          <w:p w14:paraId="7D029A1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实现标签与视频检索、地图服务、业务预案深度集成，支持多标签组合查询与可视化应用。</w:t>
            </w:r>
          </w:p>
        </w:tc>
      </w:tr>
      <w:tr w14:paraId="20C8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restart"/>
            <w:shd w:val="clear" w:color="auto" w:fill="auto"/>
            <w:noWrap/>
            <w:tcMar>
              <w:top w:w="0" w:type="dxa"/>
              <w:left w:w="108" w:type="dxa"/>
              <w:bottom w:w="0" w:type="dxa"/>
              <w:right w:w="108" w:type="dxa"/>
            </w:tcMar>
            <w:vAlign w:val="center"/>
          </w:tcPr>
          <w:p w14:paraId="354EB5B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模块四：视频平台功能升级完善－数据层</w:t>
            </w:r>
          </w:p>
        </w:tc>
        <w:tc>
          <w:tcPr>
            <w:tcW w:w="538" w:type="dxa"/>
            <w:shd w:val="clear" w:color="auto" w:fill="auto"/>
            <w:tcMar>
              <w:top w:w="0" w:type="dxa"/>
              <w:left w:w="108" w:type="dxa"/>
              <w:bottom w:w="0" w:type="dxa"/>
              <w:right w:w="108" w:type="dxa"/>
            </w:tcMar>
            <w:vAlign w:val="center"/>
          </w:tcPr>
          <w:p w14:paraId="7472F65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4F94E19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设备信息录入管理平台功能（录入管理平台）</w:t>
            </w:r>
          </w:p>
        </w:tc>
        <w:tc>
          <w:tcPr>
            <w:tcW w:w="4020" w:type="dxa"/>
            <w:shd w:val="clear" w:color="auto" w:fill="auto"/>
            <w:noWrap/>
            <w:tcMar>
              <w:top w:w="0" w:type="dxa"/>
              <w:left w:w="108" w:type="dxa"/>
              <w:bottom w:w="0" w:type="dxa"/>
              <w:right w:w="108" w:type="dxa"/>
            </w:tcMar>
            <w:vAlign w:val="center"/>
          </w:tcPr>
          <w:p w14:paraId="2840763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提供标准化设备信息在线录入、编辑、校验与审核，支持分步骤录入与模板化批量操作。</w:t>
            </w:r>
          </w:p>
        </w:tc>
      </w:tr>
      <w:tr w14:paraId="1CD0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27BE4A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1DD8B9D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2962" w:type="dxa"/>
            <w:shd w:val="clear" w:color="auto" w:fill="auto"/>
            <w:noWrap/>
            <w:tcMar>
              <w:top w:w="0" w:type="dxa"/>
              <w:left w:w="108" w:type="dxa"/>
              <w:bottom w:w="0" w:type="dxa"/>
              <w:right w:w="108" w:type="dxa"/>
            </w:tcMar>
            <w:vAlign w:val="center"/>
          </w:tcPr>
          <w:p w14:paraId="5225E20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设备数据批量导入处理功能（批量导入处理）</w:t>
            </w:r>
          </w:p>
        </w:tc>
        <w:tc>
          <w:tcPr>
            <w:tcW w:w="4020" w:type="dxa"/>
            <w:shd w:val="clear" w:color="auto" w:fill="auto"/>
            <w:noWrap/>
            <w:tcMar>
              <w:top w:w="0" w:type="dxa"/>
              <w:left w:w="108" w:type="dxa"/>
              <w:bottom w:w="0" w:type="dxa"/>
              <w:right w:w="108" w:type="dxa"/>
            </w:tcMar>
            <w:vAlign w:val="center"/>
          </w:tcPr>
          <w:p w14:paraId="08F5AC0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至少支持 Excel/CSV 批量导入、格式自动识别、字段映射、质量校验与进度展示。</w:t>
            </w:r>
          </w:p>
        </w:tc>
      </w:tr>
      <w:tr w14:paraId="1E08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1E7859A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734AAA7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c>
          <w:tcPr>
            <w:tcW w:w="2962" w:type="dxa"/>
            <w:shd w:val="clear" w:color="auto" w:fill="auto"/>
            <w:noWrap/>
            <w:tcMar>
              <w:top w:w="0" w:type="dxa"/>
              <w:left w:w="108" w:type="dxa"/>
              <w:bottom w:w="0" w:type="dxa"/>
              <w:right w:w="108" w:type="dxa"/>
            </w:tcMar>
            <w:vAlign w:val="center"/>
          </w:tcPr>
          <w:p w14:paraId="55E543C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设备数据清洗工具服务功能（清洗工具服务）</w:t>
            </w:r>
          </w:p>
        </w:tc>
        <w:tc>
          <w:tcPr>
            <w:tcW w:w="4020" w:type="dxa"/>
            <w:shd w:val="clear" w:color="auto" w:fill="auto"/>
            <w:noWrap/>
            <w:tcMar>
              <w:top w:w="0" w:type="dxa"/>
              <w:left w:w="108" w:type="dxa"/>
              <w:bottom w:w="0" w:type="dxa"/>
              <w:right w:w="108" w:type="dxa"/>
            </w:tcMar>
            <w:vAlign w:val="center"/>
          </w:tcPr>
          <w:p w14:paraId="5600516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提供数据去重、标准化、错误修正、规则管理与清洗效果评估，提升数据质量。</w:t>
            </w:r>
          </w:p>
        </w:tc>
      </w:tr>
      <w:tr w14:paraId="7DC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113AF8D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EC4F21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w:t>
            </w:r>
          </w:p>
        </w:tc>
        <w:tc>
          <w:tcPr>
            <w:tcW w:w="2962" w:type="dxa"/>
            <w:shd w:val="clear" w:color="auto" w:fill="auto"/>
            <w:noWrap/>
            <w:tcMar>
              <w:top w:w="0" w:type="dxa"/>
              <w:left w:w="108" w:type="dxa"/>
              <w:bottom w:w="0" w:type="dxa"/>
              <w:right w:w="108" w:type="dxa"/>
            </w:tcMar>
            <w:vAlign w:val="center"/>
          </w:tcPr>
          <w:p w14:paraId="60268AF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视频标签分类管理系统功能（分类管理系统）</w:t>
            </w:r>
          </w:p>
        </w:tc>
        <w:tc>
          <w:tcPr>
            <w:tcW w:w="4020" w:type="dxa"/>
            <w:shd w:val="clear" w:color="auto" w:fill="auto"/>
            <w:noWrap/>
            <w:tcMar>
              <w:top w:w="0" w:type="dxa"/>
              <w:left w:w="108" w:type="dxa"/>
              <w:bottom w:w="0" w:type="dxa"/>
              <w:right w:w="108" w:type="dxa"/>
            </w:tcMar>
            <w:vAlign w:val="center"/>
          </w:tcPr>
          <w:p w14:paraId="0890772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实现标签树形分类、权限管理、使用统计、合并拆分与导入导出。</w:t>
            </w:r>
          </w:p>
        </w:tc>
      </w:tr>
      <w:tr w14:paraId="0B51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507C30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57CCA97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w:t>
            </w:r>
          </w:p>
        </w:tc>
        <w:tc>
          <w:tcPr>
            <w:tcW w:w="2962" w:type="dxa"/>
            <w:shd w:val="clear" w:color="auto" w:fill="auto"/>
            <w:noWrap/>
            <w:tcMar>
              <w:top w:w="0" w:type="dxa"/>
              <w:left w:w="108" w:type="dxa"/>
              <w:bottom w:w="0" w:type="dxa"/>
              <w:right w:w="108" w:type="dxa"/>
            </w:tcMar>
            <w:vAlign w:val="center"/>
          </w:tcPr>
          <w:p w14:paraId="4B6D455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视频资源编目管理功能（编目管理功能）</w:t>
            </w:r>
          </w:p>
        </w:tc>
        <w:tc>
          <w:tcPr>
            <w:tcW w:w="4020" w:type="dxa"/>
            <w:shd w:val="clear" w:color="auto" w:fill="auto"/>
            <w:noWrap/>
            <w:tcMar>
              <w:top w:w="0" w:type="dxa"/>
              <w:left w:w="108" w:type="dxa"/>
              <w:bottom w:w="0" w:type="dxa"/>
              <w:right w:w="108" w:type="dxa"/>
            </w:tcMar>
            <w:vAlign w:val="center"/>
          </w:tcPr>
          <w:p w14:paraId="00793EB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建立统一编目体系，支持多种编目模式，包括自动编目、半自动编目、手动编目等不同方式，实现任务调度、质量核查与统计分析。</w:t>
            </w:r>
          </w:p>
        </w:tc>
      </w:tr>
      <w:tr w14:paraId="5D82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4E59601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6B067C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2962" w:type="dxa"/>
            <w:shd w:val="clear" w:color="auto" w:fill="auto"/>
            <w:noWrap/>
            <w:tcMar>
              <w:top w:w="0" w:type="dxa"/>
              <w:left w:w="108" w:type="dxa"/>
              <w:bottom w:w="0" w:type="dxa"/>
              <w:right w:w="108" w:type="dxa"/>
            </w:tcMar>
            <w:vAlign w:val="center"/>
          </w:tcPr>
          <w:p w14:paraId="2101FF7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视频预案模板管理功能（预案模板管理）</w:t>
            </w:r>
          </w:p>
        </w:tc>
        <w:tc>
          <w:tcPr>
            <w:tcW w:w="4020" w:type="dxa"/>
            <w:shd w:val="clear" w:color="auto" w:fill="auto"/>
            <w:noWrap/>
            <w:tcMar>
              <w:top w:w="0" w:type="dxa"/>
              <w:left w:w="108" w:type="dxa"/>
              <w:bottom w:w="0" w:type="dxa"/>
              <w:right w:w="108" w:type="dxa"/>
            </w:tcMar>
            <w:vAlign w:val="center"/>
          </w:tcPr>
          <w:p w14:paraId="234830C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提供预案模板全生命周期管理，支持版本控制、标准化审核与使用统计。</w:t>
            </w:r>
          </w:p>
        </w:tc>
      </w:tr>
      <w:tr w14:paraId="0050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7C7E08F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0548780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7</w:t>
            </w:r>
          </w:p>
        </w:tc>
        <w:tc>
          <w:tcPr>
            <w:tcW w:w="2962" w:type="dxa"/>
            <w:shd w:val="clear" w:color="auto" w:fill="auto"/>
            <w:noWrap/>
            <w:tcMar>
              <w:top w:w="0" w:type="dxa"/>
              <w:left w:w="108" w:type="dxa"/>
              <w:bottom w:w="0" w:type="dxa"/>
              <w:right w:w="108" w:type="dxa"/>
            </w:tcMar>
            <w:vAlign w:val="center"/>
          </w:tcPr>
          <w:p w14:paraId="09ABE9B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视频设备电子档案管理功能（档案管理功能）</w:t>
            </w:r>
          </w:p>
        </w:tc>
        <w:tc>
          <w:tcPr>
            <w:tcW w:w="4020" w:type="dxa"/>
            <w:shd w:val="clear" w:color="auto" w:fill="auto"/>
            <w:noWrap/>
            <w:tcMar>
              <w:top w:w="0" w:type="dxa"/>
              <w:left w:w="108" w:type="dxa"/>
              <w:bottom w:w="0" w:type="dxa"/>
              <w:right w:w="108" w:type="dxa"/>
            </w:tcMar>
            <w:vAlign w:val="center"/>
          </w:tcPr>
          <w:p w14:paraId="6B889BE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建立 “一机一档”电子档案，覆盖全生命周期信息，支持多媒体资料存储与安全管控。</w:t>
            </w:r>
          </w:p>
        </w:tc>
      </w:tr>
      <w:tr w14:paraId="6F2B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2F3659C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07697CD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8</w:t>
            </w:r>
          </w:p>
        </w:tc>
        <w:tc>
          <w:tcPr>
            <w:tcW w:w="2962" w:type="dxa"/>
            <w:shd w:val="clear" w:color="auto" w:fill="auto"/>
            <w:noWrap/>
            <w:tcMar>
              <w:top w:w="0" w:type="dxa"/>
              <w:left w:w="108" w:type="dxa"/>
              <w:bottom w:w="0" w:type="dxa"/>
              <w:right w:w="108" w:type="dxa"/>
            </w:tcMar>
            <w:vAlign w:val="center"/>
          </w:tcPr>
          <w:p w14:paraId="6BBE7D8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视频设备档案查询服务功能（档案查询服务）</w:t>
            </w:r>
          </w:p>
        </w:tc>
        <w:tc>
          <w:tcPr>
            <w:tcW w:w="4020" w:type="dxa"/>
            <w:shd w:val="clear" w:color="auto" w:fill="auto"/>
            <w:noWrap/>
            <w:tcMar>
              <w:top w:w="0" w:type="dxa"/>
              <w:left w:w="108" w:type="dxa"/>
              <w:bottom w:w="0" w:type="dxa"/>
              <w:right w:w="108" w:type="dxa"/>
            </w:tcMar>
            <w:vAlign w:val="center"/>
          </w:tcPr>
          <w:p w14:paraId="06BCA6D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提供多条件、组合式、关联式档案查询，支持结果展示、导出与性能优化。</w:t>
            </w:r>
          </w:p>
        </w:tc>
      </w:tr>
      <w:tr w14:paraId="5186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3BE7CD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50ED565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w:t>
            </w:r>
          </w:p>
        </w:tc>
        <w:tc>
          <w:tcPr>
            <w:tcW w:w="2962" w:type="dxa"/>
            <w:shd w:val="clear" w:color="auto" w:fill="auto"/>
            <w:noWrap/>
            <w:tcMar>
              <w:top w:w="0" w:type="dxa"/>
              <w:left w:w="108" w:type="dxa"/>
              <w:bottom w:w="0" w:type="dxa"/>
              <w:right w:w="108" w:type="dxa"/>
            </w:tcMar>
            <w:vAlign w:val="center"/>
          </w:tcPr>
          <w:p w14:paraId="398ABF0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设备地图位置智能管理功能（地图位置管理）</w:t>
            </w:r>
          </w:p>
        </w:tc>
        <w:tc>
          <w:tcPr>
            <w:tcW w:w="4020" w:type="dxa"/>
            <w:shd w:val="clear" w:color="auto" w:fill="auto"/>
            <w:noWrap/>
            <w:tcMar>
              <w:top w:w="0" w:type="dxa"/>
              <w:left w:w="108" w:type="dxa"/>
              <w:bottom w:w="0" w:type="dxa"/>
              <w:right w:w="108" w:type="dxa"/>
            </w:tcMar>
            <w:vAlign w:val="center"/>
          </w:tcPr>
          <w:p w14:paraId="0AA2534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基于政务一张图实现设备精确定位、标注、图层展示与坐标转换。</w:t>
            </w:r>
          </w:p>
        </w:tc>
      </w:tr>
      <w:tr w14:paraId="792C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D2ECFC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35921C6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10</w:t>
            </w:r>
          </w:p>
        </w:tc>
        <w:tc>
          <w:tcPr>
            <w:tcW w:w="2962" w:type="dxa"/>
            <w:shd w:val="clear" w:color="auto" w:fill="auto"/>
            <w:noWrap/>
            <w:tcMar>
              <w:top w:w="0" w:type="dxa"/>
              <w:left w:w="108" w:type="dxa"/>
              <w:bottom w:w="0" w:type="dxa"/>
              <w:right w:w="108" w:type="dxa"/>
            </w:tcMar>
            <w:vAlign w:val="center"/>
          </w:tcPr>
          <w:p w14:paraId="130E2BD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视频数据资源统计分析功能（资源统计分析）</w:t>
            </w:r>
          </w:p>
        </w:tc>
        <w:tc>
          <w:tcPr>
            <w:tcW w:w="4020" w:type="dxa"/>
            <w:shd w:val="clear" w:color="auto" w:fill="auto"/>
            <w:noWrap/>
            <w:tcMar>
              <w:top w:w="0" w:type="dxa"/>
              <w:left w:w="108" w:type="dxa"/>
              <w:bottom w:w="0" w:type="dxa"/>
              <w:right w:w="108" w:type="dxa"/>
            </w:tcMar>
            <w:vAlign w:val="center"/>
          </w:tcPr>
          <w:p w14:paraId="0A81AD9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从资源数量、分布、使用率、质量等维度进行统计分析，提供可视化看板与定制报告。</w:t>
            </w:r>
          </w:p>
        </w:tc>
      </w:tr>
      <w:tr w14:paraId="512F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restart"/>
            <w:shd w:val="clear" w:color="auto" w:fill="auto"/>
            <w:noWrap/>
            <w:tcMar>
              <w:top w:w="0" w:type="dxa"/>
              <w:left w:w="108" w:type="dxa"/>
              <w:bottom w:w="0" w:type="dxa"/>
              <w:right w:w="108" w:type="dxa"/>
            </w:tcMar>
            <w:vAlign w:val="center"/>
          </w:tcPr>
          <w:p w14:paraId="28A3B84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模块五：部省联动视频联网建设</w:t>
            </w:r>
          </w:p>
        </w:tc>
        <w:tc>
          <w:tcPr>
            <w:tcW w:w="538" w:type="dxa"/>
            <w:shd w:val="clear" w:color="auto" w:fill="auto"/>
            <w:tcMar>
              <w:top w:w="0" w:type="dxa"/>
              <w:left w:w="108" w:type="dxa"/>
              <w:bottom w:w="0" w:type="dxa"/>
              <w:right w:w="108" w:type="dxa"/>
            </w:tcMar>
            <w:vAlign w:val="center"/>
          </w:tcPr>
          <w:p w14:paraId="3AE9A3D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7352DBC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省级视频平台视频国标共享能力开发</w:t>
            </w:r>
          </w:p>
        </w:tc>
        <w:tc>
          <w:tcPr>
            <w:tcW w:w="4020" w:type="dxa"/>
            <w:shd w:val="clear" w:color="auto" w:fill="auto"/>
            <w:noWrap/>
            <w:tcMar>
              <w:top w:w="0" w:type="dxa"/>
              <w:left w:w="108" w:type="dxa"/>
              <w:bottom w:w="0" w:type="dxa"/>
              <w:right w:w="108" w:type="dxa"/>
            </w:tcMar>
            <w:vAlign w:val="center"/>
          </w:tcPr>
          <w:p w14:paraId="754113D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遵循 GB/T 28181 协议实现与部级平台互联互通，支持云台控制、协议兼容。</w:t>
            </w:r>
          </w:p>
        </w:tc>
      </w:tr>
      <w:tr w14:paraId="1CDF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459814E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0D2B648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2962" w:type="dxa"/>
            <w:shd w:val="clear" w:color="auto" w:fill="auto"/>
            <w:noWrap/>
            <w:tcMar>
              <w:top w:w="0" w:type="dxa"/>
              <w:left w:w="108" w:type="dxa"/>
              <w:bottom w:w="0" w:type="dxa"/>
              <w:right w:w="108" w:type="dxa"/>
            </w:tcMar>
            <w:vAlign w:val="center"/>
          </w:tcPr>
          <w:p w14:paraId="68FB2E3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省级视频平台视频资源编码开发</w:t>
            </w:r>
          </w:p>
        </w:tc>
        <w:tc>
          <w:tcPr>
            <w:tcW w:w="4020" w:type="dxa"/>
            <w:shd w:val="clear" w:color="auto" w:fill="auto"/>
            <w:noWrap/>
            <w:tcMar>
              <w:top w:w="0" w:type="dxa"/>
              <w:left w:w="108" w:type="dxa"/>
              <w:bottom w:w="0" w:type="dxa"/>
              <w:right w:w="108" w:type="dxa"/>
            </w:tcMar>
            <w:vAlign w:val="center"/>
          </w:tcPr>
          <w:p w14:paraId="35F40F9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按交通部规范实现视频资源统一编码，保留国标编码，支持交通各领域编码配置。</w:t>
            </w:r>
          </w:p>
        </w:tc>
      </w:tr>
      <w:tr w14:paraId="04E2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A5FB74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55CA849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c>
          <w:tcPr>
            <w:tcW w:w="2962" w:type="dxa"/>
            <w:shd w:val="clear" w:color="auto" w:fill="auto"/>
            <w:noWrap/>
            <w:tcMar>
              <w:top w:w="0" w:type="dxa"/>
              <w:left w:w="108" w:type="dxa"/>
              <w:bottom w:w="0" w:type="dxa"/>
              <w:right w:w="108" w:type="dxa"/>
            </w:tcMar>
            <w:vAlign w:val="center"/>
          </w:tcPr>
          <w:p w14:paraId="4E82867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省级视频平台视频资源双编码能力开发</w:t>
            </w:r>
          </w:p>
        </w:tc>
        <w:tc>
          <w:tcPr>
            <w:tcW w:w="4020" w:type="dxa"/>
            <w:shd w:val="clear" w:color="auto" w:fill="auto"/>
            <w:noWrap/>
            <w:tcMar>
              <w:top w:w="0" w:type="dxa"/>
              <w:left w:w="108" w:type="dxa"/>
              <w:bottom w:w="0" w:type="dxa"/>
              <w:right w:w="108" w:type="dxa"/>
            </w:tcMar>
            <w:vAlign w:val="center"/>
          </w:tcPr>
          <w:p w14:paraId="0E3A40C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支持同时推送交通部编码与国标编码，满足部级平台接入要求。</w:t>
            </w:r>
          </w:p>
        </w:tc>
      </w:tr>
      <w:tr w14:paraId="16FC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8235C5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4A7F178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w:t>
            </w:r>
          </w:p>
        </w:tc>
        <w:tc>
          <w:tcPr>
            <w:tcW w:w="2962" w:type="dxa"/>
            <w:shd w:val="clear" w:color="auto" w:fill="auto"/>
            <w:noWrap/>
            <w:tcMar>
              <w:top w:w="0" w:type="dxa"/>
              <w:left w:w="108" w:type="dxa"/>
              <w:bottom w:w="0" w:type="dxa"/>
              <w:right w:w="108" w:type="dxa"/>
            </w:tcMar>
            <w:vAlign w:val="center"/>
          </w:tcPr>
          <w:p w14:paraId="50121BE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省级视频平台视频国标接入能力开发</w:t>
            </w:r>
          </w:p>
        </w:tc>
        <w:tc>
          <w:tcPr>
            <w:tcW w:w="4020" w:type="dxa"/>
            <w:shd w:val="clear" w:color="auto" w:fill="auto"/>
            <w:noWrap/>
            <w:tcMar>
              <w:top w:w="0" w:type="dxa"/>
              <w:left w:w="108" w:type="dxa"/>
              <w:bottom w:w="0" w:type="dxa"/>
              <w:right w:w="108" w:type="dxa"/>
            </w:tcMar>
            <w:vAlign w:val="center"/>
          </w:tcPr>
          <w:p w14:paraId="6CFBE01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 GB/T 28181 实现跨平台视频联网、资源同步、预览、回放、下载与对讲。</w:t>
            </w:r>
          </w:p>
        </w:tc>
      </w:tr>
      <w:tr w14:paraId="41F8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735FFDC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0221742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w:t>
            </w:r>
          </w:p>
        </w:tc>
        <w:tc>
          <w:tcPr>
            <w:tcW w:w="2962" w:type="dxa"/>
            <w:shd w:val="clear" w:color="auto" w:fill="auto"/>
            <w:noWrap/>
            <w:tcMar>
              <w:top w:w="0" w:type="dxa"/>
              <w:left w:w="108" w:type="dxa"/>
              <w:bottom w:w="0" w:type="dxa"/>
              <w:right w:w="108" w:type="dxa"/>
            </w:tcMar>
            <w:vAlign w:val="center"/>
          </w:tcPr>
          <w:p w14:paraId="705C37A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省级视频平台视频本级预览能力开发</w:t>
            </w:r>
          </w:p>
        </w:tc>
        <w:tc>
          <w:tcPr>
            <w:tcW w:w="4020" w:type="dxa"/>
            <w:shd w:val="clear" w:color="auto" w:fill="auto"/>
            <w:noWrap/>
            <w:tcMar>
              <w:top w:w="0" w:type="dxa"/>
              <w:left w:w="108" w:type="dxa"/>
              <w:bottom w:w="0" w:type="dxa"/>
              <w:right w:w="108" w:type="dxa"/>
            </w:tcMar>
            <w:vAlign w:val="center"/>
          </w:tcPr>
          <w:p w14:paraId="3AC1AC7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支持本级视频点播、并发预览、录像回放与布局切换。</w:t>
            </w:r>
          </w:p>
        </w:tc>
      </w:tr>
      <w:tr w14:paraId="2E50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4F264F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231A78B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2962" w:type="dxa"/>
            <w:shd w:val="clear" w:color="auto" w:fill="auto"/>
            <w:noWrap/>
            <w:tcMar>
              <w:top w:w="0" w:type="dxa"/>
              <w:left w:w="108" w:type="dxa"/>
              <w:bottom w:w="0" w:type="dxa"/>
              <w:right w:w="108" w:type="dxa"/>
            </w:tcMar>
            <w:vAlign w:val="center"/>
          </w:tcPr>
          <w:p w14:paraId="41049C4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省级视频平台视频联网资源目录管理能力开发</w:t>
            </w:r>
          </w:p>
        </w:tc>
        <w:tc>
          <w:tcPr>
            <w:tcW w:w="4020" w:type="dxa"/>
            <w:shd w:val="clear" w:color="auto" w:fill="auto"/>
            <w:noWrap/>
            <w:tcMar>
              <w:top w:w="0" w:type="dxa"/>
              <w:left w:w="108" w:type="dxa"/>
              <w:bottom w:w="0" w:type="dxa"/>
              <w:right w:w="108" w:type="dxa"/>
            </w:tcMar>
            <w:vAlign w:val="center"/>
          </w:tcPr>
          <w:p w14:paraId="103F7F0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实现视频目录主动推送、增量更新，满足部级平台目录同步要求。</w:t>
            </w:r>
          </w:p>
        </w:tc>
      </w:tr>
      <w:tr w14:paraId="00D8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1200209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4C52720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7</w:t>
            </w:r>
          </w:p>
        </w:tc>
        <w:tc>
          <w:tcPr>
            <w:tcW w:w="2962" w:type="dxa"/>
            <w:shd w:val="clear" w:color="auto" w:fill="auto"/>
            <w:noWrap/>
            <w:tcMar>
              <w:top w:w="0" w:type="dxa"/>
              <w:left w:w="108" w:type="dxa"/>
              <w:bottom w:w="0" w:type="dxa"/>
              <w:right w:w="108" w:type="dxa"/>
            </w:tcMar>
            <w:vAlign w:val="center"/>
          </w:tcPr>
          <w:p w14:paraId="4200A3B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省级视频平台校时能力开发</w:t>
            </w:r>
          </w:p>
        </w:tc>
        <w:tc>
          <w:tcPr>
            <w:tcW w:w="4020" w:type="dxa"/>
            <w:shd w:val="clear" w:color="auto" w:fill="auto"/>
            <w:noWrap/>
            <w:tcMar>
              <w:top w:w="0" w:type="dxa"/>
              <w:left w:w="108" w:type="dxa"/>
              <w:bottom w:w="0" w:type="dxa"/>
              <w:right w:w="108" w:type="dxa"/>
            </w:tcMar>
            <w:vAlign w:val="center"/>
          </w:tcPr>
          <w:p w14:paraId="5121DE7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 NTP 统一时钟同步，每日至少同步 1 次，同步精度≤1 秒。</w:t>
            </w:r>
          </w:p>
        </w:tc>
      </w:tr>
      <w:tr w14:paraId="4841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752B42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30B9938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8</w:t>
            </w:r>
          </w:p>
        </w:tc>
        <w:tc>
          <w:tcPr>
            <w:tcW w:w="2962" w:type="dxa"/>
            <w:shd w:val="clear" w:color="auto" w:fill="auto"/>
            <w:noWrap/>
            <w:tcMar>
              <w:top w:w="0" w:type="dxa"/>
              <w:left w:w="108" w:type="dxa"/>
              <w:bottom w:w="0" w:type="dxa"/>
              <w:right w:w="108" w:type="dxa"/>
            </w:tcMar>
            <w:vAlign w:val="center"/>
          </w:tcPr>
          <w:p w14:paraId="2571819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省级视频平台视频资源质量异常诊断能力开发</w:t>
            </w:r>
          </w:p>
        </w:tc>
        <w:tc>
          <w:tcPr>
            <w:tcW w:w="4020" w:type="dxa"/>
            <w:shd w:val="clear" w:color="auto" w:fill="auto"/>
            <w:noWrap/>
            <w:tcMar>
              <w:top w:w="0" w:type="dxa"/>
              <w:left w:w="108" w:type="dxa"/>
              <w:bottom w:w="0" w:type="dxa"/>
              <w:right w:w="108" w:type="dxa"/>
            </w:tcMar>
            <w:vAlign w:val="center"/>
          </w:tcPr>
          <w:p w14:paraId="0D1EB34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支持信号丢失、模糊、卡顿、遮挡等图像异常检测，并按要求上报。</w:t>
            </w:r>
          </w:p>
        </w:tc>
      </w:tr>
      <w:tr w14:paraId="16F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3063BA1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4042A35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w:t>
            </w:r>
          </w:p>
        </w:tc>
        <w:tc>
          <w:tcPr>
            <w:tcW w:w="2962" w:type="dxa"/>
            <w:shd w:val="clear" w:color="auto" w:fill="auto"/>
            <w:noWrap/>
            <w:tcMar>
              <w:top w:w="0" w:type="dxa"/>
              <w:left w:w="108" w:type="dxa"/>
              <w:bottom w:w="0" w:type="dxa"/>
              <w:right w:w="108" w:type="dxa"/>
            </w:tcMar>
            <w:vAlign w:val="center"/>
          </w:tcPr>
          <w:p w14:paraId="47861D9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省级视频平台安全防护能力开发</w:t>
            </w:r>
          </w:p>
        </w:tc>
        <w:tc>
          <w:tcPr>
            <w:tcW w:w="4020" w:type="dxa"/>
            <w:shd w:val="clear" w:color="auto" w:fill="auto"/>
            <w:noWrap/>
            <w:tcMar>
              <w:top w:w="0" w:type="dxa"/>
              <w:left w:w="108" w:type="dxa"/>
              <w:bottom w:w="0" w:type="dxa"/>
              <w:right w:w="108" w:type="dxa"/>
            </w:tcMar>
            <w:vAlign w:val="center"/>
          </w:tcPr>
          <w:p w14:paraId="1720511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实现安全加固、恶意代码防护、协议校验、服务认证、信令与媒体流安全管控。</w:t>
            </w:r>
          </w:p>
        </w:tc>
      </w:tr>
      <w:tr w14:paraId="70B9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D3E975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983450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10</w:t>
            </w:r>
          </w:p>
        </w:tc>
        <w:tc>
          <w:tcPr>
            <w:tcW w:w="2962" w:type="dxa"/>
            <w:shd w:val="clear" w:color="auto" w:fill="auto"/>
            <w:noWrap/>
            <w:tcMar>
              <w:top w:w="0" w:type="dxa"/>
              <w:left w:w="108" w:type="dxa"/>
              <w:bottom w:w="0" w:type="dxa"/>
              <w:right w:w="108" w:type="dxa"/>
            </w:tcMar>
            <w:vAlign w:val="center"/>
          </w:tcPr>
          <w:p w14:paraId="43E47D8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省级视频平台视频考核管理能力开发</w:t>
            </w:r>
          </w:p>
        </w:tc>
        <w:tc>
          <w:tcPr>
            <w:tcW w:w="4020" w:type="dxa"/>
            <w:shd w:val="clear" w:color="auto" w:fill="auto"/>
            <w:noWrap/>
            <w:tcMar>
              <w:top w:w="0" w:type="dxa"/>
              <w:left w:w="108" w:type="dxa"/>
              <w:bottom w:w="0" w:type="dxa"/>
              <w:right w:w="108" w:type="dxa"/>
            </w:tcMar>
            <w:vAlign w:val="center"/>
          </w:tcPr>
          <w:p w14:paraId="20B1058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满足视频在线率≥90% 考核要求，支持指标配置、评分规则、稳定性巡检。</w:t>
            </w:r>
          </w:p>
        </w:tc>
      </w:tr>
      <w:tr w14:paraId="76DA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19F5D1B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4CE909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11</w:t>
            </w:r>
          </w:p>
        </w:tc>
        <w:tc>
          <w:tcPr>
            <w:tcW w:w="2962" w:type="dxa"/>
            <w:shd w:val="clear" w:color="auto" w:fill="auto"/>
            <w:noWrap/>
            <w:tcMar>
              <w:top w:w="0" w:type="dxa"/>
              <w:left w:w="108" w:type="dxa"/>
              <w:bottom w:w="0" w:type="dxa"/>
              <w:right w:w="108" w:type="dxa"/>
            </w:tcMar>
            <w:vAlign w:val="center"/>
          </w:tcPr>
          <w:p w14:paraId="761240D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省级视频平台视频巡检配置开发</w:t>
            </w:r>
          </w:p>
        </w:tc>
        <w:tc>
          <w:tcPr>
            <w:tcW w:w="4020" w:type="dxa"/>
            <w:shd w:val="clear" w:color="auto" w:fill="auto"/>
            <w:noWrap/>
            <w:tcMar>
              <w:top w:w="0" w:type="dxa"/>
              <w:left w:w="108" w:type="dxa"/>
              <w:bottom w:w="0" w:type="dxa"/>
              <w:right w:w="108" w:type="dxa"/>
            </w:tcMar>
            <w:vAlign w:val="center"/>
          </w:tcPr>
          <w:p w14:paraId="24B42DF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支持自定义巡检任务、周期、范围与指标，自动监测点位在线状态。</w:t>
            </w:r>
          </w:p>
        </w:tc>
      </w:tr>
      <w:tr w14:paraId="4B5C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679DCAF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4EE747E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12</w:t>
            </w:r>
          </w:p>
        </w:tc>
        <w:tc>
          <w:tcPr>
            <w:tcW w:w="2962" w:type="dxa"/>
            <w:shd w:val="clear" w:color="auto" w:fill="auto"/>
            <w:noWrap/>
            <w:tcMar>
              <w:top w:w="0" w:type="dxa"/>
              <w:left w:w="108" w:type="dxa"/>
              <w:bottom w:w="0" w:type="dxa"/>
              <w:right w:w="108" w:type="dxa"/>
            </w:tcMar>
            <w:vAlign w:val="center"/>
          </w:tcPr>
          <w:p w14:paraId="3C6343C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省级视频平台视频联网监测开发</w:t>
            </w:r>
          </w:p>
        </w:tc>
        <w:tc>
          <w:tcPr>
            <w:tcW w:w="4020" w:type="dxa"/>
            <w:shd w:val="clear" w:color="auto" w:fill="auto"/>
            <w:noWrap/>
            <w:tcMar>
              <w:top w:w="0" w:type="dxa"/>
              <w:left w:w="108" w:type="dxa"/>
              <w:bottom w:w="0" w:type="dxa"/>
              <w:right w:w="108" w:type="dxa"/>
            </w:tcMar>
            <w:vAlign w:val="center"/>
          </w:tcPr>
          <w:p w14:paraId="12BB736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统计下级平台离线、在线率、编码规范等指标，支持考核结果导出。</w:t>
            </w:r>
          </w:p>
        </w:tc>
      </w:tr>
      <w:tr w14:paraId="5397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4ADB921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3343AF2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13</w:t>
            </w:r>
          </w:p>
        </w:tc>
        <w:tc>
          <w:tcPr>
            <w:tcW w:w="2962" w:type="dxa"/>
            <w:shd w:val="clear" w:color="auto" w:fill="auto"/>
            <w:noWrap/>
            <w:tcMar>
              <w:top w:w="0" w:type="dxa"/>
              <w:left w:w="108" w:type="dxa"/>
              <w:bottom w:w="0" w:type="dxa"/>
              <w:right w:w="108" w:type="dxa"/>
            </w:tcMar>
            <w:vAlign w:val="center"/>
          </w:tcPr>
          <w:p w14:paraId="58FA8BB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省级视频平台本级接入视频设备运维开发</w:t>
            </w:r>
          </w:p>
        </w:tc>
        <w:tc>
          <w:tcPr>
            <w:tcW w:w="4020" w:type="dxa"/>
            <w:shd w:val="clear" w:color="auto" w:fill="auto"/>
            <w:noWrap/>
            <w:tcMar>
              <w:top w:w="0" w:type="dxa"/>
              <w:left w:w="108" w:type="dxa"/>
              <w:bottom w:w="0" w:type="dxa"/>
              <w:right w:w="108" w:type="dxa"/>
            </w:tcMar>
            <w:vAlign w:val="center"/>
          </w:tcPr>
          <w:p w14:paraId="52F9D9E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监测设备在线、录像、运行状态，支持故障统计、预览检测与链路诊断。</w:t>
            </w:r>
          </w:p>
        </w:tc>
      </w:tr>
      <w:tr w14:paraId="640D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831379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2C2FB1E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14</w:t>
            </w:r>
          </w:p>
        </w:tc>
        <w:tc>
          <w:tcPr>
            <w:tcW w:w="2962" w:type="dxa"/>
            <w:shd w:val="clear" w:color="auto" w:fill="auto"/>
            <w:noWrap/>
            <w:tcMar>
              <w:top w:w="0" w:type="dxa"/>
              <w:left w:w="108" w:type="dxa"/>
              <w:bottom w:w="0" w:type="dxa"/>
              <w:right w:w="108" w:type="dxa"/>
            </w:tcMar>
            <w:vAlign w:val="center"/>
          </w:tcPr>
          <w:p w14:paraId="7237FFD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省级视频平台视频调度详情查询开发</w:t>
            </w:r>
          </w:p>
        </w:tc>
        <w:tc>
          <w:tcPr>
            <w:tcW w:w="4020" w:type="dxa"/>
            <w:shd w:val="clear" w:color="auto" w:fill="auto"/>
            <w:noWrap/>
            <w:tcMar>
              <w:top w:w="0" w:type="dxa"/>
              <w:left w:w="108" w:type="dxa"/>
              <w:bottom w:w="0" w:type="dxa"/>
              <w:right w:w="108" w:type="dxa"/>
            </w:tcMar>
            <w:vAlign w:val="center"/>
          </w:tcPr>
          <w:p w14:paraId="3EB0DDD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展示部级调阅记录、操作日志、成功率统计，支持多条件查询。</w:t>
            </w:r>
          </w:p>
        </w:tc>
      </w:tr>
      <w:tr w14:paraId="7B97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shd w:val="clear" w:color="auto" w:fill="auto"/>
            <w:noWrap/>
            <w:tcMar>
              <w:top w:w="0" w:type="dxa"/>
              <w:left w:w="108" w:type="dxa"/>
              <w:bottom w:w="0" w:type="dxa"/>
              <w:right w:w="108" w:type="dxa"/>
            </w:tcMar>
            <w:vAlign w:val="center"/>
          </w:tcPr>
          <w:p w14:paraId="6BF6CC0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模块六：密码安全体系建设</w:t>
            </w:r>
          </w:p>
        </w:tc>
        <w:tc>
          <w:tcPr>
            <w:tcW w:w="538" w:type="dxa"/>
            <w:shd w:val="clear" w:color="auto" w:fill="auto"/>
            <w:tcMar>
              <w:top w:w="0" w:type="dxa"/>
              <w:left w:w="108" w:type="dxa"/>
              <w:bottom w:w="0" w:type="dxa"/>
              <w:right w:w="108" w:type="dxa"/>
            </w:tcMar>
            <w:vAlign w:val="center"/>
          </w:tcPr>
          <w:p w14:paraId="4219886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19B81C1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用户身份认证机制模块、业务重要数据安全传输模块、服务器设备日志/访问控制信息完整性模块、用户访问控制信息签名验签模块、应用系统重要数据加解密模块、应用系统重要数据签名验签模块</w:t>
            </w:r>
          </w:p>
          <w:p w14:paraId="5694E9B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4020" w:type="dxa"/>
            <w:shd w:val="clear" w:color="auto" w:fill="auto"/>
            <w:noWrap/>
            <w:tcMar>
              <w:top w:w="0" w:type="dxa"/>
              <w:left w:w="108" w:type="dxa"/>
              <w:bottom w:w="0" w:type="dxa"/>
              <w:right w:w="108" w:type="dxa"/>
            </w:tcMar>
            <w:vAlign w:val="center"/>
          </w:tcPr>
          <w:p w14:paraId="08252BD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基于国密算法构建用户身份认证、重要数据加密传输、日志完整性保护、访问控制签名验签、关键数据加解密与签名验签体系，满足等保与密码应用合规要求。</w:t>
            </w:r>
          </w:p>
        </w:tc>
      </w:tr>
      <w:tr w14:paraId="3AC9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restart"/>
            <w:shd w:val="clear" w:color="auto" w:fill="auto"/>
            <w:noWrap/>
            <w:tcMar>
              <w:top w:w="0" w:type="dxa"/>
              <w:left w:w="108" w:type="dxa"/>
              <w:bottom w:w="0" w:type="dxa"/>
              <w:right w:w="108" w:type="dxa"/>
            </w:tcMar>
            <w:vAlign w:val="center"/>
          </w:tcPr>
          <w:p w14:paraId="7CD170E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模块七：视频智能标注系统建设－云端智能分析平台</w:t>
            </w:r>
          </w:p>
        </w:tc>
        <w:tc>
          <w:tcPr>
            <w:tcW w:w="538" w:type="dxa"/>
            <w:shd w:val="clear" w:color="auto" w:fill="auto"/>
            <w:tcMar>
              <w:top w:w="0" w:type="dxa"/>
              <w:left w:w="108" w:type="dxa"/>
              <w:bottom w:w="0" w:type="dxa"/>
              <w:right w:w="108" w:type="dxa"/>
            </w:tcMar>
            <w:vAlign w:val="center"/>
          </w:tcPr>
          <w:p w14:paraId="2A21389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2962" w:type="dxa"/>
            <w:shd w:val="clear" w:color="auto" w:fill="auto"/>
            <w:noWrap/>
            <w:tcMar>
              <w:top w:w="0" w:type="dxa"/>
              <w:left w:w="108" w:type="dxa"/>
              <w:bottom w:w="0" w:type="dxa"/>
              <w:right w:w="108" w:type="dxa"/>
            </w:tcMar>
            <w:vAlign w:val="center"/>
          </w:tcPr>
          <w:p w14:paraId="1E7EBB4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智能AI模型加载管理服务功能（模型加载管理）</w:t>
            </w:r>
          </w:p>
        </w:tc>
        <w:tc>
          <w:tcPr>
            <w:tcW w:w="4020" w:type="dxa"/>
            <w:shd w:val="clear" w:color="auto" w:fill="auto"/>
            <w:noWrap/>
            <w:tcMar>
              <w:top w:w="0" w:type="dxa"/>
              <w:left w:w="108" w:type="dxa"/>
              <w:bottom w:w="0" w:type="dxa"/>
              <w:right w:w="108" w:type="dxa"/>
            </w:tcMar>
            <w:vAlign w:val="center"/>
          </w:tcPr>
          <w:p w14:paraId="1DD5408B">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实现 AI 模型全生命周期管理，支持多框架模型、动态加载、版本控制、热更新与安全审计；需适配政务云国产GPU。</w:t>
            </w:r>
          </w:p>
        </w:tc>
      </w:tr>
      <w:tr w14:paraId="4D6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7C5B27D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649B1EE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2962" w:type="dxa"/>
            <w:shd w:val="clear" w:color="auto" w:fill="auto"/>
            <w:noWrap/>
            <w:tcMar>
              <w:top w:w="0" w:type="dxa"/>
              <w:left w:w="108" w:type="dxa"/>
              <w:bottom w:w="0" w:type="dxa"/>
              <w:right w:w="108" w:type="dxa"/>
            </w:tcMar>
            <w:vAlign w:val="center"/>
          </w:tcPr>
          <w:p w14:paraId="671B5B1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深度学习推理引擎功能（推理引擎功能）</w:t>
            </w:r>
          </w:p>
        </w:tc>
        <w:tc>
          <w:tcPr>
            <w:tcW w:w="4020" w:type="dxa"/>
            <w:shd w:val="clear" w:color="auto" w:fill="auto"/>
            <w:noWrap/>
            <w:tcMar>
              <w:top w:w="0" w:type="dxa"/>
              <w:left w:w="108" w:type="dxa"/>
              <w:bottom w:w="0" w:type="dxa"/>
              <w:right w:w="108" w:type="dxa"/>
            </w:tcMar>
            <w:vAlign w:val="center"/>
          </w:tcPr>
          <w:p w14:paraId="672A780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构建高性能推理引擎，支持批量/实时推理、多线程并行、软硬协同计算与自适应优化；需适配政务云国产GPU。</w:t>
            </w:r>
          </w:p>
        </w:tc>
      </w:tr>
      <w:tr w14:paraId="1F3A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2B466B5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2C3D2F0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c>
          <w:tcPr>
            <w:tcW w:w="2962" w:type="dxa"/>
            <w:shd w:val="clear" w:color="auto" w:fill="auto"/>
            <w:noWrap/>
            <w:tcMar>
              <w:top w:w="0" w:type="dxa"/>
              <w:left w:w="108" w:type="dxa"/>
              <w:bottom w:w="0" w:type="dxa"/>
              <w:right w:w="108" w:type="dxa"/>
            </w:tcMar>
            <w:vAlign w:val="center"/>
          </w:tcPr>
          <w:p w14:paraId="0C71626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定向标签识别算法功能（定向标签识别）</w:t>
            </w:r>
          </w:p>
        </w:tc>
        <w:tc>
          <w:tcPr>
            <w:tcW w:w="4020" w:type="dxa"/>
            <w:shd w:val="clear" w:color="auto" w:fill="auto"/>
            <w:noWrap/>
            <w:tcMar>
              <w:top w:w="0" w:type="dxa"/>
              <w:left w:w="108" w:type="dxa"/>
              <w:bottom w:w="0" w:type="dxa"/>
              <w:right w:w="108" w:type="dxa"/>
            </w:tcMar>
            <w:vAlign w:val="center"/>
          </w:tcPr>
          <w:p w14:paraId="2B2D2EF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基于预设标签实现精准识别，支持多模型融合、置信度评估、在线学习与持续优化；需适配政务云国产GPU。</w:t>
            </w:r>
          </w:p>
        </w:tc>
      </w:tr>
      <w:tr w14:paraId="2AE4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95" w:type="dxa"/>
            <w:vMerge w:val="continue"/>
            <w:shd w:val="clear" w:color="auto" w:fill="auto"/>
            <w:noWrap/>
            <w:tcMar>
              <w:top w:w="0" w:type="dxa"/>
              <w:left w:w="108" w:type="dxa"/>
              <w:bottom w:w="0" w:type="dxa"/>
              <w:right w:w="108" w:type="dxa"/>
            </w:tcMar>
            <w:vAlign w:val="center"/>
          </w:tcPr>
          <w:p w14:paraId="10B2CEA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297B426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w:t>
            </w:r>
          </w:p>
        </w:tc>
        <w:tc>
          <w:tcPr>
            <w:tcW w:w="2962" w:type="dxa"/>
            <w:shd w:val="clear" w:color="auto" w:fill="auto"/>
            <w:noWrap/>
            <w:tcMar>
              <w:top w:w="0" w:type="dxa"/>
              <w:left w:w="108" w:type="dxa"/>
              <w:bottom w:w="0" w:type="dxa"/>
              <w:right w:w="108" w:type="dxa"/>
            </w:tcMar>
            <w:vAlign w:val="center"/>
          </w:tcPr>
          <w:p w14:paraId="672727D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智能场景理解识别分析服务功能（场景理解识别）</w:t>
            </w:r>
          </w:p>
        </w:tc>
        <w:tc>
          <w:tcPr>
            <w:tcW w:w="4020" w:type="dxa"/>
            <w:shd w:val="clear" w:color="auto" w:fill="auto"/>
            <w:noWrap/>
            <w:tcMar>
              <w:top w:w="0" w:type="dxa"/>
              <w:left w:w="108" w:type="dxa"/>
              <w:bottom w:w="0" w:type="dxa"/>
              <w:right w:w="108" w:type="dxa"/>
            </w:tcMar>
            <w:vAlign w:val="center"/>
          </w:tcPr>
          <w:p w14:paraId="017DFA5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实现场景分类、语义理解、时序分析、区域分割与知识推理，提升场景感知能力；需适配政务云国产GPU。</w:t>
            </w:r>
          </w:p>
        </w:tc>
      </w:tr>
      <w:tr w14:paraId="2D35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 w:hRule="atLeast"/>
        </w:trPr>
        <w:tc>
          <w:tcPr>
            <w:tcW w:w="695" w:type="dxa"/>
            <w:vMerge w:val="continue"/>
            <w:shd w:val="clear" w:color="auto" w:fill="auto"/>
            <w:noWrap/>
            <w:tcMar>
              <w:top w:w="0" w:type="dxa"/>
              <w:left w:w="108" w:type="dxa"/>
              <w:bottom w:w="0" w:type="dxa"/>
              <w:right w:w="108" w:type="dxa"/>
            </w:tcMar>
            <w:vAlign w:val="center"/>
          </w:tcPr>
          <w:p w14:paraId="5862647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p>
        </w:tc>
        <w:tc>
          <w:tcPr>
            <w:tcW w:w="538" w:type="dxa"/>
            <w:shd w:val="clear" w:color="auto" w:fill="auto"/>
            <w:tcMar>
              <w:top w:w="0" w:type="dxa"/>
              <w:left w:w="108" w:type="dxa"/>
              <w:bottom w:w="0" w:type="dxa"/>
              <w:right w:w="108" w:type="dxa"/>
            </w:tcMar>
            <w:vAlign w:val="center"/>
          </w:tcPr>
          <w:p w14:paraId="542003A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w:t>
            </w:r>
          </w:p>
        </w:tc>
        <w:tc>
          <w:tcPr>
            <w:tcW w:w="2962" w:type="dxa"/>
            <w:shd w:val="clear" w:color="auto" w:fill="auto"/>
            <w:noWrap/>
            <w:tcMar>
              <w:top w:w="0" w:type="dxa"/>
              <w:left w:w="108" w:type="dxa"/>
              <w:bottom w:w="0" w:type="dxa"/>
              <w:right w:w="108" w:type="dxa"/>
            </w:tcMar>
            <w:vAlign w:val="center"/>
          </w:tcPr>
          <w:p w14:paraId="1E7AA7A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智能可视化展示界面管理功能（可视化展示）</w:t>
            </w:r>
          </w:p>
        </w:tc>
        <w:tc>
          <w:tcPr>
            <w:tcW w:w="4020" w:type="dxa"/>
            <w:shd w:val="clear" w:color="auto" w:fill="auto"/>
            <w:noWrap/>
            <w:tcMar>
              <w:top w:w="0" w:type="dxa"/>
              <w:left w:w="108" w:type="dxa"/>
              <w:bottom w:w="0" w:type="dxa"/>
              <w:right w:w="108" w:type="dxa"/>
            </w:tcMar>
            <w:vAlign w:val="center"/>
          </w:tcPr>
          <w:p w14:paraId="6CFF2FC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提供标注结果可视化、交互式编辑、质量监控与多格式导出，支持多终端适配；需适配政务云国产GPU。</w:t>
            </w:r>
          </w:p>
        </w:tc>
      </w:tr>
    </w:tbl>
    <w:p w14:paraId="4095185A">
      <w:pPr>
        <w:pStyle w:val="46"/>
        <w:bidi w:val="0"/>
        <w:outlineLvl w:val="3"/>
        <w:rPr>
          <w:rFonts w:hint="eastAsia"/>
          <w:b/>
          <w:bCs/>
          <w:color w:val="auto"/>
          <w:highlight w:val="none"/>
          <w:lang w:val="en-US" w:eastAsia="zh-CN"/>
        </w:rPr>
      </w:pPr>
      <w:r>
        <w:rPr>
          <w:rFonts w:hint="eastAsia"/>
          <w:b/>
          <w:bCs/>
          <w:color w:val="auto"/>
          <w:highlight w:val="none"/>
          <w:lang w:val="en-US" w:eastAsia="zh-CN"/>
        </w:rPr>
        <w:t>2.硬件购置清单：</w:t>
      </w:r>
    </w:p>
    <w:tbl>
      <w:tblPr>
        <w:tblStyle w:val="19"/>
        <w:tblW w:w="5000" w:type="pct"/>
        <w:tblInd w:w="0" w:type="dxa"/>
        <w:tblLayout w:type="fixed"/>
        <w:tblCellMar>
          <w:top w:w="0" w:type="dxa"/>
          <w:left w:w="108" w:type="dxa"/>
          <w:bottom w:w="0" w:type="dxa"/>
          <w:right w:w="108" w:type="dxa"/>
        </w:tblCellMar>
      </w:tblPr>
      <w:tblGrid>
        <w:gridCol w:w="419"/>
        <w:gridCol w:w="999"/>
        <w:gridCol w:w="5507"/>
        <w:gridCol w:w="331"/>
        <w:gridCol w:w="537"/>
        <w:gridCol w:w="729"/>
      </w:tblGrid>
      <w:tr w14:paraId="32EFCBF1">
        <w:tblPrEx>
          <w:tblCellMar>
            <w:top w:w="0" w:type="dxa"/>
            <w:left w:w="108" w:type="dxa"/>
            <w:bottom w:w="0" w:type="dxa"/>
            <w:right w:w="108" w:type="dxa"/>
          </w:tblCellMar>
        </w:tblPrEx>
        <w:trPr>
          <w:trHeight w:val="23" w:hRule="atLeast"/>
          <w:tblHead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6E01">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bookmarkStart w:id="10" w:name="OLE_LINK2" w:colFirst="1" w:colLast="2"/>
            <w:r>
              <w:rPr>
                <w:rFonts w:hint="eastAsia"/>
                <w:b/>
                <w:bCs/>
                <w:color w:val="auto"/>
                <w:highlight w:val="none"/>
                <w:lang w:val="en-US" w:eastAsia="zh-CN"/>
              </w:rPr>
              <w:t>序号</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C033">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产品型号</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A94">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产品配置</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C1AB">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单位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C3FC">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数量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E64E">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保修年限</w:t>
            </w:r>
          </w:p>
        </w:tc>
      </w:tr>
      <w:tr w14:paraId="63326527">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CF5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965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部省联动专用视频网关</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1D0B">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硬件参数至少满足下列要求：</w:t>
            </w:r>
          </w:p>
          <w:p w14:paraId="67EDB71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CPU：国产x86兼容架构多核处理器，16核 2.5GHz；</w:t>
            </w:r>
            <w:r>
              <w:rPr>
                <w:rFonts w:hint="eastAsia"/>
                <w:color w:val="auto"/>
                <w:highlight w:val="none"/>
                <w:lang w:val="en-US" w:eastAsia="zh-CN"/>
              </w:rPr>
              <w:br w:type="textWrapping"/>
            </w:r>
            <w:r>
              <w:rPr>
                <w:rFonts w:hint="eastAsia"/>
                <w:color w:val="auto"/>
                <w:highlight w:val="none"/>
                <w:lang w:val="en-US" w:eastAsia="zh-CN"/>
              </w:rPr>
              <w:t>内存：128GB ECC DDR4；</w:t>
            </w:r>
            <w:r>
              <w:rPr>
                <w:rFonts w:hint="eastAsia"/>
                <w:color w:val="auto"/>
                <w:highlight w:val="none"/>
                <w:lang w:val="en-US" w:eastAsia="zh-CN"/>
              </w:rPr>
              <w:br w:type="textWrapping"/>
            </w:r>
            <w:r>
              <w:rPr>
                <w:rFonts w:hint="eastAsia"/>
                <w:color w:val="auto"/>
                <w:highlight w:val="none"/>
                <w:lang w:val="en-US" w:eastAsia="zh-CN"/>
              </w:rPr>
              <w:t>硬盘：2TB；</w:t>
            </w:r>
            <w:r>
              <w:rPr>
                <w:rFonts w:hint="eastAsia"/>
                <w:color w:val="auto"/>
                <w:highlight w:val="none"/>
                <w:lang w:val="en-US" w:eastAsia="zh-CN"/>
              </w:rPr>
              <w:br w:type="textWrapping"/>
            </w:r>
            <w:r>
              <w:rPr>
                <w:rFonts w:hint="eastAsia"/>
                <w:color w:val="auto"/>
                <w:highlight w:val="none"/>
                <w:lang w:val="en-US" w:eastAsia="zh-CN"/>
              </w:rPr>
              <w:t>接口：千兆电口*2，万兆光口*2，RJ45管理口*1；</w:t>
            </w:r>
            <w:r>
              <w:rPr>
                <w:rFonts w:hint="eastAsia"/>
                <w:color w:val="auto"/>
                <w:highlight w:val="none"/>
                <w:lang w:val="en-US" w:eastAsia="zh-CN"/>
              </w:rPr>
              <w:br w:type="textWrapping"/>
            </w:r>
            <w:r>
              <w:rPr>
                <w:rFonts w:hint="eastAsia"/>
                <w:color w:val="auto"/>
                <w:highlight w:val="none"/>
                <w:lang w:val="en-US" w:eastAsia="zh-CN"/>
              </w:rPr>
              <w:t>电源：1+1冗余电源；</w:t>
            </w:r>
          </w:p>
          <w:p w14:paraId="668F3CD0">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软件功能：</w:t>
            </w:r>
          </w:p>
          <w:p w14:paraId="106F7E97">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承载与交通运输部的视频联网和共享功能</w:t>
            </w:r>
            <w:r>
              <w:rPr>
                <w:rFonts w:hint="eastAsia"/>
                <w:color w:val="auto"/>
                <w:highlight w:val="none"/>
                <w:lang w:val="en-US" w:eastAsia="zh-CN"/>
              </w:rPr>
              <w:t>；</w:t>
            </w:r>
          </w:p>
          <w:p w14:paraId="60E27223">
            <w:pPr>
              <w:pStyle w:val="48"/>
              <w:keepNext w:val="0"/>
              <w:keepLines w:val="0"/>
              <w:suppressLineNumbers w:val="0"/>
              <w:bidi w:val="0"/>
              <w:spacing w:before="0" w:beforeAutospacing="0" w:after="0" w:afterAutospacing="0"/>
              <w:ind w:left="0" w:right="0"/>
              <w:rPr>
                <w:rFonts w:hint="default"/>
                <w:b w:val="0"/>
                <w:bCs w:val="0"/>
                <w:color w:val="auto"/>
                <w:highlight w:val="none"/>
                <w:lang w:val="en-US" w:eastAsia="zh-CN"/>
              </w:rPr>
            </w:pPr>
            <w:r>
              <w:rPr>
                <w:rFonts w:hint="eastAsia"/>
                <w:b w:val="0"/>
                <w:bCs w:val="0"/>
                <w:color w:val="auto"/>
                <w:highlight w:val="none"/>
                <w:lang w:val="en-US" w:eastAsia="zh-CN"/>
              </w:rPr>
              <w:t>1.</w:t>
            </w:r>
            <w:r>
              <w:rPr>
                <w:rFonts w:hint="default"/>
                <w:b w:val="0"/>
                <w:bCs w:val="0"/>
                <w:color w:val="auto"/>
                <w:highlight w:val="none"/>
                <w:lang w:val="en-US" w:eastAsia="zh-CN"/>
              </w:rPr>
              <w:t>协议转换与接入：支持多种主流视频传输及控制协议的统一接入、封装与转发，实现异构视频资源的标准化处理。</w:t>
            </w:r>
          </w:p>
          <w:p w14:paraId="6CF3E269">
            <w:pPr>
              <w:pStyle w:val="48"/>
              <w:keepNext w:val="0"/>
              <w:keepLines w:val="0"/>
              <w:suppressLineNumbers w:val="0"/>
              <w:bidi w:val="0"/>
              <w:spacing w:before="0" w:beforeAutospacing="0" w:after="0" w:afterAutospacing="0"/>
              <w:ind w:left="0" w:right="0"/>
              <w:rPr>
                <w:rFonts w:hint="default"/>
                <w:b w:val="0"/>
                <w:bCs w:val="0"/>
                <w:color w:val="auto"/>
                <w:highlight w:val="none"/>
                <w:lang w:val="en-US" w:eastAsia="zh-CN"/>
              </w:rPr>
            </w:pPr>
            <w:r>
              <w:rPr>
                <w:rFonts w:hint="eastAsia"/>
                <w:b w:val="0"/>
                <w:bCs w:val="0"/>
                <w:color w:val="auto"/>
                <w:highlight w:val="none"/>
                <w:lang w:val="en-US" w:eastAsia="zh-CN"/>
              </w:rPr>
              <w:t>2.</w:t>
            </w:r>
            <w:r>
              <w:rPr>
                <w:rFonts w:hint="default"/>
                <w:b w:val="0"/>
                <w:bCs w:val="0"/>
                <w:color w:val="auto"/>
                <w:highlight w:val="none"/>
                <w:lang w:val="en-US" w:eastAsia="zh-CN"/>
              </w:rPr>
              <w:t>部省联网交互：支持跨级视频联网与数据交换标准，实现部、省两级平台间的视频调阅、信令控制及业务数据同步。</w:t>
            </w:r>
          </w:p>
          <w:p w14:paraId="6EAF0AEA">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b w:val="0"/>
                <w:bCs w:val="0"/>
                <w:color w:val="auto"/>
                <w:highlight w:val="none"/>
                <w:lang w:val="en-US" w:eastAsia="zh-CN"/>
              </w:rPr>
              <w:t>3.</w:t>
            </w:r>
            <w:r>
              <w:rPr>
                <w:rFonts w:hint="default"/>
                <w:b w:val="0"/>
                <w:bCs w:val="0"/>
                <w:color w:val="auto"/>
                <w:highlight w:val="none"/>
                <w:lang w:val="en-US" w:eastAsia="zh-CN"/>
              </w:rPr>
              <w:t>资源虚拟化管理：支</w:t>
            </w:r>
            <w:r>
              <w:rPr>
                <w:rFonts w:hint="default"/>
                <w:color w:val="auto"/>
                <w:highlight w:val="none"/>
                <w:lang w:val="en-US" w:eastAsia="zh-CN"/>
              </w:rPr>
              <w:t>持计算与存储资源虚拟化、弹性分配及集群管理；具备高可用架构，支持服务故障自动转移与业务连续性保障。</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8AC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951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CDF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r>
      <w:bookmarkEnd w:id="10"/>
      <w:tr w14:paraId="5D33B4A5">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412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bookmarkStart w:id="11" w:name="OLE_LINK4" w:colFirst="1" w:colLast="2"/>
            <w:r>
              <w:rPr>
                <w:rFonts w:hint="eastAsia"/>
                <w:color w:val="auto"/>
                <w:highlight w:val="none"/>
                <w:lang w:val="en-US" w:eastAsia="zh-CN"/>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1A9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视频联网管理设备</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EB88">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硬件参数至少满足下列要求：</w:t>
            </w:r>
          </w:p>
          <w:p w14:paraId="56B3D75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CPU：ARM架构国产多核处理器，两颗处理单元，24核 2.6GHz；</w:t>
            </w:r>
            <w:r>
              <w:rPr>
                <w:rFonts w:hint="eastAsia"/>
                <w:color w:val="auto"/>
                <w:highlight w:val="none"/>
                <w:lang w:val="en-US" w:eastAsia="zh-CN"/>
              </w:rPr>
              <w:br w:type="textWrapping"/>
            </w:r>
            <w:r>
              <w:rPr>
                <w:rFonts w:hint="eastAsia"/>
                <w:color w:val="auto"/>
                <w:highlight w:val="none"/>
                <w:lang w:val="en-US" w:eastAsia="zh-CN"/>
              </w:rPr>
              <w:t>内存：</w:t>
            </w:r>
            <w:r>
              <w:rPr>
                <w:rFonts w:hint="default"/>
                <w:color w:val="auto"/>
                <w:highlight w:val="none"/>
                <w:lang w:val="en-US" w:eastAsia="zh-CN"/>
              </w:rPr>
              <w:t>512</w:t>
            </w:r>
            <w:r>
              <w:rPr>
                <w:rFonts w:hint="eastAsia"/>
                <w:color w:val="auto"/>
                <w:highlight w:val="none"/>
                <w:lang w:val="en-US" w:eastAsia="zh-CN"/>
              </w:rPr>
              <w:t>GB ECC DDR4；</w:t>
            </w:r>
            <w:r>
              <w:rPr>
                <w:rFonts w:hint="eastAsia"/>
                <w:color w:val="auto"/>
                <w:highlight w:val="none"/>
                <w:lang w:val="en-US" w:eastAsia="zh-CN"/>
              </w:rPr>
              <w:br w:type="textWrapping"/>
            </w:r>
            <w:r>
              <w:rPr>
                <w:rFonts w:hint="eastAsia"/>
                <w:color w:val="auto"/>
                <w:highlight w:val="none"/>
                <w:lang w:val="en-US" w:eastAsia="zh-CN"/>
              </w:rPr>
              <w:t>硬盘：2T SSD*8；8T HDD*4；</w:t>
            </w:r>
          </w:p>
          <w:p w14:paraId="111634A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▲BMC芯片：主板集成 BMC 管理单元，需采用中国境内自研管理芯片；</w:t>
            </w:r>
            <w:r>
              <w:rPr>
                <w:rFonts w:hint="eastAsia"/>
                <w:color w:val="auto"/>
                <w:highlight w:val="none"/>
                <w:lang w:val="en-US" w:eastAsia="zh-CN"/>
              </w:rPr>
              <w:br w:type="textWrapping"/>
            </w:r>
            <w:r>
              <w:rPr>
                <w:rFonts w:hint="eastAsia"/>
                <w:color w:val="auto"/>
                <w:highlight w:val="none"/>
                <w:lang w:val="en-US" w:eastAsia="zh-CN"/>
              </w:rPr>
              <w:t>接口：千兆电口*2，万兆光口*2，RJ45管理口*1；</w:t>
            </w:r>
            <w:r>
              <w:rPr>
                <w:rFonts w:hint="eastAsia"/>
                <w:color w:val="auto"/>
                <w:highlight w:val="none"/>
                <w:lang w:val="en-US" w:eastAsia="zh-CN"/>
              </w:rPr>
              <w:br w:type="textWrapping"/>
            </w:r>
            <w:r>
              <w:rPr>
                <w:rFonts w:hint="eastAsia"/>
                <w:color w:val="auto"/>
                <w:highlight w:val="none"/>
                <w:lang w:val="en-US" w:eastAsia="zh-CN"/>
              </w:rPr>
              <w:t>电源：1+1冗余电源；</w:t>
            </w:r>
          </w:p>
          <w:p w14:paraId="10729465">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bookmarkStart w:id="12" w:name="OLE_LINK3"/>
            <w:r>
              <w:rPr>
                <w:rFonts w:hint="eastAsia"/>
                <w:b/>
                <w:bCs/>
                <w:color w:val="auto"/>
                <w:highlight w:val="none"/>
                <w:lang w:val="en-US" w:eastAsia="zh-CN"/>
              </w:rPr>
              <w:t>软件功能：</w:t>
            </w:r>
          </w:p>
          <w:p w14:paraId="3C7F745E">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承载视频流调度管理、设备控制联动、应急预案执行等核心业务功能</w:t>
            </w:r>
            <w:r>
              <w:rPr>
                <w:rFonts w:hint="eastAsia"/>
                <w:color w:val="auto"/>
                <w:highlight w:val="none"/>
                <w:lang w:val="en-US" w:eastAsia="zh-CN"/>
              </w:rPr>
              <w:t>；</w:t>
            </w:r>
          </w:p>
          <w:p w14:paraId="050359A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lang w:val="en-US" w:eastAsia="zh-CN"/>
              </w:rPr>
              <w:t>1.全域联网与接入管理：</w:t>
            </w:r>
            <w:r>
              <w:rPr>
                <w:rFonts w:hint="eastAsia"/>
                <w:color w:val="auto"/>
                <w:highlight w:val="none"/>
                <w:lang w:val="en-US" w:eastAsia="zh-CN"/>
              </w:rPr>
              <w:t>单台</w:t>
            </w:r>
            <w:r>
              <w:rPr>
                <w:rFonts w:hint="default"/>
                <w:color w:val="auto"/>
                <w:highlight w:val="none"/>
                <w:lang w:val="en-US" w:eastAsia="zh-CN"/>
              </w:rPr>
              <w:t>支持主流协议适配及</w:t>
            </w:r>
            <w:r>
              <w:rPr>
                <w:rFonts w:hint="eastAsia"/>
                <w:color w:val="auto"/>
                <w:highlight w:val="none"/>
                <w:lang w:val="en-US" w:eastAsia="zh-CN"/>
              </w:rPr>
              <w:t>7.5</w:t>
            </w:r>
            <w:r>
              <w:rPr>
                <w:rFonts w:hint="default"/>
                <w:color w:val="auto"/>
                <w:highlight w:val="none"/>
                <w:lang w:val="en-US" w:eastAsia="zh-CN"/>
              </w:rPr>
              <w:t>万路资源接入，实现跨级级联、资源共享及设备自动监控。</w:t>
            </w:r>
            <w:r>
              <w:rPr>
                <w:rFonts w:hint="default"/>
                <w:color w:val="auto"/>
                <w:highlight w:val="none"/>
                <w:lang w:val="en-US" w:eastAsia="zh-CN"/>
              </w:rPr>
              <w:br w:type="textWrapping"/>
            </w:r>
            <w:r>
              <w:rPr>
                <w:rFonts w:hint="default"/>
                <w:color w:val="auto"/>
                <w:highlight w:val="none"/>
                <w:lang w:val="en-US" w:eastAsia="zh-CN"/>
              </w:rPr>
              <w:t>2.智能调度与传输优化：支</w:t>
            </w:r>
            <w:r>
              <w:rPr>
                <w:rFonts w:hint="eastAsia"/>
                <w:color w:val="auto"/>
                <w:highlight w:val="none"/>
                <w:lang w:val="en-US" w:eastAsia="zh-CN"/>
              </w:rPr>
              <w:t>持</w:t>
            </w:r>
            <w:r>
              <w:rPr>
                <w:rFonts w:hint="default"/>
                <w:color w:val="auto"/>
                <w:highlight w:val="none"/>
                <w:lang w:val="en-US" w:eastAsia="zh-CN"/>
              </w:rPr>
              <w:t>集群调度与负载均衡，支持业务优先级及传输优化技术，确保低延时、高可靠传输。</w:t>
            </w:r>
            <w:r>
              <w:rPr>
                <w:rFonts w:hint="default"/>
                <w:color w:val="auto"/>
                <w:highlight w:val="none"/>
                <w:lang w:val="en-US" w:eastAsia="zh-CN"/>
              </w:rPr>
              <w:br w:type="textWrapping"/>
            </w:r>
            <w:r>
              <w:rPr>
                <w:rFonts w:hint="default"/>
                <w:color w:val="auto"/>
                <w:highlight w:val="none"/>
                <w:lang w:val="en-US" w:eastAsia="zh-CN"/>
              </w:rPr>
              <w:t>3.硬件联动与控制响应：支持物理设备直连，控制延迟，具备应急预案执行与跨级联动控制能力。</w:t>
            </w:r>
            <w:r>
              <w:rPr>
                <w:rFonts w:hint="default"/>
                <w:color w:val="auto"/>
                <w:highlight w:val="none"/>
                <w:lang w:val="en-US" w:eastAsia="zh-CN"/>
              </w:rPr>
              <w:br w:type="textWrapping"/>
            </w:r>
            <w:r>
              <w:rPr>
                <w:rFonts w:hint="default"/>
                <w:color w:val="auto"/>
                <w:highlight w:val="none"/>
                <w:lang w:val="en-US" w:eastAsia="zh-CN"/>
              </w:rPr>
              <w:t>4.细粒度权限管控：</w:t>
            </w:r>
            <w:r>
              <w:rPr>
                <w:rFonts w:hint="eastAsia"/>
                <w:color w:val="auto"/>
                <w:highlight w:val="none"/>
                <w:lang w:val="en-US" w:eastAsia="zh-CN"/>
              </w:rPr>
              <w:t>支持</w:t>
            </w:r>
            <w:r>
              <w:rPr>
                <w:rFonts w:hint="default"/>
                <w:color w:val="auto"/>
                <w:highlight w:val="none"/>
                <w:lang w:val="en-US" w:eastAsia="zh-CN"/>
              </w:rPr>
              <w:t>身份认证及多维度细粒度管控，支持权限动态调整与临时授权。</w:t>
            </w:r>
            <w:r>
              <w:rPr>
                <w:rFonts w:hint="default"/>
                <w:color w:val="auto"/>
                <w:highlight w:val="none"/>
                <w:lang w:val="en-US" w:eastAsia="zh-CN"/>
              </w:rPr>
              <w:br w:type="textWrapping"/>
            </w:r>
            <w:r>
              <w:rPr>
                <w:rFonts w:hint="default"/>
                <w:color w:val="auto"/>
                <w:highlight w:val="none"/>
                <w:lang w:val="en-US" w:eastAsia="zh-CN"/>
              </w:rPr>
              <w:t>5.安全监控与审计：</w:t>
            </w:r>
            <w:bookmarkEnd w:id="12"/>
            <w:r>
              <w:rPr>
                <w:rFonts w:hint="default"/>
                <w:color w:val="auto"/>
                <w:highlight w:val="none"/>
                <w:lang w:val="en-US" w:eastAsia="zh-CN"/>
              </w:rPr>
              <w:t>具备运行安全监测与异常告警机制，支持全过程防篡改的操作审计与安全溯源。</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9911">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96E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800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r>
      <w:bookmarkEnd w:id="11"/>
      <w:tr w14:paraId="65AC800D">
        <w:tblPrEx>
          <w:tblCellMar>
            <w:top w:w="0" w:type="dxa"/>
            <w:left w:w="108" w:type="dxa"/>
            <w:bottom w:w="0" w:type="dxa"/>
            <w:right w:w="108" w:type="dxa"/>
          </w:tblCellMar>
        </w:tblPrEx>
        <w:trPr>
          <w:trHeight w:val="6448"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1EA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bookmarkStart w:id="13" w:name="OLE_LINK5" w:colFirst="1" w:colLast="2"/>
            <w:bookmarkStart w:id="14" w:name="OLE_LINK1"/>
            <w:r>
              <w:rPr>
                <w:rFonts w:hint="eastAsia"/>
                <w:color w:val="auto"/>
                <w:highlight w:val="none"/>
                <w:lang w:val="en-US" w:eastAsia="zh-CN"/>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7D9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WEB管理服务器</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A961">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硬件参数至少满足下列要求：</w:t>
            </w:r>
          </w:p>
          <w:p w14:paraId="27F472D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CPU：国产x86兼容架构多核处理器，16核 2.8GHz；</w:t>
            </w:r>
            <w:r>
              <w:rPr>
                <w:rFonts w:hint="eastAsia"/>
                <w:color w:val="auto"/>
                <w:highlight w:val="none"/>
                <w:lang w:val="en-US" w:eastAsia="zh-CN"/>
              </w:rPr>
              <w:br w:type="textWrapping"/>
            </w:r>
            <w:r>
              <w:rPr>
                <w:rFonts w:hint="eastAsia"/>
                <w:color w:val="auto"/>
                <w:highlight w:val="none"/>
                <w:lang w:val="en-US" w:eastAsia="zh-CN"/>
              </w:rPr>
              <w:t>内存：128GB ECC DDR4；</w:t>
            </w:r>
            <w:r>
              <w:rPr>
                <w:rFonts w:hint="eastAsia"/>
                <w:color w:val="auto"/>
                <w:highlight w:val="none"/>
                <w:lang w:val="en-US" w:eastAsia="zh-CN"/>
              </w:rPr>
              <w:br w:type="textWrapping"/>
            </w:r>
            <w:r>
              <w:rPr>
                <w:rFonts w:hint="eastAsia"/>
                <w:color w:val="auto"/>
                <w:highlight w:val="none"/>
                <w:lang w:val="en-US" w:eastAsia="zh-CN"/>
              </w:rPr>
              <w:t>硬盘：500GB；</w:t>
            </w:r>
            <w:r>
              <w:rPr>
                <w:rFonts w:hint="eastAsia"/>
                <w:color w:val="auto"/>
                <w:highlight w:val="none"/>
                <w:lang w:val="en-US" w:eastAsia="zh-CN"/>
              </w:rPr>
              <w:br w:type="textWrapping"/>
            </w:r>
            <w:r>
              <w:rPr>
                <w:rFonts w:hint="eastAsia"/>
                <w:color w:val="auto"/>
                <w:highlight w:val="none"/>
                <w:lang w:val="en-US" w:eastAsia="zh-CN"/>
              </w:rPr>
              <w:t>接口：千兆电口*2，万兆光口*1，RJ45管理口*1；</w:t>
            </w:r>
            <w:r>
              <w:rPr>
                <w:rFonts w:hint="eastAsia"/>
                <w:color w:val="auto"/>
                <w:highlight w:val="none"/>
                <w:lang w:val="en-US" w:eastAsia="zh-CN"/>
              </w:rPr>
              <w:br w:type="textWrapping"/>
            </w:r>
            <w:r>
              <w:rPr>
                <w:rFonts w:hint="eastAsia"/>
                <w:color w:val="auto"/>
                <w:highlight w:val="none"/>
                <w:lang w:val="en-US" w:eastAsia="zh-CN"/>
              </w:rPr>
              <w:t>电源：1+1冗余电源；</w:t>
            </w:r>
          </w:p>
          <w:p w14:paraId="5FD75F9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▲内置国密硬件加速引擎，通过国密一级安全芯片认证；</w:t>
            </w:r>
          </w:p>
          <w:p w14:paraId="0602F997">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软件功能：</w:t>
            </w:r>
          </w:p>
          <w:p w14:paraId="0E6737B6">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lang w:val="en-US" w:eastAsia="zh-CN"/>
              </w:rPr>
              <w:t>提供设备控制界面、实时监控界面、应急操作界面等用户交互服务</w:t>
            </w:r>
            <w:r>
              <w:rPr>
                <w:rFonts w:hint="eastAsia"/>
                <w:color w:val="auto"/>
                <w:highlight w:val="none"/>
                <w:lang w:val="en-US" w:eastAsia="zh-CN"/>
              </w:rPr>
              <w:t>；</w:t>
            </w:r>
          </w:p>
          <w:p w14:paraId="1CE9C40C">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.交互控制界面：提供响应式Web管理界面，支持PC与移动端适配；实现云台、预置位及参数配置，控制指令延迟不超过200ms。</w:t>
            </w:r>
            <w:r>
              <w:rPr>
                <w:rFonts w:hint="default"/>
                <w:color w:val="auto"/>
                <w:highlight w:val="none"/>
                <w:lang w:val="en-US" w:eastAsia="zh-CN"/>
              </w:rPr>
              <w:br w:type="textWrapping"/>
            </w:r>
            <w:r>
              <w:rPr>
                <w:rFonts w:hint="default"/>
                <w:color w:val="auto"/>
                <w:highlight w:val="none"/>
                <w:lang w:val="en-US" w:eastAsia="zh-CN"/>
              </w:rPr>
              <w:t>2.实时状态监控：支持设备在线、视频质量及网络状态的可视化监控；具备故障自动标红及告警定位能力。</w:t>
            </w:r>
            <w:r>
              <w:rPr>
                <w:rFonts w:hint="default"/>
                <w:color w:val="auto"/>
                <w:highlight w:val="none"/>
                <w:lang w:val="en-US" w:eastAsia="zh-CN"/>
              </w:rPr>
              <w:br w:type="textWrapping"/>
            </w:r>
            <w:r>
              <w:rPr>
                <w:rFonts w:hint="default"/>
                <w:color w:val="auto"/>
                <w:highlight w:val="none"/>
                <w:lang w:val="en-US" w:eastAsia="zh-CN"/>
              </w:rPr>
              <w:t>3.流媒体播放管理：部署本地实时视频播放界面</w:t>
            </w:r>
            <w:r>
              <w:rPr>
                <w:rFonts w:hint="eastAsia"/>
                <w:color w:val="auto"/>
                <w:highlight w:val="none"/>
                <w:lang w:val="en-US" w:eastAsia="zh-CN"/>
              </w:rPr>
              <w:t>，</w:t>
            </w:r>
            <w:r>
              <w:rPr>
                <w:rFonts w:hint="default"/>
                <w:color w:val="auto"/>
                <w:highlight w:val="none"/>
                <w:lang w:val="en-US" w:eastAsia="zh-CN"/>
              </w:rPr>
              <w:t>采用低延迟传输技术，视频播放延迟在500ms以内；支持多窗格布局切换、基本控制功能</w:t>
            </w:r>
            <w:r>
              <w:rPr>
                <w:rFonts w:hint="eastAsia"/>
                <w:color w:val="auto"/>
                <w:highlight w:val="none"/>
                <w:lang w:val="en-US" w:eastAsia="zh-CN"/>
              </w:rPr>
              <w:t>、</w:t>
            </w:r>
            <w:r>
              <w:rPr>
                <w:rFonts w:hint="default"/>
                <w:color w:val="auto"/>
                <w:highlight w:val="none"/>
                <w:lang w:val="en-US" w:eastAsia="zh-CN"/>
              </w:rPr>
              <w:t>硬件加速解码及多码率自适应。</w:t>
            </w:r>
            <w:r>
              <w:rPr>
                <w:rFonts w:hint="default"/>
                <w:color w:val="auto"/>
                <w:highlight w:val="none"/>
                <w:lang w:val="en-US" w:eastAsia="zh-CN"/>
              </w:rPr>
              <w:br w:type="textWrapping"/>
            </w:r>
            <w:r>
              <w:rPr>
                <w:rFonts w:hint="default"/>
                <w:color w:val="auto"/>
                <w:highlight w:val="none"/>
                <w:lang w:val="en-US" w:eastAsia="zh-CN"/>
              </w:rPr>
              <w:t>4.应急操作管理：部署应急预案的快速执行界面</w:t>
            </w:r>
            <w:r>
              <w:rPr>
                <w:rFonts w:hint="eastAsia"/>
                <w:color w:val="auto"/>
                <w:highlight w:val="none"/>
                <w:lang w:val="en-US" w:eastAsia="zh-CN"/>
              </w:rPr>
              <w:t>，</w:t>
            </w:r>
            <w:r>
              <w:rPr>
                <w:rFonts w:hint="default"/>
                <w:color w:val="auto"/>
                <w:highlight w:val="none"/>
                <w:lang w:val="en-US" w:eastAsia="zh-CN"/>
              </w:rPr>
              <w:t>支持应急预案一键启动、分步执行与进度监控；具备高对比度交互设计及语音提示引导功能。</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E3B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396B">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2B39">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r>
      <w:bookmarkEnd w:id="13"/>
      <w:bookmarkEnd w:id="14"/>
      <w:tr w14:paraId="6A505D32">
        <w:tblPrEx>
          <w:tblCellMar>
            <w:top w:w="0" w:type="dxa"/>
            <w:left w:w="108" w:type="dxa"/>
            <w:bottom w:w="0" w:type="dxa"/>
            <w:right w:w="108" w:type="dxa"/>
          </w:tblCellMar>
        </w:tblPrEx>
        <w:trPr>
          <w:trHeight w:val="33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A55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F548">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边缘智能服务器</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A5DE">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硬件参数至少满足下列要求：</w:t>
            </w:r>
          </w:p>
          <w:p w14:paraId="5570FEF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CPU：ARM架构国产多核处理器，24核 2.6GHz；</w:t>
            </w:r>
            <w:r>
              <w:rPr>
                <w:rFonts w:hint="eastAsia"/>
                <w:color w:val="auto"/>
                <w:highlight w:val="none"/>
                <w:lang w:val="en-US" w:eastAsia="zh-CN"/>
              </w:rPr>
              <w:br w:type="textWrapping"/>
            </w:r>
            <w:r>
              <w:rPr>
                <w:rFonts w:hint="eastAsia"/>
                <w:color w:val="auto"/>
                <w:highlight w:val="none"/>
                <w:lang w:val="en-US" w:eastAsia="zh-CN"/>
              </w:rPr>
              <w:t>内存：</w:t>
            </w:r>
            <w:r>
              <w:rPr>
                <w:rFonts w:hint="default"/>
                <w:color w:val="auto"/>
                <w:highlight w:val="none"/>
                <w:lang w:val="en-US" w:eastAsia="zh-CN"/>
              </w:rPr>
              <w:t>64</w:t>
            </w:r>
            <w:r>
              <w:rPr>
                <w:rFonts w:hint="eastAsia"/>
                <w:color w:val="auto"/>
                <w:highlight w:val="none"/>
                <w:lang w:val="en-US" w:eastAsia="zh-CN"/>
              </w:rPr>
              <w:t>GB ECC DDR4；</w:t>
            </w:r>
            <w:r>
              <w:rPr>
                <w:rFonts w:hint="eastAsia"/>
                <w:color w:val="auto"/>
                <w:highlight w:val="none"/>
                <w:lang w:val="en-US" w:eastAsia="zh-CN"/>
              </w:rPr>
              <w:br w:type="textWrapping"/>
            </w:r>
            <w:r>
              <w:rPr>
                <w:rFonts w:hint="eastAsia"/>
                <w:color w:val="auto"/>
                <w:highlight w:val="none"/>
                <w:lang w:val="en-US" w:eastAsia="zh-CN"/>
              </w:rPr>
              <w:t>硬件加速卡：</w:t>
            </w:r>
            <w:r>
              <w:rPr>
                <w:rFonts w:hint="eastAsia"/>
                <w:color w:val="auto"/>
                <w:highlight w:val="none"/>
              </w:rPr>
              <w:t>国产高性能AI加速卡*6，单卡性能不低于100T</w:t>
            </w:r>
            <w:r>
              <w:rPr>
                <w:rFonts w:hint="eastAsia"/>
                <w:color w:val="auto"/>
                <w:highlight w:val="none"/>
                <w:lang w:val="en-US" w:eastAsia="zh-CN"/>
              </w:rPr>
              <w:t>OPS</w:t>
            </w:r>
            <w:r>
              <w:rPr>
                <w:rFonts w:hint="eastAsia"/>
                <w:color w:val="auto"/>
                <w:highlight w:val="none"/>
                <w:lang w:eastAsia="zh-CN"/>
              </w:rPr>
              <w:t>（</w:t>
            </w:r>
            <w:r>
              <w:rPr>
                <w:rFonts w:hint="eastAsia"/>
                <w:color w:val="auto"/>
                <w:highlight w:val="none"/>
              </w:rPr>
              <w:t>INT</w:t>
            </w:r>
            <w:r>
              <w:rPr>
                <w:rFonts w:hint="eastAsia"/>
                <w:color w:val="auto"/>
                <w:highlight w:val="none"/>
                <w:lang w:val="en-US" w:eastAsia="zh-CN"/>
              </w:rPr>
              <w:t>8）（不少于32路视频分析能力）</w:t>
            </w:r>
            <w:r>
              <w:rPr>
                <w:rFonts w:hint="eastAsia"/>
                <w:color w:val="auto"/>
                <w:highlight w:val="none"/>
                <w:lang w:eastAsia="zh-CN"/>
              </w:rPr>
              <w:t>；</w:t>
            </w:r>
            <w:r>
              <w:rPr>
                <w:rFonts w:hint="eastAsia"/>
                <w:color w:val="auto"/>
                <w:highlight w:val="none"/>
                <w:lang w:val="en-US" w:eastAsia="zh-CN"/>
              </w:rPr>
              <w:br w:type="textWrapping"/>
            </w:r>
            <w:r>
              <w:rPr>
                <w:rFonts w:hint="eastAsia"/>
                <w:color w:val="auto"/>
                <w:highlight w:val="none"/>
                <w:lang w:val="en-US" w:eastAsia="zh-CN"/>
              </w:rPr>
              <w:t>网络：千兆电口*2，万兆光口*2，RJ45管理口*1；</w:t>
            </w:r>
            <w:r>
              <w:rPr>
                <w:rFonts w:hint="eastAsia"/>
                <w:color w:val="auto"/>
                <w:highlight w:val="none"/>
                <w:lang w:val="en-US" w:eastAsia="zh-CN"/>
              </w:rPr>
              <w:br w:type="textWrapping"/>
            </w:r>
            <w:r>
              <w:rPr>
                <w:rFonts w:hint="eastAsia"/>
                <w:color w:val="auto"/>
                <w:highlight w:val="none"/>
                <w:lang w:val="en-US" w:eastAsia="zh-CN"/>
              </w:rPr>
              <w:t>电源：1+1冗余电源；</w:t>
            </w:r>
          </w:p>
          <w:p w14:paraId="5BE3A1D4">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软件功能：</w:t>
            </w:r>
          </w:p>
          <w:p w14:paraId="343644AD">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承载视频流预处理、关键帧提取、图像质量评估等边缘计算功能</w:t>
            </w:r>
            <w:r>
              <w:rPr>
                <w:rFonts w:hint="eastAsia"/>
                <w:color w:val="auto"/>
                <w:highlight w:val="none"/>
                <w:lang w:val="en-US" w:eastAsia="zh-CN"/>
              </w:rPr>
              <w:t>。</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0AE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521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E8B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r>
      <w:tr w14:paraId="3B84E13C">
        <w:tblPrEx>
          <w:tblCellMar>
            <w:top w:w="0" w:type="dxa"/>
            <w:left w:w="108" w:type="dxa"/>
            <w:bottom w:w="0" w:type="dxa"/>
            <w:right w:w="108" w:type="dxa"/>
          </w:tblCellMar>
        </w:tblPrEx>
        <w:trPr>
          <w:trHeight w:val="2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38A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bookmarkStart w:id="15" w:name="OLE_LINK6" w:colFirst="1" w:colLast="2"/>
            <w:r>
              <w:rPr>
                <w:rFonts w:hint="eastAsia"/>
                <w:color w:val="auto"/>
                <w:highlight w:val="none"/>
                <w:lang w:val="en-US" w:eastAsia="zh-CN"/>
              </w:rPr>
              <w:t>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FE1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视频共享服务器（含水印叠加）</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0D31">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硬件参数至少满足下列要求：</w:t>
            </w:r>
          </w:p>
          <w:p w14:paraId="771CE557">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CPU：国产x86兼容架构多核处理器，16核 2.5GHz；</w:t>
            </w:r>
            <w:r>
              <w:rPr>
                <w:rFonts w:hint="eastAsia"/>
                <w:color w:val="auto"/>
                <w:highlight w:val="none"/>
                <w:lang w:val="en-US" w:eastAsia="zh-CN"/>
              </w:rPr>
              <w:br w:type="textWrapping"/>
            </w:r>
            <w:r>
              <w:rPr>
                <w:rFonts w:hint="eastAsia"/>
                <w:color w:val="auto"/>
                <w:highlight w:val="none"/>
                <w:lang w:val="en-US" w:eastAsia="zh-CN"/>
              </w:rPr>
              <w:t>内存：</w:t>
            </w:r>
            <w:r>
              <w:rPr>
                <w:rFonts w:hint="default"/>
                <w:color w:val="auto"/>
                <w:highlight w:val="none"/>
                <w:lang w:val="en-US" w:eastAsia="zh-CN"/>
              </w:rPr>
              <w:t>64</w:t>
            </w:r>
            <w:r>
              <w:rPr>
                <w:rFonts w:hint="eastAsia"/>
                <w:color w:val="auto"/>
                <w:highlight w:val="none"/>
                <w:lang w:val="en-US" w:eastAsia="zh-CN"/>
              </w:rPr>
              <w:t>GB ECC DDR4；</w:t>
            </w:r>
            <w:r>
              <w:rPr>
                <w:rFonts w:hint="eastAsia"/>
                <w:color w:val="auto"/>
                <w:highlight w:val="none"/>
                <w:lang w:val="en-US" w:eastAsia="zh-CN"/>
              </w:rPr>
              <w:br w:type="textWrapping"/>
            </w:r>
            <w:r>
              <w:rPr>
                <w:rFonts w:hint="eastAsia"/>
                <w:color w:val="auto"/>
                <w:highlight w:val="none"/>
                <w:lang w:val="en-US" w:eastAsia="zh-CN"/>
              </w:rPr>
              <w:t>硬件加速卡：</w:t>
            </w:r>
            <w:r>
              <w:rPr>
                <w:rFonts w:hint="eastAsia"/>
                <w:color w:val="auto"/>
                <w:highlight w:val="none"/>
              </w:rPr>
              <w:t>国产高性能视频编解码加速卡</w:t>
            </w:r>
            <w:r>
              <w:rPr>
                <w:rFonts w:hint="eastAsia"/>
                <w:color w:val="auto"/>
                <w:highlight w:val="none"/>
                <w:lang w:val="en-US" w:eastAsia="zh-CN"/>
              </w:rPr>
              <w:t>*</w:t>
            </w:r>
            <w:r>
              <w:rPr>
                <w:rFonts w:hint="eastAsia"/>
                <w:color w:val="auto"/>
                <w:highlight w:val="none"/>
              </w:rPr>
              <w:t>8</w:t>
            </w:r>
            <w:r>
              <w:rPr>
                <w:rFonts w:hint="eastAsia"/>
                <w:color w:val="auto"/>
                <w:highlight w:val="none"/>
                <w:lang w:eastAsia="zh-CN"/>
              </w:rPr>
              <w:t>；</w:t>
            </w:r>
            <w:r>
              <w:rPr>
                <w:rFonts w:hint="eastAsia"/>
                <w:color w:val="auto"/>
                <w:highlight w:val="none"/>
                <w:lang w:val="en-US" w:eastAsia="zh-CN"/>
              </w:rPr>
              <w:t>内置不少于32个算力为22TOPS的GPU芯片（不少于8路视频水印能力）；</w:t>
            </w:r>
          </w:p>
          <w:p w14:paraId="498BF82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单套设备至少支持500路视频带水印转发；</w:t>
            </w:r>
            <w:r>
              <w:rPr>
                <w:rFonts w:hint="eastAsia"/>
                <w:color w:val="auto"/>
                <w:highlight w:val="none"/>
                <w:lang w:val="en-US" w:eastAsia="zh-CN"/>
              </w:rPr>
              <w:br w:type="textWrapping"/>
            </w:r>
            <w:r>
              <w:rPr>
                <w:rFonts w:hint="eastAsia"/>
                <w:color w:val="auto"/>
                <w:highlight w:val="none"/>
                <w:lang w:val="en-US" w:eastAsia="zh-CN"/>
              </w:rPr>
              <w:t>接口：千兆电口*2，万兆光口*2，RJ45管理口*1；</w:t>
            </w:r>
            <w:r>
              <w:rPr>
                <w:rFonts w:hint="eastAsia"/>
                <w:color w:val="auto"/>
                <w:highlight w:val="none"/>
                <w:lang w:val="en-US" w:eastAsia="zh-CN"/>
              </w:rPr>
              <w:br w:type="textWrapping"/>
            </w:r>
            <w:r>
              <w:rPr>
                <w:rFonts w:hint="eastAsia"/>
                <w:color w:val="auto"/>
                <w:highlight w:val="none"/>
                <w:lang w:val="en-US" w:eastAsia="zh-CN"/>
              </w:rPr>
              <w:t>电源：1+1冗余电源；</w:t>
            </w:r>
          </w:p>
          <w:p w14:paraId="31F7F175">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软件功能：</w:t>
            </w:r>
          </w:p>
          <w:p w14:paraId="6294F70F">
            <w:pPr>
              <w:pStyle w:val="48"/>
              <w:keepNext w:val="0"/>
              <w:keepLines w:val="0"/>
              <w:suppressLineNumbers w:val="0"/>
              <w:bidi w:val="0"/>
              <w:spacing w:before="0" w:beforeAutospacing="0" w:after="0" w:afterAutospacing="0"/>
              <w:ind w:left="0" w:right="0"/>
              <w:rPr>
                <w:rFonts w:hint="default"/>
                <w:b w:val="0"/>
                <w:bCs w:val="0"/>
                <w:color w:val="auto"/>
                <w:highlight w:val="none"/>
                <w:lang w:val="en-US" w:eastAsia="zh-CN"/>
              </w:rPr>
            </w:pPr>
            <w:r>
              <w:rPr>
                <w:rFonts w:hint="default"/>
                <w:b w:val="0"/>
                <w:bCs w:val="0"/>
                <w:color w:val="auto"/>
                <w:highlight w:val="none"/>
                <w:lang w:val="en-US" w:eastAsia="zh-CN"/>
              </w:rPr>
              <w:t>负责政务外网视频共享、多协议接入适配及并发访问控制，提供视频安全水印叠加与标识处理服务；水印内容可包含视频来源标识、共享时间戳、使用权限说明、责任主体信息等关键要素，实现视频全流程使用留痕，形成完整可追溯的视频使用轨迹与责任链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8222">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114C">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EA8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r>
      <w:bookmarkEnd w:id="15"/>
      <w:tr w14:paraId="25E29582">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CF55">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94F4">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轨道交通视频接入网关</w:t>
            </w:r>
          </w:p>
        </w:tc>
        <w:tc>
          <w:tcPr>
            <w:tcW w:w="3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BFFB">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硬件参数至少满足下列要求：</w:t>
            </w:r>
          </w:p>
          <w:p w14:paraId="1DD1DEBE">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CPU：国产x86兼容架构多核处理器，16核 2.5GHz；</w:t>
            </w:r>
            <w:r>
              <w:rPr>
                <w:rFonts w:hint="eastAsia"/>
                <w:color w:val="auto"/>
                <w:highlight w:val="none"/>
                <w:lang w:val="en-US" w:eastAsia="zh-CN"/>
              </w:rPr>
              <w:br w:type="textWrapping"/>
            </w:r>
            <w:r>
              <w:rPr>
                <w:rFonts w:hint="eastAsia"/>
                <w:color w:val="auto"/>
                <w:highlight w:val="none"/>
                <w:lang w:val="en-US" w:eastAsia="zh-CN"/>
              </w:rPr>
              <w:t>内存：128GB ECC DDR4；</w:t>
            </w:r>
            <w:r>
              <w:rPr>
                <w:rFonts w:hint="eastAsia"/>
                <w:color w:val="auto"/>
                <w:highlight w:val="none"/>
                <w:lang w:val="en-US" w:eastAsia="zh-CN"/>
              </w:rPr>
              <w:br w:type="textWrapping"/>
            </w:r>
            <w:r>
              <w:rPr>
                <w:rFonts w:hint="eastAsia"/>
                <w:color w:val="auto"/>
                <w:highlight w:val="none"/>
                <w:lang w:val="en-US" w:eastAsia="zh-CN"/>
              </w:rPr>
              <w:t>硬盘：2TB；</w:t>
            </w:r>
            <w:r>
              <w:rPr>
                <w:rFonts w:hint="eastAsia"/>
                <w:color w:val="auto"/>
                <w:highlight w:val="none"/>
                <w:lang w:val="en-US" w:eastAsia="zh-CN"/>
              </w:rPr>
              <w:br w:type="textWrapping"/>
            </w:r>
            <w:r>
              <w:rPr>
                <w:rFonts w:hint="eastAsia"/>
                <w:color w:val="auto"/>
                <w:highlight w:val="none"/>
                <w:lang w:val="en-US" w:eastAsia="zh-CN"/>
              </w:rPr>
              <w:t>接口：千兆电口*2，万兆光口*2，RJ45管理口*1；</w:t>
            </w:r>
            <w:r>
              <w:rPr>
                <w:rFonts w:hint="eastAsia"/>
                <w:color w:val="auto"/>
                <w:highlight w:val="none"/>
                <w:lang w:val="en-US" w:eastAsia="zh-CN"/>
              </w:rPr>
              <w:br w:type="textWrapping"/>
            </w:r>
            <w:r>
              <w:rPr>
                <w:rFonts w:hint="eastAsia"/>
                <w:color w:val="auto"/>
                <w:highlight w:val="none"/>
                <w:lang w:val="en-US" w:eastAsia="zh-CN"/>
              </w:rPr>
              <w:t>电源：1+1冗余电源；</w:t>
            </w:r>
          </w:p>
          <w:p w14:paraId="505A0DFC">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软件功能：</w:t>
            </w:r>
          </w:p>
          <w:p w14:paraId="05293256">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val="0"/>
                <w:bCs w:val="0"/>
                <w:color w:val="auto"/>
                <w:highlight w:val="none"/>
                <w:lang w:val="en-US" w:eastAsia="zh-CN"/>
              </w:rPr>
              <w:t>设备</w:t>
            </w:r>
            <w:r>
              <w:rPr>
                <w:rFonts w:hint="default"/>
                <w:b w:val="0"/>
                <w:bCs w:val="0"/>
                <w:color w:val="auto"/>
                <w:highlight w:val="none"/>
                <w:lang w:val="en-US" w:eastAsia="zh-CN"/>
              </w:rPr>
              <w:t>承担轨道交通视频接入与协议转换处理工作。总计</w:t>
            </w:r>
            <w:r>
              <w:rPr>
                <w:rFonts w:hint="eastAsia"/>
                <w:b w:val="0"/>
                <w:bCs w:val="0"/>
                <w:color w:val="auto"/>
                <w:highlight w:val="none"/>
                <w:lang w:val="en-US" w:eastAsia="zh-CN"/>
              </w:rPr>
              <w:t>至少</w:t>
            </w:r>
            <w:r>
              <w:rPr>
                <w:rFonts w:hint="default"/>
                <w:b w:val="0"/>
                <w:bCs w:val="0"/>
                <w:color w:val="auto"/>
                <w:highlight w:val="none"/>
                <w:lang w:val="en-US" w:eastAsia="zh-CN"/>
              </w:rPr>
              <w:t>支持100路视频并发访问，可向市城运中心视觉中枢及交通委内部业务应用提供稳定的视频共享服务。新增设备</w:t>
            </w:r>
            <w:r>
              <w:rPr>
                <w:rFonts w:hint="eastAsia"/>
                <w:b w:val="0"/>
                <w:bCs w:val="0"/>
                <w:color w:val="auto"/>
                <w:highlight w:val="none"/>
                <w:lang w:val="en-US" w:eastAsia="zh-CN"/>
              </w:rPr>
              <w:t>需</w:t>
            </w:r>
            <w:r>
              <w:rPr>
                <w:rFonts w:hint="default"/>
                <w:b w:val="0"/>
                <w:bCs w:val="0"/>
                <w:color w:val="auto"/>
                <w:highlight w:val="none"/>
                <w:lang w:val="en-US" w:eastAsia="zh-CN"/>
              </w:rPr>
              <w:t>保证与现有系统在架构一致、功能上全面兼容。设备间采用主备冗余与负载均衡机制，当单台设备出现故障时，另一台可自动承接全部或部分业务负载，保障轨道交通视频接入的高可用性。系统可专门承担轨道交通视频接入与协议转换处理工作。</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9620">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EC7D">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6A6A">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w:t>
            </w:r>
          </w:p>
        </w:tc>
      </w:tr>
    </w:tbl>
    <w:p w14:paraId="2B02215B">
      <w:pPr>
        <w:pStyle w:val="46"/>
        <w:bidi w:val="0"/>
        <w:outlineLvl w:val="3"/>
        <w:rPr>
          <w:rFonts w:hint="eastAsia"/>
          <w:b/>
          <w:bCs/>
          <w:color w:val="auto"/>
          <w:highlight w:val="none"/>
          <w:lang w:val="en-US" w:eastAsia="zh-CN"/>
        </w:rPr>
      </w:pPr>
      <w:r>
        <w:rPr>
          <w:rFonts w:hint="eastAsia"/>
          <w:b/>
          <w:bCs/>
          <w:color w:val="auto"/>
          <w:highlight w:val="none"/>
          <w:lang w:val="en-US" w:eastAsia="zh-CN"/>
        </w:rPr>
        <w:t>3.产品软件购置清单：</w:t>
      </w:r>
    </w:p>
    <w:p w14:paraId="748DEBA3">
      <w:pPr>
        <w:pStyle w:val="46"/>
        <w:bidi w:val="0"/>
        <w:rPr>
          <w:rFonts w:hint="default"/>
          <w:color w:val="auto"/>
          <w:highlight w:val="none"/>
          <w:lang w:val="en-US" w:eastAsia="zh-CN"/>
        </w:rPr>
      </w:pPr>
      <w:r>
        <w:rPr>
          <w:rFonts w:hint="default"/>
          <w:color w:val="auto"/>
          <w:highlight w:val="none"/>
          <w:lang w:val="en-US" w:eastAsia="zh-CN"/>
        </w:rPr>
        <w:t>本项目不单独购置系统软件，相关系统软件均包含在购置的硬件设备内。</w:t>
      </w:r>
    </w:p>
    <w:p w14:paraId="52FCEAC7">
      <w:pPr>
        <w:pStyle w:val="46"/>
        <w:bidi w:val="0"/>
        <w:outlineLvl w:val="3"/>
        <w:rPr>
          <w:rFonts w:hint="default"/>
          <w:color w:val="auto"/>
          <w:highlight w:val="none"/>
          <w:lang w:val="en-US" w:eastAsia="zh-CN"/>
        </w:rPr>
      </w:pPr>
      <w:r>
        <w:rPr>
          <w:rFonts w:hint="eastAsia"/>
          <w:b/>
          <w:bCs/>
          <w:color w:val="auto"/>
          <w:highlight w:val="none"/>
          <w:lang w:val="en-US" w:eastAsia="zh-CN"/>
        </w:rPr>
        <w:t>4.安全产品购置清单</w:t>
      </w:r>
      <w:r>
        <w:rPr>
          <w:rFonts w:hint="eastAsia"/>
          <w:color w:val="auto"/>
          <w:highlight w:val="none"/>
          <w:lang w:val="en-US" w:eastAsia="zh-CN"/>
        </w:rPr>
        <w:t>：</w:t>
      </w:r>
    </w:p>
    <w:tbl>
      <w:tblPr>
        <w:tblStyle w:val="19"/>
        <w:tblW w:w="4971" w:type="pct"/>
        <w:tblInd w:w="0" w:type="dxa"/>
        <w:tblLayout w:type="fixed"/>
        <w:tblCellMar>
          <w:top w:w="0" w:type="dxa"/>
          <w:left w:w="108" w:type="dxa"/>
          <w:bottom w:w="0" w:type="dxa"/>
          <w:right w:w="108" w:type="dxa"/>
        </w:tblCellMar>
      </w:tblPr>
      <w:tblGrid>
        <w:gridCol w:w="419"/>
        <w:gridCol w:w="830"/>
        <w:gridCol w:w="5676"/>
        <w:gridCol w:w="385"/>
        <w:gridCol w:w="483"/>
        <w:gridCol w:w="680"/>
      </w:tblGrid>
      <w:tr w14:paraId="24D7CC64">
        <w:tblPrEx>
          <w:tblCellMar>
            <w:top w:w="0" w:type="dxa"/>
            <w:left w:w="108" w:type="dxa"/>
            <w:bottom w:w="0" w:type="dxa"/>
            <w:right w:w="108" w:type="dxa"/>
          </w:tblCellMar>
        </w:tblPrEx>
        <w:trPr>
          <w:trHeight w:val="23" w:hRule="atLeast"/>
          <w:tblHead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24A4">
            <w:pPr>
              <w:pStyle w:val="4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黑体" w:eastAsia="宋体" w:cs="Times New Roman"/>
                <w:b/>
                <w:bCs/>
                <w:color w:val="auto"/>
                <w:kern w:val="0"/>
                <w:sz w:val="21"/>
                <w:szCs w:val="40"/>
                <w:highlight w:val="none"/>
                <w:lang w:val="en-US" w:eastAsia="zh-CN" w:bidi="ar-SA"/>
              </w:rPr>
            </w:pPr>
            <w:r>
              <w:rPr>
                <w:rFonts w:hint="eastAsia"/>
                <w:b/>
                <w:bCs/>
                <w:color w:val="auto"/>
                <w:highlight w:val="none"/>
                <w:lang w:val="en-US" w:eastAsia="zh-CN"/>
              </w:rPr>
              <w:t>序号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E7CF">
            <w:pPr>
              <w:pStyle w:val="4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黑体" w:eastAsia="宋体" w:cs="Times New Roman"/>
                <w:b/>
                <w:bCs/>
                <w:color w:val="auto"/>
                <w:kern w:val="0"/>
                <w:sz w:val="21"/>
                <w:szCs w:val="40"/>
                <w:highlight w:val="none"/>
                <w:lang w:val="en-US" w:eastAsia="zh-CN" w:bidi="ar-SA"/>
              </w:rPr>
            </w:pPr>
            <w:r>
              <w:rPr>
                <w:rFonts w:hint="eastAsia"/>
                <w:b/>
                <w:bCs/>
                <w:color w:val="auto"/>
                <w:highlight w:val="none"/>
                <w:lang w:val="en-US" w:eastAsia="zh-CN"/>
              </w:rPr>
              <w:t>产品型号</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C607">
            <w:pPr>
              <w:pStyle w:val="4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黑体" w:eastAsia="宋体" w:cs="Times New Roman"/>
                <w:b/>
                <w:bCs/>
                <w:color w:val="auto"/>
                <w:kern w:val="0"/>
                <w:sz w:val="21"/>
                <w:szCs w:val="40"/>
                <w:highlight w:val="none"/>
                <w:lang w:val="en-US" w:eastAsia="zh-CN" w:bidi="ar-SA"/>
              </w:rPr>
            </w:pPr>
            <w:r>
              <w:rPr>
                <w:rFonts w:hint="eastAsia"/>
                <w:b/>
                <w:bCs/>
                <w:color w:val="auto"/>
                <w:highlight w:val="none"/>
                <w:lang w:val="en-US" w:eastAsia="zh-CN"/>
              </w:rPr>
              <w:t>产品配置</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D8E0">
            <w:pPr>
              <w:pStyle w:val="4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黑体" w:eastAsia="宋体" w:cs="Times New Roman"/>
                <w:b/>
                <w:bCs/>
                <w:color w:val="auto"/>
                <w:kern w:val="0"/>
                <w:sz w:val="21"/>
                <w:szCs w:val="40"/>
                <w:highlight w:val="none"/>
                <w:lang w:val="en-US" w:eastAsia="zh-CN" w:bidi="ar-SA"/>
              </w:rPr>
            </w:pPr>
            <w:r>
              <w:rPr>
                <w:rFonts w:hint="eastAsia"/>
                <w:b/>
                <w:bCs/>
                <w:color w:val="auto"/>
                <w:highlight w:val="none"/>
                <w:lang w:val="en-US" w:eastAsia="zh-CN"/>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178B">
            <w:pPr>
              <w:pStyle w:val="4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黑体" w:eastAsia="宋体" w:cs="Times New Roman"/>
                <w:b/>
                <w:bCs/>
                <w:color w:val="auto"/>
                <w:kern w:val="0"/>
                <w:sz w:val="21"/>
                <w:szCs w:val="40"/>
                <w:highlight w:val="none"/>
                <w:lang w:val="en-US" w:eastAsia="zh-CN" w:bidi="ar-SA"/>
              </w:rPr>
            </w:pPr>
            <w:r>
              <w:rPr>
                <w:rFonts w:hint="eastAsia"/>
                <w:b/>
                <w:bCs/>
                <w:color w:val="auto"/>
                <w:highlight w:val="none"/>
                <w:lang w:val="en-US" w:eastAsia="zh-CN"/>
              </w:rPr>
              <w:t>数量</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51FD">
            <w:pPr>
              <w:pStyle w:val="4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黑体" w:eastAsia="宋体" w:cs="Times New Roman"/>
                <w:b/>
                <w:bCs/>
                <w:color w:val="auto"/>
                <w:kern w:val="0"/>
                <w:sz w:val="21"/>
                <w:szCs w:val="40"/>
                <w:highlight w:val="none"/>
                <w:lang w:val="en-US" w:eastAsia="zh-CN" w:bidi="ar-SA"/>
              </w:rPr>
            </w:pPr>
            <w:r>
              <w:rPr>
                <w:rFonts w:hint="eastAsia"/>
                <w:b/>
                <w:bCs/>
                <w:color w:val="auto"/>
                <w:highlight w:val="none"/>
                <w:lang w:val="en-US" w:eastAsia="zh-CN"/>
              </w:rPr>
              <w:t>保修年限</w:t>
            </w:r>
          </w:p>
        </w:tc>
      </w:tr>
      <w:tr w14:paraId="105015FD">
        <w:tblPrEx>
          <w:tblCellMar>
            <w:top w:w="0" w:type="dxa"/>
            <w:left w:w="108" w:type="dxa"/>
            <w:bottom w:w="0" w:type="dxa"/>
            <w:right w:w="108" w:type="dxa"/>
          </w:tblCellMar>
        </w:tblPrEx>
        <w:trPr>
          <w:trHeight w:val="23"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B227">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bookmarkStart w:id="16" w:name="OLE_LINK7" w:colFirst="1" w:colLast="2"/>
            <w:r>
              <w:rPr>
                <w:rFonts w:hint="eastAsia"/>
                <w:color w:val="auto"/>
                <w:highlight w:val="none"/>
                <w:lang w:val="en-US" w:eastAsia="zh-CN"/>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032C">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边界防火墙</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3D72">
            <w:pPr>
              <w:pStyle w:val="48"/>
              <w:keepNext w:val="0"/>
              <w:keepLines w:val="0"/>
              <w:suppressLineNumbers w:val="0"/>
              <w:shd w:val="clear"/>
              <w:bidi w:val="0"/>
              <w:spacing w:before="0" w:beforeAutospacing="0" w:after="0" w:afterAutospacing="0"/>
              <w:ind w:left="0" w:right="0"/>
              <w:rPr>
                <w:rFonts w:hint="eastAsia"/>
                <w:b/>
                <w:bCs/>
                <w:color w:val="auto"/>
                <w:highlight w:val="none"/>
                <w:lang w:val="en-US" w:eastAsia="zh-CN"/>
              </w:rPr>
            </w:pPr>
            <w:bookmarkStart w:id="17" w:name="OLE_LINK8"/>
            <w:r>
              <w:rPr>
                <w:rFonts w:hint="eastAsia"/>
                <w:b/>
                <w:bCs/>
                <w:color w:val="auto"/>
                <w:highlight w:val="none"/>
                <w:lang w:val="en-US" w:eastAsia="zh-CN"/>
              </w:rPr>
              <w:t>硬件参数至少满足下列要求：</w:t>
            </w:r>
          </w:p>
          <w:bookmarkEnd w:id="17"/>
          <w:p w14:paraId="71F3C875">
            <w:pPr>
              <w:pStyle w:val="48"/>
              <w:keepNext w:val="0"/>
              <w:keepLines w:val="0"/>
              <w:suppressLineNumbers w:val="0"/>
              <w:shd w:val="clear"/>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国产自主可控下一代防火墙</w:t>
            </w:r>
          </w:p>
          <w:p w14:paraId="585BB5CB">
            <w:pPr>
              <w:pStyle w:val="48"/>
              <w:keepNext w:val="0"/>
              <w:keepLines w:val="0"/>
              <w:suppressLineNumbers w:val="0"/>
              <w:shd w:val="clear"/>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网络接口：≥8个千兆电口、≥8个千兆光口；≥4个万兆光口（含2块万兆多模模块）；</w:t>
            </w:r>
          </w:p>
          <w:p w14:paraId="1A3340AA">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网络层：双向吞吐量IPv4:≥24000Mbps</w:t>
            </w:r>
            <w:r>
              <w:rPr>
                <w:rFonts w:hint="eastAsia"/>
                <w:color w:val="auto"/>
                <w:highlight w:val="none"/>
                <w:lang w:val="en-US" w:eastAsia="zh-CN"/>
              </w:rPr>
              <w:t>，</w:t>
            </w:r>
            <w:r>
              <w:rPr>
                <w:rFonts w:hint="default"/>
                <w:color w:val="auto"/>
                <w:highlight w:val="none"/>
                <w:lang w:val="en-US" w:eastAsia="zh-CN"/>
              </w:rPr>
              <w:t>IPv6:≥25000Mbps；</w:t>
            </w:r>
          </w:p>
          <w:p w14:paraId="53F675B6">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应用层：单向吞吐量IPv4:≥16000Mbps,IPv6:≥16000Mbps；</w:t>
            </w:r>
          </w:p>
          <w:p w14:paraId="2A6BF3A5">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会话性能：整机TCP新建</w:t>
            </w:r>
            <w:r>
              <w:rPr>
                <w:rFonts w:hint="eastAsia"/>
                <w:color w:val="auto"/>
                <w:highlight w:val="none"/>
                <w:lang w:val="en-US" w:eastAsia="zh-CN"/>
              </w:rPr>
              <w:t>：</w:t>
            </w:r>
            <w:r>
              <w:rPr>
                <w:rFonts w:hint="default"/>
                <w:color w:val="auto"/>
                <w:highlight w:val="none"/>
                <w:lang w:val="en-US" w:eastAsia="zh-CN"/>
              </w:rPr>
              <w:t>IPv4:≥200万/秒，IPv6:≥200万/秒；整机TCP并发</w:t>
            </w:r>
            <w:r>
              <w:rPr>
                <w:rFonts w:hint="eastAsia"/>
                <w:color w:val="auto"/>
                <w:highlight w:val="none"/>
                <w:lang w:val="en-US" w:eastAsia="zh-CN"/>
              </w:rPr>
              <w:t>：</w:t>
            </w:r>
            <w:r>
              <w:rPr>
                <w:rFonts w:hint="default"/>
                <w:color w:val="auto"/>
                <w:highlight w:val="none"/>
                <w:lang w:val="en-US" w:eastAsia="zh-CN"/>
              </w:rPr>
              <w:t>IPv4:≥6000万，IPv6:≥6000万；</w:t>
            </w:r>
          </w:p>
          <w:p w14:paraId="5D29BE73">
            <w:pPr>
              <w:pStyle w:val="48"/>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软件功能：</w:t>
            </w:r>
          </w:p>
          <w:p w14:paraId="62FF3BBB">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支持透明传输、路由转发及高可用性部署，具备包过滤、地址转换、带宽管理等网络层访问控制能力，并提供深度应用层识别管控及主流视频信令支持；同时集成拒绝服务攻击、恶意代码及应用层攻击防护，确保多场景业务接入侧的安全防护与协议兼容。</w:t>
            </w:r>
          </w:p>
          <w:p w14:paraId="4EC1FD44">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产品支持对不少于9000种应用的识别和控制，应用类型包括游戏、购物、图书百科、工作招聘、P2P下载、聊天工具、旅游出行、股票软件等类型应用进行检测与控制;产品应具备独立的勒索病毒防护模块，非普通防病毒功能。</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ADA9">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63CA">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6667">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3</w:t>
            </w:r>
          </w:p>
        </w:tc>
      </w:tr>
      <w:bookmarkEnd w:id="16"/>
      <w:tr w14:paraId="21C15EA8">
        <w:tblPrEx>
          <w:tblCellMar>
            <w:top w:w="0" w:type="dxa"/>
            <w:left w:w="108" w:type="dxa"/>
            <w:bottom w:w="0" w:type="dxa"/>
            <w:right w:w="108" w:type="dxa"/>
          </w:tblCellMar>
        </w:tblPrEx>
        <w:trPr>
          <w:trHeight w:val="23"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435E">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A0C">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入侵检测</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E191">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bookmarkStart w:id="18" w:name="OLE_LINK9"/>
            <w:r>
              <w:rPr>
                <w:rFonts w:hint="default"/>
                <w:b/>
                <w:bCs/>
                <w:color w:val="auto"/>
                <w:highlight w:val="none"/>
                <w:lang w:val="en-US" w:eastAsia="zh-CN"/>
              </w:rPr>
              <w:t>硬件参数至少满足下列要求：</w:t>
            </w:r>
          </w:p>
          <w:bookmarkEnd w:id="18"/>
          <w:p w14:paraId="2C6285B3">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网络接口：</w:t>
            </w:r>
            <w:r>
              <w:rPr>
                <w:rFonts w:hint="default"/>
                <w:color w:val="auto"/>
                <w:highlight w:val="none"/>
                <w:lang w:val="en-US" w:eastAsia="zh-CN"/>
              </w:rPr>
              <w:t>4个10/100/1000M电口及2个1G/10G SFP+接口</w:t>
            </w:r>
            <w:r>
              <w:rPr>
                <w:rFonts w:hint="eastAsia"/>
                <w:color w:val="auto"/>
                <w:highlight w:val="none"/>
                <w:lang w:val="en-US" w:eastAsia="zh-CN"/>
              </w:rPr>
              <w:t>；</w:t>
            </w:r>
          </w:p>
          <w:p w14:paraId="30C5AC4C">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可靠性：内置硬件 BYPASS 功能，确保设备故障或断电时业务流量的连续性</w:t>
            </w:r>
            <w:r>
              <w:rPr>
                <w:rFonts w:hint="eastAsia"/>
                <w:color w:val="auto"/>
                <w:highlight w:val="none"/>
                <w:lang w:val="en-US" w:eastAsia="zh-CN"/>
              </w:rPr>
              <w:t>；</w:t>
            </w:r>
          </w:p>
          <w:p w14:paraId="1EA79162">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软件功能：</w:t>
            </w:r>
          </w:p>
          <w:p w14:paraId="1B10E092">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须具备</w:t>
            </w:r>
            <w:r>
              <w:rPr>
                <w:rFonts w:hint="default"/>
                <w:color w:val="auto"/>
                <w:highlight w:val="none"/>
                <w:lang w:val="en-US" w:eastAsia="zh-CN"/>
              </w:rPr>
              <w:t>对蠕虫、木马、僵尸网络、跨站攻击、SQL注入等常见网络攻击的有效检测能力，支持启发式自学习检测机制，内置防病毒模块，并提供三年特征库升级服务。</w:t>
            </w:r>
            <w:r>
              <w:rPr>
                <w:rFonts w:hint="eastAsia"/>
                <w:color w:val="auto"/>
                <w:highlight w:val="none"/>
                <w:lang w:val="en-US" w:eastAsia="zh-CN"/>
              </w:rPr>
              <w:t>支持</w:t>
            </w:r>
            <w:r>
              <w:rPr>
                <w:rFonts w:hint="default"/>
                <w:color w:val="auto"/>
                <w:highlight w:val="none"/>
                <w:lang w:val="en-US" w:eastAsia="zh-CN"/>
              </w:rPr>
              <w:t>对视频业务特有的威胁模型开展专项检测，满足大流量视频数据监测要求，通过部署支持视频协议深度检测的安全探针，实现对异常流量的精准识别与处置。</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567D">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D889">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83FD">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3</w:t>
            </w:r>
          </w:p>
        </w:tc>
      </w:tr>
      <w:tr w14:paraId="11D15DC4">
        <w:tblPrEx>
          <w:tblCellMar>
            <w:top w:w="0" w:type="dxa"/>
            <w:left w:w="108" w:type="dxa"/>
            <w:bottom w:w="0" w:type="dxa"/>
            <w:right w:w="108" w:type="dxa"/>
          </w:tblCellMar>
        </w:tblPrEx>
        <w:trPr>
          <w:trHeight w:val="23"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3889">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2A1D">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堡垒机</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7C9A">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default"/>
                <w:b/>
                <w:bCs/>
                <w:color w:val="auto"/>
                <w:highlight w:val="none"/>
                <w:lang w:val="en-US" w:eastAsia="zh-CN"/>
              </w:rPr>
              <w:t>硬件参数至少满足下列要求：</w:t>
            </w:r>
          </w:p>
          <w:p w14:paraId="0F4FABB3">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专用千兆多核硬件平台和安全操作系统，支持国密算法</w:t>
            </w:r>
            <w:r>
              <w:rPr>
                <w:rFonts w:hint="eastAsia"/>
                <w:color w:val="auto"/>
                <w:highlight w:val="none"/>
                <w:lang w:val="en-US" w:eastAsia="zh-CN"/>
              </w:rPr>
              <w:t>；</w:t>
            </w:r>
          </w:p>
          <w:p w14:paraId="7F471CD1">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存储：</w:t>
            </w:r>
            <w:r>
              <w:rPr>
                <w:rFonts w:hint="default"/>
                <w:color w:val="auto"/>
                <w:highlight w:val="none"/>
                <w:lang w:val="en-US" w:eastAsia="zh-CN"/>
              </w:rPr>
              <w:t>2TB磁盘存储</w:t>
            </w:r>
            <w:r>
              <w:rPr>
                <w:rFonts w:hint="eastAsia"/>
                <w:color w:val="auto"/>
                <w:highlight w:val="none"/>
                <w:lang w:val="en-US" w:eastAsia="zh-CN"/>
              </w:rPr>
              <w:t>；</w:t>
            </w:r>
          </w:p>
          <w:p w14:paraId="79101EDF">
            <w:pPr>
              <w:pStyle w:val="48"/>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接口：</w:t>
            </w:r>
            <w:r>
              <w:rPr>
                <w:rFonts w:hint="default"/>
                <w:color w:val="auto"/>
                <w:highlight w:val="none"/>
                <w:lang w:val="en-US" w:eastAsia="zh-CN"/>
              </w:rPr>
              <w:t>6个10/100/1000M Base-T电口(RJ45)，支持液晶屏</w:t>
            </w:r>
            <w:r>
              <w:rPr>
                <w:rFonts w:hint="eastAsia"/>
                <w:color w:val="auto"/>
                <w:highlight w:val="none"/>
                <w:lang w:val="en-US" w:eastAsia="zh-CN"/>
              </w:rPr>
              <w:t>；性能：</w:t>
            </w:r>
            <w:r>
              <w:rPr>
                <w:rFonts w:hint="default"/>
                <w:color w:val="auto"/>
                <w:highlight w:val="none"/>
                <w:lang w:val="en-US" w:eastAsia="zh-CN"/>
              </w:rPr>
              <w:t>100路图形会话或300路字符会话并发</w:t>
            </w:r>
            <w:r>
              <w:rPr>
                <w:rFonts w:hint="eastAsia"/>
                <w:color w:val="auto"/>
                <w:highlight w:val="none"/>
                <w:lang w:val="en-US" w:eastAsia="zh-CN"/>
              </w:rPr>
              <w:t>，MTBF不少于6万小时，≥100个主机/设备审计节点许可；</w:t>
            </w:r>
          </w:p>
          <w:p w14:paraId="56A9F86F">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软件功能：</w:t>
            </w:r>
          </w:p>
          <w:p w14:paraId="5BAF0B68">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集中管理平台运维账号和访问控制</w:t>
            </w:r>
            <w:r>
              <w:rPr>
                <w:rFonts w:hint="eastAsia"/>
                <w:color w:val="auto"/>
                <w:highlight w:val="none"/>
                <w:lang w:val="en-US" w:eastAsia="zh-CN"/>
              </w:rPr>
              <w:t>；</w:t>
            </w:r>
            <w:r>
              <w:rPr>
                <w:rFonts w:hint="default"/>
                <w:color w:val="auto"/>
                <w:highlight w:val="none"/>
                <w:lang w:val="en-US" w:eastAsia="zh-CN"/>
              </w:rPr>
              <w:t>配置双机热备方案，确保系统高可用性，实现运维操作全程审计和会话录制功能，有效防范内部安全风险。</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4E3A">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45A1">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4B5A">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3</w:t>
            </w:r>
          </w:p>
        </w:tc>
      </w:tr>
      <w:tr w14:paraId="3946EF1F">
        <w:tblPrEx>
          <w:tblCellMar>
            <w:top w:w="0" w:type="dxa"/>
            <w:left w:w="108" w:type="dxa"/>
            <w:bottom w:w="0" w:type="dxa"/>
            <w:right w:w="108" w:type="dxa"/>
          </w:tblCellMar>
        </w:tblPrEx>
        <w:trPr>
          <w:trHeight w:val="23"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58D7">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3B9B">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视频水印叠加设备</w:t>
            </w:r>
          </w:p>
        </w:tc>
        <w:tc>
          <w:tcPr>
            <w:tcW w:w="3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C699">
            <w:pPr>
              <w:pStyle w:val="48"/>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default"/>
                <w:b/>
                <w:bCs/>
                <w:color w:val="auto"/>
                <w:highlight w:val="none"/>
                <w:lang w:val="en-US" w:eastAsia="zh-CN"/>
              </w:rPr>
              <w:t>硬件参数至少满足下列要求：</w:t>
            </w:r>
          </w:p>
          <w:p w14:paraId="4AE8C6D6">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CPU：国产8核处理器，主频不低于2.4GHz；</w:t>
            </w:r>
            <w:r>
              <w:rPr>
                <w:rFonts w:hint="default"/>
                <w:color w:val="auto"/>
                <w:highlight w:val="none"/>
                <w:lang w:val="en-US" w:eastAsia="zh-CN"/>
              </w:rPr>
              <w:br w:type="textWrapping"/>
            </w:r>
            <w:r>
              <w:rPr>
                <w:rFonts w:hint="default"/>
                <w:color w:val="auto"/>
                <w:highlight w:val="none"/>
                <w:lang w:val="en-US" w:eastAsia="zh-CN"/>
              </w:rPr>
              <w:t>内存：16GB DDR4；</w:t>
            </w:r>
            <w:r>
              <w:rPr>
                <w:rFonts w:hint="default"/>
                <w:color w:val="auto"/>
                <w:highlight w:val="none"/>
                <w:lang w:val="en-US" w:eastAsia="zh-CN"/>
              </w:rPr>
              <w:br w:type="textWrapping"/>
            </w:r>
            <w:r>
              <w:rPr>
                <w:rFonts w:hint="default"/>
                <w:color w:val="auto"/>
                <w:highlight w:val="none"/>
                <w:lang w:val="en-US" w:eastAsia="zh-CN"/>
              </w:rPr>
              <w:t>硬件加速卡：国产高性能视频编解码加速卡*5</w:t>
            </w:r>
            <w:r>
              <w:rPr>
                <w:rFonts w:hint="default"/>
                <w:color w:val="auto"/>
                <w:highlight w:val="none"/>
                <w:lang w:val="en-US" w:eastAsia="zh-CN"/>
              </w:rPr>
              <w:br w:type="textWrapping"/>
            </w:r>
            <w:r>
              <w:rPr>
                <w:rFonts w:hint="default"/>
                <w:color w:val="auto"/>
                <w:highlight w:val="none"/>
                <w:lang w:val="en-US" w:eastAsia="zh-CN"/>
              </w:rPr>
              <w:t>网络：千兆以太网接口；</w:t>
            </w:r>
            <w:r>
              <w:rPr>
                <w:rFonts w:hint="default"/>
                <w:color w:val="auto"/>
                <w:highlight w:val="none"/>
                <w:lang w:val="en-US" w:eastAsia="zh-CN"/>
              </w:rPr>
              <w:br w:type="textWrapping"/>
            </w:r>
            <w:r>
              <w:rPr>
                <w:rFonts w:hint="default"/>
                <w:color w:val="auto"/>
                <w:highlight w:val="none"/>
                <w:lang w:val="en-US" w:eastAsia="zh-CN"/>
              </w:rPr>
              <w:t>电源：双电源模块；</w:t>
            </w:r>
          </w:p>
          <w:p w14:paraId="6B0CDEB9">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软件功能：单台至少支持40路视频水印叠加</w:t>
            </w:r>
            <w:r>
              <w:rPr>
                <w:rFonts w:hint="default"/>
                <w:color w:val="auto"/>
                <w:highlight w:val="none"/>
                <w:lang w:val="en-US" w:eastAsia="zh-CN"/>
              </w:rPr>
              <w:t>，部署分布式水印服务集群，满足大规模视频水印处理需求，实现视频数据溯源和安全责任认定</w:t>
            </w:r>
            <w:r>
              <w:rPr>
                <w:rFonts w:hint="eastAsia"/>
                <w:color w:val="auto"/>
                <w:highlight w:val="none"/>
                <w:lang w:val="en-US" w:eastAsia="zh-CN"/>
              </w:rPr>
              <w:t>；配置高性能图像处理加速卡，减少水印处理带来的延迟</w:t>
            </w:r>
            <w:r>
              <w:rPr>
                <w:rFonts w:hint="default"/>
                <w:color w:val="auto"/>
                <w:highlight w:val="none"/>
                <w:lang w:val="en-US" w:eastAsia="zh-CN"/>
              </w:rPr>
              <w:t>。</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B704">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F5D3">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427B">
            <w:pPr>
              <w:pStyle w:val="48"/>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3</w:t>
            </w:r>
          </w:p>
        </w:tc>
      </w:tr>
      <w:bookmarkEnd w:id="8"/>
      <w:bookmarkEnd w:id="9"/>
    </w:tbl>
    <w:p w14:paraId="7193BF8F">
      <w:pPr>
        <w:pStyle w:val="46"/>
        <w:bidi w:val="0"/>
        <w:rPr>
          <w:rFonts w:hint="eastAsia"/>
          <w:color w:val="auto"/>
          <w:highlight w:val="none"/>
          <w:lang w:val="en-US" w:eastAsia="zh-CN"/>
        </w:rPr>
      </w:pPr>
      <w:r>
        <w:rPr>
          <w:rFonts w:hint="eastAsia"/>
          <w:color w:val="auto"/>
          <w:highlight w:val="none"/>
          <w:lang w:val="en-US" w:eastAsia="zh-CN"/>
        </w:rPr>
        <w:t>注1：关键技术指标▲指标需提供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凡不符合上述要求的视为无效技术支持资料。</w:t>
      </w:r>
    </w:p>
    <w:p w14:paraId="3CAE7E3B">
      <w:pPr>
        <w:pStyle w:val="46"/>
        <w:bidi w:val="0"/>
        <w:rPr>
          <w:rFonts w:hint="default"/>
          <w:color w:val="auto"/>
          <w:highlight w:val="none"/>
          <w:lang w:val="en-US" w:eastAsia="zh-CN"/>
        </w:rPr>
      </w:pPr>
      <w:r>
        <w:rPr>
          <w:rFonts w:hint="eastAsia"/>
          <w:color w:val="auto"/>
          <w:highlight w:val="none"/>
          <w:lang w:val="en-US" w:eastAsia="zh-CN"/>
        </w:rPr>
        <w:t>注2：</w:t>
      </w:r>
      <w:r>
        <w:rPr>
          <w:rFonts w:hint="default"/>
          <w:color w:val="auto"/>
          <w:highlight w:val="none"/>
          <w:lang w:val="en-US" w:eastAsia="zh-CN"/>
        </w:rPr>
        <w:t>上述安全设备</w:t>
      </w:r>
      <w:r>
        <w:rPr>
          <w:rFonts w:hint="eastAsia"/>
          <w:color w:val="auto"/>
          <w:highlight w:val="none"/>
          <w:lang w:val="en-US" w:eastAsia="zh-CN"/>
        </w:rPr>
        <w:t>需</w:t>
      </w:r>
      <w:r>
        <w:rPr>
          <w:rFonts w:hint="default"/>
          <w:color w:val="auto"/>
          <w:highlight w:val="none"/>
          <w:lang w:val="en-US" w:eastAsia="zh-CN"/>
        </w:rPr>
        <w:t>同时满足以下资质要求，投标时提供有效证明文件复印件并加盖投标人公章：①具备中国国家信息安全产品认证证书；②具备IT产品信息安全认证证书（EAL4增强级）。</w:t>
      </w:r>
    </w:p>
    <w:p w14:paraId="2D2BB819">
      <w:pPr>
        <w:pStyle w:val="2"/>
        <w:bidi w:val="0"/>
        <w:rPr>
          <w:rFonts w:hint="eastAsia"/>
          <w:color w:val="auto"/>
          <w:highlight w:val="none"/>
        </w:rPr>
      </w:pPr>
      <w:r>
        <w:rPr>
          <w:rFonts w:hint="eastAsia"/>
          <w:color w:val="auto"/>
          <w:highlight w:val="none"/>
          <w:lang w:val="en-US" w:eastAsia="zh-CN"/>
        </w:rPr>
        <w:t>电子政务云资源需求</w:t>
      </w:r>
    </w:p>
    <w:p w14:paraId="0A932695">
      <w:pPr>
        <w:pStyle w:val="46"/>
        <w:bidi w:val="0"/>
        <w:rPr>
          <w:rFonts w:hint="eastAsia"/>
          <w:color w:val="auto"/>
          <w:highlight w:val="none"/>
        </w:rPr>
      </w:pPr>
      <w:r>
        <w:rPr>
          <w:rFonts w:hint="eastAsia"/>
          <w:color w:val="auto"/>
          <w:highlight w:val="none"/>
        </w:rPr>
        <w:t>根据项目前期资源现状，本次建设根据估算拟向电子政务云申请</w:t>
      </w:r>
      <w:r>
        <w:rPr>
          <w:rFonts w:hint="eastAsia"/>
          <w:color w:val="auto"/>
          <w:highlight w:val="none"/>
          <w:lang w:val="en-US" w:eastAsia="zh-CN"/>
        </w:rPr>
        <w:t>13</w:t>
      </w:r>
      <w:r>
        <w:rPr>
          <w:rFonts w:hint="eastAsia"/>
          <w:color w:val="auto"/>
          <w:highlight w:val="none"/>
        </w:rPr>
        <w:t>台服务器</w:t>
      </w:r>
      <w:r>
        <w:rPr>
          <w:rFonts w:hint="eastAsia"/>
          <w:color w:val="auto"/>
          <w:highlight w:val="none"/>
          <w:lang w:val="en-US" w:eastAsia="zh-CN"/>
        </w:rPr>
        <w:t>,共计128</w:t>
      </w:r>
      <w:r>
        <w:rPr>
          <w:rFonts w:hint="eastAsia"/>
          <w:color w:val="auto"/>
          <w:highlight w:val="none"/>
        </w:rPr>
        <w:t>核CPU、</w:t>
      </w:r>
      <w:r>
        <w:rPr>
          <w:rFonts w:hint="eastAsia"/>
          <w:color w:val="auto"/>
          <w:highlight w:val="none"/>
          <w:lang w:val="en-US" w:eastAsia="zh-CN"/>
        </w:rPr>
        <w:t>384</w:t>
      </w:r>
      <w:r>
        <w:rPr>
          <w:rFonts w:hint="eastAsia"/>
          <w:color w:val="auto"/>
          <w:highlight w:val="none"/>
        </w:rPr>
        <w:t>G内存、</w:t>
      </w:r>
      <w:r>
        <w:rPr>
          <w:rFonts w:hint="eastAsia"/>
          <w:color w:val="auto"/>
          <w:highlight w:val="none"/>
          <w:lang w:val="en-US" w:eastAsia="zh-CN"/>
        </w:rPr>
        <w:t>17</w:t>
      </w:r>
      <w:r>
        <w:rPr>
          <w:rFonts w:hint="eastAsia"/>
          <w:color w:val="auto"/>
          <w:highlight w:val="none"/>
        </w:rPr>
        <w:t>T</w:t>
      </w:r>
      <w:r>
        <w:rPr>
          <w:rFonts w:hint="eastAsia"/>
          <w:color w:val="auto"/>
          <w:highlight w:val="none"/>
          <w:lang w:val="en-US" w:eastAsia="zh-CN"/>
        </w:rPr>
        <w:t>B</w:t>
      </w:r>
      <w:r>
        <w:rPr>
          <w:rFonts w:hint="eastAsia"/>
          <w:color w:val="auto"/>
          <w:highlight w:val="none"/>
        </w:rPr>
        <w:t>存储，</w:t>
      </w:r>
      <w:r>
        <w:rPr>
          <w:rFonts w:hint="eastAsia"/>
          <w:color w:val="auto"/>
          <w:highlight w:val="none"/>
          <w:lang w:val="en-US" w:eastAsia="zh-CN"/>
        </w:rPr>
        <w:t>均为</w:t>
      </w:r>
      <w:r>
        <w:rPr>
          <w:rFonts w:hint="eastAsia"/>
          <w:color w:val="auto"/>
          <w:highlight w:val="none"/>
        </w:rPr>
        <w:t>虚拟机。</w:t>
      </w:r>
    </w:p>
    <w:p w14:paraId="11CE91CA">
      <w:pPr>
        <w:pStyle w:val="2"/>
        <w:bidi w:val="0"/>
        <w:rPr>
          <w:rFonts w:hint="eastAsia"/>
          <w:color w:val="auto"/>
          <w:highlight w:val="none"/>
        </w:rPr>
      </w:pPr>
      <w:r>
        <w:rPr>
          <w:rFonts w:hint="eastAsia"/>
          <w:color w:val="auto"/>
          <w:highlight w:val="none"/>
        </w:rPr>
        <w:t>其他工作要求</w:t>
      </w:r>
    </w:p>
    <w:p w14:paraId="244CBCB8">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bookmarkStart w:id="19" w:name="_Toc63785505"/>
      <w:r>
        <w:rPr>
          <w:rFonts w:hint="eastAsia" w:ascii="黑体" w:hAnsi="黑体" w:eastAsia="黑体" w:cstheme="minorBidi"/>
          <w:color w:val="auto"/>
          <w:sz w:val="30"/>
          <w:szCs w:val="30"/>
          <w:highlight w:val="none"/>
        </w:rPr>
        <w:t>售后服务要求</w:t>
      </w:r>
      <w:bookmarkEnd w:id="19"/>
    </w:p>
    <w:p w14:paraId="0452C1FB">
      <w:pPr>
        <w:pStyle w:val="46"/>
        <w:bidi w:val="0"/>
        <w:rPr>
          <w:rFonts w:hint="eastAsia"/>
          <w:color w:val="auto"/>
          <w:highlight w:val="none"/>
        </w:rPr>
      </w:pPr>
      <w:r>
        <w:rPr>
          <w:rFonts w:hint="eastAsia"/>
          <w:color w:val="auto"/>
          <w:highlight w:val="none"/>
        </w:rPr>
        <w:t>本项目自项目验收通过之日起，中标人应对本项目整体系统提供一年7*24小时免费</w:t>
      </w:r>
      <w:r>
        <w:rPr>
          <w:rFonts w:hint="eastAsia"/>
          <w:color w:val="auto"/>
          <w:highlight w:val="none"/>
          <w:lang w:eastAsia="zh-CN"/>
        </w:rPr>
        <w:t>质保</w:t>
      </w:r>
      <w:r>
        <w:rPr>
          <w:rFonts w:hint="eastAsia"/>
          <w:color w:val="auto"/>
          <w:highlight w:val="none"/>
        </w:rPr>
        <w:t>服务，对本项目所采购的所有软硬件产品提供三年免费质保服务服务</w:t>
      </w:r>
      <w:r>
        <w:rPr>
          <w:rFonts w:hint="eastAsia"/>
          <w:color w:val="auto"/>
          <w:highlight w:val="none"/>
          <w:lang w:val="en-US" w:eastAsia="zh-CN"/>
        </w:rPr>
        <w:t>(包括系统软件和应用软件的升级、打补丁、更新/升级安全特征信息等)</w:t>
      </w:r>
      <w:r>
        <w:rPr>
          <w:rFonts w:hint="eastAsia"/>
          <w:color w:val="auto"/>
          <w:highlight w:val="none"/>
        </w:rPr>
        <w:t>，以上服务需包含在投标总价中。</w:t>
      </w:r>
    </w:p>
    <w:p w14:paraId="66C00CE4">
      <w:pPr>
        <w:pStyle w:val="46"/>
        <w:bidi w:val="0"/>
        <w:rPr>
          <w:rFonts w:hint="eastAsia"/>
          <w:color w:val="auto"/>
          <w:highlight w:val="none"/>
        </w:rPr>
      </w:pPr>
      <w:r>
        <w:rPr>
          <w:rFonts w:hint="eastAsia"/>
          <w:color w:val="auto"/>
          <w:highlight w:val="none"/>
        </w:rPr>
        <w:t>在质量保证期内应免费实行“三包”服务，如果设备发生故障，投标人要调查故障原因并免费修复直至满足产品性能的要求，或者免费更换整机或部分有缺陷的组件和材料。若本项目信息系统中软、硬件设备等产品的生产厂商官方承诺的免费保修期超过本条款约定的质量保证期，则该部分产品按厂商官方规定执行免费保修。</w:t>
      </w:r>
    </w:p>
    <w:p w14:paraId="4BF88E50">
      <w:pPr>
        <w:pStyle w:val="46"/>
        <w:bidi w:val="0"/>
        <w:rPr>
          <w:rFonts w:hint="eastAsia"/>
          <w:color w:val="auto"/>
          <w:highlight w:val="none"/>
        </w:rPr>
      </w:pPr>
      <w:r>
        <w:rPr>
          <w:rFonts w:hint="eastAsia"/>
          <w:color w:val="auto"/>
          <w:highlight w:val="none"/>
        </w:rPr>
        <w:t>质量保证期期满后，须由投标人工程师和用户代表进行一次全面检查，任何缺陷必须由投标人负责修理，在修理之后，投标人应将缺陷原因、修理内容、完成修理及恢复正常的时间和日期等报告给用户。</w:t>
      </w:r>
    </w:p>
    <w:p w14:paraId="5C66D846">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ascii="黑体" w:hAnsi="黑体" w:eastAsia="黑体" w:cstheme="minorBidi"/>
          <w:color w:val="auto"/>
          <w:sz w:val="30"/>
          <w:szCs w:val="30"/>
          <w:highlight w:val="none"/>
        </w:rPr>
        <w:t>应急响应要求</w:t>
      </w:r>
    </w:p>
    <w:p w14:paraId="3046D2ED">
      <w:pPr>
        <w:pStyle w:val="46"/>
        <w:bidi w:val="0"/>
        <w:rPr>
          <w:rFonts w:hint="eastAsia"/>
          <w:color w:val="auto"/>
          <w:highlight w:val="none"/>
        </w:rPr>
      </w:pPr>
      <w:r>
        <w:rPr>
          <w:rFonts w:hint="eastAsia"/>
          <w:color w:val="auto"/>
          <w:highlight w:val="none"/>
        </w:rPr>
        <w:t>投标人坚持主动预防、迅速高效的原则，紧密结合实际情况，精心编制并持续完善应急预案，同时每年至少组织实施一次应急演练。</w:t>
      </w:r>
    </w:p>
    <w:p w14:paraId="274F19F2">
      <w:pPr>
        <w:pStyle w:val="46"/>
        <w:bidi w:val="0"/>
        <w:rPr>
          <w:rFonts w:hint="eastAsia"/>
          <w:color w:val="auto"/>
          <w:highlight w:val="none"/>
        </w:rPr>
      </w:pPr>
      <w:r>
        <w:rPr>
          <w:rFonts w:hint="eastAsia"/>
          <w:color w:val="auto"/>
          <w:highlight w:val="none"/>
        </w:rPr>
        <w:t>投标人必须提供</w:t>
      </w:r>
      <w:r>
        <w:rPr>
          <w:color w:val="auto"/>
          <w:highlight w:val="none"/>
        </w:rPr>
        <w:t>7*24</w:t>
      </w:r>
      <w:r>
        <w:rPr>
          <w:rFonts w:hint="eastAsia"/>
          <w:color w:val="auto"/>
          <w:highlight w:val="none"/>
        </w:rPr>
        <w:t>小时全天候应急响应服务。</w:t>
      </w:r>
    </w:p>
    <w:p w14:paraId="68B0B318">
      <w:pPr>
        <w:pStyle w:val="46"/>
        <w:bidi w:val="0"/>
        <w:rPr>
          <w:rFonts w:hint="eastAsia"/>
          <w:color w:val="auto"/>
          <w:highlight w:val="none"/>
        </w:rPr>
      </w:pPr>
      <w:r>
        <w:rPr>
          <w:rFonts w:hint="eastAsia"/>
          <w:color w:val="auto"/>
          <w:highlight w:val="none"/>
        </w:rPr>
        <w:t>依据故障时间及故障范围划分故障级别，故障级别分为四级，依次为Ⅰ级（紧急）、Ⅱ级（严重）、Ⅲ级（较大）和Ⅳ级（一般），分别定义如下：</w:t>
      </w:r>
    </w:p>
    <w:p w14:paraId="55EE508B">
      <w:pPr>
        <w:pStyle w:val="46"/>
        <w:bidi w:val="0"/>
        <w:rPr>
          <w:rFonts w:hint="eastAsia"/>
          <w:color w:val="auto"/>
          <w:highlight w:val="none"/>
        </w:rPr>
      </w:pPr>
      <w:r>
        <w:rPr>
          <w:rFonts w:hint="eastAsia"/>
          <w:color w:val="auto"/>
          <w:highlight w:val="none"/>
        </w:rPr>
        <w:t>Ⅰ级（紧急）故障为工作时间段（8</w:t>
      </w:r>
      <w:r>
        <w:rPr>
          <w:rFonts w:hint="eastAsia"/>
          <w:color w:val="auto"/>
          <w:highlight w:val="none"/>
          <w:lang w:eastAsia="zh-CN"/>
        </w:rPr>
        <w:t>:</w:t>
      </w:r>
      <w:r>
        <w:rPr>
          <w:rFonts w:hint="eastAsia"/>
          <w:color w:val="auto"/>
          <w:highlight w:val="none"/>
        </w:rPr>
        <w:t>30——17</w:t>
      </w:r>
      <w:r>
        <w:rPr>
          <w:rFonts w:hint="eastAsia"/>
          <w:color w:val="auto"/>
          <w:highlight w:val="none"/>
          <w:lang w:eastAsia="zh-CN"/>
        </w:rPr>
        <w:t>:</w:t>
      </w:r>
      <w:r>
        <w:rPr>
          <w:rFonts w:hint="eastAsia"/>
          <w:color w:val="auto"/>
          <w:highlight w:val="none"/>
        </w:rPr>
        <w:t>30）内大范围故障；</w:t>
      </w:r>
    </w:p>
    <w:p w14:paraId="0C45B67A">
      <w:pPr>
        <w:pStyle w:val="46"/>
        <w:bidi w:val="0"/>
        <w:rPr>
          <w:rFonts w:hint="eastAsia"/>
          <w:color w:val="auto"/>
          <w:highlight w:val="none"/>
        </w:rPr>
      </w:pPr>
      <w:r>
        <w:rPr>
          <w:rFonts w:hint="eastAsia"/>
          <w:color w:val="auto"/>
          <w:highlight w:val="none"/>
        </w:rPr>
        <w:t>Ⅱ级（严重）故障为非工作时间段（17</w:t>
      </w:r>
      <w:r>
        <w:rPr>
          <w:rFonts w:hint="eastAsia"/>
          <w:color w:val="auto"/>
          <w:highlight w:val="none"/>
          <w:lang w:eastAsia="zh-CN"/>
        </w:rPr>
        <w:t>:</w:t>
      </w:r>
      <w:r>
        <w:rPr>
          <w:rFonts w:hint="eastAsia"/>
          <w:color w:val="auto"/>
          <w:highlight w:val="none"/>
        </w:rPr>
        <w:t>30——次日8</w:t>
      </w:r>
      <w:r>
        <w:rPr>
          <w:rFonts w:hint="eastAsia"/>
          <w:color w:val="auto"/>
          <w:highlight w:val="none"/>
          <w:lang w:eastAsia="zh-CN"/>
        </w:rPr>
        <w:t>:</w:t>
      </w:r>
      <w:r>
        <w:rPr>
          <w:rFonts w:hint="eastAsia"/>
          <w:color w:val="auto"/>
          <w:highlight w:val="none"/>
        </w:rPr>
        <w:t>30）内大范围故障；</w:t>
      </w:r>
    </w:p>
    <w:p w14:paraId="128E8E41">
      <w:pPr>
        <w:pStyle w:val="46"/>
        <w:bidi w:val="0"/>
        <w:rPr>
          <w:rFonts w:hint="eastAsia"/>
          <w:color w:val="auto"/>
          <w:highlight w:val="none"/>
        </w:rPr>
      </w:pPr>
      <w:r>
        <w:rPr>
          <w:rFonts w:hint="eastAsia"/>
          <w:color w:val="auto"/>
          <w:highlight w:val="none"/>
        </w:rPr>
        <w:t>Ⅲ级（较大）故障为工作时间段（8</w:t>
      </w:r>
      <w:r>
        <w:rPr>
          <w:rFonts w:hint="eastAsia"/>
          <w:color w:val="auto"/>
          <w:highlight w:val="none"/>
          <w:lang w:eastAsia="zh-CN"/>
        </w:rPr>
        <w:t>:</w:t>
      </w:r>
      <w:r>
        <w:rPr>
          <w:rFonts w:hint="eastAsia"/>
          <w:color w:val="auto"/>
          <w:highlight w:val="none"/>
        </w:rPr>
        <w:t>30——17</w:t>
      </w:r>
      <w:r>
        <w:rPr>
          <w:rFonts w:hint="eastAsia"/>
          <w:color w:val="auto"/>
          <w:highlight w:val="none"/>
          <w:lang w:eastAsia="zh-CN"/>
        </w:rPr>
        <w:t>:</w:t>
      </w:r>
      <w:r>
        <w:rPr>
          <w:rFonts w:hint="eastAsia"/>
          <w:color w:val="auto"/>
          <w:highlight w:val="none"/>
        </w:rPr>
        <w:t>30）内小范围故障；</w:t>
      </w:r>
    </w:p>
    <w:p w14:paraId="124895A2">
      <w:pPr>
        <w:pStyle w:val="46"/>
        <w:bidi w:val="0"/>
        <w:rPr>
          <w:rFonts w:hint="eastAsia"/>
          <w:color w:val="auto"/>
          <w:highlight w:val="none"/>
        </w:rPr>
      </w:pPr>
      <w:r>
        <w:rPr>
          <w:rFonts w:hint="eastAsia"/>
          <w:color w:val="auto"/>
          <w:highlight w:val="none"/>
        </w:rPr>
        <w:t>Ⅳ级（一般）故障为非工作时间段（17</w:t>
      </w:r>
      <w:r>
        <w:rPr>
          <w:rFonts w:hint="eastAsia"/>
          <w:color w:val="auto"/>
          <w:highlight w:val="none"/>
          <w:lang w:eastAsia="zh-CN"/>
        </w:rPr>
        <w:t>:</w:t>
      </w:r>
      <w:r>
        <w:rPr>
          <w:rFonts w:hint="eastAsia"/>
          <w:color w:val="auto"/>
          <w:highlight w:val="none"/>
        </w:rPr>
        <w:t>30——次日8</w:t>
      </w:r>
      <w:r>
        <w:rPr>
          <w:rFonts w:hint="eastAsia"/>
          <w:color w:val="auto"/>
          <w:highlight w:val="none"/>
          <w:lang w:eastAsia="zh-CN"/>
        </w:rPr>
        <w:t>:</w:t>
      </w:r>
      <w:r>
        <w:rPr>
          <w:rFonts w:hint="eastAsia"/>
          <w:color w:val="auto"/>
          <w:highlight w:val="none"/>
        </w:rPr>
        <w:t>30）内小范围故障；</w:t>
      </w:r>
    </w:p>
    <w:p w14:paraId="356D6B10">
      <w:pPr>
        <w:pStyle w:val="46"/>
        <w:bidi w:val="0"/>
        <w:rPr>
          <w:rFonts w:hint="eastAsia"/>
          <w:color w:val="auto"/>
          <w:highlight w:val="none"/>
        </w:rPr>
      </w:pPr>
      <w:r>
        <w:rPr>
          <w:rFonts w:hint="eastAsia"/>
          <w:color w:val="auto"/>
          <w:highlight w:val="none"/>
        </w:rPr>
        <w:t>当：</w:t>
      </w:r>
    </w:p>
    <w:p w14:paraId="03DAA71C">
      <w:pPr>
        <w:pStyle w:val="46"/>
        <w:bidi w:val="0"/>
        <w:rPr>
          <w:rFonts w:hint="eastAsia"/>
          <w:color w:val="auto"/>
          <w:highlight w:val="none"/>
        </w:rPr>
      </w:pPr>
      <w:r>
        <w:rPr>
          <w:rFonts w:hint="eastAsia"/>
          <w:color w:val="auto"/>
          <w:highlight w:val="none"/>
        </w:rPr>
        <w:t>a、发生Ⅰ级（紧急）故障后0.5小时内无法通过电话或远程支持服务排除故障，如采购方要求提供现场支持，投标人应1小时内到达用户现场，2小时内完成故障修复；</w:t>
      </w:r>
    </w:p>
    <w:p w14:paraId="46689F16">
      <w:pPr>
        <w:pStyle w:val="46"/>
        <w:bidi w:val="0"/>
        <w:rPr>
          <w:rFonts w:hint="eastAsia"/>
          <w:color w:val="auto"/>
          <w:highlight w:val="none"/>
        </w:rPr>
      </w:pPr>
      <w:r>
        <w:rPr>
          <w:rFonts w:hint="eastAsia"/>
          <w:color w:val="auto"/>
          <w:highlight w:val="none"/>
        </w:rPr>
        <w:t>b、发生Ⅱ级（严重）故障后0.5小时内无法通过电话或远程支持服务排除故障，如采购方要求提供现场支持，投标人应2小时内到达用户现场，3小时内完成故障修复；</w:t>
      </w:r>
    </w:p>
    <w:p w14:paraId="1367FADB">
      <w:pPr>
        <w:pStyle w:val="46"/>
        <w:bidi w:val="0"/>
        <w:rPr>
          <w:rFonts w:hint="eastAsia"/>
          <w:color w:val="auto"/>
          <w:highlight w:val="none"/>
        </w:rPr>
      </w:pPr>
      <w:r>
        <w:rPr>
          <w:rFonts w:hint="eastAsia"/>
          <w:color w:val="auto"/>
          <w:highlight w:val="none"/>
        </w:rPr>
        <w:t>c、发生Ⅲ级（较大）故障后1小时内无法通过电话或远程支持服务排除故障，如采购方要求提供现场支持，投标人应3小时内到达用户现场，4小时内完成故障修复；</w:t>
      </w:r>
    </w:p>
    <w:p w14:paraId="517A05CD">
      <w:pPr>
        <w:pStyle w:val="46"/>
        <w:bidi w:val="0"/>
        <w:rPr>
          <w:rFonts w:hint="eastAsia"/>
          <w:color w:val="auto"/>
          <w:highlight w:val="none"/>
        </w:rPr>
      </w:pPr>
      <w:r>
        <w:rPr>
          <w:rFonts w:hint="eastAsia"/>
          <w:color w:val="auto"/>
          <w:highlight w:val="none"/>
        </w:rPr>
        <w:t>d、发生Ⅳ级（一般）故障后1小时内无法通过电话或远程支持服务排除故障，如采购方要求提供现场支持，投标人应4小时内到达用户现场，12小时内完成故障修复。</w:t>
      </w:r>
    </w:p>
    <w:p w14:paraId="3CA60F5C">
      <w:pPr>
        <w:pStyle w:val="46"/>
        <w:bidi w:val="0"/>
        <w:rPr>
          <w:rFonts w:hint="eastAsia"/>
          <w:color w:val="auto"/>
          <w:highlight w:val="none"/>
        </w:rPr>
      </w:pPr>
      <w:r>
        <w:rPr>
          <w:rFonts w:hint="eastAsia"/>
          <w:color w:val="auto"/>
          <w:highlight w:val="none"/>
        </w:rPr>
        <w:t>如发生故障，投标人应严格按照制定的应急预案中故障处理流程实施故障排除操作。</w:t>
      </w:r>
    </w:p>
    <w:p w14:paraId="5202F8AF">
      <w:pPr>
        <w:pStyle w:val="46"/>
        <w:bidi w:val="0"/>
        <w:rPr>
          <w:rFonts w:hint="eastAsia"/>
          <w:color w:val="auto"/>
          <w:highlight w:val="none"/>
        </w:rPr>
      </w:pPr>
      <w:r>
        <w:rPr>
          <w:rFonts w:hint="eastAsia"/>
          <w:color w:val="auto"/>
          <w:highlight w:val="none"/>
        </w:rPr>
        <w:t>当故障排除操作全部完成后，投标人应向采购单位提交运维故障报告，经采购单位验证通过后签字确认并归档保存，同时组织更新相关文档。</w:t>
      </w:r>
    </w:p>
    <w:p w14:paraId="23DC5F4E">
      <w:pPr>
        <w:pStyle w:val="46"/>
        <w:bidi w:val="0"/>
        <w:rPr>
          <w:rFonts w:hint="eastAsia"/>
          <w:color w:val="auto"/>
          <w:highlight w:val="none"/>
        </w:rPr>
      </w:pPr>
      <w:r>
        <w:rPr>
          <w:rFonts w:hint="eastAsia"/>
          <w:color w:val="auto"/>
          <w:highlight w:val="none"/>
        </w:rPr>
        <w:t>如遇有重大事件（包括汛期、节假日、政治军事活动等），投标人应科学编制安全保障方案，并根据采购单位需要提供现场保障服务。</w:t>
      </w:r>
    </w:p>
    <w:p w14:paraId="53AA1F9B">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ascii="黑体" w:hAnsi="黑体" w:eastAsia="黑体" w:cstheme="minorBidi"/>
          <w:color w:val="auto"/>
          <w:sz w:val="30"/>
          <w:szCs w:val="30"/>
          <w:highlight w:val="none"/>
        </w:rPr>
        <w:t>备份与恢复要求</w:t>
      </w:r>
    </w:p>
    <w:p w14:paraId="29865805">
      <w:pPr>
        <w:pStyle w:val="46"/>
        <w:bidi w:val="0"/>
        <w:rPr>
          <w:rFonts w:hint="eastAsia"/>
          <w:color w:val="auto"/>
          <w:highlight w:val="none"/>
        </w:rPr>
      </w:pPr>
      <w:r>
        <w:rPr>
          <w:rFonts w:hint="eastAsia"/>
          <w:color w:val="auto"/>
          <w:highlight w:val="none"/>
        </w:rPr>
        <w:t>投标人必须制定文件、中间件、应用程序等备份策略，定期备份关键数据；</w:t>
      </w:r>
    </w:p>
    <w:p w14:paraId="0C826F74">
      <w:pPr>
        <w:pStyle w:val="46"/>
        <w:bidi w:val="0"/>
        <w:rPr>
          <w:rFonts w:hint="eastAsia"/>
          <w:color w:val="auto"/>
          <w:highlight w:val="none"/>
        </w:rPr>
      </w:pPr>
      <w:r>
        <w:rPr>
          <w:rFonts w:hint="eastAsia"/>
          <w:color w:val="auto"/>
          <w:highlight w:val="none"/>
        </w:rPr>
        <w:t>投标人必须制定数据恢复策略，以便发生故障时快速恢复；</w:t>
      </w:r>
    </w:p>
    <w:p w14:paraId="14B8B8F6">
      <w:pPr>
        <w:pStyle w:val="46"/>
        <w:bidi w:val="0"/>
        <w:rPr>
          <w:rFonts w:hint="eastAsia"/>
          <w:color w:val="auto"/>
          <w:highlight w:val="none"/>
        </w:rPr>
      </w:pPr>
      <w:r>
        <w:rPr>
          <w:rFonts w:hint="eastAsia"/>
          <w:color w:val="auto"/>
          <w:highlight w:val="none"/>
        </w:rPr>
        <w:t>投标人必须根据实际情况制定相应灾难恢复策略，以便发生灾难时快速恢复。</w:t>
      </w:r>
    </w:p>
    <w:p w14:paraId="5574407B">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ascii="黑体" w:hAnsi="黑体" w:eastAsia="黑体" w:cstheme="minorBidi"/>
          <w:color w:val="auto"/>
          <w:sz w:val="30"/>
          <w:szCs w:val="30"/>
          <w:highlight w:val="none"/>
        </w:rPr>
        <w:t>培训要求</w:t>
      </w:r>
    </w:p>
    <w:p w14:paraId="2CB31D76">
      <w:pPr>
        <w:pStyle w:val="46"/>
        <w:bidi w:val="0"/>
        <w:rPr>
          <w:rFonts w:hint="eastAsia"/>
          <w:color w:val="auto"/>
          <w:highlight w:val="none"/>
        </w:rPr>
      </w:pPr>
      <w:r>
        <w:rPr>
          <w:rFonts w:hint="eastAsia"/>
          <w:color w:val="auto"/>
          <w:highlight w:val="none"/>
        </w:rPr>
        <w:t>对系统使用单位提供业务操作培训，应提供详细培训方案。</w:t>
      </w:r>
    </w:p>
    <w:p w14:paraId="351C92C4">
      <w:pPr>
        <w:pStyle w:val="46"/>
        <w:bidi w:val="0"/>
        <w:rPr>
          <w:rFonts w:hint="eastAsia"/>
          <w:color w:val="auto"/>
          <w:highlight w:val="none"/>
        </w:rPr>
      </w:pPr>
      <w:r>
        <w:rPr>
          <w:rFonts w:hint="eastAsia"/>
          <w:color w:val="auto"/>
          <w:highlight w:val="none"/>
        </w:rPr>
        <w:t>在12个月的质量保证期内，至少提供2次与项目相关的必要培训。</w:t>
      </w:r>
    </w:p>
    <w:p w14:paraId="385B2FF4">
      <w:pPr>
        <w:pStyle w:val="46"/>
        <w:bidi w:val="0"/>
        <w:rPr>
          <w:rFonts w:hint="eastAsia"/>
          <w:color w:val="auto"/>
          <w:highlight w:val="none"/>
        </w:rPr>
      </w:pPr>
      <w:r>
        <w:rPr>
          <w:rFonts w:hint="eastAsia"/>
          <w:color w:val="auto"/>
          <w:highlight w:val="none"/>
        </w:rPr>
        <w:t>供应商需要开展分层次的人员培训工作，每次培训后应对参加培训人员进行测试，评估培训成果。培训应具有培训教材、培训环境和高水平的培训讲师。</w:t>
      </w:r>
    </w:p>
    <w:p w14:paraId="4A4CBD34">
      <w:pPr>
        <w:pStyle w:val="46"/>
        <w:bidi w:val="0"/>
        <w:rPr>
          <w:rFonts w:hint="eastAsia"/>
          <w:color w:val="auto"/>
          <w:highlight w:val="none"/>
        </w:rPr>
      </w:pPr>
      <w:r>
        <w:rPr>
          <w:rFonts w:hint="eastAsia"/>
          <w:color w:val="auto"/>
          <w:highlight w:val="none"/>
        </w:rPr>
        <w:t>供应商应提供一般用户的基础操作培训和部门信息管理员的日常应用维护的培训，确保用户对象能够掌握对应的操作技能。</w:t>
      </w:r>
    </w:p>
    <w:p w14:paraId="463A7A8E">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bookmarkStart w:id="20" w:name="_Toc63785509"/>
      <w:r>
        <w:rPr>
          <w:rFonts w:hint="eastAsia" w:ascii="黑体" w:hAnsi="黑体" w:eastAsia="黑体" w:cstheme="minorBidi"/>
          <w:color w:val="auto"/>
          <w:sz w:val="30"/>
          <w:szCs w:val="30"/>
          <w:highlight w:val="none"/>
        </w:rPr>
        <w:t>进度要求</w:t>
      </w:r>
      <w:bookmarkEnd w:id="20"/>
    </w:p>
    <w:p w14:paraId="7EF4443A">
      <w:pPr>
        <w:pStyle w:val="46"/>
        <w:bidi w:val="0"/>
        <w:rPr>
          <w:rFonts w:hint="eastAsia"/>
          <w:color w:val="auto"/>
          <w:highlight w:val="none"/>
        </w:rPr>
      </w:pPr>
      <w:r>
        <w:rPr>
          <w:rFonts w:hint="eastAsia"/>
          <w:color w:val="auto"/>
          <w:highlight w:val="none"/>
        </w:rPr>
        <w:t>投标人应根据建设内容，分阶段制定合理的时间进度，并且应根据招标方要求进行调整和细化。</w:t>
      </w:r>
    </w:p>
    <w:p w14:paraId="2E072B60">
      <w:pPr>
        <w:pStyle w:val="46"/>
        <w:bidi w:val="0"/>
        <w:rPr>
          <w:rFonts w:hint="eastAsia"/>
          <w:color w:val="auto"/>
          <w:highlight w:val="none"/>
          <w:lang w:val="en-US" w:eastAsia="zh-CN"/>
        </w:rPr>
      </w:pPr>
      <w:bookmarkStart w:id="21" w:name="OLE_LINK10"/>
      <w:r>
        <w:rPr>
          <w:rFonts w:hint="eastAsia"/>
          <w:color w:val="auto"/>
          <w:highlight w:val="none"/>
          <w:lang w:val="en-US" w:eastAsia="zh-CN"/>
        </w:rPr>
        <w:t>项目须于2026年12月31日前完成建设及初验；初验合格后进入60日历日试运行；2027年3月31日前完成委内预验收；2027年11月30日前完成项目最终验收。</w:t>
      </w:r>
    </w:p>
    <w:p w14:paraId="0A8A80F0">
      <w:pPr>
        <w:pStyle w:val="46"/>
        <w:bidi w:val="0"/>
        <w:rPr>
          <w:rFonts w:hint="eastAsia"/>
          <w:color w:val="auto"/>
          <w:highlight w:val="none"/>
        </w:rPr>
      </w:pPr>
      <w:r>
        <w:rPr>
          <w:rFonts w:hint="eastAsia"/>
          <w:color w:val="auto"/>
          <w:highlight w:val="none"/>
        </w:rPr>
        <w:t>本项目按下述方式开展验收。</w:t>
      </w:r>
    </w:p>
    <w:p w14:paraId="4DB297DE">
      <w:pPr>
        <w:pStyle w:val="46"/>
        <w:bidi w:val="0"/>
        <w:rPr>
          <w:rFonts w:hint="eastAsia"/>
          <w:color w:val="auto"/>
          <w:highlight w:val="none"/>
        </w:rPr>
      </w:pPr>
      <w:r>
        <w:rPr>
          <w:rFonts w:hint="eastAsia"/>
          <w:color w:val="auto"/>
          <w:highlight w:val="none"/>
        </w:rPr>
        <w:t>（1）</w:t>
      </w:r>
      <w:r>
        <w:rPr>
          <w:color w:val="auto"/>
          <w:highlight w:val="none"/>
        </w:rPr>
        <w:t>合同履行期内，供应商应根据招标方实际需求，派遣专业技术团队提供即时响应的现场技术支持</w:t>
      </w:r>
      <w:r>
        <w:rPr>
          <w:rFonts w:hint="eastAsia"/>
          <w:color w:val="auto"/>
          <w:highlight w:val="none"/>
          <w:lang w:eastAsia="zh-CN"/>
        </w:rPr>
        <w:t>，</w:t>
      </w:r>
      <w:r>
        <w:rPr>
          <w:rFonts w:hint="eastAsia"/>
          <w:color w:val="auto"/>
          <w:highlight w:val="none"/>
          <w:lang w:val="en-US" w:eastAsia="zh-CN"/>
        </w:rPr>
        <w:t>解决</w:t>
      </w:r>
      <w:r>
        <w:rPr>
          <w:rFonts w:hint="eastAsia"/>
          <w:color w:val="auto"/>
          <w:highlight w:val="none"/>
        </w:rPr>
        <w:t>可能出现的各类问题，并针对系统运行现状提供持续性迭代与优化建议，确保信息系统长期稳定、高效运行。</w:t>
      </w:r>
    </w:p>
    <w:p w14:paraId="4AE8937B">
      <w:pPr>
        <w:pStyle w:val="46"/>
        <w:bidi w:val="0"/>
        <w:rPr>
          <w:rFonts w:hint="eastAsia"/>
          <w:color w:val="auto"/>
          <w:highlight w:val="none"/>
        </w:rPr>
      </w:pPr>
      <w:r>
        <w:rPr>
          <w:rFonts w:hint="eastAsia"/>
          <w:color w:val="auto"/>
          <w:highlight w:val="none"/>
        </w:rPr>
        <w:t>（2）系统试运行期已经达到本项目约定的时间，经供应商确认信息系统具备正常运行条件，且信息系统通过运行测试，供应商应以书面形式通知招标方信息系统已准备就绪等待验</w:t>
      </w:r>
      <w:r>
        <w:rPr>
          <w:rFonts w:hint="eastAsia"/>
          <w:color w:val="auto"/>
          <w:highlight w:val="none"/>
          <w:lang w:val="en-US" w:eastAsia="zh-CN"/>
        </w:rPr>
        <w:t>收</w:t>
      </w:r>
      <w:r>
        <w:rPr>
          <w:rFonts w:hint="eastAsia"/>
          <w:color w:val="auto"/>
          <w:highlight w:val="none"/>
        </w:rPr>
        <w:t>。</w:t>
      </w:r>
    </w:p>
    <w:p w14:paraId="246815D3">
      <w:pPr>
        <w:pStyle w:val="46"/>
        <w:bidi w:val="0"/>
        <w:rPr>
          <w:rFonts w:hint="eastAsia"/>
          <w:color w:val="auto"/>
          <w:highlight w:val="none"/>
        </w:rPr>
      </w:pPr>
      <w:r>
        <w:rPr>
          <w:rFonts w:hint="eastAsia"/>
          <w:color w:val="auto"/>
          <w:highlight w:val="none"/>
        </w:rPr>
        <w:t>（3）如果属于供应商原因致使本项目未能通过终验，供应商应当排除缺陷，直至本项目完全符合验收标准，由上述情形而产生的相关费用应由供应商自行承担。</w:t>
      </w:r>
    </w:p>
    <w:p w14:paraId="36D43A79">
      <w:pPr>
        <w:pStyle w:val="46"/>
        <w:bidi w:val="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）如本项目连续3次验收未通过（含初验未通过或终验未通过），招标方有权解除项目，并有权依照本项目约定的违约条款追究供应商的违约责任。</w:t>
      </w:r>
    </w:p>
    <w:bookmarkEnd w:id="21"/>
    <w:p w14:paraId="08DF7F6B">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bookmarkStart w:id="22" w:name="_Toc63785511"/>
      <w:r>
        <w:rPr>
          <w:rFonts w:hint="eastAsia" w:ascii="黑体" w:hAnsi="黑体" w:eastAsia="黑体" w:cstheme="minorBidi"/>
          <w:color w:val="auto"/>
          <w:sz w:val="30"/>
          <w:szCs w:val="30"/>
          <w:highlight w:val="none"/>
        </w:rPr>
        <w:t>项目团队及驻场人员要求</w:t>
      </w:r>
    </w:p>
    <w:p w14:paraId="55F9F7E2">
      <w:pPr>
        <w:pStyle w:val="4"/>
        <w:spacing w:before="156" w:after="156"/>
        <w:rPr>
          <w:color w:val="auto"/>
          <w:highlight w:val="none"/>
        </w:rPr>
      </w:pPr>
      <w:r>
        <w:rPr>
          <w:rFonts w:hint="eastAsia"/>
          <w:color w:val="auto"/>
          <w:highlight w:val="none"/>
        </w:rPr>
        <w:t>服务人员要求</w:t>
      </w:r>
    </w:p>
    <w:p w14:paraId="19C71CDB">
      <w:pPr>
        <w:pStyle w:val="46"/>
        <w:bidi w:val="0"/>
        <w:rPr>
          <w:rFonts w:hint="eastAsia"/>
          <w:color w:val="auto"/>
          <w:highlight w:val="none"/>
          <w:lang w:val="en-US" w:eastAsia="zh-CN"/>
        </w:rPr>
      </w:pPr>
      <w:r>
        <w:rPr>
          <w:rFonts w:hint="eastAsia"/>
          <w:color w:val="auto"/>
          <w:highlight w:val="none"/>
        </w:rPr>
        <w:t>投标人须具有稳定的在职技术保障力量，能够提供及时的技术支援或服务，应针对本项目选派在项目服务方面富有经验的团队人员负责项目的运行维护</w:t>
      </w:r>
      <w:r>
        <w:rPr>
          <w:rFonts w:hint="eastAsia"/>
          <w:color w:val="auto"/>
          <w:highlight w:val="none"/>
          <w:lang w:eastAsia="zh-CN"/>
        </w:rPr>
        <w:t>。</w:t>
      </w:r>
      <w:r>
        <w:rPr>
          <w:rFonts w:hint="eastAsia"/>
          <w:color w:val="auto"/>
          <w:highlight w:val="none"/>
          <w:lang w:val="en-US" w:eastAsia="zh-CN"/>
        </w:rPr>
        <w:t>投标人应按照招标方工作要求组建项目组，在指定服务响应范围（30分钟内）常态化驻场值守，驻场所需办公场地由投标人自行统筹解决，全程保障驻场办公环境网络链路通畅、网络安全合规，整体办公场地物理环境安全可靠、满足常态化运维办公标准。</w:t>
      </w:r>
    </w:p>
    <w:p w14:paraId="5980E727">
      <w:pPr>
        <w:pStyle w:val="46"/>
        <w:bidi w:val="0"/>
        <w:rPr>
          <w:rFonts w:hint="eastAsia"/>
          <w:color w:val="auto"/>
          <w:highlight w:val="none"/>
          <w:lang w:eastAsia="zh-CN"/>
        </w:rPr>
      </w:pPr>
      <w:r>
        <w:rPr>
          <w:rFonts w:hint="eastAsia"/>
          <w:color w:val="auto"/>
          <w:highlight w:val="none"/>
        </w:rPr>
        <w:t>项目团队应配置对应的人员，团队应至少配备</w:t>
      </w:r>
      <w:r>
        <w:rPr>
          <w:rFonts w:hint="eastAsia"/>
          <w:color w:val="auto"/>
          <w:highlight w:val="none"/>
          <w:lang w:val="en-US" w:eastAsia="zh-CN"/>
        </w:rPr>
        <w:t>15</w:t>
      </w:r>
      <w:r>
        <w:rPr>
          <w:rFonts w:hint="eastAsia"/>
          <w:color w:val="auto"/>
          <w:highlight w:val="none"/>
        </w:rPr>
        <w:t>人，驻场至少</w:t>
      </w:r>
      <w:r>
        <w:rPr>
          <w:rFonts w:hint="eastAsia"/>
          <w:color w:val="auto"/>
          <w:highlight w:val="none"/>
          <w:lang w:val="en-US" w:eastAsia="zh-CN"/>
        </w:rPr>
        <w:t>6</w:t>
      </w:r>
      <w:r>
        <w:rPr>
          <w:rFonts w:hint="eastAsia"/>
          <w:color w:val="auto"/>
          <w:highlight w:val="none"/>
        </w:rPr>
        <w:t>人，重大活动和突发事件时按应急管理要求增配相关技术人员并到达指定现场，投标单位的相关服务人员需具备相应的服务能力，需提供相关证明（</w:t>
      </w:r>
      <w:r>
        <w:rPr>
          <w:rFonts w:hint="eastAsia"/>
          <w:color w:val="auto"/>
          <w:highlight w:val="none"/>
          <w:lang w:val="en-US" w:eastAsia="zh-CN"/>
        </w:rPr>
        <w:t>近3个月内</w:t>
      </w:r>
      <w:r>
        <w:rPr>
          <w:rFonts w:hint="eastAsia"/>
          <w:color w:val="auto"/>
          <w:highlight w:val="none"/>
        </w:rPr>
        <w:t>任意一月依法缴纳社保费的证明）</w:t>
      </w:r>
      <w:r>
        <w:rPr>
          <w:rFonts w:hint="eastAsia"/>
          <w:color w:val="auto"/>
          <w:highlight w:val="none"/>
          <w:lang w:eastAsia="zh-CN"/>
        </w:rPr>
        <w:t>，具体要求如下：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5"/>
        <w:gridCol w:w="808"/>
        <w:gridCol w:w="4066"/>
        <w:gridCol w:w="1113"/>
      </w:tblGrid>
      <w:tr w14:paraId="34A3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blHeader/>
        </w:trPr>
        <w:tc>
          <w:tcPr>
            <w:tcW w:w="434" w:type="pct"/>
            <w:vAlign w:val="center"/>
          </w:tcPr>
          <w:p w14:paraId="26435229">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角色</w:t>
            </w:r>
          </w:p>
        </w:tc>
        <w:tc>
          <w:tcPr>
            <w:tcW w:w="1053" w:type="pct"/>
            <w:vAlign w:val="center"/>
          </w:tcPr>
          <w:p w14:paraId="5B2D2376">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主要职责</w:t>
            </w:r>
          </w:p>
        </w:tc>
        <w:tc>
          <w:tcPr>
            <w:tcW w:w="474" w:type="pct"/>
            <w:vAlign w:val="center"/>
          </w:tcPr>
          <w:p w14:paraId="77A9562C">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人数</w:t>
            </w:r>
          </w:p>
        </w:tc>
        <w:tc>
          <w:tcPr>
            <w:tcW w:w="2385" w:type="pct"/>
            <w:vAlign w:val="center"/>
          </w:tcPr>
          <w:p w14:paraId="269254EF">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人员要求</w:t>
            </w:r>
          </w:p>
        </w:tc>
        <w:tc>
          <w:tcPr>
            <w:tcW w:w="653" w:type="pct"/>
            <w:vAlign w:val="center"/>
          </w:tcPr>
          <w:p w14:paraId="0A446E7C">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驻场要求</w:t>
            </w:r>
          </w:p>
        </w:tc>
      </w:tr>
      <w:tr w14:paraId="15B2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34" w:type="pct"/>
            <w:vAlign w:val="center"/>
          </w:tcPr>
          <w:p w14:paraId="588FEA71">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项目经理</w:t>
            </w:r>
          </w:p>
        </w:tc>
        <w:tc>
          <w:tcPr>
            <w:tcW w:w="1053" w:type="pct"/>
            <w:vAlign w:val="center"/>
          </w:tcPr>
          <w:p w14:paraId="68B63CD7">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负责项目质量和进度控制</w:t>
            </w:r>
          </w:p>
        </w:tc>
        <w:tc>
          <w:tcPr>
            <w:tcW w:w="474" w:type="pct"/>
            <w:vAlign w:val="center"/>
          </w:tcPr>
          <w:p w14:paraId="44226652">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1人</w:t>
            </w:r>
          </w:p>
        </w:tc>
        <w:tc>
          <w:tcPr>
            <w:tcW w:w="2385" w:type="pct"/>
            <w:vAlign w:val="center"/>
          </w:tcPr>
          <w:p w14:paraId="0D1C3B1E">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本科及以上，具备信息系统项目管理师证书、计算机软件类工程师及以上职称。具有5年及以上软件开发/实施/服务经验</w:t>
            </w:r>
          </w:p>
        </w:tc>
        <w:tc>
          <w:tcPr>
            <w:tcW w:w="653" w:type="pct"/>
            <w:vAlign w:val="center"/>
          </w:tcPr>
          <w:p w14:paraId="495F660F">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驻场</w:t>
            </w:r>
          </w:p>
        </w:tc>
      </w:tr>
      <w:tr w14:paraId="754A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4" w:type="pct"/>
            <w:vAlign w:val="center"/>
          </w:tcPr>
          <w:p w14:paraId="36AC7956">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技术负责人</w:t>
            </w:r>
          </w:p>
        </w:tc>
        <w:tc>
          <w:tcPr>
            <w:tcW w:w="1053" w:type="pct"/>
            <w:vAlign w:val="center"/>
          </w:tcPr>
          <w:p w14:paraId="29FFA88A">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总体软件架构把控，制定开发标准，确定开发技术路线</w:t>
            </w:r>
          </w:p>
        </w:tc>
        <w:tc>
          <w:tcPr>
            <w:tcW w:w="474" w:type="pct"/>
            <w:vAlign w:val="center"/>
          </w:tcPr>
          <w:p w14:paraId="5EBAF0A7">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1人</w:t>
            </w:r>
          </w:p>
        </w:tc>
        <w:tc>
          <w:tcPr>
            <w:tcW w:w="2385" w:type="pct"/>
            <w:vAlign w:val="center"/>
          </w:tcPr>
          <w:p w14:paraId="32C0E7CA">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本科及以上学历，具有信息技术类工程师及以上职称。具有5年及以上软件开发/实施/服务经验</w:t>
            </w:r>
          </w:p>
        </w:tc>
        <w:tc>
          <w:tcPr>
            <w:tcW w:w="653" w:type="pct"/>
            <w:vAlign w:val="center"/>
          </w:tcPr>
          <w:p w14:paraId="3BBB3E46">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驻场</w:t>
            </w:r>
          </w:p>
        </w:tc>
      </w:tr>
      <w:tr w14:paraId="5C13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4" w:type="pct"/>
            <w:vAlign w:val="center"/>
          </w:tcPr>
          <w:p w14:paraId="50E288E6">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产品经理</w:t>
            </w:r>
          </w:p>
        </w:tc>
        <w:tc>
          <w:tcPr>
            <w:tcW w:w="1053" w:type="pct"/>
            <w:vAlign w:val="center"/>
          </w:tcPr>
          <w:p w14:paraId="0AE44D1D">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负责用户需求调研，项目需求评估与产品设计</w:t>
            </w:r>
          </w:p>
        </w:tc>
        <w:tc>
          <w:tcPr>
            <w:tcW w:w="474" w:type="pct"/>
            <w:vAlign w:val="center"/>
          </w:tcPr>
          <w:p w14:paraId="1FA61E3D">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2人</w:t>
            </w:r>
          </w:p>
        </w:tc>
        <w:tc>
          <w:tcPr>
            <w:tcW w:w="2385" w:type="pct"/>
            <w:vAlign w:val="center"/>
          </w:tcPr>
          <w:p w14:paraId="36FB144A">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本科及以上学历，具有具有计算机软件类工程师及以上职称。5年以上软件开发/实施/服务经验</w:t>
            </w:r>
          </w:p>
        </w:tc>
        <w:tc>
          <w:tcPr>
            <w:tcW w:w="653" w:type="pct"/>
            <w:vAlign w:val="center"/>
          </w:tcPr>
          <w:p w14:paraId="4238C870">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不驻场</w:t>
            </w:r>
          </w:p>
        </w:tc>
      </w:tr>
      <w:tr w14:paraId="542B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4" w:type="pct"/>
            <w:vAlign w:val="center"/>
          </w:tcPr>
          <w:p w14:paraId="08118D11">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信息安全负责人</w:t>
            </w:r>
          </w:p>
        </w:tc>
        <w:tc>
          <w:tcPr>
            <w:tcW w:w="1053" w:type="pct"/>
            <w:vAlign w:val="center"/>
          </w:tcPr>
          <w:p w14:paraId="14BDB1D9">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负责安全策略和标准设计</w:t>
            </w:r>
          </w:p>
        </w:tc>
        <w:tc>
          <w:tcPr>
            <w:tcW w:w="474" w:type="pct"/>
            <w:vAlign w:val="center"/>
          </w:tcPr>
          <w:p w14:paraId="7146A1AC">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1人</w:t>
            </w:r>
          </w:p>
        </w:tc>
        <w:tc>
          <w:tcPr>
            <w:tcW w:w="2385" w:type="pct"/>
            <w:vAlign w:val="center"/>
          </w:tcPr>
          <w:p w14:paraId="14B439B8">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本科或以上，具有注册信息安全专业人员（CISP）证书</w:t>
            </w:r>
          </w:p>
        </w:tc>
        <w:tc>
          <w:tcPr>
            <w:tcW w:w="653" w:type="pct"/>
            <w:vAlign w:val="center"/>
          </w:tcPr>
          <w:p w14:paraId="4EAADBBE">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驻场</w:t>
            </w:r>
          </w:p>
        </w:tc>
      </w:tr>
      <w:tr w14:paraId="694B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34" w:type="pct"/>
            <w:vAlign w:val="center"/>
          </w:tcPr>
          <w:p w14:paraId="2ECDB61E">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硬件工程师</w:t>
            </w:r>
          </w:p>
        </w:tc>
        <w:tc>
          <w:tcPr>
            <w:tcW w:w="1053" w:type="pct"/>
            <w:vAlign w:val="center"/>
          </w:tcPr>
          <w:p w14:paraId="411F42C5">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包括硬件设备的选型，并指导硬件设备的安装、调试以及维护</w:t>
            </w:r>
          </w:p>
        </w:tc>
        <w:tc>
          <w:tcPr>
            <w:tcW w:w="474" w:type="pct"/>
            <w:vAlign w:val="center"/>
          </w:tcPr>
          <w:p w14:paraId="796BC1BB">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人</w:t>
            </w:r>
          </w:p>
        </w:tc>
        <w:tc>
          <w:tcPr>
            <w:tcW w:w="2385" w:type="pct"/>
            <w:vAlign w:val="center"/>
          </w:tcPr>
          <w:p w14:paraId="0C59C8CA">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本科或以上，具有自动化相关专业工程职称，具有3年以上项目实施经验</w:t>
            </w:r>
          </w:p>
        </w:tc>
        <w:tc>
          <w:tcPr>
            <w:tcW w:w="653" w:type="pct"/>
            <w:vAlign w:val="center"/>
          </w:tcPr>
          <w:p w14:paraId="03047FB4">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部分驻场，至少1人驻场（外场）</w:t>
            </w:r>
          </w:p>
        </w:tc>
      </w:tr>
      <w:tr w14:paraId="36F3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34" w:type="pct"/>
            <w:vAlign w:val="center"/>
          </w:tcPr>
          <w:p w14:paraId="5BD500CD">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软件工程师</w:t>
            </w:r>
          </w:p>
        </w:tc>
        <w:tc>
          <w:tcPr>
            <w:tcW w:w="1053" w:type="pct"/>
            <w:vAlign w:val="center"/>
          </w:tcPr>
          <w:p w14:paraId="35389936">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负责项目具体开发</w:t>
            </w:r>
          </w:p>
        </w:tc>
        <w:tc>
          <w:tcPr>
            <w:tcW w:w="474" w:type="pct"/>
            <w:vAlign w:val="center"/>
          </w:tcPr>
          <w:p w14:paraId="7A62A7C5">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4人</w:t>
            </w:r>
          </w:p>
        </w:tc>
        <w:tc>
          <w:tcPr>
            <w:tcW w:w="2385" w:type="pct"/>
            <w:vAlign w:val="center"/>
          </w:tcPr>
          <w:p w14:paraId="643F61DE">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具有3年以上项目实施经验。具有信息技术类职称或计算机软件类职称</w:t>
            </w:r>
          </w:p>
        </w:tc>
        <w:tc>
          <w:tcPr>
            <w:tcW w:w="653" w:type="pct"/>
            <w:vAlign w:val="center"/>
          </w:tcPr>
          <w:p w14:paraId="2A745773">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部分驻场，至少1人驻场</w:t>
            </w:r>
          </w:p>
        </w:tc>
      </w:tr>
      <w:tr w14:paraId="38A1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34" w:type="pct"/>
            <w:vAlign w:val="center"/>
          </w:tcPr>
          <w:p w14:paraId="1E5355D8">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信息安全工程师</w:t>
            </w:r>
          </w:p>
        </w:tc>
        <w:tc>
          <w:tcPr>
            <w:tcW w:w="1053" w:type="pct"/>
            <w:vAlign w:val="center"/>
          </w:tcPr>
          <w:p w14:paraId="070797E0">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安全策略具体实施</w:t>
            </w:r>
          </w:p>
        </w:tc>
        <w:tc>
          <w:tcPr>
            <w:tcW w:w="474" w:type="pct"/>
            <w:vAlign w:val="center"/>
          </w:tcPr>
          <w:p w14:paraId="37B73FC8">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1人</w:t>
            </w:r>
          </w:p>
        </w:tc>
        <w:tc>
          <w:tcPr>
            <w:tcW w:w="2385" w:type="pct"/>
            <w:vAlign w:val="center"/>
          </w:tcPr>
          <w:p w14:paraId="1C565B79">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本科或以上，具有信息安全保障人员（CISAW）证书</w:t>
            </w:r>
          </w:p>
        </w:tc>
        <w:tc>
          <w:tcPr>
            <w:tcW w:w="653" w:type="pct"/>
            <w:vAlign w:val="center"/>
          </w:tcPr>
          <w:p w14:paraId="76B3CE5A">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不</w:t>
            </w:r>
            <w:r>
              <w:rPr>
                <w:rFonts w:hint="eastAsia"/>
                <w:color w:val="auto"/>
                <w:highlight w:val="none"/>
                <w:lang w:eastAsia="zh-CN"/>
              </w:rPr>
              <w:t>驻场</w:t>
            </w:r>
          </w:p>
        </w:tc>
      </w:tr>
      <w:tr w14:paraId="5D03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34" w:type="pct"/>
            <w:vAlign w:val="center"/>
          </w:tcPr>
          <w:p w14:paraId="14B56E6B">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网络工程师</w:t>
            </w:r>
          </w:p>
        </w:tc>
        <w:tc>
          <w:tcPr>
            <w:tcW w:w="1053" w:type="pct"/>
            <w:vAlign w:val="center"/>
          </w:tcPr>
          <w:p w14:paraId="08A12EC3">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负责网络架构设计及安全</w:t>
            </w:r>
          </w:p>
        </w:tc>
        <w:tc>
          <w:tcPr>
            <w:tcW w:w="474" w:type="pct"/>
            <w:vAlign w:val="center"/>
          </w:tcPr>
          <w:p w14:paraId="17AE0230">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1人</w:t>
            </w:r>
          </w:p>
        </w:tc>
        <w:tc>
          <w:tcPr>
            <w:tcW w:w="2385" w:type="pct"/>
            <w:vAlign w:val="center"/>
          </w:tcPr>
          <w:p w14:paraId="4BE62399">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本科或以上，具备网络工程师中级及以上证书</w:t>
            </w:r>
          </w:p>
        </w:tc>
        <w:tc>
          <w:tcPr>
            <w:tcW w:w="653" w:type="pct"/>
            <w:vAlign w:val="center"/>
          </w:tcPr>
          <w:p w14:paraId="60BE6337">
            <w:pPr>
              <w:pStyle w:val="48"/>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驻场</w:t>
            </w:r>
          </w:p>
        </w:tc>
      </w:tr>
    </w:tbl>
    <w:p w14:paraId="21826736">
      <w:pPr>
        <w:pStyle w:val="46"/>
        <w:bidi w:val="0"/>
        <w:ind w:left="0" w:leftChars="0" w:firstLine="0" w:firstLineChars="0"/>
        <w:rPr>
          <w:rFonts w:hint="eastAsia"/>
          <w:color w:val="auto"/>
          <w:highlight w:val="none"/>
          <w:lang w:eastAsia="zh-CN"/>
        </w:rPr>
      </w:pPr>
    </w:p>
    <w:p w14:paraId="02B14D7F">
      <w:pPr>
        <w:pStyle w:val="4"/>
        <w:spacing w:before="156" w:after="156"/>
        <w:rPr>
          <w:color w:val="auto"/>
          <w:highlight w:val="none"/>
        </w:rPr>
      </w:pPr>
      <w:r>
        <w:rPr>
          <w:rFonts w:hint="eastAsia"/>
          <w:color w:val="auto"/>
          <w:highlight w:val="none"/>
        </w:rPr>
        <w:t>运维人员要求</w:t>
      </w:r>
    </w:p>
    <w:p w14:paraId="40F60A45">
      <w:pPr>
        <w:pStyle w:val="46"/>
        <w:bidi w:val="0"/>
        <w:rPr>
          <w:rFonts w:hint="eastAsia"/>
          <w:color w:val="auto"/>
          <w:highlight w:val="none"/>
        </w:rPr>
      </w:pPr>
      <w:r>
        <w:rPr>
          <w:rFonts w:hint="eastAsia"/>
          <w:color w:val="auto"/>
          <w:highlight w:val="none"/>
        </w:rPr>
        <w:t>投标人应针对本项目提供不少于5人的质保期间支撑团队（其中技术经理1人，信息安全工程师1人，技术工程师不少于</w:t>
      </w:r>
      <w:r>
        <w:rPr>
          <w:rFonts w:hint="eastAsia"/>
          <w:color w:val="auto"/>
          <w:highlight w:val="none"/>
          <w:lang w:val="en-US" w:eastAsia="zh-CN"/>
        </w:rPr>
        <w:t>3</w:t>
      </w:r>
      <w:r>
        <w:rPr>
          <w:rFonts w:hint="eastAsia"/>
          <w:color w:val="auto"/>
          <w:highlight w:val="none"/>
        </w:rPr>
        <w:t>人）；投标人的相关服务人员需具备相应的服务能力，需提供相关证明（</w:t>
      </w:r>
      <w:r>
        <w:rPr>
          <w:rFonts w:hint="eastAsia"/>
          <w:color w:val="auto"/>
          <w:highlight w:val="none"/>
          <w:lang w:val="en-US" w:eastAsia="zh-CN"/>
        </w:rPr>
        <w:t>近3个月内</w:t>
      </w:r>
      <w:r>
        <w:rPr>
          <w:rFonts w:hint="eastAsia"/>
          <w:color w:val="auto"/>
          <w:highlight w:val="none"/>
        </w:rPr>
        <w:t>任意一月依法缴纳社保费的证明）。</w:t>
      </w:r>
    </w:p>
    <w:tbl>
      <w:tblPr>
        <w:tblStyle w:val="1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493"/>
        <w:gridCol w:w="640"/>
        <w:gridCol w:w="4147"/>
        <w:gridCol w:w="1117"/>
      </w:tblGrid>
      <w:tr w14:paraId="5B94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jc w:val="center"/>
        </w:trPr>
        <w:tc>
          <w:tcPr>
            <w:tcW w:w="1123" w:type="dxa"/>
            <w:shd w:val="clear" w:color="auto" w:fill="auto"/>
            <w:noWrap/>
            <w:vAlign w:val="center"/>
          </w:tcPr>
          <w:p w14:paraId="1939AAE1">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角色</w:t>
            </w:r>
          </w:p>
        </w:tc>
        <w:tc>
          <w:tcPr>
            <w:tcW w:w="1493" w:type="dxa"/>
            <w:shd w:val="clear" w:color="auto" w:fill="auto"/>
            <w:noWrap/>
            <w:vAlign w:val="center"/>
          </w:tcPr>
          <w:p w14:paraId="70CA01AC">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主要职责</w:t>
            </w:r>
          </w:p>
        </w:tc>
        <w:tc>
          <w:tcPr>
            <w:tcW w:w="640" w:type="dxa"/>
            <w:shd w:val="clear" w:color="auto" w:fill="auto"/>
            <w:noWrap/>
            <w:vAlign w:val="center"/>
          </w:tcPr>
          <w:p w14:paraId="16D6207F">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人数</w:t>
            </w:r>
          </w:p>
        </w:tc>
        <w:tc>
          <w:tcPr>
            <w:tcW w:w="4147" w:type="dxa"/>
            <w:vAlign w:val="center"/>
          </w:tcPr>
          <w:p w14:paraId="19128606">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人员要求</w:t>
            </w:r>
          </w:p>
        </w:tc>
        <w:tc>
          <w:tcPr>
            <w:tcW w:w="1117" w:type="dxa"/>
            <w:vAlign w:val="center"/>
          </w:tcPr>
          <w:p w14:paraId="570CFEBD">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驻场要求</w:t>
            </w:r>
          </w:p>
        </w:tc>
      </w:tr>
      <w:tr w14:paraId="4706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shd w:val="clear" w:color="auto" w:fill="auto"/>
            <w:noWrap/>
            <w:vAlign w:val="center"/>
          </w:tcPr>
          <w:p w14:paraId="48B43536">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技术</w:t>
            </w:r>
            <w:r>
              <w:rPr>
                <w:rFonts w:hint="eastAsia"/>
                <w:color w:val="auto"/>
                <w:highlight w:val="none"/>
              </w:rPr>
              <w:t>经理</w:t>
            </w:r>
          </w:p>
        </w:tc>
        <w:tc>
          <w:tcPr>
            <w:tcW w:w="1493" w:type="dxa"/>
            <w:shd w:val="clear" w:color="auto" w:fill="auto"/>
            <w:vAlign w:val="center"/>
          </w:tcPr>
          <w:p w14:paraId="50CE0A91">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负责项目质量和运维计划的落实</w:t>
            </w:r>
          </w:p>
        </w:tc>
        <w:tc>
          <w:tcPr>
            <w:tcW w:w="640" w:type="dxa"/>
            <w:shd w:val="clear" w:color="auto" w:fill="auto"/>
            <w:noWrap/>
            <w:vAlign w:val="center"/>
          </w:tcPr>
          <w:p w14:paraId="53420F51">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1人</w:t>
            </w:r>
          </w:p>
        </w:tc>
        <w:tc>
          <w:tcPr>
            <w:tcW w:w="4147" w:type="dxa"/>
            <w:vAlign w:val="center"/>
          </w:tcPr>
          <w:p w14:paraId="38DE4844">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本科及以上，具备计算机相关专业工程师及以上职称，具有5年及以上软件开发/实施/服务经验</w:t>
            </w:r>
          </w:p>
        </w:tc>
        <w:tc>
          <w:tcPr>
            <w:tcW w:w="1117" w:type="dxa"/>
            <w:vAlign w:val="center"/>
          </w:tcPr>
          <w:p w14:paraId="5C9B2157">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驻场</w:t>
            </w:r>
          </w:p>
        </w:tc>
      </w:tr>
      <w:tr w14:paraId="12B9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shd w:val="clear" w:color="auto" w:fill="auto"/>
            <w:noWrap/>
            <w:vAlign w:val="center"/>
          </w:tcPr>
          <w:p w14:paraId="3EB69A0D">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信息安全工程师</w:t>
            </w:r>
          </w:p>
        </w:tc>
        <w:tc>
          <w:tcPr>
            <w:tcW w:w="1493" w:type="dxa"/>
            <w:shd w:val="clear" w:color="auto" w:fill="auto"/>
            <w:vAlign w:val="center"/>
          </w:tcPr>
          <w:p w14:paraId="22538071">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实施安全策略和标准</w:t>
            </w:r>
          </w:p>
        </w:tc>
        <w:tc>
          <w:tcPr>
            <w:tcW w:w="640" w:type="dxa"/>
            <w:shd w:val="clear" w:color="auto" w:fill="auto"/>
            <w:noWrap/>
            <w:vAlign w:val="center"/>
          </w:tcPr>
          <w:p w14:paraId="53A69F24">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1人</w:t>
            </w:r>
          </w:p>
        </w:tc>
        <w:tc>
          <w:tcPr>
            <w:tcW w:w="4147" w:type="dxa"/>
            <w:vAlign w:val="center"/>
          </w:tcPr>
          <w:p w14:paraId="77E35DF3">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本科或以上，具有注册信息安全专业人员(CISP)资质</w:t>
            </w:r>
          </w:p>
        </w:tc>
        <w:tc>
          <w:tcPr>
            <w:tcW w:w="1117" w:type="dxa"/>
            <w:vAlign w:val="center"/>
          </w:tcPr>
          <w:p w14:paraId="5DE583AA">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驻场</w:t>
            </w:r>
          </w:p>
        </w:tc>
      </w:tr>
      <w:tr w14:paraId="777E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shd w:val="clear" w:color="auto" w:fill="auto"/>
            <w:noWrap/>
            <w:vAlign w:val="center"/>
          </w:tcPr>
          <w:p w14:paraId="548E3006">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技术工程师</w:t>
            </w:r>
          </w:p>
        </w:tc>
        <w:tc>
          <w:tcPr>
            <w:tcW w:w="1493" w:type="dxa"/>
            <w:shd w:val="clear" w:color="auto" w:fill="auto"/>
            <w:noWrap/>
            <w:vAlign w:val="center"/>
          </w:tcPr>
          <w:p w14:paraId="4408B9D3">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负责项目软硬件集成运维、运行维护</w:t>
            </w:r>
          </w:p>
        </w:tc>
        <w:tc>
          <w:tcPr>
            <w:tcW w:w="640" w:type="dxa"/>
            <w:shd w:val="clear" w:color="auto" w:fill="auto"/>
            <w:noWrap/>
            <w:vAlign w:val="center"/>
          </w:tcPr>
          <w:p w14:paraId="3C7C72F3">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3</w:t>
            </w:r>
            <w:r>
              <w:rPr>
                <w:rFonts w:hint="eastAsia"/>
                <w:color w:val="auto"/>
                <w:highlight w:val="none"/>
              </w:rPr>
              <w:t>人</w:t>
            </w:r>
          </w:p>
        </w:tc>
        <w:tc>
          <w:tcPr>
            <w:tcW w:w="4147" w:type="dxa"/>
            <w:vAlign w:val="center"/>
          </w:tcPr>
          <w:p w14:paraId="313E507F">
            <w:pPr>
              <w:pStyle w:val="48"/>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本科或以上。具有计算机软件类工程师或自动化相关专业工程师职称</w:t>
            </w:r>
          </w:p>
        </w:tc>
        <w:tc>
          <w:tcPr>
            <w:tcW w:w="1117" w:type="dxa"/>
            <w:vAlign w:val="center"/>
          </w:tcPr>
          <w:p w14:paraId="0057870B">
            <w:pPr>
              <w:pStyle w:val="48"/>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驻场</w:t>
            </w:r>
          </w:p>
        </w:tc>
      </w:tr>
    </w:tbl>
    <w:p w14:paraId="122EBF5F">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ascii="黑体" w:hAnsi="黑体" w:eastAsia="黑体" w:cstheme="minorBidi"/>
          <w:color w:val="auto"/>
          <w:sz w:val="30"/>
          <w:szCs w:val="30"/>
          <w:highlight w:val="none"/>
        </w:rPr>
        <w:t>等级保护要求</w:t>
      </w:r>
    </w:p>
    <w:p w14:paraId="526BA065">
      <w:pPr>
        <w:pStyle w:val="46"/>
        <w:numPr>
          <w:ilvl w:val="0"/>
          <w:numId w:val="0"/>
        </w:numPr>
        <w:tabs>
          <w:tab w:val="left" w:pos="0"/>
        </w:tabs>
        <w:bidi w:val="0"/>
        <w:ind w:leftChars="200"/>
        <w:rPr>
          <w:rFonts w:hint="eastAsia"/>
          <w:color w:val="auto"/>
          <w:highlight w:val="none"/>
        </w:rPr>
      </w:pPr>
      <w:r>
        <w:rPr>
          <w:rFonts w:hint="eastAsia"/>
          <w:color w:val="auto"/>
          <w:highlight w:val="none"/>
        </w:rPr>
        <w:t>本项目应满足二级等级保护要求。</w:t>
      </w:r>
    </w:p>
    <w:p w14:paraId="0F7AD6A8">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ascii="黑体" w:hAnsi="黑体" w:eastAsia="黑体" w:cstheme="minorBidi"/>
          <w:color w:val="auto"/>
          <w:sz w:val="30"/>
          <w:szCs w:val="30"/>
          <w:highlight w:val="none"/>
        </w:rPr>
        <w:t>商业密码应用需求</w:t>
      </w:r>
    </w:p>
    <w:p w14:paraId="7B2EBDFC">
      <w:pPr>
        <w:pStyle w:val="46"/>
        <w:numPr>
          <w:ilvl w:val="0"/>
          <w:numId w:val="0"/>
        </w:numPr>
        <w:tabs>
          <w:tab w:val="left" w:pos="0"/>
        </w:tabs>
        <w:bidi w:val="0"/>
        <w:ind w:leftChars="200"/>
        <w:rPr>
          <w:rFonts w:hint="eastAsia"/>
          <w:color w:val="auto"/>
          <w:highlight w:val="none"/>
        </w:rPr>
      </w:pPr>
      <w:r>
        <w:rPr>
          <w:rFonts w:hint="eastAsia"/>
          <w:color w:val="auto"/>
          <w:highlight w:val="none"/>
        </w:rPr>
        <w:t>本项目的商用密码应用满足《密码应用基本要求》中二级指标要求。</w:t>
      </w:r>
    </w:p>
    <w:p w14:paraId="70BCE64D">
      <w:pPr>
        <w:pStyle w:val="3"/>
        <w:numPr>
          <w:ilvl w:val="1"/>
          <w:numId w:val="1"/>
        </w:numPr>
        <w:tabs>
          <w:tab w:val="clear" w:pos="0"/>
        </w:tabs>
        <w:ind w:left="567" w:leftChars="0" w:hanging="567" w:firstLineChars="0"/>
        <w:rPr>
          <w:rFonts w:hint="eastAsia"/>
          <w:color w:val="auto"/>
          <w:highlight w:val="none"/>
        </w:rPr>
      </w:pPr>
      <w:bookmarkStart w:id="23" w:name="OLE_LINK12"/>
      <w:r>
        <w:rPr>
          <w:rFonts w:hint="eastAsia" w:ascii="黑体" w:hAnsi="黑体" w:eastAsia="黑体" w:cstheme="minorBidi"/>
          <w:color w:val="auto"/>
          <w:sz w:val="30"/>
          <w:szCs w:val="30"/>
          <w:highlight w:val="none"/>
        </w:rPr>
        <w:t>项目验收资料清单</w:t>
      </w:r>
    </w:p>
    <w:p w14:paraId="340D4707">
      <w:pPr>
        <w:pStyle w:val="46"/>
        <w:bidi w:val="0"/>
        <w:rPr>
          <w:rFonts w:hint="eastAsia"/>
          <w:color w:val="auto"/>
          <w:highlight w:val="none"/>
        </w:rPr>
      </w:pPr>
      <w:r>
        <w:rPr>
          <w:rFonts w:hint="eastAsia"/>
          <w:color w:val="auto"/>
          <w:highlight w:val="none"/>
          <w:lang w:val="en-US" w:eastAsia="zh-CN"/>
        </w:rPr>
        <w:t>验收时</w:t>
      </w:r>
      <w:r>
        <w:rPr>
          <w:rFonts w:hint="eastAsia"/>
          <w:color w:val="auto"/>
          <w:highlight w:val="none"/>
        </w:rPr>
        <w:t>提供的书面技术资料应能确保系统正常运行所需的管理、运营及维护有关的全套文件。技术文件应该全面、完整、详细。本项目所形成的全部技术资料、文档、源代码、知识产权及相关成果均归招标方所有。投标人提供的</w:t>
      </w:r>
      <w:r>
        <w:rPr>
          <w:rFonts w:hint="eastAsia"/>
          <w:color w:val="auto"/>
          <w:highlight w:val="none"/>
          <w:lang w:val="en-US" w:eastAsia="zh-CN"/>
        </w:rPr>
        <w:t>资料</w:t>
      </w:r>
      <w:r>
        <w:rPr>
          <w:rFonts w:hint="eastAsia"/>
          <w:color w:val="auto"/>
          <w:highlight w:val="none"/>
        </w:rPr>
        <w:t>至少应包括：</w:t>
      </w:r>
    </w:p>
    <w:p w14:paraId="6B1110AC">
      <w:pPr>
        <w:pStyle w:val="46"/>
        <w:bidi w:val="0"/>
        <w:rPr>
          <w:rFonts w:hint="eastAsia"/>
          <w:color w:val="auto"/>
          <w:highlight w:val="none"/>
        </w:rPr>
      </w:pPr>
      <w:r>
        <w:rPr>
          <w:rFonts w:hint="eastAsia"/>
          <w:color w:val="auto"/>
          <w:highlight w:val="none"/>
        </w:rPr>
        <w:t>－ 系统说明文件；</w:t>
      </w:r>
    </w:p>
    <w:p w14:paraId="2A4F38FF">
      <w:pPr>
        <w:pStyle w:val="46"/>
        <w:bidi w:val="0"/>
        <w:rPr>
          <w:rFonts w:hint="eastAsia"/>
          <w:color w:val="auto"/>
          <w:highlight w:val="none"/>
        </w:rPr>
      </w:pPr>
      <w:r>
        <w:rPr>
          <w:rFonts w:hint="eastAsia"/>
          <w:color w:val="auto"/>
          <w:highlight w:val="none"/>
        </w:rPr>
        <w:t>－ 技术手册(安装、测试、操作、维护、故障排除等)；</w:t>
      </w:r>
    </w:p>
    <w:p w14:paraId="01DFCB86">
      <w:pPr>
        <w:pStyle w:val="46"/>
        <w:bidi w:val="0"/>
        <w:rPr>
          <w:rFonts w:hint="eastAsia"/>
          <w:color w:val="auto"/>
          <w:highlight w:val="none"/>
        </w:rPr>
      </w:pPr>
      <w:r>
        <w:rPr>
          <w:rFonts w:hint="eastAsia"/>
          <w:color w:val="auto"/>
          <w:highlight w:val="none"/>
        </w:rPr>
        <w:t>－ 项目文档，应该包括：</w:t>
      </w:r>
    </w:p>
    <w:p w14:paraId="43322F46">
      <w:pPr>
        <w:pStyle w:val="46"/>
        <w:bidi w:val="0"/>
        <w:rPr>
          <w:rFonts w:hint="eastAsia"/>
          <w:color w:val="auto"/>
          <w:highlight w:val="none"/>
        </w:rPr>
      </w:pPr>
      <w:r>
        <w:rPr>
          <w:rFonts w:hint="eastAsia"/>
          <w:color w:val="auto"/>
          <w:highlight w:val="none"/>
        </w:rPr>
        <w:t>(1)需求说明书</w:t>
      </w:r>
    </w:p>
    <w:p w14:paraId="34F06F3B">
      <w:pPr>
        <w:pStyle w:val="46"/>
        <w:bidi w:val="0"/>
        <w:rPr>
          <w:rFonts w:hint="eastAsia" w:eastAsia="仿宋"/>
          <w:color w:val="auto"/>
          <w:highlight w:val="none"/>
          <w:lang w:eastAsia="zh-CN"/>
        </w:rPr>
      </w:pPr>
      <w:r>
        <w:rPr>
          <w:rFonts w:hint="eastAsia"/>
          <w:color w:val="auto"/>
          <w:highlight w:val="none"/>
        </w:rPr>
        <w:t>(2)系统总体设计说明书</w:t>
      </w:r>
      <w:r>
        <w:rPr>
          <w:rFonts w:hint="eastAsia"/>
          <w:color w:val="auto"/>
          <w:highlight w:val="none"/>
          <w:lang w:eastAsia="zh-CN"/>
        </w:rPr>
        <w:t>（</w:t>
      </w:r>
      <w:r>
        <w:rPr>
          <w:rFonts w:hint="eastAsia"/>
          <w:color w:val="auto"/>
          <w:highlight w:val="none"/>
          <w:lang w:val="en-US" w:eastAsia="zh-CN"/>
        </w:rPr>
        <w:t>至少应包括系统集成方案、软件开发方案、软件测试方案、原代码等</w:t>
      </w:r>
      <w:r>
        <w:rPr>
          <w:rFonts w:hint="eastAsia"/>
          <w:color w:val="auto"/>
          <w:highlight w:val="none"/>
          <w:lang w:eastAsia="zh-CN"/>
        </w:rPr>
        <w:t>）</w:t>
      </w:r>
    </w:p>
    <w:p w14:paraId="011F36B4">
      <w:pPr>
        <w:pStyle w:val="46"/>
        <w:bidi w:val="0"/>
        <w:rPr>
          <w:rFonts w:hint="eastAsia"/>
          <w:color w:val="auto"/>
          <w:highlight w:val="none"/>
        </w:rPr>
      </w:pPr>
      <w:r>
        <w:rPr>
          <w:rFonts w:hint="eastAsia"/>
          <w:color w:val="auto"/>
          <w:highlight w:val="none"/>
        </w:rPr>
        <w:t>(3)功能清单</w:t>
      </w:r>
    </w:p>
    <w:p w14:paraId="5C17247A">
      <w:pPr>
        <w:pStyle w:val="46"/>
        <w:bidi w:val="0"/>
        <w:rPr>
          <w:rFonts w:hint="eastAsia"/>
          <w:color w:val="auto"/>
          <w:highlight w:val="none"/>
        </w:rPr>
      </w:pPr>
      <w:r>
        <w:rPr>
          <w:rFonts w:hint="eastAsia"/>
          <w:color w:val="auto"/>
          <w:highlight w:val="none"/>
        </w:rPr>
        <w:t>提供全套技术文件纸介质3套以及电子文件1套。</w:t>
      </w:r>
      <w:bookmarkStart w:id="24" w:name="_GoBack"/>
      <w:bookmarkEnd w:id="24"/>
    </w:p>
    <w:bookmarkEnd w:id="23"/>
    <w:p w14:paraId="7B8C42FF">
      <w:pPr>
        <w:pStyle w:val="3"/>
        <w:numPr>
          <w:ilvl w:val="1"/>
          <w:numId w:val="1"/>
        </w:numPr>
        <w:tabs>
          <w:tab w:val="clear" w:pos="0"/>
        </w:tabs>
        <w:ind w:left="567" w:leftChars="0" w:hanging="567" w:firstLineChars="0"/>
        <w:rPr>
          <w:rFonts w:hint="eastAsia" w:ascii="黑体" w:hAnsi="黑体" w:eastAsia="黑体" w:cstheme="minorBidi"/>
          <w:color w:val="auto"/>
          <w:sz w:val="30"/>
          <w:szCs w:val="30"/>
          <w:highlight w:val="none"/>
        </w:rPr>
      </w:pPr>
      <w:r>
        <w:rPr>
          <w:rFonts w:hint="eastAsia" w:ascii="黑体" w:hAnsi="黑体" w:eastAsia="黑体" w:cstheme="minorBidi"/>
          <w:color w:val="auto"/>
          <w:sz w:val="30"/>
          <w:szCs w:val="30"/>
          <w:highlight w:val="none"/>
        </w:rPr>
        <w:t>供应商要求</w:t>
      </w:r>
    </w:p>
    <w:bookmarkEnd w:id="22"/>
    <w:p w14:paraId="36E906F0">
      <w:pPr>
        <w:pStyle w:val="46"/>
        <w:bidi w:val="0"/>
        <w:rPr>
          <w:rFonts w:hint="eastAsia" w:eastAsia="仿宋"/>
          <w:color w:val="auto"/>
          <w:highlight w:val="none"/>
          <w:lang w:eastAsia="zh-CN"/>
        </w:rPr>
      </w:pPr>
      <w:r>
        <w:rPr>
          <w:rFonts w:hint="eastAsia"/>
          <w:color w:val="auto"/>
          <w:highlight w:val="none"/>
        </w:rPr>
        <w:t>供应商具备CCRC信息安全服务资质认证（信息系统安全集成）证书的予以优先考虑</w:t>
      </w:r>
      <w:r>
        <w:rPr>
          <w:rFonts w:hint="eastAsia"/>
          <w:color w:val="auto"/>
          <w:highlight w:val="none"/>
          <w:lang w:eastAsia="zh-CN"/>
        </w:rPr>
        <w:t>。</w:t>
      </w:r>
    </w:p>
    <w:p w14:paraId="2E08A35B">
      <w:pPr>
        <w:pStyle w:val="3"/>
        <w:numPr>
          <w:ilvl w:val="1"/>
          <w:numId w:val="1"/>
        </w:numPr>
        <w:tabs>
          <w:tab w:val="clear" w:pos="0"/>
        </w:tabs>
        <w:ind w:left="567" w:leftChars="0" w:hanging="567" w:firstLineChars="0"/>
        <w:rPr>
          <w:rFonts w:hint="eastAsia"/>
          <w:strike w:val="0"/>
          <w:dstrike w:val="0"/>
          <w:color w:val="auto"/>
          <w:highlight w:val="none"/>
        </w:rPr>
      </w:pPr>
      <w:r>
        <w:rPr>
          <w:rFonts w:hint="eastAsia"/>
          <w:strike w:val="0"/>
          <w:dstrike w:val="0"/>
          <w:color w:val="auto"/>
          <w:highlight w:val="none"/>
          <w:lang w:val="en-US" w:eastAsia="zh-CN"/>
        </w:rPr>
        <w:t>支付条件</w:t>
      </w:r>
    </w:p>
    <w:p w14:paraId="4B1E2CC3">
      <w:pPr>
        <w:pStyle w:val="46"/>
        <w:bidi w:val="0"/>
        <w:ind w:firstLine="0" w:firstLineChars="0"/>
        <w:rPr>
          <w:rFonts w:hint="default"/>
          <w:strike w:val="0"/>
          <w:dstrike w:val="0"/>
          <w:color w:val="auto"/>
          <w:highlight w:val="none"/>
          <w:lang w:val="en-US" w:eastAsia="zh-CN"/>
        </w:rPr>
      </w:pPr>
      <w:r>
        <w:rPr>
          <w:rFonts w:hint="default"/>
          <w:strike w:val="0"/>
          <w:dstrike w:val="0"/>
          <w:color w:val="auto"/>
          <w:highlight w:val="none"/>
          <w:lang w:val="en-US" w:eastAsia="zh-CN"/>
        </w:rPr>
        <w:t>第一笔</w:t>
      </w:r>
      <w:r>
        <w:rPr>
          <w:rFonts w:hint="eastAsia"/>
          <w:strike w:val="0"/>
          <w:dstrike w:val="0"/>
          <w:color w:val="auto"/>
          <w:highlight w:val="none"/>
          <w:lang w:val="en-US" w:eastAsia="zh-CN"/>
        </w:rPr>
        <w:t xml:space="preserve"> </w:t>
      </w:r>
      <w:r>
        <w:rPr>
          <w:rFonts w:hint="default"/>
          <w:strike w:val="0"/>
          <w:dstrike w:val="0"/>
          <w:color w:val="auto"/>
          <w:highlight w:val="none"/>
          <w:lang w:val="en-US" w:eastAsia="zh-CN"/>
        </w:rPr>
        <w:t>预付款：合同签订生效且采购人收到履约保证金和有效发票后10个工作日内，支付合同金额的50%预付款；第二笔</w:t>
      </w:r>
      <w:r>
        <w:rPr>
          <w:rFonts w:hint="eastAsia"/>
          <w:strike w:val="0"/>
          <w:dstrike w:val="0"/>
          <w:color w:val="auto"/>
          <w:highlight w:val="none"/>
          <w:lang w:val="en-US" w:eastAsia="zh-CN"/>
        </w:rPr>
        <w:t xml:space="preserve"> </w:t>
      </w:r>
      <w:r>
        <w:rPr>
          <w:rFonts w:hint="default"/>
          <w:strike w:val="0"/>
          <w:dstrike w:val="0"/>
          <w:color w:val="auto"/>
          <w:highlight w:val="none"/>
          <w:lang w:val="en-US" w:eastAsia="zh-CN"/>
        </w:rPr>
        <w:t>全部设备到货</w:t>
      </w:r>
      <w:r>
        <w:rPr>
          <w:rFonts w:hint="eastAsia"/>
          <w:strike w:val="0"/>
          <w:dstrike w:val="0"/>
          <w:color w:val="auto"/>
          <w:highlight w:val="none"/>
          <w:lang w:val="en-US" w:eastAsia="zh-CN"/>
        </w:rPr>
        <w:t>并安装完成</w:t>
      </w:r>
      <w:r>
        <w:rPr>
          <w:rFonts w:hint="default"/>
          <w:strike w:val="0"/>
          <w:dstrike w:val="0"/>
          <w:color w:val="auto"/>
          <w:highlight w:val="none"/>
          <w:lang w:val="en-US" w:eastAsia="zh-CN"/>
        </w:rPr>
        <w:t>、完成软件工作量80%后，采购人在收到发票后10个工作日内支付合同金额的</w:t>
      </w:r>
      <w:r>
        <w:rPr>
          <w:rFonts w:hint="eastAsia"/>
          <w:strike w:val="0"/>
          <w:dstrike w:val="0"/>
          <w:color w:val="auto"/>
          <w:highlight w:val="none"/>
          <w:lang w:val="en-US" w:eastAsia="zh-CN"/>
        </w:rPr>
        <w:t>4</w:t>
      </w:r>
      <w:r>
        <w:rPr>
          <w:rFonts w:hint="default"/>
          <w:strike w:val="0"/>
          <w:dstrike w:val="0"/>
          <w:color w:val="auto"/>
          <w:highlight w:val="none"/>
          <w:lang w:val="en-US" w:eastAsia="zh-CN"/>
        </w:rPr>
        <w:t>0%；第三笔 完成项目预验收后采购人在收到发票后10个工作日内支付合同总额的6%；第四笔 项目通过验收后，采购人在收到发票后10个工作日内支付合同尾款并</w:t>
      </w:r>
      <w:r>
        <w:rPr>
          <w:rFonts w:hint="eastAsia"/>
          <w:strike w:val="0"/>
          <w:dstrike w:val="0"/>
          <w:color w:val="auto"/>
          <w:highlight w:val="none"/>
          <w:lang w:val="en-US" w:eastAsia="zh-CN"/>
        </w:rPr>
        <w:t>无息</w:t>
      </w:r>
      <w:r>
        <w:rPr>
          <w:rFonts w:hint="default"/>
          <w:strike w:val="0"/>
          <w:dstrike w:val="0"/>
          <w:color w:val="auto"/>
          <w:highlight w:val="none"/>
          <w:lang w:val="en-US" w:eastAsia="zh-CN"/>
        </w:rPr>
        <w:t>退还履约保证金。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金梅毛草书繁">
    <w:panose1 w:val="02010609000101010101"/>
    <w:charset w:val="00"/>
    <w:family w:val="auto"/>
    <w:pitch w:val="default"/>
    <w:sig w:usb0="00000000" w:usb1="00000000" w:usb2="00000000" w:usb3="00000000" w:csb0="00006300" w:csb1="000073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491527"/>
      <w:docPartObj>
        <w:docPartGallery w:val="autotext"/>
      </w:docPartObj>
    </w:sdtPr>
    <w:sdtContent>
      <w:p w14:paraId="688804B9">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5714E98">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51507"/>
    <w:multiLevelType w:val="multilevel"/>
    <w:tmpl w:val="C8951507"/>
    <w:lvl w:ilvl="0" w:tentative="0">
      <w:start w:val="1"/>
      <w:numFmt w:val="chineseCounting"/>
      <w:suff w:val="nothing"/>
      <w:lvlText w:val="第%1章 "/>
      <w:lvlJc w:val="left"/>
      <w:pPr>
        <w:ind w:left="425" w:hanging="425"/>
      </w:pPr>
      <w:rPr>
        <w:rFonts w:hint="eastAsia"/>
      </w:rPr>
    </w:lvl>
    <w:lvl w:ilvl="1" w:tentative="0">
      <w:start w:val="1"/>
      <w:numFmt w:val="decimal"/>
      <w:pStyle w:val="3"/>
      <w:isLgl/>
      <w:suff w:val="nothing"/>
      <w:lvlText w:val="%1.%2."/>
      <w:lvlJc w:val="left"/>
      <w:pPr>
        <w:tabs>
          <w:tab w:val="left" w:pos="420"/>
        </w:tabs>
        <w:ind w:left="567" w:hanging="567"/>
      </w:pPr>
      <w:rPr>
        <w:rFonts w:hint="eastAsia"/>
      </w:rPr>
    </w:lvl>
    <w:lvl w:ilvl="2" w:tentative="0">
      <w:start w:val="1"/>
      <w:numFmt w:val="decimal"/>
      <w:isLgl/>
      <w:suff w:val="nothing"/>
      <w:lvlText w:val="%1.%2.%3."/>
      <w:lvlJc w:val="left"/>
      <w:pPr>
        <w:tabs>
          <w:tab w:val="left" w:pos="0"/>
        </w:tabs>
        <w:ind w:left="709" w:hanging="709"/>
      </w:pPr>
      <w:rPr>
        <w:rFonts w:hint="eastAsia"/>
      </w:rPr>
    </w:lvl>
    <w:lvl w:ilvl="3" w:tentative="0">
      <w:start w:val="1"/>
      <w:numFmt w:val="decimal"/>
      <w:isLgl/>
      <w:suff w:val="nothing"/>
      <w:lvlText w:val="%1.%2.%3.%4."/>
      <w:lvlJc w:val="left"/>
      <w:pPr>
        <w:tabs>
          <w:tab w:val="left" w:pos="420"/>
        </w:tabs>
        <w:ind w:left="850" w:hanging="850"/>
      </w:pPr>
      <w:rPr>
        <w:rFonts w:hint="eastAsia"/>
      </w:rPr>
    </w:lvl>
    <w:lvl w:ilvl="4" w:tentative="0">
      <w:start w:val="1"/>
      <w:numFmt w:val="decimal"/>
      <w:isLgl/>
      <w:suff w:val="nothing"/>
      <w:lvlText w:val="%1.%2.%3.%4.%5."/>
      <w:lvlJc w:val="left"/>
      <w:pPr>
        <w:tabs>
          <w:tab w:val="left" w:pos="420"/>
        </w:tabs>
        <w:ind w:left="991" w:hanging="991"/>
      </w:pPr>
      <w:rPr>
        <w:rFonts w:hint="eastAsia"/>
      </w:rPr>
    </w:lvl>
    <w:lvl w:ilvl="5" w:tentative="0">
      <w:start w:val="1"/>
      <w:numFmt w:val="decimal"/>
      <w:isLgl/>
      <w:suff w:val="nothing"/>
      <w:lvlText w:val="%1.%2.%3.%4.%5.%6."/>
      <w:lvlJc w:val="left"/>
      <w:pPr>
        <w:tabs>
          <w:tab w:val="left" w:pos="420"/>
        </w:tabs>
        <w:ind w:left="1134" w:hanging="1134"/>
      </w:pPr>
      <w:rPr>
        <w:rFonts w:hint="eastAsia"/>
      </w:rPr>
    </w:lvl>
    <w:lvl w:ilvl="6" w:tentative="0">
      <w:start w:val="1"/>
      <w:numFmt w:val="decimal"/>
      <w:isLgl/>
      <w:suff w:val="nothing"/>
      <w:lvlText w:val="%1.%2.%3.%4.%5.%6.%7."/>
      <w:lvlJc w:val="left"/>
      <w:pPr>
        <w:tabs>
          <w:tab w:val="left" w:pos="420"/>
        </w:tabs>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5E220BD2"/>
    <w:multiLevelType w:val="multilevel"/>
    <w:tmpl w:val="5E220BD2"/>
    <w:lvl w:ilvl="0" w:tentative="0">
      <w:start w:val="1"/>
      <w:numFmt w:val="chineseCounting"/>
      <w:pStyle w:val="2"/>
      <w:suff w:val="nothing"/>
      <w:lvlText w:val="第%1章 "/>
      <w:lvlJc w:val="left"/>
      <w:pPr>
        <w:tabs>
          <w:tab w:val="left" w:pos="0"/>
        </w:tabs>
        <w:ind w:left="425" w:hanging="425"/>
      </w:pPr>
      <w:rPr>
        <w:rFonts w:hint="eastAsia"/>
      </w:rPr>
    </w:lvl>
    <w:lvl w:ilvl="1" w:tentative="0">
      <w:start w:val="1"/>
      <w:numFmt w:val="decimal"/>
      <w:isLgl/>
      <w:suff w:val="nothing"/>
      <w:lvlText w:val="%1.%2."/>
      <w:lvlJc w:val="left"/>
      <w:pPr>
        <w:tabs>
          <w:tab w:val="left" w:pos="0"/>
        </w:tabs>
        <w:ind w:left="567" w:hanging="567"/>
      </w:pPr>
      <w:rPr>
        <w:rFonts w:hint="eastAsia"/>
      </w:rPr>
    </w:lvl>
    <w:lvl w:ilvl="2" w:tentative="0">
      <w:start w:val="1"/>
      <w:numFmt w:val="decimal"/>
      <w:pStyle w:val="4"/>
      <w:isLgl/>
      <w:suff w:val="nothing"/>
      <w:lvlText w:val="%1.%2.%3."/>
      <w:lvlJc w:val="left"/>
      <w:pPr>
        <w:tabs>
          <w:tab w:val="left" w:pos="0"/>
        </w:tabs>
        <w:ind w:left="709" w:hanging="709"/>
      </w:pPr>
      <w:rPr>
        <w:rFonts w:hint="eastAsia"/>
      </w:rPr>
    </w:lvl>
    <w:lvl w:ilvl="3" w:tentative="0">
      <w:start w:val="1"/>
      <w:numFmt w:val="decimal"/>
      <w:pStyle w:val="5"/>
      <w:isLgl/>
      <w:suff w:val="nothing"/>
      <w:lvlText w:val="%1.%2.%3.%4."/>
      <w:lvlJc w:val="left"/>
      <w:pPr>
        <w:tabs>
          <w:tab w:val="left" w:pos="420"/>
        </w:tabs>
        <w:ind w:left="850" w:hanging="850"/>
      </w:pPr>
      <w:rPr>
        <w:rFonts w:hint="eastAsia"/>
      </w:rPr>
    </w:lvl>
    <w:lvl w:ilvl="4" w:tentative="0">
      <w:start w:val="1"/>
      <w:numFmt w:val="decimal"/>
      <w:isLgl/>
      <w:suff w:val="nothing"/>
      <w:lvlText w:val="%1.%2.%3.%4.%5."/>
      <w:lvlJc w:val="left"/>
      <w:pPr>
        <w:tabs>
          <w:tab w:val="left" w:pos="0"/>
        </w:tabs>
        <w:ind w:left="991" w:hanging="991"/>
      </w:pPr>
      <w:rPr>
        <w:rFonts w:hint="eastAsia"/>
      </w:rPr>
    </w:lvl>
    <w:lvl w:ilvl="5" w:tentative="0">
      <w:start w:val="1"/>
      <w:numFmt w:val="decimal"/>
      <w:pStyle w:val="7"/>
      <w:isLgl/>
      <w:suff w:val="nothing"/>
      <w:lvlText w:val="%1.%2.%3.%4.%5.%6."/>
      <w:lvlJc w:val="left"/>
      <w:pPr>
        <w:tabs>
          <w:tab w:val="left" w:pos="420"/>
        </w:tabs>
        <w:ind w:left="1134" w:hanging="1134"/>
      </w:pPr>
      <w:rPr>
        <w:rFonts w:hint="eastAsia"/>
      </w:rPr>
    </w:lvl>
    <w:lvl w:ilvl="6" w:tentative="0">
      <w:start w:val="1"/>
      <w:numFmt w:val="decimal"/>
      <w:isLgl/>
      <w:suff w:val="nothing"/>
      <w:lvlText w:val="%1.%2.%3.%4.%5.%6.%7."/>
      <w:lvlJc w:val="left"/>
      <w:pPr>
        <w:tabs>
          <w:tab w:val="left" w:pos="420"/>
        </w:tabs>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7C73B2"/>
    <w:rsid w:val="00004B1D"/>
    <w:rsid w:val="00006999"/>
    <w:rsid w:val="00020C11"/>
    <w:rsid w:val="00022222"/>
    <w:rsid w:val="000253E0"/>
    <w:rsid w:val="000265E8"/>
    <w:rsid w:val="0003340A"/>
    <w:rsid w:val="0006392A"/>
    <w:rsid w:val="000758A8"/>
    <w:rsid w:val="00080AD9"/>
    <w:rsid w:val="00082A68"/>
    <w:rsid w:val="000E079A"/>
    <w:rsid w:val="000E13B4"/>
    <w:rsid w:val="000E4085"/>
    <w:rsid w:val="000F25C0"/>
    <w:rsid w:val="001119B0"/>
    <w:rsid w:val="00113CDB"/>
    <w:rsid w:val="0011465F"/>
    <w:rsid w:val="001152D6"/>
    <w:rsid w:val="00115CE5"/>
    <w:rsid w:val="00117902"/>
    <w:rsid w:val="00122BF3"/>
    <w:rsid w:val="00125921"/>
    <w:rsid w:val="001453BE"/>
    <w:rsid w:val="00180101"/>
    <w:rsid w:val="00184559"/>
    <w:rsid w:val="001910B0"/>
    <w:rsid w:val="001B0147"/>
    <w:rsid w:val="001C7301"/>
    <w:rsid w:val="001D1CB8"/>
    <w:rsid w:val="001D3318"/>
    <w:rsid w:val="001E6399"/>
    <w:rsid w:val="001F2EED"/>
    <w:rsid w:val="001F3B1B"/>
    <w:rsid w:val="001F52D5"/>
    <w:rsid w:val="0020371C"/>
    <w:rsid w:val="00203D29"/>
    <w:rsid w:val="00207852"/>
    <w:rsid w:val="0022097B"/>
    <w:rsid w:val="00230E9E"/>
    <w:rsid w:val="00231044"/>
    <w:rsid w:val="002613FF"/>
    <w:rsid w:val="00272BA7"/>
    <w:rsid w:val="002A0A85"/>
    <w:rsid w:val="002B0D72"/>
    <w:rsid w:val="003219C6"/>
    <w:rsid w:val="00323274"/>
    <w:rsid w:val="00343BA4"/>
    <w:rsid w:val="00345496"/>
    <w:rsid w:val="00354207"/>
    <w:rsid w:val="00361899"/>
    <w:rsid w:val="0036221A"/>
    <w:rsid w:val="003624AE"/>
    <w:rsid w:val="003D5654"/>
    <w:rsid w:val="003E72BC"/>
    <w:rsid w:val="00425A1B"/>
    <w:rsid w:val="00434693"/>
    <w:rsid w:val="00440E21"/>
    <w:rsid w:val="00443541"/>
    <w:rsid w:val="0044666A"/>
    <w:rsid w:val="00481F64"/>
    <w:rsid w:val="00495DFA"/>
    <w:rsid w:val="004A4E0F"/>
    <w:rsid w:val="004C6AED"/>
    <w:rsid w:val="004C7A8F"/>
    <w:rsid w:val="004E46AF"/>
    <w:rsid w:val="004E7D88"/>
    <w:rsid w:val="004F0AB4"/>
    <w:rsid w:val="00501EE6"/>
    <w:rsid w:val="00527FB8"/>
    <w:rsid w:val="0054181E"/>
    <w:rsid w:val="00546403"/>
    <w:rsid w:val="005A779A"/>
    <w:rsid w:val="005B75AB"/>
    <w:rsid w:val="005E3FE8"/>
    <w:rsid w:val="00616524"/>
    <w:rsid w:val="00630B4F"/>
    <w:rsid w:val="00646875"/>
    <w:rsid w:val="00673B23"/>
    <w:rsid w:val="006811A9"/>
    <w:rsid w:val="006867A6"/>
    <w:rsid w:val="006A1E00"/>
    <w:rsid w:val="006A595C"/>
    <w:rsid w:val="006C665D"/>
    <w:rsid w:val="006E308D"/>
    <w:rsid w:val="006E4465"/>
    <w:rsid w:val="00732A00"/>
    <w:rsid w:val="00744A28"/>
    <w:rsid w:val="00753D62"/>
    <w:rsid w:val="00780121"/>
    <w:rsid w:val="0078547E"/>
    <w:rsid w:val="007913F4"/>
    <w:rsid w:val="007B4A96"/>
    <w:rsid w:val="007C42D0"/>
    <w:rsid w:val="007C73B2"/>
    <w:rsid w:val="007D44D8"/>
    <w:rsid w:val="00825BC8"/>
    <w:rsid w:val="00835A81"/>
    <w:rsid w:val="00835CA6"/>
    <w:rsid w:val="00884BE5"/>
    <w:rsid w:val="008B019B"/>
    <w:rsid w:val="008B7947"/>
    <w:rsid w:val="008C20B0"/>
    <w:rsid w:val="008E76CF"/>
    <w:rsid w:val="008F44C4"/>
    <w:rsid w:val="009006CD"/>
    <w:rsid w:val="0090328F"/>
    <w:rsid w:val="00933168"/>
    <w:rsid w:val="00933AA2"/>
    <w:rsid w:val="00955F51"/>
    <w:rsid w:val="0095657B"/>
    <w:rsid w:val="00956705"/>
    <w:rsid w:val="009769A9"/>
    <w:rsid w:val="009B0F16"/>
    <w:rsid w:val="009C73F6"/>
    <w:rsid w:val="009D2207"/>
    <w:rsid w:val="009E7C1B"/>
    <w:rsid w:val="00A11898"/>
    <w:rsid w:val="00A52E3D"/>
    <w:rsid w:val="00A67347"/>
    <w:rsid w:val="00A81EE9"/>
    <w:rsid w:val="00A82B8B"/>
    <w:rsid w:val="00AA5999"/>
    <w:rsid w:val="00AB44BA"/>
    <w:rsid w:val="00AB7D12"/>
    <w:rsid w:val="00AF316C"/>
    <w:rsid w:val="00B26187"/>
    <w:rsid w:val="00B410D9"/>
    <w:rsid w:val="00B432AA"/>
    <w:rsid w:val="00B46918"/>
    <w:rsid w:val="00B80229"/>
    <w:rsid w:val="00B849DD"/>
    <w:rsid w:val="00BA4F3A"/>
    <w:rsid w:val="00BB3609"/>
    <w:rsid w:val="00BB4258"/>
    <w:rsid w:val="00BC76CC"/>
    <w:rsid w:val="00BD1AFF"/>
    <w:rsid w:val="00BF52BD"/>
    <w:rsid w:val="00C14FE6"/>
    <w:rsid w:val="00C2662F"/>
    <w:rsid w:val="00C6467B"/>
    <w:rsid w:val="00C6664C"/>
    <w:rsid w:val="00C9006A"/>
    <w:rsid w:val="00C94F5A"/>
    <w:rsid w:val="00CA27EE"/>
    <w:rsid w:val="00CA4B52"/>
    <w:rsid w:val="00D1492E"/>
    <w:rsid w:val="00D152D7"/>
    <w:rsid w:val="00D166F5"/>
    <w:rsid w:val="00D23942"/>
    <w:rsid w:val="00D51228"/>
    <w:rsid w:val="00D53B4A"/>
    <w:rsid w:val="00D6419C"/>
    <w:rsid w:val="00D94415"/>
    <w:rsid w:val="00DA5FE7"/>
    <w:rsid w:val="00DB7C0D"/>
    <w:rsid w:val="00DC19CB"/>
    <w:rsid w:val="00DD683A"/>
    <w:rsid w:val="00E3524C"/>
    <w:rsid w:val="00E476E0"/>
    <w:rsid w:val="00E70DEA"/>
    <w:rsid w:val="00E94674"/>
    <w:rsid w:val="00EB28BD"/>
    <w:rsid w:val="00EB4E93"/>
    <w:rsid w:val="00ED298D"/>
    <w:rsid w:val="00EE50C9"/>
    <w:rsid w:val="00F06CEE"/>
    <w:rsid w:val="00F10232"/>
    <w:rsid w:val="00F24E22"/>
    <w:rsid w:val="00F4619D"/>
    <w:rsid w:val="00F809B9"/>
    <w:rsid w:val="00F85680"/>
    <w:rsid w:val="00FA1402"/>
    <w:rsid w:val="00FA3037"/>
    <w:rsid w:val="00FA64BA"/>
    <w:rsid w:val="00FB0A0C"/>
    <w:rsid w:val="00FB3834"/>
    <w:rsid w:val="00FD248A"/>
    <w:rsid w:val="00FE1B36"/>
    <w:rsid w:val="01021DB0"/>
    <w:rsid w:val="0103164E"/>
    <w:rsid w:val="01172A03"/>
    <w:rsid w:val="013435B5"/>
    <w:rsid w:val="016D4D19"/>
    <w:rsid w:val="017B7436"/>
    <w:rsid w:val="017C78FF"/>
    <w:rsid w:val="01910A08"/>
    <w:rsid w:val="019978BC"/>
    <w:rsid w:val="019F1377"/>
    <w:rsid w:val="01C356A6"/>
    <w:rsid w:val="01C42B8B"/>
    <w:rsid w:val="01CE3A0A"/>
    <w:rsid w:val="01D34B7C"/>
    <w:rsid w:val="01F40F97"/>
    <w:rsid w:val="01FF0067"/>
    <w:rsid w:val="021D04ED"/>
    <w:rsid w:val="02781BC8"/>
    <w:rsid w:val="028E4F47"/>
    <w:rsid w:val="029C58B6"/>
    <w:rsid w:val="02A14EBF"/>
    <w:rsid w:val="02A67A5A"/>
    <w:rsid w:val="02D05560"/>
    <w:rsid w:val="02E24306"/>
    <w:rsid w:val="02E6401C"/>
    <w:rsid w:val="02F0175E"/>
    <w:rsid w:val="033C49A3"/>
    <w:rsid w:val="0344507E"/>
    <w:rsid w:val="034675D0"/>
    <w:rsid w:val="03555A65"/>
    <w:rsid w:val="03993BA4"/>
    <w:rsid w:val="03D943F3"/>
    <w:rsid w:val="040A4AA1"/>
    <w:rsid w:val="04460A56"/>
    <w:rsid w:val="044A30F0"/>
    <w:rsid w:val="047D34C5"/>
    <w:rsid w:val="048D537A"/>
    <w:rsid w:val="04A942BA"/>
    <w:rsid w:val="04B30C95"/>
    <w:rsid w:val="04B464C3"/>
    <w:rsid w:val="04CB4231"/>
    <w:rsid w:val="04D31D7F"/>
    <w:rsid w:val="04E43544"/>
    <w:rsid w:val="05341DD6"/>
    <w:rsid w:val="053F077B"/>
    <w:rsid w:val="05416D9A"/>
    <w:rsid w:val="05535201"/>
    <w:rsid w:val="0575419C"/>
    <w:rsid w:val="0580326D"/>
    <w:rsid w:val="059E7B97"/>
    <w:rsid w:val="05B35F2C"/>
    <w:rsid w:val="05BE1FE7"/>
    <w:rsid w:val="05C0366A"/>
    <w:rsid w:val="05C40CCB"/>
    <w:rsid w:val="05D37841"/>
    <w:rsid w:val="05E97064"/>
    <w:rsid w:val="061A5470"/>
    <w:rsid w:val="06224324"/>
    <w:rsid w:val="062A4F87"/>
    <w:rsid w:val="0633208D"/>
    <w:rsid w:val="064222D0"/>
    <w:rsid w:val="064237E6"/>
    <w:rsid w:val="064A5629"/>
    <w:rsid w:val="066606B5"/>
    <w:rsid w:val="06782196"/>
    <w:rsid w:val="067F1777"/>
    <w:rsid w:val="06863B44"/>
    <w:rsid w:val="06997DBD"/>
    <w:rsid w:val="06A66D03"/>
    <w:rsid w:val="06BD404D"/>
    <w:rsid w:val="06C76C7A"/>
    <w:rsid w:val="06D05B2E"/>
    <w:rsid w:val="06D575E9"/>
    <w:rsid w:val="06DA075B"/>
    <w:rsid w:val="06E11AE9"/>
    <w:rsid w:val="06E65352"/>
    <w:rsid w:val="06F07F7E"/>
    <w:rsid w:val="06F836A7"/>
    <w:rsid w:val="06FD5942"/>
    <w:rsid w:val="06FE0384"/>
    <w:rsid w:val="074327A4"/>
    <w:rsid w:val="07487DBA"/>
    <w:rsid w:val="07577FFE"/>
    <w:rsid w:val="076F6FBB"/>
    <w:rsid w:val="076F7EC6"/>
    <w:rsid w:val="079E5C2C"/>
    <w:rsid w:val="07D43BE6"/>
    <w:rsid w:val="07E04964"/>
    <w:rsid w:val="07EF6488"/>
    <w:rsid w:val="07F65A68"/>
    <w:rsid w:val="081303C8"/>
    <w:rsid w:val="081A5F93"/>
    <w:rsid w:val="082223BA"/>
    <w:rsid w:val="08273E74"/>
    <w:rsid w:val="08311B3B"/>
    <w:rsid w:val="083E11BD"/>
    <w:rsid w:val="088038FF"/>
    <w:rsid w:val="08986B20"/>
    <w:rsid w:val="08C90A87"/>
    <w:rsid w:val="09015152"/>
    <w:rsid w:val="090F06A4"/>
    <w:rsid w:val="091837BC"/>
    <w:rsid w:val="093323A4"/>
    <w:rsid w:val="095F018A"/>
    <w:rsid w:val="097A7FD3"/>
    <w:rsid w:val="0981300B"/>
    <w:rsid w:val="0992356F"/>
    <w:rsid w:val="09A3577C"/>
    <w:rsid w:val="09B96D4E"/>
    <w:rsid w:val="09BA4874"/>
    <w:rsid w:val="09BA7D0B"/>
    <w:rsid w:val="09BE25B6"/>
    <w:rsid w:val="09D26061"/>
    <w:rsid w:val="09D678FF"/>
    <w:rsid w:val="09E518F1"/>
    <w:rsid w:val="09F064E7"/>
    <w:rsid w:val="09F47D86"/>
    <w:rsid w:val="0A051F93"/>
    <w:rsid w:val="0A067AB9"/>
    <w:rsid w:val="0A1E12A6"/>
    <w:rsid w:val="0A2543E3"/>
    <w:rsid w:val="0A4C7BC2"/>
    <w:rsid w:val="0A634D99"/>
    <w:rsid w:val="0A747118"/>
    <w:rsid w:val="0A8A6F7D"/>
    <w:rsid w:val="0A982E07"/>
    <w:rsid w:val="0AA95014"/>
    <w:rsid w:val="0AAB31A6"/>
    <w:rsid w:val="0AB1645E"/>
    <w:rsid w:val="0ABB4D47"/>
    <w:rsid w:val="0AC51722"/>
    <w:rsid w:val="0AD35BED"/>
    <w:rsid w:val="0AD57BB7"/>
    <w:rsid w:val="0AE15B71"/>
    <w:rsid w:val="0AF52007"/>
    <w:rsid w:val="0B057D70"/>
    <w:rsid w:val="0B1F52D6"/>
    <w:rsid w:val="0B2C354F"/>
    <w:rsid w:val="0B4765DB"/>
    <w:rsid w:val="0B4906CC"/>
    <w:rsid w:val="0B633415"/>
    <w:rsid w:val="0B70168E"/>
    <w:rsid w:val="0B896BF3"/>
    <w:rsid w:val="0B9E269F"/>
    <w:rsid w:val="0BC536DC"/>
    <w:rsid w:val="0BD95485"/>
    <w:rsid w:val="0BDE6F3F"/>
    <w:rsid w:val="0BF57DE5"/>
    <w:rsid w:val="0BF91683"/>
    <w:rsid w:val="0C0F534B"/>
    <w:rsid w:val="0C16685A"/>
    <w:rsid w:val="0C48085D"/>
    <w:rsid w:val="0C5B40EC"/>
    <w:rsid w:val="0C6D2071"/>
    <w:rsid w:val="0C6E02C3"/>
    <w:rsid w:val="0C7D22B4"/>
    <w:rsid w:val="0CAC0DEC"/>
    <w:rsid w:val="0CB101B0"/>
    <w:rsid w:val="0D1D75F3"/>
    <w:rsid w:val="0D314E4D"/>
    <w:rsid w:val="0D531267"/>
    <w:rsid w:val="0D5F19BA"/>
    <w:rsid w:val="0DE85E53"/>
    <w:rsid w:val="0E0E518E"/>
    <w:rsid w:val="0E172295"/>
    <w:rsid w:val="0E245168"/>
    <w:rsid w:val="0E355127"/>
    <w:rsid w:val="0E372937"/>
    <w:rsid w:val="0E6059EA"/>
    <w:rsid w:val="0EB2020F"/>
    <w:rsid w:val="0EB65F51"/>
    <w:rsid w:val="0EBC26D6"/>
    <w:rsid w:val="0EC51ACA"/>
    <w:rsid w:val="0EDF050A"/>
    <w:rsid w:val="0EE4486D"/>
    <w:rsid w:val="0EEB28B8"/>
    <w:rsid w:val="0EED1247"/>
    <w:rsid w:val="0EF425D6"/>
    <w:rsid w:val="0EFB1BB6"/>
    <w:rsid w:val="0F124408"/>
    <w:rsid w:val="0F4B421D"/>
    <w:rsid w:val="0F661726"/>
    <w:rsid w:val="0F7200CA"/>
    <w:rsid w:val="0F88693F"/>
    <w:rsid w:val="0F951948"/>
    <w:rsid w:val="0F96314E"/>
    <w:rsid w:val="0FA66E59"/>
    <w:rsid w:val="10150A56"/>
    <w:rsid w:val="103233B6"/>
    <w:rsid w:val="105B012D"/>
    <w:rsid w:val="10606085"/>
    <w:rsid w:val="1070206F"/>
    <w:rsid w:val="1089530E"/>
    <w:rsid w:val="10C379BF"/>
    <w:rsid w:val="10D40911"/>
    <w:rsid w:val="10D4446D"/>
    <w:rsid w:val="10E272DB"/>
    <w:rsid w:val="10FD7E68"/>
    <w:rsid w:val="110A4353"/>
    <w:rsid w:val="11101B82"/>
    <w:rsid w:val="114333A1"/>
    <w:rsid w:val="1146471D"/>
    <w:rsid w:val="118653FD"/>
    <w:rsid w:val="11F05959"/>
    <w:rsid w:val="11F11DCA"/>
    <w:rsid w:val="11FA43A7"/>
    <w:rsid w:val="12011292"/>
    <w:rsid w:val="12485112"/>
    <w:rsid w:val="124965E1"/>
    <w:rsid w:val="126D6393"/>
    <w:rsid w:val="1270250E"/>
    <w:rsid w:val="12DF65E9"/>
    <w:rsid w:val="1305396D"/>
    <w:rsid w:val="131274CE"/>
    <w:rsid w:val="131E5E73"/>
    <w:rsid w:val="13203999"/>
    <w:rsid w:val="1321580E"/>
    <w:rsid w:val="137E6B56"/>
    <w:rsid w:val="138959E3"/>
    <w:rsid w:val="139F0A80"/>
    <w:rsid w:val="13AF4D1D"/>
    <w:rsid w:val="13C24A51"/>
    <w:rsid w:val="13E470BD"/>
    <w:rsid w:val="14237BE5"/>
    <w:rsid w:val="14305E5E"/>
    <w:rsid w:val="1438443B"/>
    <w:rsid w:val="145A45EF"/>
    <w:rsid w:val="146F3017"/>
    <w:rsid w:val="14720225"/>
    <w:rsid w:val="14771CDF"/>
    <w:rsid w:val="14AD5B4A"/>
    <w:rsid w:val="14B00D4D"/>
    <w:rsid w:val="14BE790E"/>
    <w:rsid w:val="14D156B6"/>
    <w:rsid w:val="14F72E20"/>
    <w:rsid w:val="151104D7"/>
    <w:rsid w:val="15204125"/>
    <w:rsid w:val="15222614"/>
    <w:rsid w:val="152F4368"/>
    <w:rsid w:val="15322192"/>
    <w:rsid w:val="15415E49"/>
    <w:rsid w:val="15565D98"/>
    <w:rsid w:val="15897F1C"/>
    <w:rsid w:val="15B4486D"/>
    <w:rsid w:val="15D10B90"/>
    <w:rsid w:val="16482398"/>
    <w:rsid w:val="164B6F7F"/>
    <w:rsid w:val="16614D6C"/>
    <w:rsid w:val="167A5AB7"/>
    <w:rsid w:val="168626AD"/>
    <w:rsid w:val="1696521E"/>
    <w:rsid w:val="169C77DB"/>
    <w:rsid w:val="16ED6288"/>
    <w:rsid w:val="170372A1"/>
    <w:rsid w:val="17221F62"/>
    <w:rsid w:val="173E4D36"/>
    <w:rsid w:val="174628EA"/>
    <w:rsid w:val="174B4BAD"/>
    <w:rsid w:val="176F7963"/>
    <w:rsid w:val="17771379"/>
    <w:rsid w:val="17824C23"/>
    <w:rsid w:val="17CC40F0"/>
    <w:rsid w:val="18187335"/>
    <w:rsid w:val="182D65B9"/>
    <w:rsid w:val="182F467F"/>
    <w:rsid w:val="18421567"/>
    <w:rsid w:val="18786F07"/>
    <w:rsid w:val="18A70051"/>
    <w:rsid w:val="18A856F5"/>
    <w:rsid w:val="18D92968"/>
    <w:rsid w:val="18E6357A"/>
    <w:rsid w:val="190855FC"/>
    <w:rsid w:val="192561AE"/>
    <w:rsid w:val="192E045D"/>
    <w:rsid w:val="194A5C14"/>
    <w:rsid w:val="1951626A"/>
    <w:rsid w:val="195425EF"/>
    <w:rsid w:val="19662322"/>
    <w:rsid w:val="19914459"/>
    <w:rsid w:val="199918DB"/>
    <w:rsid w:val="19A76BC3"/>
    <w:rsid w:val="19B60738"/>
    <w:rsid w:val="19EC2827"/>
    <w:rsid w:val="1A472B8C"/>
    <w:rsid w:val="1A514D80"/>
    <w:rsid w:val="1A5F749D"/>
    <w:rsid w:val="1A613215"/>
    <w:rsid w:val="1A8C7B66"/>
    <w:rsid w:val="1A9A04D5"/>
    <w:rsid w:val="1ABC6CDD"/>
    <w:rsid w:val="1ABE7431"/>
    <w:rsid w:val="1B1E2711"/>
    <w:rsid w:val="1B2143F6"/>
    <w:rsid w:val="1B3A34E6"/>
    <w:rsid w:val="1B3C77DE"/>
    <w:rsid w:val="1B544B28"/>
    <w:rsid w:val="1B742238"/>
    <w:rsid w:val="1B811695"/>
    <w:rsid w:val="1B9B0003"/>
    <w:rsid w:val="1BFD0121"/>
    <w:rsid w:val="1C287244"/>
    <w:rsid w:val="1C322FAC"/>
    <w:rsid w:val="1C337FE9"/>
    <w:rsid w:val="1C4700FC"/>
    <w:rsid w:val="1C49566C"/>
    <w:rsid w:val="1C4A7CD9"/>
    <w:rsid w:val="1C511068"/>
    <w:rsid w:val="1C9C5138"/>
    <w:rsid w:val="1CC950A2"/>
    <w:rsid w:val="1CE26164"/>
    <w:rsid w:val="1CEE4B08"/>
    <w:rsid w:val="1D047E88"/>
    <w:rsid w:val="1D194A1D"/>
    <w:rsid w:val="1D2624F4"/>
    <w:rsid w:val="1D587E63"/>
    <w:rsid w:val="1D6E17A5"/>
    <w:rsid w:val="1DBD4C56"/>
    <w:rsid w:val="1DC75A85"/>
    <w:rsid w:val="1DCA7323"/>
    <w:rsid w:val="1DFB572F"/>
    <w:rsid w:val="1E122A78"/>
    <w:rsid w:val="1E1467F1"/>
    <w:rsid w:val="1E42335E"/>
    <w:rsid w:val="1E7C6661"/>
    <w:rsid w:val="1EA2204E"/>
    <w:rsid w:val="1EA90CE7"/>
    <w:rsid w:val="1EAA1AE8"/>
    <w:rsid w:val="1EBD0C36"/>
    <w:rsid w:val="1EC3388A"/>
    <w:rsid w:val="1EF46F18"/>
    <w:rsid w:val="1F02489B"/>
    <w:rsid w:val="1F792DAF"/>
    <w:rsid w:val="1F9279CD"/>
    <w:rsid w:val="1FB159D8"/>
    <w:rsid w:val="1FB62957"/>
    <w:rsid w:val="1FDF7040"/>
    <w:rsid w:val="1FEF212D"/>
    <w:rsid w:val="1FFE5062"/>
    <w:rsid w:val="20137704"/>
    <w:rsid w:val="201523AC"/>
    <w:rsid w:val="20315438"/>
    <w:rsid w:val="203D202F"/>
    <w:rsid w:val="20542ED4"/>
    <w:rsid w:val="207D68CF"/>
    <w:rsid w:val="209239FD"/>
    <w:rsid w:val="20D26FE7"/>
    <w:rsid w:val="20D63C2A"/>
    <w:rsid w:val="20DF4F0A"/>
    <w:rsid w:val="20F3093F"/>
    <w:rsid w:val="20FD6452"/>
    <w:rsid w:val="21025026"/>
    <w:rsid w:val="212D107F"/>
    <w:rsid w:val="21366A7E"/>
    <w:rsid w:val="214921EE"/>
    <w:rsid w:val="216929AF"/>
    <w:rsid w:val="216D55FA"/>
    <w:rsid w:val="218B6DCA"/>
    <w:rsid w:val="21927E8A"/>
    <w:rsid w:val="21957C48"/>
    <w:rsid w:val="21B04A82"/>
    <w:rsid w:val="21C30312"/>
    <w:rsid w:val="21C61BB0"/>
    <w:rsid w:val="21CB18BC"/>
    <w:rsid w:val="21EA7F94"/>
    <w:rsid w:val="21F26A12"/>
    <w:rsid w:val="22235254"/>
    <w:rsid w:val="22252D7A"/>
    <w:rsid w:val="224A1019"/>
    <w:rsid w:val="224F429B"/>
    <w:rsid w:val="22963C78"/>
    <w:rsid w:val="22A31EF1"/>
    <w:rsid w:val="22AF0896"/>
    <w:rsid w:val="22E12582"/>
    <w:rsid w:val="22F8048F"/>
    <w:rsid w:val="22F95FB5"/>
    <w:rsid w:val="230230BC"/>
    <w:rsid w:val="231D7EF5"/>
    <w:rsid w:val="231F33A3"/>
    <w:rsid w:val="2341634B"/>
    <w:rsid w:val="234436D4"/>
    <w:rsid w:val="23541D07"/>
    <w:rsid w:val="2368207F"/>
    <w:rsid w:val="237155C3"/>
    <w:rsid w:val="237C7D5E"/>
    <w:rsid w:val="2393433C"/>
    <w:rsid w:val="23A3664D"/>
    <w:rsid w:val="23B73EA6"/>
    <w:rsid w:val="23BA1BE8"/>
    <w:rsid w:val="241E5CD3"/>
    <w:rsid w:val="2426052F"/>
    <w:rsid w:val="242F6132"/>
    <w:rsid w:val="2446522A"/>
    <w:rsid w:val="245C4FD1"/>
    <w:rsid w:val="24966721"/>
    <w:rsid w:val="24975A86"/>
    <w:rsid w:val="24B07961"/>
    <w:rsid w:val="24B555E3"/>
    <w:rsid w:val="24BE3012"/>
    <w:rsid w:val="24C044DA"/>
    <w:rsid w:val="24CC3981"/>
    <w:rsid w:val="24D50412"/>
    <w:rsid w:val="24D64800"/>
    <w:rsid w:val="24E52C95"/>
    <w:rsid w:val="24E76A0D"/>
    <w:rsid w:val="24EA2059"/>
    <w:rsid w:val="2527505B"/>
    <w:rsid w:val="25665B84"/>
    <w:rsid w:val="258C03B7"/>
    <w:rsid w:val="25A659C4"/>
    <w:rsid w:val="25B602F8"/>
    <w:rsid w:val="25BC39F6"/>
    <w:rsid w:val="25BD776E"/>
    <w:rsid w:val="25C14ADA"/>
    <w:rsid w:val="25D24FC7"/>
    <w:rsid w:val="25E1520A"/>
    <w:rsid w:val="26163671"/>
    <w:rsid w:val="26605D9B"/>
    <w:rsid w:val="267155B1"/>
    <w:rsid w:val="268A58A2"/>
    <w:rsid w:val="26977FBF"/>
    <w:rsid w:val="26A61FB0"/>
    <w:rsid w:val="26EC4D03"/>
    <w:rsid w:val="26F64CE5"/>
    <w:rsid w:val="270278AC"/>
    <w:rsid w:val="27076EF2"/>
    <w:rsid w:val="271C3ED0"/>
    <w:rsid w:val="27533EE6"/>
    <w:rsid w:val="275A1718"/>
    <w:rsid w:val="27675BE3"/>
    <w:rsid w:val="27A07298"/>
    <w:rsid w:val="27A6670B"/>
    <w:rsid w:val="27BB7CDD"/>
    <w:rsid w:val="27C66596"/>
    <w:rsid w:val="27CA2B44"/>
    <w:rsid w:val="27FF2AD4"/>
    <w:rsid w:val="28025D85"/>
    <w:rsid w:val="28083C5E"/>
    <w:rsid w:val="28101DD7"/>
    <w:rsid w:val="28133EAE"/>
    <w:rsid w:val="28636D99"/>
    <w:rsid w:val="287D59C6"/>
    <w:rsid w:val="28B05368"/>
    <w:rsid w:val="28BE5CD7"/>
    <w:rsid w:val="28C037FD"/>
    <w:rsid w:val="28C606E7"/>
    <w:rsid w:val="28D9041B"/>
    <w:rsid w:val="290C6A42"/>
    <w:rsid w:val="291A637D"/>
    <w:rsid w:val="292A182B"/>
    <w:rsid w:val="29385A89"/>
    <w:rsid w:val="29757ECF"/>
    <w:rsid w:val="2980764F"/>
    <w:rsid w:val="29C15A7E"/>
    <w:rsid w:val="29EC23D0"/>
    <w:rsid w:val="2A313778"/>
    <w:rsid w:val="2A356C10"/>
    <w:rsid w:val="2A385615"/>
    <w:rsid w:val="2A3D0E7D"/>
    <w:rsid w:val="2A443FBA"/>
    <w:rsid w:val="2A6C52BE"/>
    <w:rsid w:val="2A73489F"/>
    <w:rsid w:val="2A842608"/>
    <w:rsid w:val="2A900FAD"/>
    <w:rsid w:val="2ABE42E8"/>
    <w:rsid w:val="2ADA512F"/>
    <w:rsid w:val="2AE337D3"/>
    <w:rsid w:val="2AEA4B61"/>
    <w:rsid w:val="2B083239"/>
    <w:rsid w:val="2B2205C9"/>
    <w:rsid w:val="2B4F0E68"/>
    <w:rsid w:val="2B7408CF"/>
    <w:rsid w:val="2B940F71"/>
    <w:rsid w:val="2B9B5E5B"/>
    <w:rsid w:val="2BDC7FE8"/>
    <w:rsid w:val="2BE617CC"/>
    <w:rsid w:val="2BF65788"/>
    <w:rsid w:val="2C165AE7"/>
    <w:rsid w:val="2C2E6CCF"/>
    <w:rsid w:val="2C425EFD"/>
    <w:rsid w:val="2C4402A1"/>
    <w:rsid w:val="2C542B89"/>
    <w:rsid w:val="2C840FE5"/>
    <w:rsid w:val="2C9A6113"/>
    <w:rsid w:val="2CC55886"/>
    <w:rsid w:val="2CD0422B"/>
    <w:rsid w:val="2CDC672B"/>
    <w:rsid w:val="2D0B7011"/>
    <w:rsid w:val="2D0F6B01"/>
    <w:rsid w:val="2D1660E1"/>
    <w:rsid w:val="2D177764"/>
    <w:rsid w:val="2D1E0AF2"/>
    <w:rsid w:val="2D23435A"/>
    <w:rsid w:val="2D281971"/>
    <w:rsid w:val="2D3C541C"/>
    <w:rsid w:val="2D524C40"/>
    <w:rsid w:val="2D962D7E"/>
    <w:rsid w:val="2D99767C"/>
    <w:rsid w:val="2D9E1C33"/>
    <w:rsid w:val="2DBE580D"/>
    <w:rsid w:val="2DC0604D"/>
    <w:rsid w:val="2DE51610"/>
    <w:rsid w:val="2DE53D06"/>
    <w:rsid w:val="2DF81343"/>
    <w:rsid w:val="2DFE0923"/>
    <w:rsid w:val="2E3031D3"/>
    <w:rsid w:val="2E3305CD"/>
    <w:rsid w:val="2E4722CA"/>
    <w:rsid w:val="2E4F2F2D"/>
    <w:rsid w:val="2E552C39"/>
    <w:rsid w:val="2E6610E5"/>
    <w:rsid w:val="2E8B665B"/>
    <w:rsid w:val="2E9574DA"/>
    <w:rsid w:val="2EB55486"/>
    <w:rsid w:val="2EC4391B"/>
    <w:rsid w:val="2EC851B9"/>
    <w:rsid w:val="2EEB534C"/>
    <w:rsid w:val="2EF75A9F"/>
    <w:rsid w:val="2F307202"/>
    <w:rsid w:val="2F4405B8"/>
    <w:rsid w:val="2F5702EB"/>
    <w:rsid w:val="2F6D620D"/>
    <w:rsid w:val="2F77066B"/>
    <w:rsid w:val="2F7C643A"/>
    <w:rsid w:val="2FA057DA"/>
    <w:rsid w:val="2FC71915"/>
    <w:rsid w:val="2FF73956"/>
    <w:rsid w:val="300329EB"/>
    <w:rsid w:val="30185CCC"/>
    <w:rsid w:val="30204B81"/>
    <w:rsid w:val="3025488D"/>
    <w:rsid w:val="302723B3"/>
    <w:rsid w:val="302B1961"/>
    <w:rsid w:val="30676C54"/>
    <w:rsid w:val="3078676B"/>
    <w:rsid w:val="30861AE3"/>
    <w:rsid w:val="30A9726C"/>
    <w:rsid w:val="30AC4667"/>
    <w:rsid w:val="30C95219"/>
    <w:rsid w:val="30DE1B9B"/>
    <w:rsid w:val="30F04C42"/>
    <w:rsid w:val="314174A5"/>
    <w:rsid w:val="31496359"/>
    <w:rsid w:val="31551D03"/>
    <w:rsid w:val="316E3BA7"/>
    <w:rsid w:val="316F5DC0"/>
    <w:rsid w:val="3183186B"/>
    <w:rsid w:val="318919F2"/>
    <w:rsid w:val="318F0210"/>
    <w:rsid w:val="3196159F"/>
    <w:rsid w:val="31A812D2"/>
    <w:rsid w:val="31BD0B20"/>
    <w:rsid w:val="31BE0AF5"/>
    <w:rsid w:val="31C41CD9"/>
    <w:rsid w:val="31EC0AD5"/>
    <w:rsid w:val="31FB3AF8"/>
    <w:rsid w:val="32225628"/>
    <w:rsid w:val="32333292"/>
    <w:rsid w:val="32537490"/>
    <w:rsid w:val="32677734"/>
    <w:rsid w:val="327B69E7"/>
    <w:rsid w:val="328443AB"/>
    <w:rsid w:val="32844EA3"/>
    <w:rsid w:val="328C4750"/>
    <w:rsid w:val="328E2022"/>
    <w:rsid w:val="32931F82"/>
    <w:rsid w:val="329462E9"/>
    <w:rsid w:val="32B20E2F"/>
    <w:rsid w:val="330C5891"/>
    <w:rsid w:val="33186A22"/>
    <w:rsid w:val="331930E0"/>
    <w:rsid w:val="331A61FF"/>
    <w:rsid w:val="334D0EF5"/>
    <w:rsid w:val="334E5EA9"/>
    <w:rsid w:val="33522CBE"/>
    <w:rsid w:val="33541711"/>
    <w:rsid w:val="33596D28"/>
    <w:rsid w:val="337771AE"/>
    <w:rsid w:val="339935C8"/>
    <w:rsid w:val="33AA7583"/>
    <w:rsid w:val="33B07F53"/>
    <w:rsid w:val="33BE302F"/>
    <w:rsid w:val="33D60378"/>
    <w:rsid w:val="33D75E9F"/>
    <w:rsid w:val="33F55658"/>
    <w:rsid w:val="344E1354"/>
    <w:rsid w:val="345833BB"/>
    <w:rsid w:val="34733E19"/>
    <w:rsid w:val="348F0527"/>
    <w:rsid w:val="34AA5361"/>
    <w:rsid w:val="34B561E0"/>
    <w:rsid w:val="34CE54F3"/>
    <w:rsid w:val="34F767F8"/>
    <w:rsid w:val="351A24E7"/>
    <w:rsid w:val="35673B29"/>
    <w:rsid w:val="35780FBB"/>
    <w:rsid w:val="357823C2"/>
    <w:rsid w:val="358D4A67"/>
    <w:rsid w:val="35944047"/>
    <w:rsid w:val="359C114E"/>
    <w:rsid w:val="35A10512"/>
    <w:rsid w:val="35C55D4E"/>
    <w:rsid w:val="35CB6416"/>
    <w:rsid w:val="35E36D7D"/>
    <w:rsid w:val="35F20D6E"/>
    <w:rsid w:val="35FA67F5"/>
    <w:rsid w:val="361C228F"/>
    <w:rsid w:val="36203B2D"/>
    <w:rsid w:val="362F5B1E"/>
    <w:rsid w:val="3635142C"/>
    <w:rsid w:val="36370EB0"/>
    <w:rsid w:val="36592B9B"/>
    <w:rsid w:val="366A124C"/>
    <w:rsid w:val="366A48EF"/>
    <w:rsid w:val="36873BAC"/>
    <w:rsid w:val="36A302BA"/>
    <w:rsid w:val="36A94344"/>
    <w:rsid w:val="36B177DF"/>
    <w:rsid w:val="36E56B24"/>
    <w:rsid w:val="36EF52AD"/>
    <w:rsid w:val="36FD3E6E"/>
    <w:rsid w:val="370157FF"/>
    <w:rsid w:val="37076A9B"/>
    <w:rsid w:val="37177E68"/>
    <w:rsid w:val="37403D5B"/>
    <w:rsid w:val="37512750"/>
    <w:rsid w:val="377F4883"/>
    <w:rsid w:val="3784633D"/>
    <w:rsid w:val="37A83DDA"/>
    <w:rsid w:val="37BF1123"/>
    <w:rsid w:val="37C36E66"/>
    <w:rsid w:val="37D44BCF"/>
    <w:rsid w:val="37E36149"/>
    <w:rsid w:val="37EE37B7"/>
    <w:rsid w:val="37F02D12"/>
    <w:rsid w:val="38003C16"/>
    <w:rsid w:val="38084878"/>
    <w:rsid w:val="38086768"/>
    <w:rsid w:val="38342FC3"/>
    <w:rsid w:val="38422E1F"/>
    <w:rsid w:val="384D672F"/>
    <w:rsid w:val="38563836"/>
    <w:rsid w:val="386F47DF"/>
    <w:rsid w:val="387C7014"/>
    <w:rsid w:val="38D411CB"/>
    <w:rsid w:val="38D64977"/>
    <w:rsid w:val="390E29BE"/>
    <w:rsid w:val="3914549F"/>
    <w:rsid w:val="394144E6"/>
    <w:rsid w:val="3942200C"/>
    <w:rsid w:val="394713D0"/>
    <w:rsid w:val="39482551"/>
    <w:rsid w:val="39534279"/>
    <w:rsid w:val="396E4BAF"/>
    <w:rsid w:val="397A3554"/>
    <w:rsid w:val="39893797"/>
    <w:rsid w:val="398B39B3"/>
    <w:rsid w:val="39A5011C"/>
    <w:rsid w:val="39AC2AE5"/>
    <w:rsid w:val="39B747A8"/>
    <w:rsid w:val="39CF52DE"/>
    <w:rsid w:val="39D72EE2"/>
    <w:rsid w:val="3A015A23"/>
    <w:rsid w:val="3A033549"/>
    <w:rsid w:val="3A1555CF"/>
    <w:rsid w:val="3A2044B9"/>
    <w:rsid w:val="3A7F0798"/>
    <w:rsid w:val="3AAC3D0E"/>
    <w:rsid w:val="3AB72E13"/>
    <w:rsid w:val="3AC310D7"/>
    <w:rsid w:val="3AD66EB0"/>
    <w:rsid w:val="3AD83A18"/>
    <w:rsid w:val="3ADE5D64"/>
    <w:rsid w:val="3AEE2D27"/>
    <w:rsid w:val="3B082DE1"/>
    <w:rsid w:val="3B0B75E8"/>
    <w:rsid w:val="3B2C3D25"/>
    <w:rsid w:val="3B4E15E3"/>
    <w:rsid w:val="3B5F0C53"/>
    <w:rsid w:val="3B660234"/>
    <w:rsid w:val="3BA174BE"/>
    <w:rsid w:val="3BA70527"/>
    <w:rsid w:val="3BB84807"/>
    <w:rsid w:val="3BD54030"/>
    <w:rsid w:val="3BDA477E"/>
    <w:rsid w:val="3BF35840"/>
    <w:rsid w:val="3BF515B8"/>
    <w:rsid w:val="3C291261"/>
    <w:rsid w:val="3C335C3C"/>
    <w:rsid w:val="3C463BC1"/>
    <w:rsid w:val="3C53008C"/>
    <w:rsid w:val="3C580899"/>
    <w:rsid w:val="3C6F3118"/>
    <w:rsid w:val="3C700671"/>
    <w:rsid w:val="3C7C3A87"/>
    <w:rsid w:val="3C885F88"/>
    <w:rsid w:val="3CA1704A"/>
    <w:rsid w:val="3CCB40C7"/>
    <w:rsid w:val="3CCC056A"/>
    <w:rsid w:val="3CD269A2"/>
    <w:rsid w:val="3CEF24AB"/>
    <w:rsid w:val="3D112421"/>
    <w:rsid w:val="3D257C7B"/>
    <w:rsid w:val="3D361E88"/>
    <w:rsid w:val="3D864BBD"/>
    <w:rsid w:val="3DA212CB"/>
    <w:rsid w:val="3DA70690"/>
    <w:rsid w:val="3DCC00F6"/>
    <w:rsid w:val="3DD1395F"/>
    <w:rsid w:val="3DE418E4"/>
    <w:rsid w:val="3DE9514C"/>
    <w:rsid w:val="3DF65C88"/>
    <w:rsid w:val="3E3C21FA"/>
    <w:rsid w:val="3E5817B5"/>
    <w:rsid w:val="3E7C7D6E"/>
    <w:rsid w:val="3E823D9C"/>
    <w:rsid w:val="3E8D28C0"/>
    <w:rsid w:val="3E9B4946"/>
    <w:rsid w:val="3E9F580B"/>
    <w:rsid w:val="3EA352FB"/>
    <w:rsid w:val="3EC6723B"/>
    <w:rsid w:val="3EF43DA9"/>
    <w:rsid w:val="3EFA3F58"/>
    <w:rsid w:val="3F1E0E25"/>
    <w:rsid w:val="3F275F2C"/>
    <w:rsid w:val="3F2A5FB0"/>
    <w:rsid w:val="3F2C3542"/>
    <w:rsid w:val="3F4F17ED"/>
    <w:rsid w:val="3F746C97"/>
    <w:rsid w:val="3F7E1242"/>
    <w:rsid w:val="3F831F32"/>
    <w:rsid w:val="3F843827"/>
    <w:rsid w:val="3F9115F7"/>
    <w:rsid w:val="3F9D1D4A"/>
    <w:rsid w:val="3FA91AA8"/>
    <w:rsid w:val="3FB35A12"/>
    <w:rsid w:val="3FBC4FDD"/>
    <w:rsid w:val="3FBE5E2A"/>
    <w:rsid w:val="3FBF43B6"/>
    <w:rsid w:val="3FC25C55"/>
    <w:rsid w:val="3FC75019"/>
    <w:rsid w:val="3FE21E53"/>
    <w:rsid w:val="3FF658FE"/>
    <w:rsid w:val="40095632"/>
    <w:rsid w:val="40104C12"/>
    <w:rsid w:val="40180394"/>
    <w:rsid w:val="401E744C"/>
    <w:rsid w:val="4037219F"/>
    <w:rsid w:val="404A396B"/>
    <w:rsid w:val="404C0A39"/>
    <w:rsid w:val="405A4834"/>
    <w:rsid w:val="40BC08F6"/>
    <w:rsid w:val="40C15F0C"/>
    <w:rsid w:val="40D21EC7"/>
    <w:rsid w:val="40E816EB"/>
    <w:rsid w:val="40F24318"/>
    <w:rsid w:val="411718F9"/>
    <w:rsid w:val="414B6596"/>
    <w:rsid w:val="4153125A"/>
    <w:rsid w:val="415648A7"/>
    <w:rsid w:val="415D3E87"/>
    <w:rsid w:val="415E7BFF"/>
    <w:rsid w:val="4177481D"/>
    <w:rsid w:val="417D62D7"/>
    <w:rsid w:val="41A35612"/>
    <w:rsid w:val="41A82C28"/>
    <w:rsid w:val="41BB295C"/>
    <w:rsid w:val="41F320F5"/>
    <w:rsid w:val="41F8595E"/>
    <w:rsid w:val="42010CB6"/>
    <w:rsid w:val="42313585"/>
    <w:rsid w:val="42507548"/>
    <w:rsid w:val="42690903"/>
    <w:rsid w:val="426B6130"/>
    <w:rsid w:val="427D5E63"/>
    <w:rsid w:val="427F3613"/>
    <w:rsid w:val="428611BC"/>
    <w:rsid w:val="428C6DBA"/>
    <w:rsid w:val="42A94F05"/>
    <w:rsid w:val="42AB0C22"/>
    <w:rsid w:val="42F26851"/>
    <w:rsid w:val="42FA74B4"/>
    <w:rsid w:val="43212C92"/>
    <w:rsid w:val="4348021F"/>
    <w:rsid w:val="43585A11"/>
    <w:rsid w:val="435C3CCA"/>
    <w:rsid w:val="43670FED"/>
    <w:rsid w:val="436A34FD"/>
    <w:rsid w:val="43784FA8"/>
    <w:rsid w:val="43912FC7"/>
    <w:rsid w:val="43A7763B"/>
    <w:rsid w:val="43C71A8C"/>
    <w:rsid w:val="43C81360"/>
    <w:rsid w:val="43F6411F"/>
    <w:rsid w:val="43FA3C0F"/>
    <w:rsid w:val="43FF4C91"/>
    <w:rsid w:val="44020D16"/>
    <w:rsid w:val="440C56F0"/>
    <w:rsid w:val="44184095"/>
    <w:rsid w:val="441D78FE"/>
    <w:rsid w:val="443F5AC6"/>
    <w:rsid w:val="445E4335"/>
    <w:rsid w:val="4464528A"/>
    <w:rsid w:val="4484797D"/>
    <w:rsid w:val="44901E7E"/>
    <w:rsid w:val="44935E12"/>
    <w:rsid w:val="44962078"/>
    <w:rsid w:val="44A92F3F"/>
    <w:rsid w:val="44C32C45"/>
    <w:rsid w:val="44E1092B"/>
    <w:rsid w:val="451F3201"/>
    <w:rsid w:val="45390767"/>
    <w:rsid w:val="45551365"/>
    <w:rsid w:val="45717F01"/>
    <w:rsid w:val="45740E32"/>
    <w:rsid w:val="459050A5"/>
    <w:rsid w:val="45B61DB8"/>
    <w:rsid w:val="45CF4C28"/>
    <w:rsid w:val="45DD5596"/>
    <w:rsid w:val="45E06E35"/>
    <w:rsid w:val="45ED68FD"/>
    <w:rsid w:val="45F36B68"/>
    <w:rsid w:val="45F621B4"/>
    <w:rsid w:val="45F91CA4"/>
    <w:rsid w:val="45FB5A1D"/>
    <w:rsid w:val="462824BB"/>
    <w:rsid w:val="46911EDD"/>
    <w:rsid w:val="469F284C"/>
    <w:rsid w:val="46E22739"/>
    <w:rsid w:val="46FE3A16"/>
    <w:rsid w:val="4703102D"/>
    <w:rsid w:val="471420D3"/>
    <w:rsid w:val="471A1ED2"/>
    <w:rsid w:val="47307DD7"/>
    <w:rsid w:val="474F266F"/>
    <w:rsid w:val="475C698F"/>
    <w:rsid w:val="47642873"/>
    <w:rsid w:val="47867568"/>
    <w:rsid w:val="47963B90"/>
    <w:rsid w:val="479D2FFA"/>
    <w:rsid w:val="47D44777"/>
    <w:rsid w:val="47F52B14"/>
    <w:rsid w:val="47FB1D04"/>
    <w:rsid w:val="481C1C7A"/>
    <w:rsid w:val="482E20D9"/>
    <w:rsid w:val="48461130"/>
    <w:rsid w:val="4847319B"/>
    <w:rsid w:val="48711FC6"/>
    <w:rsid w:val="4875679A"/>
    <w:rsid w:val="48847F4B"/>
    <w:rsid w:val="48875558"/>
    <w:rsid w:val="48904B42"/>
    <w:rsid w:val="489B3050"/>
    <w:rsid w:val="48A26623"/>
    <w:rsid w:val="48BD3312"/>
    <w:rsid w:val="48DB2A0D"/>
    <w:rsid w:val="48F61A44"/>
    <w:rsid w:val="4901159C"/>
    <w:rsid w:val="49105C83"/>
    <w:rsid w:val="49115D6F"/>
    <w:rsid w:val="494C116B"/>
    <w:rsid w:val="49995C78"/>
    <w:rsid w:val="49A47C67"/>
    <w:rsid w:val="49BA10BC"/>
    <w:rsid w:val="49D2118A"/>
    <w:rsid w:val="4A192915"/>
    <w:rsid w:val="4A1946C3"/>
    <w:rsid w:val="4A207297"/>
    <w:rsid w:val="4A34774F"/>
    <w:rsid w:val="4A3C6604"/>
    <w:rsid w:val="4A3E5C13"/>
    <w:rsid w:val="4A5676C5"/>
    <w:rsid w:val="4A69389D"/>
    <w:rsid w:val="4A7364C9"/>
    <w:rsid w:val="4A85775A"/>
    <w:rsid w:val="4A8E6E5F"/>
    <w:rsid w:val="4A9B77CE"/>
    <w:rsid w:val="4AA93C99"/>
    <w:rsid w:val="4ABD5996"/>
    <w:rsid w:val="4ACF50AD"/>
    <w:rsid w:val="4AE9678B"/>
    <w:rsid w:val="4AF07B1A"/>
    <w:rsid w:val="4AFF1B0B"/>
    <w:rsid w:val="4B0B04B0"/>
    <w:rsid w:val="4B157580"/>
    <w:rsid w:val="4B1A4B97"/>
    <w:rsid w:val="4B337A07"/>
    <w:rsid w:val="4B447E66"/>
    <w:rsid w:val="4B616AF5"/>
    <w:rsid w:val="4B6940A7"/>
    <w:rsid w:val="4B9A2ED5"/>
    <w:rsid w:val="4BBE19C6"/>
    <w:rsid w:val="4BE807F1"/>
    <w:rsid w:val="4BF058F8"/>
    <w:rsid w:val="4C004CE2"/>
    <w:rsid w:val="4C12586E"/>
    <w:rsid w:val="4C2B6930"/>
    <w:rsid w:val="4C465518"/>
    <w:rsid w:val="4C822FE8"/>
    <w:rsid w:val="4D04165B"/>
    <w:rsid w:val="4D1F4BE3"/>
    <w:rsid w:val="4D467EC5"/>
    <w:rsid w:val="4D6B3488"/>
    <w:rsid w:val="4D9559AA"/>
    <w:rsid w:val="4DBD7A5B"/>
    <w:rsid w:val="4E0B7E49"/>
    <w:rsid w:val="4E255D2C"/>
    <w:rsid w:val="4E5B2B67"/>
    <w:rsid w:val="4E6C1FEA"/>
    <w:rsid w:val="4E6F0D56"/>
    <w:rsid w:val="4E9C58C3"/>
    <w:rsid w:val="4EA37311"/>
    <w:rsid w:val="4EA41F28"/>
    <w:rsid w:val="4EB43E0F"/>
    <w:rsid w:val="4ED97DE9"/>
    <w:rsid w:val="4F120AD6"/>
    <w:rsid w:val="4F587A3C"/>
    <w:rsid w:val="4F7D3946"/>
    <w:rsid w:val="4F8C3B01"/>
    <w:rsid w:val="4F912F4E"/>
    <w:rsid w:val="4FA17635"/>
    <w:rsid w:val="4FAB2261"/>
    <w:rsid w:val="4FDA2B47"/>
    <w:rsid w:val="4FE6773D"/>
    <w:rsid w:val="5032295C"/>
    <w:rsid w:val="5039786D"/>
    <w:rsid w:val="50546455"/>
    <w:rsid w:val="50781210"/>
    <w:rsid w:val="5079438A"/>
    <w:rsid w:val="50836D3A"/>
    <w:rsid w:val="511300BE"/>
    <w:rsid w:val="5119144D"/>
    <w:rsid w:val="51302488"/>
    <w:rsid w:val="51346287"/>
    <w:rsid w:val="513D338D"/>
    <w:rsid w:val="51750D79"/>
    <w:rsid w:val="51AE428B"/>
    <w:rsid w:val="51B16D7C"/>
    <w:rsid w:val="51BA678C"/>
    <w:rsid w:val="51CE2237"/>
    <w:rsid w:val="51D84E64"/>
    <w:rsid w:val="51D86272"/>
    <w:rsid w:val="51DC3234"/>
    <w:rsid w:val="51EE149C"/>
    <w:rsid w:val="51F53C68"/>
    <w:rsid w:val="5222249E"/>
    <w:rsid w:val="522A75C9"/>
    <w:rsid w:val="525E0655"/>
    <w:rsid w:val="525F10E1"/>
    <w:rsid w:val="527E3C5D"/>
    <w:rsid w:val="52831535"/>
    <w:rsid w:val="5297665E"/>
    <w:rsid w:val="52AA6800"/>
    <w:rsid w:val="52D970E6"/>
    <w:rsid w:val="52DE19E8"/>
    <w:rsid w:val="52E57838"/>
    <w:rsid w:val="52FA5350"/>
    <w:rsid w:val="53085EE7"/>
    <w:rsid w:val="53114AD1"/>
    <w:rsid w:val="531C195E"/>
    <w:rsid w:val="532F6D06"/>
    <w:rsid w:val="53331C8C"/>
    <w:rsid w:val="53640EC5"/>
    <w:rsid w:val="537806AC"/>
    <w:rsid w:val="538C23AA"/>
    <w:rsid w:val="539B083F"/>
    <w:rsid w:val="53A21BCD"/>
    <w:rsid w:val="53BF62DB"/>
    <w:rsid w:val="53C33A31"/>
    <w:rsid w:val="5411465D"/>
    <w:rsid w:val="542D76E9"/>
    <w:rsid w:val="54472F05"/>
    <w:rsid w:val="545C3B2A"/>
    <w:rsid w:val="546649A9"/>
    <w:rsid w:val="54D04518"/>
    <w:rsid w:val="54D23DEC"/>
    <w:rsid w:val="54E3424B"/>
    <w:rsid w:val="54E81862"/>
    <w:rsid w:val="54F04DBD"/>
    <w:rsid w:val="54F46459"/>
    <w:rsid w:val="55172147"/>
    <w:rsid w:val="552D3719"/>
    <w:rsid w:val="55351FCC"/>
    <w:rsid w:val="553E76D4"/>
    <w:rsid w:val="5540169E"/>
    <w:rsid w:val="55574CCF"/>
    <w:rsid w:val="55592760"/>
    <w:rsid w:val="558820D0"/>
    <w:rsid w:val="559A7260"/>
    <w:rsid w:val="55B5167F"/>
    <w:rsid w:val="55BF00A5"/>
    <w:rsid w:val="55C537CA"/>
    <w:rsid w:val="55C776C9"/>
    <w:rsid w:val="55CF47D0"/>
    <w:rsid w:val="55D83373"/>
    <w:rsid w:val="55E362B1"/>
    <w:rsid w:val="55F27A1D"/>
    <w:rsid w:val="55FB55C5"/>
    <w:rsid w:val="561D2220"/>
    <w:rsid w:val="562D6516"/>
    <w:rsid w:val="56926E4E"/>
    <w:rsid w:val="56DE4CCA"/>
    <w:rsid w:val="56E147BB"/>
    <w:rsid w:val="56EB5639"/>
    <w:rsid w:val="57355FA4"/>
    <w:rsid w:val="574376D1"/>
    <w:rsid w:val="576D42A0"/>
    <w:rsid w:val="57790E97"/>
    <w:rsid w:val="57930337"/>
    <w:rsid w:val="57C06AC6"/>
    <w:rsid w:val="57D577DD"/>
    <w:rsid w:val="57D8796C"/>
    <w:rsid w:val="580027BB"/>
    <w:rsid w:val="58022C3B"/>
    <w:rsid w:val="580C3AB9"/>
    <w:rsid w:val="58144FEC"/>
    <w:rsid w:val="581F37ED"/>
    <w:rsid w:val="58247055"/>
    <w:rsid w:val="583B6BEB"/>
    <w:rsid w:val="584274DB"/>
    <w:rsid w:val="584C035A"/>
    <w:rsid w:val="58675193"/>
    <w:rsid w:val="586E02D0"/>
    <w:rsid w:val="586E1B65"/>
    <w:rsid w:val="587F6039"/>
    <w:rsid w:val="5886386C"/>
    <w:rsid w:val="588C4D06"/>
    <w:rsid w:val="58B54151"/>
    <w:rsid w:val="58E10AA2"/>
    <w:rsid w:val="58E40592"/>
    <w:rsid w:val="58F77F04"/>
    <w:rsid w:val="58FE08DF"/>
    <w:rsid w:val="5908124B"/>
    <w:rsid w:val="5915074C"/>
    <w:rsid w:val="5926114E"/>
    <w:rsid w:val="59372DB8"/>
    <w:rsid w:val="594A0E70"/>
    <w:rsid w:val="59527BF2"/>
    <w:rsid w:val="59633BAD"/>
    <w:rsid w:val="597436C4"/>
    <w:rsid w:val="59814033"/>
    <w:rsid w:val="59851B6F"/>
    <w:rsid w:val="598F6750"/>
    <w:rsid w:val="599124C8"/>
    <w:rsid w:val="59A66CDC"/>
    <w:rsid w:val="59B61F2F"/>
    <w:rsid w:val="59E00D5A"/>
    <w:rsid w:val="59EC78BD"/>
    <w:rsid w:val="59FB3DE5"/>
    <w:rsid w:val="5A083B40"/>
    <w:rsid w:val="5A1F7AD4"/>
    <w:rsid w:val="5A2E5F69"/>
    <w:rsid w:val="5A3D7F5A"/>
    <w:rsid w:val="5A5C0D28"/>
    <w:rsid w:val="5A821E11"/>
    <w:rsid w:val="5A843DDB"/>
    <w:rsid w:val="5A8838A1"/>
    <w:rsid w:val="5A9009D2"/>
    <w:rsid w:val="5A932270"/>
    <w:rsid w:val="5ACD5782"/>
    <w:rsid w:val="5ADF54B5"/>
    <w:rsid w:val="5AF87650"/>
    <w:rsid w:val="5B180E23"/>
    <w:rsid w:val="5B2A58B0"/>
    <w:rsid w:val="5B353327"/>
    <w:rsid w:val="5B4D241F"/>
    <w:rsid w:val="5B560E5F"/>
    <w:rsid w:val="5B914A01"/>
    <w:rsid w:val="5B9E0ECC"/>
    <w:rsid w:val="5BA83AF8"/>
    <w:rsid w:val="5BAC49CB"/>
    <w:rsid w:val="5BC546AB"/>
    <w:rsid w:val="5BC754E8"/>
    <w:rsid w:val="5BC8354D"/>
    <w:rsid w:val="5C237623"/>
    <w:rsid w:val="5C2C64D8"/>
    <w:rsid w:val="5C9E2764"/>
    <w:rsid w:val="5CAD5F7D"/>
    <w:rsid w:val="5CDD014F"/>
    <w:rsid w:val="5CDD3C76"/>
    <w:rsid w:val="5CEA7A12"/>
    <w:rsid w:val="5CF8285E"/>
    <w:rsid w:val="5D047455"/>
    <w:rsid w:val="5D1F30DF"/>
    <w:rsid w:val="5D313908"/>
    <w:rsid w:val="5D42454C"/>
    <w:rsid w:val="5D465377"/>
    <w:rsid w:val="5D681792"/>
    <w:rsid w:val="5D6E48CE"/>
    <w:rsid w:val="5D79399F"/>
    <w:rsid w:val="5D997B9D"/>
    <w:rsid w:val="5DB744C7"/>
    <w:rsid w:val="5DD706C5"/>
    <w:rsid w:val="5DFE3EA4"/>
    <w:rsid w:val="5E005E6E"/>
    <w:rsid w:val="5E22207D"/>
    <w:rsid w:val="5E2A30DF"/>
    <w:rsid w:val="5E3E0745"/>
    <w:rsid w:val="5E465A3C"/>
    <w:rsid w:val="5E483371"/>
    <w:rsid w:val="5E9465B6"/>
    <w:rsid w:val="5E9B773F"/>
    <w:rsid w:val="5EAC3063"/>
    <w:rsid w:val="5EB17168"/>
    <w:rsid w:val="5EB807D4"/>
    <w:rsid w:val="5ECC05A3"/>
    <w:rsid w:val="5F0402CC"/>
    <w:rsid w:val="5F322057"/>
    <w:rsid w:val="5F3538F6"/>
    <w:rsid w:val="5F6410C0"/>
    <w:rsid w:val="5F697B29"/>
    <w:rsid w:val="5F932449"/>
    <w:rsid w:val="5F9C3975"/>
    <w:rsid w:val="5FA82319"/>
    <w:rsid w:val="5FA97E40"/>
    <w:rsid w:val="5FD924D3"/>
    <w:rsid w:val="5FF94923"/>
    <w:rsid w:val="602A2D2E"/>
    <w:rsid w:val="603B13E0"/>
    <w:rsid w:val="60487659"/>
    <w:rsid w:val="604F09E7"/>
    <w:rsid w:val="60716BAF"/>
    <w:rsid w:val="60911334"/>
    <w:rsid w:val="60A30D33"/>
    <w:rsid w:val="60C211B9"/>
    <w:rsid w:val="60C90799"/>
    <w:rsid w:val="60EC092C"/>
    <w:rsid w:val="61262EA8"/>
    <w:rsid w:val="61AD1E69"/>
    <w:rsid w:val="61B46D47"/>
    <w:rsid w:val="61BD4FAF"/>
    <w:rsid w:val="621B3277"/>
    <w:rsid w:val="621F0A34"/>
    <w:rsid w:val="62206ADF"/>
    <w:rsid w:val="62255EA3"/>
    <w:rsid w:val="6231767B"/>
    <w:rsid w:val="623E5FD0"/>
    <w:rsid w:val="62436329"/>
    <w:rsid w:val="62467BC8"/>
    <w:rsid w:val="624D53FA"/>
    <w:rsid w:val="62526DA0"/>
    <w:rsid w:val="62620EA5"/>
    <w:rsid w:val="62724E61"/>
    <w:rsid w:val="62C32F51"/>
    <w:rsid w:val="62FB09B2"/>
    <w:rsid w:val="630737FB"/>
    <w:rsid w:val="631915F5"/>
    <w:rsid w:val="6320666B"/>
    <w:rsid w:val="63696264"/>
    <w:rsid w:val="637E2010"/>
    <w:rsid w:val="63807109"/>
    <w:rsid w:val="63A177AC"/>
    <w:rsid w:val="63AC7EFE"/>
    <w:rsid w:val="63AD5074"/>
    <w:rsid w:val="63AE2A15"/>
    <w:rsid w:val="63B0179C"/>
    <w:rsid w:val="63CE4319"/>
    <w:rsid w:val="63F024E1"/>
    <w:rsid w:val="63FF0976"/>
    <w:rsid w:val="641E0DFC"/>
    <w:rsid w:val="641F3382"/>
    <w:rsid w:val="642A4078"/>
    <w:rsid w:val="642A59F3"/>
    <w:rsid w:val="64346872"/>
    <w:rsid w:val="645962D8"/>
    <w:rsid w:val="647D2B39"/>
    <w:rsid w:val="64963088"/>
    <w:rsid w:val="64970BAF"/>
    <w:rsid w:val="64A04DC8"/>
    <w:rsid w:val="64AD2180"/>
    <w:rsid w:val="64AF5EF8"/>
    <w:rsid w:val="64AF7CA6"/>
    <w:rsid w:val="64D15E6F"/>
    <w:rsid w:val="64E449F9"/>
    <w:rsid w:val="64FE29DC"/>
    <w:rsid w:val="6522491C"/>
    <w:rsid w:val="652579C5"/>
    <w:rsid w:val="65366619"/>
    <w:rsid w:val="655A30B0"/>
    <w:rsid w:val="65600071"/>
    <w:rsid w:val="65730FB5"/>
    <w:rsid w:val="657607C4"/>
    <w:rsid w:val="657F522D"/>
    <w:rsid w:val="659C46CE"/>
    <w:rsid w:val="65A05841"/>
    <w:rsid w:val="65A43583"/>
    <w:rsid w:val="65B01F28"/>
    <w:rsid w:val="65D5198E"/>
    <w:rsid w:val="65DF71D9"/>
    <w:rsid w:val="65F8567D"/>
    <w:rsid w:val="65FA31A3"/>
    <w:rsid w:val="667016B7"/>
    <w:rsid w:val="66863996"/>
    <w:rsid w:val="668869C6"/>
    <w:rsid w:val="66C11F13"/>
    <w:rsid w:val="66DE1E63"/>
    <w:rsid w:val="66EB02C6"/>
    <w:rsid w:val="66EB3AB9"/>
    <w:rsid w:val="66EC51E2"/>
    <w:rsid w:val="670301D1"/>
    <w:rsid w:val="671E4E5C"/>
    <w:rsid w:val="675B5EC3"/>
    <w:rsid w:val="676A6106"/>
    <w:rsid w:val="679D64DC"/>
    <w:rsid w:val="67AD3D48"/>
    <w:rsid w:val="67AE06E9"/>
    <w:rsid w:val="67E4235D"/>
    <w:rsid w:val="67EC228A"/>
    <w:rsid w:val="67F87BB6"/>
    <w:rsid w:val="67F929A1"/>
    <w:rsid w:val="68093178"/>
    <w:rsid w:val="68103152"/>
    <w:rsid w:val="681D13CB"/>
    <w:rsid w:val="681F15E7"/>
    <w:rsid w:val="681F74EE"/>
    <w:rsid w:val="68850033"/>
    <w:rsid w:val="68863217"/>
    <w:rsid w:val="689C2C37"/>
    <w:rsid w:val="68AB2E7A"/>
    <w:rsid w:val="68B25FB7"/>
    <w:rsid w:val="68CA7A82"/>
    <w:rsid w:val="68EA193E"/>
    <w:rsid w:val="69390486"/>
    <w:rsid w:val="69564B94"/>
    <w:rsid w:val="697151E1"/>
    <w:rsid w:val="697274F4"/>
    <w:rsid w:val="69AC0C58"/>
    <w:rsid w:val="69AC67B6"/>
    <w:rsid w:val="69B31FE7"/>
    <w:rsid w:val="69D4760C"/>
    <w:rsid w:val="69F66377"/>
    <w:rsid w:val="6A0665BA"/>
    <w:rsid w:val="6A270136"/>
    <w:rsid w:val="6A294057"/>
    <w:rsid w:val="6A333127"/>
    <w:rsid w:val="6A5C442C"/>
    <w:rsid w:val="6A5D01A4"/>
    <w:rsid w:val="6A7639E9"/>
    <w:rsid w:val="6AA61B4B"/>
    <w:rsid w:val="6AB37DC4"/>
    <w:rsid w:val="6AD55F8D"/>
    <w:rsid w:val="6AEC1C54"/>
    <w:rsid w:val="6B4F5D3F"/>
    <w:rsid w:val="6B581098"/>
    <w:rsid w:val="6B650ABB"/>
    <w:rsid w:val="6B655563"/>
    <w:rsid w:val="6B7B6B34"/>
    <w:rsid w:val="6B8E4AB9"/>
    <w:rsid w:val="6BA53BB1"/>
    <w:rsid w:val="6BB07E6A"/>
    <w:rsid w:val="6BE4292B"/>
    <w:rsid w:val="6BF16DF6"/>
    <w:rsid w:val="6C1B20C5"/>
    <w:rsid w:val="6C2B0846"/>
    <w:rsid w:val="6C5835BD"/>
    <w:rsid w:val="6C64581A"/>
    <w:rsid w:val="6C7F4402"/>
    <w:rsid w:val="6C940EBB"/>
    <w:rsid w:val="6CC67436"/>
    <w:rsid w:val="6CCE7137"/>
    <w:rsid w:val="6CD81D64"/>
    <w:rsid w:val="6CE16E6B"/>
    <w:rsid w:val="6CF05300"/>
    <w:rsid w:val="6D1139A2"/>
    <w:rsid w:val="6D154D66"/>
    <w:rsid w:val="6D2A4937"/>
    <w:rsid w:val="6D5955CE"/>
    <w:rsid w:val="6D5A453F"/>
    <w:rsid w:val="6DB9234E"/>
    <w:rsid w:val="6DD5290A"/>
    <w:rsid w:val="6DDB7D5E"/>
    <w:rsid w:val="6DE3150A"/>
    <w:rsid w:val="6DF36EF3"/>
    <w:rsid w:val="6E0077C5"/>
    <w:rsid w:val="6E0B0643"/>
    <w:rsid w:val="6E2039C3"/>
    <w:rsid w:val="6E22598D"/>
    <w:rsid w:val="6E3D05EC"/>
    <w:rsid w:val="6E4D25DC"/>
    <w:rsid w:val="6E4E13F4"/>
    <w:rsid w:val="6E765E37"/>
    <w:rsid w:val="6E9C573F"/>
    <w:rsid w:val="6EA6211A"/>
    <w:rsid w:val="6EB234C5"/>
    <w:rsid w:val="6EE80984"/>
    <w:rsid w:val="6EED1AF7"/>
    <w:rsid w:val="6EFA4214"/>
    <w:rsid w:val="6EFC5FBE"/>
    <w:rsid w:val="6F0F4163"/>
    <w:rsid w:val="6F101C89"/>
    <w:rsid w:val="6F1F1ECC"/>
    <w:rsid w:val="6F811B7C"/>
    <w:rsid w:val="6F8E4ADB"/>
    <w:rsid w:val="6F914B78"/>
    <w:rsid w:val="6F9E54E7"/>
    <w:rsid w:val="6FB24AEE"/>
    <w:rsid w:val="6FB46AB9"/>
    <w:rsid w:val="6FC07A2A"/>
    <w:rsid w:val="6FC7795F"/>
    <w:rsid w:val="6FD66B77"/>
    <w:rsid w:val="70180DF5"/>
    <w:rsid w:val="703D085C"/>
    <w:rsid w:val="707324D0"/>
    <w:rsid w:val="7077404F"/>
    <w:rsid w:val="7080699B"/>
    <w:rsid w:val="70890DF1"/>
    <w:rsid w:val="708F1E55"/>
    <w:rsid w:val="709376A4"/>
    <w:rsid w:val="70AC7790"/>
    <w:rsid w:val="70B07280"/>
    <w:rsid w:val="70BD199D"/>
    <w:rsid w:val="70CD6D9A"/>
    <w:rsid w:val="70D266D0"/>
    <w:rsid w:val="710C022E"/>
    <w:rsid w:val="711B780B"/>
    <w:rsid w:val="712B2562"/>
    <w:rsid w:val="712B2DAA"/>
    <w:rsid w:val="715220E5"/>
    <w:rsid w:val="71573B9F"/>
    <w:rsid w:val="718A21AA"/>
    <w:rsid w:val="71BA7C8A"/>
    <w:rsid w:val="71BC7EA6"/>
    <w:rsid w:val="71C65C60"/>
    <w:rsid w:val="71ED0060"/>
    <w:rsid w:val="72197F59"/>
    <w:rsid w:val="722E4B97"/>
    <w:rsid w:val="723637B5"/>
    <w:rsid w:val="723914F7"/>
    <w:rsid w:val="72745891"/>
    <w:rsid w:val="728D396E"/>
    <w:rsid w:val="729F75AC"/>
    <w:rsid w:val="72A66B8C"/>
    <w:rsid w:val="72A9667D"/>
    <w:rsid w:val="72B92693"/>
    <w:rsid w:val="72E72D01"/>
    <w:rsid w:val="72F01031"/>
    <w:rsid w:val="72F571CC"/>
    <w:rsid w:val="72FD42D3"/>
    <w:rsid w:val="730D09BA"/>
    <w:rsid w:val="731735E6"/>
    <w:rsid w:val="733777E5"/>
    <w:rsid w:val="73440153"/>
    <w:rsid w:val="7361654B"/>
    <w:rsid w:val="73685BF0"/>
    <w:rsid w:val="738467A2"/>
    <w:rsid w:val="73BB0416"/>
    <w:rsid w:val="73BC2F4B"/>
    <w:rsid w:val="73D239B1"/>
    <w:rsid w:val="73D6074F"/>
    <w:rsid w:val="73DA7145"/>
    <w:rsid w:val="73F54682"/>
    <w:rsid w:val="73F73418"/>
    <w:rsid w:val="73FC2E5D"/>
    <w:rsid w:val="74031DBD"/>
    <w:rsid w:val="74033B6B"/>
    <w:rsid w:val="740C6EC3"/>
    <w:rsid w:val="74806F69"/>
    <w:rsid w:val="74827185"/>
    <w:rsid w:val="748C526A"/>
    <w:rsid w:val="74A0585D"/>
    <w:rsid w:val="74A470FC"/>
    <w:rsid w:val="74BB4445"/>
    <w:rsid w:val="74BD640F"/>
    <w:rsid w:val="74C94DB4"/>
    <w:rsid w:val="75071439"/>
    <w:rsid w:val="752913AF"/>
    <w:rsid w:val="7547624D"/>
    <w:rsid w:val="755C1784"/>
    <w:rsid w:val="7568637B"/>
    <w:rsid w:val="756E14B8"/>
    <w:rsid w:val="757C4E21"/>
    <w:rsid w:val="758448A5"/>
    <w:rsid w:val="758E028C"/>
    <w:rsid w:val="759058D2"/>
    <w:rsid w:val="75967579"/>
    <w:rsid w:val="75A24B7B"/>
    <w:rsid w:val="75A35605"/>
    <w:rsid w:val="75A5092B"/>
    <w:rsid w:val="75EA4FE2"/>
    <w:rsid w:val="7614205F"/>
    <w:rsid w:val="76267052"/>
    <w:rsid w:val="76393874"/>
    <w:rsid w:val="764819A3"/>
    <w:rsid w:val="767B40A9"/>
    <w:rsid w:val="7682521B"/>
    <w:rsid w:val="769648BF"/>
    <w:rsid w:val="769E03D7"/>
    <w:rsid w:val="76A71125"/>
    <w:rsid w:val="76AA4771"/>
    <w:rsid w:val="76D11CFE"/>
    <w:rsid w:val="76E557A9"/>
    <w:rsid w:val="76FB2372"/>
    <w:rsid w:val="770E7A76"/>
    <w:rsid w:val="770F1760"/>
    <w:rsid w:val="771B11CB"/>
    <w:rsid w:val="772C162A"/>
    <w:rsid w:val="772E7150"/>
    <w:rsid w:val="7746449A"/>
    <w:rsid w:val="774D2F07"/>
    <w:rsid w:val="779D7F9E"/>
    <w:rsid w:val="77A17922"/>
    <w:rsid w:val="77A86F03"/>
    <w:rsid w:val="77A967D7"/>
    <w:rsid w:val="77AD0647"/>
    <w:rsid w:val="77AD276B"/>
    <w:rsid w:val="77B358A8"/>
    <w:rsid w:val="77BE14A6"/>
    <w:rsid w:val="77FFBB3A"/>
    <w:rsid w:val="78063C29"/>
    <w:rsid w:val="781C51FB"/>
    <w:rsid w:val="7836450F"/>
    <w:rsid w:val="783C5878"/>
    <w:rsid w:val="78412EB3"/>
    <w:rsid w:val="78487104"/>
    <w:rsid w:val="788A485A"/>
    <w:rsid w:val="788E49F5"/>
    <w:rsid w:val="78964FAD"/>
    <w:rsid w:val="78B321CA"/>
    <w:rsid w:val="78C80EDF"/>
    <w:rsid w:val="78DF4BA6"/>
    <w:rsid w:val="78E8133A"/>
    <w:rsid w:val="78EA52F9"/>
    <w:rsid w:val="79102FB2"/>
    <w:rsid w:val="791800B8"/>
    <w:rsid w:val="79295E21"/>
    <w:rsid w:val="793A5F27"/>
    <w:rsid w:val="793C6B30"/>
    <w:rsid w:val="79720F7F"/>
    <w:rsid w:val="79817A0B"/>
    <w:rsid w:val="79844FDE"/>
    <w:rsid w:val="79B67745"/>
    <w:rsid w:val="79B7167F"/>
    <w:rsid w:val="79D044EF"/>
    <w:rsid w:val="79D264B9"/>
    <w:rsid w:val="7A1F0FD2"/>
    <w:rsid w:val="7A3765BA"/>
    <w:rsid w:val="7A804167"/>
    <w:rsid w:val="7A8552D9"/>
    <w:rsid w:val="7A88301C"/>
    <w:rsid w:val="7A884DCA"/>
    <w:rsid w:val="7A8A6D94"/>
    <w:rsid w:val="7ADE49EA"/>
    <w:rsid w:val="7AE30252"/>
    <w:rsid w:val="7AEA7832"/>
    <w:rsid w:val="7AEC35AA"/>
    <w:rsid w:val="7B22521E"/>
    <w:rsid w:val="7B276391"/>
    <w:rsid w:val="7B4E0BB2"/>
    <w:rsid w:val="7B513CFB"/>
    <w:rsid w:val="7B5B603A"/>
    <w:rsid w:val="7BBE43BC"/>
    <w:rsid w:val="7BE50A41"/>
    <w:rsid w:val="7BF848DB"/>
    <w:rsid w:val="7C014E34"/>
    <w:rsid w:val="7C262AEC"/>
    <w:rsid w:val="7C3F595C"/>
    <w:rsid w:val="7C4C1A24"/>
    <w:rsid w:val="7C6453C2"/>
    <w:rsid w:val="7C790E6E"/>
    <w:rsid w:val="7C831B17"/>
    <w:rsid w:val="7C887303"/>
    <w:rsid w:val="7CE23A88"/>
    <w:rsid w:val="7CEC0D1A"/>
    <w:rsid w:val="7CF84488"/>
    <w:rsid w:val="7D056BA5"/>
    <w:rsid w:val="7D20753B"/>
    <w:rsid w:val="7D252DA4"/>
    <w:rsid w:val="7D272678"/>
    <w:rsid w:val="7D3134F6"/>
    <w:rsid w:val="7D5B7A57"/>
    <w:rsid w:val="7D5E1E12"/>
    <w:rsid w:val="7DA95783"/>
    <w:rsid w:val="7DAE00AA"/>
    <w:rsid w:val="7DC12ACC"/>
    <w:rsid w:val="7DD24CD9"/>
    <w:rsid w:val="7DDB471F"/>
    <w:rsid w:val="7DE71E07"/>
    <w:rsid w:val="7DF2584A"/>
    <w:rsid w:val="7E0F6C1E"/>
    <w:rsid w:val="7E1352F2"/>
    <w:rsid w:val="7E1F7129"/>
    <w:rsid w:val="7E3B52C2"/>
    <w:rsid w:val="7E497849"/>
    <w:rsid w:val="7E4E1E86"/>
    <w:rsid w:val="7E5F4093"/>
    <w:rsid w:val="7E663674"/>
    <w:rsid w:val="7E6873EC"/>
    <w:rsid w:val="7E722019"/>
    <w:rsid w:val="7ED625A7"/>
    <w:rsid w:val="7EE12CFA"/>
    <w:rsid w:val="7EE84790"/>
    <w:rsid w:val="7EEA1BAF"/>
    <w:rsid w:val="7EF249D2"/>
    <w:rsid w:val="7F080287"/>
    <w:rsid w:val="7F3948E4"/>
    <w:rsid w:val="7F3A756C"/>
    <w:rsid w:val="7F484B27"/>
    <w:rsid w:val="7F4A6F47"/>
    <w:rsid w:val="7F794475"/>
    <w:rsid w:val="7F840255"/>
    <w:rsid w:val="7F875650"/>
    <w:rsid w:val="7F9F6E3D"/>
    <w:rsid w:val="7FA77AA0"/>
    <w:rsid w:val="7FD30D3B"/>
    <w:rsid w:val="7FE00C7C"/>
    <w:rsid w:val="7FF6DB01"/>
    <w:rsid w:val="BDFE54F0"/>
    <w:rsid w:val="F7E71F2A"/>
    <w:rsid w:val="FFFF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autoRedefine/>
    <w:qFormat/>
    <w:uiPriority w:val="0"/>
    <w:pPr>
      <w:keepNext/>
      <w:keepLines/>
      <w:numPr>
        <w:ilvl w:val="0"/>
        <w:numId w:val="1"/>
      </w:numPr>
      <w:spacing w:before="120" w:after="120" w:line="360" w:lineRule="auto"/>
      <w:ind w:left="424" w:hanging="422" w:hangingChars="132"/>
      <w:outlineLvl w:val="0"/>
    </w:pPr>
    <w:rPr>
      <w:rFonts w:ascii="宋体" w:hAnsi="宋体" w:eastAsia="黑体" w:cs="Times New Roman"/>
      <w:b/>
      <w:bCs/>
      <w:kern w:val="44"/>
      <w:sz w:val="32"/>
      <w:szCs w:val="28"/>
    </w:rPr>
  </w:style>
  <w:style w:type="paragraph" w:styleId="3">
    <w:name w:val="heading 2"/>
    <w:basedOn w:val="1"/>
    <w:next w:val="1"/>
    <w:link w:val="30"/>
    <w:autoRedefine/>
    <w:qFormat/>
    <w:uiPriority w:val="0"/>
    <w:pPr>
      <w:keepNext/>
      <w:keepLines/>
      <w:numPr>
        <w:ilvl w:val="1"/>
        <w:numId w:val="2"/>
      </w:numPr>
      <w:spacing w:before="260" w:after="260" w:line="416" w:lineRule="auto"/>
      <w:outlineLvl w:val="1"/>
    </w:pPr>
    <w:rPr>
      <w:rFonts w:ascii="黑体" w:hAnsi="黑体" w:eastAsia="黑体" w:cstheme="minorBidi"/>
      <w:b/>
      <w:bCs/>
      <w:sz w:val="30"/>
      <w:szCs w:val="30"/>
    </w:rPr>
  </w:style>
  <w:style w:type="paragraph" w:styleId="4">
    <w:name w:val="heading 3"/>
    <w:basedOn w:val="5"/>
    <w:next w:val="1"/>
    <w:link w:val="28"/>
    <w:autoRedefine/>
    <w:qFormat/>
    <w:uiPriority w:val="9"/>
    <w:pPr>
      <w:numPr>
        <w:ilvl w:val="2"/>
        <w:numId w:val="1"/>
      </w:numPr>
      <w:tabs>
        <w:tab w:val="left" w:pos="420"/>
      </w:tabs>
      <w:ind w:left="709" w:hanging="709"/>
      <w:outlineLvl w:val="2"/>
    </w:pPr>
  </w:style>
  <w:style w:type="paragraph" w:styleId="5">
    <w:name w:val="heading 4"/>
    <w:basedOn w:val="1"/>
    <w:next w:val="1"/>
    <w:link w:val="55"/>
    <w:autoRedefine/>
    <w:unhideWhenUsed/>
    <w:qFormat/>
    <w:uiPriority w:val="9"/>
    <w:pPr>
      <w:keepNext/>
      <w:keepLines/>
      <w:numPr>
        <w:ilvl w:val="3"/>
        <w:numId w:val="1"/>
      </w:numPr>
      <w:spacing w:before="120" w:after="120"/>
      <w:outlineLvl w:val="3"/>
    </w:pPr>
    <w:rPr>
      <w:rFonts w:ascii="黑体" w:hAnsi="黑体" w:cs="Arial"/>
      <w:b/>
      <w:bCs/>
      <w:sz w:val="28"/>
      <w:szCs w:val="32"/>
    </w:rPr>
  </w:style>
  <w:style w:type="paragraph" w:styleId="6">
    <w:name w:val="heading 5"/>
    <w:basedOn w:val="1"/>
    <w:next w:val="1"/>
    <w:autoRedefine/>
    <w:unhideWhenUsed/>
    <w:qFormat/>
    <w:uiPriority w:val="9"/>
    <w:pPr>
      <w:tabs>
        <w:tab w:val="left" w:pos="420"/>
      </w:tabs>
      <w:ind w:left="0" w:firstLine="0"/>
      <w:outlineLvl w:val="4"/>
    </w:pPr>
  </w:style>
  <w:style w:type="paragraph" w:styleId="7">
    <w:name w:val="heading 6"/>
    <w:basedOn w:val="1"/>
    <w:next w:val="1"/>
    <w:link w:val="29"/>
    <w:autoRedefine/>
    <w:qFormat/>
    <w:uiPriority w:val="0"/>
    <w:pPr>
      <w:keepNext/>
      <w:keepLines/>
      <w:numPr>
        <w:ilvl w:val="5"/>
        <w:numId w:val="1"/>
      </w:numPr>
      <w:spacing w:before="240" w:after="64" w:line="320" w:lineRule="auto"/>
      <w:ind w:left="1134" w:hanging="1134"/>
      <w:outlineLvl w:val="5"/>
    </w:pPr>
    <w:rPr>
      <w:rFonts w:ascii="Arial" w:hAnsi="Arial" w:eastAsia="黑体"/>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caption"/>
    <w:basedOn w:val="1"/>
    <w:next w:val="1"/>
    <w:autoRedefine/>
    <w:unhideWhenUsed/>
    <w:qFormat/>
    <w:uiPriority w:val="0"/>
    <w:pPr>
      <w:widowControl/>
      <w:jc w:val="center"/>
    </w:pPr>
    <w:rPr>
      <w:rFonts w:ascii="Calibri Light" w:hAnsi="Calibri Light" w:eastAsia="黑体"/>
      <w:kern w:val="0"/>
      <w:szCs w:val="20"/>
    </w:rPr>
  </w:style>
  <w:style w:type="paragraph" w:styleId="9">
    <w:name w:val="annotation text"/>
    <w:basedOn w:val="1"/>
    <w:link w:val="31"/>
    <w:autoRedefine/>
    <w:qFormat/>
    <w:uiPriority w:val="0"/>
    <w:pPr>
      <w:jc w:val="left"/>
    </w:pPr>
  </w:style>
  <w:style w:type="paragraph" w:styleId="10">
    <w:name w:val="Body Text"/>
    <w:basedOn w:val="1"/>
    <w:autoRedefine/>
    <w:unhideWhenUsed/>
    <w:qFormat/>
    <w:uiPriority w:val="99"/>
    <w:pPr>
      <w:spacing w:after="120"/>
    </w:pPr>
  </w:style>
  <w:style w:type="paragraph" w:styleId="11">
    <w:name w:val="toc 3"/>
    <w:basedOn w:val="1"/>
    <w:next w:val="1"/>
    <w:autoRedefine/>
    <w:unhideWhenUsed/>
    <w:qFormat/>
    <w:uiPriority w:val="39"/>
    <w:pPr>
      <w:widowControl/>
      <w:spacing w:after="100" w:line="259" w:lineRule="auto"/>
      <w:ind w:left="440" w:firstLine="440"/>
      <w:jc w:val="left"/>
    </w:pPr>
    <w:rPr>
      <w:rFonts w:cs="Times New Roman"/>
      <w:kern w:val="0"/>
      <w:sz w:val="22"/>
      <w:szCs w:val="22"/>
    </w:rPr>
  </w:style>
  <w:style w:type="paragraph" w:styleId="12">
    <w:name w:val="Balloon Text"/>
    <w:basedOn w:val="1"/>
    <w:link w:val="33"/>
    <w:autoRedefine/>
    <w:semiHidden/>
    <w:unhideWhenUsed/>
    <w:qFormat/>
    <w:uiPriority w:val="99"/>
    <w:rPr>
      <w:sz w:val="18"/>
      <w:szCs w:val="18"/>
    </w:rPr>
  </w:style>
  <w:style w:type="paragraph" w:styleId="13">
    <w:name w:val="footer"/>
    <w:basedOn w:val="1"/>
    <w:link w:val="25"/>
    <w:autoRedefine/>
    <w:unhideWhenUsed/>
    <w:qFormat/>
    <w:uiPriority w:val="99"/>
    <w:pPr>
      <w:tabs>
        <w:tab w:val="center" w:pos="4153"/>
        <w:tab w:val="right" w:pos="8306"/>
      </w:tabs>
      <w:snapToGrid w:val="0"/>
      <w:jc w:val="left"/>
    </w:pPr>
    <w:rPr>
      <w:sz w:val="18"/>
      <w:szCs w:val="18"/>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unhideWhenUsed/>
    <w:qFormat/>
    <w:uiPriority w:val="99"/>
    <w:rPr>
      <w:sz w:val="24"/>
      <w:szCs w:val="24"/>
    </w:rPr>
  </w:style>
  <w:style w:type="paragraph" w:styleId="16">
    <w:name w:val="Title"/>
    <w:basedOn w:val="1"/>
    <w:link w:val="35"/>
    <w:autoRedefine/>
    <w:qFormat/>
    <w:uiPriority w:val="0"/>
    <w:pPr>
      <w:spacing w:before="240" w:after="60"/>
      <w:jc w:val="center"/>
      <w:outlineLvl w:val="0"/>
    </w:pPr>
    <w:rPr>
      <w:rFonts w:ascii="Arial" w:hAnsi="Arial"/>
      <w:b/>
      <w:bCs/>
      <w:sz w:val="32"/>
      <w:szCs w:val="32"/>
    </w:rPr>
  </w:style>
  <w:style w:type="paragraph" w:styleId="17">
    <w:name w:val="annotation subject"/>
    <w:basedOn w:val="9"/>
    <w:next w:val="9"/>
    <w:link w:val="36"/>
    <w:autoRedefine/>
    <w:semiHidden/>
    <w:unhideWhenUsed/>
    <w:qFormat/>
    <w:uiPriority w:val="99"/>
    <w:rPr>
      <w:b/>
      <w:bCs/>
    </w:rPr>
  </w:style>
  <w:style w:type="paragraph" w:styleId="18">
    <w:name w:val="Body Text First Indent"/>
    <w:basedOn w:val="10"/>
    <w:autoRedefine/>
    <w:qFormat/>
    <w:uiPriority w:val="0"/>
    <w:rPr>
      <w:rFonts w:cs="仿宋"/>
      <w:szCs w:val="22"/>
      <w:lang w:val="zh-CN"/>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annotation reference"/>
    <w:basedOn w:val="21"/>
    <w:autoRedefine/>
    <w:semiHidden/>
    <w:unhideWhenUsed/>
    <w:qFormat/>
    <w:uiPriority w:val="99"/>
    <w:rPr>
      <w:sz w:val="21"/>
      <w:szCs w:val="21"/>
    </w:rPr>
  </w:style>
  <w:style w:type="character" w:customStyle="1" w:styleId="24">
    <w:name w:val="页眉 字符"/>
    <w:basedOn w:val="21"/>
    <w:link w:val="14"/>
    <w:autoRedefine/>
    <w:qFormat/>
    <w:uiPriority w:val="99"/>
    <w:rPr>
      <w:sz w:val="18"/>
      <w:szCs w:val="18"/>
    </w:rPr>
  </w:style>
  <w:style w:type="character" w:customStyle="1" w:styleId="25">
    <w:name w:val="页脚 字符"/>
    <w:basedOn w:val="21"/>
    <w:link w:val="13"/>
    <w:autoRedefine/>
    <w:qFormat/>
    <w:uiPriority w:val="99"/>
    <w:rPr>
      <w:sz w:val="18"/>
      <w:szCs w:val="18"/>
    </w:rPr>
  </w:style>
  <w:style w:type="character" w:customStyle="1" w:styleId="26">
    <w:name w:val="标题 1 字符"/>
    <w:link w:val="2"/>
    <w:autoRedefine/>
    <w:qFormat/>
    <w:uiPriority w:val="0"/>
    <w:rPr>
      <w:rFonts w:ascii="宋体" w:hAnsi="宋体" w:eastAsia="黑体" w:cs="Times New Roman"/>
      <w:b/>
      <w:bCs/>
      <w:kern w:val="44"/>
      <w:sz w:val="32"/>
      <w:szCs w:val="28"/>
      <w:lang w:val="en-US" w:eastAsia="zh-CN" w:bidi="ar-SA"/>
    </w:rPr>
  </w:style>
  <w:style w:type="character" w:customStyle="1" w:styleId="27">
    <w:name w:val="标题 2 Char"/>
    <w:basedOn w:val="21"/>
    <w:autoRedefine/>
    <w:semiHidden/>
    <w:qFormat/>
    <w:uiPriority w:val="9"/>
    <w:rPr>
      <w:rFonts w:asciiTheme="majorHAnsi" w:hAnsiTheme="majorHAnsi" w:eastAsiaTheme="majorEastAsia" w:cstheme="majorBidi"/>
      <w:b/>
      <w:bCs/>
      <w:sz w:val="32"/>
      <w:szCs w:val="32"/>
    </w:rPr>
  </w:style>
  <w:style w:type="character" w:customStyle="1" w:styleId="28">
    <w:name w:val="标题 3 字符"/>
    <w:link w:val="4"/>
    <w:autoRedefine/>
    <w:qFormat/>
    <w:uiPriority w:val="9"/>
    <w:rPr>
      <w:rFonts w:ascii="黑体" w:hAnsi="黑体" w:eastAsia="宋体" w:cs="Arial"/>
      <w:b/>
      <w:bCs/>
      <w:kern w:val="2"/>
      <w:sz w:val="28"/>
      <w:szCs w:val="32"/>
      <w:lang w:val="en-US" w:eastAsia="zh-CN" w:bidi="ar-SA"/>
    </w:rPr>
  </w:style>
  <w:style w:type="character" w:customStyle="1" w:styleId="29">
    <w:name w:val="标题 6 字符"/>
    <w:basedOn w:val="21"/>
    <w:link w:val="7"/>
    <w:autoRedefine/>
    <w:qFormat/>
    <w:uiPriority w:val="0"/>
    <w:rPr>
      <w:rFonts w:ascii="Arial" w:hAnsi="Arial" w:eastAsia="黑体" w:cs="Times New Roman"/>
      <w:b/>
      <w:bCs/>
      <w:sz w:val="24"/>
      <w:szCs w:val="24"/>
    </w:rPr>
  </w:style>
  <w:style w:type="character" w:customStyle="1" w:styleId="30">
    <w:name w:val="标题 2 字符"/>
    <w:link w:val="3"/>
    <w:autoRedefine/>
    <w:qFormat/>
    <w:uiPriority w:val="0"/>
    <w:rPr>
      <w:rFonts w:ascii="黑体" w:hAnsi="黑体" w:eastAsia="黑体" w:cstheme="minorBidi"/>
      <w:b/>
      <w:bCs/>
      <w:kern w:val="2"/>
      <w:sz w:val="30"/>
      <w:szCs w:val="30"/>
      <w:lang w:val="en-US" w:eastAsia="zh-CN" w:bidi="ar-SA"/>
    </w:rPr>
  </w:style>
  <w:style w:type="character" w:customStyle="1" w:styleId="31">
    <w:name w:val="批注文字 字符"/>
    <w:basedOn w:val="21"/>
    <w:link w:val="9"/>
    <w:autoRedefine/>
    <w:qFormat/>
    <w:uiPriority w:val="0"/>
    <w:rPr>
      <w:kern w:val="2"/>
      <w:sz w:val="21"/>
      <w:szCs w:val="22"/>
    </w:rPr>
  </w:style>
  <w:style w:type="paragraph" w:customStyle="1" w:styleId="32">
    <w:name w:val="标书正文"/>
    <w:basedOn w:val="1"/>
    <w:autoRedefine/>
    <w:qFormat/>
    <w:uiPriority w:val="0"/>
    <w:pPr>
      <w:spacing w:line="360" w:lineRule="auto"/>
      <w:ind w:firstLine="200" w:firstLineChars="200"/>
    </w:pPr>
    <w:rPr>
      <w:rFonts w:ascii="宋体" w:hAnsi="宋体"/>
      <w:sz w:val="24"/>
    </w:rPr>
  </w:style>
  <w:style w:type="character" w:customStyle="1" w:styleId="33">
    <w:name w:val="批注框文本 字符"/>
    <w:basedOn w:val="21"/>
    <w:link w:val="12"/>
    <w:autoRedefine/>
    <w:semiHidden/>
    <w:qFormat/>
    <w:uiPriority w:val="99"/>
    <w:rPr>
      <w:rFonts w:ascii="Times New Roman" w:hAnsi="Times New Roman" w:eastAsia="宋体" w:cs="Times New Roman"/>
      <w:sz w:val="18"/>
      <w:szCs w:val="18"/>
    </w:rPr>
  </w:style>
  <w:style w:type="character" w:customStyle="1" w:styleId="34">
    <w:name w:val="标题 字符"/>
    <w:basedOn w:val="21"/>
    <w:autoRedefine/>
    <w:qFormat/>
    <w:uiPriority w:val="10"/>
    <w:rPr>
      <w:rFonts w:asciiTheme="majorHAnsi" w:hAnsiTheme="majorHAnsi" w:eastAsiaTheme="majorEastAsia" w:cstheme="majorBidi"/>
      <w:b/>
      <w:bCs/>
      <w:sz w:val="32"/>
      <w:szCs w:val="32"/>
    </w:rPr>
  </w:style>
  <w:style w:type="character" w:customStyle="1" w:styleId="35">
    <w:name w:val="标题 字符1"/>
    <w:link w:val="16"/>
    <w:autoRedefine/>
    <w:qFormat/>
    <w:uiPriority w:val="0"/>
    <w:rPr>
      <w:rFonts w:ascii="Arial" w:hAnsi="Arial" w:eastAsia="宋体" w:cs="Times New Roman"/>
      <w:b/>
      <w:bCs/>
      <w:sz w:val="32"/>
      <w:szCs w:val="32"/>
    </w:rPr>
  </w:style>
  <w:style w:type="character" w:customStyle="1" w:styleId="36">
    <w:name w:val="批注主题 字符"/>
    <w:basedOn w:val="31"/>
    <w:link w:val="17"/>
    <w:autoRedefine/>
    <w:semiHidden/>
    <w:qFormat/>
    <w:uiPriority w:val="99"/>
    <w:rPr>
      <w:rFonts w:ascii="Times New Roman" w:hAnsi="Times New Roman" w:eastAsia="宋体" w:cs="Times New Roman"/>
      <w:b/>
      <w:bCs/>
      <w:kern w:val="2"/>
      <w:sz w:val="21"/>
      <w:szCs w:val="22"/>
    </w:rPr>
  </w:style>
  <w:style w:type="paragraph" w:styleId="37">
    <w:name w:val="List Paragraph"/>
    <w:basedOn w:val="1"/>
    <w:autoRedefine/>
    <w:qFormat/>
    <w:uiPriority w:val="34"/>
    <w:pPr>
      <w:ind w:firstLine="420" w:firstLineChars="200"/>
    </w:pPr>
  </w:style>
  <w:style w:type="paragraph" w:customStyle="1" w:styleId="38">
    <w:name w:val="方案文档"/>
    <w:basedOn w:val="1"/>
    <w:autoRedefine/>
    <w:qFormat/>
    <w:uiPriority w:val="0"/>
    <w:pPr>
      <w:spacing w:before="120" w:after="120" w:line="360" w:lineRule="auto"/>
      <w:ind w:firstLine="540" w:firstLineChars="225"/>
    </w:pPr>
    <w:rPr>
      <w:rFonts w:ascii="仿宋_GB2312" w:hAnsi="宋体" w:eastAsia="仿宋_GB2312"/>
      <w:sz w:val="24"/>
      <w:szCs w:val="36"/>
    </w:rPr>
  </w:style>
  <w:style w:type="paragraph" w:customStyle="1" w:styleId="39">
    <w:name w:val="正文A"/>
    <w:basedOn w:val="40"/>
    <w:autoRedefine/>
    <w:qFormat/>
    <w:uiPriority w:val="0"/>
    <w:pPr>
      <w:ind w:firstLine="480"/>
    </w:pPr>
    <w:rPr>
      <w:sz w:val="28"/>
    </w:rPr>
  </w:style>
  <w:style w:type="paragraph" w:customStyle="1" w:styleId="40">
    <w:name w:val="l正文"/>
    <w:basedOn w:val="1"/>
    <w:autoRedefine/>
    <w:qFormat/>
    <w:uiPriority w:val="0"/>
    <w:pPr>
      <w:spacing w:line="360" w:lineRule="auto"/>
      <w:ind w:firstLine="200" w:firstLineChars="200"/>
    </w:pPr>
    <w:rPr>
      <w:rFonts w:ascii="宋体" w:hAnsi="宋体"/>
      <w:sz w:val="24"/>
      <w:szCs w:val="24"/>
    </w:rPr>
  </w:style>
  <w:style w:type="paragraph" w:customStyle="1" w:styleId="41">
    <w:name w:val="!标题5 Ctrl+5"/>
    <w:basedOn w:val="6"/>
    <w:next w:val="42"/>
    <w:autoRedefine/>
    <w:qFormat/>
    <w:uiPriority w:val="0"/>
    <w:pPr>
      <w:tabs>
        <w:tab w:val="left" w:pos="960"/>
      </w:tabs>
      <w:spacing w:beforeLines="50" w:afterLines="50" w:line="360" w:lineRule="auto"/>
    </w:pPr>
    <w:rPr>
      <w:rFonts w:ascii="Arial" w:hAnsi="Arial" w:eastAsia="黑体"/>
    </w:rPr>
  </w:style>
  <w:style w:type="paragraph" w:customStyle="1" w:styleId="42">
    <w:name w:val="!正文 Ctrl+Q"/>
    <w:basedOn w:val="1"/>
    <w:autoRedefine/>
    <w:qFormat/>
    <w:uiPriority w:val="0"/>
    <w:pPr>
      <w:spacing w:line="360" w:lineRule="auto"/>
      <w:ind w:firstLine="480" w:firstLineChars="200"/>
    </w:pPr>
    <w:rPr>
      <w:sz w:val="24"/>
      <w:szCs w:val="20"/>
    </w:rPr>
  </w:style>
  <w:style w:type="paragraph" w:customStyle="1" w:styleId="43">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table" w:customStyle="1" w:styleId="44">
    <w:name w:val="Table Normal"/>
    <w:basedOn w:val="19"/>
    <w:autoRedefine/>
    <w:qFormat/>
    <w:uiPriority w:val="0"/>
    <w:rPr>
      <w:rFonts w:eastAsia="Times New Roman"/>
    </w:rPr>
    <w:tblPr>
      <w:tblCellMar>
        <w:left w:w="0" w:type="dxa"/>
        <w:right w:w="0" w:type="dxa"/>
      </w:tblCellMar>
    </w:tblPr>
  </w:style>
  <w:style w:type="paragraph" w:customStyle="1" w:styleId="45">
    <w:name w:val="修订1"/>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46">
    <w:name w:val="正文123"/>
    <w:basedOn w:val="47"/>
    <w:autoRedefine/>
    <w:qFormat/>
    <w:uiPriority w:val="0"/>
    <w:pPr>
      <w:adjustRightInd w:val="0"/>
      <w:snapToGrid w:val="0"/>
      <w:spacing w:line="360" w:lineRule="auto"/>
      <w:ind w:firstLine="200" w:firstLineChars="200"/>
    </w:pPr>
    <w:rPr>
      <w:rFonts w:ascii="仿宋" w:hAnsi="仿宋" w:eastAsia="仿宋" w:cs="仿宋_GB2312"/>
      <w:sz w:val="24"/>
      <w:szCs w:val="28"/>
    </w:rPr>
  </w:style>
  <w:style w:type="paragraph" w:customStyle="1" w:styleId="47">
    <w:name w:val="方案正文"/>
    <w:basedOn w:val="1"/>
    <w:autoRedefine/>
    <w:qFormat/>
    <w:uiPriority w:val="0"/>
    <w:rPr>
      <w:rFonts w:eastAsia="仿宋_GB2312"/>
      <w:szCs w:val="21"/>
    </w:rPr>
  </w:style>
  <w:style w:type="paragraph" w:customStyle="1" w:styleId="48">
    <w:name w:val="表格文字"/>
    <w:basedOn w:val="1"/>
    <w:autoRedefine/>
    <w:qFormat/>
    <w:uiPriority w:val="0"/>
    <w:pPr>
      <w:spacing w:line="240" w:lineRule="auto"/>
      <w:jc w:val="left"/>
    </w:pPr>
    <w:rPr>
      <w:rFonts w:ascii="Times New Roman" w:hAnsi="Times New Roman" w:eastAsia="仿宋"/>
      <w:kern w:val="0"/>
      <w:szCs w:val="40"/>
    </w:rPr>
  </w:style>
  <w:style w:type="table" w:customStyle="1" w:styleId="49">
    <w:name w:val="网格型1"/>
    <w:basedOn w:val="19"/>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font21"/>
    <w:basedOn w:val="21"/>
    <w:autoRedefine/>
    <w:qFormat/>
    <w:uiPriority w:val="0"/>
    <w:rPr>
      <w:rFonts w:hint="eastAsia" w:ascii="等线" w:hAnsi="等线" w:eastAsia="等线" w:cs="等线"/>
      <w:b/>
      <w:bCs/>
      <w:color w:val="0000FF"/>
      <w:sz w:val="22"/>
      <w:szCs w:val="22"/>
      <w:u w:val="none"/>
    </w:rPr>
  </w:style>
  <w:style w:type="character" w:customStyle="1" w:styleId="51">
    <w:name w:val="font51"/>
    <w:basedOn w:val="21"/>
    <w:autoRedefine/>
    <w:qFormat/>
    <w:uiPriority w:val="0"/>
    <w:rPr>
      <w:rFonts w:hint="default" w:ascii="Arial" w:hAnsi="Arial" w:cs="Arial"/>
      <w:b/>
      <w:bCs/>
      <w:color w:val="000000"/>
      <w:sz w:val="20"/>
      <w:szCs w:val="20"/>
      <w:u w:val="none"/>
    </w:rPr>
  </w:style>
  <w:style w:type="character" w:customStyle="1" w:styleId="52">
    <w:name w:val="font01"/>
    <w:autoRedefine/>
    <w:qFormat/>
    <w:uiPriority w:val="0"/>
    <w:rPr>
      <w:rFonts w:hint="eastAsia" w:ascii="宋体" w:hAnsi="宋体" w:eastAsia="宋体" w:cs="宋体"/>
      <w:color w:val="000000"/>
      <w:sz w:val="24"/>
      <w:szCs w:val="24"/>
      <w:u w:val="none"/>
    </w:rPr>
  </w:style>
  <w:style w:type="character" w:customStyle="1" w:styleId="53">
    <w:name w:val="font41"/>
    <w:basedOn w:val="21"/>
    <w:autoRedefine/>
    <w:qFormat/>
    <w:uiPriority w:val="0"/>
    <w:rPr>
      <w:rFonts w:hint="eastAsia" w:ascii="仿宋_GB2312" w:eastAsia="仿宋_GB2312" w:cs="仿宋_GB2312"/>
      <w:color w:val="000000"/>
      <w:sz w:val="24"/>
      <w:szCs w:val="24"/>
      <w:u w:val="none"/>
    </w:rPr>
  </w:style>
  <w:style w:type="character" w:customStyle="1" w:styleId="54">
    <w:name w:val="font61"/>
    <w:basedOn w:val="21"/>
    <w:autoRedefine/>
    <w:qFormat/>
    <w:uiPriority w:val="0"/>
    <w:rPr>
      <w:rFonts w:hint="eastAsia" w:ascii="仿宋_GB2312" w:eastAsia="仿宋_GB2312" w:cs="仿宋_GB2312"/>
      <w:color w:val="FF0000"/>
      <w:sz w:val="24"/>
      <w:szCs w:val="24"/>
      <w:u w:val="none"/>
    </w:rPr>
  </w:style>
  <w:style w:type="character" w:customStyle="1" w:styleId="55">
    <w:name w:val="标题 4 Char"/>
    <w:link w:val="5"/>
    <w:autoRedefine/>
    <w:qFormat/>
    <w:uiPriority w:val="9"/>
    <w:rPr>
      <w:rFonts w:ascii="黑体" w:hAnsi="黑体" w:eastAsia="宋体" w:cs="Arial"/>
      <w:b/>
      <w:bCs/>
      <w:kern w:val="2"/>
      <w:sz w:val="28"/>
      <w:szCs w:val="32"/>
      <w:lang w:val="en-US" w:eastAsia="zh-CN" w:bidi="ar-SA"/>
    </w:rPr>
  </w:style>
  <w:style w:type="paragraph" w:customStyle="1" w:styleId="56">
    <w:name w:val="图标题"/>
    <w:basedOn w:val="8"/>
    <w:autoRedefine/>
    <w:qFormat/>
    <w:uiPriority w:val="0"/>
    <w:pPr>
      <w:widowControl w:val="0"/>
      <w:ind w:firstLine="0" w:firstLineChars="0"/>
    </w:pPr>
    <w:rPr>
      <w:rFonts w:ascii="黑体" w:hAnsi="黑体"/>
      <w:kern w:val="2"/>
      <w:szCs w:val="24"/>
    </w:rPr>
  </w:style>
  <w:style w:type="character" w:customStyle="1" w:styleId="57">
    <w:name w:val="font11"/>
    <w:basedOn w:val="21"/>
    <w:autoRedefine/>
    <w:qFormat/>
    <w:uiPriority w:val="0"/>
    <w:rPr>
      <w:rFonts w:hint="eastAsia" w:ascii="等线" w:hAnsi="等线" w:eastAsia="等线" w:cs="等线"/>
      <w:b/>
      <w:bCs/>
      <w:color w:val="1F2329"/>
      <w:sz w:val="24"/>
      <w:szCs w:val="24"/>
      <w:u w:val="none"/>
    </w:rPr>
  </w:style>
  <w:style w:type="paragraph" w:customStyle="1" w:styleId="58">
    <w:name w:val="列表段落1"/>
    <w:basedOn w:val="1"/>
    <w:autoRedefine/>
    <w:qFormat/>
    <w:uiPriority w:val="0"/>
    <w:pPr>
      <w:ind w:firstLine="420"/>
    </w:pPr>
    <w:rPr>
      <w:rFonts w:ascii="Times New Roman" w:hAnsi="Times New Roman" w:cs="Times New Roman"/>
      <w:szCs w:val="21"/>
    </w:rPr>
  </w:style>
  <w:style w:type="paragraph" w:customStyle="1" w:styleId="59">
    <w:name w:val="正文缩进1"/>
    <w:basedOn w:val="1"/>
    <w:autoRedefine/>
    <w:qFormat/>
    <w:uiPriority w:val="0"/>
    <w:pPr>
      <w:spacing w:line="240" w:lineRule="auto"/>
      <w:ind w:firstLine="420"/>
    </w:pPr>
    <w:rPr>
      <w:rFonts w:ascii="Times New Roman" w:hAnsi="Times New Roman"/>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21</Pages>
  <Words>9405</Words>
  <Characters>9716</Characters>
  <Lines>1</Lines>
  <Paragraphs>1</Paragraphs>
  <TotalTime>1364</TotalTime>
  <ScaleCrop>false</ScaleCrop>
  <LinksUpToDate>false</LinksUpToDate>
  <CharactersWithSpaces>9757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2024-12-05T09:45:00Z</dcterms:created>
  <dc:creator>Administrator</dc:creator>
  <cp:lastModifiedBy>user</cp:lastModifiedBy>
  <dcterms:modified xsi:type="dcterms:W3CDTF">2026-07-17T16:23:42Z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12256611C046C98DD1EC556A32CB066D_43</vt:lpwstr>
  </property>
  <property fmtid="{D5CDD505-2E9C-101B-9397-08002B2CF9AE}" pid="4" name="KSOTemplateDocerSaveRecord">
    <vt:lpwstr>eyJoZGlkIjoiMmQ4ZTY2MWQ1YjllNjQ3NThjMWQ1NjMzMGIyZTQyMTkiLCJ1c2VySWQiOiI0ODkwNTI3MjAifQ==</vt:lpwstr>
  </property>
</Properties>
</file>