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24E12">
      <w:pPr>
        <w:jc w:val="center"/>
        <w:outlineLvl w:val="0"/>
        <w:rPr>
          <w:rFonts w:ascii="方正小标宋简体" w:hAnsi="华文中宋" w:eastAsia="方正小标宋简体"/>
          <w:sz w:val="32"/>
          <w:szCs w:val="32"/>
        </w:rPr>
      </w:pPr>
      <w:r>
        <w:rPr>
          <w:rFonts w:hint="eastAsia" w:ascii="方正小标宋简体" w:hAnsi="华文中宋" w:eastAsia="方正小标宋简体"/>
          <w:sz w:val="32"/>
          <w:szCs w:val="32"/>
        </w:rPr>
        <w:t>2025年上海交通大学医学院校园保安服务项目采购需求</w:t>
      </w:r>
    </w:p>
    <w:p w14:paraId="5ABCFAFA">
      <w:pPr>
        <w:jc w:val="center"/>
        <w:rPr>
          <w:rFonts w:ascii="仿宋_GB2312" w:hAnsi="华文中宋" w:eastAsia="仿宋_GB2312"/>
          <w:sz w:val="28"/>
          <w:szCs w:val="28"/>
        </w:rPr>
      </w:pPr>
    </w:p>
    <w:p w14:paraId="7474F525">
      <w:pPr>
        <w:widowControl/>
        <w:tabs>
          <w:tab w:val="left" w:pos="567"/>
        </w:tabs>
        <w:spacing w:beforeLines="100"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r>
        <w:rPr>
          <w:rFonts w:ascii="Times New Roman" w:hAnsi="Times New Roman"/>
          <w:b/>
          <w:color w:val="000000"/>
          <w:kern w:val="0"/>
          <w:sz w:val="24"/>
          <w:szCs w:val="24"/>
        </w:rPr>
        <w:t xml:space="preserve">  </w:t>
      </w:r>
    </w:p>
    <w:p w14:paraId="52AAB881">
      <w:pPr>
        <w:spacing w:line="360" w:lineRule="auto"/>
        <w:ind w:firstLine="422" w:firstLineChars="200"/>
        <w:outlineLvl w:val="1"/>
        <w:rPr>
          <w:rFonts w:ascii="宋体"/>
          <w:b/>
          <w:bCs/>
        </w:rPr>
      </w:pPr>
      <w:r>
        <w:rPr>
          <w:rFonts w:hint="eastAsia" w:ascii="宋体" w:hAnsi="宋体"/>
          <w:b/>
          <w:bCs/>
        </w:rPr>
        <w:t>（一）基本情况</w:t>
      </w:r>
    </w:p>
    <w:p w14:paraId="2D91D39F">
      <w:pPr>
        <w:spacing w:line="360" w:lineRule="auto"/>
        <w:ind w:firstLine="420" w:firstLineChars="200"/>
        <w:rPr>
          <w:rFonts w:ascii="宋体" w:hAnsi="宋体"/>
          <w:u w:val="single"/>
        </w:rPr>
      </w:pPr>
      <w:r>
        <w:rPr>
          <w:rFonts w:hint="eastAsia" w:ascii="宋体" w:hAnsi="宋体"/>
        </w:rPr>
        <w:t>项目名称：</w:t>
      </w:r>
      <w:r>
        <w:rPr>
          <w:rFonts w:ascii="宋体" w:hAnsi="宋体"/>
          <w:u w:val="single"/>
        </w:rPr>
        <w:t xml:space="preserve">  </w:t>
      </w:r>
      <w:r>
        <w:rPr>
          <w:rFonts w:hint="eastAsia" w:ascii="宋体" w:hAnsi="宋体"/>
          <w:u w:val="single"/>
        </w:rPr>
        <w:t>202</w:t>
      </w:r>
      <w:r>
        <w:rPr>
          <w:rFonts w:ascii="宋体" w:hAnsi="宋体"/>
          <w:u w:val="single"/>
        </w:rPr>
        <w:t>6</w:t>
      </w:r>
      <w:r>
        <w:rPr>
          <w:rFonts w:hint="eastAsia" w:ascii="宋体" w:hAnsi="宋体"/>
          <w:u w:val="single"/>
        </w:rPr>
        <w:t>年上海交通大学医学院校园保安服务</w:t>
      </w:r>
      <w:r>
        <w:rPr>
          <w:rFonts w:ascii="宋体" w:hAnsi="宋体"/>
          <w:u w:val="single"/>
        </w:rPr>
        <w:t xml:space="preserve">    </w:t>
      </w:r>
    </w:p>
    <w:p w14:paraId="4D38B110">
      <w:pPr>
        <w:spacing w:line="360" w:lineRule="auto"/>
        <w:ind w:firstLine="420" w:firstLineChars="200"/>
        <w:rPr>
          <w:rFonts w:ascii="宋体" w:hAnsi="宋体"/>
          <w:u w:val="single"/>
        </w:rPr>
      </w:pPr>
      <w:r>
        <w:rPr>
          <w:rFonts w:hint="eastAsia" w:ascii="宋体" w:hAnsi="宋体"/>
        </w:rPr>
        <w:t>采购编号：</w:t>
      </w:r>
      <w:r>
        <w:rPr>
          <w:rFonts w:ascii="宋体" w:hAnsi="宋体"/>
          <w:u w:val="single"/>
        </w:rPr>
        <w:t>0025-W00020180</w:t>
      </w:r>
    </w:p>
    <w:p w14:paraId="6D80A977">
      <w:pPr>
        <w:spacing w:line="360" w:lineRule="auto"/>
        <w:ind w:firstLine="420" w:firstLineChars="200"/>
        <w:rPr>
          <w:rFonts w:ascii="宋体" w:hAnsi="宋体"/>
          <w:u w:val="single"/>
        </w:rPr>
      </w:pPr>
      <w:r>
        <w:rPr>
          <w:rFonts w:hint="eastAsia" w:ascii="宋体" w:hAnsi="宋体"/>
        </w:rPr>
        <w:t>预算金额：</w:t>
      </w:r>
      <w:r>
        <w:rPr>
          <w:rFonts w:ascii="宋体" w:hAnsi="宋体"/>
          <w:u w:val="single"/>
        </w:rPr>
        <w:t>968</w:t>
      </w:r>
      <w:r>
        <w:rPr>
          <w:rFonts w:hint="eastAsia" w:ascii="宋体" w:hAnsi="宋体"/>
          <w:u w:val="single"/>
        </w:rPr>
        <w:t>万元</w:t>
      </w:r>
    </w:p>
    <w:p w14:paraId="509E7AA3">
      <w:pPr>
        <w:spacing w:line="360" w:lineRule="auto"/>
        <w:ind w:firstLine="420" w:firstLineChars="200"/>
        <w:rPr>
          <w:rFonts w:ascii="宋体" w:hAnsi="宋体"/>
          <w:u w:val="single"/>
        </w:rPr>
      </w:pPr>
    </w:p>
    <w:p w14:paraId="5A9F8FD4">
      <w:pPr>
        <w:spacing w:line="360" w:lineRule="auto"/>
        <w:ind w:firstLine="420" w:firstLineChars="200"/>
        <w:rPr>
          <w:rFonts w:ascii="宋体" w:hAnsi="宋体"/>
        </w:rPr>
      </w:pPr>
      <w:r>
        <w:rPr>
          <w:rFonts w:hint="eastAsia" w:ascii="宋体" w:hAnsi="宋体"/>
        </w:rPr>
        <w:t>坐落位置一：</w:t>
      </w:r>
      <w:r>
        <w:rPr>
          <w:rFonts w:ascii="宋体" w:hAnsi="宋体"/>
          <w:u w:val="single"/>
        </w:rPr>
        <w:t xml:space="preserve"> </w:t>
      </w:r>
      <w:r>
        <w:rPr>
          <w:rFonts w:hint="eastAsia" w:ascii="宋体" w:hAnsi="宋体"/>
          <w:u w:val="single"/>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rPr>
        <w:t>浦东新</w:t>
      </w:r>
      <w:r>
        <w:rPr>
          <w:rFonts w:ascii="宋体" w:hAnsi="宋体"/>
          <w:u w:val="single"/>
        </w:rPr>
        <w:t xml:space="preserve">  </w:t>
      </w:r>
      <w:r>
        <w:rPr>
          <w:rFonts w:hint="eastAsia" w:ascii="宋体" w:hAnsi="宋体"/>
        </w:rPr>
        <w:t>区</w:t>
      </w:r>
      <w:r>
        <w:rPr>
          <w:rFonts w:ascii="宋体" w:hAnsi="宋体"/>
          <w:u w:val="single"/>
        </w:rPr>
        <w:t xml:space="preserve">  </w:t>
      </w:r>
      <w:r>
        <w:rPr>
          <w:rFonts w:hint="eastAsia" w:ascii="宋体" w:hAnsi="宋体"/>
          <w:u w:val="single"/>
        </w:rPr>
        <w:t>天雄</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rPr>
        <w:t>100</w:t>
      </w:r>
      <w:r>
        <w:rPr>
          <w:rFonts w:ascii="宋体" w:hAnsi="宋体"/>
          <w:u w:val="single"/>
        </w:rPr>
        <w:t xml:space="preserve">  </w:t>
      </w:r>
      <w:r>
        <w:rPr>
          <w:rFonts w:hint="eastAsia" w:ascii="宋体" w:hAnsi="宋体"/>
        </w:rPr>
        <w:t>号</w:t>
      </w:r>
    </w:p>
    <w:p w14:paraId="043C3633">
      <w:pPr>
        <w:spacing w:line="360" w:lineRule="auto"/>
        <w:ind w:firstLine="420" w:firstLineChars="200"/>
        <w:rPr>
          <w:rFonts w:ascii="宋体" w:hAnsi="宋体"/>
        </w:rPr>
      </w:pPr>
      <w:r>
        <w:rPr>
          <w:rFonts w:hint="eastAsia" w:ascii="宋体" w:hAnsi="宋体"/>
        </w:rPr>
        <w:t>占地面积：</w:t>
      </w:r>
      <w:r>
        <w:rPr>
          <w:rFonts w:ascii="宋体" w:hAnsi="宋体"/>
          <w:u w:val="single"/>
        </w:rPr>
        <w:t xml:space="preserve"> </w:t>
      </w:r>
      <w:r>
        <w:rPr>
          <w:rFonts w:hint="eastAsia" w:ascii="宋体" w:hAnsi="宋体"/>
          <w:u w:val="single"/>
        </w:rPr>
        <w:t>290664</w:t>
      </w:r>
      <w:r>
        <w:rPr>
          <w:rFonts w:ascii="宋体" w:hAnsi="宋体"/>
          <w:u w:val="single"/>
        </w:rPr>
        <w:t xml:space="preserve"> </w:t>
      </w:r>
      <w:r>
        <w:rPr>
          <w:rFonts w:hint="eastAsia" w:ascii="宋体" w:hAnsi="宋体"/>
          <w:u w:val="single"/>
        </w:rPr>
        <w:t xml:space="preserve"> 平</w:t>
      </w:r>
      <w:r>
        <w:rPr>
          <w:rFonts w:hint="eastAsia" w:ascii="宋体" w:hAnsi="宋体"/>
        </w:rPr>
        <w:t>方米，建筑面积：</w:t>
      </w:r>
      <w:r>
        <w:rPr>
          <w:rFonts w:ascii="宋体" w:hAnsi="宋体"/>
          <w:u w:val="single"/>
        </w:rPr>
        <w:t xml:space="preserve">  </w:t>
      </w:r>
      <w:r>
        <w:rPr>
          <w:rFonts w:hint="eastAsia" w:ascii="宋体" w:hAnsi="宋体"/>
          <w:u w:val="single"/>
        </w:rPr>
        <w:t>425017</w:t>
      </w:r>
      <w:r>
        <w:rPr>
          <w:rFonts w:ascii="宋体" w:hAnsi="宋体"/>
          <w:u w:val="single"/>
        </w:rPr>
        <w:t xml:space="preserve">  </w:t>
      </w:r>
      <w:r>
        <w:rPr>
          <w:rFonts w:hint="eastAsia" w:ascii="宋体" w:hAnsi="宋体"/>
        </w:rPr>
        <w:t>平方米。</w:t>
      </w:r>
    </w:p>
    <w:p w14:paraId="69712E38">
      <w:pPr>
        <w:spacing w:line="360" w:lineRule="auto"/>
        <w:ind w:firstLine="420" w:firstLineChars="200"/>
        <w:rPr>
          <w:rFonts w:ascii="宋体" w:hAnsi="宋体"/>
        </w:rPr>
      </w:pPr>
      <w:r>
        <w:rPr>
          <w:rFonts w:hint="eastAsia" w:ascii="宋体" w:hAnsi="宋体"/>
        </w:rPr>
        <w:t>其中</w:t>
      </w:r>
      <w:r>
        <w:rPr>
          <w:rFonts w:ascii="宋体" w:hAnsi="宋体"/>
        </w:rPr>
        <w:t>:</w:t>
      </w:r>
      <w:r>
        <w:rPr>
          <w:rFonts w:hint="eastAsia" w:ascii="宋体" w:hAnsi="宋体"/>
        </w:rPr>
        <w:t>办公楼</w:t>
      </w:r>
      <w:r>
        <w:rPr>
          <w:rFonts w:ascii="宋体" w:hAnsi="宋体"/>
          <w:u w:val="single"/>
        </w:rPr>
        <w:t xml:space="preserve"> </w:t>
      </w:r>
      <w:r>
        <w:rPr>
          <w:rFonts w:hint="eastAsia" w:ascii="仿宋" w:hAnsi="仿宋" w:eastAsia="仿宋" w:cs="仿宋"/>
          <w:szCs w:val="21"/>
          <w:u w:val="single"/>
        </w:rPr>
        <w:t>行政楼 10668.88</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u w:val="single"/>
        </w:rPr>
        <w:t>4层</w:t>
      </w:r>
      <w:r>
        <w:rPr>
          <w:rFonts w:ascii="宋体" w:hAnsi="宋体"/>
          <w:u w:val="single"/>
        </w:rPr>
        <w:t xml:space="preserve"> </w:t>
      </w:r>
      <w:r>
        <w:rPr>
          <w:rFonts w:hint="eastAsia" w:ascii="宋体" w:hAnsi="宋体"/>
        </w:rPr>
        <w:t>），</w:t>
      </w:r>
      <w:r>
        <w:rPr>
          <w:rFonts w:hint="eastAsia" w:ascii="宋体" w:hAnsi="宋体"/>
          <w:u w:val="single"/>
        </w:rPr>
        <w:t xml:space="preserve">  </w:t>
      </w:r>
      <w:r>
        <w:rPr>
          <w:rFonts w:hint="eastAsia" w:ascii="仿宋" w:hAnsi="仿宋" w:eastAsia="仿宋" w:cs="仿宋"/>
          <w:szCs w:val="21"/>
          <w:u w:val="single"/>
        </w:rPr>
        <w:t>档案校史馆 3178.26</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u w:val="single"/>
        </w:rPr>
        <w:t>4层</w:t>
      </w:r>
      <w:r>
        <w:rPr>
          <w:rFonts w:ascii="宋体" w:hAnsi="宋体"/>
          <w:u w:val="single"/>
        </w:rPr>
        <w:t xml:space="preserve"> </w:t>
      </w:r>
      <w:r>
        <w:rPr>
          <w:rFonts w:hint="eastAsia" w:ascii="宋体" w:hAnsi="宋体"/>
        </w:rPr>
        <w:t>）；</w:t>
      </w:r>
    </w:p>
    <w:p w14:paraId="63D9DE33">
      <w:pPr>
        <w:spacing w:line="360" w:lineRule="auto"/>
        <w:ind w:firstLine="420" w:firstLineChars="200"/>
        <w:rPr>
          <w:rFonts w:ascii="宋体"/>
        </w:rPr>
      </w:pPr>
      <w:r>
        <w:rPr>
          <w:rFonts w:hint="eastAsia" w:ascii="宋体" w:hAnsi="宋体"/>
        </w:rPr>
        <w:t>礼</w:t>
      </w:r>
      <w:r>
        <w:rPr>
          <w:rFonts w:ascii="宋体" w:hAnsi="宋体"/>
        </w:rPr>
        <w:t xml:space="preserve">   </w:t>
      </w:r>
      <w:r>
        <w:rPr>
          <w:rFonts w:hint="eastAsia" w:ascii="宋体" w:hAnsi="宋体"/>
        </w:rPr>
        <w:t>堂</w:t>
      </w:r>
      <w:r>
        <w:rPr>
          <w:rFonts w:ascii="宋体" w:hAnsi="宋体"/>
          <w:u w:val="single"/>
        </w:rPr>
        <w:t xml:space="preserve">  </w:t>
      </w:r>
      <w:r>
        <w:rPr>
          <w:rFonts w:hint="eastAsia" w:ascii="仿宋" w:hAnsi="仿宋" w:eastAsia="仿宋" w:cs="仿宋"/>
          <w:szCs w:val="21"/>
          <w:u w:val="single"/>
        </w:rPr>
        <w:t>医学大讲堂</w:t>
      </w:r>
      <w:r>
        <w:rPr>
          <w:rFonts w:ascii="宋体" w:hAnsi="宋体"/>
          <w:u w:val="single"/>
        </w:rPr>
        <w:t xml:space="preserve"> </w:t>
      </w:r>
      <w:r>
        <w:rPr>
          <w:rFonts w:hint="eastAsia" w:ascii="仿宋" w:hAnsi="仿宋" w:eastAsia="仿宋" w:cs="仿宋"/>
          <w:szCs w:val="21"/>
          <w:u w:val="single"/>
        </w:rPr>
        <w:t>3767.87</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u w:val="single"/>
        </w:rPr>
        <w:t>4层</w:t>
      </w:r>
      <w:r>
        <w:rPr>
          <w:rFonts w:ascii="宋体" w:hAnsi="宋体"/>
          <w:u w:val="single"/>
        </w:rPr>
        <w:t xml:space="preserve"> </w:t>
      </w:r>
      <w:r>
        <w:rPr>
          <w:rFonts w:hint="eastAsia" w:ascii="宋体" w:hAnsi="宋体"/>
        </w:rPr>
        <w:t>）；</w:t>
      </w:r>
    </w:p>
    <w:p w14:paraId="6263A725">
      <w:pPr>
        <w:spacing w:line="360" w:lineRule="auto"/>
        <w:ind w:firstLine="420" w:firstLineChars="200"/>
        <w:rPr>
          <w:rFonts w:ascii="宋体" w:hAnsi="宋体"/>
        </w:rPr>
      </w:pPr>
      <w:r>
        <w:rPr>
          <w:rFonts w:hint="eastAsia" w:ascii="宋体" w:hAnsi="宋体"/>
        </w:rPr>
        <w:t>机动车停车位</w:t>
      </w:r>
      <w:r>
        <w:rPr>
          <w:rFonts w:ascii="宋体" w:hAnsi="宋体"/>
          <w:u w:val="single"/>
        </w:rPr>
        <w:t xml:space="preserve"> </w:t>
      </w:r>
      <w:r>
        <w:rPr>
          <w:rFonts w:hint="eastAsia" w:ascii="宋体" w:hAnsi="宋体"/>
          <w:u w:val="single"/>
        </w:rPr>
        <w:t xml:space="preserve"> 839 </w:t>
      </w:r>
      <w:r>
        <w:rPr>
          <w:rFonts w:ascii="宋体" w:hAnsi="宋体"/>
          <w:u w:val="single"/>
        </w:rPr>
        <w:t xml:space="preserve"> </w:t>
      </w:r>
      <w:r>
        <w:rPr>
          <w:rFonts w:hint="eastAsia" w:ascii="宋体" w:hAnsi="宋体"/>
        </w:rPr>
        <w:t>个。</w:t>
      </w:r>
    </w:p>
    <w:p w14:paraId="2A0392BF">
      <w:pPr>
        <w:spacing w:line="360" w:lineRule="auto"/>
        <w:ind w:firstLine="420" w:firstLineChars="200"/>
        <w:rPr>
          <w:rFonts w:ascii="宋体" w:hAnsi="宋体"/>
        </w:rPr>
      </w:pPr>
      <w:r>
        <w:rPr>
          <w:rFonts w:hint="eastAsia" w:ascii="宋体" w:hAnsi="宋体"/>
        </w:rPr>
        <w:t>餐厅</w:t>
      </w:r>
      <w:r>
        <w:rPr>
          <w:rFonts w:hint="eastAsia" w:ascii="宋体" w:hAnsi="宋体"/>
          <w:u w:val="single"/>
        </w:rPr>
        <w:t xml:space="preserve"> 2</w:t>
      </w:r>
      <w:r>
        <w:rPr>
          <w:rFonts w:hint="eastAsia" w:ascii="宋体" w:hAnsi="宋体"/>
        </w:rPr>
        <w:t xml:space="preserve">处，其中： </w:t>
      </w:r>
      <w:r>
        <w:rPr>
          <w:rFonts w:hint="eastAsia" w:ascii="宋体" w:hAnsi="宋体"/>
          <w:u w:val="single"/>
        </w:rPr>
        <w:t xml:space="preserve"> </w:t>
      </w:r>
      <w:r>
        <w:rPr>
          <w:rFonts w:hint="eastAsia" w:ascii="仿宋" w:hAnsi="仿宋" w:eastAsia="仿宋" w:cs="仿宋"/>
          <w:szCs w:val="21"/>
          <w:u w:val="single"/>
        </w:rPr>
        <w:t>第一食堂及第二食堂</w:t>
      </w:r>
      <w:r>
        <w:rPr>
          <w:rFonts w:hint="eastAsia" w:ascii="宋体" w:hAnsi="宋体"/>
        </w:rPr>
        <w:t>；</w:t>
      </w:r>
    </w:p>
    <w:p w14:paraId="13104801">
      <w:pPr>
        <w:spacing w:line="360" w:lineRule="auto"/>
        <w:ind w:firstLine="420" w:firstLineChars="200"/>
        <w:rPr>
          <w:rFonts w:ascii="宋体"/>
        </w:rPr>
      </w:pPr>
      <w:r>
        <w:rPr>
          <w:rFonts w:hint="eastAsia" w:ascii="宋体" w:hAnsi="宋体"/>
        </w:rPr>
        <w:t>公用设施、设备及公共场所（地）情况：</w:t>
      </w:r>
    </w:p>
    <w:p w14:paraId="78DAC9D2">
      <w:pPr>
        <w:spacing w:line="360" w:lineRule="auto"/>
        <w:ind w:firstLine="420" w:firstLineChars="200"/>
        <w:rPr>
          <w:rFonts w:ascii="宋体"/>
        </w:rPr>
      </w:pPr>
      <w:r>
        <w:rPr>
          <w:rFonts w:ascii="宋体" w:hAnsi="宋体"/>
        </w:rPr>
        <w:t>1</w:t>
      </w:r>
      <w:r>
        <w:rPr>
          <w:rFonts w:hint="eastAsia" w:ascii="宋体" w:hAnsi="宋体"/>
        </w:rPr>
        <w:t>、院区车辆出入口</w:t>
      </w:r>
      <w:r>
        <w:rPr>
          <w:rFonts w:ascii="宋体" w:hAnsi="宋体"/>
          <w:u w:val="single"/>
        </w:rPr>
        <w:t xml:space="preserve">  </w:t>
      </w:r>
      <w:r>
        <w:rPr>
          <w:rFonts w:hint="eastAsia" w:ascii="宋体" w:hAnsi="宋体"/>
          <w:u w:val="single"/>
        </w:rPr>
        <w:t>3</w:t>
      </w:r>
      <w:r>
        <w:rPr>
          <w:rFonts w:ascii="宋体" w:hAnsi="宋体"/>
          <w:u w:val="single"/>
        </w:rPr>
        <w:t xml:space="preserve">  </w:t>
      </w:r>
      <w:r>
        <w:rPr>
          <w:rFonts w:hint="eastAsia" w:ascii="宋体" w:hAnsi="宋体"/>
        </w:rPr>
        <w:t>个，人行出入口</w:t>
      </w:r>
      <w:r>
        <w:rPr>
          <w:rFonts w:ascii="宋体" w:hAnsi="宋体"/>
          <w:u w:val="single"/>
        </w:rPr>
        <w:t xml:space="preserve"> </w:t>
      </w:r>
      <w:r>
        <w:rPr>
          <w:rFonts w:hint="eastAsia" w:ascii="宋体" w:hAnsi="宋体"/>
          <w:u w:val="single"/>
        </w:rPr>
        <w:t xml:space="preserve"> 4</w:t>
      </w:r>
      <w:r>
        <w:rPr>
          <w:rFonts w:ascii="宋体" w:hAnsi="宋体"/>
          <w:u w:val="single"/>
        </w:rPr>
        <w:t xml:space="preserve"> </w:t>
      </w:r>
      <w:r>
        <w:rPr>
          <w:rFonts w:hint="eastAsia" w:ascii="宋体" w:hAnsi="宋体"/>
        </w:rPr>
        <w:t>个；</w:t>
      </w:r>
    </w:p>
    <w:p w14:paraId="383BAF44">
      <w:pPr>
        <w:spacing w:line="360" w:lineRule="auto"/>
        <w:ind w:firstLine="420" w:firstLineChars="200"/>
        <w:rPr>
          <w:rFonts w:ascii="宋体"/>
        </w:rPr>
      </w:pPr>
      <w:r>
        <w:rPr>
          <w:rFonts w:hint="eastAsia" w:ascii="宋体" w:hAnsi="宋体"/>
        </w:rPr>
        <w:t>2、停车场：室内停车场</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个，停车位</w:t>
      </w:r>
      <w:r>
        <w:rPr>
          <w:rFonts w:ascii="宋体" w:hAnsi="宋体"/>
          <w:u w:val="single"/>
        </w:rPr>
        <w:t xml:space="preserve">  </w:t>
      </w:r>
      <w:r>
        <w:rPr>
          <w:rFonts w:hint="eastAsia" w:ascii="宋体" w:hAnsi="宋体"/>
          <w:u w:val="single"/>
        </w:rPr>
        <w:t>734</w:t>
      </w:r>
      <w:r>
        <w:rPr>
          <w:rFonts w:ascii="宋体" w:hAnsi="宋体"/>
          <w:u w:val="single"/>
        </w:rPr>
        <w:t xml:space="preserve">  </w:t>
      </w:r>
      <w:r>
        <w:rPr>
          <w:rFonts w:hint="eastAsia" w:ascii="宋体" w:hAnsi="宋体"/>
        </w:rPr>
        <w:t>个；露天专用停车场</w:t>
      </w:r>
      <w:r>
        <w:rPr>
          <w:rFonts w:ascii="宋体" w:hAnsi="宋体"/>
          <w:u w:val="single"/>
        </w:rPr>
        <w:t xml:space="preserve">  </w:t>
      </w:r>
      <w:r>
        <w:rPr>
          <w:rFonts w:hint="eastAsia" w:ascii="宋体" w:hAnsi="宋体"/>
          <w:u w:val="single"/>
        </w:rPr>
        <w:t>0</w:t>
      </w:r>
      <w:r>
        <w:rPr>
          <w:rFonts w:ascii="宋体" w:hAnsi="宋体"/>
          <w:u w:val="single"/>
        </w:rPr>
        <w:t xml:space="preserve"> </w:t>
      </w:r>
      <w:r>
        <w:rPr>
          <w:rFonts w:hint="eastAsia" w:ascii="宋体" w:hAnsi="宋体"/>
        </w:rPr>
        <w:t>个，露天零散停车位</w:t>
      </w:r>
      <w:r>
        <w:rPr>
          <w:rFonts w:ascii="宋体" w:hAnsi="宋体"/>
          <w:u w:val="single"/>
        </w:rPr>
        <w:t xml:space="preserve"> </w:t>
      </w:r>
      <w:r>
        <w:rPr>
          <w:rFonts w:hint="eastAsia" w:ascii="宋体" w:hAnsi="宋体"/>
          <w:u w:val="single"/>
        </w:rPr>
        <w:t>105</w:t>
      </w:r>
      <w:r>
        <w:rPr>
          <w:rFonts w:ascii="宋体" w:hAnsi="宋体"/>
          <w:u w:val="single"/>
        </w:rPr>
        <w:t xml:space="preserve"> </w:t>
      </w:r>
      <w:r>
        <w:rPr>
          <w:rFonts w:hint="eastAsia" w:ascii="宋体" w:hAnsi="宋体"/>
        </w:rPr>
        <w:t>个，</w:t>
      </w:r>
      <w:r>
        <w:rPr>
          <w:rFonts w:hint="eastAsia" w:ascii="宋体"/>
        </w:rPr>
        <w:t>自行车停车位：</w:t>
      </w:r>
      <w:r>
        <w:rPr>
          <w:rFonts w:ascii="宋体" w:hAnsi="宋体"/>
          <w:u w:val="single"/>
        </w:rPr>
        <w:t xml:space="preserve"> </w:t>
      </w:r>
      <w:r>
        <w:rPr>
          <w:rFonts w:hint="eastAsia" w:ascii="宋体" w:hAnsi="宋体"/>
          <w:u w:val="single"/>
        </w:rPr>
        <w:t xml:space="preserve">330 </w:t>
      </w:r>
      <w:r>
        <w:rPr>
          <w:rFonts w:hint="eastAsia" w:ascii="宋体"/>
        </w:rPr>
        <w:t>个。</w:t>
      </w:r>
    </w:p>
    <w:p w14:paraId="5E754911">
      <w:pPr>
        <w:spacing w:line="360" w:lineRule="auto"/>
        <w:ind w:firstLine="420" w:firstLineChars="200"/>
        <w:rPr>
          <w:rFonts w:ascii="宋体"/>
        </w:rPr>
      </w:pPr>
      <w:r>
        <w:rPr>
          <w:rFonts w:hint="eastAsia" w:ascii="宋体" w:hAnsi="宋体"/>
        </w:rPr>
        <w:t>3、消防自动报警系统情况及消防灭火器配备情况</w:t>
      </w:r>
      <w:r>
        <w:rPr>
          <w:rFonts w:ascii="宋体" w:hAnsi="宋体"/>
          <w:u w:val="single"/>
        </w:rPr>
        <w:t xml:space="preserve"> </w:t>
      </w:r>
      <w:r>
        <w:rPr>
          <w:rFonts w:hint="eastAsia" w:ascii="宋体" w:hAnsi="宋体"/>
          <w:u w:val="single"/>
        </w:rPr>
        <w:t>消防控制中心设置在行政楼一层，与监控中心合建，在5#公寓、医学科研集群B楼一层设置消防控制室，其火灾报警控制主机与消防安防控制中心火灾报警控制主机设置通讯网络联络，消防控制中心能显示所有火灾报警信号和联动控制状态信号。</w:t>
      </w:r>
      <w:r>
        <w:rPr>
          <w:rFonts w:ascii="宋体" w:hAnsi="宋体"/>
          <w:u w:val="single"/>
        </w:rPr>
        <w:t xml:space="preserve">  </w:t>
      </w:r>
      <w:r>
        <w:rPr>
          <w:rFonts w:hint="eastAsia" w:ascii="宋体" w:hAnsi="宋体"/>
        </w:rPr>
        <w:t>；</w:t>
      </w:r>
    </w:p>
    <w:p w14:paraId="038647DD">
      <w:pPr>
        <w:spacing w:line="360" w:lineRule="auto"/>
        <w:ind w:firstLine="420" w:firstLineChars="200"/>
        <w:jc w:val="left"/>
        <w:rPr>
          <w:rFonts w:ascii="宋体"/>
        </w:rPr>
      </w:pPr>
      <w:r>
        <w:rPr>
          <w:rFonts w:hint="eastAsia" w:ascii="宋体" w:hAnsi="宋体"/>
        </w:rPr>
        <w:t>5、智能安防系统</w:t>
      </w:r>
      <w:r>
        <w:rPr>
          <w:rFonts w:ascii="宋体" w:hAnsi="宋体"/>
          <w:u w:val="single"/>
        </w:rPr>
        <w:t xml:space="preserve"> </w:t>
      </w:r>
      <w:r>
        <w:rPr>
          <w:rFonts w:hint="eastAsia" w:ascii="宋体" w:hAnsi="宋体"/>
          <w:u w:val="single"/>
        </w:rPr>
        <w:t>监控中心设置在行政楼一层，与消防控制中心合建。智能安防系统包含一屏通览系统、综合管理平台、视频监控系统、出入口控制系统、入侵报警系统、巡更系统</w:t>
      </w:r>
      <w:r>
        <w:rPr>
          <w:rFonts w:ascii="宋体" w:hAnsi="宋体"/>
          <w:u w:val="single"/>
        </w:rPr>
        <w:t xml:space="preserve">  </w:t>
      </w:r>
      <w:r>
        <w:rPr>
          <w:rFonts w:hint="eastAsia" w:ascii="宋体" w:hAnsi="宋体"/>
        </w:rPr>
        <w:t>；</w:t>
      </w:r>
    </w:p>
    <w:p w14:paraId="1E127FBA">
      <w:pPr>
        <w:spacing w:line="360" w:lineRule="auto"/>
        <w:ind w:firstLine="420" w:firstLineChars="200"/>
        <w:rPr>
          <w:rFonts w:ascii="宋体" w:hAnsi="宋体"/>
        </w:rPr>
      </w:pPr>
    </w:p>
    <w:p w14:paraId="5147A8EE">
      <w:pPr>
        <w:spacing w:line="360" w:lineRule="auto"/>
        <w:ind w:firstLine="420" w:firstLineChars="200"/>
        <w:rPr>
          <w:rFonts w:ascii="宋体" w:hAnsi="宋体"/>
        </w:rPr>
      </w:pPr>
      <w:r>
        <w:rPr>
          <w:rFonts w:hint="eastAsia" w:ascii="宋体" w:hAnsi="宋体"/>
        </w:rPr>
        <w:t>坐落位置二：</w:t>
      </w:r>
      <w:r>
        <w:rPr>
          <w:rFonts w:ascii="宋体" w:hAnsi="宋体"/>
          <w:u w:val="single"/>
        </w:rPr>
        <w:t xml:space="preserve"> </w:t>
      </w:r>
      <w:r>
        <w:rPr>
          <w:rFonts w:hint="eastAsia" w:ascii="宋体" w:hAnsi="宋体"/>
          <w:u w:val="single"/>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rPr>
        <w:t>黄浦</w:t>
      </w:r>
      <w:r>
        <w:rPr>
          <w:rFonts w:ascii="宋体" w:hAnsi="宋体"/>
          <w:u w:val="single"/>
        </w:rPr>
        <w:t xml:space="preserve">  </w:t>
      </w:r>
      <w:r>
        <w:rPr>
          <w:rFonts w:hint="eastAsia" w:ascii="宋体" w:hAnsi="宋体"/>
        </w:rPr>
        <w:t>区</w:t>
      </w:r>
      <w:r>
        <w:rPr>
          <w:rFonts w:ascii="宋体" w:hAnsi="宋体"/>
          <w:u w:val="single"/>
        </w:rPr>
        <w:t xml:space="preserve">  </w:t>
      </w:r>
      <w:r>
        <w:rPr>
          <w:rFonts w:hint="eastAsia" w:ascii="宋体" w:hAnsi="宋体"/>
          <w:u w:val="single"/>
        </w:rPr>
        <w:t>重庆南</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rPr>
        <w:t>227</w:t>
      </w:r>
      <w:r>
        <w:rPr>
          <w:rFonts w:ascii="宋体" w:hAnsi="宋体"/>
          <w:u w:val="single"/>
        </w:rPr>
        <w:t xml:space="preserve">  </w:t>
      </w:r>
      <w:r>
        <w:rPr>
          <w:rFonts w:hint="eastAsia" w:ascii="宋体" w:hAnsi="宋体"/>
        </w:rPr>
        <w:t>号</w:t>
      </w:r>
    </w:p>
    <w:p w14:paraId="3EA92253">
      <w:pPr>
        <w:spacing w:line="360" w:lineRule="auto"/>
        <w:ind w:firstLine="1680" w:firstLineChars="800"/>
        <w:rPr>
          <w:rFonts w:ascii="宋体" w:hAnsi="宋体"/>
        </w:rPr>
      </w:pPr>
      <w:r>
        <w:rPr>
          <w:rFonts w:ascii="宋体" w:hAnsi="宋体"/>
          <w:u w:val="single"/>
        </w:rPr>
        <w:t xml:space="preserve"> </w:t>
      </w:r>
      <w:r>
        <w:rPr>
          <w:rFonts w:hint="eastAsia" w:ascii="宋体" w:hAnsi="宋体"/>
          <w:u w:val="single"/>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rPr>
        <w:t>黄浦</w:t>
      </w:r>
      <w:r>
        <w:rPr>
          <w:rFonts w:ascii="宋体" w:hAnsi="宋体"/>
          <w:u w:val="single"/>
        </w:rPr>
        <w:t xml:space="preserve">  </w:t>
      </w:r>
      <w:r>
        <w:rPr>
          <w:rFonts w:hint="eastAsia" w:ascii="宋体" w:hAnsi="宋体"/>
        </w:rPr>
        <w:t>区</w:t>
      </w:r>
      <w:r>
        <w:rPr>
          <w:rFonts w:ascii="宋体" w:hAnsi="宋体"/>
          <w:u w:val="single"/>
        </w:rPr>
        <w:t xml:space="preserve">  </w:t>
      </w:r>
      <w:r>
        <w:rPr>
          <w:rFonts w:hint="eastAsia" w:ascii="宋体" w:hAnsi="宋体"/>
          <w:u w:val="single"/>
        </w:rPr>
        <w:t>重庆南</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rPr>
        <w:t>280</w:t>
      </w:r>
      <w:r>
        <w:rPr>
          <w:rFonts w:ascii="宋体" w:hAnsi="宋体"/>
          <w:u w:val="single"/>
        </w:rPr>
        <w:t xml:space="preserve">  </w:t>
      </w:r>
      <w:r>
        <w:rPr>
          <w:rFonts w:hint="eastAsia" w:ascii="宋体" w:hAnsi="宋体"/>
        </w:rPr>
        <w:t>号</w:t>
      </w:r>
    </w:p>
    <w:p w14:paraId="6CE81B25">
      <w:pPr>
        <w:spacing w:line="360" w:lineRule="auto"/>
        <w:ind w:firstLine="1680" w:firstLineChars="800"/>
        <w:rPr>
          <w:rFonts w:ascii="宋体" w:hAnsi="宋体"/>
        </w:rPr>
      </w:pPr>
      <w:r>
        <w:rPr>
          <w:rFonts w:ascii="宋体" w:hAnsi="宋体"/>
          <w:u w:val="single"/>
        </w:rPr>
        <w:t xml:space="preserve"> </w:t>
      </w:r>
      <w:r>
        <w:rPr>
          <w:rFonts w:hint="eastAsia" w:ascii="宋体" w:hAnsi="宋体"/>
          <w:u w:val="single"/>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rPr>
        <w:t>黄浦</w:t>
      </w:r>
      <w:r>
        <w:rPr>
          <w:rFonts w:ascii="宋体" w:hAnsi="宋体"/>
          <w:u w:val="single"/>
        </w:rPr>
        <w:t xml:space="preserve">  </w:t>
      </w:r>
      <w:r>
        <w:rPr>
          <w:rFonts w:hint="eastAsia" w:ascii="宋体" w:hAnsi="宋体"/>
        </w:rPr>
        <w:t>区</w:t>
      </w:r>
      <w:r>
        <w:rPr>
          <w:rFonts w:ascii="宋体" w:hAnsi="宋体"/>
          <w:u w:val="single"/>
        </w:rPr>
        <w:t xml:space="preserve">  </w:t>
      </w:r>
      <w:r>
        <w:rPr>
          <w:rFonts w:hint="eastAsia" w:ascii="宋体" w:hAnsi="宋体"/>
          <w:u w:val="single"/>
        </w:rPr>
        <w:t>中山南一</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rPr>
        <w:t>937</w:t>
      </w:r>
      <w:r>
        <w:rPr>
          <w:rFonts w:ascii="宋体" w:hAnsi="宋体"/>
          <w:u w:val="single"/>
        </w:rPr>
        <w:t xml:space="preserve">  </w:t>
      </w:r>
      <w:r>
        <w:rPr>
          <w:rFonts w:hint="eastAsia" w:ascii="宋体" w:hAnsi="宋体"/>
        </w:rPr>
        <w:t>号</w:t>
      </w:r>
    </w:p>
    <w:p w14:paraId="6951A3F9">
      <w:pPr>
        <w:spacing w:line="360" w:lineRule="auto"/>
        <w:ind w:firstLine="420" w:firstLineChars="200"/>
        <w:rPr>
          <w:rFonts w:ascii="宋体"/>
        </w:rPr>
      </w:pPr>
      <w:r>
        <w:rPr>
          <w:rFonts w:hint="eastAsia" w:ascii="宋体" w:hAnsi="宋体"/>
        </w:rPr>
        <w:t>占地面积：</w:t>
      </w:r>
      <w:r>
        <w:rPr>
          <w:rFonts w:hint="eastAsia" w:ascii="宋体" w:hAnsi="宋体"/>
          <w:u w:val="single"/>
        </w:rPr>
        <w:t xml:space="preserve"> 73403 平</w:t>
      </w:r>
      <w:r>
        <w:rPr>
          <w:rFonts w:hint="eastAsia" w:ascii="宋体" w:hAnsi="宋体"/>
        </w:rPr>
        <w:t>方米，建筑面积：</w:t>
      </w:r>
      <w:r>
        <w:rPr>
          <w:rFonts w:hint="eastAsia" w:ascii="宋体" w:hAnsi="宋体"/>
          <w:u w:val="single"/>
        </w:rPr>
        <w:t>133323.87</w:t>
      </w:r>
      <w:r>
        <w:rPr>
          <w:rFonts w:ascii="宋体" w:hAnsi="宋体"/>
          <w:u w:val="single"/>
        </w:rPr>
        <w:t xml:space="preserve"> </w:t>
      </w:r>
      <w:r>
        <w:rPr>
          <w:rFonts w:hint="eastAsia" w:ascii="宋体" w:hAnsi="宋体"/>
        </w:rPr>
        <w:t>平方米。</w:t>
      </w:r>
    </w:p>
    <w:p w14:paraId="4A9669A2">
      <w:pPr>
        <w:spacing w:line="360" w:lineRule="auto"/>
        <w:ind w:firstLine="420" w:firstLineChars="200"/>
        <w:rPr>
          <w:rFonts w:ascii="宋体" w:hAnsi="宋体"/>
        </w:rPr>
      </w:pPr>
      <w:r>
        <w:rPr>
          <w:rFonts w:hint="eastAsia" w:ascii="宋体" w:hAnsi="宋体"/>
        </w:rPr>
        <w:t>其中</w:t>
      </w:r>
      <w:r>
        <w:rPr>
          <w:rFonts w:ascii="宋体" w:hAnsi="宋体"/>
        </w:rPr>
        <w:t>:</w:t>
      </w:r>
      <w:r>
        <w:rPr>
          <w:rFonts w:hint="eastAsia" w:ascii="宋体" w:hAnsi="宋体"/>
        </w:rPr>
        <w:t>办公楼</w:t>
      </w:r>
      <w:r>
        <w:rPr>
          <w:rFonts w:ascii="宋体" w:hAnsi="宋体"/>
          <w:u w:val="single"/>
        </w:rPr>
        <w:t xml:space="preserve"> </w:t>
      </w:r>
      <w:r>
        <w:rPr>
          <w:rFonts w:hint="eastAsia" w:ascii="仿宋" w:hAnsi="仿宋" w:eastAsia="仿宋" w:cs="仿宋"/>
          <w:szCs w:val="21"/>
          <w:u w:val="single"/>
        </w:rPr>
        <w:t>9870.23</w:t>
      </w:r>
      <w:r>
        <w:rPr>
          <w:rFonts w:hint="eastAsia" w:ascii="宋体" w:hAnsi="宋体"/>
        </w:rPr>
        <w:t>平方米（小高层</w:t>
      </w:r>
      <w:r>
        <w:rPr>
          <w:rFonts w:ascii="宋体" w:hAnsi="宋体"/>
          <w:u w:val="single"/>
        </w:rPr>
        <w:t xml:space="preserve"> </w:t>
      </w:r>
      <w:r>
        <w:rPr>
          <w:rFonts w:hint="eastAsia" w:ascii="宋体" w:hAnsi="宋体"/>
          <w:u w:val="single"/>
        </w:rPr>
        <w:t>13层</w:t>
      </w:r>
      <w:r>
        <w:rPr>
          <w:rFonts w:ascii="宋体" w:hAnsi="宋体"/>
          <w:u w:val="single"/>
        </w:rPr>
        <w:t xml:space="preserve"> </w:t>
      </w:r>
      <w:r>
        <w:rPr>
          <w:rFonts w:hint="eastAsia" w:ascii="宋体" w:hAnsi="宋体"/>
        </w:rPr>
        <w:t>），</w:t>
      </w:r>
    </w:p>
    <w:p w14:paraId="1D9EA145">
      <w:pPr>
        <w:spacing w:line="360" w:lineRule="auto"/>
        <w:ind w:firstLine="420" w:firstLineChars="200"/>
        <w:rPr>
          <w:rFonts w:ascii="宋体"/>
        </w:rPr>
      </w:pPr>
      <w:r>
        <w:rPr>
          <w:rFonts w:hint="eastAsia" w:ascii="宋体" w:hAnsi="宋体"/>
        </w:rPr>
        <w:t>礼</w:t>
      </w:r>
      <w:r>
        <w:rPr>
          <w:rFonts w:ascii="宋体" w:hAnsi="宋体"/>
        </w:rPr>
        <w:t xml:space="preserve">   </w:t>
      </w:r>
      <w:r>
        <w:rPr>
          <w:rFonts w:hint="eastAsia" w:ascii="宋体" w:hAnsi="宋体"/>
        </w:rPr>
        <w:t>堂</w:t>
      </w:r>
      <w:r>
        <w:rPr>
          <w:rFonts w:ascii="宋体" w:hAnsi="宋体"/>
          <w:u w:val="single"/>
        </w:rPr>
        <w:t xml:space="preserve">  </w:t>
      </w:r>
      <w:r>
        <w:rPr>
          <w:rFonts w:hint="eastAsia" w:ascii="仿宋" w:hAnsi="仿宋" w:eastAsia="仿宋" w:cs="仿宋"/>
          <w:szCs w:val="21"/>
          <w:u w:val="single"/>
        </w:rPr>
        <w:t>懿德楼礼堂</w:t>
      </w:r>
      <w:r>
        <w:rPr>
          <w:rFonts w:ascii="宋体" w:hAnsi="宋体"/>
          <w:u w:val="single"/>
        </w:rPr>
        <w:t xml:space="preserve"> </w:t>
      </w:r>
      <w:r>
        <w:rPr>
          <w:rFonts w:hint="eastAsia" w:ascii="仿宋" w:hAnsi="仿宋" w:eastAsia="仿宋" w:cs="仿宋"/>
          <w:szCs w:val="21"/>
          <w:u w:val="single"/>
        </w:rPr>
        <w:t>6306.17</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u w:val="single"/>
        </w:rPr>
        <w:t>3层</w:t>
      </w:r>
      <w:r>
        <w:rPr>
          <w:rFonts w:ascii="宋体" w:hAnsi="宋体"/>
          <w:u w:val="single"/>
        </w:rPr>
        <w:t xml:space="preserve"> </w:t>
      </w:r>
      <w:r>
        <w:rPr>
          <w:rFonts w:hint="eastAsia" w:ascii="宋体" w:hAnsi="宋体"/>
        </w:rPr>
        <w:t>）；</w:t>
      </w:r>
    </w:p>
    <w:p w14:paraId="248455D6">
      <w:pPr>
        <w:spacing w:line="360" w:lineRule="auto"/>
        <w:ind w:firstLine="420" w:firstLineChars="200"/>
        <w:rPr>
          <w:rFonts w:ascii="宋体" w:hAnsi="宋体"/>
        </w:rPr>
      </w:pPr>
      <w:r>
        <w:rPr>
          <w:rFonts w:hint="eastAsia" w:ascii="宋体" w:hAnsi="宋体"/>
        </w:rPr>
        <w:t>机 动 车 停</w:t>
      </w:r>
      <w:r>
        <w:rPr>
          <w:rFonts w:ascii="宋体" w:hAnsi="宋体"/>
        </w:rPr>
        <w:t xml:space="preserve"> </w:t>
      </w:r>
      <w:r>
        <w:rPr>
          <w:rFonts w:hint="eastAsia" w:ascii="宋体" w:hAnsi="宋体"/>
        </w:rPr>
        <w:t>车</w:t>
      </w:r>
      <w:r>
        <w:rPr>
          <w:rFonts w:ascii="宋体" w:hAnsi="宋体"/>
        </w:rPr>
        <w:t xml:space="preserve"> </w:t>
      </w:r>
      <w:r>
        <w:rPr>
          <w:rFonts w:hint="eastAsia" w:ascii="宋体" w:hAnsi="宋体"/>
        </w:rPr>
        <w:t>位</w:t>
      </w:r>
      <w:r>
        <w:rPr>
          <w:rFonts w:ascii="宋体" w:hAnsi="宋体"/>
          <w:u w:val="single"/>
        </w:rPr>
        <w:t xml:space="preserve"> </w:t>
      </w:r>
      <w:r>
        <w:rPr>
          <w:rFonts w:hint="eastAsia" w:ascii="宋体" w:hAnsi="宋体"/>
          <w:u w:val="single"/>
        </w:rPr>
        <w:t xml:space="preserve"> 201</w:t>
      </w:r>
      <w:r>
        <w:rPr>
          <w:rFonts w:ascii="宋体" w:hAnsi="宋体"/>
          <w:u w:val="single"/>
        </w:rPr>
        <w:t xml:space="preserve"> </w:t>
      </w:r>
      <w:r>
        <w:rPr>
          <w:rFonts w:hint="eastAsia" w:ascii="宋体" w:hAnsi="宋体"/>
        </w:rPr>
        <w:t>个。</w:t>
      </w:r>
    </w:p>
    <w:p w14:paraId="5B15B445">
      <w:pPr>
        <w:spacing w:line="360" w:lineRule="auto"/>
        <w:ind w:firstLine="420" w:firstLineChars="200"/>
        <w:rPr>
          <w:rFonts w:ascii="宋体" w:hAnsi="宋体"/>
        </w:rPr>
      </w:pPr>
      <w:r>
        <w:rPr>
          <w:rFonts w:hint="eastAsia" w:ascii="宋体" w:hAnsi="宋体"/>
        </w:rPr>
        <w:t>餐厅</w:t>
      </w:r>
      <w:r>
        <w:rPr>
          <w:rFonts w:hint="eastAsia" w:ascii="宋体" w:hAnsi="宋体"/>
          <w:u w:val="single"/>
        </w:rPr>
        <w:t xml:space="preserve"> 2</w:t>
      </w:r>
      <w:r>
        <w:rPr>
          <w:rFonts w:hint="eastAsia" w:ascii="宋体" w:hAnsi="宋体"/>
        </w:rPr>
        <w:t xml:space="preserve">处，其中： </w:t>
      </w:r>
      <w:r>
        <w:rPr>
          <w:rFonts w:hint="eastAsia" w:ascii="宋体" w:hAnsi="宋体"/>
          <w:u w:val="single"/>
        </w:rPr>
        <w:t xml:space="preserve"> 东九舍（</w:t>
      </w:r>
      <w:r>
        <w:rPr>
          <w:rFonts w:hint="eastAsia" w:ascii="仿宋" w:hAnsi="仿宋" w:eastAsia="仿宋" w:cs="仿宋"/>
          <w:szCs w:val="21"/>
          <w:u w:val="single"/>
        </w:rPr>
        <w:t>第一食堂</w:t>
      </w:r>
      <w:r>
        <w:rPr>
          <w:rFonts w:hint="eastAsia" w:ascii="宋体" w:hAnsi="宋体"/>
          <w:u w:val="single"/>
        </w:rPr>
        <w:t>）、东2舍13楼秋林阁</w:t>
      </w:r>
      <w:r>
        <w:rPr>
          <w:rFonts w:hint="eastAsia" w:ascii="宋体" w:hAnsi="宋体"/>
        </w:rPr>
        <w:t>；</w:t>
      </w:r>
    </w:p>
    <w:p w14:paraId="5949CBB5">
      <w:pPr>
        <w:spacing w:line="360" w:lineRule="auto"/>
        <w:ind w:firstLine="420" w:firstLineChars="200"/>
        <w:rPr>
          <w:rFonts w:ascii="宋体"/>
        </w:rPr>
      </w:pPr>
      <w:r>
        <w:rPr>
          <w:rFonts w:hint="eastAsia" w:ascii="宋体" w:hAnsi="宋体"/>
        </w:rPr>
        <w:t>公用设施、设备及公共场所（地）情况：</w:t>
      </w:r>
    </w:p>
    <w:p w14:paraId="5FCD3299">
      <w:pPr>
        <w:spacing w:line="360" w:lineRule="auto"/>
        <w:ind w:firstLine="420" w:firstLineChars="200"/>
        <w:rPr>
          <w:rFonts w:ascii="宋体"/>
        </w:rPr>
      </w:pPr>
      <w:r>
        <w:rPr>
          <w:rFonts w:ascii="宋体" w:hAnsi="宋体"/>
        </w:rPr>
        <w:t>1</w:t>
      </w:r>
      <w:r>
        <w:rPr>
          <w:rFonts w:hint="eastAsia" w:ascii="宋体" w:hAnsi="宋体"/>
        </w:rPr>
        <w:t>、院区车辆出入口</w:t>
      </w:r>
      <w:r>
        <w:rPr>
          <w:rFonts w:ascii="宋体" w:hAnsi="宋体"/>
          <w:u w:val="single"/>
        </w:rPr>
        <w:t xml:space="preserve">  </w:t>
      </w:r>
      <w:r>
        <w:rPr>
          <w:rFonts w:hint="eastAsia" w:ascii="宋体" w:hAnsi="宋体"/>
          <w:u w:val="single"/>
        </w:rPr>
        <w:t xml:space="preserve">4 </w:t>
      </w:r>
      <w:r>
        <w:rPr>
          <w:rFonts w:hint="eastAsia" w:ascii="宋体" w:hAnsi="宋体"/>
        </w:rPr>
        <w:t>个（含中山南一路937号），人行出入口</w:t>
      </w:r>
      <w:r>
        <w:rPr>
          <w:rFonts w:ascii="宋体" w:hAnsi="宋体"/>
          <w:u w:val="single"/>
        </w:rPr>
        <w:t xml:space="preserve">  </w:t>
      </w:r>
      <w:r>
        <w:rPr>
          <w:rFonts w:hint="eastAsia" w:ascii="宋体" w:hAnsi="宋体"/>
          <w:u w:val="single"/>
        </w:rPr>
        <w:t xml:space="preserve">5 </w:t>
      </w:r>
      <w:r>
        <w:rPr>
          <w:rFonts w:hint="eastAsia" w:ascii="宋体" w:hAnsi="宋体"/>
        </w:rPr>
        <w:t>个（含中山南一路937号）；</w:t>
      </w:r>
    </w:p>
    <w:p w14:paraId="3ECE71C7">
      <w:pPr>
        <w:spacing w:line="360" w:lineRule="auto"/>
        <w:ind w:firstLine="420" w:firstLineChars="200"/>
        <w:rPr>
          <w:rFonts w:ascii="宋体"/>
        </w:rPr>
      </w:pPr>
      <w:r>
        <w:rPr>
          <w:rFonts w:hint="eastAsia" w:ascii="宋体" w:hAnsi="宋体"/>
        </w:rPr>
        <w:t>2、停车场：室内停车场</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个分布在西2新教学楼地下二层，停车位</w:t>
      </w:r>
      <w:r>
        <w:rPr>
          <w:rFonts w:ascii="宋体" w:hAnsi="宋体"/>
          <w:u w:val="single"/>
        </w:rPr>
        <w:t xml:space="preserve">  </w:t>
      </w:r>
      <w:r>
        <w:rPr>
          <w:rFonts w:hint="eastAsia" w:ascii="宋体" w:hAnsi="宋体"/>
          <w:u w:val="single"/>
        </w:rPr>
        <w:t>53</w:t>
      </w:r>
      <w:r>
        <w:rPr>
          <w:rFonts w:ascii="宋体" w:hAnsi="宋体"/>
          <w:u w:val="single"/>
        </w:rPr>
        <w:t xml:space="preserve"> </w:t>
      </w:r>
      <w:r>
        <w:rPr>
          <w:rFonts w:hint="eastAsia" w:ascii="宋体" w:hAnsi="宋体"/>
        </w:rPr>
        <w:t>个；露天专用停车场</w:t>
      </w:r>
      <w:r>
        <w:rPr>
          <w:rFonts w:ascii="宋体" w:hAnsi="宋体"/>
          <w:u w:val="single"/>
        </w:rPr>
        <w:t xml:space="preserve"> </w:t>
      </w:r>
      <w:r>
        <w:rPr>
          <w:rFonts w:hint="eastAsia" w:ascii="宋体" w:hAnsi="宋体"/>
          <w:u w:val="single"/>
        </w:rPr>
        <w:t>0</w:t>
      </w:r>
      <w:r>
        <w:rPr>
          <w:rFonts w:ascii="宋体" w:hAnsi="宋体"/>
          <w:u w:val="single"/>
        </w:rPr>
        <w:t xml:space="preserve">  </w:t>
      </w:r>
      <w:r>
        <w:rPr>
          <w:rFonts w:hint="eastAsia" w:ascii="宋体" w:hAnsi="宋体"/>
        </w:rPr>
        <w:t>个，露天零散停车位</w:t>
      </w:r>
      <w:r>
        <w:rPr>
          <w:rFonts w:ascii="宋体" w:hAnsi="宋体"/>
          <w:u w:val="single"/>
        </w:rPr>
        <w:t xml:space="preserve"> </w:t>
      </w:r>
      <w:r>
        <w:rPr>
          <w:rFonts w:hint="eastAsia" w:ascii="宋体" w:hAnsi="宋体"/>
          <w:u w:val="single"/>
        </w:rPr>
        <w:t>148</w:t>
      </w:r>
      <w:r>
        <w:rPr>
          <w:rFonts w:ascii="宋体" w:hAnsi="宋体"/>
          <w:u w:val="single"/>
        </w:rPr>
        <w:t xml:space="preserve"> </w:t>
      </w:r>
      <w:r>
        <w:rPr>
          <w:rFonts w:hint="eastAsia" w:ascii="宋体" w:hAnsi="宋体"/>
        </w:rPr>
        <w:t>个；</w:t>
      </w:r>
      <w:r>
        <w:rPr>
          <w:rFonts w:hint="eastAsia" w:ascii="宋体"/>
        </w:rPr>
        <w:t>自行车停车位：</w:t>
      </w:r>
      <w:r>
        <w:rPr>
          <w:rFonts w:ascii="宋体" w:hAnsi="宋体"/>
          <w:u w:val="single"/>
        </w:rPr>
        <w:t xml:space="preserve"> </w:t>
      </w:r>
      <w:r>
        <w:rPr>
          <w:rFonts w:hint="eastAsia" w:ascii="宋体" w:hAnsi="宋体"/>
          <w:u w:val="single"/>
        </w:rPr>
        <w:t>270</w:t>
      </w:r>
      <w:r>
        <w:rPr>
          <w:rFonts w:ascii="宋体" w:hAnsi="宋体"/>
          <w:u w:val="single"/>
        </w:rPr>
        <w:t xml:space="preserve"> </w:t>
      </w:r>
      <w:r>
        <w:rPr>
          <w:rFonts w:hint="eastAsia" w:ascii="宋体"/>
        </w:rPr>
        <w:t>个。</w:t>
      </w:r>
    </w:p>
    <w:p w14:paraId="0BAD3E19">
      <w:pPr>
        <w:spacing w:line="360" w:lineRule="auto"/>
        <w:ind w:firstLine="420" w:firstLineChars="200"/>
        <w:rPr>
          <w:rFonts w:ascii="宋体"/>
        </w:rPr>
      </w:pPr>
      <w:r>
        <w:rPr>
          <w:rFonts w:hint="eastAsia" w:ascii="宋体" w:hAnsi="宋体"/>
        </w:rPr>
        <w:t>4、消防自动报警系统情况及消防灭火器配备情况</w:t>
      </w:r>
      <w:r>
        <w:rPr>
          <w:rFonts w:ascii="宋体" w:hAnsi="宋体"/>
          <w:u w:val="single"/>
        </w:rPr>
        <w:t xml:space="preserve"> </w:t>
      </w:r>
      <w:r>
        <w:rPr>
          <w:rFonts w:hint="eastAsia" w:ascii="宋体" w:hAnsi="宋体"/>
          <w:u w:val="single"/>
        </w:rPr>
        <w:t>消防控制中心设置在东2科教楼一层、西2号楼一层、西7号楼一层，与监控中心（室）合建，其火灾报警控制主机与消防安防控制中心火灾报警控制主机设置通讯网络联络，消防控制中心能显示所有火灾报警信号和联动控制状态信号。</w:t>
      </w:r>
      <w:r>
        <w:rPr>
          <w:rFonts w:ascii="宋体" w:hAnsi="宋体"/>
          <w:u w:val="single"/>
        </w:rPr>
        <w:t xml:space="preserve">  </w:t>
      </w:r>
      <w:r>
        <w:rPr>
          <w:rFonts w:hint="eastAsia" w:ascii="宋体" w:hAnsi="宋体"/>
        </w:rPr>
        <w:t>；</w:t>
      </w:r>
    </w:p>
    <w:p w14:paraId="73C67941">
      <w:pPr>
        <w:spacing w:line="360" w:lineRule="auto"/>
        <w:ind w:firstLine="420" w:firstLineChars="200"/>
        <w:jc w:val="left"/>
        <w:rPr>
          <w:rFonts w:ascii="宋体"/>
        </w:rPr>
      </w:pPr>
      <w:r>
        <w:rPr>
          <w:rFonts w:hint="eastAsia" w:ascii="宋体" w:hAnsi="宋体"/>
        </w:rPr>
        <w:t>5、智能安防系统</w:t>
      </w:r>
      <w:r>
        <w:rPr>
          <w:rFonts w:ascii="宋体" w:hAnsi="宋体"/>
          <w:u w:val="single"/>
        </w:rPr>
        <w:t xml:space="preserve"> </w:t>
      </w:r>
      <w:r>
        <w:rPr>
          <w:rFonts w:hint="eastAsia" w:ascii="宋体" w:hAnsi="宋体"/>
          <w:u w:val="single"/>
        </w:rPr>
        <w:t>监控中心设置在东2科教楼一层，与消防控制中心合建。智能安防系统包含一屏、综合管理平台、视频监控系统、出入口控制系统、入侵报警系统</w:t>
      </w:r>
      <w:r>
        <w:rPr>
          <w:rFonts w:ascii="宋体" w:hAnsi="宋体"/>
          <w:u w:val="single"/>
        </w:rPr>
        <w:t xml:space="preserve">   </w:t>
      </w:r>
      <w:r>
        <w:rPr>
          <w:rFonts w:hint="eastAsia" w:ascii="宋体" w:hAnsi="宋体"/>
        </w:rPr>
        <w:t>；</w:t>
      </w:r>
    </w:p>
    <w:p w14:paraId="70AAA43D">
      <w:pPr>
        <w:spacing w:line="360" w:lineRule="auto"/>
        <w:ind w:firstLine="413" w:firstLineChars="196"/>
        <w:outlineLvl w:val="1"/>
        <w:rPr>
          <w:rFonts w:ascii="宋体" w:hAnsi="宋体"/>
          <w:b/>
          <w:szCs w:val="21"/>
        </w:rPr>
      </w:pPr>
      <w:r>
        <w:rPr>
          <w:rFonts w:hint="eastAsia" w:ascii="宋体"/>
          <w:b/>
        </w:rPr>
        <w:t>（二）业主方</w:t>
      </w:r>
      <w:r>
        <w:rPr>
          <w:rFonts w:hint="eastAsia" w:ascii="宋体" w:hAnsi="宋体"/>
          <w:b/>
          <w:szCs w:val="21"/>
        </w:rPr>
        <w:t>为保安服务企业提供的保安服务用房情况</w:t>
      </w:r>
    </w:p>
    <w:p w14:paraId="175DEB73">
      <w:pPr>
        <w:ind w:firstLine="420" w:firstLineChars="200"/>
        <w:rPr>
          <w:rFonts w:ascii="宋体" w:hAnsi="宋体"/>
        </w:rPr>
      </w:pPr>
      <w:r>
        <w:rPr>
          <w:rFonts w:hint="eastAsia" w:ascii="宋体" w:hAnsi="宋体"/>
        </w:rPr>
        <w:t>业主方提供保安服务管理用房办公房浦东校区</w:t>
      </w:r>
      <w:r>
        <w:rPr>
          <w:rFonts w:ascii="宋体" w:hAnsi="宋体"/>
          <w:u w:val="single"/>
        </w:rPr>
        <w:t xml:space="preserve"> </w:t>
      </w:r>
      <w:r>
        <w:rPr>
          <w:rFonts w:hint="eastAsia" w:ascii="宋体" w:hAnsi="宋体"/>
          <w:u w:val="single"/>
        </w:rPr>
        <w:t xml:space="preserve"> 4</w:t>
      </w:r>
      <w:r>
        <w:rPr>
          <w:rFonts w:ascii="宋体" w:hAnsi="宋体"/>
          <w:u w:val="single"/>
        </w:rPr>
        <w:t xml:space="preserve"> </w:t>
      </w:r>
      <w:r>
        <w:rPr>
          <w:rFonts w:hint="eastAsia" w:ascii="宋体" w:hAnsi="宋体"/>
          <w:u w:val="single"/>
        </w:rPr>
        <w:t>间</w:t>
      </w:r>
      <w:r>
        <w:rPr>
          <w:rFonts w:hint="eastAsia" w:ascii="宋体" w:hAnsi="宋体"/>
        </w:rPr>
        <w:t>；黄浦校区</w:t>
      </w:r>
      <w:r>
        <w:rPr>
          <w:rFonts w:ascii="宋体" w:hAnsi="宋体"/>
          <w:u w:val="single"/>
        </w:rPr>
        <w:t xml:space="preserve"> </w:t>
      </w:r>
      <w:r>
        <w:rPr>
          <w:rFonts w:hint="eastAsia" w:ascii="宋体" w:hAnsi="宋体"/>
          <w:u w:val="single"/>
        </w:rPr>
        <w:t xml:space="preserve"> 8</w:t>
      </w:r>
      <w:r>
        <w:rPr>
          <w:rFonts w:ascii="宋体" w:hAnsi="宋体"/>
          <w:u w:val="single"/>
        </w:rPr>
        <w:t xml:space="preserve"> </w:t>
      </w:r>
      <w:r>
        <w:rPr>
          <w:rFonts w:hint="eastAsia" w:ascii="宋体" w:hAnsi="宋体"/>
          <w:u w:val="single"/>
        </w:rPr>
        <w:t>间</w:t>
      </w:r>
      <w:r>
        <w:rPr>
          <w:rFonts w:hint="eastAsia" w:ascii="宋体" w:hAnsi="宋体"/>
        </w:rPr>
        <w:t>。</w:t>
      </w:r>
    </w:p>
    <w:p w14:paraId="52F285A9">
      <w:pPr>
        <w:ind w:firstLine="420" w:firstLineChars="200"/>
        <w:rPr>
          <w:rFonts w:ascii="宋体" w:hAnsi="宋体"/>
        </w:rPr>
      </w:pPr>
    </w:p>
    <w:p w14:paraId="2ABB6C57">
      <w:pPr>
        <w:widowControl/>
        <w:tabs>
          <w:tab w:val="left" w:pos="567"/>
        </w:tabs>
        <w:spacing w:beforeLines="100" w:afterLines="50" w:line="360" w:lineRule="auto"/>
        <w:jc w:val="left"/>
        <w:outlineLvl w:val="0"/>
        <w:rPr>
          <w:rFonts w:ascii="Times New Roman" w:hAnsi="Times New Roman"/>
          <w:b/>
          <w:color w:val="000000"/>
          <w:kern w:val="0"/>
          <w:sz w:val="24"/>
          <w:szCs w:val="24"/>
        </w:rPr>
      </w:pPr>
      <w:r>
        <w:rPr>
          <w:rFonts w:hint="eastAsia" w:ascii="Times New Roman" w:hAnsi="Times New Roman"/>
          <w:b/>
          <w:color w:val="000000"/>
          <w:kern w:val="0"/>
          <w:sz w:val="24"/>
          <w:szCs w:val="24"/>
        </w:rPr>
        <w:t>二、校园基本情况</w:t>
      </w:r>
    </w:p>
    <w:p w14:paraId="19C52408">
      <w:pPr>
        <w:spacing w:line="360" w:lineRule="auto"/>
        <w:ind w:firstLine="420" w:firstLineChars="200"/>
        <w:rPr>
          <w:rFonts w:ascii="宋体" w:hAnsi="宋体"/>
        </w:rPr>
      </w:pPr>
      <w:r>
        <w:rPr>
          <w:rFonts w:hint="eastAsia" w:ascii="宋体" w:hAnsi="宋体"/>
        </w:rPr>
        <w:t>上海交通大学医学院位于创新求索、文化荟萃、包容并蓄的黄浦腹地，红墙映日、梧桐环绕。其前身是由圣约翰大学医学院(1896-1952)、震旦大学医学院(1911-1952)、同德医学院（1918-1952)于1952年全国高等学校院系调整时合并而成的上海第二医学院，1985年更名为上海第二医科大学。1997年学校通过了“211工程”立项。2005年7月，上海交通大学与上海第二医科大学合并，成立了新的由教育部、上海市政府重点共建的上海交通大学医学院，进入“985”高校行列。2010年11月，学院成为卫生部与教育部合作共建的第一批十个重点高校中的一员。七轶弦歌、医路芳华。历经百余年的春华秋实和七十二载的风雨征程，医学院秉持“团结、勤奋、求实、进取”的院训及“博极医源、精勤不倦”的学院精神，始终以谋国家之强盛、求科学之真知、践医学之神圣为己任，与时代齐奋进、与祖国共命运、与人民同呼吸，在医疗卫生事业的壮美画卷中留下了诸多浓墨重彩的笔触，为社会输送了7万余名医学人才。学院现已发展成为一所享有较高国际声誉，师资力量雄厚，优势特色明显，学术成绩卓著，集医、教、研以及社会服务全面发展的研究型、创新型院校。综合实力稳居全国前列，在多项学科综合排名中均位列全国医学院校首位。上海交通大学医学院现拥有黄浦和闵行两个校区，2019年浦东校区项目正式立项，2020年浦东校区盛大开工，2025年浦东校区搬迁启用。2021年全面启动上海交通大学医学院海南国际医学中心项目建设。历经百余年的上海交大医学院拉开了从浦西延伸到浦东，从新天地融入到国际医学园区的序幕。</w:t>
      </w:r>
    </w:p>
    <w:p w14:paraId="02393E61">
      <w:pPr>
        <w:spacing w:line="360" w:lineRule="auto"/>
        <w:ind w:firstLine="420" w:firstLineChars="200"/>
        <w:rPr>
          <w:rFonts w:ascii="宋体" w:hAnsi="宋体"/>
        </w:rPr>
      </w:pPr>
      <w:r>
        <w:rPr>
          <w:rFonts w:hint="eastAsia" w:ascii="宋体" w:hAnsi="宋体"/>
        </w:rPr>
        <w:t>医学院现有教职医务员工42000余名，在校师生9000余名。安全保卫机构健全，设有武装保卫部处（武保处下设校卫队、保安队），全面负责医学院安全保卫与稳定工作。医学院浦东校区共有4扇校门，分别是天雄路100号北1门、蓝靛路1号北2门、半夏路1号东1门、紫萍路227号东2门；黄浦区校区共有八扇校门，分别是重庆南路280号西院大门、思南路近95号校门、重庆南路227号甲东院大门、重庆南路227号丁门诊部校门、合肥路411号健康所校门、合肥路381号校门、淡水路416号校门、中山南一路937号大门。</w:t>
      </w:r>
    </w:p>
    <w:p w14:paraId="492C597F">
      <w:pPr>
        <w:widowControl/>
        <w:tabs>
          <w:tab w:val="left" w:pos="567"/>
        </w:tabs>
        <w:spacing w:beforeLines="100" w:afterLines="50" w:line="360" w:lineRule="auto"/>
        <w:jc w:val="left"/>
        <w:outlineLvl w:val="0"/>
        <w:rPr>
          <w:rFonts w:ascii="Times New Roman" w:hAnsi="Times New Roman"/>
          <w:b/>
          <w:color w:val="000000"/>
          <w:kern w:val="0"/>
          <w:sz w:val="24"/>
          <w:szCs w:val="24"/>
        </w:rPr>
      </w:pPr>
      <w:r>
        <w:rPr>
          <w:rFonts w:hint="eastAsia" w:ascii="Times New Roman" w:hAnsi="Times New Roman"/>
          <w:b/>
          <w:color w:val="000000"/>
          <w:kern w:val="0"/>
          <w:sz w:val="24"/>
          <w:szCs w:val="24"/>
        </w:rPr>
        <w:t>三、保安服务主要职责</w:t>
      </w:r>
    </w:p>
    <w:p w14:paraId="3000CF03">
      <w:pPr>
        <w:spacing w:line="360" w:lineRule="auto"/>
        <w:ind w:firstLine="420" w:firstLineChars="200"/>
        <w:rPr>
          <w:rFonts w:ascii="宋体" w:hAnsi="宋体"/>
        </w:rPr>
      </w:pPr>
      <w:r>
        <w:rPr>
          <w:rFonts w:hint="eastAsia" w:ascii="宋体" w:hAnsi="宋体"/>
        </w:rPr>
        <w:t>1.依照上海交通大学医学院规定与管理要求，结合高校安全保卫工作实际情况，制订切实可行的校园安全保卫与稳定工作整体方案，开展专业化的安全防范业务。</w:t>
      </w:r>
    </w:p>
    <w:p w14:paraId="43062778">
      <w:pPr>
        <w:spacing w:line="360" w:lineRule="auto"/>
        <w:ind w:firstLine="420" w:firstLineChars="200"/>
        <w:rPr>
          <w:rFonts w:ascii="宋体" w:hAnsi="宋体"/>
        </w:rPr>
      </w:pPr>
      <w:r>
        <w:rPr>
          <w:rFonts w:hint="eastAsia" w:ascii="宋体" w:hAnsi="宋体"/>
        </w:rPr>
        <w:t>2.保安服务工作主要包括学校门卫管理，安全巡逻检查，做好防火、防盗、防破坏、防事故等安全保卫工作，应对处理各类突发事件，及时发现和消除各项安全隐患，配合相关单位部门打击违法犯罪活动。</w:t>
      </w:r>
    </w:p>
    <w:p w14:paraId="5F5A2161">
      <w:pPr>
        <w:widowControl/>
        <w:tabs>
          <w:tab w:val="left" w:pos="567"/>
        </w:tabs>
        <w:spacing w:beforeLines="100" w:afterLines="50" w:line="360" w:lineRule="auto"/>
        <w:jc w:val="left"/>
        <w:outlineLvl w:val="0"/>
        <w:rPr>
          <w:rFonts w:ascii="Times New Roman" w:hAnsi="Times New Roman"/>
          <w:b/>
          <w:color w:val="000000"/>
          <w:kern w:val="0"/>
          <w:sz w:val="24"/>
          <w:szCs w:val="24"/>
        </w:rPr>
      </w:pPr>
      <w:r>
        <w:rPr>
          <w:rFonts w:hint="eastAsia" w:ascii="Times New Roman" w:hAnsi="Times New Roman"/>
          <w:b/>
          <w:color w:val="000000"/>
          <w:kern w:val="0"/>
          <w:sz w:val="24"/>
          <w:szCs w:val="24"/>
        </w:rPr>
        <w:t xml:space="preserve">四、服务管理的主要内容   </w:t>
      </w:r>
    </w:p>
    <w:p w14:paraId="4F8BA502">
      <w:pPr>
        <w:spacing w:line="360" w:lineRule="auto"/>
        <w:ind w:firstLine="420" w:firstLineChars="200"/>
        <w:rPr>
          <w:rFonts w:ascii="宋体" w:hAnsi="宋体"/>
        </w:rPr>
      </w:pPr>
      <w:r>
        <w:rPr>
          <w:rFonts w:hint="eastAsia" w:ascii="宋体" w:hAnsi="宋体"/>
        </w:rPr>
        <w:t>1.基础管理：日常管理、人事管理、财务管理、档案管理等。</w:t>
      </w:r>
    </w:p>
    <w:p w14:paraId="6CC92470">
      <w:pPr>
        <w:spacing w:line="360" w:lineRule="auto"/>
        <w:ind w:firstLine="420" w:firstLineChars="200"/>
        <w:rPr>
          <w:rFonts w:ascii="宋体" w:hAnsi="宋体"/>
        </w:rPr>
      </w:pPr>
      <w:r>
        <w:rPr>
          <w:rFonts w:hint="eastAsia" w:ascii="宋体" w:hAnsi="宋体"/>
        </w:rPr>
        <w:t>2.门岗值守：校门进出人员管理、来访登记、物品出入管理，校门车辆出入管理。</w:t>
      </w:r>
    </w:p>
    <w:p w14:paraId="33AB1DDC">
      <w:pPr>
        <w:spacing w:line="360" w:lineRule="auto"/>
        <w:ind w:firstLine="420" w:firstLineChars="200"/>
        <w:rPr>
          <w:rFonts w:ascii="宋体" w:hAnsi="宋体"/>
        </w:rPr>
      </w:pPr>
      <w:r>
        <w:rPr>
          <w:rFonts w:hint="eastAsia" w:ascii="宋体" w:hAnsi="宋体"/>
        </w:rPr>
        <w:t>3.巡逻检查：校园安全巡逻、交通管理、突发安全事件处置、消防灭火等。</w:t>
      </w:r>
    </w:p>
    <w:p w14:paraId="03B8FD8E">
      <w:pPr>
        <w:spacing w:line="360" w:lineRule="auto"/>
        <w:ind w:firstLine="420" w:firstLineChars="200"/>
        <w:rPr>
          <w:rFonts w:ascii="宋体" w:hAnsi="宋体"/>
        </w:rPr>
      </w:pPr>
      <w:r>
        <w:rPr>
          <w:rFonts w:hint="eastAsia" w:ascii="宋体" w:hAnsi="宋体"/>
        </w:rPr>
        <w:t>4.停车管理：浦东校区停车场交通管理、应急处置等。</w:t>
      </w:r>
    </w:p>
    <w:p w14:paraId="3D6124DF">
      <w:pPr>
        <w:spacing w:line="360" w:lineRule="auto"/>
        <w:ind w:firstLine="420" w:firstLineChars="200"/>
        <w:rPr>
          <w:rFonts w:ascii="宋体" w:hAnsi="宋体"/>
        </w:rPr>
      </w:pPr>
      <w:r>
        <w:rPr>
          <w:rFonts w:hint="eastAsia" w:ascii="宋体" w:hAnsi="宋体"/>
        </w:rPr>
        <w:t>5.监控中心管理：监控值守、操作规程、硬软件系统、登记查询记录、应急处置等。</w:t>
      </w:r>
    </w:p>
    <w:p w14:paraId="4C8D8BB2">
      <w:pPr>
        <w:spacing w:line="360" w:lineRule="auto"/>
        <w:ind w:firstLine="420" w:firstLineChars="200"/>
        <w:rPr>
          <w:rFonts w:ascii="宋体" w:hAnsi="宋体"/>
        </w:rPr>
      </w:pPr>
      <w:r>
        <w:rPr>
          <w:rFonts w:hint="eastAsia" w:ascii="宋体" w:hAnsi="宋体"/>
        </w:rPr>
        <w:t>6.应急处置管理：制定应急预案，及时处置各类突发事件。</w:t>
      </w:r>
    </w:p>
    <w:p w14:paraId="35366DB3">
      <w:pPr>
        <w:spacing w:line="360" w:lineRule="auto"/>
        <w:ind w:firstLine="420" w:firstLineChars="200"/>
        <w:rPr>
          <w:rFonts w:ascii="宋体" w:hAnsi="宋体"/>
        </w:rPr>
      </w:pPr>
      <w:r>
        <w:rPr>
          <w:rFonts w:hint="eastAsia" w:ascii="宋体" w:hAnsi="宋体"/>
        </w:rPr>
        <w:t>7.消防安全管理：建立安全防火制度，组织防火检查及消防应急处突。</w:t>
      </w:r>
    </w:p>
    <w:p w14:paraId="501B1C96">
      <w:pPr>
        <w:spacing w:line="360" w:lineRule="auto"/>
        <w:ind w:firstLine="420" w:firstLineChars="200"/>
        <w:rPr>
          <w:rFonts w:ascii="宋体" w:hAnsi="宋体"/>
        </w:rPr>
      </w:pPr>
      <w:r>
        <w:rPr>
          <w:rFonts w:hint="eastAsia" w:ascii="宋体" w:hAnsi="宋体"/>
        </w:rPr>
        <w:t>8.其他：大型活动配合、校内突发事件的应急处理、灾害性预防巡检、应急预案培训演练等。</w:t>
      </w:r>
    </w:p>
    <w:p w14:paraId="5774CA7A">
      <w:pPr>
        <w:widowControl/>
        <w:tabs>
          <w:tab w:val="left" w:pos="567"/>
        </w:tabs>
        <w:spacing w:beforeLines="100" w:afterLines="50" w:line="360" w:lineRule="auto"/>
        <w:jc w:val="left"/>
        <w:outlineLvl w:val="0"/>
        <w:rPr>
          <w:rFonts w:ascii="Times New Roman" w:hAnsi="Times New Roman"/>
          <w:b/>
          <w:color w:val="000000"/>
          <w:kern w:val="0"/>
          <w:sz w:val="24"/>
          <w:szCs w:val="24"/>
        </w:rPr>
      </w:pPr>
      <w:r>
        <w:rPr>
          <w:rFonts w:hint="eastAsia" w:ascii="Times New Roman" w:hAnsi="Times New Roman"/>
          <w:b/>
          <w:color w:val="000000"/>
          <w:kern w:val="0"/>
          <w:sz w:val="24"/>
          <w:szCs w:val="24"/>
        </w:rPr>
        <w:t>五、服务管理具体要求</w:t>
      </w:r>
    </w:p>
    <w:p w14:paraId="2A0A9563">
      <w:pPr>
        <w:spacing w:line="360" w:lineRule="auto"/>
        <w:ind w:firstLine="420" w:firstLineChars="200"/>
        <w:outlineLvl w:val="1"/>
        <w:rPr>
          <w:rFonts w:ascii="宋体" w:hAnsi="宋体"/>
        </w:rPr>
      </w:pPr>
      <w:r>
        <w:rPr>
          <w:rFonts w:hint="eastAsia" w:ascii="宋体" w:hAnsi="宋体"/>
        </w:rPr>
        <w:t>(一)基础管理（包括但不限于以下要求）</w:t>
      </w:r>
    </w:p>
    <w:p w14:paraId="78809CD9">
      <w:pPr>
        <w:spacing w:line="360" w:lineRule="auto"/>
        <w:ind w:firstLine="420" w:firstLineChars="200"/>
        <w:rPr>
          <w:rFonts w:ascii="宋体" w:hAnsi="宋体"/>
        </w:rPr>
      </w:pPr>
      <w:r>
        <w:rPr>
          <w:rFonts w:hint="eastAsia" w:ascii="宋体" w:hAnsi="宋体"/>
        </w:rPr>
        <w:t>1.日常管理：针对本项目管理日常运作要求，建立健全各项管理制度，分解细化日常工作流程。</w:t>
      </w:r>
    </w:p>
    <w:p w14:paraId="41CAFD87">
      <w:pPr>
        <w:spacing w:line="360" w:lineRule="auto"/>
        <w:ind w:firstLine="420" w:firstLineChars="200"/>
        <w:rPr>
          <w:rFonts w:ascii="宋体" w:hAnsi="宋体"/>
        </w:rPr>
      </w:pPr>
      <w:r>
        <w:rPr>
          <w:rFonts w:hint="eastAsia" w:ascii="宋体" w:hAnsi="宋体"/>
        </w:rPr>
        <w:t>2.人事管理：建立起合理、有效的人员招聘、培训、考核、激励机制，为本项目的运作提供有力的人力资源保障。</w:t>
      </w:r>
    </w:p>
    <w:p w14:paraId="360C5198">
      <w:pPr>
        <w:spacing w:line="360" w:lineRule="auto"/>
        <w:ind w:firstLine="420" w:firstLineChars="200"/>
        <w:rPr>
          <w:rFonts w:ascii="宋体" w:hAnsi="宋体"/>
        </w:rPr>
      </w:pPr>
      <w:r>
        <w:rPr>
          <w:rFonts w:hint="eastAsia" w:ascii="宋体" w:hAnsi="宋体"/>
        </w:rPr>
        <w:t>3.财务管理：建立起符合国家规定和合同约定的财务制度，严控管理成本。</w:t>
      </w:r>
    </w:p>
    <w:p w14:paraId="189B5B77">
      <w:pPr>
        <w:spacing w:line="360" w:lineRule="auto"/>
        <w:ind w:firstLine="420" w:firstLineChars="200"/>
        <w:rPr>
          <w:rFonts w:ascii="宋体" w:hAnsi="宋体"/>
        </w:rPr>
      </w:pPr>
      <w:r>
        <w:rPr>
          <w:rFonts w:hint="eastAsia" w:ascii="宋体" w:hAnsi="宋体"/>
        </w:rPr>
        <w:t>4.台账管理：根据本项目实际情况，做好各类人员、车辆进出校门管理、巡逻检查、技防消防监控值班、消防定期检查、安防物品盘点、各类物资储用等相关工作台账，做好保管、清理及销毁等工作。使用监控设备不得侵犯他人合法权益或者个人隐私。保安服务中形成的监控影像资料、报警记录，应当至少留存30日备查，不得删改或者扩散。</w:t>
      </w:r>
    </w:p>
    <w:p w14:paraId="213A4C95">
      <w:pPr>
        <w:spacing w:line="360" w:lineRule="auto"/>
        <w:ind w:firstLine="420" w:firstLineChars="200"/>
        <w:rPr>
          <w:rFonts w:ascii="宋体" w:hAnsi="宋体"/>
        </w:rPr>
      </w:pPr>
      <w:r>
        <w:rPr>
          <w:rFonts w:hint="eastAsia" w:ascii="宋体" w:hAnsi="宋体"/>
        </w:rPr>
        <w:t>5.仓库管理：建立仓库管理和备品备件领用制度，做到帐、卡、物相符。</w:t>
      </w:r>
    </w:p>
    <w:p w14:paraId="5A496858">
      <w:pPr>
        <w:spacing w:line="360" w:lineRule="auto"/>
        <w:ind w:firstLine="420" w:firstLineChars="200"/>
        <w:rPr>
          <w:rFonts w:ascii="宋体" w:hAnsi="宋体"/>
        </w:rPr>
      </w:pPr>
      <w:r>
        <w:rPr>
          <w:rFonts w:hint="eastAsia" w:ascii="宋体" w:hAnsi="宋体"/>
        </w:rPr>
        <w:t>6.管理质量控制：建立符合实际的、具有可操作性的服务管理作业标准体系。</w:t>
      </w:r>
    </w:p>
    <w:p w14:paraId="6ED93DDE">
      <w:pPr>
        <w:spacing w:line="360" w:lineRule="auto"/>
        <w:ind w:firstLine="420" w:firstLineChars="200"/>
        <w:rPr>
          <w:rFonts w:ascii="宋体" w:hAnsi="宋体"/>
        </w:rPr>
      </w:pPr>
      <w:r>
        <w:rPr>
          <w:rFonts w:hint="eastAsia" w:ascii="宋体" w:hAnsi="宋体"/>
        </w:rPr>
        <w:t>7.投诉接待处理：建立投诉接待处理流程，及时处理投诉，并做好回访与记录，杜绝与员工发生矛盾冲突。</w:t>
      </w:r>
    </w:p>
    <w:p w14:paraId="79A30383">
      <w:pPr>
        <w:spacing w:line="360" w:lineRule="auto"/>
        <w:ind w:firstLine="420" w:firstLineChars="200"/>
        <w:rPr>
          <w:rFonts w:ascii="宋体" w:hAnsi="宋体"/>
        </w:rPr>
      </w:pPr>
      <w:r>
        <w:rPr>
          <w:rFonts w:hint="eastAsia" w:ascii="宋体" w:hAnsi="宋体"/>
        </w:rPr>
        <w:t>8.客户意见征询：制订规范标准的客户意见征询操作流程，根据需求信息，组织各类资源去满足客户的各种需求，为客户提供规范、专业、满意、周到的服务。</w:t>
      </w:r>
    </w:p>
    <w:p w14:paraId="2B890F49">
      <w:pPr>
        <w:spacing w:line="360" w:lineRule="auto"/>
        <w:ind w:firstLine="420" w:firstLineChars="200"/>
        <w:outlineLvl w:val="1"/>
        <w:rPr>
          <w:rFonts w:ascii="宋体" w:hAnsi="宋体"/>
        </w:rPr>
      </w:pPr>
      <w:r>
        <w:rPr>
          <w:rFonts w:hint="eastAsia" w:ascii="宋体" w:hAnsi="宋体"/>
        </w:rPr>
        <w:t>（二）门岗值守（包括但不仅限于以下要求）</w:t>
      </w:r>
    </w:p>
    <w:p w14:paraId="65C43A8F">
      <w:pPr>
        <w:spacing w:line="360" w:lineRule="auto"/>
        <w:ind w:firstLine="420" w:firstLineChars="200"/>
        <w:rPr>
          <w:rFonts w:ascii="宋体" w:hAnsi="宋体"/>
        </w:rPr>
      </w:pPr>
      <w:r>
        <w:rPr>
          <w:rFonts w:hint="eastAsia" w:ascii="宋体" w:hAnsi="宋体"/>
        </w:rPr>
        <w:t>1.负责检查进入校门的人员证件，根据医学院武保处要求记录外来人员、车辆登记，控制校外人员和车辆进入校园。</w:t>
      </w:r>
    </w:p>
    <w:p w14:paraId="6C1B2117">
      <w:pPr>
        <w:spacing w:line="360" w:lineRule="auto"/>
        <w:ind w:firstLine="420" w:firstLineChars="200"/>
        <w:rPr>
          <w:rFonts w:ascii="宋体" w:hAnsi="宋体"/>
        </w:rPr>
      </w:pPr>
      <w:r>
        <w:rPr>
          <w:rFonts w:hint="eastAsia" w:ascii="宋体" w:hAnsi="宋体"/>
        </w:rPr>
        <w:t>2.严禁闲杂人员、推销商品人员、不明身份人员进入学校，确保校园平安。对拒不出示证件或不能证明其身份的外来人员，保卫人员有权拒绝其进入学校及楼宇，并做好解释工作。</w:t>
      </w:r>
    </w:p>
    <w:p w14:paraId="258A8D84">
      <w:pPr>
        <w:spacing w:line="360" w:lineRule="auto"/>
        <w:ind w:firstLine="420" w:firstLineChars="200"/>
        <w:rPr>
          <w:rFonts w:ascii="宋体" w:hAnsi="宋体"/>
        </w:rPr>
      </w:pPr>
      <w:r>
        <w:rPr>
          <w:rFonts w:hint="eastAsia" w:ascii="宋体" w:hAnsi="宋体"/>
        </w:rPr>
        <w:t>3.对进出学校的外来人员携带的可疑物品要进行查验，严禁易燃易爆、剧毒、管制刀具等危险物品进入校园。</w:t>
      </w:r>
    </w:p>
    <w:p w14:paraId="3D5CE314">
      <w:pPr>
        <w:spacing w:line="360" w:lineRule="auto"/>
        <w:ind w:firstLine="420" w:firstLineChars="200"/>
        <w:rPr>
          <w:rFonts w:ascii="宋体" w:hAnsi="宋体"/>
        </w:rPr>
      </w:pPr>
      <w:r>
        <w:rPr>
          <w:rFonts w:hint="eastAsia" w:ascii="宋体" w:hAnsi="宋体"/>
        </w:rPr>
        <w:t>4.对带出学校及楼宇的大宗物品要请示职能部门领导同意，并凭物品携出证查验登记后方可放行。</w:t>
      </w:r>
    </w:p>
    <w:p w14:paraId="306DF6C4">
      <w:pPr>
        <w:spacing w:line="360" w:lineRule="auto"/>
        <w:ind w:firstLine="420" w:firstLineChars="200"/>
        <w:rPr>
          <w:rFonts w:ascii="宋体" w:hAnsi="宋体"/>
        </w:rPr>
      </w:pPr>
      <w:r>
        <w:rPr>
          <w:rFonts w:hint="eastAsia" w:ascii="宋体" w:hAnsi="宋体"/>
        </w:rPr>
        <w:t>5.工作期间注意本人仪表仪容，按规着装（装备）站岗，衣领、扣子、徽章、腰带、帽子、领带等均需整齐。</w:t>
      </w:r>
    </w:p>
    <w:p w14:paraId="175D0883">
      <w:pPr>
        <w:spacing w:line="360" w:lineRule="auto"/>
        <w:ind w:firstLine="420" w:firstLineChars="200"/>
        <w:rPr>
          <w:rFonts w:ascii="宋体" w:hAnsi="宋体"/>
        </w:rPr>
      </w:pPr>
      <w:r>
        <w:rPr>
          <w:rFonts w:hint="eastAsia" w:ascii="宋体" w:hAnsi="宋体"/>
        </w:rPr>
        <w:t>6.在岗期间工作人员不得睡觉，中间不得脱岗，站岗时不得用餐、抽烟、不与人闲聊，不随意接听电话，不做与工作无关的事情，保持良好的形象，避免与各类进校人员发生冲突。</w:t>
      </w:r>
    </w:p>
    <w:p w14:paraId="390D6FFF">
      <w:pPr>
        <w:spacing w:line="360" w:lineRule="auto"/>
        <w:ind w:firstLine="420" w:firstLineChars="200"/>
        <w:rPr>
          <w:rFonts w:ascii="宋体" w:hAnsi="宋体"/>
        </w:rPr>
      </w:pPr>
      <w:r>
        <w:rPr>
          <w:rFonts w:hint="eastAsia" w:ascii="宋体" w:hAnsi="宋体"/>
        </w:rPr>
        <w:t>7.巡逻时间及安排应满足医学院武保处和职能部门要求，重点部位要仔细巡逻，通过有效的巡查，将治安、消防等隐患排除。</w:t>
      </w:r>
    </w:p>
    <w:p w14:paraId="70D10F66">
      <w:pPr>
        <w:spacing w:line="360" w:lineRule="auto"/>
        <w:ind w:firstLine="420" w:firstLineChars="200"/>
        <w:rPr>
          <w:rFonts w:ascii="宋体" w:hAnsi="宋体"/>
        </w:rPr>
      </w:pPr>
      <w:r>
        <w:rPr>
          <w:rFonts w:hint="eastAsia" w:ascii="宋体" w:hAnsi="宋体"/>
        </w:rPr>
        <w:t>8.根据医学院武保处要求，配合做好防汛防台、灾害性天气期间的巡防和抢险工作。</w:t>
      </w:r>
    </w:p>
    <w:p w14:paraId="794A789B">
      <w:pPr>
        <w:spacing w:line="360" w:lineRule="auto"/>
        <w:ind w:firstLine="420" w:firstLineChars="200"/>
        <w:outlineLvl w:val="1"/>
        <w:rPr>
          <w:rFonts w:ascii="宋体" w:hAnsi="宋体"/>
        </w:rPr>
      </w:pPr>
      <w:r>
        <w:rPr>
          <w:rFonts w:hint="eastAsia" w:ascii="宋体" w:hAnsi="宋体"/>
        </w:rPr>
        <w:t>（三）巡逻检查</w:t>
      </w:r>
    </w:p>
    <w:p w14:paraId="23196C57">
      <w:pPr>
        <w:spacing w:line="360" w:lineRule="auto"/>
        <w:ind w:firstLine="420" w:firstLineChars="200"/>
        <w:rPr>
          <w:rFonts w:ascii="宋体" w:hAnsi="宋体"/>
        </w:rPr>
      </w:pPr>
      <w:r>
        <w:rPr>
          <w:rFonts w:hint="eastAsia" w:ascii="宋体" w:hAnsi="宋体"/>
        </w:rPr>
        <w:t>1.定时巡查各区域（每小时至少巡逻两次），关注各处治安、消防等重点防范场所部位，发现异常状况和安全隐患及时处置并上报，认真做好巡查记录。</w:t>
      </w:r>
    </w:p>
    <w:p w14:paraId="6395BDEE">
      <w:pPr>
        <w:spacing w:line="360" w:lineRule="auto"/>
        <w:ind w:firstLine="420" w:firstLineChars="200"/>
        <w:rPr>
          <w:rFonts w:ascii="宋体" w:hAnsi="宋体"/>
        </w:rPr>
      </w:pPr>
      <w:r>
        <w:rPr>
          <w:rFonts w:hint="eastAsia" w:ascii="宋体" w:hAnsi="宋体"/>
        </w:rPr>
        <w:t>2.巡逻中发现可疑人员要及时询问或监视，发现闲杂人员、推销人员要及时劝阻离开，发现员工不良行为要及时进行劝阻纠正。</w:t>
      </w:r>
    </w:p>
    <w:p w14:paraId="71CEE0DC">
      <w:pPr>
        <w:spacing w:line="360" w:lineRule="auto"/>
        <w:ind w:firstLine="420" w:firstLineChars="200"/>
        <w:rPr>
          <w:rFonts w:ascii="宋体" w:hAnsi="宋体"/>
        </w:rPr>
      </w:pPr>
      <w:r>
        <w:rPr>
          <w:rFonts w:hint="eastAsia" w:ascii="宋体" w:hAnsi="宋体"/>
        </w:rPr>
        <w:t>3.对各类危害安全、影响秩序的人员行为进行劝阻，杜绝发生喧哗、吵闹、打架等不安全情况发生，劝阻无效的及时报告业主方。</w:t>
      </w:r>
    </w:p>
    <w:p w14:paraId="0FAFE0A3">
      <w:pPr>
        <w:spacing w:line="360" w:lineRule="auto"/>
        <w:ind w:firstLine="420" w:firstLineChars="200"/>
        <w:rPr>
          <w:rFonts w:ascii="宋体" w:hAnsi="宋体"/>
        </w:rPr>
      </w:pPr>
      <w:r>
        <w:rPr>
          <w:rFonts w:hint="eastAsia" w:ascii="宋体" w:hAnsi="宋体"/>
        </w:rPr>
        <w:t>4.接到员工报警，须5分钟内赶到出事地点，按照应急预案处置。</w:t>
      </w:r>
    </w:p>
    <w:p w14:paraId="5F4EC9B8">
      <w:pPr>
        <w:spacing w:line="360" w:lineRule="auto"/>
        <w:ind w:firstLine="420" w:firstLineChars="200"/>
        <w:rPr>
          <w:rFonts w:ascii="宋体" w:hAnsi="宋体"/>
        </w:rPr>
      </w:pPr>
      <w:r>
        <w:rPr>
          <w:rFonts w:hint="eastAsia" w:ascii="宋体" w:hAnsi="宋体"/>
        </w:rPr>
        <w:t>5.协助做好环境及设施设备看护，制止能源浪费、损坏公物、破坏花草树木等现象发生，发现各类问题、隐患及时通知相关部门及人员进行处置。</w:t>
      </w:r>
    </w:p>
    <w:p w14:paraId="7345F2DF">
      <w:pPr>
        <w:spacing w:line="360" w:lineRule="auto"/>
        <w:ind w:firstLine="420" w:firstLineChars="200"/>
        <w:rPr>
          <w:rFonts w:ascii="宋体" w:hAnsi="宋体"/>
        </w:rPr>
      </w:pPr>
      <w:r>
        <w:rPr>
          <w:rFonts w:hint="eastAsia" w:ascii="宋体" w:hAnsi="宋体"/>
        </w:rPr>
        <w:t>6.根据医学院大型活动规模，组织本单位安保人员并抽调周边服务项目的安保力量，配合医学院做好会议、接待、庆典等大型活动的现场安保和秩序维护，确保活动顺利进行。</w:t>
      </w:r>
    </w:p>
    <w:p w14:paraId="58610FC2">
      <w:pPr>
        <w:spacing w:line="360" w:lineRule="auto"/>
        <w:ind w:firstLine="420" w:firstLineChars="200"/>
        <w:outlineLvl w:val="1"/>
        <w:rPr>
          <w:rFonts w:ascii="宋体" w:hAnsi="宋体"/>
        </w:rPr>
      </w:pPr>
      <w:r>
        <w:rPr>
          <w:rFonts w:hint="eastAsia" w:ascii="宋体" w:hAnsi="宋体"/>
        </w:rPr>
        <w:t>（四）监控管理（包括但不仅限于以下要求）</w:t>
      </w:r>
    </w:p>
    <w:p w14:paraId="086DD64B">
      <w:pPr>
        <w:spacing w:line="360" w:lineRule="auto"/>
        <w:ind w:firstLine="420" w:firstLineChars="200"/>
        <w:rPr>
          <w:rFonts w:ascii="宋体" w:hAnsi="宋体"/>
        </w:rPr>
      </w:pPr>
      <w:r>
        <w:rPr>
          <w:rFonts w:hint="eastAsia" w:ascii="宋体" w:hAnsi="宋体"/>
        </w:rPr>
        <w:t>1.负责安防监控技防值班，实行双岗24小时值班制，按要求做好值班工作记录。</w:t>
      </w:r>
    </w:p>
    <w:p w14:paraId="0315BE2A">
      <w:pPr>
        <w:spacing w:line="360" w:lineRule="auto"/>
        <w:ind w:firstLine="420" w:firstLineChars="200"/>
        <w:rPr>
          <w:rFonts w:ascii="宋体" w:hAnsi="宋体"/>
        </w:rPr>
      </w:pPr>
      <w:r>
        <w:rPr>
          <w:rFonts w:hint="eastAsia" w:ascii="宋体" w:hAnsi="宋体"/>
        </w:rPr>
        <w:t>2.对各处区域进行全天候技防监控，及时发现报告不安全、不稳定因素，发现可疑人员或接到报警求助后，及时通知安保人员进行处置。</w:t>
      </w:r>
    </w:p>
    <w:p w14:paraId="0E427618">
      <w:pPr>
        <w:spacing w:line="360" w:lineRule="auto"/>
        <w:ind w:firstLine="420" w:firstLineChars="200"/>
        <w:rPr>
          <w:rFonts w:ascii="宋体" w:hAnsi="宋体"/>
        </w:rPr>
      </w:pPr>
      <w:r>
        <w:rPr>
          <w:rFonts w:hint="eastAsia" w:ascii="宋体" w:hAnsi="宋体"/>
        </w:rPr>
        <w:t>3.知晓监控中心硬软件系统设备和维修单位，按要求定期对各类安全技防系统进行检查，发现故障、损坏后及时上报，配合专业维保单位对相关设施设备进行维修、保养，确保功能正常、状态良好。</w:t>
      </w:r>
    </w:p>
    <w:p w14:paraId="403BE7E7">
      <w:pPr>
        <w:spacing w:line="360" w:lineRule="auto"/>
        <w:ind w:firstLine="420" w:firstLineChars="200"/>
        <w:rPr>
          <w:rFonts w:ascii="宋体" w:hAnsi="宋体"/>
        </w:rPr>
      </w:pPr>
      <w:r>
        <w:rPr>
          <w:rFonts w:hint="eastAsia" w:ascii="宋体" w:hAnsi="宋体"/>
        </w:rPr>
        <w:t>4.按照医学院武保处要求，做好视频监控影像资料、报警记录的留存与查阅。</w:t>
      </w:r>
    </w:p>
    <w:p w14:paraId="77461936">
      <w:pPr>
        <w:spacing w:line="360" w:lineRule="auto"/>
        <w:ind w:firstLine="420" w:firstLineChars="200"/>
        <w:rPr>
          <w:rFonts w:ascii="宋体" w:hAnsi="宋体"/>
        </w:rPr>
      </w:pPr>
      <w:r>
        <w:rPr>
          <w:rFonts w:hint="eastAsia" w:ascii="宋体" w:hAnsi="宋体"/>
        </w:rPr>
        <w:t>5.监控中心人员必须进行岗位培训，持证上岗。</w:t>
      </w:r>
    </w:p>
    <w:p w14:paraId="4C3129F6">
      <w:pPr>
        <w:spacing w:line="360" w:lineRule="auto"/>
        <w:ind w:firstLine="420" w:firstLineChars="200"/>
        <w:rPr>
          <w:rFonts w:ascii="宋体" w:hAnsi="宋体"/>
        </w:rPr>
      </w:pPr>
      <w:r>
        <w:rPr>
          <w:rFonts w:hint="eastAsia" w:ascii="宋体" w:hAnsi="宋体"/>
        </w:rPr>
        <w:t>6.熟练监控中心智能化操作规程，如：视频查询下载、大屏上墙分接、云台操作、车牌查询、电子地图、消防物联网警报警等。</w:t>
      </w:r>
    </w:p>
    <w:p w14:paraId="36BC0217">
      <w:pPr>
        <w:spacing w:line="360" w:lineRule="auto"/>
        <w:ind w:firstLine="420" w:firstLineChars="200"/>
        <w:rPr>
          <w:rFonts w:ascii="宋体" w:hAnsi="宋体"/>
        </w:rPr>
      </w:pPr>
      <w:r>
        <w:rPr>
          <w:rFonts w:hint="eastAsia" w:ascii="宋体" w:hAnsi="宋体"/>
        </w:rPr>
        <w:t>7.按要求做好值班记录本、视频查询表、外来者登记册等台账。</w:t>
      </w:r>
    </w:p>
    <w:p w14:paraId="68238FF0">
      <w:pPr>
        <w:spacing w:line="360" w:lineRule="auto"/>
        <w:ind w:firstLine="420" w:firstLineChars="200"/>
        <w:rPr>
          <w:rFonts w:ascii="宋体" w:hAnsi="宋体"/>
        </w:rPr>
      </w:pPr>
      <w:r>
        <w:rPr>
          <w:rFonts w:hint="eastAsia" w:ascii="宋体" w:hAnsi="宋体"/>
        </w:rPr>
        <w:t>8.认定、排除、解决简单的监控中心突发状况及故障。</w:t>
      </w:r>
    </w:p>
    <w:p w14:paraId="7249791B">
      <w:pPr>
        <w:spacing w:line="360" w:lineRule="auto"/>
        <w:ind w:firstLine="420" w:firstLineChars="200"/>
        <w:rPr>
          <w:rFonts w:ascii="宋体" w:hAnsi="宋体"/>
        </w:rPr>
      </w:pPr>
      <w:r>
        <w:rPr>
          <w:rFonts w:hint="eastAsia" w:ascii="宋体" w:hAnsi="宋体"/>
        </w:rPr>
        <w:t>9.监控中心值班人员不得进行与工作无关的活动，不得擅自离岗，及时发现问题并向医学院武保处报告。</w:t>
      </w:r>
    </w:p>
    <w:p w14:paraId="3883C199">
      <w:pPr>
        <w:spacing w:line="360" w:lineRule="auto"/>
        <w:ind w:firstLine="420" w:firstLineChars="200"/>
        <w:rPr>
          <w:rFonts w:ascii="宋体" w:hAnsi="宋体"/>
        </w:rPr>
      </w:pPr>
      <w:r>
        <w:rPr>
          <w:rFonts w:hint="eastAsia" w:ascii="宋体" w:hAnsi="宋体"/>
        </w:rPr>
        <w:t>10.根据医学院武保处要求，配合做好防汛防台、灾害性天气期间的巡防和抢险工作。</w:t>
      </w:r>
    </w:p>
    <w:p w14:paraId="64D50801">
      <w:pPr>
        <w:spacing w:line="360" w:lineRule="auto"/>
        <w:ind w:firstLine="420" w:firstLineChars="200"/>
        <w:outlineLvl w:val="1"/>
        <w:rPr>
          <w:rFonts w:ascii="宋体" w:hAnsi="宋体"/>
        </w:rPr>
      </w:pPr>
      <w:r>
        <w:rPr>
          <w:rFonts w:hint="eastAsia" w:ascii="宋体" w:hAnsi="宋体"/>
        </w:rPr>
        <w:t>（五）应急处置管理（包括但不仅限于以下要求）</w:t>
      </w:r>
    </w:p>
    <w:p w14:paraId="4672B04B">
      <w:pPr>
        <w:spacing w:line="360" w:lineRule="auto"/>
        <w:ind w:firstLine="420" w:firstLineChars="200"/>
        <w:rPr>
          <w:rFonts w:ascii="宋体" w:hAnsi="宋体"/>
        </w:rPr>
      </w:pPr>
      <w:r>
        <w:rPr>
          <w:rFonts w:hint="eastAsia" w:ascii="宋体" w:hAnsi="宋体"/>
        </w:rPr>
        <w:t>1.按照《上海市突发公共事件总体应急预案》的要求，建立现场应急指挥中心，包括人员、岗位。职责、通讯方式、信息传递途径等。</w:t>
      </w:r>
    </w:p>
    <w:p w14:paraId="5DF7BE27">
      <w:pPr>
        <w:spacing w:line="360" w:lineRule="auto"/>
        <w:ind w:firstLine="420" w:firstLineChars="200"/>
        <w:rPr>
          <w:rFonts w:ascii="宋体" w:hAnsi="宋体"/>
        </w:rPr>
      </w:pPr>
      <w:r>
        <w:rPr>
          <w:rFonts w:hint="eastAsia" w:ascii="宋体" w:hAnsi="宋体"/>
        </w:rPr>
        <w:t>2.制定各类突发公共事件的预防、响应、处理的应急预案。校内大型活动的安保及秩序维护、校内消防、治安防控等。</w:t>
      </w:r>
    </w:p>
    <w:p w14:paraId="33830EBC">
      <w:pPr>
        <w:spacing w:line="360" w:lineRule="auto"/>
        <w:ind w:firstLine="420" w:firstLineChars="200"/>
        <w:rPr>
          <w:rFonts w:ascii="宋体" w:hAnsi="宋体"/>
        </w:rPr>
      </w:pPr>
      <w:r>
        <w:rPr>
          <w:rFonts w:hint="eastAsia" w:ascii="宋体" w:hAnsi="宋体"/>
        </w:rPr>
        <w:t>3.针对可能发生的各类突发事件，储备必需的应急物资及装备，并建立储备清单，制定并落实储备制度。</w:t>
      </w:r>
    </w:p>
    <w:p w14:paraId="5C15687A">
      <w:pPr>
        <w:spacing w:line="360" w:lineRule="auto"/>
        <w:ind w:firstLine="420" w:firstLineChars="200"/>
        <w:rPr>
          <w:rFonts w:ascii="宋体" w:hAnsi="宋体"/>
        </w:rPr>
      </w:pPr>
      <w:r>
        <w:rPr>
          <w:rFonts w:hint="eastAsia" w:ascii="宋体" w:hAnsi="宋体"/>
        </w:rPr>
        <w:t>4.通过巡查、监控等手段监视运营过程发生的突发事件的预兆及隐患，确保第一时间获取信息。</w:t>
      </w:r>
    </w:p>
    <w:p w14:paraId="22D677DF">
      <w:pPr>
        <w:spacing w:line="360" w:lineRule="auto"/>
        <w:ind w:firstLine="420" w:firstLineChars="200"/>
        <w:rPr>
          <w:rFonts w:ascii="宋体" w:hAnsi="宋体"/>
        </w:rPr>
      </w:pPr>
      <w:r>
        <w:rPr>
          <w:rFonts w:hint="eastAsia" w:ascii="宋体" w:hAnsi="宋体"/>
        </w:rPr>
        <w:t>5.每季度对人员进行应急事项处理培训，每年组织1次以上应急综合演练，建立强化各类突发事件快速反应机制。</w:t>
      </w:r>
    </w:p>
    <w:p w14:paraId="21BD5C92">
      <w:pPr>
        <w:spacing w:line="360" w:lineRule="auto"/>
        <w:ind w:firstLine="420" w:firstLineChars="200"/>
        <w:rPr>
          <w:rFonts w:ascii="宋体" w:hAnsi="宋体"/>
        </w:rPr>
      </w:pPr>
      <w:r>
        <w:rPr>
          <w:rFonts w:hint="eastAsia" w:ascii="宋体" w:hAnsi="宋体"/>
        </w:rPr>
        <w:t>6、通过巡查、技防监控等日常工作实现对突发事件的预兆及</w:t>
      </w:r>
      <w:bookmarkStart w:id="1" w:name="_GoBack"/>
      <w:bookmarkEnd w:id="1"/>
      <w:r>
        <w:rPr>
          <w:rFonts w:hint="eastAsia" w:ascii="宋体" w:hAnsi="宋体"/>
        </w:rPr>
        <w:t>隐患的有效监控，确保第一时间获取信息、第一时间组织安保力量、合规穿戴和装备赶到现场进行果断有效处置，并及时报送相关信息。</w:t>
      </w:r>
    </w:p>
    <w:p w14:paraId="787DCCCD">
      <w:pPr>
        <w:spacing w:line="360" w:lineRule="auto"/>
        <w:ind w:firstLine="420" w:firstLineChars="200"/>
        <w:rPr>
          <w:rFonts w:ascii="宋体" w:hAnsi="宋体"/>
        </w:rPr>
      </w:pPr>
      <w:r>
        <w:rPr>
          <w:rFonts w:hint="eastAsia" w:ascii="宋体" w:hAnsi="宋体"/>
        </w:rPr>
        <w:t>7.秩序维护员工需根据不同案例的现场情况应变处理，在政府部门（如消防、警方、医院）到现场前，保证人身安全，减少财产损失，并以遵守国家法规为首任，全力协助政府部门对案件处理。</w:t>
      </w:r>
    </w:p>
    <w:p w14:paraId="724853A8">
      <w:pPr>
        <w:spacing w:line="360" w:lineRule="auto"/>
        <w:ind w:firstLine="420" w:firstLineChars="200"/>
        <w:rPr>
          <w:rFonts w:ascii="宋体" w:hAnsi="宋体"/>
        </w:rPr>
      </w:pPr>
      <w:r>
        <w:rPr>
          <w:rFonts w:hint="eastAsia" w:ascii="宋体" w:hAnsi="宋体"/>
        </w:rPr>
        <w:t>8.根据医学院武保处要求，配合做好防汛防台、灾害性天气期间的巡防和抢险工作。</w:t>
      </w:r>
    </w:p>
    <w:p w14:paraId="303AB836">
      <w:pPr>
        <w:spacing w:line="360" w:lineRule="auto"/>
        <w:ind w:firstLine="420" w:firstLineChars="200"/>
        <w:outlineLvl w:val="1"/>
        <w:rPr>
          <w:rFonts w:ascii="宋体" w:hAnsi="宋体"/>
        </w:rPr>
      </w:pPr>
      <w:r>
        <w:rPr>
          <w:rFonts w:hint="eastAsia" w:ascii="宋体" w:hAnsi="宋体"/>
        </w:rPr>
        <w:t>（六）车辆管理（包括但不仅限于以下要求）</w:t>
      </w:r>
    </w:p>
    <w:p w14:paraId="5EB581D0">
      <w:pPr>
        <w:spacing w:line="360" w:lineRule="auto"/>
        <w:ind w:firstLine="420" w:firstLineChars="200"/>
        <w:rPr>
          <w:rFonts w:ascii="宋体" w:hAnsi="宋体"/>
        </w:rPr>
      </w:pPr>
      <w:r>
        <w:rPr>
          <w:rFonts w:ascii="宋体" w:hAnsi="宋体"/>
        </w:rPr>
        <w:t>l</w:t>
      </w:r>
      <w:r>
        <w:rPr>
          <w:rFonts w:hint="eastAsia" w:ascii="宋体" w:hAnsi="宋体"/>
        </w:rPr>
        <w:t>、制定停车使用条例，停车管理规定。</w:t>
      </w:r>
    </w:p>
    <w:p w14:paraId="5B24C3D9">
      <w:pPr>
        <w:spacing w:line="360" w:lineRule="auto"/>
        <w:ind w:firstLine="420" w:firstLineChars="200"/>
        <w:rPr>
          <w:rFonts w:ascii="宋体" w:hAnsi="宋体"/>
        </w:rPr>
      </w:pPr>
      <w:r>
        <w:rPr>
          <w:rFonts w:ascii="宋体" w:hAnsi="宋体"/>
        </w:rPr>
        <w:t>2</w:t>
      </w:r>
      <w:r>
        <w:rPr>
          <w:rFonts w:hint="eastAsia" w:ascii="宋体" w:hAnsi="宋体"/>
        </w:rPr>
        <w:t>、外来车辆进出校区办理登记手续、记录车牌号码、进出时间。</w:t>
      </w:r>
    </w:p>
    <w:p w14:paraId="68265C4E">
      <w:pPr>
        <w:spacing w:line="360" w:lineRule="auto"/>
        <w:ind w:firstLine="420" w:firstLineChars="200"/>
        <w:rPr>
          <w:rFonts w:ascii="宋体" w:hAnsi="宋体"/>
        </w:rPr>
      </w:pPr>
      <w:r>
        <w:rPr>
          <w:rFonts w:ascii="宋体" w:hAnsi="宋体"/>
        </w:rPr>
        <w:t>3</w:t>
      </w:r>
      <w:r>
        <w:rPr>
          <w:rFonts w:hint="eastAsia" w:ascii="宋体" w:hAnsi="宋体"/>
        </w:rPr>
        <w:t>、进入校区停放的车辆，必须停放在划定的车位、车棚内。行车通道、消防通道及非停车位禁止停车。</w:t>
      </w:r>
    </w:p>
    <w:p w14:paraId="76C10EF6">
      <w:pPr>
        <w:spacing w:line="360" w:lineRule="auto"/>
        <w:ind w:firstLine="420" w:firstLineChars="200"/>
        <w:rPr>
          <w:rFonts w:ascii="宋体" w:hAnsi="宋体"/>
        </w:rPr>
      </w:pPr>
      <w:r>
        <w:rPr>
          <w:rFonts w:ascii="宋体" w:hAnsi="宋体"/>
        </w:rPr>
        <w:t>4</w:t>
      </w:r>
      <w:r>
        <w:rPr>
          <w:rFonts w:hint="eastAsia" w:ascii="宋体" w:hAnsi="宋体"/>
        </w:rPr>
        <w:t>、进入校区的车辆应注意汽车的清洁，严禁鸣笛，限速</w:t>
      </w:r>
      <w:r>
        <w:rPr>
          <w:rFonts w:ascii="宋体" w:hAnsi="宋体"/>
        </w:rPr>
        <w:t>5</w:t>
      </w:r>
      <w:r>
        <w:rPr>
          <w:rFonts w:hint="eastAsia" w:ascii="宋体" w:hAnsi="宋体"/>
        </w:rPr>
        <w:t>公里／小时行驶。</w:t>
      </w:r>
    </w:p>
    <w:p w14:paraId="66A2114F">
      <w:pPr>
        <w:spacing w:line="360" w:lineRule="auto"/>
        <w:ind w:firstLine="420" w:firstLineChars="200"/>
        <w:rPr>
          <w:rFonts w:ascii="宋体" w:hAnsi="宋体"/>
        </w:rPr>
      </w:pPr>
      <w:r>
        <w:rPr>
          <w:rFonts w:ascii="宋体" w:hAnsi="宋体"/>
        </w:rPr>
        <w:t>5</w:t>
      </w:r>
      <w:r>
        <w:rPr>
          <w:rFonts w:hint="eastAsia" w:ascii="宋体" w:hAnsi="宋体"/>
        </w:rPr>
        <w:t>、保安队员严格执行车辆出入规定。</w:t>
      </w:r>
    </w:p>
    <w:p w14:paraId="0B2564E0">
      <w:pPr>
        <w:spacing w:line="360" w:lineRule="auto"/>
        <w:ind w:firstLine="420" w:firstLineChars="200"/>
        <w:rPr>
          <w:rFonts w:ascii="宋体" w:hAnsi="宋体"/>
        </w:rPr>
      </w:pPr>
      <w:r>
        <w:rPr>
          <w:rFonts w:ascii="宋体" w:hAnsi="宋体"/>
        </w:rPr>
        <w:t>6</w:t>
      </w:r>
      <w:r>
        <w:rPr>
          <w:rFonts w:hint="eastAsia" w:ascii="宋体" w:hAnsi="宋体"/>
        </w:rPr>
        <w:t>、保安队员若发现车辆门、窗没关好，应及时速寻找车主给予提醒注意。</w:t>
      </w:r>
    </w:p>
    <w:p w14:paraId="2C1D3FA9">
      <w:pPr>
        <w:spacing w:line="360" w:lineRule="auto"/>
        <w:ind w:firstLine="420" w:firstLineChars="200"/>
        <w:rPr>
          <w:rFonts w:ascii="宋体" w:hAnsi="宋体"/>
        </w:rPr>
      </w:pPr>
      <w:r>
        <w:rPr>
          <w:rFonts w:hint="eastAsia" w:ascii="宋体" w:hAnsi="宋体"/>
        </w:rPr>
        <w:t>7、确保车辆进出有记录、停放进出井然有序、车道通畅。凡装有易燃、易爆、剧毒物品或有污染性物品的车辆及其他来历不明车辆严禁驶入管理区内。</w:t>
      </w:r>
    </w:p>
    <w:p w14:paraId="1D3B53D4">
      <w:pPr>
        <w:spacing w:line="360" w:lineRule="auto"/>
        <w:ind w:firstLine="420" w:firstLineChars="200"/>
        <w:outlineLvl w:val="1"/>
        <w:rPr>
          <w:rFonts w:ascii="宋体" w:hAnsi="宋体"/>
        </w:rPr>
      </w:pPr>
      <w:r>
        <w:rPr>
          <w:rFonts w:hint="eastAsia" w:ascii="宋体" w:hAnsi="宋体"/>
        </w:rPr>
        <w:t>（七）消防安全管理（包括但不仅限于以下要求）</w:t>
      </w:r>
    </w:p>
    <w:p w14:paraId="677C50A3">
      <w:pPr>
        <w:spacing w:line="360" w:lineRule="auto"/>
        <w:ind w:firstLine="420" w:firstLineChars="200"/>
        <w:rPr>
          <w:rFonts w:ascii="宋体" w:hAnsi="宋体"/>
        </w:rPr>
      </w:pPr>
      <w:r>
        <w:rPr>
          <w:rFonts w:hint="eastAsia" w:ascii="宋体" w:hAnsi="宋体"/>
        </w:rPr>
        <w:t>1、按照医学院要求，建立安全防火制度和安全操作制度，明确消防安全工作职责。</w:t>
      </w:r>
    </w:p>
    <w:p w14:paraId="17A03B82">
      <w:pPr>
        <w:spacing w:line="360" w:lineRule="auto"/>
        <w:ind w:firstLine="420" w:firstLineChars="200"/>
        <w:rPr>
          <w:rFonts w:ascii="宋体" w:hAnsi="宋体"/>
        </w:rPr>
      </w:pPr>
      <w:r>
        <w:rPr>
          <w:rFonts w:hint="eastAsia" w:ascii="宋体" w:hAnsi="宋体"/>
        </w:rPr>
        <w:t>2、严禁各类人员运输、存放易爆、易燃、剧毒等危险物品；严禁在楼宇内使用明火，电炉等；严禁在楼宇内乱拉电线或违规使用大功率电器等。</w:t>
      </w:r>
    </w:p>
    <w:p w14:paraId="5F884924">
      <w:pPr>
        <w:spacing w:line="360" w:lineRule="auto"/>
        <w:ind w:firstLine="420" w:firstLineChars="200"/>
        <w:rPr>
          <w:rFonts w:ascii="宋体" w:hAnsi="宋体"/>
        </w:rPr>
      </w:pPr>
      <w:r>
        <w:rPr>
          <w:rFonts w:hint="eastAsia" w:ascii="宋体" w:hAnsi="宋体"/>
        </w:rPr>
        <w:t>3、组织开展防火检查,发现消防隐患及异常情况应及时消除并上报。每日检查消防疏散通道，确保消防车通道畅通。按医学院要求，禁止任何部门和个人在楼道内停放电瓶车或为电瓶车充电，一经发现，立即收缴充电器，并做好相关工作记录。</w:t>
      </w:r>
    </w:p>
    <w:p w14:paraId="09E13F61">
      <w:pPr>
        <w:spacing w:line="360" w:lineRule="auto"/>
        <w:ind w:firstLine="420" w:firstLineChars="200"/>
        <w:rPr>
          <w:rFonts w:ascii="宋体" w:hAnsi="宋体"/>
        </w:rPr>
      </w:pPr>
      <w:r>
        <w:rPr>
          <w:rFonts w:hint="eastAsia" w:ascii="宋体" w:hAnsi="宋体"/>
        </w:rPr>
        <w:t>4、按照医学院要求安排安保人员消防应急处突，相关人员须持证上岗，遇到火警报警，迅速着装前去救援，并做好记录。</w:t>
      </w:r>
    </w:p>
    <w:p w14:paraId="455D5FA1">
      <w:pPr>
        <w:spacing w:line="360" w:lineRule="auto"/>
        <w:ind w:firstLine="420" w:firstLineChars="200"/>
        <w:rPr>
          <w:rFonts w:ascii="宋体" w:hAnsi="宋体"/>
        </w:rPr>
      </w:pPr>
      <w:r>
        <w:rPr>
          <w:rFonts w:hint="eastAsia" w:ascii="宋体" w:hAnsi="宋体"/>
        </w:rPr>
        <w:t>5、定期组织安保队员开展消防知识培训和微型消防站应急演练，并保留演练记录。积极配合医学院开展的各类消防知识培训和演练活动。</w:t>
      </w:r>
    </w:p>
    <w:p w14:paraId="3B49C461">
      <w:pPr>
        <w:spacing w:line="360" w:lineRule="auto"/>
        <w:ind w:firstLine="420" w:firstLineChars="200"/>
        <w:rPr>
          <w:rFonts w:ascii="宋体" w:hAnsi="宋体"/>
        </w:rPr>
      </w:pPr>
    </w:p>
    <w:p w14:paraId="2DAA16A6">
      <w:pPr>
        <w:spacing w:line="360" w:lineRule="auto"/>
        <w:ind w:firstLine="482" w:firstLineChars="200"/>
        <w:outlineLvl w:val="0"/>
        <w:rPr>
          <w:rFonts w:ascii="Times New Roman" w:hAnsi="Times New Roman"/>
          <w:b/>
          <w:color w:val="000000"/>
          <w:kern w:val="0"/>
          <w:sz w:val="24"/>
          <w:szCs w:val="24"/>
        </w:rPr>
      </w:pPr>
      <w:r>
        <w:rPr>
          <w:rFonts w:hint="eastAsia" w:ascii="Times New Roman" w:hAnsi="Times New Roman"/>
          <w:b/>
          <w:color w:val="000000"/>
          <w:kern w:val="0"/>
          <w:sz w:val="24"/>
          <w:szCs w:val="24"/>
          <w:lang w:eastAsia="zh-CN"/>
        </w:rPr>
        <w:t>六</w:t>
      </w:r>
      <w:r>
        <w:rPr>
          <w:rFonts w:hint="eastAsia" w:ascii="Times New Roman" w:hAnsi="Times New Roman"/>
          <w:b/>
          <w:color w:val="000000"/>
          <w:kern w:val="0"/>
          <w:sz w:val="24"/>
          <w:szCs w:val="24"/>
        </w:rPr>
        <w:t>、项目管理要求</w:t>
      </w:r>
    </w:p>
    <w:p w14:paraId="1E97B24B">
      <w:pPr>
        <w:spacing w:line="360" w:lineRule="auto"/>
        <w:ind w:firstLine="420" w:firstLineChars="200"/>
        <w:rPr>
          <w:rFonts w:ascii="宋体" w:hAnsi="宋体"/>
        </w:rPr>
      </w:pPr>
      <w:r>
        <w:rPr>
          <w:rFonts w:hint="eastAsia" w:ascii="宋体" w:hAnsi="宋体"/>
        </w:rPr>
        <w:t xml:space="preserve">    投标方应认真研究高校安保服务的教育属性，熟悉校园管理的特点，根据校园内的不同服务对象，制订切实可行的校园安保服务整体方案(包括但不限于基础管理实施方案、门岗值守及车辆管理实施方案</w:t>
      </w:r>
      <w:r>
        <w:rPr>
          <w:rFonts w:hint="eastAsia" w:ascii="宋体" w:hAnsi="宋体"/>
          <w:lang w:eastAsia="zh-CN"/>
        </w:rPr>
        <w:t>、</w:t>
      </w:r>
      <w:r>
        <w:rPr>
          <w:rFonts w:hint="eastAsia" w:ascii="宋体" w:hAnsi="宋体"/>
        </w:rPr>
        <w:t>巡逻检查实施方案、监控管理实施方案、应急处理管理实施方案、消防安全管理方案等)，完善专项管理制度。校园安保服务方案和组织措施将作为评标的重要依据。</w:t>
      </w:r>
    </w:p>
    <w:p w14:paraId="71EF454B">
      <w:pPr>
        <w:spacing w:line="360" w:lineRule="auto"/>
        <w:ind w:firstLine="420" w:firstLineChars="200"/>
        <w:outlineLvl w:val="1"/>
        <w:rPr>
          <w:rFonts w:ascii="宋体" w:hAnsi="宋体"/>
        </w:rPr>
      </w:pPr>
      <w:r>
        <w:rPr>
          <w:rFonts w:hint="eastAsia" w:ascii="宋体" w:hAnsi="宋体"/>
        </w:rPr>
        <w:t>（一）质量目标要求</w:t>
      </w:r>
    </w:p>
    <w:p w14:paraId="4C5DBFE1">
      <w:pPr>
        <w:spacing w:line="360" w:lineRule="auto"/>
        <w:ind w:firstLine="420" w:firstLineChars="200"/>
        <w:rPr>
          <w:rFonts w:ascii="宋体" w:hAnsi="宋体"/>
        </w:rPr>
      </w:pPr>
      <w:r>
        <w:rPr>
          <w:rFonts w:hint="eastAsia" w:ascii="宋体" w:hAnsi="宋体"/>
        </w:rPr>
        <w:t>1.依托行业标准，根据医学院管理规定与服务要求，制定切实可行的校园安保服务整体方案和应急预案，突发事件反应迅速，预案处置有力。</w:t>
      </w:r>
    </w:p>
    <w:p w14:paraId="7C5D3FF7">
      <w:pPr>
        <w:spacing w:line="360" w:lineRule="auto"/>
        <w:ind w:firstLine="420" w:firstLineChars="200"/>
        <w:rPr>
          <w:rFonts w:ascii="宋体" w:hAnsi="宋体"/>
        </w:rPr>
      </w:pPr>
      <w:r>
        <w:rPr>
          <w:rFonts w:hint="eastAsia" w:ascii="宋体" w:hAnsi="宋体"/>
        </w:rPr>
        <w:t>2.依法办事，文明值勤，严格管理，保障医学院财产和师生人身不受侵害，维护正常的教学、科研、生活秩序。</w:t>
      </w:r>
    </w:p>
    <w:p w14:paraId="4F694AF3">
      <w:pPr>
        <w:spacing w:line="360" w:lineRule="auto"/>
        <w:ind w:firstLine="420" w:firstLineChars="200"/>
        <w:rPr>
          <w:rFonts w:ascii="宋体" w:hAnsi="宋体"/>
        </w:rPr>
      </w:pPr>
      <w:r>
        <w:rPr>
          <w:rFonts w:hint="eastAsia" w:ascii="宋体" w:hAnsi="宋体"/>
        </w:rPr>
        <w:t>3.全年无责任事故和责任案件发生，师生有安全感，年度考核合格。</w:t>
      </w:r>
    </w:p>
    <w:p w14:paraId="724E4F48">
      <w:pPr>
        <w:spacing w:line="360" w:lineRule="auto"/>
        <w:ind w:firstLine="420" w:firstLineChars="200"/>
        <w:outlineLvl w:val="1"/>
        <w:rPr>
          <w:rFonts w:ascii="宋体" w:hAnsi="宋体"/>
        </w:rPr>
      </w:pPr>
      <w:r>
        <w:rPr>
          <w:rFonts w:hint="eastAsia" w:ascii="宋体" w:hAnsi="宋体"/>
        </w:rPr>
        <w:t>（二）服务要求</w:t>
      </w:r>
    </w:p>
    <w:p w14:paraId="477DEAED">
      <w:pPr>
        <w:spacing w:line="360" w:lineRule="auto"/>
        <w:ind w:firstLine="420" w:firstLineChars="200"/>
        <w:rPr>
          <w:rFonts w:ascii="宋体" w:hAnsi="宋体"/>
        </w:rPr>
      </w:pPr>
      <w:r>
        <w:rPr>
          <w:rFonts w:hint="eastAsia" w:ascii="宋体" w:hAnsi="宋体"/>
        </w:rPr>
        <w:t>1.树立“服务第一，业主至上”的思想，切实维护医学院与师生的人身和财产安全。</w:t>
      </w:r>
    </w:p>
    <w:p w14:paraId="76962D7B">
      <w:pPr>
        <w:spacing w:line="360" w:lineRule="auto"/>
        <w:ind w:firstLine="420" w:firstLineChars="200"/>
        <w:rPr>
          <w:rFonts w:ascii="宋体" w:hAnsi="宋体"/>
        </w:rPr>
      </w:pPr>
      <w:r>
        <w:rPr>
          <w:rFonts w:hint="eastAsia" w:ascii="宋体" w:hAnsi="宋体"/>
        </w:rPr>
        <w:t>2.管理坚持原则、慎密严谨；服务以人为本、主动热情；处理问题高度警惕、有理有节。</w:t>
      </w:r>
    </w:p>
    <w:p w14:paraId="4AD3D19B">
      <w:pPr>
        <w:spacing w:line="360" w:lineRule="auto"/>
        <w:ind w:firstLine="420" w:firstLineChars="200"/>
        <w:rPr>
          <w:rFonts w:ascii="宋体" w:hAnsi="宋体"/>
        </w:rPr>
      </w:pPr>
      <w:r>
        <w:rPr>
          <w:rFonts w:hint="eastAsia" w:ascii="宋体" w:hAnsi="宋体"/>
        </w:rPr>
        <w:t>3.上岗人员仪表整洁，业务操作规范，礼貌待人，保持岗位卫生整洁。</w:t>
      </w:r>
    </w:p>
    <w:p w14:paraId="4ED85C15">
      <w:pPr>
        <w:spacing w:line="360" w:lineRule="auto"/>
        <w:ind w:firstLine="420" w:firstLineChars="200"/>
        <w:rPr>
          <w:rFonts w:ascii="宋体" w:hAnsi="宋体"/>
        </w:rPr>
      </w:pPr>
      <w:r>
        <w:rPr>
          <w:rFonts w:hint="eastAsia" w:ascii="宋体" w:hAnsi="宋体"/>
        </w:rPr>
        <w:t>4.依法办事，文明执勤，不与师生发生争吵，杜绝安保与师生员工发生冲突，禁止安保出手伤及师生人身安全。</w:t>
      </w:r>
    </w:p>
    <w:p w14:paraId="75C8301D">
      <w:pPr>
        <w:spacing w:line="360" w:lineRule="auto"/>
        <w:ind w:firstLine="420" w:firstLineChars="200"/>
        <w:outlineLvl w:val="1"/>
        <w:rPr>
          <w:rFonts w:ascii="宋体" w:hAnsi="宋体"/>
        </w:rPr>
      </w:pPr>
      <w:r>
        <w:rPr>
          <w:rFonts w:hint="eastAsia" w:ascii="宋体" w:hAnsi="宋体"/>
        </w:rPr>
        <w:t>（三）队伍建设与管理要求</w:t>
      </w:r>
    </w:p>
    <w:p w14:paraId="2D0700BF">
      <w:pPr>
        <w:spacing w:line="360" w:lineRule="auto"/>
        <w:ind w:firstLine="420" w:firstLineChars="200"/>
        <w:rPr>
          <w:rFonts w:ascii="宋体" w:hAnsi="宋体"/>
        </w:rPr>
      </w:pPr>
      <w:r>
        <w:rPr>
          <w:rFonts w:hint="eastAsia" w:ascii="宋体" w:hAnsi="宋体"/>
        </w:rPr>
        <w:t>1.中标方的工作人员应对管理范围内的细节尽快了解并熟悉，为正式接管后的正常管理打下基础。中标后一个周内，中标方应组织专门的团队，定期至项目现场了解情况。</w:t>
      </w:r>
    </w:p>
    <w:p w14:paraId="4BDD2A6D">
      <w:pPr>
        <w:spacing w:line="360" w:lineRule="auto"/>
        <w:ind w:firstLine="420" w:firstLineChars="200"/>
        <w:rPr>
          <w:rFonts w:ascii="宋体" w:hAnsi="宋体"/>
        </w:rPr>
      </w:pPr>
      <w:r>
        <w:rPr>
          <w:rFonts w:hint="eastAsia" w:ascii="宋体" w:hAnsi="宋体"/>
        </w:rPr>
        <w:t>2.中标方应查验质量，共同清点设备和设施，各类附件、图纸、技术资料、产品说明等资料，经验收符合要求，由业主递交接管验收报告。</w:t>
      </w:r>
    </w:p>
    <w:p w14:paraId="25ED4A30">
      <w:pPr>
        <w:spacing w:line="360" w:lineRule="auto"/>
        <w:ind w:firstLine="420" w:firstLineChars="200"/>
        <w:rPr>
          <w:rFonts w:hint="eastAsia" w:ascii="宋体" w:hAnsi="宋体"/>
        </w:rPr>
      </w:pPr>
      <w:r>
        <w:rPr>
          <w:rFonts w:hint="eastAsia" w:ascii="宋体" w:hAnsi="宋体"/>
        </w:rPr>
        <w:t>3.中标方负责提供进驻安保人员值勤所需的基本工作服，派驻医学院执勤的安保人员应按照国家有关规定取得相关上岗资质证书，所有人员上岗前都应持有效期内的保安员证，消防控制室、监控室安保人员须有相应岗位资质证书。</w:t>
      </w:r>
    </w:p>
    <w:p w14:paraId="792F6321">
      <w:pPr>
        <w:spacing w:line="360" w:lineRule="auto"/>
        <w:ind w:firstLine="420" w:firstLineChars="200"/>
        <w:rPr>
          <w:rFonts w:hint="eastAsia" w:ascii="宋体" w:hAnsi="宋体" w:eastAsiaTheme="minorEastAsia"/>
          <w:color w:val="FF0000"/>
          <w:lang w:eastAsia="zh-CN"/>
        </w:rPr>
      </w:pPr>
      <w:r>
        <w:rPr>
          <w:rFonts w:hint="eastAsia" w:ascii="宋体" w:hAnsi="宋体"/>
          <w:color w:val="FF0000"/>
          <w:lang w:eastAsia="zh-CN"/>
        </w:rPr>
        <w:t>投标人承诺：中标后按照沪公文通字【</w:t>
      </w:r>
      <w:r>
        <w:rPr>
          <w:rFonts w:hint="eastAsia" w:ascii="宋体" w:hAnsi="宋体"/>
          <w:color w:val="FF0000"/>
          <w:lang w:val="en-US" w:eastAsia="zh-CN"/>
        </w:rPr>
        <w:t>2025</w:t>
      </w:r>
      <w:r>
        <w:rPr>
          <w:rFonts w:hint="eastAsia" w:ascii="宋体" w:hAnsi="宋体"/>
          <w:color w:val="FF0000"/>
          <w:lang w:eastAsia="zh-CN"/>
        </w:rPr>
        <w:t>】</w:t>
      </w:r>
      <w:r>
        <w:rPr>
          <w:rFonts w:hint="eastAsia" w:ascii="宋体" w:hAnsi="宋体"/>
          <w:color w:val="FF0000"/>
          <w:lang w:val="en-US" w:eastAsia="zh-CN"/>
        </w:rPr>
        <w:t>3号文，相关人员</w:t>
      </w:r>
      <w:r>
        <w:rPr>
          <w:rFonts w:hint="eastAsia" w:ascii="宋体" w:hAnsi="宋体"/>
          <w:color w:val="FF0000"/>
          <w:lang w:eastAsia="zh-CN"/>
        </w:rPr>
        <w:t>取得《校园保安员专项培训资格证书》。</w:t>
      </w:r>
    </w:p>
    <w:p w14:paraId="2EE11552">
      <w:pPr>
        <w:spacing w:line="360" w:lineRule="auto"/>
        <w:ind w:firstLine="420" w:firstLineChars="200"/>
        <w:rPr>
          <w:rFonts w:ascii="宋体" w:hAnsi="宋体"/>
        </w:rPr>
      </w:pPr>
      <w:r>
        <w:rPr>
          <w:rFonts w:hint="eastAsia" w:ascii="宋体" w:hAnsi="宋体"/>
        </w:rPr>
        <w:t>4.从医学院安全实际出发，经常性开展在岗人员业务培训和紧急预案演练。</w:t>
      </w:r>
    </w:p>
    <w:p w14:paraId="674BB2D4">
      <w:pPr>
        <w:spacing w:line="360" w:lineRule="auto"/>
        <w:ind w:firstLine="420" w:firstLineChars="200"/>
        <w:rPr>
          <w:rFonts w:ascii="宋体" w:hAnsi="宋体"/>
        </w:rPr>
      </w:pPr>
      <w:r>
        <w:rPr>
          <w:rFonts w:hint="eastAsia" w:ascii="宋体" w:hAnsi="宋体"/>
        </w:rPr>
        <w:t>5.内部管理体制健全，设立安保管理点主管（队长），全面负责日常安保队伍的规范化管理。</w:t>
      </w:r>
    </w:p>
    <w:p w14:paraId="4BA8BC0B">
      <w:pPr>
        <w:spacing w:line="360" w:lineRule="auto"/>
        <w:ind w:firstLine="420" w:firstLineChars="200"/>
        <w:rPr>
          <w:rFonts w:ascii="宋体" w:hAnsi="宋体"/>
        </w:rPr>
      </w:pPr>
      <w:r>
        <w:rPr>
          <w:rFonts w:hint="eastAsia" w:ascii="宋体" w:hAnsi="宋体"/>
        </w:rPr>
        <w:t>6.保持安保队伍稳定，合同期限内合理轮换岗；安保队伍主要管理人员更换，应提前一个月以书面形式通知医学院武保处，其他队员更换要提前三天告知医学院武保处，确保服务质量不因人员变动而受影响。</w:t>
      </w:r>
    </w:p>
    <w:p w14:paraId="041B8266">
      <w:pPr>
        <w:spacing w:line="360" w:lineRule="auto"/>
        <w:ind w:firstLine="420" w:firstLineChars="200"/>
        <w:rPr>
          <w:rFonts w:ascii="宋体" w:hAnsi="宋体"/>
        </w:rPr>
      </w:pPr>
      <w:r>
        <w:rPr>
          <w:rFonts w:hint="eastAsia" w:ascii="宋体" w:hAnsi="宋体"/>
        </w:rPr>
        <w:t>7.安保应聘、录用、离职等管理档案规范，手续齐全，相应资料须报医学院武保处备案。</w:t>
      </w:r>
    </w:p>
    <w:p w14:paraId="08232FDA">
      <w:pPr>
        <w:spacing w:line="360" w:lineRule="auto"/>
        <w:ind w:firstLine="420" w:firstLineChars="200"/>
        <w:rPr>
          <w:rFonts w:ascii="宋体" w:hAnsi="宋体"/>
        </w:rPr>
      </w:pPr>
      <w:r>
        <w:rPr>
          <w:rFonts w:hint="eastAsia" w:ascii="宋体" w:hAnsi="宋体"/>
        </w:rPr>
        <w:t>8.要加强对安保业务的管理，确保保安在校园内无违法违规事件发生。</w:t>
      </w:r>
    </w:p>
    <w:p w14:paraId="10EFE141">
      <w:pPr>
        <w:spacing w:line="360" w:lineRule="auto"/>
        <w:ind w:firstLine="420" w:firstLineChars="200"/>
        <w:outlineLvl w:val="1"/>
        <w:rPr>
          <w:rFonts w:ascii="宋体" w:hAnsi="宋体"/>
        </w:rPr>
      </w:pPr>
      <w:r>
        <w:rPr>
          <w:rFonts w:hint="eastAsia" w:ascii="宋体" w:hAnsi="宋体"/>
        </w:rPr>
        <w:t>（四）人员素质要求</w:t>
      </w:r>
    </w:p>
    <w:tbl>
      <w:tblPr>
        <w:tblStyle w:val="8"/>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701"/>
        <w:gridCol w:w="1560"/>
        <w:gridCol w:w="5287"/>
      </w:tblGrid>
      <w:tr w14:paraId="2F55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14:paraId="54A0791B">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序号</w:t>
            </w:r>
          </w:p>
        </w:tc>
        <w:tc>
          <w:tcPr>
            <w:tcW w:w="1701" w:type="dxa"/>
            <w:shd w:val="clear" w:color="auto" w:fill="auto"/>
            <w:vAlign w:val="center"/>
          </w:tcPr>
          <w:p w14:paraId="0D80F70A">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岗位</w:t>
            </w:r>
          </w:p>
        </w:tc>
        <w:tc>
          <w:tcPr>
            <w:tcW w:w="1560" w:type="dxa"/>
            <w:shd w:val="clear" w:color="auto" w:fill="auto"/>
            <w:vAlign w:val="center"/>
          </w:tcPr>
          <w:p w14:paraId="57FCFDDE">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年龄及文化要求</w:t>
            </w:r>
          </w:p>
        </w:tc>
        <w:tc>
          <w:tcPr>
            <w:tcW w:w="5287" w:type="dxa"/>
            <w:shd w:val="clear" w:color="auto" w:fill="auto"/>
            <w:vAlign w:val="center"/>
          </w:tcPr>
          <w:p w14:paraId="0C3DD60C">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备注</w:t>
            </w:r>
          </w:p>
        </w:tc>
      </w:tr>
      <w:tr w14:paraId="4939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1855F532">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1</w:t>
            </w:r>
          </w:p>
        </w:tc>
        <w:tc>
          <w:tcPr>
            <w:tcW w:w="1701" w:type="dxa"/>
            <w:shd w:val="clear" w:color="auto" w:fill="auto"/>
            <w:vAlign w:val="center"/>
          </w:tcPr>
          <w:p w14:paraId="5716FA35">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安保主管</w:t>
            </w:r>
          </w:p>
          <w:p w14:paraId="5A1D42F4">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（队长）</w:t>
            </w:r>
          </w:p>
        </w:tc>
        <w:tc>
          <w:tcPr>
            <w:tcW w:w="1560" w:type="dxa"/>
            <w:vMerge w:val="restart"/>
            <w:shd w:val="clear" w:color="auto" w:fill="auto"/>
            <w:vAlign w:val="center"/>
          </w:tcPr>
          <w:p w14:paraId="1682C949">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所有人员年龄文化结构要求如下：35岁以下人员不得低于30%，50岁以上人员不得高于20%，高中以上学历不得低于40%。</w:t>
            </w:r>
          </w:p>
        </w:tc>
        <w:tc>
          <w:tcPr>
            <w:tcW w:w="5287" w:type="dxa"/>
            <w:shd w:val="clear" w:color="auto" w:fill="auto"/>
            <w:vAlign w:val="center"/>
          </w:tcPr>
          <w:p w14:paraId="5D25B23B">
            <w:pPr>
              <w:tabs>
                <w:tab w:val="left" w:pos="720"/>
                <w:tab w:val="left" w:pos="1260"/>
              </w:tabs>
              <w:spacing w:line="360" w:lineRule="auto"/>
              <w:jc w:val="left"/>
              <w:rPr>
                <w:rFonts w:ascii="新宋体" w:hAnsi="新宋体" w:eastAsia="新宋体" w:cs="Times New Roman"/>
                <w:sz w:val="24"/>
                <w:szCs w:val="24"/>
              </w:rPr>
            </w:pPr>
            <w:r>
              <w:rPr>
                <w:rFonts w:hint="eastAsia" w:ascii="新宋体" w:hAnsi="新宋体" w:eastAsia="新宋体" w:cs="Times New Roman"/>
                <w:sz w:val="24"/>
                <w:szCs w:val="24"/>
              </w:rPr>
              <w:t>需具有同类项目两年以上管理经验，有较强沟通及协调能力，作风正派，无刑事及劣迹记录，无不良嗜好，身体健康，具有良好的政治素质、体能素质和精神风貌。可用普通话进行正常交流。</w:t>
            </w:r>
          </w:p>
        </w:tc>
      </w:tr>
      <w:tr w14:paraId="3F17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7673F10">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2</w:t>
            </w:r>
          </w:p>
        </w:tc>
        <w:tc>
          <w:tcPr>
            <w:tcW w:w="1701" w:type="dxa"/>
            <w:shd w:val="clear" w:color="auto" w:fill="auto"/>
            <w:vAlign w:val="center"/>
          </w:tcPr>
          <w:p w14:paraId="7DDA9A73">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门卫岗</w:t>
            </w:r>
          </w:p>
        </w:tc>
        <w:tc>
          <w:tcPr>
            <w:tcW w:w="1560" w:type="dxa"/>
            <w:vMerge w:val="continue"/>
            <w:shd w:val="clear" w:color="auto" w:fill="auto"/>
            <w:vAlign w:val="center"/>
          </w:tcPr>
          <w:p w14:paraId="39185AD6">
            <w:pPr>
              <w:tabs>
                <w:tab w:val="left" w:pos="720"/>
                <w:tab w:val="left" w:pos="1260"/>
              </w:tabs>
              <w:spacing w:line="360" w:lineRule="auto"/>
              <w:jc w:val="center"/>
              <w:rPr>
                <w:rFonts w:ascii="新宋体" w:hAnsi="新宋体" w:eastAsia="新宋体" w:cs="Times New Roman"/>
                <w:sz w:val="24"/>
                <w:szCs w:val="24"/>
              </w:rPr>
            </w:pPr>
          </w:p>
        </w:tc>
        <w:tc>
          <w:tcPr>
            <w:tcW w:w="5287" w:type="dxa"/>
            <w:shd w:val="clear" w:color="auto" w:fill="auto"/>
            <w:vAlign w:val="center"/>
          </w:tcPr>
          <w:p w14:paraId="76FE53F2">
            <w:pPr>
              <w:tabs>
                <w:tab w:val="left" w:pos="720"/>
                <w:tab w:val="left" w:pos="1260"/>
              </w:tabs>
              <w:spacing w:line="360" w:lineRule="auto"/>
              <w:jc w:val="left"/>
              <w:rPr>
                <w:rFonts w:ascii="新宋体" w:hAnsi="新宋体" w:eastAsia="新宋体" w:cs="Times New Roman"/>
                <w:sz w:val="24"/>
                <w:szCs w:val="24"/>
              </w:rPr>
            </w:pPr>
            <w:r>
              <w:rPr>
                <w:rFonts w:hint="eastAsia" w:ascii="新宋体" w:hAnsi="新宋体" w:eastAsia="新宋体" w:cs="Times New Roman"/>
                <w:sz w:val="24"/>
                <w:szCs w:val="24"/>
              </w:rPr>
              <w:t>作风正派，无刑事及劣迹记录，无不良嗜好，身高1.68米以上，身体健康，具有良好的政治素质、体能素质和精神风貌。可用普通话进行正常交流。</w:t>
            </w:r>
          </w:p>
        </w:tc>
      </w:tr>
      <w:tr w14:paraId="71C6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63D1C876">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3</w:t>
            </w:r>
          </w:p>
        </w:tc>
        <w:tc>
          <w:tcPr>
            <w:tcW w:w="1701" w:type="dxa"/>
            <w:shd w:val="clear" w:color="auto" w:fill="auto"/>
            <w:vAlign w:val="center"/>
          </w:tcPr>
          <w:p w14:paraId="72D1926B">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巡逻岗</w:t>
            </w:r>
          </w:p>
        </w:tc>
        <w:tc>
          <w:tcPr>
            <w:tcW w:w="1560" w:type="dxa"/>
            <w:vMerge w:val="continue"/>
            <w:shd w:val="clear" w:color="auto" w:fill="auto"/>
            <w:vAlign w:val="center"/>
          </w:tcPr>
          <w:p w14:paraId="3967FD24">
            <w:pPr>
              <w:tabs>
                <w:tab w:val="left" w:pos="720"/>
                <w:tab w:val="left" w:pos="1260"/>
              </w:tabs>
              <w:spacing w:line="360" w:lineRule="auto"/>
              <w:jc w:val="center"/>
              <w:rPr>
                <w:rFonts w:ascii="新宋体" w:hAnsi="新宋体" w:eastAsia="新宋体" w:cs="Times New Roman"/>
                <w:sz w:val="24"/>
                <w:szCs w:val="24"/>
              </w:rPr>
            </w:pPr>
          </w:p>
        </w:tc>
        <w:tc>
          <w:tcPr>
            <w:tcW w:w="5287" w:type="dxa"/>
            <w:shd w:val="clear" w:color="auto" w:fill="auto"/>
            <w:vAlign w:val="center"/>
          </w:tcPr>
          <w:p w14:paraId="602CC6A4">
            <w:pPr>
              <w:tabs>
                <w:tab w:val="left" w:pos="720"/>
                <w:tab w:val="left" w:pos="1260"/>
              </w:tabs>
              <w:spacing w:line="360" w:lineRule="auto"/>
              <w:jc w:val="left"/>
              <w:rPr>
                <w:rFonts w:ascii="新宋体" w:hAnsi="新宋体" w:eastAsia="新宋体" w:cs="Times New Roman"/>
                <w:sz w:val="24"/>
                <w:szCs w:val="24"/>
              </w:rPr>
            </w:pPr>
            <w:r>
              <w:rPr>
                <w:rFonts w:hint="eastAsia" w:ascii="新宋体" w:hAnsi="新宋体" w:eastAsia="新宋体" w:cs="Times New Roman"/>
                <w:sz w:val="24"/>
                <w:szCs w:val="24"/>
              </w:rPr>
              <w:t>作风正派，无刑事及劣迹记录，无不良嗜好，身高1.68米以上，身体健康，具有良好的政治素质、体能素质和精神风貌。可用普通话进行正常交流。</w:t>
            </w:r>
          </w:p>
        </w:tc>
      </w:tr>
      <w:tr w14:paraId="0C2C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5B086F94">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4</w:t>
            </w:r>
          </w:p>
        </w:tc>
        <w:tc>
          <w:tcPr>
            <w:tcW w:w="1701" w:type="dxa"/>
            <w:shd w:val="clear" w:color="auto" w:fill="auto"/>
            <w:vAlign w:val="center"/>
          </w:tcPr>
          <w:p w14:paraId="4A16CEB4">
            <w:pPr>
              <w:tabs>
                <w:tab w:val="left" w:pos="720"/>
                <w:tab w:val="left" w:pos="1260"/>
              </w:tabs>
              <w:spacing w:line="360" w:lineRule="auto"/>
              <w:jc w:val="center"/>
              <w:rPr>
                <w:rFonts w:ascii="新宋体" w:hAnsi="新宋体" w:eastAsia="新宋体" w:cs="Times New Roman"/>
                <w:sz w:val="24"/>
                <w:szCs w:val="24"/>
              </w:rPr>
            </w:pPr>
            <w:r>
              <w:rPr>
                <w:rFonts w:hint="eastAsia" w:ascii="新宋体" w:hAnsi="新宋体" w:eastAsia="新宋体" w:cs="Times New Roman"/>
                <w:sz w:val="24"/>
                <w:szCs w:val="24"/>
              </w:rPr>
              <w:t>监控岗</w:t>
            </w:r>
          </w:p>
        </w:tc>
        <w:tc>
          <w:tcPr>
            <w:tcW w:w="1560" w:type="dxa"/>
            <w:vMerge w:val="continue"/>
            <w:shd w:val="clear" w:color="auto" w:fill="auto"/>
            <w:vAlign w:val="center"/>
          </w:tcPr>
          <w:p w14:paraId="2518E6DB">
            <w:pPr>
              <w:tabs>
                <w:tab w:val="left" w:pos="720"/>
                <w:tab w:val="left" w:pos="1260"/>
              </w:tabs>
              <w:spacing w:line="360" w:lineRule="auto"/>
              <w:jc w:val="center"/>
              <w:rPr>
                <w:rFonts w:ascii="新宋体" w:hAnsi="新宋体" w:eastAsia="新宋体" w:cs="Times New Roman"/>
                <w:sz w:val="24"/>
                <w:szCs w:val="24"/>
              </w:rPr>
            </w:pPr>
          </w:p>
        </w:tc>
        <w:tc>
          <w:tcPr>
            <w:tcW w:w="5287" w:type="dxa"/>
            <w:shd w:val="clear" w:color="auto" w:fill="auto"/>
            <w:vAlign w:val="center"/>
          </w:tcPr>
          <w:p w14:paraId="67046ADB">
            <w:pPr>
              <w:tabs>
                <w:tab w:val="left" w:pos="720"/>
                <w:tab w:val="left" w:pos="1260"/>
              </w:tabs>
              <w:spacing w:line="360" w:lineRule="auto"/>
              <w:jc w:val="left"/>
              <w:rPr>
                <w:rFonts w:ascii="新宋体" w:hAnsi="新宋体" w:eastAsia="新宋体" w:cs="Times New Roman"/>
                <w:sz w:val="24"/>
                <w:szCs w:val="24"/>
              </w:rPr>
            </w:pPr>
            <w:r>
              <w:rPr>
                <w:rFonts w:hint="eastAsia" w:ascii="新宋体" w:hAnsi="新宋体" w:eastAsia="新宋体" w:cs="Times New Roman"/>
                <w:sz w:val="24"/>
                <w:szCs w:val="24"/>
              </w:rPr>
              <w:t>作风正派，无刑事及劣迹记录，无不良嗜好，身体健康，具有良好的政治素质、体能素质和精神风貌。具有相应上岗证书。可用普通话进行正常交流。</w:t>
            </w:r>
          </w:p>
        </w:tc>
      </w:tr>
    </w:tbl>
    <w:p w14:paraId="022141BF">
      <w:pPr>
        <w:spacing w:line="360" w:lineRule="auto"/>
        <w:ind w:firstLine="420" w:firstLineChars="200"/>
        <w:rPr>
          <w:rFonts w:ascii="宋体" w:hAnsi="宋体"/>
        </w:rPr>
      </w:pPr>
      <w:r>
        <w:rPr>
          <w:rFonts w:hint="eastAsia" w:ascii="宋体" w:hAnsi="宋体"/>
        </w:rPr>
        <w:t>1.安保从业人员应知法，懂法，守法，依法办事，必须持证上岗且严格遵守安保从业规范，模范遵守校园安全管理规定；年龄应符合国家法律规定的最低或最高年龄要求。</w:t>
      </w:r>
    </w:p>
    <w:p w14:paraId="41631B7E">
      <w:pPr>
        <w:spacing w:line="360" w:lineRule="auto"/>
        <w:ind w:firstLine="420" w:firstLineChars="200"/>
        <w:rPr>
          <w:rFonts w:ascii="宋体" w:hAnsi="宋体"/>
        </w:rPr>
      </w:pPr>
      <w:r>
        <w:rPr>
          <w:rFonts w:hint="eastAsia" w:ascii="宋体" w:hAnsi="宋体"/>
        </w:rPr>
        <w:t xml:space="preserve">2.所聘用的安保人员有吃苦耐劳的精神和高度的责任感，受过专门的岗前培训，熟知医学院的管理规定，严格履行岗位职责，善于发现各类问题，具备一定的管理工作经验和处理突发事件能力。 </w:t>
      </w:r>
    </w:p>
    <w:p w14:paraId="402A6F39">
      <w:pPr>
        <w:spacing w:line="360" w:lineRule="auto"/>
        <w:ind w:firstLine="420" w:firstLineChars="200"/>
        <w:rPr>
          <w:rFonts w:ascii="宋体" w:hAnsi="宋体"/>
        </w:rPr>
      </w:pPr>
      <w:r>
        <w:rPr>
          <w:rFonts w:hint="eastAsia" w:ascii="宋体" w:hAnsi="宋体"/>
        </w:rPr>
        <w:t>3.中标方的管理人员、专业操作人员等应按照国家有关规定取得相关职业资格证书、上岗证书等。从事服务岗位的人员均需持健康证书或管理公司有检查该岗位人员健康状况的管理措施。浦东校区行政楼监控中心，黄浦校区东2号楼监控中心、西2号楼监控室、西7号楼监控室须持中级消防设施员操作证（或消防设施员操作证四级），因涉及白班、夜班，需12人以上持公安部消防局或应急管理部消防救援局核发的中级消防设施操作证（或消防设施操作员证四级）。不间断地对工程技术人员进行上岗培训和在职培训，以不断提高他们的专业技术水平和综合素质，以满足医学院不断增长的服务需求。</w:t>
      </w:r>
    </w:p>
    <w:p w14:paraId="00A21B01">
      <w:pPr>
        <w:spacing w:line="360" w:lineRule="auto"/>
        <w:ind w:firstLine="420" w:firstLineChars="200"/>
        <w:outlineLvl w:val="1"/>
        <w:rPr>
          <w:rFonts w:ascii="宋体" w:hAnsi="宋体"/>
        </w:rPr>
      </w:pPr>
      <w:r>
        <w:rPr>
          <w:rFonts w:hint="eastAsia" w:ascii="宋体" w:hAnsi="宋体"/>
        </w:rPr>
        <w:t>（五）日常工作要求</w:t>
      </w:r>
    </w:p>
    <w:p w14:paraId="563D1092">
      <w:pPr>
        <w:spacing w:line="360" w:lineRule="auto"/>
        <w:ind w:firstLine="420" w:firstLineChars="200"/>
        <w:rPr>
          <w:rFonts w:ascii="宋体" w:hAnsi="宋体"/>
        </w:rPr>
      </w:pPr>
      <w:r>
        <w:rPr>
          <w:rFonts w:hint="eastAsia" w:ascii="宋体" w:hAnsi="宋体"/>
        </w:rPr>
        <w:t>1.中标方及提供的服务均应符合中国《保安服务管理条例》要求。</w:t>
      </w:r>
    </w:p>
    <w:p w14:paraId="51337237">
      <w:pPr>
        <w:spacing w:line="360" w:lineRule="auto"/>
        <w:ind w:firstLine="420" w:firstLineChars="200"/>
        <w:rPr>
          <w:rFonts w:ascii="宋体" w:hAnsi="宋体"/>
        </w:rPr>
      </w:pPr>
      <w:r>
        <w:rPr>
          <w:rFonts w:hint="eastAsia" w:ascii="宋体" w:hAnsi="宋体"/>
        </w:rPr>
        <w:t>2.中标方的业务工作受医学院武保处监督管理，日常工作向武保处汇报。根据行业服务标准与学校规定要求，在武保处指导下独立运作，落实校园安全保卫与稳定整体方案，并结合校园变化实际在实践中不断完善。</w:t>
      </w:r>
    </w:p>
    <w:p w14:paraId="7A887E22">
      <w:pPr>
        <w:spacing w:line="360" w:lineRule="auto"/>
        <w:ind w:firstLine="420" w:firstLineChars="200"/>
        <w:rPr>
          <w:rFonts w:ascii="宋体" w:hAnsi="宋体"/>
        </w:rPr>
      </w:pPr>
      <w:r>
        <w:rPr>
          <w:rFonts w:hint="eastAsia" w:ascii="宋体" w:hAnsi="宋体"/>
        </w:rPr>
        <w:t>3.投标方在投标时不得变动招标文件中提供的工作时间及各岗位人数。中标后将根据医学院武保处的要求制定具体的人员编制方案，武保处对各岗位间人员变动有调配权。派驻人员在服务过程中如需更换（包括调职及离职），应征得招标人同意，不得随意更换。</w:t>
      </w:r>
    </w:p>
    <w:p w14:paraId="5A0ED912">
      <w:pPr>
        <w:spacing w:line="360" w:lineRule="auto"/>
        <w:ind w:firstLine="420" w:firstLineChars="200"/>
        <w:rPr>
          <w:rFonts w:ascii="宋体" w:hAnsi="宋体"/>
        </w:rPr>
      </w:pPr>
      <w:r>
        <w:rPr>
          <w:rFonts w:hint="eastAsia" w:ascii="宋体" w:hAnsi="宋体"/>
        </w:rPr>
        <w:t>4.安保主管（队长）每天必须向医学院武保处分管负责人口头汇报工作，每周向武保处汇报一次所承担的保安工作开展情况及信息反馈，重大情况须及时报告。</w:t>
      </w:r>
    </w:p>
    <w:p w14:paraId="227AA62A">
      <w:pPr>
        <w:spacing w:line="360" w:lineRule="auto"/>
        <w:ind w:firstLine="420" w:firstLineChars="200"/>
        <w:rPr>
          <w:rFonts w:ascii="宋体" w:hAnsi="宋体"/>
        </w:rPr>
      </w:pPr>
      <w:r>
        <w:rPr>
          <w:rFonts w:hint="eastAsia" w:ascii="宋体" w:hAnsi="宋体"/>
        </w:rPr>
        <w:t>5.武保处在日常巡检中发现安保人员有违纪行为或存在不配合学校相关检查工作的情形，有权要求中标方将安保人员调离该工作岗位，中标方应予配合。</w:t>
      </w:r>
    </w:p>
    <w:p w14:paraId="27AE392D">
      <w:pPr>
        <w:spacing w:line="360" w:lineRule="auto"/>
        <w:ind w:firstLine="420" w:firstLineChars="200"/>
        <w:rPr>
          <w:rFonts w:ascii="宋体" w:hAnsi="宋体"/>
        </w:rPr>
      </w:pPr>
      <w:r>
        <w:rPr>
          <w:rFonts w:hint="eastAsia" w:ascii="宋体" w:hAnsi="宋体"/>
        </w:rPr>
        <w:t>6.做好详细的执勤记录，建立工作日志，原始台帐保存完好，以备核查。</w:t>
      </w:r>
    </w:p>
    <w:p w14:paraId="532A57B6">
      <w:pPr>
        <w:spacing w:line="360" w:lineRule="auto"/>
        <w:ind w:firstLine="420" w:firstLineChars="200"/>
        <w:rPr>
          <w:rFonts w:ascii="宋体" w:hAnsi="宋体"/>
        </w:rPr>
      </w:pPr>
      <w:r>
        <w:rPr>
          <w:rFonts w:hint="eastAsia" w:ascii="宋体" w:hAnsi="宋体"/>
        </w:rPr>
        <w:t>7.与医学院其它安保力量协作联动，开展一体化安全防范。</w:t>
      </w:r>
    </w:p>
    <w:p w14:paraId="3E2AC34D">
      <w:pPr>
        <w:spacing w:line="360" w:lineRule="auto"/>
        <w:ind w:firstLine="420" w:firstLineChars="200"/>
        <w:outlineLvl w:val="1"/>
        <w:rPr>
          <w:rFonts w:ascii="宋体" w:hAnsi="宋体"/>
        </w:rPr>
      </w:pPr>
      <w:r>
        <w:rPr>
          <w:rFonts w:hint="eastAsia" w:ascii="宋体" w:hAnsi="宋体"/>
        </w:rPr>
        <w:t>（六）岗位人员数量要求</w:t>
      </w:r>
    </w:p>
    <w:p w14:paraId="4DBA81CE">
      <w:pPr>
        <w:spacing w:line="360" w:lineRule="auto"/>
        <w:ind w:firstLine="420" w:firstLineChars="200"/>
        <w:rPr>
          <w:rFonts w:ascii="宋体" w:hAnsi="宋体"/>
        </w:rPr>
      </w:pPr>
      <w:r>
        <w:rPr>
          <w:rFonts w:hint="eastAsia" w:ascii="宋体" w:hAnsi="宋体"/>
        </w:rPr>
        <w:t>1.中标方必须保证岗位人数和工作时间，在组织安排安保工作时，应符合国家相关法规，维护保安人员的正当权益；安保人员进行管理时，本人致伤、致残、致亡的，或者导致他人财产、人身损害的，医学院不承担任何责任，由中标方承担相应责任，并负责妥善处理善后工作；因中标方原因造成的劳资纠纷，由中标方承担全部责任。</w:t>
      </w:r>
    </w:p>
    <w:p w14:paraId="6D66066E">
      <w:pPr>
        <w:spacing w:line="360" w:lineRule="auto"/>
        <w:ind w:firstLine="420" w:firstLineChars="200"/>
        <w:rPr>
          <w:rFonts w:ascii="宋体" w:hAnsi="宋体"/>
        </w:rPr>
      </w:pPr>
      <w:r>
        <w:rPr>
          <w:rFonts w:hint="eastAsia" w:ascii="宋体" w:hAnsi="宋体"/>
        </w:rPr>
        <w:t>2.中标方必须按招标方确定的岗位人数、工作时间和要求配齐安保力量,医学院可根据实际工作需要调整岗位人数和工作时间。岗位配置表：</w:t>
      </w:r>
    </w:p>
    <w:p w14:paraId="3E258C84">
      <w:pPr>
        <w:rPr>
          <w:rFonts w:ascii="新宋体" w:hAnsi="新宋体" w:eastAsia="新宋体"/>
          <w:sz w:val="28"/>
          <w:szCs w:val="28"/>
        </w:rPr>
      </w:pPr>
    </w:p>
    <w:p w14:paraId="32779AFE">
      <w:pPr>
        <w:widowControl/>
        <w:jc w:val="left"/>
        <w:rPr>
          <w:rFonts w:ascii="新宋体" w:hAnsi="新宋体" w:eastAsia="新宋体"/>
          <w:sz w:val="28"/>
          <w:szCs w:val="28"/>
        </w:rPr>
      </w:pPr>
      <w:r>
        <w:rPr>
          <w:rFonts w:ascii="新宋体" w:hAnsi="新宋体" w:eastAsia="新宋体"/>
          <w:sz w:val="28"/>
          <w:szCs w:val="28"/>
        </w:rPr>
        <w:br w:type="page"/>
      </w:r>
    </w:p>
    <w:tbl>
      <w:tblPr>
        <w:tblStyle w:val="8"/>
        <w:tblW w:w="10453" w:type="dxa"/>
        <w:tblInd w:w="96" w:type="dxa"/>
        <w:tblLayout w:type="autofit"/>
        <w:tblCellMar>
          <w:top w:w="0" w:type="dxa"/>
          <w:left w:w="108" w:type="dxa"/>
          <w:bottom w:w="0" w:type="dxa"/>
          <w:right w:w="108" w:type="dxa"/>
        </w:tblCellMar>
      </w:tblPr>
      <w:tblGrid>
        <w:gridCol w:w="1855"/>
        <w:gridCol w:w="992"/>
        <w:gridCol w:w="1369"/>
        <w:gridCol w:w="1134"/>
        <w:gridCol w:w="851"/>
        <w:gridCol w:w="879"/>
        <w:gridCol w:w="680"/>
        <w:gridCol w:w="2693"/>
      </w:tblGrid>
      <w:tr w14:paraId="7FB2F335">
        <w:tblPrEx>
          <w:tblCellMar>
            <w:top w:w="0" w:type="dxa"/>
            <w:left w:w="108" w:type="dxa"/>
            <w:bottom w:w="0" w:type="dxa"/>
            <w:right w:w="108" w:type="dxa"/>
          </w:tblCellMar>
        </w:tblPrEx>
        <w:trPr>
          <w:trHeight w:val="648" w:hRule="atLeast"/>
        </w:trPr>
        <w:tc>
          <w:tcPr>
            <w:tcW w:w="10453" w:type="dxa"/>
            <w:gridSpan w:val="8"/>
            <w:tcBorders>
              <w:top w:val="nil"/>
              <w:left w:val="nil"/>
              <w:bottom w:val="single" w:color="auto" w:sz="4" w:space="0"/>
              <w:right w:val="nil"/>
            </w:tcBorders>
            <w:shd w:val="clear" w:color="auto" w:fill="auto"/>
            <w:noWrap/>
            <w:vAlign w:val="center"/>
          </w:tcPr>
          <w:p w14:paraId="25305018">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2025年浦东校区保安服务岗位配置表</w:t>
            </w:r>
          </w:p>
        </w:tc>
      </w:tr>
      <w:tr w14:paraId="21CBDDC0">
        <w:tblPrEx>
          <w:tblCellMar>
            <w:top w:w="0" w:type="dxa"/>
            <w:left w:w="108" w:type="dxa"/>
            <w:bottom w:w="0" w:type="dxa"/>
            <w:right w:w="108" w:type="dxa"/>
          </w:tblCellMar>
        </w:tblPrEx>
        <w:trPr>
          <w:trHeight w:val="732" w:hRule="atLeast"/>
        </w:trPr>
        <w:tc>
          <w:tcPr>
            <w:tcW w:w="1855" w:type="dxa"/>
            <w:tcBorders>
              <w:top w:val="nil"/>
              <w:left w:val="single" w:color="auto" w:sz="4" w:space="0"/>
              <w:bottom w:val="single" w:color="auto" w:sz="4" w:space="0"/>
              <w:right w:val="single" w:color="auto" w:sz="4" w:space="0"/>
            </w:tcBorders>
            <w:shd w:val="clear" w:color="auto" w:fill="auto"/>
            <w:noWrap/>
            <w:vAlign w:val="center"/>
          </w:tcPr>
          <w:p w14:paraId="6BD0248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区域</w:t>
            </w:r>
          </w:p>
        </w:tc>
        <w:tc>
          <w:tcPr>
            <w:tcW w:w="992" w:type="dxa"/>
            <w:tcBorders>
              <w:top w:val="nil"/>
              <w:left w:val="nil"/>
              <w:bottom w:val="single" w:color="auto" w:sz="4" w:space="0"/>
              <w:right w:val="single" w:color="auto" w:sz="4" w:space="0"/>
            </w:tcBorders>
            <w:shd w:val="clear" w:color="auto" w:fill="auto"/>
            <w:noWrap/>
            <w:vAlign w:val="center"/>
          </w:tcPr>
          <w:p w14:paraId="5653BA2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岗位数</w:t>
            </w:r>
          </w:p>
        </w:tc>
        <w:tc>
          <w:tcPr>
            <w:tcW w:w="1369" w:type="dxa"/>
            <w:tcBorders>
              <w:top w:val="nil"/>
              <w:left w:val="nil"/>
              <w:bottom w:val="single" w:color="auto" w:sz="4" w:space="0"/>
              <w:right w:val="single" w:color="auto" w:sz="4" w:space="0"/>
            </w:tcBorders>
            <w:shd w:val="clear" w:color="auto" w:fill="auto"/>
            <w:noWrap/>
            <w:vAlign w:val="center"/>
          </w:tcPr>
          <w:p w14:paraId="78E13CB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工作时段</w:t>
            </w:r>
          </w:p>
        </w:tc>
        <w:tc>
          <w:tcPr>
            <w:tcW w:w="1134" w:type="dxa"/>
            <w:tcBorders>
              <w:top w:val="nil"/>
              <w:left w:val="nil"/>
              <w:bottom w:val="single" w:color="auto" w:sz="4" w:space="0"/>
              <w:right w:val="single" w:color="auto" w:sz="4" w:space="0"/>
            </w:tcBorders>
            <w:shd w:val="clear" w:color="auto" w:fill="auto"/>
            <w:noWrap/>
            <w:vAlign w:val="center"/>
          </w:tcPr>
          <w:p w14:paraId="5FB941B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工作时间（小时）</w:t>
            </w:r>
          </w:p>
        </w:tc>
        <w:tc>
          <w:tcPr>
            <w:tcW w:w="851" w:type="dxa"/>
            <w:tcBorders>
              <w:top w:val="nil"/>
              <w:left w:val="nil"/>
              <w:bottom w:val="single" w:color="auto" w:sz="4" w:space="0"/>
              <w:right w:val="single" w:color="auto" w:sz="4" w:space="0"/>
            </w:tcBorders>
            <w:shd w:val="clear" w:color="auto" w:fill="auto"/>
            <w:noWrap/>
            <w:vAlign w:val="center"/>
          </w:tcPr>
          <w:p w14:paraId="2AD78FA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每周工作时间</w:t>
            </w:r>
          </w:p>
        </w:tc>
        <w:tc>
          <w:tcPr>
            <w:tcW w:w="879" w:type="dxa"/>
            <w:tcBorders>
              <w:top w:val="nil"/>
              <w:left w:val="nil"/>
              <w:bottom w:val="single" w:color="auto" w:sz="4" w:space="0"/>
              <w:right w:val="single" w:color="auto" w:sz="4" w:space="0"/>
            </w:tcBorders>
            <w:shd w:val="clear" w:color="auto" w:fill="auto"/>
            <w:noWrap/>
            <w:vAlign w:val="center"/>
          </w:tcPr>
          <w:p w14:paraId="5682D80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工作量（人）</w:t>
            </w:r>
          </w:p>
        </w:tc>
        <w:tc>
          <w:tcPr>
            <w:tcW w:w="680" w:type="dxa"/>
            <w:tcBorders>
              <w:top w:val="nil"/>
              <w:left w:val="nil"/>
              <w:bottom w:val="nil"/>
              <w:right w:val="single" w:color="auto" w:sz="4" w:space="0"/>
            </w:tcBorders>
            <w:shd w:val="clear" w:color="auto" w:fill="auto"/>
            <w:vAlign w:val="center"/>
          </w:tcPr>
          <w:p w14:paraId="04337A92">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c>
          <w:tcPr>
            <w:tcW w:w="2693" w:type="dxa"/>
            <w:tcBorders>
              <w:top w:val="nil"/>
              <w:left w:val="nil"/>
              <w:bottom w:val="single" w:color="auto" w:sz="4" w:space="0"/>
              <w:right w:val="single" w:color="auto" w:sz="4" w:space="0"/>
            </w:tcBorders>
            <w:shd w:val="clear" w:color="auto" w:fill="auto"/>
            <w:vAlign w:val="center"/>
          </w:tcPr>
          <w:p w14:paraId="11BBD5D6">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服务期限</w:t>
            </w:r>
          </w:p>
        </w:tc>
      </w:tr>
      <w:tr w14:paraId="71781493">
        <w:tblPrEx>
          <w:tblCellMar>
            <w:top w:w="0" w:type="dxa"/>
            <w:left w:w="108" w:type="dxa"/>
            <w:bottom w:w="0" w:type="dxa"/>
            <w:right w:w="108" w:type="dxa"/>
          </w:tblCellMar>
        </w:tblPrEx>
        <w:trPr>
          <w:trHeight w:val="456" w:hRule="atLeast"/>
        </w:trPr>
        <w:tc>
          <w:tcPr>
            <w:tcW w:w="1855" w:type="dxa"/>
            <w:tcBorders>
              <w:top w:val="nil"/>
              <w:left w:val="single" w:color="auto" w:sz="4" w:space="0"/>
              <w:bottom w:val="single" w:color="auto" w:sz="4" w:space="0"/>
              <w:right w:val="single" w:color="auto" w:sz="4" w:space="0"/>
            </w:tcBorders>
            <w:shd w:val="clear" w:color="auto" w:fill="auto"/>
            <w:noWrap/>
            <w:vAlign w:val="center"/>
          </w:tcPr>
          <w:p w14:paraId="57D720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保安队长</w:t>
            </w:r>
          </w:p>
        </w:tc>
        <w:tc>
          <w:tcPr>
            <w:tcW w:w="992" w:type="dxa"/>
            <w:tcBorders>
              <w:top w:val="nil"/>
              <w:left w:val="nil"/>
              <w:bottom w:val="single" w:color="auto" w:sz="4" w:space="0"/>
              <w:right w:val="single" w:color="auto" w:sz="4" w:space="0"/>
            </w:tcBorders>
            <w:shd w:val="clear" w:color="auto" w:fill="auto"/>
            <w:noWrap/>
            <w:vAlign w:val="center"/>
          </w:tcPr>
          <w:p w14:paraId="465547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69" w:type="dxa"/>
            <w:tcBorders>
              <w:top w:val="nil"/>
              <w:left w:val="nil"/>
              <w:bottom w:val="single" w:color="auto" w:sz="4" w:space="0"/>
              <w:right w:val="single" w:color="auto" w:sz="4" w:space="0"/>
            </w:tcBorders>
            <w:shd w:val="clear" w:color="auto" w:fill="auto"/>
            <w:vAlign w:val="center"/>
          </w:tcPr>
          <w:p w14:paraId="18D28C40">
            <w:pPr>
              <w:widowControl/>
              <w:jc w:val="center"/>
              <w:rPr>
                <w:rFonts w:ascii="Calibri" w:hAnsi="Calibri" w:eastAsia="宋体" w:cs="Calibri"/>
                <w:color w:val="000000"/>
                <w:kern w:val="0"/>
                <w:szCs w:val="21"/>
              </w:rPr>
            </w:pPr>
            <w:r>
              <w:rPr>
                <w:rFonts w:ascii="Calibri" w:hAnsi="Calibri" w:eastAsia="宋体" w:cs="Calibri"/>
                <w:color w:val="000000"/>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14:paraId="15AE96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851" w:type="dxa"/>
            <w:tcBorders>
              <w:top w:val="nil"/>
              <w:left w:val="nil"/>
              <w:bottom w:val="single" w:color="auto" w:sz="4" w:space="0"/>
              <w:right w:val="single" w:color="auto" w:sz="4" w:space="0"/>
            </w:tcBorders>
            <w:shd w:val="clear" w:color="auto" w:fill="auto"/>
            <w:noWrap/>
            <w:vAlign w:val="center"/>
          </w:tcPr>
          <w:p w14:paraId="0B3C88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879" w:type="dxa"/>
            <w:tcBorders>
              <w:top w:val="nil"/>
              <w:left w:val="nil"/>
              <w:bottom w:val="single" w:color="auto" w:sz="4" w:space="0"/>
              <w:right w:val="single" w:color="auto" w:sz="4" w:space="0"/>
            </w:tcBorders>
            <w:shd w:val="clear" w:color="auto" w:fill="auto"/>
            <w:noWrap/>
            <w:vAlign w:val="center"/>
          </w:tcPr>
          <w:p w14:paraId="6DA8AC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680" w:type="dxa"/>
            <w:tcBorders>
              <w:top w:val="single" w:color="auto" w:sz="4" w:space="0"/>
              <w:left w:val="nil"/>
              <w:bottom w:val="single" w:color="auto" w:sz="4" w:space="0"/>
              <w:right w:val="single" w:color="auto" w:sz="4" w:space="0"/>
            </w:tcBorders>
            <w:shd w:val="clear" w:color="auto" w:fill="auto"/>
            <w:vAlign w:val="center"/>
          </w:tcPr>
          <w:p w14:paraId="29296C2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vAlign w:val="center"/>
          </w:tcPr>
          <w:p w14:paraId="08BAE7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211D8B8D">
        <w:tblPrEx>
          <w:tblCellMar>
            <w:top w:w="0" w:type="dxa"/>
            <w:left w:w="108" w:type="dxa"/>
            <w:bottom w:w="0" w:type="dxa"/>
            <w:right w:w="108" w:type="dxa"/>
          </w:tblCellMar>
        </w:tblPrEx>
        <w:trPr>
          <w:trHeight w:val="456" w:hRule="atLeast"/>
        </w:trPr>
        <w:tc>
          <w:tcPr>
            <w:tcW w:w="1855" w:type="dxa"/>
            <w:tcBorders>
              <w:top w:val="nil"/>
              <w:left w:val="single" w:color="auto" w:sz="4" w:space="0"/>
              <w:bottom w:val="single" w:color="auto" w:sz="4" w:space="0"/>
              <w:right w:val="single" w:color="auto" w:sz="4" w:space="0"/>
            </w:tcBorders>
            <w:shd w:val="clear" w:color="auto" w:fill="auto"/>
            <w:noWrap/>
            <w:vAlign w:val="center"/>
          </w:tcPr>
          <w:p w14:paraId="1D38C2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东1门门岗</w:t>
            </w:r>
          </w:p>
          <w:p w14:paraId="5925AEF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（半夏路）</w:t>
            </w:r>
          </w:p>
        </w:tc>
        <w:tc>
          <w:tcPr>
            <w:tcW w:w="992" w:type="dxa"/>
            <w:tcBorders>
              <w:top w:val="nil"/>
              <w:left w:val="nil"/>
              <w:bottom w:val="single" w:color="auto" w:sz="4" w:space="0"/>
              <w:right w:val="single" w:color="auto" w:sz="4" w:space="0"/>
            </w:tcBorders>
            <w:shd w:val="clear" w:color="auto" w:fill="auto"/>
            <w:vAlign w:val="center"/>
          </w:tcPr>
          <w:p w14:paraId="67E4C83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白3夜</w:t>
            </w:r>
            <w:r>
              <w:rPr>
                <w:rFonts w:ascii="Calibri" w:hAnsi="Calibri" w:eastAsia="宋体" w:cs="Calibri"/>
                <w:color w:val="000000"/>
                <w:kern w:val="0"/>
                <w:szCs w:val="21"/>
              </w:rPr>
              <w:t>2</w:t>
            </w:r>
          </w:p>
        </w:tc>
        <w:tc>
          <w:tcPr>
            <w:tcW w:w="1369" w:type="dxa"/>
            <w:tcBorders>
              <w:top w:val="nil"/>
              <w:left w:val="nil"/>
              <w:bottom w:val="single" w:color="auto" w:sz="4" w:space="0"/>
              <w:right w:val="single" w:color="auto" w:sz="4" w:space="0"/>
            </w:tcBorders>
            <w:shd w:val="clear" w:color="auto" w:fill="auto"/>
            <w:vAlign w:val="center"/>
          </w:tcPr>
          <w:p w14:paraId="1633BA37">
            <w:pPr>
              <w:widowControl/>
              <w:jc w:val="center"/>
              <w:rPr>
                <w:rFonts w:ascii="Calibri" w:hAnsi="Calibri" w:eastAsia="宋体" w:cs="Calibri"/>
                <w:color w:val="000000"/>
                <w:kern w:val="0"/>
                <w:szCs w:val="21"/>
              </w:rPr>
            </w:pPr>
            <w:r>
              <w:rPr>
                <w:rFonts w:ascii="Calibri" w:hAnsi="Calibri" w:eastAsia="宋体" w:cs="Calibri"/>
                <w:color w:val="000000"/>
                <w:kern w:val="0"/>
                <w:szCs w:val="21"/>
              </w:rPr>
              <w:t>0:00-24:00</w:t>
            </w:r>
          </w:p>
        </w:tc>
        <w:tc>
          <w:tcPr>
            <w:tcW w:w="1134" w:type="dxa"/>
            <w:tcBorders>
              <w:top w:val="nil"/>
              <w:left w:val="nil"/>
              <w:bottom w:val="single" w:color="auto" w:sz="4" w:space="0"/>
              <w:right w:val="single" w:color="auto" w:sz="4" w:space="0"/>
            </w:tcBorders>
            <w:shd w:val="clear" w:color="auto" w:fill="auto"/>
            <w:noWrap/>
            <w:vAlign w:val="center"/>
          </w:tcPr>
          <w:p w14:paraId="2F83135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r>
              <w:rPr>
                <w:rFonts w:ascii="宋体" w:hAnsi="宋体" w:eastAsia="宋体" w:cs="宋体"/>
                <w:color w:val="000000"/>
                <w:kern w:val="0"/>
                <w:sz w:val="22"/>
              </w:rPr>
              <w:t>0</w:t>
            </w:r>
          </w:p>
        </w:tc>
        <w:tc>
          <w:tcPr>
            <w:tcW w:w="851" w:type="dxa"/>
            <w:tcBorders>
              <w:top w:val="nil"/>
              <w:left w:val="nil"/>
              <w:bottom w:val="single" w:color="auto" w:sz="4" w:space="0"/>
              <w:right w:val="single" w:color="auto" w:sz="4" w:space="0"/>
            </w:tcBorders>
            <w:shd w:val="clear" w:color="auto" w:fill="auto"/>
            <w:noWrap/>
            <w:vAlign w:val="center"/>
          </w:tcPr>
          <w:p w14:paraId="2C834ACE">
            <w:pPr>
              <w:widowControl/>
              <w:jc w:val="center"/>
              <w:rPr>
                <w:rFonts w:ascii="宋体" w:hAnsi="宋体" w:eastAsia="宋体" w:cs="宋体"/>
                <w:color w:val="000000"/>
                <w:kern w:val="0"/>
                <w:sz w:val="22"/>
              </w:rPr>
            </w:pPr>
            <w:r>
              <w:rPr>
                <w:rFonts w:ascii="宋体" w:hAnsi="宋体" w:eastAsia="宋体" w:cs="宋体"/>
                <w:color w:val="000000"/>
                <w:kern w:val="0"/>
                <w:sz w:val="22"/>
              </w:rPr>
              <w:t>420</w:t>
            </w:r>
          </w:p>
        </w:tc>
        <w:tc>
          <w:tcPr>
            <w:tcW w:w="879" w:type="dxa"/>
            <w:tcBorders>
              <w:top w:val="nil"/>
              <w:left w:val="nil"/>
              <w:bottom w:val="single" w:color="auto" w:sz="4" w:space="0"/>
              <w:right w:val="single" w:color="auto" w:sz="4" w:space="0"/>
            </w:tcBorders>
            <w:shd w:val="clear" w:color="auto" w:fill="auto"/>
            <w:noWrap/>
            <w:vAlign w:val="center"/>
          </w:tcPr>
          <w:p w14:paraId="28EC1A2E">
            <w:pPr>
              <w:widowControl/>
              <w:jc w:val="center"/>
              <w:rPr>
                <w:rFonts w:ascii="宋体" w:hAnsi="宋体" w:eastAsia="宋体" w:cs="宋体"/>
                <w:color w:val="000000"/>
                <w:kern w:val="0"/>
                <w:sz w:val="22"/>
              </w:rPr>
            </w:pPr>
            <w:r>
              <w:rPr>
                <w:rFonts w:ascii="宋体" w:hAnsi="宋体" w:eastAsia="宋体" w:cs="宋体"/>
                <w:color w:val="000000"/>
                <w:kern w:val="0"/>
                <w:sz w:val="22"/>
              </w:rPr>
              <w:t>10.5</w:t>
            </w:r>
          </w:p>
        </w:tc>
        <w:tc>
          <w:tcPr>
            <w:tcW w:w="680" w:type="dxa"/>
            <w:tcBorders>
              <w:top w:val="nil"/>
              <w:left w:val="nil"/>
              <w:bottom w:val="single" w:color="auto" w:sz="4" w:space="0"/>
              <w:right w:val="single" w:color="auto" w:sz="4" w:space="0"/>
            </w:tcBorders>
            <w:shd w:val="clear" w:color="auto" w:fill="auto"/>
            <w:vAlign w:val="center"/>
          </w:tcPr>
          <w:p w14:paraId="4437CD9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vAlign w:val="center"/>
          </w:tcPr>
          <w:p w14:paraId="171F67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35FD0F4F">
        <w:tblPrEx>
          <w:tblCellMar>
            <w:top w:w="0" w:type="dxa"/>
            <w:left w:w="108" w:type="dxa"/>
            <w:bottom w:w="0" w:type="dxa"/>
            <w:right w:w="108" w:type="dxa"/>
          </w:tblCellMar>
        </w:tblPrEx>
        <w:trPr>
          <w:trHeight w:val="456" w:hRule="atLeast"/>
        </w:trPr>
        <w:tc>
          <w:tcPr>
            <w:tcW w:w="1855" w:type="dxa"/>
            <w:tcBorders>
              <w:top w:val="nil"/>
              <w:left w:val="single" w:color="auto" w:sz="4" w:space="0"/>
              <w:bottom w:val="single" w:color="auto" w:sz="4" w:space="0"/>
              <w:right w:val="single" w:color="auto" w:sz="4" w:space="0"/>
            </w:tcBorders>
            <w:shd w:val="clear" w:color="auto" w:fill="auto"/>
            <w:noWrap/>
            <w:vAlign w:val="center"/>
          </w:tcPr>
          <w:p w14:paraId="3FA27BC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北1门门岗</w:t>
            </w:r>
          </w:p>
          <w:p w14:paraId="1DE5C3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（天雄路）</w:t>
            </w:r>
          </w:p>
        </w:tc>
        <w:tc>
          <w:tcPr>
            <w:tcW w:w="992" w:type="dxa"/>
            <w:tcBorders>
              <w:top w:val="nil"/>
              <w:left w:val="nil"/>
              <w:bottom w:val="single" w:color="auto" w:sz="4" w:space="0"/>
              <w:right w:val="single" w:color="auto" w:sz="4" w:space="0"/>
            </w:tcBorders>
            <w:shd w:val="clear" w:color="auto" w:fill="auto"/>
            <w:vAlign w:val="center"/>
          </w:tcPr>
          <w:p w14:paraId="24D9B3C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白3夜</w:t>
            </w:r>
            <w:r>
              <w:rPr>
                <w:rFonts w:ascii="Calibri" w:hAnsi="Calibri" w:eastAsia="宋体" w:cs="Calibri"/>
                <w:color w:val="000000"/>
                <w:kern w:val="0"/>
                <w:szCs w:val="21"/>
              </w:rPr>
              <w:t>2</w:t>
            </w:r>
          </w:p>
        </w:tc>
        <w:tc>
          <w:tcPr>
            <w:tcW w:w="1369" w:type="dxa"/>
            <w:tcBorders>
              <w:top w:val="nil"/>
              <w:left w:val="nil"/>
              <w:bottom w:val="single" w:color="auto" w:sz="4" w:space="0"/>
              <w:right w:val="single" w:color="auto" w:sz="4" w:space="0"/>
            </w:tcBorders>
            <w:shd w:val="clear" w:color="auto" w:fill="auto"/>
            <w:vAlign w:val="center"/>
          </w:tcPr>
          <w:p w14:paraId="1D335423">
            <w:pPr>
              <w:widowControl/>
              <w:jc w:val="center"/>
              <w:rPr>
                <w:rFonts w:ascii="Calibri" w:hAnsi="Calibri" w:eastAsia="宋体" w:cs="Calibri"/>
                <w:color w:val="000000"/>
                <w:kern w:val="0"/>
                <w:szCs w:val="21"/>
              </w:rPr>
            </w:pPr>
            <w:r>
              <w:rPr>
                <w:rFonts w:ascii="Calibri" w:hAnsi="Calibri" w:eastAsia="宋体" w:cs="Calibri"/>
                <w:color w:val="000000"/>
                <w:kern w:val="0"/>
                <w:szCs w:val="21"/>
              </w:rPr>
              <w:t>0:00-24:00</w:t>
            </w:r>
          </w:p>
        </w:tc>
        <w:tc>
          <w:tcPr>
            <w:tcW w:w="1134" w:type="dxa"/>
            <w:tcBorders>
              <w:top w:val="nil"/>
              <w:left w:val="nil"/>
              <w:bottom w:val="single" w:color="auto" w:sz="4" w:space="0"/>
              <w:right w:val="single" w:color="auto" w:sz="4" w:space="0"/>
            </w:tcBorders>
            <w:shd w:val="clear" w:color="auto" w:fill="auto"/>
            <w:noWrap/>
            <w:vAlign w:val="center"/>
          </w:tcPr>
          <w:p w14:paraId="790685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r>
              <w:rPr>
                <w:rFonts w:ascii="宋体" w:hAnsi="宋体" w:eastAsia="宋体" w:cs="宋体"/>
                <w:color w:val="000000"/>
                <w:kern w:val="0"/>
                <w:sz w:val="22"/>
              </w:rPr>
              <w:t>0</w:t>
            </w:r>
          </w:p>
        </w:tc>
        <w:tc>
          <w:tcPr>
            <w:tcW w:w="851" w:type="dxa"/>
            <w:tcBorders>
              <w:top w:val="nil"/>
              <w:left w:val="nil"/>
              <w:bottom w:val="single" w:color="auto" w:sz="4" w:space="0"/>
              <w:right w:val="single" w:color="auto" w:sz="4" w:space="0"/>
            </w:tcBorders>
            <w:shd w:val="clear" w:color="auto" w:fill="auto"/>
            <w:noWrap/>
            <w:vAlign w:val="center"/>
          </w:tcPr>
          <w:p w14:paraId="4B278E5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r>
              <w:rPr>
                <w:rFonts w:ascii="宋体" w:hAnsi="宋体" w:eastAsia="宋体" w:cs="宋体"/>
                <w:color w:val="000000"/>
                <w:kern w:val="0"/>
                <w:sz w:val="22"/>
              </w:rPr>
              <w:t>20</w:t>
            </w:r>
          </w:p>
        </w:tc>
        <w:tc>
          <w:tcPr>
            <w:tcW w:w="879" w:type="dxa"/>
            <w:tcBorders>
              <w:top w:val="nil"/>
              <w:left w:val="nil"/>
              <w:bottom w:val="single" w:color="auto" w:sz="4" w:space="0"/>
              <w:right w:val="single" w:color="auto" w:sz="4" w:space="0"/>
            </w:tcBorders>
            <w:shd w:val="clear" w:color="auto" w:fill="auto"/>
            <w:noWrap/>
            <w:vAlign w:val="center"/>
          </w:tcPr>
          <w:p w14:paraId="32B482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r>
              <w:rPr>
                <w:rFonts w:ascii="宋体" w:hAnsi="宋体" w:eastAsia="宋体" w:cs="宋体"/>
                <w:color w:val="000000"/>
                <w:kern w:val="0"/>
                <w:sz w:val="22"/>
              </w:rPr>
              <w:t>0.5</w:t>
            </w:r>
          </w:p>
        </w:tc>
        <w:tc>
          <w:tcPr>
            <w:tcW w:w="680" w:type="dxa"/>
            <w:tcBorders>
              <w:top w:val="nil"/>
              <w:left w:val="nil"/>
              <w:bottom w:val="single" w:color="auto" w:sz="4" w:space="0"/>
              <w:right w:val="single" w:color="auto" w:sz="4" w:space="0"/>
            </w:tcBorders>
            <w:shd w:val="clear" w:color="auto" w:fill="auto"/>
            <w:vAlign w:val="center"/>
          </w:tcPr>
          <w:p w14:paraId="2A87878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tcPr>
          <w:p w14:paraId="2BEECE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25C6506E">
        <w:tblPrEx>
          <w:tblCellMar>
            <w:top w:w="0" w:type="dxa"/>
            <w:left w:w="108" w:type="dxa"/>
            <w:bottom w:w="0" w:type="dxa"/>
            <w:right w:w="108" w:type="dxa"/>
          </w:tblCellMar>
        </w:tblPrEx>
        <w:trPr>
          <w:trHeight w:val="456" w:hRule="atLeast"/>
        </w:trPr>
        <w:tc>
          <w:tcPr>
            <w:tcW w:w="1855" w:type="dxa"/>
            <w:tcBorders>
              <w:top w:val="nil"/>
              <w:left w:val="single" w:color="auto" w:sz="4" w:space="0"/>
              <w:bottom w:val="single" w:color="auto" w:sz="4" w:space="0"/>
              <w:right w:val="single" w:color="auto" w:sz="4" w:space="0"/>
            </w:tcBorders>
            <w:shd w:val="clear" w:color="auto" w:fill="auto"/>
            <w:noWrap/>
            <w:vAlign w:val="center"/>
          </w:tcPr>
          <w:p w14:paraId="1C4A6F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东2门门岗</w:t>
            </w:r>
          </w:p>
          <w:p w14:paraId="0CFB8A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（紫萍路）</w:t>
            </w:r>
          </w:p>
        </w:tc>
        <w:tc>
          <w:tcPr>
            <w:tcW w:w="992" w:type="dxa"/>
            <w:tcBorders>
              <w:top w:val="nil"/>
              <w:left w:val="nil"/>
              <w:bottom w:val="single" w:color="auto" w:sz="4" w:space="0"/>
              <w:right w:val="single" w:color="auto" w:sz="4" w:space="0"/>
            </w:tcBorders>
            <w:shd w:val="clear" w:color="auto" w:fill="auto"/>
            <w:vAlign w:val="center"/>
          </w:tcPr>
          <w:p w14:paraId="747B98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369" w:type="dxa"/>
            <w:tcBorders>
              <w:top w:val="nil"/>
              <w:left w:val="nil"/>
              <w:bottom w:val="single" w:color="auto" w:sz="4" w:space="0"/>
              <w:right w:val="single" w:color="auto" w:sz="4" w:space="0"/>
            </w:tcBorders>
            <w:shd w:val="clear" w:color="auto" w:fill="auto"/>
            <w:vAlign w:val="center"/>
          </w:tcPr>
          <w:p w14:paraId="6A82D32E">
            <w:pPr>
              <w:widowControl/>
              <w:jc w:val="center"/>
              <w:rPr>
                <w:rFonts w:ascii="Calibri" w:hAnsi="Calibri" w:eastAsia="宋体" w:cs="Calibri"/>
                <w:color w:val="000000"/>
                <w:kern w:val="0"/>
                <w:szCs w:val="21"/>
              </w:rPr>
            </w:pPr>
            <w:r>
              <w:rPr>
                <w:rFonts w:ascii="Calibri" w:hAnsi="Calibri" w:eastAsia="宋体" w:cs="Calibri"/>
                <w:color w:val="000000"/>
                <w:kern w:val="0"/>
                <w:szCs w:val="21"/>
              </w:rPr>
              <w:t>7:00-19:00</w:t>
            </w:r>
          </w:p>
        </w:tc>
        <w:tc>
          <w:tcPr>
            <w:tcW w:w="1134" w:type="dxa"/>
            <w:tcBorders>
              <w:top w:val="nil"/>
              <w:left w:val="nil"/>
              <w:bottom w:val="single" w:color="auto" w:sz="4" w:space="0"/>
              <w:right w:val="single" w:color="auto" w:sz="4" w:space="0"/>
            </w:tcBorders>
            <w:shd w:val="clear" w:color="auto" w:fill="auto"/>
            <w:noWrap/>
            <w:vAlign w:val="center"/>
          </w:tcPr>
          <w:p w14:paraId="2228F7CD">
            <w:pPr>
              <w:widowControl/>
              <w:jc w:val="center"/>
              <w:rPr>
                <w:rFonts w:ascii="宋体" w:hAnsi="宋体" w:eastAsia="宋体" w:cs="宋体"/>
                <w:color w:val="000000"/>
                <w:kern w:val="0"/>
                <w:sz w:val="22"/>
              </w:rPr>
            </w:pPr>
            <w:r>
              <w:rPr>
                <w:rFonts w:ascii="宋体" w:hAnsi="宋体" w:eastAsia="宋体" w:cs="宋体"/>
                <w:color w:val="000000"/>
                <w:kern w:val="0"/>
                <w:sz w:val="22"/>
              </w:rPr>
              <w:t>24</w:t>
            </w:r>
          </w:p>
        </w:tc>
        <w:tc>
          <w:tcPr>
            <w:tcW w:w="851" w:type="dxa"/>
            <w:tcBorders>
              <w:top w:val="nil"/>
              <w:left w:val="nil"/>
              <w:bottom w:val="single" w:color="auto" w:sz="4" w:space="0"/>
              <w:right w:val="single" w:color="auto" w:sz="4" w:space="0"/>
            </w:tcBorders>
            <w:shd w:val="clear" w:color="auto" w:fill="auto"/>
            <w:noWrap/>
            <w:vAlign w:val="center"/>
          </w:tcPr>
          <w:p w14:paraId="06C142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r>
              <w:rPr>
                <w:rFonts w:ascii="宋体" w:hAnsi="宋体" w:eastAsia="宋体" w:cs="宋体"/>
                <w:color w:val="000000"/>
                <w:kern w:val="0"/>
                <w:sz w:val="22"/>
              </w:rPr>
              <w:t>68</w:t>
            </w:r>
          </w:p>
        </w:tc>
        <w:tc>
          <w:tcPr>
            <w:tcW w:w="879" w:type="dxa"/>
            <w:tcBorders>
              <w:top w:val="nil"/>
              <w:left w:val="nil"/>
              <w:bottom w:val="single" w:color="auto" w:sz="4" w:space="0"/>
              <w:right w:val="single" w:color="auto" w:sz="4" w:space="0"/>
            </w:tcBorders>
            <w:shd w:val="clear" w:color="auto" w:fill="auto"/>
            <w:noWrap/>
            <w:vAlign w:val="center"/>
          </w:tcPr>
          <w:p w14:paraId="54D6686E">
            <w:pPr>
              <w:widowControl/>
              <w:jc w:val="center"/>
              <w:rPr>
                <w:rFonts w:ascii="宋体" w:hAnsi="宋体" w:eastAsia="宋体" w:cs="宋体"/>
                <w:color w:val="000000"/>
                <w:kern w:val="0"/>
                <w:sz w:val="22"/>
              </w:rPr>
            </w:pPr>
            <w:r>
              <w:rPr>
                <w:rFonts w:ascii="宋体" w:hAnsi="宋体" w:eastAsia="宋体" w:cs="宋体"/>
                <w:color w:val="000000"/>
                <w:kern w:val="0"/>
                <w:sz w:val="22"/>
              </w:rPr>
              <w:t>4.2</w:t>
            </w:r>
          </w:p>
        </w:tc>
        <w:tc>
          <w:tcPr>
            <w:tcW w:w="680" w:type="dxa"/>
            <w:tcBorders>
              <w:top w:val="nil"/>
              <w:left w:val="nil"/>
              <w:bottom w:val="single" w:color="auto" w:sz="4" w:space="0"/>
              <w:right w:val="single" w:color="auto" w:sz="4" w:space="0"/>
            </w:tcBorders>
            <w:shd w:val="clear" w:color="auto" w:fill="auto"/>
            <w:vAlign w:val="center"/>
          </w:tcPr>
          <w:p w14:paraId="14A4F78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tcPr>
          <w:p w14:paraId="594696C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5E08B0C0">
        <w:tblPrEx>
          <w:tblCellMar>
            <w:top w:w="0" w:type="dxa"/>
            <w:left w:w="108" w:type="dxa"/>
            <w:bottom w:w="0" w:type="dxa"/>
            <w:right w:w="108" w:type="dxa"/>
          </w:tblCellMar>
        </w:tblPrEx>
        <w:trPr>
          <w:trHeight w:val="456" w:hRule="atLeast"/>
        </w:trPr>
        <w:tc>
          <w:tcPr>
            <w:tcW w:w="1855" w:type="dxa"/>
            <w:tcBorders>
              <w:top w:val="nil"/>
              <w:left w:val="single" w:color="auto" w:sz="4" w:space="0"/>
              <w:bottom w:val="single" w:color="auto" w:sz="4" w:space="0"/>
              <w:right w:val="single" w:color="auto" w:sz="4" w:space="0"/>
            </w:tcBorders>
            <w:shd w:val="clear" w:color="auto" w:fill="auto"/>
            <w:noWrap/>
            <w:vAlign w:val="center"/>
          </w:tcPr>
          <w:p w14:paraId="526C491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巡逻保安白天</w:t>
            </w:r>
          </w:p>
        </w:tc>
        <w:tc>
          <w:tcPr>
            <w:tcW w:w="992" w:type="dxa"/>
            <w:tcBorders>
              <w:top w:val="nil"/>
              <w:left w:val="nil"/>
              <w:bottom w:val="single" w:color="auto" w:sz="4" w:space="0"/>
              <w:right w:val="single" w:color="auto" w:sz="4" w:space="0"/>
            </w:tcBorders>
            <w:shd w:val="clear" w:color="auto" w:fill="auto"/>
            <w:vAlign w:val="center"/>
          </w:tcPr>
          <w:p w14:paraId="0EE21F3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369" w:type="dxa"/>
            <w:tcBorders>
              <w:top w:val="nil"/>
              <w:left w:val="nil"/>
              <w:bottom w:val="single" w:color="auto" w:sz="4" w:space="0"/>
              <w:right w:val="single" w:color="auto" w:sz="4" w:space="0"/>
            </w:tcBorders>
            <w:shd w:val="clear" w:color="auto" w:fill="auto"/>
            <w:vAlign w:val="center"/>
          </w:tcPr>
          <w:p w14:paraId="5228BD4F">
            <w:pPr>
              <w:widowControl/>
              <w:jc w:val="center"/>
              <w:rPr>
                <w:rFonts w:ascii="Calibri" w:hAnsi="Calibri" w:eastAsia="宋体" w:cs="Calibri"/>
                <w:color w:val="000000"/>
                <w:kern w:val="0"/>
                <w:szCs w:val="21"/>
              </w:rPr>
            </w:pPr>
            <w:r>
              <w:rPr>
                <w:rFonts w:ascii="Calibri" w:hAnsi="Calibri" w:eastAsia="宋体" w:cs="Calibri"/>
                <w:color w:val="000000"/>
                <w:kern w:val="0"/>
                <w:szCs w:val="21"/>
              </w:rPr>
              <w:t>7:00-22:00</w:t>
            </w:r>
          </w:p>
        </w:tc>
        <w:tc>
          <w:tcPr>
            <w:tcW w:w="1134" w:type="dxa"/>
            <w:tcBorders>
              <w:top w:val="nil"/>
              <w:left w:val="nil"/>
              <w:bottom w:val="single" w:color="auto" w:sz="4" w:space="0"/>
              <w:right w:val="single" w:color="auto" w:sz="4" w:space="0"/>
            </w:tcBorders>
            <w:shd w:val="clear" w:color="auto" w:fill="auto"/>
            <w:noWrap/>
            <w:vAlign w:val="center"/>
          </w:tcPr>
          <w:p w14:paraId="7AF3BA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r>
              <w:rPr>
                <w:rFonts w:ascii="宋体" w:hAnsi="宋体" w:eastAsia="宋体" w:cs="宋体"/>
                <w:color w:val="000000"/>
                <w:kern w:val="0"/>
                <w:sz w:val="22"/>
              </w:rPr>
              <w:t>0</w:t>
            </w:r>
          </w:p>
        </w:tc>
        <w:tc>
          <w:tcPr>
            <w:tcW w:w="851" w:type="dxa"/>
            <w:tcBorders>
              <w:top w:val="nil"/>
              <w:left w:val="nil"/>
              <w:bottom w:val="single" w:color="auto" w:sz="4" w:space="0"/>
              <w:right w:val="single" w:color="auto" w:sz="4" w:space="0"/>
            </w:tcBorders>
            <w:shd w:val="clear" w:color="auto" w:fill="auto"/>
            <w:noWrap/>
            <w:vAlign w:val="center"/>
          </w:tcPr>
          <w:p w14:paraId="1090E3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r>
              <w:rPr>
                <w:rFonts w:ascii="宋体" w:hAnsi="宋体" w:eastAsia="宋体" w:cs="宋体"/>
                <w:color w:val="000000"/>
                <w:kern w:val="0"/>
                <w:sz w:val="22"/>
              </w:rPr>
              <w:t>20</w:t>
            </w:r>
          </w:p>
        </w:tc>
        <w:tc>
          <w:tcPr>
            <w:tcW w:w="879" w:type="dxa"/>
            <w:tcBorders>
              <w:top w:val="nil"/>
              <w:left w:val="nil"/>
              <w:bottom w:val="single" w:color="auto" w:sz="4" w:space="0"/>
              <w:right w:val="single" w:color="auto" w:sz="4" w:space="0"/>
            </w:tcBorders>
            <w:shd w:val="clear" w:color="auto" w:fill="auto"/>
            <w:noWrap/>
            <w:vAlign w:val="center"/>
          </w:tcPr>
          <w:p w14:paraId="47D786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r>
              <w:rPr>
                <w:rFonts w:ascii="宋体" w:hAnsi="宋体" w:eastAsia="宋体" w:cs="宋体"/>
                <w:color w:val="000000"/>
                <w:kern w:val="0"/>
                <w:sz w:val="22"/>
              </w:rPr>
              <w:t>0.5</w:t>
            </w:r>
          </w:p>
        </w:tc>
        <w:tc>
          <w:tcPr>
            <w:tcW w:w="680" w:type="dxa"/>
            <w:tcBorders>
              <w:top w:val="nil"/>
              <w:left w:val="nil"/>
              <w:bottom w:val="single" w:color="auto" w:sz="4" w:space="0"/>
              <w:right w:val="single" w:color="auto" w:sz="4" w:space="0"/>
            </w:tcBorders>
            <w:shd w:val="clear" w:color="auto" w:fill="auto"/>
            <w:vAlign w:val="center"/>
          </w:tcPr>
          <w:p w14:paraId="149CBA5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tcPr>
          <w:p w14:paraId="7DE949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79F44FFA">
        <w:tblPrEx>
          <w:tblCellMar>
            <w:top w:w="0" w:type="dxa"/>
            <w:left w:w="108" w:type="dxa"/>
            <w:bottom w:w="0" w:type="dxa"/>
            <w:right w:w="108" w:type="dxa"/>
          </w:tblCellMar>
        </w:tblPrEx>
        <w:trPr>
          <w:trHeight w:val="456" w:hRule="atLeast"/>
        </w:trPr>
        <w:tc>
          <w:tcPr>
            <w:tcW w:w="1855" w:type="dxa"/>
            <w:tcBorders>
              <w:top w:val="nil"/>
              <w:left w:val="single" w:color="auto" w:sz="4" w:space="0"/>
              <w:bottom w:val="single" w:color="auto" w:sz="4" w:space="0"/>
              <w:right w:val="single" w:color="auto" w:sz="4" w:space="0"/>
            </w:tcBorders>
            <w:shd w:val="clear" w:color="auto" w:fill="auto"/>
            <w:noWrap/>
            <w:vAlign w:val="center"/>
          </w:tcPr>
          <w:p w14:paraId="60E694B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巡逻保安全天</w:t>
            </w:r>
          </w:p>
        </w:tc>
        <w:tc>
          <w:tcPr>
            <w:tcW w:w="992" w:type="dxa"/>
            <w:tcBorders>
              <w:top w:val="nil"/>
              <w:left w:val="nil"/>
              <w:bottom w:val="single" w:color="auto" w:sz="4" w:space="0"/>
              <w:right w:val="single" w:color="auto" w:sz="4" w:space="0"/>
            </w:tcBorders>
            <w:shd w:val="clear" w:color="auto" w:fill="auto"/>
            <w:vAlign w:val="center"/>
          </w:tcPr>
          <w:p w14:paraId="761762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369" w:type="dxa"/>
            <w:tcBorders>
              <w:top w:val="nil"/>
              <w:left w:val="nil"/>
              <w:bottom w:val="single" w:color="auto" w:sz="4" w:space="0"/>
              <w:right w:val="single" w:color="auto" w:sz="4" w:space="0"/>
            </w:tcBorders>
            <w:shd w:val="clear" w:color="auto" w:fill="auto"/>
            <w:vAlign w:val="center"/>
          </w:tcPr>
          <w:p w14:paraId="6A6AE94E">
            <w:pPr>
              <w:widowControl/>
              <w:jc w:val="center"/>
              <w:rPr>
                <w:rFonts w:ascii="Calibri" w:hAnsi="Calibri" w:eastAsia="宋体" w:cs="Calibri"/>
                <w:color w:val="000000"/>
                <w:kern w:val="0"/>
                <w:szCs w:val="21"/>
              </w:rPr>
            </w:pPr>
            <w:r>
              <w:rPr>
                <w:rFonts w:ascii="Calibri" w:hAnsi="Calibri" w:eastAsia="宋体" w:cs="Calibri"/>
                <w:color w:val="000000"/>
                <w:kern w:val="0"/>
                <w:szCs w:val="21"/>
              </w:rPr>
              <w:t>0:00-24:00</w:t>
            </w:r>
          </w:p>
        </w:tc>
        <w:tc>
          <w:tcPr>
            <w:tcW w:w="1134" w:type="dxa"/>
            <w:tcBorders>
              <w:top w:val="nil"/>
              <w:left w:val="nil"/>
              <w:bottom w:val="single" w:color="auto" w:sz="4" w:space="0"/>
              <w:right w:val="single" w:color="auto" w:sz="4" w:space="0"/>
            </w:tcBorders>
            <w:shd w:val="clear" w:color="auto" w:fill="auto"/>
            <w:noWrap/>
            <w:vAlign w:val="center"/>
          </w:tcPr>
          <w:p w14:paraId="7A3F8A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r>
              <w:rPr>
                <w:rFonts w:ascii="宋体" w:hAnsi="宋体" w:eastAsia="宋体" w:cs="宋体"/>
                <w:color w:val="000000"/>
                <w:kern w:val="0"/>
                <w:sz w:val="22"/>
              </w:rPr>
              <w:t>6</w:t>
            </w:r>
          </w:p>
        </w:tc>
        <w:tc>
          <w:tcPr>
            <w:tcW w:w="851" w:type="dxa"/>
            <w:tcBorders>
              <w:top w:val="nil"/>
              <w:left w:val="nil"/>
              <w:bottom w:val="single" w:color="auto" w:sz="4" w:space="0"/>
              <w:right w:val="single" w:color="auto" w:sz="4" w:space="0"/>
            </w:tcBorders>
            <w:shd w:val="clear" w:color="auto" w:fill="auto"/>
            <w:noWrap/>
            <w:vAlign w:val="center"/>
          </w:tcPr>
          <w:p w14:paraId="2AD88E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r>
              <w:rPr>
                <w:rFonts w:ascii="宋体" w:hAnsi="宋体" w:eastAsia="宋体" w:cs="宋体"/>
                <w:color w:val="000000"/>
                <w:kern w:val="0"/>
                <w:sz w:val="22"/>
              </w:rPr>
              <w:t>72</w:t>
            </w:r>
          </w:p>
        </w:tc>
        <w:tc>
          <w:tcPr>
            <w:tcW w:w="879" w:type="dxa"/>
            <w:tcBorders>
              <w:top w:val="nil"/>
              <w:left w:val="nil"/>
              <w:bottom w:val="single" w:color="auto" w:sz="4" w:space="0"/>
              <w:right w:val="single" w:color="auto" w:sz="4" w:space="0"/>
            </w:tcBorders>
            <w:shd w:val="clear" w:color="auto" w:fill="auto"/>
            <w:noWrap/>
            <w:vAlign w:val="center"/>
          </w:tcPr>
          <w:p w14:paraId="0CC3EC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r>
              <w:rPr>
                <w:rFonts w:ascii="宋体" w:hAnsi="宋体" w:eastAsia="宋体" w:cs="宋体"/>
                <w:color w:val="000000"/>
                <w:kern w:val="0"/>
                <w:sz w:val="22"/>
              </w:rPr>
              <w:t>6.8</w:t>
            </w:r>
          </w:p>
        </w:tc>
        <w:tc>
          <w:tcPr>
            <w:tcW w:w="680" w:type="dxa"/>
            <w:tcBorders>
              <w:top w:val="nil"/>
              <w:left w:val="nil"/>
              <w:bottom w:val="single" w:color="auto" w:sz="4" w:space="0"/>
              <w:right w:val="single" w:color="auto" w:sz="4" w:space="0"/>
            </w:tcBorders>
            <w:shd w:val="clear" w:color="auto" w:fill="auto"/>
            <w:vAlign w:val="center"/>
          </w:tcPr>
          <w:p w14:paraId="7AEE90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3" w:type="dxa"/>
            <w:tcBorders>
              <w:top w:val="nil"/>
              <w:left w:val="nil"/>
              <w:bottom w:val="single" w:color="auto" w:sz="4" w:space="0"/>
              <w:right w:val="single" w:color="auto" w:sz="4" w:space="0"/>
            </w:tcBorders>
            <w:shd w:val="clear" w:color="auto" w:fill="auto"/>
            <w:noWrap/>
          </w:tcPr>
          <w:p w14:paraId="52B653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1C7F419E">
        <w:tblPrEx>
          <w:tblCellMar>
            <w:top w:w="0" w:type="dxa"/>
            <w:left w:w="108" w:type="dxa"/>
            <w:bottom w:w="0" w:type="dxa"/>
            <w:right w:w="108" w:type="dxa"/>
          </w:tblCellMar>
        </w:tblPrEx>
        <w:trPr>
          <w:trHeight w:val="456" w:hRule="atLeast"/>
        </w:trPr>
        <w:tc>
          <w:tcPr>
            <w:tcW w:w="1855" w:type="dxa"/>
            <w:tcBorders>
              <w:top w:val="nil"/>
              <w:left w:val="single" w:color="auto" w:sz="4" w:space="0"/>
              <w:bottom w:val="single" w:color="auto" w:sz="4" w:space="0"/>
              <w:right w:val="single" w:color="auto" w:sz="4" w:space="0"/>
            </w:tcBorders>
            <w:shd w:val="clear" w:color="auto" w:fill="auto"/>
            <w:noWrap/>
            <w:vAlign w:val="center"/>
          </w:tcPr>
          <w:p w14:paraId="199589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监控中心</w:t>
            </w:r>
          </w:p>
        </w:tc>
        <w:tc>
          <w:tcPr>
            <w:tcW w:w="992" w:type="dxa"/>
            <w:tcBorders>
              <w:top w:val="nil"/>
              <w:left w:val="nil"/>
              <w:bottom w:val="single" w:color="auto" w:sz="4" w:space="0"/>
              <w:right w:val="single" w:color="auto" w:sz="4" w:space="0"/>
            </w:tcBorders>
            <w:shd w:val="clear" w:color="auto" w:fill="auto"/>
            <w:noWrap/>
            <w:vAlign w:val="center"/>
          </w:tcPr>
          <w:p w14:paraId="38FBE1E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69" w:type="dxa"/>
            <w:tcBorders>
              <w:top w:val="nil"/>
              <w:left w:val="nil"/>
              <w:bottom w:val="single" w:color="auto" w:sz="4" w:space="0"/>
              <w:right w:val="single" w:color="auto" w:sz="4" w:space="0"/>
            </w:tcBorders>
            <w:shd w:val="clear" w:color="auto" w:fill="auto"/>
            <w:vAlign w:val="center"/>
          </w:tcPr>
          <w:p w14:paraId="5138E48B">
            <w:pPr>
              <w:widowControl/>
              <w:jc w:val="center"/>
              <w:rPr>
                <w:rFonts w:ascii="Calibri" w:hAnsi="Calibri" w:eastAsia="宋体" w:cs="Calibri"/>
                <w:color w:val="000000"/>
                <w:kern w:val="0"/>
                <w:szCs w:val="21"/>
              </w:rPr>
            </w:pPr>
            <w:r>
              <w:rPr>
                <w:rFonts w:ascii="Calibri" w:hAnsi="Calibri" w:eastAsia="宋体" w:cs="Calibri"/>
                <w:color w:val="000000"/>
                <w:kern w:val="0"/>
                <w:szCs w:val="21"/>
              </w:rPr>
              <w:t>0:00-24:00</w:t>
            </w:r>
          </w:p>
        </w:tc>
        <w:tc>
          <w:tcPr>
            <w:tcW w:w="1134" w:type="dxa"/>
            <w:tcBorders>
              <w:top w:val="nil"/>
              <w:left w:val="nil"/>
              <w:bottom w:val="single" w:color="auto" w:sz="4" w:space="0"/>
              <w:right w:val="single" w:color="auto" w:sz="4" w:space="0"/>
            </w:tcBorders>
            <w:shd w:val="clear" w:color="auto" w:fill="auto"/>
            <w:noWrap/>
            <w:vAlign w:val="center"/>
          </w:tcPr>
          <w:p w14:paraId="79093C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851" w:type="dxa"/>
            <w:tcBorders>
              <w:top w:val="nil"/>
              <w:left w:val="nil"/>
              <w:bottom w:val="single" w:color="auto" w:sz="4" w:space="0"/>
              <w:right w:val="single" w:color="auto" w:sz="4" w:space="0"/>
            </w:tcBorders>
            <w:shd w:val="clear" w:color="auto" w:fill="auto"/>
            <w:noWrap/>
            <w:vAlign w:val="center"/>
          </w:tcPr>
          <w:p w14:paraId="2AB021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w:t>
            </w:r>
          </w:p>
        </w:tc>
        <w:tc>
          <w:tcPr>
            <w:tcW w:w="879" w:type="dxa"/>
            <w:tcBorders>
              <w:top w:val="nil"/>
              <w:left w:val="nil"/>
              <w:bottom w:val="single" w:color="auto" w:sz="4" w:space="0"/>
              <w:right w:val="single" w:color="auto" w:sz="4" w:space="0"/>
            </w:tcBorders>
            <w:shd w:val="clear" w:color="auto" w:fill="auto"/>
            <w:noWrap/>
            <w:vAlign w:val="center"/>
          </w:tcPr>
          <w:p w14:paraId="1F4E6D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680" w:type="dxa"/>
            <w:tcBorders>
              <w:top w:val="nil"/>
              <w:left w:val="nil"/>
              <w:bottom w:val="single" w:color="auto" w:sz="4" w:space="0"/>
              <w:right w:val="single" w:color="auto" w:sz="4" w:space="0"/>
            </w:tcBorders>
            <w:shd w:val="clear" w:color="auto" w:fill="auto"/>
            <w:vAlign w:val="center"/>
          </w:tcPr>
          <w:p w14:paraId="26C20AD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tcPr>
          <w:p w14:paraId="4409E4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1E43AD2A">
        <w:tblPrEx>
          <w:tblCellMar>
            <w:top w:w="0" w:type="dxa"/>
            <w:left w:w="108" w:type="dxa"/>
            <w:bottom w:w="0" w:type="dxa"/>
            <w:right w:w="108" w:type="dxa"/>
          </w:tblCellMar>
        </w:tblPrEx>
        <w:trPr>
          <w:trHeight w:val="456" w:hRule="atLeast"/>
        </w:trPr>
        <w:tc>
          <w:tcPr>
            <w:tcW w:w="1855" w:type="dxa"/>
            <w:tcBorders>
              <w:top w:val="nil"/>
              <w:left w:val="single" w:color="auto" w:sz="4" w:space="0"/>
              <w:bottom w:val="single" w:color="auto" w:sz="4" w:space="0"/>
              <w:right w:val="single" w:color="auto" w:sz="4" w:space="0"/>
            </w:tcBorders>
            <w:shd w:val="clear" w:color="auto" w:fill="auto"/>
            <w:noWrap/>
            <w:vAlign w:val="center"/>
          </w:tcPr>
          <w:p w14:paraId="4713CD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北2门门岗</w:t>
            </w:r>
          </w:p>
          <w:p w14:paraId="5BB7A1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（蓝靛路人行）</w:t>
            </w:r>
          </w:p>
        </w:tc>
        <w:tc>
          <w:tcPr>
            <w:tcW w:w="992" w:type="dxa"/>
            <w:tcBorders>
              <w:top w:val="nil"/>
              <w:left w:val="nil"/>
              <w:bottom w:val="single" w:color="auto" w:sz="4" w:space="0"/>
              <w:right w:val="single" w:color="auto" w:sz="4" w:space="0"/>
            </w:tcBorders>
            <w:shd w:val="clear" w:color="auto" w:fill="auto"/>
            <w:vAlign w:val="center"/>
          </w:tcPr>
          <w:p w14:paraId="6A555E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69" w:type="dxa"/>
            <w:tcBorders>
              <w:top w:val="nil"/>
              <w:left w:val="nil"/>
              <w:bottom w:val="single" w:color="auto" w:sz="4" w:space="0"/>
              <w:right w:val="single" w:color="auto" w:sz="4" w:space="0"/>
            </w:tcBorders>
            <w:shd w:val="clear" w:color="auto" w:fill="auto"/>
            <w:vAlign w:val="center"/>
          </w:tcPr>
          <w:p w14:paraId="48D235D9">
            <w:pPr>
              <w:widowControl/>
              <w:jc w:val="center"/>
              <w:rPr>
                <w:rFonts w:ascii="Calibri" w:hAnsi="Calibri" w:eastAsia="宋体" w:cs="Calibri"/>
                <w:color w:val="000000"/>
                <w:kern w:val="0"/>
                <w:szCs w:val="21"/>
              </w:rPr>
            </w:pPr>
            <w:r>
              <w:rPr>
                <w:rFonts w:ascii="Calibri" w:hAnsi="Calibri" w:eastAsia="宋体" w:cs="Calibri"/>
                <w:color w:val="000000"/>
                <w:kern w:val="0"/>
                <w:szCs w:val="21"/>
              </w:rPr>
              <w:t>7:00-19:00</w:t>
            </w:r>
          </w:p>
        </w:tc>
        <w:tc>
          <w:tcPr>
            <w:tcW w:w="1134" w:type="dxa"/>
            <w:tcBorders>
              <w:top w:val="nil"/>
              <w:left w:val="nil"/>
              <w:bottom w:val="single" w:color="auto" w:sz="4" w:space="0"/>
              <w:right w:val="single" w:color="auto" w:sz="4" w:space="0"/>
            </w:tcBorders>
            <w:shd w:val="clear" w:color="auto" w:fill="auto"/>
            <w:noWrap/>
            <w:vAlign w:val="center"/>
          </w:tcPr>
          <w:p w14:paraId="13D4EA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851" w:type="dxa"/>
            <w:tcBorders>
              <w:top w:val="nil"/>
              <w:left w:val="nil"/>
              <w:bottom w:val="single" w:color="auto" w:sz="4" w:space="0"/>
              <w:right w:val="single" w:color="auto" w:sz="4" w:space="0"/>
            </w:tcBorders>
            <w:shd w:val="clear" w:color="auto" w:fill="auto"/>
            <w:noWrap/>
            <w:vAlign w:val="center"/>
          </w:tcPr>
          <w:p w14:paraId="7EC27B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879" w:type="dxa"/>
            <w:tcBorders>
              <w:top w:val="nil"/>
              <w:left w:val="nil"/>
              <w:bottom w:val="single" w:color="auto" w:sz="4" w:space="0"/>
              <w:right w:val="single" w:color="auto" w:sz="4" w:space="0"/>
            </w:tcBorders>
            <w:shd w:val="clear" w:color="auto" w:fill="auto"/>
            <w:noWrap/>
            <w:vAlign w:val="center"/>
          </w:tcPr>
          <w:p w14:paraId="202ABD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680" w:type="dxa"/>
            <w:tcBorders>
              <w:top w:val="nil"/>
              <w:left w:val="nil"/>
              <w:bottom w:val="single" w:color="auto" w:sz="4" w:space="0"/>
              <w:right w:val="single" w:color="auto" w:sz="4" w:space="0"/>
            </w:tcBorders>
            <w:shd w:val="clear" w:color="auto" w:fill="auto"/>
            <w:vAlign w:val="center"/>
          </w:tcPr>
          <w:p w14:paraId="41056C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3" w:type="dxa"/>
            <w:tcBorders>
              <w:top w:val="nil"/>
              <w:left w:val="nil"/>
              <w:bottom w:val="single" w:color="auto" w:sz="4" w:space="0"/>
              <w:right w:val="single" w:color="auto" w:sz="4" w:space="0"/>
            </w:tcBorders>
            <w:shd w:val="clear" w:color="auto" w:fill="auto"/>
            <w:noWrap/>
          </w:tcPr>
          <w:p w14:paraId="0A1729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6CCFB452">
        <w:tblPrEx>
          <w:tblCellMar>
            <w:top w:w="0" w:type="dxa"/>
            <w:left w:w="108" w:type="dxa"/>
            <w:bottom w:w="0" w:type="dxa"/>
            <w:right w:w="108" w:type="dxa"/>
          </w:tblCellMar>
        </w:tblPrEx>
        <w:trPr>
          <w:trHeight w:val="456" w:hRule="atLeast"/>
        </w:trPr>
        <w:tc>
          <w:tcPr>
            <w:tcW w:w="1855" w:type="dxa"/>
            <w:tcBorders>
              <w:top w:val="nil"/>
              <w:left w:val="single" w:color="auto" w:sz="4" w:space="0"/>
              <w:bottom w:val="single" w:color="auto" w:sz="4" w:space="0"/>
              <w:right w:val="single" w:color="auto" w:sz="4" w:space="0"/>
            </w:tcBorders>
            <w:shd w:val="clear" w:color="auto" w:fill="auto"/>
            <w:noWrap/>
            <w:vAlign w:val="center"/>
          </w:tcPr>
          <w:p w14:paraId="2530FE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地下停车库</w:t>
            </w:r>
          </w:p>
        </w:tc>
        <w:tc>
          <w:tcPr>
            <w:tcW w:w="992" w:type="dxa"/>
            <w:tcBorders>
              <w:top w:val="nil"/>
              <w:left w:val="nil"/>
              <w:bottom w:val="single" w:color="auto" w:sz="4" w:space="0"/>
              <w:right w:val="single" w:color="auto" w:sz="4" w:space="0"/>
            </w:tcBorders>
            <w:shd w:val="clear" w:color="auto" w:fill="auto"/>
            <w:vAlign w:val="center"/>
          </w:tcPr>
          <w:p w14:paraId="0BF4BB7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369" w:type="dxa"/>
            <w:tcBorders>
              <w:top w:val="nil"/>
              <w:left w:val="nil"/>
              <w:bottom w:val="single" w:color="auto" w:sz="4" w:space="0"/>
              <w:right w:val="single" w:color="auto" w:sz="4" w:space="0"/>
            </w:tcBorders>
            <w:shd w:val="clear" w:color="auto" w:fill="auto"/>
            <w:vAlign w:val="center"/>
          </w:tcPr>
          <w:p w14:paraId="074990EE">
            <w:pPr>
              <w:widowControl/>
              <w:jc w:val="center"/>
              <w:rPr>
                <w:rFonts w:ascii="Calibri" w:hAnsi="Calibri" w:eastAsia="宋体" w:cs="Calibri"/>
                <w:color w:val="000000"/>
                <w:kern w:val="0"/>
                <w:szCs w:val="21"/>
              </w:rPr>
            </w:pPr>
            <w:r>
              <w:rPr>
                <w:rFonts w:ascii="Calibri" w:hAnsi="Calibri" w:eastAsia="宋体" w:cs="Calibri"/>
                <w:color w:val="000000"/>
                <w:kern w:val="0"/>
                <w:szCs w:val="21"/>
              </w:rPr>
              <w:t>7:00-22:00</w:t>
            </w:r>
          </w:p>
        </w:tc>
        <w:tc>
          <w:tcPr>
            <w:tcW w:w="1134" w:type="dxa"/>
            <w:tcBorders>
              <w:top w:val="nil"/>
              <w:left w:val="nil"/>
              <w:bottom w:val="single" w:color="auto" w:sz="4" w:space="0"/>
              <w:right w:val="single" w:color="auto" w:sz="4" w:space="0"/>
            </w:tcBorders>
            <w:shd w:val="clear" w:color="auto" w:fill="auto"/>
            <w:noWrap/>
            <w:vAlign w:val="center"/>
          </w:tcPr>
          <w:p w14:paraId="76066E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851" w:type="dxa"/>
            <w:tcBorders>
              <w:top w:val="nil"/>
              <w:left w:val="nil"/>
              <w:bottom w:val="single" w:color="auto" w:sz="4" w:space="0"/>
              <w:right w:val="single" w:color="auto" w:sz="4" w:space="0"/>
            </w:tcBorders>
            <w:shd w:val="clear" w:color="auto" w:fill="auto"/>
            <w:noWrap/>
            <w:vAlign w:val="center"/>
          </w:tcPr>
          <w:p w14:paraId="6F67058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879" w:type="dxa"/>
            <w:tcBorders>
              <w:top w:val="nil"/>
              <w:left w:val="nil"/>
              <w:bottom w:val="single" w:color="auto" w:sz="4" w:space="0"/>
              <w:right w:val="single" w:color="auto" w:sz="4" w:space="0"/>
            </w:tcBorders>
            <w:shd w:val="clear" w:color="auto" w:fill="auto"/>
            <w:noWrap/>
            <w:vAlign w:val="center"/>
          </w:tcPr>
          <w:p w14:paraId="2E00C3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5.25</w:t>
            </w:r>
          </w:p>
        </w:tc>
        <w:tc>
          <w:tcPr>
            <w:tcW w:w="680" w:type="dxa"/>
            <w:tcBorders>
              <w:top w:val="nil"/>
              <w:left w:val="nil"/>
              <w:bottom w:val="single" w:color="auto" w:sz="4" w:space="0"/>
              <w:right w:val="single" w:color="auto" w:sz="4" w:space="0"/>
            </w:tcBorders>
            <w:shd w:val="clear" w:color="auto" w:fill="auto"/>
            <w:vAlign w:val="center"/>
          </w:tcPr>
          <w:p w14:paraId="583FCF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3" w:type="dxa"/>
            <w:tcBorders>
              <w:top w:val="nil"/>
              <w:left w:val="nil"/>
              <w:bottom w:val="single" w:color="auto" w:sz="4" w:space="0"/>
              <w:right w:val="single" w:color="auto" w:sz="4" w:space="0"/>
            </w:tcBorders>
            <w:shd w:val="clear" w:color="auto" w:fill="auto"/>
            <w:noWrap/>
          </w:tcPr>
          <w:p w14:paraId="3FCC4D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487C920A">
        <w:tblPrEx>
          <w:tblCellMar>
            <w:top w:w="0" w:type="dxa"/>
            <w:left w:w="108" w:type="dxa"/>
            <w:bottom w:w="0" w:type="dxa"/>
            <w:right w:w="108" w:type="dxa"/>
          </w:tblCellMar>
        </w:tblPrEx>
        <w:trPr>
          <w:trHeight w:val="996" w:hRule="atLeast"/>
        </w:trPr>
        <w:tc>
          <w:tcPr>
            <w:tcW w:w="10453"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046178D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依据国务院令第146号《国务院关于职工工作时间的规定》第三条“职工每日工作8小时、每周工作40小时”的规定测算工作量。</w:t>
            </w:r>
          </w:p>
        </w:tc>
      </w:tr>
    </w:tbl>
    <w:p w14:paraId="51A77F38">
      <w:pPr>
        <w:rPr>
          <w:rFonts w:ascii="新宋体" w:hAnsi="新宋体" w:eastAsia="新宋体"/>
          <w:sz w:val="28"/>
          <w:szCs w:val="28"/>
        </w:rPr>
      </w:pPr>
    </w:p>
    <w:p w14:paraId="7DD7A181">
      <w:pPr>
        <w:widowControl/>
        <w:jc w:val="left"/>
        <w:rPr>
          <w:rFonts w:ascii="新宋体" w:hAnsi="新宋体" w:eastAsia="新宋体"/>
          <w:sz w:val="28"/>
          <w:szCs w:val="28"/>
        </w:rPr>
      </w:pPr>
      <w:r>
        <w:rPr>
          <w:rFonts w:ascii="新宋体" w:hAnsi="新宋体" w:eastAsia="新宋体"/>
          <w:sz w:val="28"/>
          <w:szCs w:val="28"/>
        </w:rPr>
        <w:br w:type="page"/>
      </w:r>
    </w:p>
    <w:tbl>
      <w:tblPr>
        <w:tblStyle w:val="8"/>
        <w:tblW w:w="10360" w:type="dxa"/>
        <w:tblInd w:w="96" w:type="dxa"/>
        <w:tblLayout w:type="autofit"/>
        <w:tblCellMar>
          <w:top w:w="0" w:type="dxa"/>
          <w:left w:w="108" w:type="dxa"/>
          <w:bottom w:w="0" w:type="dxa"/>
          <w:right w:w="108" w:type="dxa"/>
        </w:tblCellMar>
      </w:tblPr>
      <w:tblGrid>
        <w:gridCol w:w="1572"/>
        <w:gridCol w:w="992"/>
        <w:gridCol w:w="1417"/>
        <w:gridCol w:w="1134"/>
        <w:gridCol w:w="851"/>
        <w:gridCol w:w="992"/>
        <w:gridCol w:w="709"/>
        <w:gridCol w:w="2693"/>
      </w:tblGrid>
      <w:tr w14:paraId="6CE7B297">
        <w:tblPrEx>
          <w:tblCellMar>
            <w:top w:w="0" w:type="dxa"/>
            <w:left w:w="108" w:type="dxa"/>
            <w:bottom w:w="0" w:type="dxa"/>
            <w:right w:w="108" w:type="dxa"/>
          </w:tblCellMar>
        </w:tblPrEx>
        <w:trPr>
          <w:trHeight w:val="612" w:hRule="atLeast"/>
        </w:trPr>
        <w:tc>
          <w:tcPr>
            <w:tcW w:w="10360" w:type="dxa"/>
            <w:gridSpan w:val="8"/>
            <w:tcBorders>
              <w:top w:val="nil"/>
              <w:left w:val="nil"/>
              <w:bottom w:val="single" w:color="auto" w:sz="4" w:space="0"/>
              <w:right w:val="nil"/>
            </w:tcBorders>
            <w:shd w:val="clear" w:color="auto" w:fill="auto"/>
            <w:noWrap/>
            <w:vAlign w:val="center"/>
          </w:tcPr>
          <w:p w14:paraId="3EB77EDA">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2025年黄浦校区安保服务岗位配置表</w:t>
            </w:r>
          </w:p>
        </w:tc>
      </w:tr>
      <w:tr w14:paraId="02442EA7">
        <w:tblPrEx>
          <w:tblCellMar>
            <w:top w:w="0" w:type="dxa"/>
            <w:left w:w="108" w:type="dxa"/>
            <w:bottom w:w="0" w:type="dxa"/>
            <w:right w:w="108" w:type="dxa"/>
          </w:tblCellMar>
        </w:tblPrEx>
        <w:trPr>
          <w:trHeight w:val="720" w:hRule="atLeast"/>
        </w:trPr>
        <w:tc>
          <w:tcPr>
            <w:tcW w:w="1572" w:type="dxa"/>
            <w:tcBorders>
              <w:top w:val="nil"/>
              <w:left w:val="single" w:color="auto" w:sz="4" w:space="0"/>
              <w:bottom w:val="nil"/>
              <w:right w:val="single" w:color="auto" w:sz="4" w:space="0"/>
            </w:tcBorders>
            <w:shd w:val="clear" w:color="auto" w:fill="auto"/>
            <w:noWrap/>
            <w:vAlign w:val="center"/>
          </w:tcPr>
          <w:p w14:paraId="55DABFF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岗位</w:t>
            </w:r>
          </w:p>
        </w:tc>
        <w:tc>
          <w:tcPr>
            <w:tcW w:w="992" w:type="dxa"/>
            <w:tcBorders>
              <w:top w:val="nil"/>
              <w:left w:val="nil"/>
              <w:bottom w:val="nil"/>
              <w:right w:val="single" w:color="auto" w:sz="4" w:space="0"/>
            </w:tcBorders>
            <w:shd w:val="clear" w:color="auto" w:fill="auto"/>
            <w:vAlign w:val="center"/>
          </w:tcPr>
          <w:p w14:paraId="7400794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岗位数</w:t>
            </w:r>
          </w:p>
        </w:tc>
        <w:tc>
          <w:tcPr>
            <w:tcW w:w="1417" w:type="dxa"/>
            <w:tcBorders>
              <w:top w:val="nil"/>
              <w:left w:val="nil"/>
              <w:bottom w:val="single" w:color="auto" w:sz="4" w:space="0"/>
              <w:right w:val="single" w:color="auto" w:sz="4" w:space="0"/>
            </w:tcBorders>
            <w:shd w:val="clear" w:color="auto" w:fill="auto"/>
            <w:vAlign w:val="center"/>
          </w:tcPr>
          <w:p w14:paraId="3078FAE1">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工作时段</w:t>
            </w:r>
          </w:p>
        </w:tc>
        <w:tc>
          <w:tcPr>
            <w:tcW w:w="1134" w:type="dxa"/>
            <w:tcBorders>
              <w:top w:val="nil"/>
              <w:left w:val="nil"/>
              <w:bottom w:val="nil"/>
              <w:right w:val="single" w:color="auto" w:sz="4" w:space="0"/>
            </w:tcBorders>
            <w:shd w:val="clear" w:color="auto" w:fill="auto"/>
            <w:vAlign w:val="center"/>
          </w:tcPr>
          <w:p w14:paraId="28C3115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工作时间（小时）</w:t>
            </w:r>
          </w:p>
        </w:tc>
        <w:tc>
          <w:tcPr>
            <w:tcW w:w="851" w:type="dxa"/>
            <w:tcBorders>
              <w:top w:val="nil"/>
              <w:left w:val="nil"/>
              <w:bottom w:val="single" w:color="auto" w:sz="4" w:space="0"/>
              <w:right w:val="single" w:color="auto" w:sz="4" w:space="0"/>
            </w:tcBorders>
            <w:shd w:val="clear" w:color="auto" w:fill="auto"/>
            <w:vAlign w:val="center"/>
          </w:tcPr>
          <w:p w14:paraId="5693102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每周工作时间</w:t>
            </w:r>
          </w:p>
        </w:tc>
        <w:tc>
          <w:tcPr>
            <w:tcW w:w="992" w:type="dxa"/>
            <w:tcBorders>
              <w:top w:val="nil"/>
              <w:left w:val="nil"/>
              <w:bottom w:val="single" w:color="auto" w:sz="4" w:space="0"/>
              <w:right w:val="single" w:color="auto" w:sz="4" w:space="0"/>
            </w:tcBorders>
            <w:shd w:val="clear" w:color="auto" w:fill="auto"/>
            <w:vAlign w:val="center"/>
          </w:tcPr>
          <w:p w14:paraId="019D40B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工作量（人）</w:t>
            </w:r>
          </w:p>
        </w:tc>
        <w:tc>
          <w:tcPr>
            <w:tcW w:w="709" w:type="dxa"/>
            <w:tcBorders>
              <w:top w:val="nil"/>
              <w:left w:val="nil"/>
              <w:bottom w:val="nil"/>
              <w:right w:val="single" w:color="auto" w:sz="4" w:space="0"/>
            </w:tcBorders>
            <w:shd w:val="clear" w:color="auto" w:fill="auto"/>
            <w:vAlign w:val="center"/>
          </w:tcPr>
          <w:p w14:paraId="30C9B18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c>
          <w:tcPr>
            <w:tcW w:w="2693" w:type="dxa"/>
            <w:tcBorders>
              <w:top w:val="nil"/>
              <w:left w:val="nil"/>
              <w:bottom w:val="single" w:color="auto" w:sz="4" w:space="0"/>
              <w:right w:val="single" w:color="auto" w:sz="4" w:space="0"/>
            </w:tcBorders>
            <w:shd w:val="clear" w:color="auto" w:fill="auto"/>
            <w:vAlign w:val="center"/>
          </w:tcPr>
          <w:p w14:paraId="70F37AA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服务期限</w:t>
            </w:r>
          </w:p>
        </w:tc>
      </w:tr>
      <w:tr w14:paraId="4064DA98">
        <w:tblPrEx>
          <w:tblCellMar>
            <w:top w:w="0" w:type="dxa"/>
            <w:left w:w="108" w:type="dxa"/>
            <w:bottom w:w="0" w:type="dxa"/>
            <w:right w:w="108" w:type="dxa"/>
          </w:tblCellMar>
        </w:tblPrEx>
        <w:trPr>
          <w:trHeight w:val="444" w:hRule="atLeast"/>
        </w:trPr>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82E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队长</w:t>
            </w:r>
          </w:p>
        </w:tc>
        <w:tc>
          <w:tcPr>
            <w:tcW w:w="992" w:type="dxa"/>
            <w:tcBorders>
              <w:top w:val="single" w:color="auto" w:sz="4" w:space="0"/>
              <w:left w:val="nil"/>
              <w:bottom w:val="single" w:color="auto" w:sz="4" w:space="0"/>
              <w:right w:val="single" w:color="auto" w:sz="4" w:space="0"/>
            </w:tcBorders>
            <w:shd w:val="clear" w:color="auto" w:fill="auto"/>
            <w:vAlign w:val="center"/>
          </w:tcPr>
          <w:p w14:paraId="005AB0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7" w:type="dxa"/>
            <w:tcBorders>
              <w:top w:val="nil"/>
              <w:left w:val="nil"/>
              <w:bottom w:val="single" w:color="auto" w:sz="4" w:space="0"/>
              <w:right w:val="nil"/>
            </w:tcBorders>
            <w:shd w:val="clear" w:color="auto" w:fill="auto"/>
            <w:noWrap/>
            <w:vAlign w:val="center"/>
          </w:tcPr>
          <w:p w14:paraId="3331F75F">
            <w:pPr>
              <w:widowControl/>
              <w:jc w:val="left"/>
              <w:rPr>
                <w:rFonts w:ascii="Calibri" w:hAnsi="Calibri" w:eastAsia="宋体" w:cs="Calibri"/>
                <w:color w:val="000000"/>
                <w:kern w:val="0"/>
                <w:szCs w:val="21"/>
              </w:rPr>
            </w:pPr>
            <w:r>
              <w:rPr>
                <w:rFonts w:ascii="Calibri" w:hAnsi="Calibri" w:eastAsia="宋体" w:cs="Calibri"/>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FEFAC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51" w:type="dxa"/>
            <w:tcBorders>
              <w:top w:val="nil"/>
              <w:left w:val="nil"/>
              <w:bottom w:val="single" w:color="auto" w:sz="4" w:space="0"/>
              <w:right w:val="single" w:color="auto" w:sz="4" w:space="0"/>
            </w:tcBorders>
            <w:shd w:val="clear" w:color="auto" w:fill="auto"/>
            <w:vAlign w:val="center"/>
          </w:tcPr>
          <w:p w14:paraId="1C902DF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992" w:type="dxa"/>
            <w:tcBorders>
              <w:top w:val="nil"/>
              <w:left w:val="nil"/>
              <w:bottom w:val="single" w:color="auto" w:sz="4" w:space="0"/>
              <w:right w:val="nil"/>
            </w:tcBorders>
            <w:shd w:val="clear" w:color="auto" w:fill="auto"/>
            <w:noWrap/>
            <w:vAlign w:val="center"/>
          </w:tcPr>
          <w:p w14:paraId="050CDA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B6E194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tcPr>
          <w:p w14:paraId="0771AF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17704267">
        <w:tblPrEx>
          <w:tblCellMar>
            <w:top w:w="0" w:type="dxa"/>
            <w:left w:w="108" w:type="dxa"/>
            <w:bottom w:w="0" w:type="dxa"/>
            <w:right w:w="108" w:type="dxa"/>
          </w:tblCellMar>
        </w:tblPrEx>
        <w:trPr>
          <w:trHeight w:val="444" w:hRule="atLeast"/>
        </w:trPr>
        <w:tc>
          <w:tcPr>
            <w:tcW w:w="1572" w:type="dxa"/>
            <w:tcBorders>
              <w:top w:val="nil"/>
              <w:left w:val="single" w:color="auto" w:sz="4" w:space="0"/>
              <w:bottom w:val="single" w:color="auto" w:sz="4" w:space="0"/>
              <w:right w:val="single" w:color="auto" w:sz="4" w:space="0"/>
            </w:tcBorders>
            <w:shd w:val="clear" w:color="auto" w:fill="auto"/>
            <w:noWrap/>
            <w:vAlign w:val="center"/>
          </w:tcPr>
          <w:p w14:paraId="16D2E91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西院大门岗</w:t>
            </w:r>
          </w:p>
        </w:tc>
        <w:tc>
          <w:tcPr>
            <w:tcW w:w="992" w:type="dxa"/>
            <w:tcBorders>
              <w:top w:val="nil"/>
              <w:left w:val="nil"/>
              <w:bottom w:val="single" w:color="auto" w:sz="4" w:space="0"/>
              <w:right w:val="single" w:color="auto" w:sz="4" w:space="0"/>
            </w:tcBorders>
            <w:shd w:val="clear" w:color="auto" w:fill="auto"/>
            <w:vAlign w:val="center"/>
          </w:tcPr>
          <w:p w14:paraId="02B79B0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白班3、夜班2</w:t>
            </w:r>
          </w:p>
        </w:tc>
        <w:tc>
          <w:tcPr>
            <w:tcW w:w="1417" w:type="dxa"/>
            <w:tcBorders>
              <w:top w:val="nil"/>
              <w:left w:val="nil"/>
              <w:bottom w:val="single" w:color="auto" w:sz="4" w:space="0"/>
              <w:right w:val="single" w:color="auto" w:sz="4" w:space="0"/>
            </w:tcBorders>
            <w:shd w:val="clear" w:color="auto" w:fill="auto"/>
            <w:vAlign w:val="center"/>
          </w:tcPr>
          <w:p w14:paraId="0B8CF05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0:00-24:00</w:t>
            </w:r>
          </w:p>
        </w:tc>
        <w:tc>
          <w:tcPr>
            <w:tcW w:w="1134" w:type="dxa"/>
            <w:tcBorders>
              <w:top w:val="nil"/>
              <w:left w:val="nil"/>
              <w:bottom w:val="single" w:color="auto" w:sz="4" w:space="0"/>
              <w:right w:val="single" w:color="auto" w:sz="4" w:space="0"/>
            </w:tcBorders>
            <w:shd w:val="clear" w:color="auto" w:fill="auto"/>
            <w:vAlign w:val="center"/>
          </w:tcPr>
          <w:p w14:paraId="36DF10D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851" w:type="dxa"/>
            <w:tcBorders>
              <w:top w:val="nil"/>
              <w:left w:val="nil"/>
              <w:bottom w:val="single" w:color="auto" w:sz="4" w:space="0"/>
              <w:right w:val="single" w:color="auto" w:sz="4" w:space="0"/>
            </w:tcBorders>
            <w:shd w:val="clear" w:color="auto" w:fill="auto"/>
            <w:vAlign w:val="center"/>
          </w:tcPr>
          <w:p w14:paraId="2F4631C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420</w:t>
            </w:r>
          </w:p>
        </w:tc>
        <w:tc>
          <w:tcPr>
            <w:tcW w:w="992" w:type="dxa"/>
            <w:tcBorders>
              <w:top w:val="nil"/>
              <w:left w:val="nil"/>
              <w:bottom w:val="single" w:color="auto" w:sz="4" w:space="0"/>
              <w:right w:val="nil"/>
            </w:tcBorders>
            <w:shd w:val="clear" w:color="auto" w:fill="auto"/>
            <w:noWrap/>
            <w:vAlign w:val="center"/>
          </w:tcPr>
          <w:p w14:paraId="22C927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w:t>
            </w:r>
          </w:p>
        </w:tc>
        <w:tc>
          <w:tcPr>
            <w:tcW w:w="709" w:type="dxa"/>
            <w:tcBorders>
              <w:top w:val="nil"/>
              <w:left w:val="single" w:color="auto" w:sz="4" w:space="0"/>
              <w:bottom w:val="single" w:color="auto" w:sz="4" w:space="0"/>
              <w:right w:val="single" w:color="auto" w:sz="4" w:space="0"/>
            </w:tcBorders>
            <w:shd w:val="clear" w:color="auto" w:fill="auto"/>
            <w:vAlign w:val="center"/>
          </w:tcPr>
          <w:p w14:paraId="48BA72B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tcPr>
          <w:p w14:paraId="052640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7C0CEBAE">
        <w:tblPrEx>
          <w:tblCellMar>
            <w:top w:w="0" w:type="dxa"/>
            <w:left w:w="108" w:type="dxa"/>
            <w:bottom w:w="0" w:type="dxa"/>
            <w:right w:w="108" w:type="dxa"/>
          </w:tblCellMar>
        </w:tblPrEx>
        <w:trPr>
          <w:trHeight w:val="444" w:hRule="atLeast"/>
        </w:trPr>
        <w:tc>
          <w:tcPr>
            <w:tcW w:w="1572" w:type="dxa"/>
            <w:tcBorders>
              <w:top w:val="nil"/>
              <w:left w:val="single" w:color="auto" w:sz="4" w:space="0"/>
              <w:bottom w:val="single" w:color="auto" w:sz="4" w:space="0"/>
              <w:right w:val="single" w:color="auto" w:sz="4" w:space="0"/>
            </w:tcBorders>
            <w:shd w:val="clear" w:color="auto" w:fill="auto"/>
            <w:vAlign w:val="center"/>
          </w:tcPr>
          <w:p w14:paraId="3698E96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思南路门岗</w:t>
            </w:r>
          </w:p>
        </w:tc>
        <w:tc>
          <w:tcPr>
            <w:tcW w:w="992" w:type="dxa"/>
            <w:tcBorders>
              <w:top w:val="nil"/>
              <w:left w:val="nil"/>
              <w:bottom w:val="single" w:color="auto" w:sz="4" w:space="0"/>
              <w:right w:val="single" w:color="auto" w:sz="4" w:space="0"/>
            </w:tcBorders>
            <w:shd w:val="clear" w:color="auto" w:fill="auto"/>
            <w:vAlign w:val="center"/>
          </w:tcPr>
          <w:p w14:paraId="5F5243A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7" w:type="dxa"/>
            <w:tcBorders>
              <w:top w:val="nil"/>
              <w:left w:val="nil"/>
              <w:bottom w:val="single" w:color="auto" w:sz="4" w:space="0"/>
              <w:right w:val="single" w:color="auto" w:sz="4" w:space="0"/>
            </w:tcBorders>
            <w:shd w:val="clear" w:color="auto" w:fill="auto"/>
            <w:vAlign w:val="center"/>
          </w:tcPr>
          <w:p w14:paraId="10D1298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7:00-18:00</w:t>
            </w:r>
          </w:p>
        </w:tc>
        <w:tc>
          <w:tcPr>
            <w:tcW w:w="1134" w:type="dxa"/>
            <w:tcBorders>
              <w:top w:val="nil"/>
              <w:left w:val="nil"/>
              <w:bottom w:val="single" w:color="auto" w:sz="4" w:space="0"/>
              <w:right w:val="single" w:color="auto" w:sz="4" w:space="0"/>
            </w:tcBorders>
            <w:shd w:val="clear" w:color="auto" w:fill="auto"/>
            <w:vAlign w:val="center"/>
          </w:tcPr>
          <w:p w14:paraId="1441588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851" w:type="dxa"/>
            <w:tcBorders>
              <w:top w:val="nil"/>
              <w:left w:val="nil"/>
              <w:bottom w:val="single" w:color="auto" w:sz="4" w:space="0"/>
              <w:right w:val="single" w:color="auto" w:sz="4" w:space="0"/>
            </w:tcBorders>
            <w:shd w:val="clear" w:color="auto" w:fill="auto"/>
            <w:vAlign w:val="center"/>
          </w:tcPr>
          <w:p w14:paraId="17FF34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992" w:type="dxa"/>
            <w:tcBorders>
              <w:top w:val="nil"/>
              <w:left w:val="nil"/>
              <w:bottom w:val="single" w:color="auto" w:sz="4" w:space="0"/>
              <w:right w:val="nil"/>
            </w:tcBorders>
            <w:shd w:val="clear" w:color="auto" w:fill="auto"/>
            <w:noWrap/>
            <w:vAlign w:val="center"/>
          </w:tcPr>
          <w:p w14:paraId="0764B0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1.375</w:t>
            </w:r>
          </w:p>
        </w:tc>
        <w:tc>
          <w:tcPr>
            <w:tcW w:w="709" w:type="dxa"/>
            <w:tcBorders>
              <w:top w:val="nil"/>
              <w:left w:val="single" w:color="auto" w:sz="4" w:space="0"/>
              <w:bottom w:val="single" w:color="auto" w:sz="4" w:space="0"/>
              <w:right w:val="single" w:color="auto" w:sz="4" w:space="0"/>
            </w:tcBorders>
            <w:shd w:val="clear" w:color="auto" w:fill="auto"/>
            <w:vAlign w:val="center"/>
          </w:tcPr>
          <w:p w14:paraId="412771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每周六日关闭</w:t>
            </w:r>
          </w:p>
        </w:tc>
        <w:tc>
          <w:tcPr>
            <w:tcW w:w="2693" w:type="dxa"/>
            <w:tcBorders>
              <w:top w:val="nil"/>
              <w:left w:val="nil"/>
              <w:bottom w:val="single" w:color="auto" w:sz="4" w:space="0"/>
              <w:right w:val="single" w:color="auto" w:sz="4" w:space="0"/>
            </w:tcBorders>
            <w:shd w:val="clear" w:color="auto" w:fill="auto"/>
            <w:noWrap/>
          </w:tcPr>
          <w:p w14:paraId="1806410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173A7CF4">
        <w:tblPrEx>
          <w:tblCellMar>
            <w:top w:w="0" w:type="dxa"/>
            <w:left w:w="108" w:type="dxa"/>
            <w:bottom w:w="0" w:type="dxa"/>
            <w:right w:w="108" w:type="dxa"/>
          </w:tblCellMar>
        </w:tblPrEx>
        <w:trPr>
          <w:trHeight w:val="444" w:hRule="atLeast"/>
        </w:trPr>
        <w:tc>
          <w:tcPr>
            <w:tcW w:w="1572" w:type="dxa"/>
            <w:tcBorders>
              <w:top w:val="nil"/>
              <w:left w:val="single" w:color="auto" w:sz="4" w:space="0"/>
              <w:bottom w:val="single" w:color="auto" w:sz="4" w:space="0"/>
              <w:right w:val="single" w:color="auto" w:sz="4" w:space="0"/>
            </w:tcBorders>
            <w:shd w:val="clear" w:color="auto" w:fill="auto"/>
            <w:noWrap/>
            <w:vAlign w:val="center"/>
          </w:tcPr>
          <w:p w14:paraId="783C5D5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东院大门岗</w:t>
            </w:r>
          </w:p>
        </w:tc>
        <w:tc>
          <w:tcPr>
            <w:tcW w:w="992" w:type="dxa"/>
            <w:tcBorders>
              <w:top w:val="nil"/>
              <w:left w:val="nil"/>
              <w:bottom w:val="single" w:color="auto" w:sz="4" w:space="0"/>
              <w:right w:val="single" w:color="auto" w:sz="4" w:space="0"/>
            </w:tcBorders>
            <w:shd w:val="clear" w:color="auto" w:fill="auto"/>
            <w:vAlign w:val="center"/>
          </w:tcPr>
          <w:p w14:paraId="14F69E2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白班3、夜班2</w:t>
            </w:r>
          </w:p>
        </w:tc>
        <w:tc>
          <w:tcPr>
            <w:tcW w:w="1417" w:type="dxa"/>
            <w:tcBorders>
              <w:top w:val="nil"/>
              <w:left w:val="nil"/>
              <w:bottom w:val="single" w:color="auto" w:sz="4" w:space="0"/>
              <w:right w:val="single" w:color="auto" w:sz="4" w:space="0"/>
            </w:tcBorders>
            <w:shd w:val="clear" w:color="auto" w:fill="auto"/>
            <w:vAlign w:val="center"/>
          </w:tcPr>
          <w:p w14:paraId="64C50CC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0:00-24:00</w:t>
            </w:r>
          </w:p>
        </w:tc>
        <w:tc>
          <w:tcPr>
            <w:tcW w:w="1134" w:type="dxa"/>
            <w:tcBorders>
              <w:top w:val="nil"/>
              <w:left w:val="nil"/>
              <w:bottom w:val="single" w:color="auto" w:sz="4" w:space="0"/>
              <w:right w:val="single" w:color="auto" w:sz="4" w:space="0"/>
            </w:tcBorders>
            <w:shd w:val="clear" w:color="auto" w:fill="auto"/>
            <w:vAlign w:val="center"/>
          </w:tcPr>
          <w:p w14:paraId="5E1F3F0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851" w:type="dxa"/>
            <w:tcBorders>
              <w:top w:val="nil"/>
              <w:left w:val="nil"/>
              <w:bottom w:val="single" w:color="auto" w:sz="4" w:space="0"/>
              <w:right w:val="single" w:color="auto" w:sz="4" w:space="0"/>
            </w:tcBorders>
            <w:shd w:val="clear" w:color="auto" w:fill="auto"/>
            <w:vAlign w:val="center"/>
          </w:tcPr>
          <w:p w14:paraId="0EAC37B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420</w:t>
            </w:r>
          </w:p>
        </w:tc>
        <w:tc>
          <w:tcPr>
            <w:tcW w:w="992" w:type="dxa"/>
            <w:tcBorders>
              <w:top w:val="nil"/>
              <w:left w:val="nil"/>
              <w:bottom w:val="single" w:color="auto" w:sz="4" w:space="0"/>
              <w:right w:val="nil"/>
            </w:tcBorders>
            <w:shd w:val="clear" w:color="auto" w:fill="auto"/>
            <w:noWrap/>
            <w:vAlign w:val="center"/>
          </w:tcPr>
          <w:p w14:paraId="4538F0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w:t>
            </w:r>
          </w:p>
        </w:tc>
        <w:tc>
          <w:tcPr>
            <w:tcW w:w="709" w:type="dxa"/>
            <w:tcBorders>
              <w:top w:val="nil"/>
              <w:left w:val="single" w:color="auto" w:sz="4" w:space="0"/>
              <w:bottom w:val="single" w:color="auto" w:sz="4" w:space="0"/>
              <w:right w:val="single" w:color="auto" w:sz="4" w:space="0"/>
            </w:tcBorders>
            <w:shd w:val="clear" w:color="auto" w:fill="auto"/>
            <w:vAlign w:val="center"/>
          </w:tcPr>
          <w:p w14:paraId="0AB595B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tcPr>
          <w:p w14:paraId="231F89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51CECF08">
        <w:tblPrEx>
          <w:tblCellMar>
            <w:top w:w="0" w:type="dxa"/>
            <w:left w:w="108" w:type="dxa"/>
            <w:bottom w:w="0" w:type="dxa"/>
            <w:right w:w="108" w:type="dxa"/>
          </w:tblCellMar>
        </w:tblPrEx>
        <w:trPr>
          <w:trHeight w:val="444" w:hRule="atLeast"/>
        </w:trPr>
        <w:tc>
          <w:tcPr>
            <w:tcW w:w="1572" w:type="dxa"/>
            <w:tcBorders>
              <w:top w:val="nil"/>
              <w:left w:val="single" w:color="auto" w:sz="4" w:space="0"/>
              <w:bottom w:val="single" w:color="auto" w:sz="4" w:space="0"/>
              <w:right w:val="single" w:color="auto" w:sz="4" w:space="0"/>
            </w:tcBorders>
            <w:shd w:val="clear" w:color="auto" w:fill="auto"/>
            <w:noWrap/>
            <w:vAlign w:val="center"/>
          </w:tcPr>
          <w:p w14:paraId="3B6CF16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合肥路门岗</w:t>
            </w:r>
          </w:p>
        </w:tc>
        <w:tc>
          <w:tcPr>
            <w:tcW w:w="992" w:type="dxa"/>
            <w:tcBorders>
              <w:top w:val="nil"/>
              <w:left w:val="nil"/>
              <w:bottom w:val="single" w:color="auto" w:sz="4" w:space="0"/>
              <w:right w:val="single" w:color="auto" w:sz="4" w:space="0"/>
            </w:tcBorders>
            <w:shd w:val="clear" w:color="auto" w:fill="auto"/>
            <w:vAlign w:val="center"/>
          </w:tcPr>
          <w:p w14:paraId="3EC41D7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tcBorders>
              <w:top w:val="nil"/>
              <w:left w:val="nil"/>
              <w:bottom w:val="single" w:color="auto" w:sz="4" w:space="0"/>
              <w:right w:val="single" w:color="auto" w:sz="4" w:space="0"/>
            </w:tcBorders>
            <w:shd w:val="clear" w:color="auto" w:fill="auto"/>
            <w:vAlign w:val="center"/>
          </w:tcPr>
          <w:p w14:paraId="6F78730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6:30-22:00</w:t>
            </w:r>
          </w:p>
        </w:tc>
        <w:tc>
          <w:tcPr>
            <w:tcW w:w="1134" w:type="dxa"/>
            <w:tcBorders>
              <w:top w:val="nil"/>
              <w:left w:val="nil"/>
              <w:bottom w:val="single" w:color="auto" w:sz="4" w:space="0"/>
              <w:right w:val="single" w:color="auto" w:sz="4" w:space="0"/>
            </w:tcBorders>
            <w:shd w:val="clear" w:color="auto" w:fill="auto"/>
            <w:vAlign w:val="center"/>
          </w:tcPr>
          <w:p w14:paraId="193AB5E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851" w:type="dxa"/>
            <w:tcBorders>
              <w:top w:val="nil"/>
              <w:left w:val="nil"/>
              <w:bottom w:val="single" w:color="auto" w:sz="4" w:space="0"/>
              <w:right w:val="single" w:color="auto" w:sz="4" w:space="0"/>
            </w:tcBorders>
            <w:shd w:val="clear" w:color="auto" w:fill="auto"/>
            <w:vAlign w:val="center"/>
          </w:tcPr>
          <w:p w14:paraId="508F8B9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217</w:t>
            </w:r>
          </w:p>
        </w:tc>
        <w:tc>
          <w:tcPr>
            <w:tcW w:w="992" w:type="dxa"/>
            <w:tcBorders>
              <w:top w:val="nil"/>
              <w:left w:val="nil"/>
              <w:bottom w:val="single" w:color="auto" w:sz="4" w:space="0"/>
              <w:right w:val="nil"/>
            </w:tcBorders>
            <w:shd w:val="clear" w:color="auto" w:fill="auto"/>
            <w:noWrap/>
            <w:vAlign w:val="center"/>
          </w:tcPr>
          <w:p w14:paraId="03269E8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5.425</w:t>
            </w:r>
          </w:p>
        </w:tc>
        <w:tc>
          <w:tcPr>
            <w:tcW w:w="709" w:type="dxa"/>
            <w:tcBorders>
              <w:top w:val="nil"/>
              <w:left w:val="single" w:color="auto" w:sz="4" w:space="0"/>
              <w:bottom w:val="single" w:color="auto" w:sz="4" w:space="0"/>
              <w:right w:val="single" w:color="auto" w:sz="4" w:space="0"/>
            </w:tcBorders>
            <w:shd w:val="clear" w:color="auto" w:fill="auto"/>
            <w:vAlign w:val="center"/>
          </w:tcPr>
          <w:p w14:paraId="62FE31F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tcPr>
          <w:p w14:paraId="7678B4C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5F63A9BC">
        <w:tblPrEx>
          <w:tblCellMar>
            <w:top w:w="0" w:type="dxa"/>
            <w:left w:w="108" w:type="dxa"/>
            <w:bottom w:w="0" w:type="dxa"/>
            <w:right w:w="108" w:type="dxa"/>
          </w:tblCellMar>
        </w:tblPrEx>
        <w:trPr>
          <w:trHeight w:val="444" w:hRule="atLeast"/>
        </w:trPr>
        <w:tc>
          <w:tcPr>
            <w:tcW w:w="1572" w:type="dxa"/>
            <w:tcBorders>
              <w:top w:val="nil"/>
              <w:left w:val="single" w:color="auto" w:sz="4" w:space="0"/>
              <w:bottom w:val="single" w:color="auto" w:sz="4" w:space="0"/>
              <w:right w:val="single" w:color="auto" w:sz="4" w:space="0"/>
            </w:tcBorders>
            <w:shd w:val="clear" w:color="auto" w:fill="auto"/>
            <w:noWrap/>
            <w:vAlign w:val="center"/>
          </w:tcPr>
          <w:p w14:paraId="5417F91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中山南一路门岗</w:t>
            </w:r>
          </w:p>
        </w:tc>
        <w:tc>
          <w:tcPr>
            <w:tcW w:w="992" w:type="dxa"/>
            <w:tcBorders>
              <w:top w:val="nil"/>
              <w:left w:val="nil"/>
              <w:bottom w:val="single" w:color="auto" w:sz="4" w:space="0"/>
              <w:right w:val="single" w:color="auto" w:sz="4" w:space="0"/>
            </w:tcBorders>
            <w:shd w:val="clear" w:color="auto" w:fill="auto"/>
            <w:vAlign w:val="center"/>
          </w:tcPr>
          <w:p w14:paraId="327D422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tcBorders>
              <w:top w:val="nil"/>
              <w:left w:val="nil"/>
              <w:bottom w:val="single" w:color="auto" w:sz="4" w:space="0"/>
              <w:right w:val="single" w:color="auto" w:sz="4" w:space="0"/>
            </w:tcBorders>
            <w:shd w:val="clear" w:color="auto" w:fill="auto"/>
            <w:vAlign w:val="center"/>
          </w:tcPr>
          <w:p w14:paraId="0D35BD1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0:00-24:00</w:t>
            </w:r>
          </w:p>
        </w:tc>
        <w:tc>
          <w:tcPr>
            <w:tcW w:w="1134" w:type="dxa"/>
            <w:tcBorders>
              <w:top w:val="nil"/>
              <w:left w:val="nil"/>
              <w:bottom w:val="single" w:color="auto" w:sz="4" w:space="0"/>
              <w:right w:val="single" w:color="auto" w:sz="4" w:space="0"/>
            </w:tcBorders>
            <w:shd w:val="clear" w:color="auto" w:fill="auto"/>
            <w:vAlign w:val="center"/>
          </w:tcPr>
          <w:p w14:paraId="7E2CC19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851" w:type="dxa"/>
            <w:tcBorders>
              <w:top w:val="nil"/>
              <w:left w:val="nil"/>
              <w:bottom w:val="single" w:color="auto" w:sz="4" w:space="0"/>
              <w:right w:val="single" w:color="auto" w:sz="4" w:space="0"/>
            </w:tcBorders>
            <w:shd w:val="clear" w:color="auto" w:fill="auto"/>
            <w:vAlign w:val="center"/>
          </w:tcPr>
          <w:p w14:paraId="08FB6D4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336</w:t>
            </w:r>
          </w:p>
        </w:tc>
        <w:tc>
          <w:tcPr>
            <w:tcW w:w="992" w:type="dxa"/>
            <w:tcBorders>
              <w:top w:val="nil"/>
              <w:left w:val="nil"/>
              <w:bottom w:val="single" w:color="auto" w:sz="4" w:space="0"/>
              <w:right w:val="nil"/>
            </w:tcBorders>
            <w:shd w:val="clear" w:color="auto" w:fill="auto"/>
            <w:noWrap/>
            <w:vAlign w:val="center"/>
          </w:tcPr>
          <w:p w14:paraId="76B8BE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709" w:type="dxa"/>
            <w:tcBorders>
              <w:top w:val="nil"/>
              <w:left w:val="single" w:color="auto" w:sz="4" w:space="0"/>
              <w:bottom w:val="single" w:color="auto" w:sz="4" w:space="0"/>
              <w:right w:val="single" w:color="auto" w:sz="4" w:space="0"/>
            </w:tcBorders>
            <w:shd w:val="clear" w:color="auto" w:fill="auto"/>
            <w:vAlign w:val="center"/>
          </w:tcPr>
          <w:p w14:paraId="7833446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93" w:type="dxa"/>
            <w:tcBorders>
              <w:top w:val="nil"/>
              <w:left w:val="nil"/>
              <w:bottom w:val="single" w:color="auto" w:sz="4" w:space="0"/>
              <w:right w:val="single" w:color="auto" w:sz="4" w:space="0"/>
            </w:tcBorders>
            <w:shd w:val="clear" w:color="auto" w:fill="auto"/>
            <w:noWrap/>
          </w:tcPr>
          <w:p w14:paraId="5836B8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59F9ADFB">
        <w:tblPrEx>
          <w:tblCellMar>
            <w:top w:w="0" w:type="dxa"/>
            <w:left w:w="108" w:type="dxa"/>
            <w:bottom w:w="0" w:type="dxa"/>
            <w:right w:w="108" w:type="dxa"/>
          </w:tblCellMar>
        </w:tblPrEx>
        <w:trPr>
          <w:trHeight w:val="444" w:hRule="atLeast"/>
        </w:trPr>
        <w:tc>
          <w:tcPr>
            <w:tcW w:w="1572" w:type="dxa"/>
            <w:tcBorders>
              <w:top w:val="nil"/>
              <w:left w:val="single" w:color="auto" w:sz="4" w:space="0"/>
              <w:bottom w:val="single" w:color="auto" w:sz="4" w:space="0"/>
              <w:right w:val="single" w:color="auto" w:sz="4" w:space="0"/>
            </w:tcBorders>
            <w:shd w:val="clear" w:color="auto" w:fill="auto"/>
            <w:noWrap/>
            <w:vAlign w:val="center"/>
          </w:tcPr>
          <w:p w14:paraId="3F378FD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西</w:t>
            </w:r>
            <w:r>
              <w:rPr>
                <w:rFonts w:ascii="Calibri" w:hAnsi="Calibri" w:eastAsia="宋体" w:cs="Calibri"/>
                <w:kern w:val="0"/>
                <w:szCs w:val="21"/>
              </w:rPr>
              <w:t>2</w:t>
            </w:r>
            <w:r>
              <w:rPr>
                <w:rFonts w:hint="eastAsia" w:ascii="宋体" w:hAnsi="宋体" w:eastAsia="宋体" w:cs="宋体"/>
                <w:kern w:val="0"/>
                <w:szCs w:val="21"/>
              </w:rPr>
              <w:t>号楼监控</w:t>
            </w:r>
          </w:p>
        </w:tc>
        <w:tc>
          <w:tcPr>
            <w:tcW w:w="992" w:type="dxa"/>
            <w:tcBorders>
              <w:top w:val="nil"/>
              <w:left w:val="nil"/>
              <w:bottom w:val="single" w:color="auto" w:sz="4" w:space="0"/>
              <w:right w:val="single" w:color="auto" w:sz="4" w:space="0"/>
            </w:tcBorders>
            <w:shd w:val="clear" w:color="auto" w:fill="auto"/>
            <w:vAlign w:val="center"/>
          </w:tcPr>
          <w:p w14:paraId="57D1592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tcBorders>
              <w:top w:val="nil"/>
              <w:left w:val="nil"/>
              <w:bottom w:val="single" w:color="auto" w:sz="4" w:space="0"/>
              <w:right w:val="single" w:color="auto" w:sz="4" w:space="0"/>
            </w:tcBorders>
            <w:shd w:val="clear" w:color="auto" w:fill="auto"/>
            <w:vAlign w:val="center"/>
          </w:tcPr>
          <w:p w14:paraId="2CF942C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0:00-24:00</w:t>
            </w:r>
          </w:p>
        </w:tc>
        <w:tc>
          <w:tcPr>
            <w:tcW w:w="1134" w:type="dxa"/>
            <w:tcBorders>
              <w:top w:val="nil"/>
              <w:left w:val="nil"/>
              <w:bottom w:val="single" w:color="auto" w:sz="4" w:space="0"/>
              <w:right w:val="single" w:color="auto" w:sz="4" w:space="0"/>
            </w:tcBorders>
            <w:shd w:val="clear" w:color="auto" w:fill="auto"/>
            <w:vAlign w:val="center"/>
          </w:tcPr>
          <w:p w14:paraId="6A47E86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851" w:type="dxa"/>
            <w:tcBorders>
              <w:top w:val="nil"/>
              <w:left w:val="nil"/>
              <w:bottom w:val="single" w:color="auto" w:sz="4" w:space="0"/>
              <w:right w:val="single" w:color="auto" w:sz="4" w:space="0"/>
            </w:tcBorders>
            <w:shd w:val="clear" w:color="auto" w:fill="auto"/>
            <w:vAlign w:val="center"/>
          </w:tcPr>
          <w:p w14:paraId="29E9896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336</w:t>
            </w:r>
          </w:p>
        </w:tc>
        <w:tc>
          <w:tcPr>
            <w:tcW w:w="992" w:type="dxa"/>
            <w:tcBorders>
              <w:top w:val="nil"/>
              <w:left w:val="nil"/>
              <w:bottom w:val="single" w:color="auto" w:sz="4" w:space="0"/>
              <w:right w:val="nil"/>
            </w:tcBorders>
            <w:shd w:val="clear" w:color="auto" w:fill="auto"/>
            <w:noWrap/>
            <w:vAlign w:val="center"/>
          </w:tcPr>
          <w:p w14:paraId="7189F8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0848E0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3" w:type="dxa"/>
            <w:tcBorders>
              <w:top w:val="nil"/>
              <w:left w:val="nil"/>
              <w:bottom w:val="single" w:color="auto" w:sz="4" w:space="0"/>
              <w:right w:val="single" w:color="auto" w:sz="4" w:space="0"/>
            </w:tcBorders>
            <w:shd w:val="clear" w:color="auto" w:fill="auto"/>
            <w:noWrap/>
          </w:tcPr>
          <w:p w14:paraId="13EE4F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2E430355">
        <w:tblPrEx>
          <w:tblCellMar>
            <w:top w:w="0" w:type="dxa"/>
            <w:left w:w="108" w:type="dxa"/>
            <w:bottom w:w="0" w:type="dxa"/>
            <w:right w:w="108" w:type="dxa"/>
          </w:tblCellMar>
        </w:tblPrEx>
        <w:trPr>
          <w:trHeight w:val="444" w:hRule="atLeast"/>
        </w:trPr>
        <w:tc>
          <w:tcPr>
            <w:tcW w:w="1572" w:type="dxa"/>
            <w:tcBorders>
              <w:top w:val="nil"/>
              <w:left w:val="single" w:color="auto" w:sz="4" w:space="0"/>
              <w:bottom w:val="single" w:color="auto" w:sz="4" w:space="0"/>
              <w:right w:val="single" w:color="auto" w:sz="4" w:space="0"/>
            </w:tcBorders>
            <w:shd w:val="clear" w:color="auto" w:fill="auto"/>
            <w:noWrap/>
            <w:vAlign w:val="center"/>
          </w:tcPr>
          <w:p w14:paraId="62FB453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西</w:t>
            </w:r>
            <w:r>
              <w:rPr>
                <w:rFonts w:ascii="Calibri" w:hAnsi="Calibri" w:eastAsia="宋体" w:cs="Calibri"/>
                <w:kern w:val="0"/>
                <w:szCs w:val="21"/>
              </w:rPr>
              <w:t>7</w:t>
            </w:r>
            <w:r>
              <w:rPr>
                <w:rFonts w:hint="eastAsia" w:ascii="宋体" w:hAnsi="宋体" w:eastAsia="宋体" w:cs="宋体"/>
                <w:kern w:val="0"/>
                <w:szCs w:val="21"/>
              </w:rPr>
              <w:t>号楼监控</w:t>
            </w:r>
          </w:p>
        </w:tc>
        <w:tc>
          <w:tcPr>
            <w:tcW w:w="992" w:type="dxa"/>
            <w:tcBorders>
              <w:top w:val="nil"/>
              <w:left w:val="nil"/>
              <w:bottom w:val="single" w:color="auto" w:sz="4" w:space="0"/>
              <w:right w:val="single" w:color="auto" w:sz="4" w:space="0"/>
            </w:tcBorders>
            <w:shd w:val="clear" w:color="auto" w:fill="auto"/>
            <w:vAlign w:val="center"/>
          </w:tcPr>
          <w:p w14:paraId="7335CA7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tcBorders>
              <w:top w:val="nil"/>
              <w:left w:val="nil"/>
              <w:bottom w:val="single" w:color="auto" w:sz="4" w:space="0"/>
              <w:right w:val="single" w:color="auto" w:sz="4" w:space="0"/>
            </w:tcBorders>
            <w:shd w:val="clear" w:color="auto" w:fill="auto"/>
            <w:vAlign w:val="center"/>
          </w:tcPr>
          <w:p w14:paraId="5E709C8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0:00-24:00</w:t>
            </w:r>
          </w:p>
        </w:tc>
        <w:tc>
          <w:tcPr>
            <w:tcW w:w="1134" w:type="dxa"/>
            <w:tcBorders>
              <w:top w:val="nil"/>
              <w:left w:val="nil"/>
              <w:bottom w:val="single" w:color="auto" w:sz="4" w:space="0"/>
              <w:right w:val="single" w:color="auto" w:sz="4" w:space="0"/>
            </w:tcBorders>
            <w:shd w:val="clear" w:color="auto" w:fill="auto"/>
            <w:vAlign w:val="center"/>
          </w:tcPr>
          <w:p w14:paraId="6102D47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851" w:type="dxa"/>
            <w:tcBorders>
              <w:top w:val="nil"/>
              <w:left w:val="nil"/>
              <w:bottom w:val="single" w:color="auto" w:sz="4" w:space="0"/>
              <w:right w:val="single" w:color="auto" w:sz="4" w:space="0"/>
            </w:tcBorders>
            <w:shd w:val="clear" w:color="auto" w:fill="auto"/>
            <w:vAlign w:val="center"/>
          </w:tcPr>
          <w:p w14:paraId="16DCF58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336</w:t>
            </w:r>
          </w:p>
        </w:tc>
        <w:tc>
          <w:tcPr>
            <w:tcW w:w="992" w:type="dxa"/>
            <w:tcBorders>
              <w:top w:val="nil"/>
              <w:left w:val="nil"/>
              <w:bottom w:val="single" w:color="auto" w:sz="4" w:space="0"/>
              <w:right w:val="nil"/>
            </w:tcBorders>
            <w:shd w:val="clear" w:color="auto" w:fill="auto"/>
            <w:noWrap/>
            <w:vAlign w:val="center"/>
          </w:tcPr>
          <w:p w14:paraId="4A1441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08DD95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3" w:type="dxa"/>
            <w:tcBorders>
              <w:top w:val="nil"/>
              <w:left w:val="nil"/>
              <w:bottom w:val="single" w:color="auto" w:sz="4" w:space="0"/>
              <w:right w:val="single" w:color="auto" w:sz="4" w:space="0"/>
            </w:tcBorders>
            <w:shd w:val="clear" w:color="auto" w:fill="auto"/>
            <w:noWrap/>
          </w:tcPr>
          <w:p w14:paraId="1E8411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445B86D9">
        <w:tblPrEx>
          <w:tblCellMar>
            <w:top w:w="0" w:type="dxa"/>
            <w:left w:w="108" w:type="dxa"/>
            <w:bottom w:w="0" w:type="dxa"/>
            <w:right w:w="108" w:type="dxa"/>
          </w:tblCellMar>
        </w:tblPrEx>
        <w:trPr>
          <w:trHeight w:val="444" w:hRule="atLeast"/>
        </w:trPr>
        <w:tc>
          <w:tcPr>
            <w:tcW w:w="1572" w:type="dxa"/>
            <w:tcBorders>
              <w:top w:val="nil"/>
              <w:left w:val="single" w:color="auto" w:sz="4" w:space="0"/>
              <w:bottom w:val="single" w:color="auto" w:sz="4" w:space="0"/>
              <w:right w:val="single" w:color="auto" w:sz="4" w:space="0"/>
            </w:tcBorders>
            <w:shd w:val="clear" w:color="auto" w:fill="auto"/>
            <w:noWrap/>
            <w:vAlign w:val="center"/>
          </w:tcPr>
          <w:p w14:paraId="37DA76E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监控中心</w:t>
            </w:r>
          </w:p>
        </w:tc>
        <w:tc>
          <w:tcPr>
            <w:tcW w:w="992" w:type="dxa"/>
            <w:tcBorders>
              <w:top w:val="nil"/>
              <w:left w:val="nil"/>
              <w:bottom w:val="single" w:color="auto" w:sz="4" w:space="0"/>
              <w:right w:val="single" w:color="auto" w:sz="4" w:space="0"/>
            </w:tcBorders>
            <w:shd w:val="clear" w:color="auto" w:fill="auto"/>
            <w:vAlign w:val="center"/>
          </w:tcPr>
          <w:p w14:paraId="7B96DD6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tcBorders>
              <w:top w:val="nil"/>
              <w:left w:val="nil"/>
              <w:bottom w:val="single" w:color="auto" w:sz="4" w:space="0"/>
              <w:right w:val="single" w:color="auto" w:sz="4" w:space="0"/>
            </w:tcBorders>
            <w:shd w:val="clear" w:color="auto" w:fill="auto"/>
            <w:vAlign w:val="center"/>
          </w:tcPr>
          <w:p w14:paraId="686E793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0:00-24:00</w:t>
            </w:r>
          </w:p>
        </w:tc>
        <w:tc>
          <w:tcPr>
            <w:tcW w:w="1134" w:type="dxa"/>
            <w:tcBorders>
              <w:top w:val="nil"/>
              <w:left w:val="nil"/>
              <w:bottom w:val="single" w:color="auto" w:sz="4" w:space="0"/>
              <w:right w:val="single" w:color="auto" w:sz="4" w:space="0"/>
            </w:tcBorders>
            <w:shd w:val="clear" w:color="auto" w:fill="auto"/>
            <w:vAlign w:val="center"/>
          </w:tcPr>
          <w:p w14:paraId="618A7D4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851" w:type="dxa"/>
            <w:tcBorders>
              <w:top w:val="nil"/>
              <w:left w:val="nil"/>
              <w:bottom w:val="single" w:color="auto" w:sz="4" w:space="0"/>
              <w:right w:val="single" w:color="auto" w:sz="4" w:space="0"/>
            </w:tcBorders>
            <w:shd w:val="clear" w:color="auto" w:fill="auto"/>
            <w:vAlign w:val="center"/>
          </w:tcPr>
          <w:p w14:paraId="0D9D053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336</w:t>
            </w:r>
          </w:p>
        </w:tc>
        <w:tc>
          <w:tcPr>
            <w:tcW w:w="992" w:type="dxa"/>
            <w:tcBorders>
              <w:top w:val="nil"/>
              <w:left w:val="nil"/>
              <w:bottom w:val="single" w:color="auto" w:sz="4" w:space="0"/>
              <w:right w:val="nil"/>
            </w:tcBorders>
            <w:shd w:val="clear" w:color="auto" w:fill="auto"/>
            <w:noWrap/>
            <w:vAlign w:val="center"/>
          </w:tcPr>
          <w:p w14:paraId="687432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6C0DB5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3" w:type="dxa"/>
            <w:tcBorders>
              <w:top w:val="nil"/>
              <w:left w:val="nil"/>
              <w:bottom w:val="single" w:color="auto" w:sz="4" w:space="0"/>
              <w:right w:val="single" w:color="auto" w:sz="4" w:space="0"/>
            </w:tcBorders>
            <w:shd w:val="clear" w:color="auto" w:fill="auto"/>
            <w:noWrap/>
          </w:tcPr>
          <w:p w14:paraId="3600AF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360AE8DF">
        <w:tblPrEx>
          <w:tblCellMar>
            <w:top w:w="0" w:type="dxa"/>
            <w:left w:w="108" w:type="dxa"/>
            <w:bottom w:w="0" w:type="dxa"/>
            <w:right w:w="108" w:type="dxa"/>
          </w:tblCellMar>
        </w:tblPrEx>
        <w:trPr>
          <w:trHeight w:val="444" w:hRule="atLeast"/>
        </w:trPr>
        <w:tc>
          <w:tcPr>
            <w:tcW w:w="1572" w:type="dxa"/>
            <w:tcBorders>
              <w:top w:val="nil"/>
              <w:left w:val="single" w:color="auto" w:sz="4" w:space="0"/>
              <w:bottom w:val="single" w:color="auto" w:sz="4" w:space="0"/>
              <w:right w:val="single" w:color="auto" w:sz="4" w:space="0"/>
            </w:tcBorders>
            <w:shd w:val="clear" w:color="auto" w:fill="auto"/>
            <w:noWrap/>
            <w:vAlign w:val="center"/>
          </w:tcPr>
          <w:p w14:paraId="245383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巡逻保安白天</w:t>
            </w:r>
          </w:p>
        </w:tc>
        <w:tc>
          <w:tcPr>
            <w:tcW w:w="992" w:type="dxa"/>
            <w:tcBorders>
              <w:top w:val="nil"/>
              <w:left w:val="nil"/>
              <w:bottom w:val="single" w:color="auto" w:sz="4" w:space="0"/>
              <w:right w:val="single" w:color="auto" w:sz="4" w:space="0"/>
            </w:tcBorders>
            <w:shd w:val="clear" w:color="auto" w:fill="auto"/>
            <w:vAlign w:val="center"/>
          </w:tcPr>
          <w:p w14:paraId="42AF7A4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tcBorders>
              <w:top w:val="nil"/>
              <w:left w:val="nil"/>
              <w:bottom w:val="single" w:color="auto" w:sz="4" w:space="0"/>
              <w:right w:val="single" w:color="auto" w:sz="4" w:space="0"/>
            </w:tcBorders>
            <w:shd w:val="clear" w:color="auto" w:fill="auto"/>
            <w:vAlign w:val="center"/>
          </w:tcPr>
          <w:p w14:paraId="2665830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7:00-22:00</w:t>
            </w:r>
          </w:p>
        </w:tc>
        <w:tc>
          <w:tcPr>
            <w:tcW w:w="1134" w:type="dxa"/>
            <w:tcBorders>
              <w:top w:val="nil"/>
              <w:left w:val="nil"/>
              <w:bottom w:val="single" w:color="auto" w:sz="4" w:space="0"/>
              <w:right w:val="single" w:color="auto" w:sz="4" w:space="0"/>
            </w:tcBorders>
            <w:shd w:val="clear" w:color="auto" w:fill="auto"/>
            <w:vAlign w:val="center"/>
          </w:tcPr>
          <w:p w14:paraId="69D8834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851" w:type="dxa"/>
            <w:tcBorders>
              <w:top w:val="nil"/>
              <w:left w:val="nil"/>
              <w:bottom w:val="single" w:color="auto" w:sz="4" w:space="0"/>
              <w:right w:val="single" w:color="auto" w:sz="4" w:space="0"/>
            </w:tcBorders>
            <w:shd w:val="clear" w:color="auto" w:fill="auto"/>
            <w:vAlign w:val="center"/>
          </w:tcPr>
          <w:p w14:paraId="198815F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210</w:t>
            </w:r>
          </w:p>
        </w:tc>
        <w:tc>
          <w:tcPr>
            <w:tcW w:w="992" w:type="dxa"/>
            <w:tcBorders>
              <w:top w:val="nil"/>
              <w:left w:val="nil"/>
              <w:bottom w:val="single" w:color="auto" w:sz="4" w:space="0"/>
              <w:right w:val="nil"/>
            </w:tcBorders>
            <w:shd w:val="clear" w:color="auto" w:fill="auto"/>
            <w:noWrap/>
            <w:vAlign w:val="center"/>
          </w:tcPr>
          <w:p w14:paraId="4C29D7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5.25</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4F3F3F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3" w:type="dxa"/>
            <w:tcBorders>
              <w:top w:val="nil"/>
              <w:left w:val="nil"/>
              <w:bottom w:val="single" w:color="auto" w:sz="4" w:space="0"/>
              <w:right w:val="single" w:color="auto" w:sz="4" w:space="0"/>
            </w:tcBorders>
            <w:shd w:val="clear" w:color="auto" w:fill="auto"/>
            <w:noWrap/>
          </w:tcPr>
          <w:p w14:paraId="3378CF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20FC8356">
        <w:tblPrEx>
          <w:tblCellMar>
            <w:top w:w="0" w:type="dxa"/>
            <w:left w:w="108" w:type="dxa"/>
            <w:bottom w:w="0" w:type="dxa"/>
            <w:right w:w="108" w:type="dxa"/>
          </w:tblCellMar>
        </w:tblPrEx>
        <w:trPr>
          <w:trHeight w:val="444" w:hRule="atLeast"/>
        </w:trPr>
        <w:tc>
          <w:tcPr>
            <w:tcW w:w="1572" w:type="dxa"/>
            <w:tcBorders>
              <w:top w:val="nil"/>
              <w:left w:val="single" w:color="auto" w:sz="4" w:space="0"/>
              <w:bottom w:val="single" w:color="auto" w:sz="4" w:space="0"/>
              <w:right w:val="single" w:color="auto" w:sz="4" w:space="0"/>
            </w:tcBorders>
            <w:shd w:val="clear" w:color="auto" w:fill="auto"/>
            <w:noWrap/>
            <w:vAlign w:val="center"/>
          </w:tcPr>
          <w:p w14:paraId="25274C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巡逻保安全天</w:t>
            </w:r>
          </w:p>
        </w:tc>
        <w:tc>
          <w:tcPr>
            <w:tcW w:w="992" w:type="dxa"/>
            <w:tcBorders>
              <w:top w:val="nil"/>
              <w:left w:val="nil"/>
              <w:bottom w:val="single" w:color="auto" w:sz="4" w:space="0"/>
              <w:right w:val="single" w:color="auto" w:sz="4" w:space="0"/>
            </w:tcBorders>
            <w:shd w:val="clear" w:color="auto" w:fill="auto"/>
            <w:vAlign w:val="center"/>
          </w:tcPr>
          <w:p w14:paraId="6D40AF5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7" w:type="dxa"/>
            <w:tcBorders>
              <w:top w:val="nil"/>
              <w:left w:val="nil"/>
              <w:bottom w:val="single" w:color="auto" w:sz="4" w:space="0"/>
              <w:right w:val="single" w:color="auto" w:sz="4" w:space="0"/>
            </w:tcBorders>
            <w:shd w:val="clear" w:color="auto" w:fill="auto"/>
            <w:noWrap/>
            <w:vAlign w:val="center"/>
          </w:tcPr>
          <w:p w14:paraId="6562276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0:00-24:00</w:t>
            </w:r>
          </w:p>
        </w:tc>
        <w:tc>
          <w:tcPr>
            <w:tcW w:w="1134" w:type="dxa"/>
            <w:tcBorders>
              <w:top w:val="nil"/>
              <w:left w:val="nil"/>
              <w:bottom w:val="single" w:color="auto" w:sz="4" w:space="0"/>
              <w:right w:val="single" w:color="auto" w:sz="4" w:space="0"/>
            </w:tcBorders>
            <w:shd w:val="clear" w:color="auto" w:fill="auto"/>
            <w:vAlign w:val="center"/>
          </w:tcPr>
          <w:p w14:paraId="660B4B7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851" w:type="dxa"/>
            <w:tcBorders>
              <w:top w:val="nil"/>
              <w:left w:val="nil"/>
              <w:bottom w:val="single" w:color="auto" w:sz="4" w:space="0"/>
              <w:right w:val="single" w:color="auto" w:sz="4" w:space="0"/>
            </w:tcBorders>
            <w:shd w:val="clear" w:color="auto" w:fill="auto"/>
            <w:vAlign w:val="center"/>
          </w:tcPr>
          <w:p w14:paraId="76D612B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336</w:t>
            </w:r>
          </w:p>
        </w:tc>
        <w:tc>
          <w:tcPr>
            <w:tcW w:w="992" w:type="dxa"/>
            <w:tcBorders>
              <w:top w:val="nil"/>
              <w:left w:val="nil"/>
              <w:bottom w:val="single" w:color="auto" w:sz="4" w:space="0"/>
              <w:right w:val="nil"/>
            </w:tcBorders>
            <w:shd w:val="clear" w:color="auto" w:fill="auto"/>
            <w:noWrap/>
            <w:vAlign w:val="center"/>
          </w:tcPr>
          <w:p w14:paraId="4306C0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6F059F5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3" w:type="dxa"/>
            <w:tcBorders>
              <w:top w:val="nil"/>
              <w:left w:val="nil"/>
              <w:bottom w:val="single" w:color="auto" w:sz="4" w:space="0"/>
              <w:right w:val="single" w:color="auto" w:sz="4" w:space="0"/>
            </w:tcBorders>
            <w:shd w:val="clear" w:color="auto" w:fill="auto"/>
            <w:noWrap/>
          </w:tcPr>
          <w:p w14:paraId="1A08EA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r>
              <w:rPr>
                <w:rFonts w:ascii="宋体" w:hAnsi="宋体" w:eastAsia="宋体" w:cs="宋体"/>
                <w:color w:val="000000"/>
                <w:kern w:val="0"/>
                <w:sz w:val="22"/>
              </w:rPr>
              <w:t>6</w:t>
            </w:r>
            <w:r>
              <w:rPr>
                <w:rFonts w:hint="eastAsia" w:ascii="宋体" w:hAnsi="宋体" w:eastAsia="宋体" w:cs="宋体"/>
                <w:color w:val="000000"/>
                <w:kern w:val="0"/>
                <w:sz w:val="22"/>
              </w:rPr>
              <w:t>年1月1日-202</w:t>
            </w:r>
            <w:r>
              <w:rPr>
                <w:rFonts w:ascii="宋体" w:hAnsi="宋体" w:eastAsia="宋体" w:cs="宋体"/>
                <w:color w:val="000000"/>
                <w:kern w:val="0"/>
                <w:sz w:val="22"/>
              </w:rPr>
              <w:t>6</w:t>
            </w:r>
            <w:r>
              <w:rPr>
                <w:rFonts w:hint="eastAsia" w:ascii="宋体" w:hAnsi="宋体" w:eastAsia="宋体" w:cs="宋体"/>
                <w:color w:val="000000"/>
                <w:kern w:val="0"/>
                <w:sz w:val="22"/>
              </w:rPr>
              <w:t>年12月31日</w:t>
            </w:r>
          </w:p>
        </w:tc>
      </w:tr>
      <w:tr w14:paraId="2A293BD1">
        <w:tblPrEx>
          <w:tblCellMar>
            <w:top w:w="0" w:type="dxa"/>
            <w:left w:w="108" w:type="dxa"/>
            <w:bottom w:w="0" w:type="dxa"/>
            <w:right w:w="108" w:type="dxa"/>
          </w:tblCellMar>
        </w:tblPrEx>
        <w:trPr>
          <w:trHeight w:val="996" w:hRule="atLeast"/>
        </w:trPr>
        <w:tc>
          <w:tcPr>
            <w:tcW w:w="10360"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7D9F5D6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依据国务院令第146号《国务院关于职工工作时间的规定》第三条“职工每日工作8小时、每周工作40小时”的规定测算工作量。</w:t>
            </w:r>
          </w:p>
        </w:tc>
      </w:tr>
    </w:tbl>
    <w:p w14:paraId="02F287D4">
      <w:pPr>
        <w:rPr>
          <w:rFonts w:ascii="新宋体" w:hAnsi="新宋体" w:eastAsia="新宋体"/>
          <w:sz w:val="28"/>
          <w:szCs w:val="28"/>
        </w:rPr>
      </w:pPr>
    </w:p>
    <w:p w14:paraId="4BEA866D">
      <w:pPr>
        <w:spacing w:line="360" w:lineRule="auto"/>
        <w:ind w:firstLine="420" w:firstLineChars="200"/>
        <w:outlineLvl w:val="1"/>
        <w:rPr>
          <w:rFonts w:ascii="宋体" w:hAnsi="宋体"/>
        </w:rPr>
      </w:pPr>
      <w:bookmarkStart w:id="0" w:name="_Hlk170143381"/>
      <w:r>
        <w:rPr>
          <w:rFonts w:hint="eastAsia" w:ascii="宋体" w:hAnsi="宋体"/>
        </w:rPr>
        <w:t>（七）承担风险</w:t>
      </w:r>
    </w:p>
    <w:bookmarkEnd w:id="0"/>
    <w:p w14:paraId="3F0A15BE">
      <w:pPr>
        <w:spacing w:line="360" w:lineRule="auto"/>
        <w:ind w:firstLine="420" w:firstLineChars="200"/>
        <w:rPr>
          <w:rFonts w:ascii="宋体" w:hAnsi="宋体"/>
        </w:rPr>
      </w:pPr>
      <w:r>
        <w:rPr>
          <w:rFonts w:hint="eastAsia" w:ascii="宋体" w:hAnsi="宋体"/>
        </w:rPr>
        <w:t>1.若在安保服务范围内屡次发生重大财务损失，医学院可以要求中标方承担一定比例的赔偿责任。</w:t>
      </w:r>
    </w:p>
    <w:p w14:paraId="04C2A1CB">
      <w:pPr>
        <w:spacing w:line="360" w:lineRule="auto"/>
        <w:ind w:firstLine="420" w:firstLineChars="200"/>
        <w:rPr>
          <w:rFonts w:ascii="宋体" w:hAnsi="宋体"/>
        </w:rPr>
      </w:pPr>
      <w:r>
        <w:rPr>
          <w:rFonts w:hint="eastAsia" w:ascii="宋体" w:hAnsi="宋体"/>
        </w:rPr>
        <w:t>2.采购方将对安保服务质量进行全过程监控，中标方日常工作不到位、不达标、或有违约现象，将依据合同约定，做出相应的违约处理与处罚。</w:t>
      </w:r>
    </w:p>
    <w:p w14:paraId="0BD8C6E8">
      <w:pPr>
        <w:spacing w:line="360" w:lineRule="auto"/>
        <w:ind w:firstLine="420" w:firstLineChars="200"/>
        <w:rPr>
          <w:rFonts w:ascii="宋体" w:hAnsi="宋体"/>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新宋体">
    <w:altName w:val="Noto Sans Mono CJK SC"/>
    <w:panose1 w:val="02010609030101010101"/>
    <w:charset w:val="86"/>
    <w:family w:val="modern"/>
    <w:pitch w:val="default"/>
    <w:sig w:usb0="00000000" w:usb1="00000000" w:usb2="00000016" w:usb3="00000000" w:csb0="00040001" w:csb1="00000000"/>
  </w:font>
  <w:font w:name="Noto Sans Mono CJK SC">
    <w:panose1 w:val="020B05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hZmI4MDVmMTQ2MjVkZjFlZGQ5NmFkYTRlMjc0MmEifQ=="/>
  </w:docVars>
  <w:rsids>
    <w:rsidRoot w:val="00687C50"/>
    <w:rsid w:val="000007E5"/>
    <w:rsid w:val="000100F9"/>
    <w:rsid w:val="00011194"/>
    <w:rsid w:val="000128FC"/>
    <w:rsid w:val="00041C79"/>
    <w:rsid w:val="00072929"/>
    <w:rsid w:val="000A1FC5"/>
    <w:rsid w:val="000B52E9"/>
    <w:rsid w:val="000D4745"/>
    <w:rsid w:val="000F4F66"/>
    <w:rsid w:val="001151DC"/>
    <w:rsid w:val="00130D5B"/>
    <w:rsid w:val="001343E0"/>
    <w:rsid w:val="00134A51"/>
    <w:rsid w:val="0014640E"/>
    <w:rsid w:val="00153986"/>
    <w:rsid w:val="001723B1"/>
    <w:rsid w:val="00172979"/>
    <w:rsid w:val="00172C6F"/>
    <w:rsid w:val="00175BD2"/>
    <w:rsid w:val="00181B5E"/>
    <w:rsid w:val="001E6087"/>
    <w:rsid w:val="001F4E09"/>
    <w:rsid w:val="002024AF"/>
    <w:rsid w:val="00216D3E"/>
    <w:rsid w:val="00263795"/>
    <w:rsid w:val="00282DDD"/>
    <w:rsid w:val="002C7F8F"/>
    <w:rsid w:val="002E2B58"/>
    <w:rsid w:val="002E5493"/>
    <w:rsid w:val="00313806"/>
    <w:rsid w:val="00313E2E"/>
    <w:rsid w:val="00324E67"/>
    <w:rsid w:val="003251A5"/>
    <w:rsid w:val="00334827"/>
    <w:rsid w:val="00342FE6"/>
    <w:rsid w:val="003436A7"/>
    <w:rsid w:val="00363D44"/>
    <w:rsid w:val="00397C3B"/>
    <w:rsid w:val="003C1580"/>
    <w:rsid w:val="003C2269"/>
    <w:rsid w:val="003E36A4"/>
    <w:rsid w:val="003F2E85"/>
    <w:rsid w:val="004043BA"/>
    <w:rsid w:val="004169D5"/>
    <w:rsid w:val="0046015E"/>
    <w:rsid w:val="00475EFE"/>
    <w:rsid w:val="00485766"/>
    <w:rsid w:val="004E303A"/>
    <w:rsid w:val="005001B3"/>
    <w:rsid w:val="005139A3"/>
    <w:rsid w:val="0052363D"/>
    <w:rsid w:val="00530AED"/>
    <w:rsid w:val="005379E3"/>
    <w:rsid w:val="0055166A"/>
    <w:rsid w:val="00575465"/>
    <w:rsid w:val="0058510D"/>
    <w:rsid w:val="005A49E6"/>
    <w:rsid w:val="005D256E"/>
    <w:rsid w:val="005D6F85"/>
    <w:rsid w:val="00612D15"/>
    <w:rsid w:val="006373EF"/>
    <w:rsid w:val="0066029A"/>
    <w:rsid w:val="00665070"/>
    <w:rsid w:val="00681376"/>
    <w:rsid w:val="00687C50"/>
    <w:rsid w:val="006C4009"/>
    <w:rsid w:val="00703833"/>
    <w:rsid w:val="00707656"/>
    <w:rsid w:val="00724BED"/>
    <w:rsid w:val="00737F05"/>
    <w:rsid w:val="007632FB"/>
    <w:rsid w:val="00771679"/>
    <w:rsid w:val="00783E7A"/>
    <w:rsid w:val="007929A1"/>
    <w:rsid w:val="00795045"/>
    <w:rsid w:val="007A3522"/>
    <w:rsid w:val="007C32ED"/>
    <w:rsid w:val="00814186"/>
    <w:rsid w:val="00816A59"/>
    <w:rsid w:val="00851CA7"/>
    <w:rsid w:val="0086015D"/>
    <w:rsid w:val="008648E8"/>
    <w:rsid w:val="008807FF"/>
    <w:rsid w:val="008924CB"/>
    <w:rsid w:val="00895435"/>
    <w:rsid w:val="008B255F"/>
    <w:rsid w:val="008B63FC"/>
    <w:rsid w:val="008C432B"/>
    <w:rsid w:val="008D323C"/>
    <w:rsid w:val="008D44D6"/>
    <w:rsid w:val="008D450C"/>
    <w:rsid w:val="008E354F"/>
    <w:rsid w:val="008F24FB"/>
    <w:rsid w:val="00905B0B"/>
    <w:rsid w:val="00910E2B"/>
    <w:rsid w:val="0091757D"/>
    <w:rsid w:val="00922CC1"/>
    <w:rsid w:val="00925063"/>
    <w:rsid w:val="0092727B"/>
    <w:rsid w:val="009311C4"/>
    <w:rsid w:val="00983771"/>
    <w:rsid w:val="00985232"/>
    <w:rsid w:val="009948F2"/>
    <w:rsid w:val="00995418"/>
    <w:rsid w:val="009B2317"/>
    <w:rsid w:val="009B6218"/>
    <w:rsid w:val="009B6DB4"/>
    <w:rsid w:val="009C2EE9"/>
    <w:rsid w:val="009C7F3B"/>
    <w:rsid w:val="009D449B"/>
    <w:rsid w:val="009F721A"/>
    <w:rsid w:val="00A169B2"/>
    <w:rsid w:val="00A4327C"/>
    <w:rsid w:val="00A460FF"/>
    <w:rsid w:val="00A53E54"/>
    <w:rsid w:val="00A676D0"/>
    <w:rsid w:val="00A72717"/>
    <w:rsid w:val="00A9009B"/>
    <w:rsid w:val="00AC3ACD"/>
    <w:rsid w:val="00AD3BE5"/>
    <w:rsid w:val="00AF7EFC"/>
    <w:rsid w:val="00B65435"/>
    <w:rsid w:val="00B96B69"/>
    <w:rsid w:val="00BA13F3"/>
    <w:rsid w:val="00BD485D"/>
    <w:rsid w:val="00C03CBF"/>
    <w:rsid w:val="00C10711"/>
    <w:rsid w:val="00C52571"/>
    <w:rsid w:val="00C57AB3"/>
    <w:rsid w:val="00C64DC2"/>
    <w:rsid w:val="00C66410"/>
    <w:rsid w:val="00C82A57"/>
    <w:rsid w:val="00C845CF"/>
    <w:rsid w:val="00C86E21"/>
    <w:rsid w:val="00CA2F0C"/>
    <w:rsid w:val="00CA7B9E"/>
    <w:rsid w:val="00CC3318"/>
    <w:rsid w:val="00CD29D9"/>
    <w:rsid w:val="00CD3A3E"/>
    <w:rsid w:val="00D1288A"/>
    <w:rsid w:val="00D156DB"/>
    <w:rsid w:val="00D24086"/>
    <w:rsid w:val="00D27BBA"/>
    <w:rsid w:val="00D41396"/>
    <w:rsid w:val="00D603CB"/>
    <w:rsid w:val="00D66361"/>
    <w:rsid w:val="00D84BC4"/>
    <w:rsid w:val="00DB124C"/>
    <w:rsid w:val="00DB74E0"/>
    <w:rsid w:val="00DC13D4"/>
    <w:rsid w:val="00E03530"/>
    <w:rsid w:val="00E16CEA"/>
    <w:rsid w:val="00E23898"/>
    <w:rsid w:val="00E23AE6"/>
    <w:rsid w:val="00E275C9"/>
    <w:rsid w:val="00E325B9"/>
    <w:rsid w:val="00E3570F"/>
    <w:rsid w:val="00E37B1A"/>
    <w:rsid w:val="00E47450"/>
    <w:rsid w:val="00E527EB"/>
    <w:rsid w:val="00E66D8A"/>
    <w:rsid w:val="00E72218"/>
    <w:rsid w:val="00E96B05"/>
    <w:rsid w:val="00EC202F"/>
    <w:rsid w:val="00ED073F"/>
    <w:rsid w:val="00EE1315"/>
    <w:rsid w:val="00EF108A"/>
    <w:rsid w:val="00EF7946"/>
    <w:rsid w:val="00F143CC"/>
    <w:rsid w:val="00F149CA"/>
    <w:rsid w:val="00F55E2D"/>
    <w:rsid w:val="00F6062C"/>
    <w:rsid w:val="00F6498F"/>
    <w:rsid w:val="00FA458D"/>
    <w:rsid w:val="00FA6CD4"/>
    <w:rsid w:val="00FE61AC"/>
    <w:rsid w:val="2B62D8EE"/>
    <w:rsid w:val="3F7F8E84"/>
    <w:rsid w:val="66F947DF"/>
    <w:rsid w:val="6BBD03B7"/>
    <w:rsid w:val="6EBA6574"/>
    <w:rsid w:val="6EDD9694"/>
    <w:rsid w:val="7FFFE715"/>
    <w:rsid w:val="8B672C5D"/>
    <w:rsid w:val="AFFDAE40"/>
    <w:rsid w:val="BABACF67"/>
    <w:rsid w:val="BDDF03F5"/>
    <w:rsid w:val="C57C0E06"/>
    <w:rsid w:val="FBA7629D"/>
    <w:rsid w:val="FEFFE2B3"/>
    <w:rsid w:val="FFFDB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rPr>
      <w:rFonts w:ascii="Times New Roman" w:hAnsi="Times New Roman" w:eastAsia="宋体" w:cs="Times New Roman"/>
      <w:szCs w:val="24"/>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1442</Words>
  <Characters>8221</Characters>
  <Lines>68</Lines>
  <Paragraphs>19</Paragraphs>
  <TotalTime>251</TotalTime>
  <ScaleCrop>false</ScaleCrop>
  <LinksUpToDate>false</LinksUpToDate>
  <CharactersWithSpaces>9644</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2025-10-29T22:35:00Z</dcterms:created>
  <dc:creator>龚巍</dc:creator>
  <cp:lastModifiedBy>傅旭明</cp:lastModifiedBy>
  <cp:lastPrinted>2024-07-28T03:20:00Z</cp:lastPrinted>
  <dcterms:modified xsi:type="dcterms:W3CDTF">2025-11-24T16:26:10Z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1650B8EAE828D3D238C6A267FBD54452_42</vt:lpwstr>
  </property>
</Properties>
</file>