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AE6A1">
      <w:pPr>
        <w:ind w:firstLine="0" w:firstLineChars="0"/>
        <w:jc w:val="center"/>
        <w:rPr>
          <w:rFonts w:ascii="黑体" w:hAnsi="黑体" w:eastAsia="黑体"/>
          <w:sz w:val="48"/>
          <w:szCs w:val="48"/>
        </w:rPr>
      </w:pPr>
    </w:p>
    <w:p w14:paraId="4A32F261">
      <w:pPr>
        <w:ind w:firstLine="0" w:firstLineChars="0"/>
        <w:jc w:val="center"/>
        <w:rPr>
          <w:rFonts w:ascii="黑体" w:hAnsi="黑体" w:eastAsia="黑体"/>
          <w:sz w:val="48"/>
          <w:szCs w:val="48"/>
        </w:rPr>
      </w:pPr>
    </w:p>
    <w:p w14:paraId="65AAD51A">
      <w:pPr>
        <w:ind w:firstLine="0" w:firstLineChars="0"/>
        <w:jc w:val="center"/>
        <w:rPr>
          <w:rFonts w:ascii="黑体" w:hAnsi="黑体" w:eastAsia="黑体"/>
          <w:sz w:val="48"/>
          <w:szCs w:val="48"/>
        </w:rPr>
      </w:pPr>
    </w:p>
    <w:p w14:paraId="43BD18EC">
      <w:pPr>
        <w:ind w:firstLine="0" w:firstLineChars="0"/>
        <w:jc w:val="center"/>
        <w:rPr>
          <w:rFonts w:ascii="黑体" w:hAnsi="黑体" w:eastAsia="黑体"/>
          <w:sz w:val="48"/>
          <w:szCs w:val="48"/>
        </w:rPr>
      </w:pPr>
    </w:p>
    <w:p w14:paraId="7D3CD102">
      <w:pPr>
        <w:ind w:firstLine="0" w:firstLineChars="0"/>
        <w:jc w:val="center"/>
        <w:rPr>
          <w:rFonts w:ascii="黑体" w:hAnsi="黑体" w:eastAsia="黑体"/>
          <w:sz w:val="48"/>
          <w:szCs w:val="48"/>
        </w:rPr>
      </w:pPr>
    </w:p>
    <w:p w14:paraId="3832B12A">
      <w:pPr>
        <w:ind w:firstLine="0" w:firstLineChars="0"/>
        <w:jc w:val="center"/>
        <w:rPr>
          <w:rFonts w:ascii="黑体" w:hAnsi="黑体" w:eastAsia="黑体"/>
          <w:sz w:val="48"/>
          <w:szCs w:val="48"/>
        </w:rPr>
      </w:pPr>
    </w:p>
    <w:p w14:paraId="6057F71C">
      <w:pPr>
        <w:ind w:firstLine="0" w:firstLineChars="0"/>
        <w:jc w:val="center"/>
        <w:rPr>
          <w:rFonts w:ascii="黑体" w:hAnsi="黑体" w:eastAsia="黑体"/>
          <w:sz w:val="48"/>
          <w:szCs w:val="48"/>
        </w:rPr>
      </w:pPr>
    </w:p>
    <w:p w14:paraId="654B2600">
      <w:pPr>
        <w:ind w:firstLine="0" w:firstLineChars="0"/>
        <w:jc w:val="center"/>
        <w:rPr>
          <w:rFonts w:ascii="黑体" w:hAnsi="黑体" w:eastAsia="黑体"/>
          <w:sz w:val="52"/>
          <w:szCs w:val="52"/>
        </w:rPr>
      </w:pPr>
      <w:r>
        <w:rPr>
          <w:rFonts w:hint="eastAsia" w:ascii="黑体" w:hAnsi="黑体" w:eastAsia="黑体"/>
          <w:sz w:val="52"/>
          <w:szCs w:val="52"/>
        </w:rPr>
        <w:t>上海市财票链子系统建设项目</w:t>
      </w:r>
    </w:p>
    <w:p w14:paraId="19110689">
      <w:pPr>
        <w:ind w:firstLine="0" w:firstLineChars="0"/>
        <w:jc w:val="center"/>
        <w:rPr>
          <w:rFonts w:ascii="黑体" w:hAnsi="黑体" w:eastAsia="黑体"/>
          <w:sz w:val="52"/>
          <w:szCs w:val="52"/>
        </w:rPr>
      </w:pPr>
      <w:r>
        <w:rPr>
          <w:rFonts w:hint="eastAsia" w:ascii="黑体" w:hAnsi="黑体" w:eastAsia="黑体"/>
          <w:sz w:val="52"/>
          <w:szCs w:val="52"/>
        </w:rPr>
        <w:t>采购需求</w:t>
      </w:r>
    </w:p>
    <w:p w14:paraId="09DB07EE">
      <w:pPr>
        <w:ind w:firstLine="0" w:firstLineChars="0"/>
        <w:jc w:val="center"/>
        <w:rPr>
          <w:rFonts w:ascii="黑体" w:hAnsi="黑体" w:eastAsia="黑体"/>
          <w:sz w:val="72"/>
          <w:szCs w:val="72"/>
        </w:rPr>
      </w:pPr>
    </w:p>
    <w:p w14:paraId="7032EBC4">
      <w:pPr>
        <w:ind w:firstLine="0" w:firstLineChars="0"/>
        <w:jc w:val="center"/>
        <w:rPr>
          <w:rFonts w:ascii="黑体" w:hAnsi="黑体" w:eastAsia="黑体"/>
          <w:sz w:val="48"/>
          <w:szCs w:val="48"/>
        </w:rPr>
      </w:pPr>
    </w:p>
    <w:p w14:paraId="09FFD0D8">
      <w:pPr>
        <w:ind w:firstLine="0" w:firstLineChars="0"/>
        <w:jc w:val="center"/>
        <w:rPr>
          <w:rFonts w:ascii="黑体" w:hAnsi="黑体" w:eastAsia="黑体"/>
          <w:sz w:val="52"/>
          <w:szCs w:val="52"/>
        </w:rPr>
      </w:pPr>
    </w:p>
    <w:p w14:paraId="28527F7F">
      <w:pPr>
        <w:ind w:firstLine="1040"/>
        <w:rPr>
          <w:rFonts w:ascii="黑体" w:hAnsi="黑体" w:eastAsia="黑体"/>
          <w:sz w:val="52"/>
          <w:szCs w:val="52"/>
        </w:rPr>
      </w:pPr>
    </w:p>
    <w:p w14:paraId="01453FDF"/>
    <w:p w14:paraId="5307BDE4"/>
    <w:p w14:paraId="0C64B83F"/>
    <w:p w14:paraId="01FCE2C8"/>
    <w:p w14:paraId="036DAE24"/>
    <w:p w14:paraId="3DDEBB53">
      <w:pPr>
        <w:pStyle w:val="2"/>
      </w:pPr>
      <w:bookmarkStart w:id="0" w:name="_Toc63785461"/>
      <w:r>
        <w:rPr>
          <w:rFonts w:hint="eastAsia"/>
        </w:rPr>
        <w:t>项目概况</w:t>
      </w:r>
      <w:bookmarkEnd w:id="0"/>
    </w:p>
    <w:p w14:paraId="286EA15F">
      <w:pPr>
        <w:pStyle w:val="3"/>
        <w:ind w:left="0"/>
      </w:pPr>
      <w:r>
        <w:rPr>
          <w:rFonts w:hint="eastAsia"/>
        </w:rPr>
        <w:t>项目背景和现状</w:t>
      </w:r>
    </w:p>
    <w:p w14:paraId="49BF9726">
      <w:pPr>
        <w:spacing w:line="560" w:lineRule="exact"/>
      </w:pPr>
      <w:r>
        <w:rPr>
          <w:rFonts w:hint="eastAsia"/>
        </w:rPr>
        <w:t>随着财政电子票据改革的深入推进，上海市财政电子票据应用已覆盖医疗、非税、公益捐赠等重点领域，年票据开具量超5亿张。</w:t>
      </w:r>
    </w:p>
    <w:p w14:paraId="5147F9D6">
      <w:pPr>
        <w:spacing w:line="560" w:lineRule="exact"/>
      </w:pPr>
      <w:r>
        <w:rPr>
          <w:rFonts w:hint="eastAsia"/>
        </w:rPr>
        <w:t>财政电子票据的高频场景是各种报销业务，常常涉及多个部门和环节，如开票单位、缴款单位、财政部门以及相关的审核机构，流程繁琐且耗时长，且递交的材料也较为复杂，包括电子票据、报销申请表、身份证明等多种文件，报销的难度和成本较高。在业务监管方面，由于电子票据的易复制性，资金监管变得更加困难，容易出现虚假报销等问题。由于电子票据的状态同步时间较长，容易出现重复报销骗保骗赔的现象，一些不法分子利用电子票据的漏洞进行欺诈行为，给国家和个人带来了巨大的经济损失。</w:t>
      </w:r>
    </w:p>
    <w:p w14:paraId="5DF7FA4D">
      <w:pPr>
        <w:spacing w:line="560" w:lineRule="exact"/>
      </w:pPr>
      <w:r>
        <w:rPr>
          <w:rFonts w:hint="eastAsia"/>
        </w:rPr>
        <w:t>归结起来要解决四个突出问题：一是业务流程跨部门协同效率低，涉及财政部门、医疗机构、医保机构及商保单位等的长链路中信息冗余备份现象严重，仍需重复使用纸质材料；二是存在监管风险，电子票据易复制性、票据状态不同步等导致虚假报销、重复报销案件频发；三是跨区域服务能力不足，长三角异地就医结算存在跨省报销数据共享壁垒；四是数据主体权益保障机制不完善，存在非授权数据使用风险，个人对票据信息授权完整性缺乏有效保障。</w:t>
      </w:r>
    </w:p>
    <w:p w14:paraId="2F75F975">
      <w:pPr>
        <w:spacing w:line="560" w:lineRule="exact"/>
      </w:pPr>
      <w:r>
        <w:rPr>
          <w:rFonts w:hint="eastAsia"/>
        </w:rPr>
        <w:t>本项目拟建设财票链系统，响应国家"十四五"数字政府建设规划要求，贯彻落实《财政部关于全面开展财政电子票据改革的通知》（财综〔2019〕13号）提出的"构建全国统一财政电子票据政务服务平台"战略部署，与《长三角"一网通办"财政电子票据共享实施方案2.0》明确的"建立长三角财政电子票据跨区域共享机制"形成工作衔接，积极采用《上海市进一步推进新型基础设施建设行动方案（2023-2026年）》中所明确的区块链新型技术，根据《上海市数字经济发展“十四五”规划》推动市大数据中心等在“区块链+政务服务”等领域打造标杆应用，形成相关规则规范。是上海市政府数字化转型重点工程"一网通办"在财政领域的深化实践。</w:t>
      </w:r>
    </w:p>
    <w:p w14:paraId="7379E102">
      <w:pPr>
        <w:pStyle w:val="3"/>
      </w:pPr>
      <w:r>
        <w:rPr>
          <w:rFonts w:hint="eastAsia"/>
        </w:rPr>
        <w:t>建设期限</w:t>
      </w:r>
    </w:p>
    <w:p w14:paraId="5DEA345C">
      <w:pPr>
        <w:spacing w:line="560" w:lineRule="exact"/>
        <w:rPr>
          <w:rFonts w:hint="eastAsia" w:eastAsia="宋体"/>
          <w:lang w:eastAsia="zh-CN"/>
        </w:rPr>
      </w:pPr>
      <w:r>
        <w:rPr>
          <w:rFonts w:hint="eastAsia"/>
        </w:rPr>
        <w:t>建设期限：自合同签订之日起18个月</w:t>
      </w:r>
      <w:r>
        <w:rPr>
          <w:rFonts w:hint="eastAsia"/>
          <w:lang w:eastAsia="zh-CN"/>
        </w:rPr>
        <w:t>内完成全部建设内容并通过验收</w:t>
      </w:r>
    </w:p>
    <w:p w14:paraId="1FD31403">
      <w:pPr>
        <w:pStyle w:val="3"/>
      </w:pPr>
      <w:r>
        <w:rPr>
          <w:rFonts w:hint="eastAsia"/>
        </w:rPr>
        <w:t>建设地点</w:t>
      </w:r>
    </w:p>
    <w:p w14:paraId="6CA26009">
      <w:pPr>
        <w:spacing w:line="560" w:lineRule="exact"/>
      </w:pPr>
      <w:r>
        <w:rPr>
          <w:rFonts w:hint="eastAsia"/>
        </w:rPr>
        <w:t>建设地点：肇嘉浜路800号（上海市财政局）</w:t>
      </w:r>
    </w:p>
    <w:p w14:paraId="53B44238">
      <w:pPr>
        <w:pStyle w:val="3"/>
      </w:pPr>
      <w:r>
        <w:rPr>
          <w:rFonts w:hint="eastAsia"/>
        </w:rPr>
        <w:t>预算金额</w:t>
      </w:r>
    </w:p>
    <w:p w14:paraId="5366CC72">
      <w:pPr>
        <w:spacing w:line="560" w:lineRule="exact"/>
      </w:pPr>
      <w:r>
        <w:rPr>
          <w:rFonts w:hint="eastAsia"/>
        </w:rPr>
        <w:t>预算金额：8,287,500元</w:t>
      </w:r>
    </w:p>
    <w:p w14:paraId="5C7E828B">
      <w:pPr>
        <w:pStyle w:val="3"/>
      </w:pPr>
      <w:r>
        <w:rPr>
          <w:rFonts w:hint="eastAsia"/>
        </w:rPr>
        <w:t>采购金额</w:t>
      </w:r>
    </w:p>
    <w:p w14:paraId="3AEBBFA6">
      <w:pPr>
        <w:spacing w:line="560" w:lineRule="exact"/>
      </w:pPr>
      <w:r>
        <w:rPr>
          <w:rFonts w:hint="eastAsia"/>
        </w:rPr>
        <w:t>采购金额（最高限价）：8,287,500元</w:t>
      </w:r>
    </w:p>
    <w:p w14:paraId="6E26D7B3">
      <w:pPr>
        <w:pStyle w:val="3"/>
      </w:pPr>
      <w:r>
        <w:rPr>
          <w:rFonts w:hint="eastAsia"/>
        </w:rPr>
        <w:t>组织形式</w:t>
      </w:r>
    </w:p>
    <w:p w14:paraId="21CD5D59">
      <w:r>
        <w:rPr>
          <w:rFonts w:hint="eastAsia"/>
        </w:rPr>
        <w:t>组织形式：</w:t>
      </w:r>
      <w:r>
        <w:t xml:space="preserve"> </w:t>
      </w:r>
      <w:r>
        <w:rPr>
          <w:rFonts w:hint="eastAsia"/>
        </w:rPr>
        <w:t>集中采购</w:t>
      </w:r>
    </w:p>
    <w:p w14:paraId="348C5096">
      <w:pPr>
        <w:pStyle w:val="3"/>
      </w:pPr>
      <w:r>
        <w:rPr>
          <w:rFonts w:hint="eastAsia"/>
        </w:rPr>
        <w:t>采购方式</w:t>
      </w:r>
    </w:p>
    <w:p w14:paraId="5740A1CF">
      <w:r>
        <w:rPr>
          <w:rFonts w:hint="eastAsia"/>
        </w:rPr>
        <w:t>采购方式： 公开招标</w:t>
      </w:r>
    </w:p>
    <w:p w14:paraId="436D18E4">
      <w:pPr>
        <w:pStyle w:val="3"/>
      </w:pPr>
      <w:r>
        <w:rPr>
          <w:rFonts w:hint="eastAsia"/>
        </w:rPr>
        <w:t>是否接受联合体投标</w:t>
      </w:r>
    </w:p>
    <w:p w14:paraId="4BB48C17">
      <w:r>
        <w:rPr>
          <w:rFonts w:hint="eastAsia"/>
        </w:rPr>
        <w:t>是否接受联合体投标：否</w:t>
      </w:r>
    </w:p>
    <w:p w14:paraId="19B9B306">
      <w:pPr>
        <w:pStyle w:val="3"/>
      </w:pPr>
      <w:r>
        <w:rPr>
          <w:rFonts w:hint="eastAsia"/>
        </w:rPr>
        <w:t>是否按</w:t>
      </w:r>
      <w:r>
        <w:rPr>
          <w:rFonts w:hint="eastAsia"/>
          <w:lang w:eastAsia="zh-CN"/>
        </w:rPr>
        <w:t>XC</w:t>
      </w:r>
      <w:r>
        <w:rPr>
          <w:rFonts w:hint="eastAsia"/>
        </w:rPr>
        <w:t>要求建设</w:t>
      </w:r>
    </w:p>
    <w:p w14:paraId="3FE63D35">
      <w:r>
        <w:t>是否按</w:t>
      </w:r>
      <w:r>
        <w:rPr>
          <w:rFonts w:hint="eastAsia"/>
          <w:lang w:eastAsia="zh-CN"/>
        </w:rPr>
        <w:t>XC</w:t>
      </w:r>
      <w:r>
        <w:t>要求建设：是</w:t>
      </w:r>
    </w:p>
    <w:p w14:paraId="22C0AED1">
      <w:pPr>
        <w:pStyle w:val="3"/>
      </w:pPr>
      <w:r>
        <w:rPr>
          <w:rFonts w:hint="eastAsia"/>
        </w:rPr>
        <w:t>运维后所属大系统</w:t>
      </w:r>
    </w:p>
    <w:p w14:paraId="148BBB0E">
      <w:r>
        <w:rPr>
          <w:rFonts w:hint="eastAsia"/>
        </w:rPr>
        <w:t>运维后所属大系统：上海市预算管理一体化专业业务大系统</w:t>
      </w:r>
    </w:p>
    <w:p w14:paraId="6E7B6671">
      <w:pPr>
        <w:pStyle w:val="2"/>
      </w:pPr>
      <w:bookmarkStart w:id="1" w:name="_Toc47539070"/>
      <w:bookmarkEnd w:id="1"/>
      <w:bookmarkStart w:id="2" w:name="_Toc47537134"/>
      <w:bookmarkEnd w:id="2"/>
      <w:bookmarkStart w:id="3" w:name="_Toc47532255"/>
      <w:bookmarkEnd w:id="3"/>
      <w:bookmarkStart w:id="4" w:name="_Toc47533256"/>
      <w:bookmarkEnd w:id="4"/>
      <w:bookmarkStart w:id="5" w:name="_Toc47531634"/>
      <w:bookmarkEnd w:id="5"/>
      <w:bookmarkStart w:id="6" w:name="_Toc47532891"/>
      <w:bookmarkEnd w:id="6"/>
      <w:bookmarkStart w:id="7" w:name="_Toc47536644"/>
      <w:bookmarkEnd w:id="7"/>
      <w:bookmarkStart w:id="8" w:name="_Toc47536272"/>
      <w:bookmarkEnd w:id="8"/>
      <w:bookmarkStart w:id="9" w:name="_Toc48223882"/>
      <w:bookmarkStart w:id="10" w:name="_Toc63785463"/>
      <w:r>
        <w:rPr>
          <w:rFonts w:hint="eastAsia"/>
        </w:rPr>
        <w:t>建设目标</w:t>
      </w:r>
      <w:bookmarkEnd w:id="9"/>
      <w:bookmarkEnd w:id="10"/>
    </w:p>
    <w:p w14:paraId="474A9518">
      <w:pPr>
        <w:rPr>
          <w:bCs/>
        </w:rPr>
      </w:pPr>
      <w:r>
        <w:rPr>
          <w:rFonts w:hint="eastAsia"/>
          <w:bCs/>
        </w:rPr>
        <w:t>构建基于区块链技术的财政电子票据全生命周期管理体系，链接开票单位、用票单位、监管单位等，实现财政票据开具、流转、核销的全流程可信协同。形成覆盖全市医疗机构及长三角区域的财政电子票据区块链网络，支撑医保零星报销、商保理赔、退役军人医疗补助等场景的全程无纸化，业务材料递交环节大幅减少，有效解决财政票据流转全生命周期中多系统冗余备份、对接标准不统一导致的业务协同效率低下问题，通过实现跨机构票据数据可信高效互通。</w:t>
      </w:r>
    </w:p>
    <w:p w14:paraId="20C76D2D">
      <w:pPr>
        <w:rPr>
          <w:bCs/>
        </w:rPr>
      </w:pPr>
      <w:r>
        <w:rPr>
          <w:rFonts w:hint="eastAsia"/>
          <w:bCs/>
        </w:rPr>
        <w:t>优化财政票据协同治理机制。建立财政、医保、大数据中心参与的联盟链治理架构，实现医疗机构与报销单位间票据状态链上实时同步，消除医疗机构与报销单位间的纸质材料重复传递，有效提高业务处理时效。</w:t>
      </w:r>
    </w:p>
    <w:p w14:paraId="7A180052">
      <w:pPr>
        <w:rPr>
          <w:bCs/>
        </w:rPr>
      </w:pPr>
      <w:r>
        <w:rPr>
          <w:rFonts w:hint="eastAsia"/>
          <w:bCs/>
        </w:rPr>
        <w:t>强化财政票据安全监管能力。通过智能合约预设票据状态变更规则，建立报销票据锁定机制，杜绝重复报销风险；利用区块链可追溯特性，实现票据操作日志全量上链存证；利用区块链不可篡改特性，实现票据全流程溯源审计，提升虚假报销案件追溯时效。</w:t>
      </w:r>
    </w:p>
    <w:p w14:paraId="58975690">
      <w:pPr>
        <w:rPr>
          <w:bCs/>
        </w:rPr>
      </w:pPr>
      <w:r>
        <w:rPr>
          <w:rFonts w:hint="eastAsia"/>
          <w:bCs/>
        </w:rPr>
        <w:t>构建肺结核政府减免服务应用场景。根据《关于本市组织实施肺结核病政府减免治疗费用工作的通知》（沪卫计疾控〔2018〕12号），为本市肺结核病人提供补助，应用场景依托“财票链平台”，通过“一网通办”建立面向全市肺结核病患者的线上公共服务，按照“网申人审，网申智审，免申即享”的步骤逐步优化，取代当前病人至区级疾控中心线下纸质报销的传统形式，方便患者领取减免补助，减少区级审核压力。</w:t>
      </w:r>
    </w:p>
    <w:p w14:paraId="6545FBA4">
      <w:pPr>
        <w:rPr>
          <w:bCs/>
        </w:rPr>
      </w:pPr>
      <w:r>
        <w:rPr>
          <w:rFonts w:hint="eastAsia"/>
          <w:bCs/>
        </w:rPr>
        <w:t>构建长三角票据共享服务体系。构建标准化跨省报销能力，实现沪苏浙皖医疗电子票据互认，在跨省医疗费报销等业务中上线应用，简化居民报销、医保受理过程。</w:t>
      </w:r>
    </w:p>
    <w:p w14:paraId="0C29967C">
      <w:pPr>
        <w:rPr>
          <w:bCs/>
        </w:rPr>
      </w:pPr>
      <w:r>
        <w:rPr>
          <w:rFonts w:hint="eastAsia"/>
          <w:bCs/>
        </w:rPr>
        <w:t>完善票据数据主体权益保障体系。基于《个人信息保护法》、《中共中央 国务院关于构建数据基础制度更好发挥数据要素作用的意见》(以下简称“数据二十条”)等法律和规范，建立基于知情同意为前提票据数据授权机制。通过“DID技术+动态授权VC”，实现数据主体精准授权、查票用票可信鉴权、数据流转可控行权，切实保障主体对票据数据的合法权益和个人隐私，确保票据调用合法合规。</w:t>
      </w:r>
    </w:p>
    <w:p w14:paraId="1F1CCD08">
      <w:pPr>
        <w:rPr>
          <w:bCs/>
        </w:rPr>
      </w:pPr>
      <w:r>
        <w:rPr>
          <w:rFonts w:hint="eastAsia"/>
          <w:bCs/>
        </w:rPr>
        <w:t>建立基于DID的分布式身份授权机制，通过“以人查票+动态授权码”保障个人票据数据调用授权完整合规。</w:t>
      </w:r>
    </w:p>
    <w:p w14:paraId="1AA1E775">
      <w:pPr>
        <w:rPr>
          <w:bCs/>
        </w:rPr>
      </w:pPr>
      <w:r>
        <w:rPr>
          <w:rFonts w:hint="eastAsia"/>
          <w:bCs/>
        </w:rPr>
        <w:t>绩效目标：</w:t>
      </w:r>
    </w:p>
    <w:tbl>
      <w:tblPr>
        <w:tblStyle w:val="35"/>
        <w:tblW w:w="7791" w:type="dxa"/>
        <w:tblInd w:w="0" w:type="dxa"/>
        <w:tblLayout w:type="autofit"/>
        <w:tblCellMar>
          <w:top w:w="0" w:type="dxa"/>
          <w:left w:w="108" w:type="dxa"/>
          <w:bottom w:w="0" w:type="dxa"/>
          <w:right w:w="108" w:type="dxa"/>
        </w:tblCellMar>
      </w:tblPr>
      <w:tblGrid>
        <w:gridCol w:w="1129"/>
        <w:gridCol w:w="1134"/>
        <w:gridCol w:w="1134"/>
        <w:gridCol w:w="2268"/>
        <w:gridCol w:w="2126"/>
      </w:tblGrid>
      <w:tr w14:paraId="4E561A24">
        <w:tblPrEx>
          <w:tblCellMar>
            <w:top w:w="0" w:type="dxa"/>
            <w:left w:w="108" w:type="dxa"/>
            <w:bottom w:w="0" w:type="dxa"/>
            <w:right w:w="108" w:type="dxa"/>
          </w:tblCellMar>
        </w:tblPrEx>
        <w:trPr>
          <w:trHeight w:val="300" w:hRule="atLeast"/>
        </w:trPr>
        <w:tc>
          <w:tcPr>
            <w:tcW w:w="1129" w:type="dxa"/>
            <w:tcBorders>
              <w:top w:val="single" w:color="auto" w:sz="4" w:space="0"/>
              <w:left w:val="single" w:color="auto" w:sz="4" w:space="0"/>
              <w:bottom w:val="single" w:color="auto" w:sz="4" w:space="0"/>
              <w:right w:val="single" w:color="auto" w:sz="4" w:space="0"/>
            </w:tcBorders>
            <w:vAlign w:val="center"/>
          </w:tcPr>
          <w:p w14:paraId="3A23220A">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一级指标</w:t>
            </w:r>
          </w:p>
        </w:tc>
        <w:tc>
          <w:tcPr>
            <w:tcW w:w="1134" w:type="dxa"/>
            <w:tcBorders>
              <w:top w:val="single" w:color="auto" w:sz="4" w:space="0"/>
              <w:left w:val="nil"/>
              <w:bottom w:val="single" w:color="auto" w:sz="4" w:space="0"/>
              <w:right w:val="single" w:color="auto" w:sz="4" w:space="0"/>
            </w:tcBorders>
            <w:vAlign w:val="center"/>
          </w:tcPr>
          <w:p w14:paraId="3CADD216">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二级指标</w:t>
            </w:r>
          </w:p>
        </w:tc>
        <w:tc>
          <w:tcPr>
            <w:tcW w:w="1134" w:type="dxa"/>
            <w:tcBorders>
              <w:top w:val="single" w:color="auto" w:sz="4" w:space="0"/>
              <w:left w:val="nil"/>
              <w:bottom w:val="single" w:color="auto" w:sz="4" w:space="0"/>
              <w:right w:val="single" w:color="auto" w:sz="4" w:space="0"/>
            </w:tcBorders>
            <w:vAlign w:val="center"/>
          </w:tcPr>
          <w:p w14:paraId="6532ABEF">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三级指标</w:t>
            </w:r>
          </w:p>
        </w:tc>
        <w:tc>
          <w:tcPr>
            <w:tcW w:w="2268" w:type="dxa"/>
            <w:tcBorders>
              <w:top w:val="single" w:color="auto" w:sz="4" w:space="0"/>
              <w:left w:val="nil"/>
              <w:bottom w:val="single" w:color="auto" w:sz="4" w:space="0"/>
              <w:right w:val="single" w:color="auto" w:sz="4" w:space="0"/>
            </w:tcBorders>
            <w:vAlign w:val="center"/>
          </w:tcPr>
          <w:p w14:paraId="383F40EC">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四级指标</w:t>
            </w:r>
          </w:p>
        </w:tc>
        <w:tc>
          <w:tcPr>
            <w:tcW w:w="2126" w:type="dxa"/>
            <w:tcBorders>
              <w:top w:val="single" w:color="auto" w:sz="4" w:space="0"/>
              <w:left w:val="nil"/>
              <w:bottom w:val="single" w:color="auto" w:sz="4" w:space="0"/>
              <w:right w:val="single" w:color="auto" w:sz="4" w:space="0"/>
            </w:tcBorders>
            <w:vAlign w:val="center"/>
          </w:tcPr>
          <w:p w14:paraId="3DB8F34F">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目标值</w:t>
            </w:r>
          </w:p>
        </w:tc>
      </w:tr>
      <w:tr w14:paraId="232E375F">
        <w:tblPrEx>
          <w:tblCellMar>
            <w:top w:w="0" w:type="dxa"/>
            <w:left w:w="108" w:type="dxa"/>
            <w:bottom w:w="0" w:type="dxa"/>
            <w:right w:w="108" w:type="dxa"/>
          </w:tblCellMar>
        </w:tblPrEx>
        <w:trPr>
          <w:trHeight w:val="300" w:hRule="atLeast"/>
        </w:trPr>
        <w:tc>
          <w:tcPr>
            <w:tcW w:w="1129" w:type="dxa"/>
            <w:vMerge w:val="restart"/>
            <w:tcBorders>
              <w:top w:val="nil"/>
              <w:left w:val="single" w:color="auto" w:sz="4" w:space="0"/>
              <w:bottom w:val="single" w:color="auto" w:sz="4" w:space="0"/>
              <w:right w:val="single" w:color="auto" w:sz="4" w:space="0"/>
            </w:tcBorders>
            <w:vAlign w:val="center"/>
          </w:tcPr>
          <w:p w14:paraId="4E52C5C8">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通用指标</w:t>
            </w:r>
          </w:p>
        </w:tc>
        <w:tc>
          <w:tcPr>
            <w:tcW w:w="1134" w:type="dxa"/>
            <w:vMerge w:val="restart"/>
            <w:tcBorders>
              <w:top w:val="nil"/>
              <w:left w:val="single" w:color="auto" w:sz="4" w:space="0"/>
              <w:bottom w:val="single" w:color="auto" w:sz="4" w:space="0"/>
              <w:right w:val="single" w:color="auto" w:sz="4" w:space="0"/>
            </w:tcBorders>
            <w:vAlign w:val="center"/>
          </w:tcPr>
          <w:p w14:paraId="45C03F85">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产出指标</w:t>
            </w:r>
          </w:p>
        </w:tc>
        <w:tc>
          <w:tcPr>
            <w:tcW w:w="1134" w:type="dxa"/>
            <w:tcBorders>
              <w:top w:val="nil"/>
              <w:left w:val="nil"/>
              <w:bottom w:val="single" w:color="auto" w:sz="4" w:space="0"/>
              <w:right w:val="single" w:color="auto" w:sz="4" w:space="0"/>
            </w:tcBorders>
            <w:vAlign w:val="center"/>
          </w:tcPr>
          <w:p w14:paraId="5D5AB4FD">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产出数量</w:t>
            </w:r>
          </w:p>
        </w:tc>
        <w:tc>
          <w:tcPr>
            <w:tcW w:w="2268" w:type="dxa"/>
            <w:tcBorders>
              <w:top w:val="nil"/>
              <w:left w:val="nil"/>
              <w:bottom w:val="single" w:color="auto" w:sz="4" w:space="0"/>
              <w:right w:val="single" w:color="auto" w:sz="4" w:space="0"/>
            </w:tcBorders>
            <w:vAlign w:val="center"/>
          </w:tcPr>
          <w:p w14:paraId="748E5A93">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软件开发完成率</w:t>
            </w:r>
          </w:p>
        </w:tc>
        <w:tc>
          <w:tcPr>
            <w:tcW w:w="2126" w:type="dxa"/>
            <w:tcBorders>
              <w:top w:val="nil"/>
              <w:left w:val="nil"/>
              <w:bottom w:val="single" w:color="auto" w:sz="4" w:space="0"/>
              <w:right w:val="single" w:color="auto" w:sz="4" w:space="0"/>
            </w:tcBorders>
            <w:vAlign w:val="center"/>
          </w:tcPr>
          <w:p w14:paraId="2476F33D">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100%</w:t>
            </w:r>
          </w:p>
        </w:tc>
      </w:tr>
      <w:tr w14:paraId="1D560310">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71159416">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D0D4876">
            <w:pPr>
              <w:widowControl/>
              <w:spacing w:line="240" w:lineRule="auto"/>
              <w:ind w:firstLine="0" w:firstLineChars="0"/>
              <w:jc w:val="left"/>
              <w:rPr>
                <w:rFonts w:ascii="仿宋_GB2312" w:hAnsi="等线" w:eastAsia="仿宋_GB2312" w:cs="宋体"/>
                <w:kern w:val="0"/>
                <w:sz w:val="21"/>
                <w:szCs w:val="21"/>
              </w:rPr>
            </w:pPr>
          </w:p>
        </w:tc>
        <w:tc>
          <w:tcPr>
            <w:tcW w:w="1134" w:type="dxa"/>
            <w:vMerge w:val="restart"/>
            <w:tcBorders>
              <w:top w:val="nil"/>
              <w:left w:val="single" w:color="auto" w:sz="4" w:space="0"/>
              <w:bottom w:val="single" w:color="auto" w:sz="4" w:space="0"/>
              <w:right w:val="single" w:color="auto" w:sz="4" w:space="0"/>
            </w:tcBorders>
            <w:vAlign w:val="center"/>
          </w:tcPr>
          <w:p w14:paraId="6F6514E6">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产出质量</w:t>
            </w:r>
          </w:p>
        </w:tc>
        <w:tc>
          <w:tcPr>
            <w:tcW w:w="2268" w:type="dxa"/>
            <w:tcBorders>
              <w:top w:val="nil"/>
              <w:left w:val="nil"/>
              <w:bottom w:val="single" w:color="auto" w:sz="4" w:space="0"/>
              <w:right w:val="single" w:color="auto" w:sz="4" w:space="0"/>
            </w:tcBorders>
            <w:vAlign w:val="center"/>
          </w:tcPr>
          <w:p w14:paraId="7D3D812B">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一次性验收合格率</w:t>
            </w:r>
          </w:p>
        </w:tc>
        <w:tc>
          <w:tcPr>
            <w:tcW w:w="2126" w:type="dxa"/>
            <w:tcBorders>
              <w:top w:val="nil"/>
              <w:left w:val="nil"/>
              <w:bottom w:val="single" w:color="auto" w:sz="4" w:space="0"/>
              <w:right w:val="single" w:color="auto" w:sz="4" w:space="0"/>
            </w:tcBorders>
            <w:vAlign w:val="center"/>
          </w:tcPr>
          <w:p w14:paraId="7078D12F">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100%</w:t>
            </w:r>
          </w:p>
        </w:tc>
      </w:tr>
      <w:tr w14:paraId="7F50B9A4">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261F91B8">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12E25204">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4F2B898">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4FA7EE58">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系统可靠性</w:t>
            </w:r>
          </w:p>
        </w:tc>
        <w:tc>
          <w:tcPr>
            <w:tcW w:w="2126" w:type="dxa"/>
            <w:tcBorders>
              <w:top w:val="nil"/>
              <w:left w:val="nil"/>
              <w:bottom w:val="single" w:color="auto" w:sz="4" w:space="0"/>
              <w:right w:val="single" w:color="auto" w:sz="4" w:space="0"/>
            </w:tcBorders>
            <w:vAlign w:val="center"/>
          </w:tcPr>
          <w:p w14:paraId="73490EF1">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≥99.9%</w:t>
            </w:r>
          </w:p>
        </w:tc>
      </w:tr>
      <w:tr w14:paraId="39431508">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6F2A7795">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B442738">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3CC75CE">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18FEC34A">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密码测试</w:t>
            </w:r>
          </w:p>
        </w:tc>
        <w:tc>
          <w:tcPr>
            <w:tcW w:w="2126" w:type="dxa"/>
            <w:tcBorders>
              <w:top w:val="nil"/>
              <w:left w:val="nil"/>
              <w:bottom w:val="single" w:color="auto" w:sz="4" w:space="0"/>
              <w:right w:val="single" w:color="auto" w:sz="4" w:space="0"/>
            </w:tcBorders>
            <w:vAlign w:val="center"/>
          </w:tcPr>
          <w:p w14:paraId="43B8FAAA">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通过</w:t>
            </w:r>
          </w:p>
        </w:tc>
      </w:tr>
      <w:tr w14:paraId="56156DE6">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137700DD">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9E7F4C1">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4FCDC73">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5C8A3262">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安全测试</w:t>
            </w:r>
          </w:p>
        </w:tc>
        <w:tc>
          <w:tcPr>
            <w:tcW w:w="2126" w:type="dxa"/>
            <w:tcBorders>
              <w:top w:val="nil"/>
              <w:left w:val="nil"/>
              <w:bottom w:val="single" w:color="auto" w:sz="4" w:space="0"/>
              <w:right w:val="single" w:color="auto" w:sz="4" w:space="0"/>
            </w:tcBorders>
            <w:vAlign w:val="center"/>
          </w:tcPr>
          <w:p w14:paraId="119C8F22">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通过</w:t>
            </w:r>
          </w:p>
        </w:tc>
      </w:tr>
      <w:tr w14:paraId="4E8C4CA7">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067865E5">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D31EC0F">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DC50E48">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12CFDA77">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软件测试</w:t>
            </w:r>
          </w:p>
        </w:tc>
        <w:tc>
          <w:tcPr>
            <w:tcW w:w="2126" w:type="dxa"/>
            <w:tcBorders>
              <w:top w:val="nil"/>
              <w:left w:val="nil"/>
              <w:bottom w:val="single" w:color="auto" w:sz="4" w:space="0"/>
              <w:right w:val="single" w:color="auto" w:sz="4" w:space="0"/>
            </w:tcBorders>
            <w:vAlign w:val="center"/>
          </w:tcPr>
          <w:p w14:paraId="5143319D">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通过</w:t>
            </w:r>
          </w:p>
        </w:tc>
      </w:tr>
      <w:tr w14:paraId="573636E6">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4EC4A547">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67B0E7C">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E46BD44">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6AC0D0BD">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网络安全等级保护</w:t>
            </w:r>
          </w:p>
        </w:tc>
        <w:tc>
          <w:tcPr>
            <w:tcW w:w="2126" w:type="dxa"/>
            <w:tcBorders>
              <w:top w:val="nil"/>
              <w:left w:val="nil"/>
              <w:bottom w:val="single" w:color="auto" w:sz="4" w:space="0"/>
              <w:right w:val="single" w:color="auto" w:sz="4" w:space="0"/>
            </w:tcBorders>
            <w:vAlign w:val="center"/>
          </w:tcPr>
          <w:p w14:paraId="26660602">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三级</w:t>
            </w:r>
          </w:p>
        </w:tc>
      </w:tr>
      <w:tr w14:paraId="3E7BBB52">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2621F567">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A90454B">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F816BEA">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10D5358F">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安全事件发生次数</w:t>
            </w:r>
          </w:p>
        </w:tc>
        <w:tc>
          <w:tcPr>
            <w:tcW w:w="2126" w:type="dxa"/>
            <w:tcBorders>
              <w:top w:val="nil"/>
              <w:left w:val="nil"/>
              <w:bottom w:val="single" w:color="auto" w:sz="4" w:space="0"/>
              <w:right w:val="single" w:color="auto" w:sz="4" w:space="0"/>
            </w:tcBorders>
            <w:vAlign w:val="center"/>
          </w:tcPr>
          <w:p w14:paraId="50618B41">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0次</w:t>
            </w:r>
          </w:p>
        </w:tc>
      </w:tr>
      <w:tr w14:paraId="77FB64E1">
        <w:tblPrEx>
          <w:tblCellMar>
            <w:top w:w="0" w:type="dxa"/>
            <w:left w:w="108" w:type="dxa"/>
            <w:bottom w:w="0" w:type="dxa"/>
            <w:right w:w="108" w:type="dxa"/>
          </w:tblCellMar>
        </w:tblPrEx>
        <w:trPr>
          <w:trHeight w:val="465" w:hRule="atLeast"/>
        </w:trPr>
        <w:tc>
          <w:tcPr>
            <w:tcW w:w="1129" w:type="dxa"/>
            <w:vMerge w:val="continue"/>
            <w:tcBorders>
              <w:top w:val="nil"/>
              <w:left w:val="single" w:color="auto" w:sz="4" w:space="0"/>
              <w:bottom w:val="single" w:color="auto" w:sz="4" w:space="0"/>
              <w:right w:val="single" w:color="auto" w:sz="4" w:space="0"/>
            </w:tcBorders>
            <w:vAlign w:val="center"/>
          </w:tcPr>
          <w:p w14:paraId="7099ED03">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9EBA622">
            <w:pPr>
              <w:widowControl/>
              <w:spacing w:line="240" w:lineRule="auto"/>
              <w:ind w:firstLine="0" w:firstLineChars="0"/>
              <w:jc w:val="left"/>
              <w:rPr>
                <w:rFonts w:ascii="仿宋_GB2312" w:hAnsi="等线" w:eastAsia="仿宋_GB2312" w:cs="宋体"/>
                <w:kern w:val="0"/>
                <w:sz w:val="21"/>
                <w:szCs w:val="21"/>
              </w:rPr>
            </w:pPr>
          </w:p>
        </w:tc>
        <w:tc>
          <w:tcPr>
            <w:tcW w:w="1134" w:type="dxa"/>
            <w:tcBorders>
              <w:top w:val="nil"/>
              <w:left w:val="nil"/>
              <w:bottom w:val="single" w:color="auto" w:sz="4" w:space="0"/>
              <w:right w:val="single" w:color="auto" w:sz="4" w:space="0"/>
            </w:tcBorders>
            <w:vAlign w:val="center"/>
          </w:tcPr>
          <w:p w14:paraId="48C7177A">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产出时效</w:t>
            </w:r>
          </w:p>
        </w:tc>
        <w:tc>
          <w:tcPr>
            <w:tcW w:w="2268" w:type="dxa"/>
            <w:tcBorders>
              <w:top w:val="nil"/>
              <w:left w:val="nil"/>
              <w:bottom w:val="single" w:color="auto" w:sz="4" w:space="0"/>
              <w:right w:val="single" w:color="auto" w:sz="4" w:space="0"/>
            </w:tcBorders>
            <w:vAlign w:val="center"/>
          </w:tcPr>
          <w:p w14:paraId="68034AB9">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项目建设周期</w:t>
            </w:r>
          </w:p>
        </w:tc>
        <w:tc>
          <w:tcPr>
            <w:tcW w:w="2126" w:type="dxa"/>
            <w:tcBorders>
              <w:top w:val="nil"/>
              <w:left w:val="nil"/>
              <w:bottom w:val="single" w:color="auto" w:sz="4" w:space="0"/>
              <w:right w:val="single" w:color="auto" w:sz="4" w:space="0"/>
            </w:tcBorders>
            <w:vAlign w:val="center"/>
          </w:tcPr>
          <w:p w14:paraId="6A1D36EC">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≤24个月</w:t>
            </w:r>
          </w:p>
        </w:tc>
      </w:tr>
      <w:tr w14:paraId="2A652481">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7E8AFE3F">
            <w:pPr>
              <w:widowControl/>
              <w:spacing w:line="240" w:lineRule="auto"/>
              <w:ind w:firstLine="0" w:firstLineChars="0"/>
              <w:jc w:val="left"/>
              <w:rPr>
                <w:rFonts w:ascii="仿宋_GB2312" w:hAnsi="等线" w:eastAsia="仿宋_GB2312" w:cs="宋体"/>
                <w:kern w:val="0"/>
                <w:sz w:val="21"/>
                <w:szCs w:val="21"/>
              </w:rPr>
            </w:pPr>
          </w:p>
        </w:tc>
        <w:tc>
          <w:tcPr>
            <w:tcW w:w="1134" w:type="dxa"/>
            <w:vMerge w:val="restart"/>
            <w:tcBorders>
              <w:top w:val="nil"/>
              <w:left w:val="single" w:color="auto" w:sz="4" w:space="0"/>
              <w:bottom w:val="single" w:color="auto" w:sz="4" w:space="0"/>
              <w:right w:val="single" w:color="auto" w:sz="4" w:space="0"/>
            </w:tcBorders>
            <w:vAlign w:val="center"/>
          </w:tcPr>
          <w:p w14:paraId="2659EE87">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　</w:t>
            </w:r>
          </w:p>
        </w:tc>
        <w:tc>
          <w:tcPr>
            <w:tcW w:w="1134" w:type="dxa"/>
            <w:vMerge w:val="restart"/>
            <w:tcBorders>
              <w:top w:val="nil"/>
              <w:left w:val="single" w:color="auto" w:sz="4" w:space="0"/>
              <w:bottom w:val="single" w:color="auto" w:sz="4" w:space="0"/>
              <w:right w:val="single" w:color="auto" w:sz="4" w:space="0"/>
            </w:tcBorders>
            <w:vAlign w:val="center"/>
          </w:tcPr>
          <w:p w14:paraId="61D6BFEE">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用户使用情况</w:t>
            </w:r>
          </w:p>
        </w:tc>
        <w:tc>
          <w:tcPr>
            <w:tcW w:w="2268" w:type="dxa"/>
            <w:tcBorders>
              <w:top w:val="nil"/>
              <w:left w:val="nil"/>
              <w:bottom w:val="single" w:color="auto" w:sz="4" w:space="0"/>
              <w:right w:val="single" w:color="auto" w:sz="4" w:space="0"/>
            </w:tcBorders>
            <w:vAlign w:val="center"/>
          </w:tcPr>
          <w:p w14:paraId="2996AAC3">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系统用户量</w:t>
            </w:r>
          </w:p>
        </w:tc>
        <w:tc>
          <w:tcPr>
            <w:tcW w:w="2126" w:type="dxa"/>
            <w:tcBorders>
              <w:top w:val="nil"/>
              <w:left w:val="nil"/>
              <w:bottom w:val="single" w:color="auto" w:sz="4" w:space="0"/>
              <w:right w:val="single" w:color="auto" w:sz="4" w:space="0"/>
            </w:tcBorders>
            <w:vAlign w:val="center"/>
          </w:tcPr>
          <w:p w14:paraId="724EEC00">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≥5000人</w:t>
            </w:r>
          </w:p>
        </w:tc>
      </w:tr>
      <w:tr w14:paraId="590B853D">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4C2AF98D">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C912CD5">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8F8F53D">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noWrap/>
            <w:vAlign w:val="center"/>
          </w:tcPr>
          <w:p w14:paraId="538D719F">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月活跃用户量</w:t>
            </w:r>
          </w:p>
        </w:tc>
        <w:tc>
          <w:tcPr>
            <w:tcW w:w="2126" w:type="dxa"/>
            <w:tcBorders>
              <w:top w:val="nil"/>
              <w:left w:val="nil"/>
              <w:bottom w:val="single" w:color="auto" w:sz="4" w:space="0"/>
              <w:right w:val="single" w:color="auto" w:sz="4" w:space="0"/>
            </w:tcBorders>
            <w:vAlign w:val="center"/>
          </w:tcPr>
          <w:p w14:paraId="09F1C392">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≥5000人次/月</w:t>
            </w:r>
          </w:p>
        </w:tc>
      </w:tr>
      <w:tr w14:paraId="2D52F60F">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40CD1A05">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8561C1B">
            <w:pPr>
              <w:widowControl/>
              <w:spacing w:line="240" w:lineRule="auto"/>
              <w:ind w:firstLine="0" w:firstLineChars="0"/>
              <w:jc w:val="left"/>
              <w:rPr>
                <w:rFonts w:ascii="仿宋_GB2312" w:hAnsi="等线" w:eastAsia="仿宋_GB2312" w:cs="宋体"/>
                <w:kern w:val="0"/>
                <w:sz w:val="21"/>
                <w:szCs w:val="21"/>
              </w:rPr>
            </w:pPr>
          </w:p>
        </w:tc>
        <w:tc>
          <w:tcPr>
            <w:tcW w:w="1134" w:type="dxa"/>
            <w:vMerge w:val="restart"/>
            <w:tcBorders>
              <w:top w:val="nil"/>
              <w:left w:val="single" w:color="auto" w:sz="4" w:space="0"/>
              <w:bottom w:val="single" w:color="auto" w:sz="4" w:space="0"/>
              <w:right w:val="single" w:color="auto" w:sz="4" w:space="0"/>
            </w:tcBorders>
            <w:vAlign w:val="center"/>
          </w:tcPr>
          <w:p w14:paraId="22203447">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区块链应用</w:t>
            </w:r>
          </w:p>
        </w:tc>
        <w:tc>
          <w:tcPr>
            <w:tcW w:w="2268" w:type="dxa"/>
            <w:tcBorders>
              <w:top w:val="nil"/>
              <w:left w:val="nil"/>
              <w:bottom w:val="single" w:color="auto" w:sz="4" w:space="0"/>
              <w:right w:val="single" w:color="auto" w:sz="4" w:space="0"/>
            </w:tcBorders>
            <w:vAlign w:val="center"/>
          </w:tcPr>
          <w:p w14:paraId="1F914A01">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数据上链条目数</w:t>
            </w:r>
          </w:p>
        </w:tc>
        <w:tc>
          <w:tcPr>
            <w:tcW w:w="2126" w:type="dxa"/>
            <w:tcBorders>
              <w:top w:val="nil"/>
              <w:left w:val="nil"/>
              <w:bottom w:val="single" w:color="auto" w:sz="4" w:space="0"/>
              <w:right w:val="single" w:color="auto" w:sz="4" w:space="0"/>
            </w:tcBorders>
            <w:vAlign w:val="center"/>
          </w:tcPr>
          <w:p w14:paraId="18651615">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≥500000000条</w:t>
            </w:r>
          </w:p>
        </w:tc>
      </w:tr>
      <w:tr w14:paraId="2D6D056C">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6C9AE997">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8C3B43E">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291EE55">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noWrap/>
            <w:vAlign w:val="center"/>
          </w:tcPr>
          <w:p w14:paraId="55F04120">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形成智能合约数量</w:t>
            </w:r>
          </w:p>
        </w:tc>
        <w:tc>
          <w:tcPr>
            <w:tcW w:w="2126" w:type="dxa"/>
            <w:tcBorders>
              <w:top w:val="nil"/>
              <w:left w:val="nil"/>
              <w:bottom w:val="single" w:color="auto" w:sz="4" w:space="0"/>
              <w:right w:val="single" w:color="auto" w:sz="4" w:space="0"/>
            </w:tcBorders>
            <w:vAlign w:val="center"/>
          </w:tcPr>
          <w:p w14:paraId="011F4086">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=11个</w:t>
            </w:r>
          </w:p>
        </w:tc>
      </w:tr>
      <w:tr w14:paraId="1715901B">
        <w:tblPrEx>
          <w:tblCellMar>
            <w:top w:w="0" w:type="dxa"/>
            <w:left w:w="108" w:type="dxa"/>
            <w:bottom w:w="0" w:type="dxa"/>
            <w:right w:w="108" w:type="dxa"/>
          </w:tblCellMar>
        </w:tblPrEx>
        <w:trPr>
          <w:trHeight w:val="310" w:hRule="atLeast"/>
        </w:trPr>
        <w:tc>
          <w:tcPr>
            <w:tcW w:w="1129" w:type="dxa"/>
            <w:vMerge w:val="continue"/>
            <w:tcBorders>
              <w:top w:val="nil"/>
              <w:left w:val="single" w:color="auto" w:sz="4" w:space="0"/>
              <w:bottom w:val="single" w:color="auto" w:sz="4" w:space="0"/>
              <w:right w:val="single" w:color="auto" w:sz="4" w:space="0"/>
            </w:tcBorders>
            <w:vAlign w:val="center"/>
          </w:tcPr>
          <w:p w14:paraId="44BC953A">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269053A">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9315311">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noWrap/>
            <w:vAlign w:val="center"/>
          </w:tcPr>
          <w:p w14:paraId="154327CB">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建立共识节点数量</w:t>
            </w:r>
          </w:p>
        </w:tc>
        <w:tc>
          <w:tcPr>
            <w:tcW w:w="2126" w:type="dxa"/>
            <w:tcBorders>
              <w:top w:val="nil"/>
              <w:left w:val="nil"/>
              <w:bottom w:val="single" w:color="auto" w:sz="4" w:space="0"/>
              <w:right w:val="single" w:color="auto" w:sz="4" w:space="0"/>
            </w:tcBorders>
            <w:vAlign w:val="center"/>
          </w:tcPr>
          <w:p w14:paraId="6EB2D97D">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=4个</w:t>
            </w:r>
          </w:p>
        </w:tc>
      </w:tr>
      <w:tr w14:paraId="04226733">
        <w:tblPrEx>
          <w:tblCellMar>
            <w:top w:w="0" w:type="dxa"/>
            <w:left w:w="108" w:type="dxa"/>
            <w:bottom w:w="0" w:type="dxa"/>
            <w:right w:w="108" w:type="dxa"/>
          </w:tblCellMar>
        </w:tblPrEx>
        <w:trPr>
          <w:trHeight w:val="300" w:hRule="atLeast"/>
        </w:trPr>
        <w:tc>
          <w:tcPr>
            <w:tcW w:w="1129" w:type="dxa"/>
            <w:vMerge w:val="restart"/>
            <w:tcBorders>
              <w:top w:val="nil"/>
              <w:left w:val="single" w:color="auto" w:sz="4" w:space="0"/>
              <w:bottom w:val="single" w:color="auto" w:sz="4" w:space="0"/>
              <w:right w:val="single" w:color="auto" w:sz="4" w:space="0"/>
            </w:tcBorders>
            <w:vAlign w:val="center"/>
          </w:tcPr>
          <w:p w14:paraId="3614F09D">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业务指标</w:t>
            </w:r>
          </w:p>
        </w:tc>
        <w:tc>
          <w:tcPr>
            <w:tcW w:w="1134" w:type="dxa"/>
            <w:vMerge w:val="restart"/>
            <w:tcBorders>
              <w:top w:val="nil"/>
              <w:left w:val="single" w:color="auto" w:sz="4" w:space="0"/>
              <w:bottom w:val="single" w:color="auto" w:sz="4" w:space="0"/>
              <w:right w:val="single" w:color="auto" w:sz="4" w:space="0"/>
            </w:tcBorders>
            <w:vAlign w:val="center"/>
          </w:tcPr>
          <w:p w14:paraId="3633779F">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产出指标</w:t>
            </w:r>
          </w:p>
        </w:tc>
        <w:tc>
          <w:tcPr>
            <w:tcW w:w="1134" w:type="dxa"/>
            <w:vMerge w:val="restart"/>
            <w:tcBorders>
              <w:top w:val="nil"/>
              <w:left w:val="single" w:color="auto" w:sz="4" w:space="0"/>
              <w:bottom w:val="single" w:color="auto" w:sz="4" w:space="0"/>
              <w:right w:val="single" w:color="auto" w:sz="4" w:space="0"/>
            </w:tcBorders>
            <w:vAlign w:val="center"/>
          </w:tcPr>
          <w:p w14:paraId="322E3D8C">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产出质量</w:t>
            </w:r>
          </w:p>
        </w:tc>
        <w:tc>
          <w:tcPr>
            <w:tcW w:w="2268" w:type="dxa"/>
            <w:tcBorders>
              <w:top w:val="nil"/>
              <w:left w:val="nil"/>
              <w:bottom w:val="single" w:color="auto" w:sz="4" w:space="0"/>
              <w:right w:val="single" w:color="auto" w:sz="4" w:space="0"/>
            </w:tcBorders>
            <w:vAlign w:val="center"/>
          </w:tcPr>
          <w:p w14:paraId="7A3FD76A">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交易高峰期出块时间</w:t>
            </w:r>
          </w:p>
        </w:tc>
        <w:tc>
          <w:tcPr>
            <w:tcW w:w="2126" w:type="dxa"/>
            <w:tcBorders>
              <w:top w:val="nil"/>
              <w:left w:val="nil"/>
              <w:bottom w:val="single" w:color="auto" w:sz="4" w:space="0"/>
              <w:right w:val="single" w:color="auto" w:sz="4" w:space="0"/>
            </w:tcBorders>
            <w:vAlign w:val="center"/>
          </w:tcPr>
          <w:p w14:paraId="1DB7DDC1">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≤3秒</w:t>
            </w:r>
          </w:p>
        </w:tc>
      </w:tr>
      <w:tr w14:paraId="7A4C8C19">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686F53A4">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B927E6F">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FA4B71E">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113EE8AE">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区块链TPS</w:t>
            </w:r>
          </w:p>
        </w:tc>
        <w:tc>
          <w:tcPr>
            <w:tcW w:w="2126" w:type="dxa"/>
            <w:tcBorders>
              <w:top w:val="nil"/>
              <w:left w:val="nil"/>
              <w:bottom w:val="single" w:color="auto" w:sz="4" w:space="0"/>
              <w:right w:val="single" w:color="auto" w:sz="4" w:space="0"/>
            </w:tcBorders>
            <w:vAlign w:val="center"/>
          </w:tcPr>
          <w:p w14:paraId="2569CF7D">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≥1200TPS</w:t>
            </w:r>
          </w:p>
        </w:tc>
      </w:tr>
      <w:tr w14:paraId="4610129E">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01DF5EFB">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081D25DA">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F1341B0">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6EF4EAC8">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交互类业务平均响应时间</w:t>
            </w:r>
          </w:p>
        </w:tc>
        <w:tc>
          <w:tcPr>
            <w:tcW w:w="2126" w:type="dxa"/>
            <w:tcBorders>
              <w:top w:val="nil"/>
              <w:left w:val="nil"/>
              <w:bottom w:val="single" w:color="auto" w:sz="4" w:space="0"/>
              <w:right w:val="single" w:color="auto" w:sz="4" w:space="0"/>
            </w:tcBorders>
            <w:vAlign w:val="center"/>
          </w:tcPr>
          <w:p w14:paraId="6ECEB210">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≤2秒</w:t>
            </w:r>
          </w:p>
        </w:tc>
      </w:tr>
      <w:tr w14:paraId="56EFCEF0">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1E2E6F84">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5C16340">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156355A">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355CEFB6">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支持并发用户数</w:t>
            </w:r>
          </w:p>
        </w:tc>
        <w:tc>
          <w:tcPr>
            <w:tcW w:w="2126" w:type="dxa"/>
            <w:tcBorders>
              <w:top w:val="nil"/>
              <w:left w:val="nil"/>
              <w:bottom w:val="single" w:color="auto" w:sz="4" w:space="0"/>
              <w:right w:val="single" w:color="auto" w:sz="4" w:space="0"/>
            </w:tcBorders>
            <w:vAlign w:val="center"/>
          </w:tcPr>
          <w:p w14:paraId="288DE091">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≥1000人</w:t>
            </w:r>
          </w:p>
        </w:tc>
      </w:tr>
      <w:tr w14:paraId="6D35F79F">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5F1582CA">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7319F85B">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C9533F6">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0B007ED2">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支持同时在线用户数</w:t>
            </w:r>
          </w:p>
        </w:tc>
        <w:tc>
          <w:tcPr>
            <w:tcW w:w="2126" w:type="dxa"/>
            <w:tcBorders>
              <w:top w:val="nil"/>
              <w:left w:val="nil"/>
              <w:bottom w:val="single" w:color="auto" w:sz="4" w:space="0"/>
              <w:right w:val="single" w:color="auto" w:sz="4" w:space="0"/>
            </w:tcBorders>
            <w:vAlign w:val="center"/>
          </w:tcPr>
          <w:p w14:paraId="3F01EB5D">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≥1000人</w:t>
            </w:r>
          </w:p>
        </w:tc>
      </w:tr>
      <w:tr w14:paraId="4AB1FD0F">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09F2DB32">
            <w:pPr>
              <w:widowControl/>
              <w:spacing w:line="240" w:lineRule="auto"/>
              <w:ind w:firstLine="0" w:firstLineChars="0"/>
              <w:jc w:val="left"/>
              <w:rPr>
                <w:rFonts w:ascii="仿宋_GB2312" w:hAnsi="等线" w:eastAsia="仿宋_GB2312" w:cs="宋体"/>
                <w:kern w:val="0"/>
                <w:sz w:val="21"/>
                <w:szCs w:val="21"/>
              </w:rPr>
            </w:pPr>
          </w:p>
        </w:tc>
        <w:tc>
          <w:tcPr>
            <w:tcW w:w="1134" w:type="dxa"/>
            <w:vMerge w:val="restart"/>
            <w:tcBorders>
              <w:top w:val="nil"/>
              <w:left w:val="single" w:color="auto" w:sz="4" w:space="0"/>
              <w:bottom w:val="single" w:color="auto" w:sz="4" w:space="0"/>
              <w:right w:val="single" w:color="auto" w:sz="4" w:space="0"/>
            </w:tcBorders>
            <w:vAlign w:val="center"/>
          </w:tcPr>
          <w:p w14:paraId="44F4BFF0">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效益指标</w:t>
            </w:r>
          </w:p>
        </w:tc>
        <w:tc>
          <w:tcPr>
            <w:tcW w:w="1134" w:type="dxa"/>
            <w:vMerge w:val="restart"/>
            <w:tcBorders>
              <w:top w:val="nil"/>
              <w:left w:val="single" w:color="auto" w:sz="4" w:space="0"/>
              <w:bottom w:val="single" w:color="auto" w:sz="4" w:space="0"/>
              <w:right w:val="single" w:color="auto" w:sz="4" w:space="0"/>
            </w:tcBorders>
            <w:vAlign w:val="center"/>
          </w:tcPr>
          <w:p w14:paraId="1969ABB6">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社会效益</w:t>
            </w:r>
          </w:p>
        </w:tc>
        <w:tc>
          <w:tcPr>
            <w:tcW w:w="2268" w:type="dxa"/>
            <w:tcBorders>
              <w:top w:val="nil"/>
              <w:left w:val="nil"/>
              <w:bottom w:val="single" w:color="auto" w:sz="4" w:space="0"/>
              <w:right w:val="single" w:color="auto" w:sz="4" w:space="0"/>
            </w:tcBorders>
            <w:vAlign w:val="center"/>
          </w:tcPr>
          <w:p w14:paraId="352FDC47">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上链单位数量</w:t>
            </w:r>
          </w:p>
        </w:tc>
        <w:tc>
          <w:tcPr>
            <w:tcW w:w="2126" w:type="dxa"/>
            <w:tcBorders>
              <w:top w:val="nil"/>
              <w:left w:val="nil"/>
              <w:bottom w:val="single" w:color="auto" w:sz="4" w:space="0"/>
              <w:right w:val="single" w:color="auto" w:sz="4" w:space="0"/>
            </w:tcBorders>
            <w:vAlign w:val="center"/>
          </w:tcPr>
          <w:p w14:paraId="3221F68C">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≥51家</w:t>
            </w:r>
          </w:p>
        </w:tc>
      </w:tr>
      <w:tr w14:paraId="6BE49FC9">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0B7226EF">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66A5390">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6DD5DB9">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1EC94E13">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上链票据数量</w:t>
            </w:r>
          </w:p>
        </w:tc>
        <w:tc>
          <w:tcPr>
            <w:tcW w:w="2126" w:type="dxa"/>
            <w:tcBorders>
              <w:top w:val="nil"/>
              <w:left w:val="nil"/>
              <w:bottom w:val="single" w:color="auto" w:sz="4" w:space="0"/>
              <w:right w:val="single" w:color="auto" w:sz="4" w:space="0"/>
            </w:tcBorders>
            <w:vAlign w:val="center"/>
          </w:tcPr>
          <w:p w14:paraId="6E7E0059">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≥500000000张/年</w:t>
            </w:r>
          </w:p>
        </w:tc>
      </w:tr>
      <w:tr w14:paraId="0118A1A9">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60837A4C">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E8FC5E0">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01136FA">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6AA45FC0">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每月用户使用授权服务次数</w:t>
            </w:r>
          </w:p>
        </w:tc>
        <w:tc>
          <w:tcPr>
            <w:tcW w:w="2126" w:type="dxa"/>
            <w:tcBorders>
              <w:top w:val="nil"/>
              <w:left w:val="nil"/>
              <w:bottom w:val="single" w:color="auto" w:sz="4" w:space="0"/>
              <w:right w:val="single" w:color="auto" w:sz="4" w:space="0"/>
            </w:tcBorders>
            <w:vAlign w:val="center"/>
          </w:tcPr>
          <w:p w14:paraId="1BBB2B43">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≥5000人次/月</w:t>
            </w:r>
          </w:p>
        </w:tc>
      </w:tr>
      <w:tr w14:paraId="77461B63">
        <w:tblPrEx>
          <w:tblCellMar>
            <w:top w:w="0" w:type="dxa"/>
            <w:left w:w="108" w:type="dxa"/>
            <w:bottom w:w="0" w:type="dxa"/>
            <w:right w:w="108" w:type="dxa"/>
          </w:tblCellMar>
        </w:tblPrEx>
        <w:trPr>
          <w:trHeight w:val="600" w:hRule="atLeast"/>
        </w:trPr>
        <w:tc>
          <w:tcPr>
            <w:tcW w:w="1129" w:type="dxa"/>
            <w:vMerge w:val="continue"/>
            <w:tcBorders>
              <w:top w:val="nil"/>
              <w:left w:val="single" w:color="auto" w:sz="4" w:space="0"/>
              <w:bottom w:val="single" w:color="auto" w:sz="4" w:space="0"/>
              <w:right w:val="single" w:color="auto" w:sz="4" w:space="0"/>
            </w:tcBorders>
            <w:vAlign w:val="center"/>
          </w:tcPr>
          <w:p w14:paraId="4C479F5A">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2585971">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43090596">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50B12626">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完成一次全流程肺结核减免服务查票用时</w:t>
            </w:r>
          </w:p>
        </w:tc>
        <w:tc>
          <w:tcPr>
            <w:tcW w:w="2126" w:type="dxa"/>
            <w:tcBorders>
              <w:top w:val="nil"/>
              <w:left w:val="nil"/>
              <w:bottom w:val="single" w:color="auto" w:sz="4" w:space="0"/>
              <w:right w:val="single" w:color="auto" w:sz="4" w:space="0"/>
            </w:tcBorders>
            <w:vAlign w:val="center"/>
          </w:tcPr>
          <w:p w14:paraId="6C43CC30">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≤1小时</w:t>
            </w:r>
          </w:p>
        </w:tc>
      </w:tr>
      <w:tr w14:paraId="489B7003">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20506387">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626E113A">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55289684">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327A95FB">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每月实现长三角跨省报销票据数量</w:t>
            </w:r>
          </w:p>
        </w:tc>
        <w:tc>
          <w:tcPr>
            <w:tcW w:w="2126" w:type="dxa"/>
            <w:tcBorders>
              <w:top w:val="nil"/>
              <w:left w:val="nil"/>
              <w:bottom w:val="single" w:color="auto" w:sz="4" w:space="0"/>
              <w:right w:val="single" w:color="auto" w:sz="4" w:space="0"/>
            </w:tcBorders>
            <w:vAlign w:val="center"/>
          </w:tcPr>
          <w:p w14:paraId="21B192EB">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≥1000张/月</w:t>
            </w:r>
          </w:p>
        </w:tc>
      </w:tr>
      <w:tr w14:paraId="3FF10FF2">
        <w:tblPrEx>
          <w:tblCellMar>
            <w:top w:w="0" w:type="dxa"/>
            <w:left w:w="108" w:type="dxa"/>
            <w:bottom w:w="0" w:type="dxa"/>
            <w:right w:w="108" w:type="dxa"/>
          </w:tblCellMar>
        </w:tblPrEx>
        <w:trPr>
          <w:trHeight w:val="300" w:hRule="atLeast"/>
        </w:trPr>
        <w:tc>
          <w:tcPr>
            <w:tcW w:w="1129" w:type="dxa"/>
            <w:vMerge w:val="continue"/>
            <w:tcBorders>
              <w:top w:val="nil"/>
              <w:left w:val="single" w:color="auto" w:sz="4" w:space="0"/>
              <w:bottom w:val="single" w:color="auto" w:sz="4" w:space="0"/>
              <w:right w:val="single" w:color="auto" w:sz="4" w:space="0"/>
            </w:tcBorders>
            <w:vAlign w:val="center"/>
          </w:tcPr>
          <w:p w14:paraId="3973694F">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30B920DD">
            <w:pPr>
              <w:widowControl/>
              <w:spacing w:line="240" w:lineRule="auto"/>
              <w:ind w:firstLine="0" w:firstLineChars="0"/>
              <w:jc w:val="left"/>
              <w:rPr>
                <w:rFonts w:ascii="仿宋_GB2312" w:hAnsi="等线" w:eastAsia="仿宋_GB2312" w:cs="宋体"/>
                <w:kern w:val="0"/>
                <w:sz w:val="21"/>
                <w:szCs w:val="21"/>
              </w:rPr>
            </w:pPr>
          </w:p>
        </w:tc>
        <w:tc>
          <w:tcPr>
            <w:tcW w:w="1134" w:type="dxa"/>
            <w:vMerge w:val="continue"/>
            <w:tcBorders>
              <w:top w:val="nil"/>
              <w:left w:val="single" w:color="auto" w:sz="4" w:space="0"/>
              <w:bottom w:val="single" w:color="auto" w:sz="4" w:space="0"/>
              <w:right w:val="single" w:color="auto" w:sz="4" w:space="0"/>
            </w:tcBorders>
            <w:vAlign w:val="center"/>
          </w:tcPr>
          <w:p w14:paraId="2C9D05B8">
            <w:pPr>
              <w:widowControl/>
              <w:spacing w:line="240" w:lineRule="auto"/>
              <w:ind w:firstLine="0" w:firstLineChars="0"/>
              <w:jc w:val="left"/>
              <w:rPr>
                <w:rFonts w:ascii="仿宋_GB2312" w:hAnsi="等线" w:eastAsia="仿宋_GB2312" w:cs="宋体"/>
                <w:kern w:val="0"/>
                <w:sz w:val="21"/>
                <w:szCs w:val="21"/>
              </w:rPr>
            </w:pPr>
          </w:p>
        </w:tc>
        <w:tc>
          <w:tcPr>
            <w:tcW w:w="2268" w:type="dxa"/>
            <w:tcBorders>
              <w:top w:val="nil"/>
              <w:left w:val="nil"/>
              <w:bottom w:val="single" w:color="auto" w:sz="4" w:space="0"/>
              <w:right w:val="single" w:color="auto" w:sz="4" w:space="0"/>
            </w:tcBorders>
            <w:vAlign w:val="center"/>
          </w:tcPr>
          <w:p w14:paraId="46421F98">
            <w:pPr>
              <w:widowControl/>
              <w:spacing w:line="240" w:lineRule="auto"/>
              <w:ind w:firstLine="0" w:firstLineChars="0"/>
              <w:jc w:val="left"/>
              <w:rPr>
                <w:rFonts w:ascii="仿宋_GB2312" w:hAnsi="等线" w:eastAsia="仿宋_GB2312" w:cs="宋体"/>
                <w:kern w:val="0"/>
                <w:sz w:val="21"/>
                <w:szCs w:val="21"/>
              </w:rPr>
            </w:pPr>
            <w:r>
              <w:rPr>
                <w:rFonts w:hint="eastAsia" w:ascii="仿宋_GB2312" w:hAnsi="等线" w:eastAsia="仿宋_GB2312" w:cs="宋体"/>
                <w:kern w:val="0"/>
                <w:sz w:val="21"/>
                <w:szCs w:val="21"/>
              </w:rPr>
              <w:t>每月形成票据汇总报告数量</w:t>
            </w:r>
          </w:p>
        </w:tc>
        <w:tc>
          <w:tcPr>
            <w:tcW w:w="2126" w:type="dxa"/>
            <w:tcBorders>
              <w:top w:val="nil"/>
              <w:left w:val="nil"/>
              <w:bottom w:val="single" w:color="auto" w:sz="4" w:space="0"/>
              <w:right w:val="single" w:color="auto" w:sz="4" w:space="0"/>
            </w:tcBorders>
            <w:vAlign w:val="center"/>
          </w:tcPr>
          <w:p w14:paraId="26A78486">
            <w:pPr>
              <w:widowControl/>
              <w:spacing w:line="240" w:lineRule="auto"/>
              <w:ind w:firstLine="0" w:firstLineChars="0"/>
              <w:jc w:val="center"/>
              <w:rPr>
                <w:rFonts w:ascii="仿宋_GB2312" w:hAnsi="等线" w:eastAsia="仿宋_GB2312" w:cs="宋体"/>
                <w:kern w:val="0"/>
                <w:sz w:val="21"/>
                <w:szCs w:val="21"/>
              </w:rPr>
            </w:pPr>
            <w:r>
              <w:rPr>
                <w:rFonts w:hint="eastAsia" w:ascii="仿宋_GB2312" w:hAnsi="等线" w:eastAsia="仿宋_GB2312" w:cs="宋体"/>
                <w:kern w:val="0"/>
                <w:sz w:val="21"/>
                <w:szCs w:val="21"/>
              </w:rPr>
              <w:t>≥4份/月</w:t>
            </w:r>
          </w:p>
        </w:tc>
      </w:tr>
    </w:tbl>
    <w:p w14:paraId="7A033256">
      <w:pPr>
        <w:rPr>
          <w:bCs/>
        </w:rPr>
      </w:pPr>
    </w:p>
    <w:p w14:paraId="1A06714D">
      <w:pPr>
        <w:pStyle w:val="2"/>
      </w:pPr>
      <w:bookmarkStart w:id="11" w:name="_Toc47537166"/>
      <w:bookmarkEnd w:id="11"/>
      <w:bookmarkStart w:id="12" w:name="_Toc47539102"/>
      <w:bookmarkEnd w:id="12"/>
      <w:bookmarkStart w:id="13" w:name="_Toc47536304"/>
      <w:bookmarkEnd w:id="13"/>
      <w:bookmarkStart w:id="14" w:name="_Toc47532923"/>
      <w:bookmarkEnd w:id="14"/>
      <w:bookmarkStart w:id="15" w:name="_Toc47533288"/>
      <w:bookmarkEnd w:id="15"/>
      <w:bookmarkStart w:id="16" w:name="_Toc47536676"/>
      <w:bookmarkEnd w:id="16"/>
      <w:r>
        <w:rPr>
          <w:rFonts w:hint="eastAsia"/>
        </w:rPr>
        <w:t>项目建设内容</w:t>
      </w:r>
    </w:p>
    <w:p w14:paraId="1397569D">
      <w:pPr>
        <w:pStyle w:val="3"/>
      </w:pPr>
      <w:r>
        <w:rPr>
          <w:rFonts w:hint="eastAsia"/>
        </w:rPr>
        <w:t>项目建设内容</w:t>
      </w:r>
    </w:p>
    <w:p w14:paraId="4264B31B">
      <w:pPr>
        <w:widowControl/>
        <w:snapToGrid w:val="0"/>
        <w:spacing w:line="440" w:lineRule="exact"/>
        <w:jc w:val="left"/>
        <w:rPr>
          <w:bCs/>
        </w:rPr>
      </w:pPr>
      <w:r>
        <w:rPr>
          <w:rFonts w:hint="eastAsia"/>
          <w:bCs/>
        </w:rPr>
        <w:t>1、财票链基础设施建设</w:t>
      </w:r>
    </w:p>
    <w:p w14:paraId="6C697224">
      <w:pPr>
        <w:widowControl/>
        <w:snapToGrid w:val="0"/>
        <w:spacing w:line="440" w:lineRule="exact"/>
        <w:jc w:val="left"/>
        <w:rPr>
          <w:bCs/>
        </w:rPr>
      </w:pPr>
      <w:r>
        <w:rPr>
          <w:rFonts w:hint="eastAsia"/>
          <w:bCs/>
        </w:rPr>
        <w:t>基于大数据中心区块链基础设施，由市财政局为牵头单位搭建财票链，利用区块链分布式架构、高效流转、防篡改、可追溯等特性，按业务节点分布式的思路进行优化本市财政电子票据业务受理流程。</w:t>
      </w:r>
    </w:p>
    <w:p w14:paraId="32B48934">
      <w:pPr>
        <w:widowControl/>
        <w:snapToGrid w:val="0"/>
        <w:spacing w:line="440" w:lineRule="exact"/>
        <w:jc w:val="left"/>
        <w:rPr>
          <w:bCs/>
        </w:rPr>
      </w:pPr>
      <w:r>
        <w:rPr>
          <w:rFonts w:hint="eastAsia"/>
          <w:bCs/>
        </w:rPr>
        <w:t>2、建设财票链数据服务平台</w:t>
      </w:r>
    </w:p>
    <w:p w14:paraId="01293C7C">
      <w:pPr>
        <w:widowControl/>
        <w:snapToGrid w:val="0"/>
        <w:spacing w:line="440" w:lineRule="exact"/>
        <w:jc w:val="left"/>
        <w:rPr>
          <w:bCs/>
        </w:rPr>
      </w:pPr>
      <w:r>
        <w:rPr>
          <w:rFonts w:hint="eastAsia"/>
          <w:bCs/>
        </w:rPr>
        <w:t>建设财票链服务平台管理中心、安全管控模块、审计与日志归集、分布式上链接入端治理中枢模块、涉链票据业务管理、涉票数据授权中心，满足财票链运行和运营的核心管理需求，支撑平台安全、高效、规范运行。</w:t>
      </w:r>
    </w:p>
    <w:p w14:paraId="393C948E">
      <w:pPr>
        <w:widowControl/>
        <w:snapToGrid w:val="0"/>
        <w:spacing w:line="440" w:lineRule="exact"/>
        <w:jc w:val="left"/>
        <w:rPr>
          <w:bCs/>
        </w:rPr>
      </w:pPr>
      <w:r>
        <w:rPr>
          <w:rFonts w:hint="eastAsia"/>
          <w:bCs/>
        </w:rPr>
        <w:t>建设应用接入及负载模块，为财票链系统构建标准化、安全且高效的统一接入通道。</w:t>
      </w:r>
    </w:p>
    <w:p w14:paraId="4AF8DEAC">
      <w:pPr>
        <w:widowControl/>
        <w:snapToGrid w:val="0"/>
        <w:spacing w:line="440" w:lineRule="exact"/>
        <w:jc w:val="left"/>
        <w:rPr>
          <w:bCs/>
        </w:rPr>
      </w:pPr>
      <w:r>
        <w:rPr>
          <w:rFonts w:hint="eastAsia"/>
          <w:bCs/>
        </w:rPr>
        <w:t>建设肺结核政府减免服务应用场景，实现肺结核患者在线签署告知书并申请补助，公卫医生在线审核，市区疾控监管等业务功能。</w:t>
      </w:r>
    </w:p>
    <w:p w14:paraId="0F612E42">
      <w:pPr>
        <w:widowControl/>
        <w:snapToGrid w:val="0"/>
        <w:spacing w:line="440" w:lineRule="exact"/>
        <w:jc w:val="left"/>
        <w:rPr>
          <w:bCs/>
        </w:rPr>
      </w:pPr>
      <w:r>
        <w:rPr>
          <w:rFonts w:hint="eastAsia"/>
          <w:bCs/>
        </w:rPr>
        <w:t>建设长三角票据共享服务，实现长三角票据业务跨区域、高效、安全的共享与协同 。</w:t>
      </w:r>
    </w:p>
    <w:p w14:paraId="6A67FCDD">
      <w:pPr>
        <w:widowControl/>
        <w:snapToGrid w:val="0"/>
        <w:spacing w:line="440" w:lineRule="exact"/>
        <w:jc w:val="left"/>
        <w:rPr>
          <w:bCs/>
        </w:rPr>
      </w:pPr>
      <w:r>
        <w:rPr>
          <w:rFonts w:hint="eastAsia"/>
          <w:bCs/>
        </w:rPr>
        <w:t>建设区块链共性能力应用，包括上海市政务存证链接入适配、上海市政务签署链接入适配。</w:t>
      </w:r>
    </w:p>
    <w:p w14:paraId="5B9CD732">
      <w:pPr>
        <w:widowControl/>
        <w:snapToGrid w:val="0"/>
        <w:spacing w:line="440" w:lineRule="exact"/>
        <w:jc w:val="left"/>
        <w:rPr>
          <w:bCs/>
        </w:rPr>
      </w:pPr>
      <w:r>
        <w:rPr>
          <w:rFonts w:hint="eastAsia"/>
          <w:bCs/>
        </w:rPr>
        <w:t>建设财票链接入端适配，一是建设财票链接入端插件，包含票据安全与存储、票据查询与信息管理、票据开具与退付、电子缴款书管理模块；二是建设接入端状态监测探针，从链路、设备、应用、服务性能、终端状态上报和告警维度，全面监测接入端运行状态。</w:t>
      </w:r>
    </w:p>
    <w:p w14:paraId="61CE1DC4">
      <w:pPr>
        <w:widowControl/>
        <w:snapToGrid w:val="0"/>
        <w:spacing w:line="440" w:lineRule="exact"/>
        <w:jc w:val="left"/>
        <w:rPr>
          <w:bCs/>
        </w:rPr>
      </w:pPr>
      <w:r>
        <w:rPr>
          <w:rFonts w:hint="eastAsia"/>
          <w:bCs/>
        </w:rPr>
        <w:t>建设链上票据分析模块，包括历史票据查询、票据统计分析、风险预警监控、财票立体画像。</w:t>
      </w:r>
    </w:p>
    <w:p w14:paraId="6F0CAFAD">
      <w:pPr>
        <w:widowControl/>
        <w:snapToGrid w:val="0"/>
        <w:spacing w:line="440" w:lineRule="exact"/>
        <w:jc w:val="left"/>
        <w:rPr>
          <w:bCs/>
        </w:rPr>
      </w:pPr>
      <w:r>
        <w:rPr>
          <w:rFonts w:hint="eastAsia"/>
          <w:bCs/>
        </w:rPr>
        <w:t>建设财票链展示驾驶舱，包括链上数据订阅、多维度数据可视化展示和大屏数据汇聚。</w:t>
      </w:r>
    </w:p>
    <w:p w14:paraId="582B1E2C">
      <w:pPr>
        <w:widowControl/>
        <w:snapToGrid w:val="0"/>
        <w:spacing w:line="440" w:lineRule="exact"/>
        <w:jc w:val="left"/>
        <w:rPr>
          <w:bCs/>
        </w:rPr>
      </w:pPr>
      <w:r>
        <w:rPr>
          <w:rFonts w:hint="eastAsia"/>
          <w:bCs/>
        </w:rPr>
        <w:t>3、财票链智能合约建设</w:t>
      </w:r>
    </w:p>
    <w:p w14:paraId="35CA3BD2">
      <w:pPr>
        <w:widowControl/>
        <w:snapToGrid w:val="0"/>
        <w:spacing w:line="440" w:lineRule="exact"/>
        <w:jc w:val="left"/>
        <w:rPr>
          <w:bCs/>
        </w:rPr>
      </w:pPr>
      <w:r>
        <w:rPr>
          <w:rFonts w:hint="eastAsia"/>
          <w:bCs/>
        </w:rPr>
        <w:t>开展智能合约架构设计，并设计关键数据模型和执行逻辑。构建管理类合约模块、票据业务处理类合约模块、链上用票性能管理及配置等模块，打造链上可配置票据业务规则引擎，实现跨链票据互操作、链上逻辑分片，以及批量处理上链和聚合交易。</w:t>
      </w:r>
    </w:p>
    <w:p w14:paraId="23319244">
      <w:pPr>
        <w:pStyle w:val="3"/>
      </w:pPr>
      <w:r>
        <w:rPr>
          <w:rFonts w:hint="eastAsia"/>
        </w:rPr>
        <w:t>总体架构图</w:t>
      </w:r>
    </w:p>
    <w:p w14:paraId="0E5CF845">
      <w:pPr>
        <w:ind w:firstLine="0" w:firstLineChars="0"/>
      </w:pPr>
      <w:r>
        <w:rPr>
          <w:rFonts w:hint="eastAsia"/>
        </w:rPr>
        <w:drawing>
          <wp:inline distT="0" distB="0" distL="114300" distR="114300">
            <wp:extent cx="5274310" cy="2292350"/>
            <wp:effectExtent l="0" t="0" r="13970" b="889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1"/>
                    </pic:cNvPicPr>
                  </pic:nvPicPr>
                  <pic:blipFill>
                    <a:blip r:embed="rId10"/>
                    <a:stretch>
                      <a:fillRect/>
                    </a:stretch>
                  </pic:blipFill>
                  <pic:spPr>
                    <a:xfrm>
                      <a:off x="0" y="0"/>
                      <a:ext cx="5274310" cy="2292350"/>
                    </a:xfrm>
                    <a:prstGeom prst="rect">
                      <a:avLst/>
                    </a:prstGeom>
                  </pic:spPr>
                </pic:pic>
              </a:graphicData>
            </a:graphic>
          </wp:inline>
        </w:drawing>
      </w:r>
    </w:p>
    <w:p w14:paraId="5FBF76FB">
      <w:pPr>
        <w:pStyle w:val="3"/>
      </w:pPr>
      <w:r>
        <w:rPr>
          <w:rFonts w:hint="eastAsia"/>
        </w:rPr>
        <w:t>软件开发清单</w:t>
      </w:r>
    </w:p>
    <w:p w14:paraId="09A7124D">
      <w:r>
        <w:rPr>
          <w:rFonts w:hint="eastAsia"/>
        </w:rPr>
        <w:t>见附表一：软件开发清单</w:t>
      </w:r>
    </w:p>
    <w:p w14:paraId="2F9988CF">
      <w:pPr>
        <w:pStyle w:val="2"/>
      </w:pPr>
      <w:bookmarkStart w:id="17" w:name="_Toc63785503"/>
      <w:r>
        <w:rPr>
          <w:rFonts w:hint="eastAsia"/>
        </w:rPr>
        <w:t>电子政务云资源需求（仅针对上云项目）</w:t>
      </w:r>
    </w:p>
    <w:p w14:paraId="24923BF0">
      <w:pPr>
        <w:pStyle w:val="3"/>
      </w:pPr>
      <w:r>
        <w:rPr>
          <w:rFonts w:hint="eastAsia"/>
        </w:rPr>
        <w:t>主机资源需求</w:t>
      </w:r>
    </w:p>
    <w:p w14:paraId="2A8615DA">
      <w:r>
        <w:rPr>
          <w:rFonts w:hint="eastAsia"/>
        </w:rPr>
        <w:t>根据项目前期资源现状，本次建设根据估算向电子政务云申请21台虚拟机服务器资源CPU672核 、内存1344G、存储605.9T。</w:t>
      </w:r>
    </w:p>
    <w:tbl>
      <w:tblPr>
        <w:tblStyle w:val="35"/>
        <w:tblW w:w="5046" w:type="pct"/>
        <w:tblInd w:w="0" w:type="dxa"/>
        <w:tblLayout w:type="fixed"/>
        <w:tblCellMar>
          <w:top w:w="0" w:type="dxa"/>
          <w:left w:w="108" w:type="dxa"/>
          <w:bottom w:w="0" w:type="dxa"/>
          <w:right w:w="108" w:type="dxa"/>
        </w:tblCellMar>
      </w:tblPr>
      <w:tblGrid>
        <w:gridCol w:w="366"/>
        <w:gridCol w:w="1204"/>
        <w:gridCol w:w="1192"/>
        <w:gridCol w:w="2184"/>
        <w:gridCol w:w="897"/>
        <w:gridCol w:w="769"/>
        <w:gridCol w:w="1154"/>
        <w:gridCol w:w="841"/>
      </w:tblGrid>
      <w:tr w14:paraId="0629805E">
        <w:tblPrEx>
          <w:tblCellMar>
            <w:top w:w="0" w:type="dxa"/>
            <w:left w:w="108" w:type="dxa"/>
            <w:bottom w:w="0" w:type="dxa"/>
            <w:right w:w="108" w:type="dxa"/>
          </w:tblCellMar>
        </w:tblPrEx>
        <w:trPr>
          <w:trHeight w:val="540" w:hRule="atLeast"/>
        </w:trPr>
        <w:tc>
          <w:tcPr>
            <w:tcW w:w="212" w:type="pct"/>
            <w:tcBorders>
              <w:top w:val="single" w:color="auto" w:sz="4" w:space="0"/>
              <w:left w:val="single" w:color="auto" w:sz="4" w:space="0"/>
              <w:bottom w:val="single" w:color="auto" w:sz="4" w:space="0"/>
              <w:right w:val="single" w:color="auto" w:sz="4" w:space="0"/>
            </w:tcBorders>
            <w:vAlign w:val="center"/>
          </w:tcPr>
          <w:p w14:paraId="4ECD0BCA">
            <w:pPr>
              <w:widowControl/>
              <w:spacing w:line="240" w:lineRule="auto"/>
              <w:ind w:right="-50" w:rightChars="-21" w:firstLine="0" w:firstLineChars="0"/>
              <w:jc w:val="center"/>
              <w:rPr>
                <w:rFonts w:cs="宋体" w:asciiTheme="minorEastAsia" w:hAnsiTheme="minorEastAsia" w:eastAsiaTheme="minorEastAsia"/>
                <w:b/>
                <w:bCs/>
                <w:kern w:val="0"/>
                <w:sz w:val="21"/>
                <w:szCs w:val="21"/>
              </w:rPr>
            </w:pPr>
            <w:bookmarkStart w:id="18" w:name="_Hlk214548841"/>
            <w:r>
              <w:rPr>
                <w:rFonts w:hint="eastAsia" w:cs="宋体" w:asciiTheme="minorEastAsia" w:hAnsiTheme="minorEastAsia" w:eastAsiaTheme="minorEastAsia"/>
                <w:b/>
                <w:bCs/>
                <w:kern w:val="0"/>
                <w:sz w:val="21"/>
                <w:szCs w:val="21"/>
              </w:rPr>
              <w:t>序号</w:t>
            </w:r>
          </w:p>
        </w:tc>
        <w:tc>
          <w:tcPr>
            <w:tcW w:w="699" w:type="pct"/>
            <w:tcBorders>
              <w:top w:val="single" w:color="auto" w:sz="4" w:space="0"/>
              <w:bottom w:val="single" w:color="auto" w:sz="4" w:space="0"/>
              <w:right w:val="single" w:color="auto" w:sz="4" w:space="0"/>
            </w:tcBorders>
            <w:vAlign w:val="center"/>
          </w:tcPr>
          <w:p w14:paraId="1FE48577">
            <w:pPr>
              <w:widowControl/>
              <w:spacing w:line="240" w:lineRule="auto"/>
              <w:ind w:firstLine="0" w:firstLineChars="0"/>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网络区域</w:t>
            </w:r>
          </w:p>
        </w:tc>
        <w:tc>
          <w:tcPr>
            <w:tcW w:w="692" w:type="pct"/>
            <w:tcBorders>
              <w:top w:val="single" w:color="auto" w:sz="4" w:space="0"/>
              <w:left w:val="single" w:color="auto" w:sz="4" w:space="0"/>
              <w:bottom w:val="single" w:color="auto" w:sz="4" w:space="0"/>
              <w:right w:val="single" w:color="auto" w:sz="4" w:space="0"/>
            </w:tcBorders>
            <w:noWrap/>
            <w:vAlign w:val="center"/>
          </w:tcPr>
          <w:p w14:paraId="2A1F6668">
            <w:pPr>
              <w:widowControl/>
              <w:spacing w:line="240" w:lineRule="auto"/>
              <w:ind w:firstLine="0" w:firstLineChars="0"/>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资源类型</w:t>
            </w:r>
          </w:p>
        </w:tc>
        <w:tc>
          <w:tcPr>
            <w:tcW w:w="1269" w:type="pct"/>
            <w:tcBorders>
              <w:top w:val="single" w:color="auto" w:sz="4" w:space="0"/>
              <w:left w:val="nil"/>
              <w:bottom w:val="single" w:color="auto" w:sz="4" w:space="0"/>
              <w:right w:val="single" w:color="auto" w:sz="4" w:space="0"/>
            </w:tcBorders>
            <w:noWrap/>
            <w:vAlign w:val="center"/>
          </w:tcPr>
          <w:p w14:paraId="5D97FC5F">
            <w:pPr>
              <w:widowControl/>
              <w:spacing w:line="240" w:lineRule="auto"/>
              <w:ind w:firstLine="0" w:firstLineChars="0"/>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资源说明</w:t>
            </w:r>
          </w:p>
        </w:tc>
        <w:tc>
          <w:tcPr>
            <w:tcW w:w="521" w:type="pct"/>
            <w:tcBorders>
              <w:top w:val="single" w:color="auto" w:sz="4" w:space="0"/>
              <w:left w:val="nil"/>
              <w:bottom w:val="single" w:color="auto" w:sz="4" w:space="0"/>
              <w:right w:val="single" w:color="auto" w:sz="4" w:space="0"/>
            </w:tcBorders>
            <w:vAlign w:val="center"/>
          </w:tcPr>
          <w:p w14:paraId="4F1F1383">
            <w:pPr>
              <w:widowControl/>
              <w:spacing w:line="240" w:lineRule="auto"/>
              <w:ind w:firstLine="0" w:firstLineChars="0"/>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资源核心（核）</w:t>
            </w:r>
          </w:p>
        </w:tc>
        <w:tc>
          <w:tcPr>
            <w:tcW w:w="447" w:type="pct"/>
            <w:tcBorders>
              <w:top w:val="single" w:color="auto" w:sz="4" w:space="0"/>
              <w:left w:val="nil"/>
              <w:bottom w:val="single" w:color="auto" w:sz="4" w:space="0"/>
              <w:right w:val="single" w:color="auto" w:sz="4" w:space="0"/>
            </w:tcBorders>
            <w:noWrap/>
            <w:vAlign w:val="center"/>
          </w:tcPr>
          <w:p w14:paraId="3D53D2BD">
            <w:pPr>
              <w:widowControl/>
              <w:spacing w:line="240" w:lineRule="auto"/>
              <w:ind w:firstLine="0" w:firstLineChars="0"/>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资源内存(GB)</w:t>
            </w:r>
          </w:p>
        </w:tc>
        <w:tc>
          <w:tcPr>
            <w:tcW w:w="670" w:type="pct"/>
            <w:tcBorders>
              <w:top w:val="single" w:color="auto" w:sz="4" w:space="0"/>
              <w:left w:val="nil"/>
              <w:bottom w:val="single" w:color="auto" w:sz="4" w:space="0"/>
              <w:right w:val="single" w:color="auto" w:sz="4" w:space="0"/>
            </w:tcBorders>
            <w:noWrap/>
            <w:vAlign w:val="center"/>
          </w:tcPr>
          <w:p w14:paraId="4E0B1D01">
            <w:pPr>
              <w:widowControl/>
              <w:spacing w:line="240" w:lineRule="auto"/>
              <w:ind w:firstLine="0" w:firstLineChars="0"/>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资源存储(GB)</w:t>
            </w:r>
          </w:p>
        </w:tc>
        <w:tc>
          <w:tcPr>
            <w:tcW w:w="489" w:type="pct"/>
            <w:tcBorders>
              <w:top w:val="single" w:color="auto" w:sz="4" w:space="0"/>
              <w:left w:val="nil"/>
              <w:bottom w:val="single" w:color="auto" w:sz="4" w:space="0"/>
              <w:right w:val="single" w:color="auto" w:sz="4" w:space="0"/>
            </w:tcBorders>
            <w:noWrap/>
            <w:vAlign w:val="center"/>
          </w:tcPr>
          <w:p w14:paraId="49B785B0">
            <w:pPr>
              <w:widowControl/>
              <w:spacing w:line="240" w:lineRule="auto"/>
              <w:ind w:firstLine="0" w:firstLineChars="0"/>
              <w:jc w:val="center"/>
              <w:rPr>
                <w:rFonts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资源数量(台)</w:t>
            </w:r>
          </w:p>
        </w:tc>
      </w:tr>
      <w:tr w14:paraId="5DCB5CD6">
        <w:tblPrEx>
          <w:tblCellMar>
            <w:top w:w="0" w:type="dxa"/>
            <w:left w:w="108" w:type="dxa"/>
            <w:bottom w:w="0" w:type="dxa"/>
            <w:right w:w="108" w:type="dxa"/>
          </w:tblCellMar>
        </w:tblPrEx>
        <w:trPr>
          <w:trHeight w:val="560" w:hRule="atLeast"/>
        </w:trPr>
        <w:tc>
          <w:tcPr>
            <w:tcW w:w="212" w:type="pct"/>
            <w:tcBorders>
              <w:top w:val="nil"/>
              <w:left w:val="single" w:color="auto" w:sz="4" w:space="0"/>
              <w:bottom w:val="single" w:color="auto" w:sz="4" w:space="0"/>
              <w:right w:val="single" w:color="auto" w:sz="4" w:space="0"/>
            </w:tcBorders>
            <w:vAlign w:val="center"/>
          </w:tcPr>
          <w:p w14:paraId="341C7EF9">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w:t>
            </w:r>
          </w:p>
        </w:tc>
        <w:tc>
          <w:tcPr>
            <w:tcW w:w="699" w:type="pct"/>
            <w:tcBorders>
              <w:top w:val="single" w:color="auto" w:sz="4" w:space="0"/>
              <w:bottom w:val="single" w:color="auto" w:sz="4" w:space="0"/>
              <w:right w:val="single" w:color="auto" w:sz="4" w:space="0"/>
            </w:tcBorders>
            <w:vAlign w:val="center"/>
          </w:tcPr>
          <w:p w14:paraId="65AD51F7">
            <w:pPr>
              <w:widowControl/>
              <w:spacing w:line="240" w:lineRule="auto"/>
              <w:ind w:firstLine="0" w:firstLineChars="0"/>
              <w:jc w:val="center"/>
              <w:rPr>
                <w:rFonts w:cs="宋体" w:asciiTheme="minorEastAsia" w:hAnsiTheme="minorEastAsia" w:eastAsiaTheme="minorEastAsia"/>
                <w:kern w:val="0"/>
                <w:sz w:val="21"/>
                <w:szCs w:val="21"/>
              </w:rPr>
            </w:pPr>
            <w:r>
              <w:rPr>
                <w:rFonts w:hint="eastAsia" w:asciiTheme="minorEastAsia" w:hAnsiTheme="minorEastAsia" w:eastAsiaTheme="minorEastAsia"/>
                <w:sz w:val="21"/>
                <w:szCs w:val="21"/>
              </w:rPr>
              <w:t>政务外网</w:t>
            </w:r>
          </w:p>
        </w:tc>
        <w:tc>
          <w:tcPr>
            <w:tcW w:w="692" w:type="pct"/>
            <w:tcBorders>
              <w:top w:val="single" w:color="000000" w:sz="4" w:space="0"/>
              <w:left w:val="single" w:color="auto" w:sz="4" w:space="0"/>
              <w:bottom w:val="single" w:color="000000" w:sz="4" w:space="0"/>
              <w:right w:val="single" w:color="000000" w:sz="4" w:space="0"/>
            </w:tcBorders>
            <w:vAlign w:val="center"/>
          </w:tcPr>
          <w:p w14:paraId="141835AB">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14:paraId="6E020F30">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应用服务器</w:t>
            </w:r>
          </w:p>
        </w:tc>
        <w:tc>
          <w:tcPr>
            <w:tcW w:w="521" w:type="pct"/>
            <w:tcBorders>
              <w:top w:val="single" w:color="000000" w:sz="4" w:space="0"/>
              <w:left w:val="single" w:color="000000" w:sz="4" w:space="0"/>
              <w:bottom w:val="single" w:color="000000" w:sz="4" w:space="0"/>
              <w:right w:val="single" w:color="000000" w:sz="4" w:space="0"/>
            </w:tcBorders>
            <w:vAlign w:val="center"/>
          </w:tcPr>
          <w:p w14:paraId="62E9518A">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32</w:t>
            </w:r>
          </w:p>
        </w:tc>
        <w:tc>
          <w:tcPr>
            <w:tcW w:w="447" w:type="pct"/>
            <w:tcBorders>
              <w:top w:val="single" w:color="000000" w:sz="4" w:space="0"/>
              <w:left w:val="single" w:color="000000" w:sz="4" w:space="0"/>
              <w:bottom w:val="single" w:color="000000" w:sz="4" w:space="0"/>
              <w:right w:val="single" w:color="000000" w:sz="4" w:space="0"/>
            </w:tcBorders>
            <w:vAlign w:val="center"/>
          </w:tcPr>
          <w:p w14:paraId="7DD6D1D9">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64</w:t>
            </w:r>
          </w:p>
        </w:tc>
        <w:tc>
          <w:tcPr>
            <w:tcW w:w="670" w:type="pct"/>
            <w:tcBorders>
              <w:top w:val="single" w:color="000000" w:sz="4" w:space="0"/>
              <w:left w:val="single" w:color="000000" w:sz="4" w:space="0"/>
              <w:bottom w:val="single" w:color="000000" w:sz="4" w:space="0"/>
              <w:right w:val="single" w:color="000000" w:sz="4" w:space="0"/>
            </w:tcBorders>
            <w:vAlign w:val="center"/>
          </w:tcPr>
          <w:p w14:paraId="379D38AC">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500</w:t>
            </w:r>
          </w:p>
        </w:tc>
        <w:tc>
          <w:tcPr>
            <w:tcW w:w="489" w:type="pct"/>
            <w:tcBorders>
              <w:top w:val="single" w:color="000000" w:sz="4" w:space="0"/>
              <w:left w:val="single" w:color="000000" w:sz="4" w:space="0"/>
              <w:bottom w:val="single" w:color="000000" w:sz="4" w:space="0"/>
              <w:right w:val="single" w:color="000000" w:sz="4" w:space="0"/>
            </w:tcBorders>
            <w:vAlign w:val="center"/>
          </w:tcPr>
          <w:p w14:paraId="45C9292B">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p>
        </w:tc>
      </w:tr>
      <w:tr w14:paraId="1E94D014">
        <w:tblPrEx>
          <w:tblCellMar>
            <w:top w:w="0" w:type="dxa"/>
            <w:left w:w="108" w:type="dxa"/>
            <w:bottom w:w="0" w:type="dxa"/>
            <w:right w:w="108" w:type="dxa"/>
          </w:tblCellMar>
        </w:tblPrEx>
        <w:trPr>
          <w:trHeight w:val="560" w:hRule="atLeast"/>
        </w:trPr>
        <w:tc>
          <w:tcPr>
            <w:tcW w:w="212" w:type="pct"/>
            <w:tcBorders>
              <w:top w:val="nil"/>
              <w:left w:val="single" w:color="auto" w:sz="4" w:space="0"/>
              <w:bottom w:val="single" w:color="auto" w:sz="4" w:space="0"/>
              <w:right w:val="single" w:color="auto" w:sz="4" w:space="0"/>
            </w:tcBorders>
            <w:vAlign w:val="center"/>
          </w:tcPr>
          <w:p w14:paraId="04EFBCFE">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699" w:type="pct"/>
            <w:tcBorders>
              <w:top w:val="single" w:color="auto" w:sz="4" w:space="0"/>
              <w:bottom w:val="single" w:color="auto" w:sz="4" w:space="0"/>
              <w:right w:val="single" w:color="auto" w:sz="4" w:space="0"/>
            </w:tcBorders>
            <w:vAlign w:val="center"/>
          </w:tcPr>
          <w:p w14:paraId="25A40C97">
            <w:pPr>
              <w:widowControl/>
              <w:spacing w:line="240" w:lineRule="auto"/>
              <w:ind w:firstLine="0" w:firstLineChars="0"/>
              <w:jc w:val="center"/>
              <w:rPr>
                <w:rFonts w:cs="宋体" w:asciiTheme="minorEastAsia" w:hAnsiTheme="minorEastAsia" w:eastAsiaTheme="minorEastAsia"/>
                <w:kern w:val="0"/>
                <w:sz w:val="21"/>
                <w:szCs w:val="21"/>
              </w:rPr>
            </w:pPr>
            <w:r>
              <w:rPr>
                <w:rFonts w:hint="eastAsia" w:asciiTheme="minorEastAsia" w:hAnsiTheme="minorEastAsia" w:eastAsiaTheme="minorEastAsia"/>
                <w:sz w:val="21"/>
                <w:szCs w:val="21"/>
              </w:rPr>
              <w:t>政务外网</w:t>
            </w:r>
          </w:p>
        </w:tc>
        <w:tc>
          <w:tcPr>
            <w:tcW w:w="692" w:type="pct"/>
            <w:tcBorders>
              <w:top w:val="single" w:color="000000" w:sz="4" w:space="0"/>
              <w:left w:val="single" w:color="auto" w:sz="4" w:space="0"/>
              <w:bottom w:val="single" w:color="000000" w:sz="4" w:space="0"/>
              <w:right w:val="single" w:color="000000" w:sz="4" w:space="0"/>
            </w:tcBorders>
            <w:vAlign w:val="center"/>
          </w:tcPr>
          <w:p w14:paraId="5BF24AAE">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14:paraId="51B61BA4">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数据库服务器</w:t>
            </w:r>
          </w:p>
        </w:tc>
        <w:tc>
          <w:tcPr>
            <w:tcW w:w="521" w:type="pct"/>
            <w:tcBorders>
              <w:top w:val="single" w:color="000000" w:sz="4" w:space="0"/>
              <w:left w:val="single" w:color="000000" w:sz="4" w:space="0"/>
              <w:bottom w:val="single" w:color="000000" w:sz="4" w:space="0"/>
              <w:right w:val="single" w:color="000000" w:sz="4" w:space="0"/>
            </w:tcBorders>
            <w:vAlign w:val="center"/>
          </w:tcPr>
          <w:p w14:paraId="10B85EE9">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64</w:t>
            </w:r>
          </w:p>
        </w:tc>
        <w:tc>
          <w:tcPr>
            <w:tcW w:w="447" w:type="pct"/>
            <w:tcBorders>
              <w:top w:val="single" w:color="000000" w:sz="4" w:space="0"/>
              <w:left w:val="single" w:color="000000" w:sz="4" w:space="0"/>
              <w:bottom w:val="single" w:color="000000" w:sz="4" w:space="0"/>
              <w:right w:val="single" w:color="000000" w:sz="4" w:space="0"/>
            </w:tcBorders>
            <w:vAlign w:val="center"/>
          </w:tcPr>
          <w:p w14:paraId="0B140E9C">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128</w:t>
            </w:r>
          </w:p>
        </w:tc>
        <w:tc>
          <w:tcPr>
            <w:tcW w:w="670" w:type="pct"/>
            <w:tcBorders>
              <w:top w:val="single" w:color="000000" w:sz="4" w:space="0"/>
              <w:left w:val="single" w:color="000000" w:sz="4" w:space="0"/>
              <w:bottom w:val="single" w:color="000000" w:sz="4" w:space="0"/>
              <w:right w:val="single" w:color="000000" w:sz="4" w:space="0"/>
            </w:tcBorders>
            <w:vAlign w:val="center"/>
          </w:tcPr>
          <w:p w14:paraId="64F01A81">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100000</w:t>
            </w:r>
          </w:p>
        </w:tc>
        <w:tc>
          <w:tcPr>
            <w:tcW w:w="489" w:type="pct"/>
            <w:tcBorders>
              <w:top w:val="single" w:color="000000" w:sz="4" w:space="0"/>
              <w:left w:val="single" w:color="000000" w:sz="4" w:space="0"/>
              <w:bottom w:val="single" w:color="000000" w:sz="4" w:space="0"/>
              <w:right w:val="single" w:color="000000" w:sz="4" w:space="0"/>
            </w:tcBorders>
            <w:vAlign w:val="center"/>
          </w:tcPr>
          <w:p w14:paraId="55BB7B17">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6</w:t>
            </w:r>
          </w:p>
        </w:tc>
      </w:tr>
      <w:tr w14:paraId="4A2C71E3">
        <w:tblPrEx>
          <w:tblCellMar>
            <w:top w:w="0" w:type="dxa"/>
            <w:left w:w="108" w:type="dxa"/>
            <w:bottom w:w="0" w:type="dxa"/>
            <w:right w:w="108" w:type="dxa"/>
          </w:tblCellMar>
        </w:tblPrEx>
        <w:trPr>
          <w:trHeight w:val="560" w:hRule="atLeast"/>
        </w:trPr>
        <w:tc>
          <w:tcPr>
            <w:tcW w:w="212" w:type="pct"/>
            <w:tcBorders>
              <w:top w:val="nil"/>
              <w:left w:val="single" w:color="auto" w:sz="4" w:space="0"/>
              <w:bottom w:val="single" w:color="auto" w:sz="4" w:space="0"/>
              <w:right w:val="single" w:color="auto" w:sz="4" w:space="0"/>
            </w:tcBorders>
            <w:vAlign w:val="center"/>
          </w:tcPr>
          <w:p w14:paraId="401453CA">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w:t>
            </w:r>
          </w:p>
        </w:tc>
        <w:tc>
          <w:tcPr>
            <w:tcW w:w="699" w:type="pct"/>
            <w:tcBorders>
              <w:top w:val="single" w:color="auto" w:sz="4" w:space="0"/>
              <w:bottom w:val="single" w:color="auto" w:sz="4" w:space="0"/>
              <w:right w:val="single" w:color="auto" w:sz="4" w:space="0"/>
            </w:tcBorders>
            <w:vAlign w:val="center"/>
          </w:tcPr>
          <w:p w14:paraId="5ED21C22">
            <w:pPr>
              <w:widowControl/>
              <w:spacing w:line="240" w:lineRule="auto"/>
              <w:ind w:firstLine="0" w:firstLineChars="0"/>
              <w:jc w:val="center"/>
              <w:rPr>
                <w:rFonts w:cs="宋体" w:asciiTheme="minorEastAsia" w:hAnsiTheme="minorEastAsia" w:eastAsiaTheme="minorEastAsia"/>
                <w:kern w:val="0"/>
                <w:sz w:val="21"/>
                <w:szCs w:val="21"/>
              </w:rPr>
            </w:pPr>
            <w:r>
              <w:rPr>
                <w:rFonts w:hint="eastAsia" w:asciiTheme="minorEastAsia" w:hAnsiTheme="minorEastAsia" w:eastAsiaTheme="minorEastAsia"/>
                <w:sz w:val="21"/>
                <w:szCs w:val="21"/>
              </w:rPr>
              <w:t>政务外网</w:t>
            </w:r>
          </w:p>
        </w:tc>
        <w:tc>
          <w:tcPr>
            <w:tcW w:w="692" w:type="pct"/>
            <w:tcBorders>
              <w:top w:val="single" w:color="000000" w:sz="4" w:space="0"/>
              <w:left w:val="single" w:color="auto" w:sz="4" w:space="0"/>
              <w:bottom w:val="single" w:color="000000" w:sz="4" w:space="0"/>
              <w:right w:val="single" w:color="000000" w:sz="4" w:space="0"/>
            </w:tcBorders>
            <w:vAlign w:val="center"/>
          </w:tcPr>
          <w:p w14:paraId="6D5A078A">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14:paraId="6F024037">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缓存服务器</w:t>
            </w:r>
          </w:p>
        </w:tc>
        <w:tc>
          <w:tcPr>
            <w:tcW w:w="521" w:type="pct"/>
            <w:tcBorders>
              <w:top w:val="single" w:color="000000" w:sz="4" w:space="0"/>
              <w:left w:val="single" w:color="000000" w:sz="4" w:space="0"/>
              <w:bottom w:val="single" w:color="000000" w:sz="4" w:space="0"/>
              <w:right w:val="single" w:color="000000" w:sz="4" w:space="0"/>
            </w:tcBorders>
            <w:vAlign w:val="center"/>
          </w:tcPr>
          <w:p w14:paraId="5244CA48">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32</w:t>
            </w:r>
          </w:p>
        </w:tc>
        <w:tc>
          <w:tcPr>
            <w:tcW w:w="447" w:type="pct"/>
            <w:tcBorders>
              <w:top w:val="single" w:color="000000" w:sz="4" w:space="0"/>
              <w:left w:val="single" w:color="000000" w:sz="4" w:space="0"/>
              <w:bottom w:val="single" w:color="000000" w:sz="4" w:space="0"/>
              <w:right w:val="single" w:color="000000" w:sz="4" w:space="0"/>
            </w:tcBorders>
            <w:vAlign w:val="center"/>
          </w:tcPr>
          <w:p w14:paraId="3B251F68">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64</w:t>
            </w:r>
          </w:p>
        </w:tc>
        <w:tc>
          <w:tcPr>
            <w:tcW w:w="670" w:type="pct"/>
            <w:tcBorders>
              <w:top w:val="single" w:color="000000" w:sz="4" w:space="0"/>
              <w:left w:val="single" w:color="000000" w:sz="4" w:space="0"/>
              <w:bottom w:val="single" w:color="000000" w:sz="4" w:space="0"/>
              <w:right w:val="single" w:color="000000" w:sz="4" w:space="0"/>
            </w:tcBorders>
            <w:vAlign w:val="center"/>
          </w:tcPr>
          <w:p w14:paraId="40DD4195">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500</w:t>
            </w:r>
          </w:p>
        </w:tc>
        <w:tc>
          <w:tcPr>
            <w:tcW w:w="489" w:type="pct"/>
            <w:tcBorders>
              <w:top w:val="single" w:color="000000" w:sz="4" w:space="0"/>
              <w:left w:val="single" w:color="000000" w:sz="4" w:space="0"/>
              <w:bottom w:val="single" w:color="000000" w:sz="4" w:space="0"/>
              <w:right w:val="single" w:color="000000" w:sz="4" w:space="0"/>
            </w:tcBorders>
            <w:vAlign w:val="center"/>
          </w:tcPr>
          <w:p w14:paraId="743E99C5">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w:t>
            </w:r>
          </w:p>
        </w:tc>
      </w:tr>
      <w:tr w14:paraId="073F0F86">
        <w:tblPrEx>
          <w:tblCellMar>
            <w:top w:w="0" w:type="dxa"/>
            <w:left w:w="108" w:type="dxa"/>
            <w:bottom w:w="0" w:type="dxa"/>
            <w:right w:w="108" w:type="dxa"/>
          </w:tblCellMar>
        </w:tblPrEx>
        <w:trPr>
          <w:trHeight w:val="560" w:hRule="atLeast"/>
        </w:trPr>
        <w:tc>
          <w:tcPr>
            <w:tcW w:w="212" w:type="pct"/>
            <w:tcBorders>
              <w:top w:val="single" w:color="auto" w:sz="4" w:space="0"/>
              <w:left w:val="single" w:color="auto" w:sz="4" w:space="0"/>
              <w:bottom w:val="single" w:color="auto" w:sz="4" w:space="0"/>
              <w:right w:val="single" w:color="auto" w:sz="4" w:space="0"/>
            </w:tcBorders>
            <w:vAlign w:val="center"/>
          </w:tcPr>
          <w:p w14:paraId="5C3EBE9A">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p>
        </w:tc>
        <w:tc>
          <w:tcPr>
            <w:tcW w:w="699" w:type="pct"/>
            <w:tcBorders>
              <w:top w:val="single" w:color="auto" w:sz="4" w:space="0"/>
              <w:bottom w:val="single" w:color="auto" w:sz="4" w:space="0"/>
              <w:right w:val="single" w:color="auto" w:sz="4" w:space="0"/>
            </w:tcBorders>
            <w:vAlign w:val="center"/>
          </w:tcPr>
          <w:p w14:paraId="1E70F75D">
            <w:pPr>
              <w:widowControl/>
              <w:spacing w:line="240" w:lineRule="auto"/>
              <w:ind w:firstLine="0" w:firstLineChars="0"/>
              <w:jc w:val="center"/>
              <w:rPr>
                <w:rFonts w:cs="宋体" w:asciiTheme="minorEastAsia" w:hAnsiTheme="minorEastAsia" w:eastAsiaTheme="minorEastAsia"/>
                <w:kern w:val="0"/>
                <w:sz w:val="21"/>
                <w:szCs w:val="21"/>
              </w:rPr>
            </w:pPr>
            <w:r>
              <w:rPr>
                <w:rFonts w:hint="eastAsia" w:asciiTheme="minorEastAsia" w:hAnsiTheme="minorEastAsia" w:eastAsiaTheme="minorEastAsia"/>
                <w:sz w:val="21"/>
                <w:szCs w:val="21"/>
              </w:rPr>
              <w:t>政务外网</w:t>
            </w:r>
          </w:p>
        </w:tc>
        <w:tc>
          <w:tcPr>
            <w:tcW w:w="692" w:type="pct"/>
            <w:tcBorders>
              <w:top w:val="single" w:color="000000" w:sz="4" w:space="0"/>
              <w:left w:val="single" w:color="auto" w:sz="4" w:space="0"/>
              <w:bottom w:val="single" w:color="000000" w:sz="4" w:space="0"/>
              <w:right w:val="single" w:color="000000" w:sz="4" w:space="0"/>
            </w:tcBorders>
            <w:vAlign w:val="center"/>
          </w:tcPr>
          <w:p w14:paraId="6C38E9DF">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14:paraId="5F0C2840">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日志服务器</w:t>
            </w:r>
          </w:p>
        </w:tc>
        <w:tc>
          <w:tcPr>
            <w:tcW w:w="521" w:type="pct"/>
            <w:tcBorders>
              <w:top w:val="single" w:color="000000" w:sz="4" w:space="0"/>
              <w:left w:val="single" w:color="000000" w:sz="4" w:space="0"/>
              <w:bottom w:val="single" w:color="000000" w:sz="4" w:space="0"/>
              <w:right w:val="single" w:color="000000" w:sz="4" w:space="0"/>
            </w:tcBorders>
            <w:vAlign w:val="center"/>
          </w:tcPr>
          <w:p w14:paraId="7B0A6555">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8</w:t>
            </w:r>
          </w:p>
        </w:tc>
        <w:tc>
          <w:tcPr>
            <w:tcW w:w="447" w:type="pct"/>
            <w:tcBorders>
              <w:top w:val="single" w:color="000000" w:sz="4" w:space="0"/>
              <w:left w:val="single" w:color="000000" w:sz="4" w:space="0"/>
              <w:bottom w:val="single" w:color="000000" w:sz="4" w:space="0"/>
              <w:right w:val="single" w:color="000000" w:sz="4" w:space="0"/>
            </w:tcBorders>
            <w:vAlign w:val="center"/>
          </w:tcPr>
          <w:p w14:paraId="750F0773">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16</w:t>
            </w:r>
          </w:p>
        </w:tc>
        <w:tc>
          <w:tcPr>
            <w:tcW w:w="670" w:type="pct"/>
            <w:tcBorders>
              <w:top w:val="single" w:color="000000" w:sz="4" w:space="0"/>
              <w:left w:val="single" w:color="000000" w:sz="4" w:space="0"/>
              <w:bottom w:val="single" w:color="000000" w:sz="4" w:space="0"/>
              <w:right w:val="single" w:color="000000" w:sz="4" w:space="0"/>
            </w:tcBorders>
            <w:vAlign w:val="center"/>
          </w:tcPr>
          <w:p w14:paraId="710F87FD">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500</w:t>
            </w:r>
          </w:p>
        </w:tc>
        <w:tc>
          <w:tcPr>
            <w:tcW w:w="489" w:type="pct"/>
            <w:tcBorders>
              <w:top w:val="single" w:color="000000" w:sz="4" w:space="0"/>
              <w:left w:val="single" w:color="000000" w:sz="4" w:space="0"/>
              <w:bottom w:val="single" w:color="000000" w:sz="4" w:space="0"/>
              <w:right w:val="single" w:color="000000" w:sz="4" w:space="0"/>
            </w:tcBorders>
            <w:vAlign w:val="center"/>
          </w:tcPr>
          <w:p w14:paraId="2F429F4C">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r>
      <w:tr w14:paraId="31B42556">
        <w:tblPrEx>
          <w:tblCellMar>
            <w:top w:w="0" w:type="dxa"/>
            <w:left w:w="108" w:type="dxa"/>
            <w:bottom w:w="0" w:type="dxa"/>
            <w:right w:w="108" w:type="dxa"/>
          </w:tblCellMar>
        </w:tblPrEx>
        <w:trPr>
          <w:trHeight w:val="560" w:hRule="atLeast"/>
        </w:trPr>
        <w:tc>
          <w:tcPr>
            <w:tcW w:w="212" w:type="pct"/>
            <w:tcBorders>
              <w:top w:val="nil"/>
              <w:left w:val="single" w:color="auto" w:sz="4" w:space="0"/>
              <w:bottom w:val="single" w:color="auto" w:sz="4" w:space="0"/>
              <w:right w:val="single" w:color="auto" w:sz="4" w:space="0"/>
            </w:tcBorders>
            <w:vAlign w:val="center"/>
          </w:tcPr>
          <w:p w14:paraId="67DD0824">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w:t>
            </w:r>
          </w:p>
        </w:tc>
        <w:tc>
          <w:tcPr>
            <w:tcW w:w="699" w:type="pct"/>
            <w:tcBorders>
              <w:top w:val="single" w:color="auto" w:sz="4" w:space="0"/>
              <w:bottom w:val="single" w:color="auto" w:sz="4" w:space="0"/>
              <w:right w:val="single" w:color="auto" w:sz="4" w:space="0"/>
            </w:tcBorders>
            <w:vAlign w:val="center"/>
          </w:tcPr>
          <w:p w14:paraId="2EB43CE2">
            <w:pPr>
              <w:widowControl/>
              <w:spacing w:line="240" w:lineRule="auto"/>
              <w:ind w:firstLine="0" w:firstLineChars="0"/>
              <w:jc w:val="center"/>
              <w:rPr>
                <w:rFonts w:cs="宋体" w:asciiTheme="minorEastAsia" w:hAnsiTheme="minorEastAsia" w:eastAsiaTheme="minorEastAsia"/>
                <w:kern w:val="0"/>
                <w:sz w:val="21"/>
                <w:szCs w:val="21"/>
              </w:rPr>
            </w:pPr>
            <w:r>
              <w:rPr>
                <w:rFonts w:hint="eastAsia" w:asciiTheme="minorEastAsia" w:hAnsiTheme="minorEastAsia" w:eastAsiaTheme="minorEastAsia"/>
                <w:sz w:val="21"/>
                <w:szCs w:val="21"/>
              </w:rPr>
              <w:t>互联网</w:t>
            </w:r>
          </w:p>
        </w:tc>
        <w:tc>
          <w:tcPr>
            <w:tcW w:w="692" w:type="pct"/>
            <w:tcBorders>
              <w:top w:val="single" w:color="000000" w:sz="4" w:space="0"/>
              <w:left w:val="single" w:color="auto" w:sz="4" w:space="0"/>
              <w:bottom w:val="single" w:color="000000" w:sz="4" w:space="0"/>
              <w:right w:val="single" w:color="000000" w:sz="4" w:space="0"/>
            </w:tcBorders>
            <w:vAlign w:val="center"/>
          </w:tcPr>
          <w:p w14:paraId="074F64B6">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14:paraId="40E912AD">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跳板服务器</w:t>
            </w:r>
          </w:p>
        </w:tc>
        <w:tc>
          <w:tcPr>
            <w:tcW w:w="521" w:type="pct"/>
            <w:tcBorders>
              <w:top w:val="single" w:color="000000" w:sz="4" w:space="0"/>
              <w:left w:val="single" w:color="000000" w:sz="4" w:space="0"/>
              <w:bottom w:val="single" w:color="000000" w:sz="4" w:space="0"/>
              <w:right w:val="single" w:color="000000" w:sz="4" w:space="0"/>
            </w:tcBorders>
            <w:vAlign w:val="center"/>
          </w:tcPr>
          <w:p w14:paraId="0B3C6A28">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16</w:t>
            </w:r>
          </w:p>
        </w:tc>
        <w:tc>
          <w:tcPr>
            <w:tcW w:w="447" w:type="pct"/>
            <w:tcBorders>
              <w:top w:val="single" w:color="000000" w:sz="4" w:space="0"/>
              <w:left w:val="single" w:color="000000" w:sz="4" w:space="0"/>
              <w:bottom w:val="single" w:color="000000" w:sz="4" w:space="0"/>
              <w:right w:val="single" w:color="000000" w:sz="4" w:space="0"/>
            </w:tcBorders>
            <w:vAlign w:val="center"/>
          </w:tcPr>
          <w:p w14:paraId="391B2255">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32</w:t>
            </w:r>
          </w:p>
        </w:tc>
        <w:tc>
          <w:tcPr>
            <w:tcW w:w="670" w:type="pct"/>
            <w:tcBorders>
              <w:top w:val="single" w:color="000000" w:sz="4" w:space="0"/>
              <w:left w:val="single" w:color="000000" w:sz="4" w:space="0"/>
              <w:bottom w:val="single" w:color="000000" w:sz="4" w:space="0"/>
              <w:right w:val="single" w:color="000000" w:sz="4" w:space="0"/>
            </w:tcBorders>
            <w:vAlign w:val="center"/>
          </w:tcPr>
          <w:p w14:paraId="7314CF24">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500</w:t>
            </w:r>
          </w:p>
        </w:tc>
        <w:tc>
          <w:tcPr>
            <w:tcW w:w="489" w:type="pct"/>
            <w:tcBorders>
              <w:top w:val="single" w:color="000000" w:sz="4" w:space="0"/>
              <w:left w:val="single" w:color="000000" w:sz="4" w:space="0"/>
              <w:bottom w:val="single" w:color="000000" w:sz="4" w:space="0"/>
              <w:right w:val="single" w:color="000000" w:sz="4" w:space="0"/>
            </w:tcBorders>
            <w:vAlign w:val="center"/>
          </w:tcPr>
          <w:p w14:paraId="54D2DFF2">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r>
      <w:tr w14:paraId="1EB53100">
        <w:tblPrEx>
          <w:tblCellMar>
            <w:top w:w="0" w:type="dxa"/>
            <w:left w:w="108" w:type="dxa"/>
            <w:bottom w:w="0" w:type="dxa"/>
            <w:right w:w="108" w:type="dxa"/>
          </w:tblCellMar>
        </w:tblPrEx>
        <w:trPr>
          <w:trHeight w:val="560" w:hRule="atLeast"/>
        </w:trPr>
        <w:tc>
          <w:tcPr>
            <w:tcW w:w="212" w:type="pct"/>
            <w:tcBorders>
              <w:top w:val="nil"/>
              <w:left w:val="single" w:color="auto" w:sz="4" w:space="0"/>
              <w:bottom w:val="single" w:color="auto" w:sz="4" w:space="0"/>
              <w:right w:val="single" w:color="auto" w:sz="4" w:space="0"/>
            </w:tcBorders>
            <w:vAlign w:val="center"/>
          </w:tcPr>
          <w:p w14:paraId="100E94AE">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6</w:t>
            </w:r>
          </w:p>
        </w:tc>
        <w:tc>
          <w:tcPr>
            <w:tcW w:w="699" w:type="pct"/>
            <w:tcBorders>
              <w:top w:val="single" w:color="auto" w:sz="4" w:space="0"/>
              <w:bottom w:val="single" w:color="auto" w:sz="4" w:space="0"/>
              <w:right w:val="single" w:color="auto" w:sz="4" w:space="0"/>
            </w:tcBorders>
            <w:vAlign w:val="center"/>
          </w:tcPr>
          <w:p w14:paraId="40EED8A1">
            <w:pPr>
              <w:widowControl/>
              <w:spacing w:line="240" w:lineRule="auto"/>
              <w:ind w:firstLine="0" w:firstLineChars="0"/>
              <w:jc w:val="center"/>
              <w:rPr>
                <w:rFonts w:cs="宋体" w:asciiTheme="minorEastAsia" w:hAnsiTheme="minorEastAsia" w:eastAsiaTheme="minorEastAsia"/>
                <w:kern w:val="0"/>
                <w:sz w:val="21"/>
                <w:szCs w:val="21"/>
              </w:rPr>
            </w:pPr>
            <w:r>
              <w:rPr>
                <w:rFonts w:hint="eastAsia" w:asciiTheme="minorEastAsia" w:hAnsiTheme="minorEastAsia" w:eastAsiaTheme="minorEastAsia"/>
                <w:sz w:val="21"/>
                <w:szCs w:val="21"/>
              </w:rPr>
              <w:t>互联网</w:t>
            </w:r>
          </w:p>
        </w:tc>
        <w:tc>
          <w:tcPr>
            <w:tcW w:w="692" w:type="pct"/>
            <w:tcBorders>
              <w:top w:val="single" w:color="000000" w:sz="4" w:space="0"/>
              <w:left w:val="single" w:color="auto" w:sz="4" w:space="0"/>
              <w:bottom w:val="single" w:color="000000" w:sz="4" w:space="0"/>
              <w:right w:val="single" w:color="000000" w:sz="4" w:space="0"/>
            </w:tcBorders>
            <w:vAlign w:val="center"/>
          </w:tcPr>
          <w:p w14:paraId="79894838">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14:paraId="2B3EEF5C">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应用服务器-肺结核政府减免服务应用场景</w:t>
            </w:r>
          </w:p>
        </w:tc>
        <w:tc>
          <w:tcPr>
            <w:tcW w:w="521" w:type="pct"/>
            <w:tcBorders>
              <w:top w:val="single" w:color="000000" w:sz="4" w:space="0"/>
              <w:left w:val="single" w:color="000000" w:sz="4" w:space="0"/>
              <w:bottom w:val="single" w:color="000000" w:sz="4" w:space="0"/>
              <w:right w:val="single" w:color="000000" w:sz="4" w:space="0"/>
            </w:tcBorders>
            <w:vAlign w:val="center"/>
          </w:tcPr>
          <w:p w14:paraId="66C7209E">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p>
        </w:tc>
        <w:tc>
          <w:tcPr>
            <w:tcW w:w="447" w:type="pct"/>
            <w:tcBorders>
              <w:top w:val="single" w:color="000000" w:sz="4" w:space="0"/>
              <w:left w:val="single" w:color="000000" w:sz="4" w:space="0"/>
              <w:bottom w:val="single" w:color="000000" w:sz="4" w:space="0"/>
              <w:right w:val="single" w:color="000000" w:sz="4" w:space="0"/>
            </w:tcBorders>
            <w:vAlign w:val="center"/>
          </w:tcPr>
          <w:p w14:paraId="7BF03769">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8</w:t>
            </w:r>
          </w:p>
        </w:tc>
        <w:tc>
          <w:tcPr>
            <w:tcW w:w="670" w:type="pct"/>
            <w:tcBorders>
              <w:top w:val="single" w:color="000000" w:sz="4" w:space="0"/>
              <w:left w:val="single" w:color="000000" w:sz="4" w:space="0"/>
              <w:bottom w:val="single" w:color="000000" w:sz="4" w:space="0"/>
              <w:right w:val="single" w:color="000000" w:sz="4" w:space="0"/>
            </w:tcBorders>
            <w:vAlign w:val="center"/>
          </w:tcPr>
          <w:p w14:paraId="14E64A08">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100</w:t>
            </w:r>
          </w:p>
        </w:tc>
        <w:tc>
          <w:tcPr>
            <w:tcW w:w="489" w:type="pct"/>
            <w:tcBorders>
              <w:top w:val="single" w:color="000000" w:sz="4" w:space="0"/>
              <w:left w:val="single" w:color="000000" w:sz="4" w:space="0"/>
              <w:bottom w:val="single" w:color="000000" w:sz="4" w:space="0"/>
              <w:right w:val="single" w:color="000000" w:sz="4" w:space="0"/>
            </w:tcBorders>
            <w:vAlign w:val="center"/>
          </w:tcPr>
          <w:p w14:paraId="7350B288">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r>
      <w:tr w14:paraId="1A68E2F1">
        <w:tblPrEx>
          <w:tblCellMar>
            <w:top w:w="0" w:type="dxa"/>
            <w:left w:w="108" w:type="dxa"/>
            <w:bottom w:w="0" w:type="dxa"/>
            <w:right w:w="108" w:type="dxa"/>
          </w:tblCellMar>
        </w:tblPrEx>
        <w:trPr>
          <w:trHeight w:val="560" w:hRule="atLeast"/>
        </w:trPr>
        <w:tc>
          <w:tcPr>
            <w:tcW w:w="212" w:type="pct"/>
            <w:tcBorders>
              <w:top w:val="nil"/>
              <w:left w:val="single" w:color="auto" w:sz="4" w:space="0"/>
              <w:bottom w:val="single" w:color="auto" w:sz="4" w:space="0"/>
              <w:right w:val="single" w:color="auto" w:sz="4" w:space="0"/>
            </w:tcBorders>
            <w:vAlign w:val="center"/>
          </w:tcPr>
          <w:p w14:paraId="0E5B0D7D">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7</w:t>
            </w:r>
          </w:p>
        </w:tc>
        <w:tc>
          <w:tcPr>
            <w:tcW w:w="699" w:type="pct"/>
            <w:tcBorders>
              <w:top w:val="single" w:color="auto" w:sz="4" w:space="0"/>
              <w:bottom w:val="single" w:color="auto" w:sz="4" w:space="0"/>
              <w:right w:val="single" w:color="auto" w:sz="4" w:space="0"/>
            </w:tcBorders>
            <w:vAlign w:val="center"/>
          </w:tcPr>
          <w:p w14:paraId="2F2C5689">
            <w:pPr>
              <w:widowControl/>
              <w:spacing w:line="240" w:lineRule="auto"/>
              <w:ind w:firstLine="0" w:firstLineChars="0"/>
              <w:jc w:val="center"/>
              <w:rPr>
                <w:rFonts w:cs="宋体" w:asciiTheme="minorEastAsia" w:hAnsiTheme="minorEastAsia" w:eastAsiaTheme="minorEastAsia"/>
                <w:kern w:val="0"/>
                <w:sz w:val="21"/>
                <w:szCs w:val="21"/>
              </w:rPr>
            </w:pPr>
            <w:r>
              <w:rPr>
                <w:rFonts w:hint="eastAsia" w:asciiTheme="minorEastAsia" w:hAnsiTheme="minorEastAsia" w:eastAsiaTheme="minorEastAsia"/>
                <w:sz w:val="21"/>
                <w:szCs w:val="21"/>
              </w:rPr>
              <w:t>互联网</w:t>
            </w:r>
          </w:p>
        </w:tc>
        <w:tc>
          <w:tcPr>
            <w:tcW w:w="692" w:type="pct"/>
            <w:tcBorders>
              <w:top w:val="single" w:color="000000" w:sz="4" w:space="0"/>
              <w:left w:val="single" w:color="auto" w:sz="4" w:space="0"/>
              <w:bottom w:val="single" w:color="000000" w:sz="4" w:space="0"/>
              <w:right w:val="single" w:color="000000" w:sz="4" w:space="0"/>
            </w:tcBorders>
            <w:vAlign w:val="center"/>
          </w:tcPr>
          <w:p w14:paraId="434A017D">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虚拟机</w:t>
            </w:r>
          </w:p>
        </w:tc>
        <w:tc>
          <w:tcPr>
            <w:tcW w:w="1269" w:type="pct"/>
            <w:tcBorders>
              <w:top w:val="single" w:color="000000" w:sz="4" w:space="0"/>
              <w:left w:val="single" w:color="000000" w:sz="4" w:space="0"/>
              <w:bottom w:val="single" w:color="000000" w:sz="4" w:space="0"/>
              <w:right w:val="single" w:color="000000" w:sz="4" w:space="0"/>
            </w:tcBorders>
            <w:vAlign w:val="center"/>
          </w:tcPr>
          <w:p w14:paraId="2CAC09F3">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关系型数据库服务器-肺结核政府减免服务应用场景</w:t>
            </w:r>
          </w:p>
        </w:tc>
        <w:tc>
          <w:tcPr>
            <w:tcW w:w="521" w:type="pct"/>
            <w:tcBorders>
              <w:top w:val="single" w:color="000000" w:sz="4" w:space="0"/>
              <w:left w:val="single" w:color="000000" w:sz="4" w:space="0"/>
              <w:bottom w:val="single" w:color="000000" w:sz="4" w:space="0"/>
              <w:right w:val="single" w:color="000000" w:sz="4" w:space="0"/>
            </w:tcBorders>
            <w:vAlign w:val="center"/>
          </w:tcPr>
          <w:p w14:paraId="36ADE92A">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p>
        </w:tc>
        <w:tc>
          <w:tcPr>
            <w:tcW w:w="447" w:type="pct"/>
            <w:tcBorders>
              <w:top w:val="single" w:color="000000" w:sz="4" w:space="0"/>
              <w:left w:val="single" w:color="000000" w:sz="4" w:space="0"/>
              <w:bottom w:val="single" w:color="000000" w:sz="4" w:space="0"/>
              <w:right w:val="single" w:color="000000" w:sz="4" w:space="0"/>
            </w:tcBorders>
            <w:vAlign w:val="center"/>
          </w:tcPr>
          <w:p w14:paraId="290750FF">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8</w:t>
            </w:r>
          </w:p>
        </w:tc>
        <w:tc>
          <w:tcPr>
            <w:tcW w:w="670" w:type="pct"/>
            <w:tcBorders>
              <w:top w:val="single" w:color="000000" w:sz="4" w:space="0"/>
              <w:left w:val="single" w:color="000000" w:sz="4" w:space="0"/>
              <w:bottom w:val="single" w:color="000000" w:sz="4" w:space="0"/>
              <w:right w:val="single" w:color="000000" w:sz="4" w:space="0"/>
            </w:tcBorders>
            <w:vAlign w:val="center"/>
          </w:tcPr>
          <w:p w14:paraId="3DDDA11B">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100</w:t>
            </w:r>
          </w:p>
        </w:tc>
        <w:tc>
          <w:tcPr>
            <w:tcW w:w="489" w:type="pct"/>
            <w:tcBorders>
              <w:top w:val="single" w:color="000000" w:sz="4" w:space="0"/>
              <w:left w:val="single" w:color="000000" w:sz="4" w:space="0"/>
              <w:bottom w:val="single" w:color="000000" w:sz="4" w:space="0"/>
              <w:right w:val="single" w:color="000000" w:sz="4" w:space="0"/>
            </w:tcBorders>
            <w:vAlign w:val="center"/>
          </w:tcPr>
          <w:p w14:paraId="1934332F">
            <w:pPr>
              <w:widowControl/>
              <w:spacing w:line="240" w:lineRule="auto"/>
              <w:ind w:firstLine="0" w:firstLineChars="0"/>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r>
      <w:bookmarkEnd w:id="18"/>
    </w:tbl>
    <w:p w14:paraId="76854D10">
      <w:pPr>
        <w:widowControl/>
        <w:spacing w:line="240" w:lineRule="auto"/>
        <w:ind w:firstLine="0" w:firstLineChars="0"/>
        <w:jc w:val="center"/>
        <w:rPr>
          <w:rFonts w:cs="宋体" w:asciiTheme="minorEastAsia" w:hAnsiTheme="minorEastAsia" w:eastAsiaTheme="minorEastAsia"/>
          <w:kern w:val="0"/>
        </w:rPr>
      </w:pPr>
    </w:p>
    <w:p w14:paraId="3825563A">
      <w:pPr>
        <w:pStyle w:val="3"/>
      </w:pPr>
      <w:bookmarkStart w:id="19" w:name="_Toc169297651"/>
      <w:r>
        <w:t>PaaS</w:t>
      </w:r>
      <w:r>
        <w:rPr>
          <w:rFonts w:hint="eastAsia"/>
        </w:rPr>
        <w:t>服务</w:t>
      </w:r>
      <w:bookmarkEnd w:id="19"/>
      <w:r>
        <w:rPr>
          <w:rFonts w:hint="eastAsia"/>
        </w:rPr>
        <w:t>资源需求</w:t>
      </w:r>
    </w:p>
    <w:p w14:paraId="37D8FD86">
      <w:r>
        <w:rPr>
          <w:rFonts w:hint="eastAsia"/>
        </w:rPr>
        <w:t>根据项目前期资源现状，本次建设根据估算向电子政务云申请以下PaaS服务资源：</w:t>
      </w:r>
    </w:p>
    <w:tbl>
      <w:tblPr>
        <w:tblStyle w:val="3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4029"/>
        <w:gridCol w:w="1890"/>
        <w:gridCol w:w="1886"/>
      </w:tblGrid>
      <w:tr w14:paraId="279F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shd w:val="clear" w:color="000000" w:fill="DBDBDB"/>
            <w:vAlign w:val="center"/>
          </w:tcPr>
          <w:p w14:paraId="7BB68C06">
            <w:pPr>
              <w:spacing w:line="240" w:lineRule="auto"/>
              <w:ind w:firstLine="0" w:firstLineChars="0"/>
              <w:rPr>
                <w:b/>
                <w:bCs/>
              </w:rPr>
            </w:pPr>
            <w:r>
              <w:rPr>
                <w:rFonts w:hint="eastAsia"/>
                <w:b/>
                <w:bCs/>
              </w:rPr>
              <w:t>序号</w:t>
            </w:r>
          </w:p>
        </w:tc>
        <w:tc>
          <w:tcPr>
            <w:tcW w:w="2362" w:type="pct"/>
            <w:shd w:val="clear" w:color="000000" w:fill="DBDBDB"/>
            <w:vAlign w:val="center"/>
          </w:tcPr>
          <w:p w14:paraId="457E1609">
            <w:pPr>
              <w:spacing w:line="240" w:lineRule="auto"/>
              <w:ind w:left="-453" w:leftChars="-189" w:firstLine="0" w:firstLineChars="0"/>
              <w:jc w:val="center"/>
              <w:rPr>
                <w:b/>
                <w:bCs/>
              </w:rPr>
            </w:pPr>
            <w:r>
              <w:rPr>
                <w:rFonts w:hint="eastAsia"/>
                <w:b/>
                <w:bCs/>
              </w:rPr>
              <w:t>资源名称</w:t>
            </w:r>
          </w:p>
        </w:tc>
        <w:tc>
          <w:tcPr>
            <w:tcW w:w="1108" w:type="pct"/>
            <w:shd w:val="clear" w:color="000000" w:fill="DBDBDB"/>
            <w:vAlign w:val="center"/>
          </w:tcPr>
          <w:p w14:paraId="799FB39E">
            <w:pPr>
              <w:spacing w:line="240" w:lineRule="auto"/>
              <w:ind w:firstLine="0" w:firstLineChars="0"/>
              <w:jc w:val="center"/>
              <w:rPr>
                <w:b/>
                <w:bCs/>
              </w:rPr>
            </w:pPr>
            <w:r>
              <w:rPr>
                <w:rFonts w:hint="eastAsia"/>
                <w:b/>
                <w:bCs/>
              </w:rPr>
              <w:t>数量</w:t>
            </w:r>
          </w:p>
        </w:tc>
        <w:tc>
          <w:tcPr>
            <w:tcW w:w="1106" w:type="pct"/>
            <w:shd w:val="clear" w:color="000000" w:fill="DBDBDB"/>
            <w:vAlign w:val="center"/>
          </w:tcPr>
          <w:p w14:paraId="250FD728">
            <w:pPr>
              <w:spacing w:line="240" w:lineRule="auto"/>
              <w:ind w:firstLine="0" w:firstLineChars="0"/>
              <w:jc w:val="center"/>
              <w:rPr>
                <w:b/>
                <w:bCs/>
              </w:rPr>
            </w:pPr>
            <w:r>
              <w:rPr>
                <w:rFonts w:hint="eastAsia"/>
                <w:b/>
                <w:bCs/>
              </w:rPr>
              <w:t>单位</w:t>
            </w:r>
          </w:p>
        </w:tc>
      </w:tr>
      <w:tr w14:paraId="321E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74B069E3">
            <w:pPr>
              <w:spacing w:line="240" w:lineRule="auto"/>
              <w:ind w:firstLine="0" w:firstLineChars="0"/>
              <w:jc w:val="center"/>
            </w:pPr>
            <w:r>
              <w:rPr>
                <w:rFonts w:hint="eastAsia"/>
              </w:rPr>
              <w:t>1</w:t>
            </w:r>
          </w:p>
        </w:tc>
        <w:tc>
          <w:tcPr>
            <w:tcW w:w="2362" w:type="pct"/>
            <w:tcBorders>
              <w:top w:val="single" w:color="000000" w:sz="4" w:space="0"/>
              <w:left w:val="single" w:color="000000" w:sz="4" w:space="0"/>
              <w:bottom w:val="single" w:color="000000" w:sz="4" w:space="0"/>
              <w:right w:val="single" w:color="000000" w:sz="4" w:space="0"/>
            </w:tcBorders>
            <w:noWrap/>
            <w:vAlign w:val="center"/>
          </w:tcPr>
          <w:p w14:paraId="28654D8E">
            <w:pPr>
              <w:widowControl/>
              <w:spacing w:line="240" w:lineRule="auto"/>
              <w:ind w:firstLine="0" w:firstLineChars="0"/>
              <w:rPr>
                <w:rFonts w:cs="宋体" w:asciiTheme="minorEastAsia" w:hAnsiTheme="minorEastAsia" w:eastAsiaTheme="minorEastAsia"/>
                <w:kern w:val="0"/>
              </w:rPr>
            </w:pPr>
            <w:r>
              <w:rPr>
                <w:rFonts w:hint="eastAsia" w:cs="宋体" w:asciiTheme="minorEastAsia" w:hAnsiTheme="minorEastAsia" w:eastAsiaTheme="minorEastAsia"/>
                <w:kern w:val="0"/>
              </w:rPr>
              <w:t>中间件-东方通、普元、金蝶</w:t>
            </w:r>
          </w:p>
        </w:tc>
        <w:tc>
          <w:tcPr>
            <w:tcW w:w="1108" w:type="pct"/>
            <w:tcBorders>
              <w:top w:val="single" w:color="000000" w:sz="4" w:space="0"/>
              <w:left w:val="single" w:color="000000" w:sz="4" w:space="0"/>
              <w:bottom w:val="single" w:color="000000" w:sz="4" w:space="0"/>
              <w:right w:val="single" w:color="000000" w:sz="4" w:space="0"/>
            </w:tcBorders>
            <w:noWrap/>
            <w:vAlign w:val="center"/>
          </w:tcPr>
          <w:p w14:paraId="14C5152E">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13</w:t>
            </w:r>
          </w:p>
        </w:tc>
        <w:tc>
          <w:tcPr>
            <w:tcW w:w="1106" w:type="pct"/>
            <w:tcBorders>
              <w:top w:val="single" w:color="000000" w:sz="4" w:space="0"/>
              <w:left w:val="single" w:color="000000" w:sz="4" w:space="0"/>
              <w:bottom w:val="single" w:color="000000" w:sz="4" w:space="0"/>
              <w:right w:val="single" w:color="000000" w:sz="4" w:space="0"/>
            </w:tcBorders>
            <w:vAlign w:val="center"/>
          </w:tcPr>
          <w:p w14:paraId="18B5DF07">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套*年</w:t>
            </w:r>
          </w:p>
        </w:tc>
      </w:tr>
      <w:tr w14:paraId="6502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0FBC6C5C">
            <w:pPr>
              <w:spacing w:line="240" w:lineRule="auto"/>
              <w:ind w:firstLine="0" w:firstLineChars="0"/>
              <w:jc w:val="center"/>
            </w:pPr>
            <w:r>
              <w:rPr>
                <w:rFonts w:hint="eastAsia"/>
              </w:rPr>
              <w:t>2</w:t>
            </w:r>
          </w:p>
        </w:tc>
        <w:tc>
          <w:tcPr>
            <w:tcW w:w="2362" w:type="pct"/>
            <w:tcBorders>
              <w:top w:val="single" w:color="000000" w:sz="4" w:space="0"/>
              <w:left w:val="single" w:color="000000" w:sz="4" w:space="0"/>
              <w:bottom w:val="single" w:color="000000" w:sz="4" w:space="0"/>
              <w:right w:val="single" w:color="000000" w:sz="4" w:space="0"/>
            </w:tcBorders>
            <w:noWrap/>
            <w:vAlign w:val="center"/>
          </w:tcPr>
          <w:p w14:paraId="64F45327">
            <w:pPr>
              <w:widowControl/>
              <w:spacing w:line="240" w:lineRule="auto"/>
              <w:ind w:firstLine="0" w:firstLineChars="0"/>
              <w:rPr>
                <w:rFonts w:cs="宋体" w:asciiTheme="minorEastAsia" w:hAnsiTheme="minorEastAsia" w:eastAsiaTheme="minorEastAsia"/>
                <w:kern w:val="0"/>
              </w:rPr>
            </w:pPr>
            <w:r>
              <w:rPr>
                <w:rFonts w:hint="eastAsia" w:cs="宋体" w:asciiTheme="minorEastAsia" w:hAnsiTheme="minorEastAsia" w:eastAsiaTheme="minorEastAsia"/>
                <w:kern w:val="0"/>
              </w:rPr>
              <w:t>安全防病毒(服务器端)</w:t>
            </w:r>
          </w:p>
        </w:tc>
        <w:tc>
          <w:tcPr>
            <w:tcW w:w="1108" w:type="pct"/>
            <w:tcBorders>
              <w:top w:val="single" w:color="000000" w:sz="4" w:space="0"/>
              <w:left w:val="single" w:color="000000" w:sz="4" w:space="0"/>
              <w:bottom w:val="single" w:color="000000" w:sz="4" w:space="0"/>
              <w:right w:val="single" w:color="000000" w:sz="4" w:space="0"/>
            </w:tcBorders>
            <w:noWrap/>
            <w:vAlign w:val="center"/>
          </w:tcPr>
          <w:p w14:paraId="34CABA9F">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21</w:t>
            </w:r>
          </w:p>
        </w:tc>
        <w:tc>
          <w:tcPr>
            <w:tcW w:w="1106" w:type="pct"/>
            <w:tcBorders>
              <w:top w:val="single" w:color="000000" w:sz="4" w:space="0"/>
              <w:left w:val="single" w:color="000000" w:sz="4" w:space="0"/>
              <w:bottom w:val="single" w:color="000000" w:sz="4" w:space="0"/>
              <w:right w:val="single" w:color="000000" w:sz="4" w:space="0"/>
            </w:tcBorders>
            <w:vAlign w:val="center"/>
          </w:tcPr>
          <w:p w14:paraId="3C21EB01">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套*年</w:t>
            </w:r>
          </w:p>
        </w:tc>
      </w:tr>
      <w:tr w14:paraId="63DF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4C4F142C">
            <w:pPr>
              <w:spacing w:line="240" w:lineRule="auto"/>
              <w:ind w:firstLine="0" w:firstLineChars="0"/>
              <w:jc w:val="center"/>
            </w:pPr>
            <w:r>
              <w:rPr>
                <w:rFonts w:hint="eastAsia"/>
              </w:rPr>
              <w:t>3</w:t>
            </w:r>
          </w:p>
        </w:tc>
        <w:tc>
          <w:tcPr>
            <w:tcW w:w="2362" w:type="pct"/>
            <w:tcBorders>
              <w:top w:val="single" w:color="000000" w:sz="4" w:space="0"/>
              <w:left w:val="single" w:color="000000" w:sz="4" w:space="0"/>
              <w:bottom w:val="single" w:color="000000" w:sz="4" w:space="0"/>
              <w:right w:val="single" w:color="000000" w:sz="4" w:space="0"/>
            </w:tcBorders>
            <w:vAlign w:val="center"/>
          </w:tcPr>
          <w:p w14:paraId="09B5CCDB">
            <w:pPr>
              <w:widowControl/>
              <w:spacing w:line="240" w:lineRule="auto"/>
              <w:ind w:firstLine="0" w:firstLineChars="0"/>
              <w:rPr>
                <w:rFonts w:cs="宋体" w:asciiTheme="minorEastAsia" w:hAnsiTheme="minorEastAsia" w:eastAsiaTheme="minorEastAsia"/>
                <w:kern w:val="0"/>
              </w:rPr>
            </w:pPr>
            <w:r>
              <w:rPr>
                <w:rFonts w:hint="eastAsia" w:cs="宋体" w:asciiTheme="minorEastAsia" w:hAnsiTheme="minorEastAsia" w:eastAsiaTheme="minorEastAsia"/>
                <w:kern w:val="0"/>
              </w:rPr>
              <w:t>安全认证网关服务</w:t>
            </w:r>
          </w:p>
        </w:tc>
        <w:tc>
          <w:tcPr>
            <w:tcW w:w="1108" w:type="pct"/>
            <w:tcBorders>
              <w:top w:val="single" w:color="000000" w:sz="4" w:space="0"/>
              <w:left w:val="single" w:color="000000" w:sz="4" w:space="0"/>
              <w:bottom w:val="single" w:color="000000" w:sz="4" w:space="0"/>
              <w:right w:val="single" w:color="000000" w:sz="4" w:space="0"/>
            </w:tcBorders>
            <w:noWrap/>
            <w:vAlign w:val="center"/>
          </w:tcPr>
          <w:p w14:paraId="4D0487D6">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4</w:t>
            </w:r>
          </w:p>
        </w:tc>
        <w:tc>
          <w:tcPr>
            <w:tcW w:w="1106" w:type="pct"/>
            <w:tcBorders>
              <w:top w:val="single" w:color="000000" w:sz="4" w:space="0"/>
              <w:left w:val="single" w:color="000000" w:sz="4" w:space="0"/>
              <w:bottom w:val="single" w:color="000000" w:sz="4" w:space="0"/>
              <w:right w:val="single" w:color="000000" w:sz="4" w:space="0"/>
            </w:tcBorders>
            <w:vAlign w:val="center"/>
          </w:tcPr>
          <w:p w14:paraId="09B37B95">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套*年</w:t>
            </w:r>
          </w:p>
        </w:tc>
      </w:tr>
      <w:tr w14:paraId="5829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66FFAC49">
            <w:pPr>
              <w:spacing w:line="240" w:lineRule="auto"/>
              <w:ind w:firstLine="0" w:firstLineChars="0"/>
              <w:jc w:val="center"/>
            </w:pPr>
            <w:r>
              <w:rPr>
                <w:rFonts w:hint="eastAsia"/>
              </w:rPr>
              <w:t>4</w:t>
            </w:r>
          </w:p>
        </w:tc>
        <w:tc>
          <w:tcPr>
            <w:tcW w:w="2362" w:type="pct"/>
            <w:tcBorders>
              <w:top w:val="single" w:color="000000" w:sz="4" w:space="0"/>
              <w:left w:val="single" w:color="000000" w:sz="4" w:space="0"/>
              <w:bottom w:val="single" w:color="000000" w:sz="4" w:space="0"/>
              <w:right w:val="single" w:color="000000" w:sz="4" w:space="0"/>
            </w:tcBorders>
            <w:vAlign w:val="center"/>
          </w:tcPr>
          <w:p w14:paraId="09A04484">
            <w:pPr>
              <w:widowControl/>
              <w:spacing w:line="240" w:lineRule="auto"/>
              <w:ind w:firstLine="0" w:firstLineChars="0"/>
              <w:rPr>
                <w:rFonts w:cs="宋体" w:asciiTheme="minorEastAsia" w:hAnsiTheme="minorEastAsia" w:eastAsiaTheme="minorEastAsia"/>
                <w:kern w:val="0"/>
              </w:rPr>
            </w:pPr>
            <w:r>
              <w:rPr>
                <w:rFonts w:hint="eastAsia" w:cs="宋体" w:asciiTheme="minorEastAsia" w:hAnsiTheme="minorEastAsia" w:eastAsiaTheme="minorEastAsia"/>
                <w:kern w:val="0"/>
              </w:rPr>
              <w:t>签名验签服务</w:t>
            </w:r>
          </w:p>
        </w:tc>
        <w:tc>
          <w:tcPr>
            <w:tcW w:w="1108" w:type="pct"/>
            <w:tcBorders>
              <w:top w:val="single" w:color="000000" w:sz="4" w:space="0"/>
              <w:left w:val="single" w:color="000000" w:sz="4" w:space="0"/>
              <w:bottom w:val="single" w:color="000000" w:sz="4" w:space="0"/>
              <w:right w:val="single" w:color="000000" w:sz="4" w:space="0"/>
            </w:tcBorders>
            <w:noWrap/>
            <w:vAlign w:val="center"/>
          </w:tcPr>
          <w:p w14:paraId="07005451">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4</w:t>
            </w:r>
          </w:p>
        </w:tc>
        <w:tc>
          <w:tcPr>
            <w:tcW w:w="1106" w:type="pct"/>
            <w:tcBorders>
              <w:top w:val="single" w:color="000000" w:sz="4" w:space="0"/>
              <w:left w:val="single" w:color="000000" w:sz="4" w:space="0"/>
              <w:bottom w:val="single" w:color="000000" w:sz="4" w:space="0"/>
              <w:right w:val="single" w:color="000000" w:sz="4" w:space="0"/>
            </w:tcBorders>
            <w:vAlign w:val="center"/>
          </w:tcPr>
          <w:p w14:paraId="2834DC2F">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套*年</w:t>
            </w:r>
          </w:p>
        </w:tc>
      </w:tr>
      <w:tr w14:paraId="57E9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514AF748">
            <w:pPr>
              <w:spacing w:line="240" w:lineRule="auto"/>
              <w:ind w:firstLine="0" w:firstLineChars="0"/>
              <w:jc w:val="center"/>
            </w:pPr>
            <w:r>
              <w:rPr>
                <w:rFonts w:hint="eastAsia"/>
              </w:rPr>
              <w:t>5</w:t>
            </w:r>
          </w:p>
        </w:tc>
        <w:tc>
          <w:tcPr>
            <w:tcW w:w="2362" w:type="pct"/>
            <w:tcBorders>
              <w:top w:val="single" w:color="000000" w:sz="4" w:space="0"/>
              <w:left w:val="single" w:color="000000" w:sz="4" w:space="0"/>
              <w:bottom w:val="single" w:color="000000" w:sz="4" w:space="0"/>
              <w:right w:val="single" w:color="000000" w:sz="4" w:space="0"/>
            </w:tcBorders>
            <w:vAlign w:val="center"/>
          </w:tcPr>
          <w:p w14:paraId="5C1DB311">
            <w:pPr>
              <w:widowControl/>
              <w:spacing w:line="240" w:lineRule="auto"/>
              <w:ind w:firstLine="0" w:firstLineChars="0"/>
              <w:rPr>
                <w:rFonts w:cs="宋体" w:asciiTheme="minorEastAsia" w:hAnsiTheme="minorEastAsia" w:eastAsiaTheme="minorEastAsia"/>
                <w:kern w:val="0"/>
              </w:rPr>
            </w:pPr>
            <w:r>
              <w:rPr>
                <w:rFonts w:hint="eastAsia" w:cs="宋体" w:asciiTheme="minorEastAsia" w:hAnsiTheme="minorEastAsia" w:eastAsiaTheme="minorEastAsia"/>
                <w:kern w:val="0"/>
              </w:rPr>
              <w:t>可信密码服务</w:t>
            </w:r>
          </w:p>
        </w:tc>
        <w:tc>
          <w:tcPr>
            <w:tcW w:w="1108" w:type="pct"/>
            <w:tcBorders>
              <w:top w:val="single" w:color="000000" w:sz="4" w:space="0"/>
              <w:left w:val="single" w:color="000000" w:sz="4" w:space="0"/>
              <w:bottom w:val="single" w:color="000000" w:sz="4" w:space="0"/>
              <w:right w:val="single" w:color="000000" w:sz="4" w:space="0"/>
            </w:tcBorders>
            <w:noWrap/>
            <w:vAlign w:val="center"/>
          </w:tcPr>
          <w:p w14:paraId="4F3F815D">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2</w:t>
            </w:r>
          </w:p>
        </w:tc>
        <w:tc>
          <w:tcPr>
            <w:tcW w:w="1106" w:type="pct"/>
            <w:tcBorders>
              <w:top w:val="single" w:color="000000" w:sz="4" w:space="0"/>
              <w:left w:val="single" w:color="000000" w:sz="4" w:space="0"/>
              <w:bottom w:val="single" w:color="000000" w:sz="4" w:space="0"/>
              <w:right w:val="single" w:color="000000" w:sz="4" w:space="0"/>
            </w:tcBorders>
            <w:vAlign w:val="center"/>
          </w:tcPr>
          <w:p w14:paraId="252E9038">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应用*年</w:t>
            </w:r>
          </w:p>
        </w:tc>
      </w:tr>
      <w:tr w14:paraId="7BE5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6EBC016A">
            <w:pPr>
              <w:spacing w:line="240" w:lineRule="auto"/>
              <w:ind w:firstLine="0" w:firstLineChars="0"/>
              <w:jc w:val="center"/>
            </w:pPr>
            <w:r>
              <w:rPr>
                <w:rFonts w:hint="eastAsia"/>
              </w:rPr>
              <w:t>6</w:t>
            </w:r>
          </w:p>
        </w:tc>
        <w:tc>
          <w:tcPr>
            <w:tcW w:w="2362" w:type="pct"/>
            <w:tcBorders>
              <w:top w:val="single" w:color="000000" w:sz="4" w:space="0"/>
              <w:left w:val="single" w:color="000000" w:sz="4" w:space="0"/>
              <w:bottom w:val="single" w:color="000000" w:sz="4" w:space="0"/>
              <w:right w:val="single" w:color="000000" w:sz="4" w:space="0"/>
            </w:tcBorders>
            <w:vAlign w:val="center"/>
          </w:tcPr>
          <w:p w14:paraId="758C9C4F">
            <w:pPr>
              <w:widowControl/>
              <w:spacing w:line="240" w:lineRule="auto"/>
              <w:ind w:firstLine="0" w:firstLineChars="0"/>
              <w:rPr>
                <w:rFonts w:cs="宋体" w:asciiTheme="minorEastAsia" w:hAnsiTheme="minorEastAsia" w:eastAsiaTheme="minorEastAsia"/>
                <w:kern w:val="0"/>
              </w:rPr>
            </w:pPr>
            <w:r>
              <w:rPr>
                <w:rFonts w:hint="eastAsia" w:cs="宋体" w:asciiTheme="minorEastAsia" w:hAnsiTheme="minorEastAsia" w:eastAsiaTheme="minorEastAsia"/>
                <w:kern w:val="0"/>
              </w:rPr>
              <w:t>数字证书服务 - SSL证书-通配符</w:t>
            </w:r>
          </w:p>
        </w:tc>
        <w:tc>
          <w:tcPr>
            <w:tcW w:w="1108" w:type="pct"/>
            <w:tcBorders>
              <w:top w:val="single" w:color="000000" w:sz="4" w:space="0"/>
              <w:left w:val="single" w:color="000000" w:sz="4" w:space="0"/>
              <w:bottom w:val="single" w:color="000000" w:sz="4" w:space="0"/>
              <w:right w:val="single" w:color="000000" w:sz="4" w:space="0"/>
            </w:tcBorders>
            <w:noWrap/>
            <w:vAlign w:val="center"/>
          </w:tcPr>
          <w:p w14:paraId="739483FD">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5</w:t>
            </w:r>
          </w:p>
        </w:tc>
        <w:tc>
          <w:tcPr>
            <w:tcW w:w="1106" w:type="pct"/>
            <w:tcBorders>
              <w:top w:val="single" w:color="000000" w:sz="4" w:space="0"/>
              <w:left w:val="single" w:color="000000" w:sz="4" w:space="0"/>
              <w:bottom w:val="single" w:color="000000" w:sz="4" w:space="0"/>
              <w:right w:val="single" w:color="000000" w:sz="4" w:space="0"/>
            </w:tcBorders>
            <w:vAlign w:val="center"/>
          </w:tcPr>
          <w:p w14:paraId="2DE76C1D">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张*年</w:t>
            </w:r>
          </w:p>
        </w:tc>
      </w:tr>
      <w:tr w14:paraId="3F593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3755C5CA">
            <w:pPr>
              <w:spacing w:line="240" w:lineRule="auto"/>
              <w:ind w:firstLine="0" w:firstLineChars="0"/>
              <w:jc w:val="center"/>
            </w:pPr>
            <w:r>
              <w:rPr>
                <w:rFonts w:hint="eastAsia"/>
              </w:rPr>
              <w:t>7</w:t>
            </w:r>
          </w:p>
        </w:tc>
        <w:tc>
          <w:tcPr>
            <w:tcW w:w="2362" w:type="pct"/>
            <w:tcBorders>
              <w:top w:val="single" w:color="000000" w:sz="4" w:space="0"/>
              <w:left w:val="single" w:color="000000" w:sz="4" w:space="0"/>
              <w:bottom w:val="single" w:color="000000" w:sz="4" w:space="0"/>
              <w:right w:val="single" w:color="000000" w:sz="4" w:space="0"/>
            </w:tcBorders>
            <w:vAlign w:val="center"/>
          </w:tcPr>
          <w:p w14:paraId="4F8530DC">
            <w:pPr>
              <w:widowControl/>
              <w:spacing w:line="240" w:lineRule="auto"/>
              <w:ind w:firstLine="0" w:firstLineChars="0"/>
              <w:rPr>
                <w:rFonts w:cs="宋体" w:asciiTheme="minorEastAsia" w:hAnsiTheme="minorEastAsia" w:eastAsiaTheme="minorEastAsia"/>
                <w:kern w:val="0"/>
              </w:rPr>
            </w:pPr>
            <w:r>
              <w:rPr>
                <w:rFonts w:hint="eastAsia" w:cs="宋体" w:asciiTheme="minorEastAsia" w:hAnsiTheme="minorEastAsia" w:eastAsiaTheme="minorEastAsia"/>
                <w:kern w:val="0"/>
              </w:rPr>
              <w:t>操作系统服务-统信UOS、麒麟</w:t>
            </w:r>
          </w:p>
        </w:tc>
        <w:tc>
          <w:tcPr>
            <w:tcW w:w="1108" w:type="pct"/>
            <w:tcBorders>
              <w:top w:val="single" w:color="000000" w:sz="4" w:space="0"/>
              <w:left w:val="single" w:color="000000" w:sz="4" w:space="0"/>
              <w:bottom w:val="single" w:color="000000" w:sz="4" w:space="0"/>
              <w:right w:val="single" w:color="000000" w:sz="4" w:space="0"/>
            </w:tcBorders>
            <w:noWrap/>
            <w:vAlign w:val="center"/>
          </w:tcPr>
          <w:p w14:paraId="0525171B">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21</w:t>
            </w:r>
          </w:p>
        </w:tc>
        <w:tc>
          <w:tcPr>
            <w:tcW w:w="1106" w:type="pct"/>
            <w:tcBorders>
              <w:top w:val="single" w:color="000000" w:sz="4" w:space="0"/>
              <w:left w:val="single" w:color="000000" w:sz="4" w:space="0"/>
              <w:bottom w:val="single" w:color="000000" w:sz="4" w:space="0"/>
              <w:right w:val="single" w:color="000000" w:sz="4" w:space="0"/>
            </w:tcBorders>
            <w:vAlign w:val="center"/>
          </w:tcPr>
          <w:p w14:paraId="18058EE8">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套*年</w:t>
            </w:r>
          </w:p>
        </w:tc>
      </w:tr>
      <w:tr w14:paraId="4D06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49D05DF6">
            <w:pPr>
              <w:spacing w:line="240" w:lineRule="auto"/>
              <w:ind w:firstLine="0" w:firstLineChars="0"/>
              <w:jc w:val="center"/>
            </w:pPr>
            <w:r>
              <w:rPr>
                <w:rFonts w:hint="eastAsia"/>
              </w:rPr>
              <w:t>8</w:t>
            </w:r>
          </w:p>
        </w:tc>
        <w:tc>
          <w:tcPr>
            <w:tcW w:w="2362" w:type="pct"/>
            <w:tcBorders>
              <w:top w:val="single" w:color="000000" w:sz="4" w:space="0"/>
              <w:left w:val="single" w:color="000000" w:sz="4" w:space="0"/>
              <w:bottom w:val="single" w:color="000000" w:sz="4" w:space="0"/>
              <w:right w:val="single" w:color="000000" w:sz="4" w:space="0"/>
            </w:tcBorders>
            <w:vAlign w:val="center"/>
          </w:tcPr>
          <w:p w14:paraId="1F7E3425">
            <w:pPr>
              <w:widowControl/>
              <w:spacing w:line="240" w:lineRule="auto"/>
              <w:ind w:firstLine="0" w:firstLineChars="0"/>
              <w:rPr>
                <w:rFonts w:cs="宋体" w:asciiTheme="minorEastAsia" w:hAnsiTheme="minorEastAsia" w:eastAsiaTheme="minorEastAsia"/>
                <w:kern w:val="0"/>
              </w:rPr>
            </w:pPr>
            <w:r>
              <w:rPr>
                <w:rFonts w:hint="eastAsia" w:cs="宋体" w:asciiTheme="minorEastAsia" w:hAnsiTheme="minorEastAsia" w:eastAsiaTheme="minorEastAsia"/>
                <w:kern w:val="0"/>
              </w:rPr>
              <w:t>数据库服务-达梦、人大金仓</w:t>
            </w:r>
          </w:p>
        </w:tc>
        <w:tc>
          <w:tcPr>
            <w:tcW w:w="1108" w:type="pct"/>
            <w:tcBorders>
              <w:top w:val="single" w:color="000000" w:sz="4" w:space="0"/>
              <w:left w:val="single" w:color="000000" w:sz="4" w:space="0"/>
              <w:bottom w:val="single" w:color="000000" w:sz="4" w:space="0"/>
              <w:right w:val="single" w:color="000000" w:sz="4" w:space="0"/>
            </w:tcBorders>
            <w:noWrap/>
            <w:vAlign w:val="center"/>
          </w:tcPr>
          <w:p w14:paraId="4444184A">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12</w:t>
            </w:r>
          </w:p>
        </w:tc>
        <w:tc>
          <w:tcPr>
            <w:tcW w:w="1106" w:type="pct"/>
            <w:tcBorders>
              <w:top w:val="single" w:color="000000" w:sz="4" w:space="0"/>
              <w:left w:val="single" w:color="000000" w:sz="4" w:space="0"/>
              <w:bottom w:val="single" w:color="000000" w:sz="4" w:space="0"/>
              <w:right w:val="single" w:color="000000" w:sz="4" w:space="0"/>
            </w:tcBorders>
            <w:vAlign w:val="center"/>
          </w:tcPr>
          <w:p w14:paraId="1B0D2840">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套*年</w:t>
            </w:r>
          </w:p>
        </w:tc>
      </w:tr>
      <w:tr w14:paraId="4BC6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4" w:type="pct"/>
            <w:vAlign w:val="center"/>
          </w:tcPr>
          <w:p w14:paraId="63FC3B47">
            <w:pPr>
              <w:spacing w:line="240" w:lineRule="auto"/>
              <w:ind w:firstLine="0" w:firstLineChars="0"/>
              <w:jc w:val="center"/>
            </w:pPr>
            <w:r>
              <w:rPr>
                <w:rFonts w:hint="eastAsia"/>
              </w:rPr>
              <w:t>9</w:t>
            </w:r>
          </w:p>
        </w:tc>
        <w:tc>
          <w:tcPr>
            <w:tcW w:w="2362" w:type="pct"/>
            <w:tcBorders>
              <w:top w:val="single" w:color="000000" w:sz="4" w:space="0"/>
              <w:left w:val="single" w:color="000000" w:sz="4" w:space="0"/>
              <w:bottom w:val="single" w:color="000000" w:sz="4" w:space="0"/>
              <w:right w:val="single" w:color="000000" w:sz="4" w:space="0"/>
            </w:tcBorders>
            <w:vAlign w:val="center"/>
          </w:tcPr>
          <w:p w14:paraId="7602165D">
            <w:pPr>
              <w:widowControl/>
              <w:spacing w:line="240" w:lineRule="auto"/>
              <w:ind w:firstLine="0" w:firstLineChars="0"/>
              <w:rPr>
                <w:rFonts w:cs="宋体" w:asciiTheme="minorEastAsia" w:hAnsiTheme="minorEastAsia" w:eastAsiaTheme="minorEastAsia"/>
                <w:kern w:val="0"/>
              </w:rPr>
            </w:pPr>
            <w:r>
              <w:rPr>
                <w:rFonts w:hint="eastAsia" w:cs="宋体" w:asciiTheme="minorEastAsia" w:hAnsiTheme="minorEastAsia" w:eastAsiaTheme="minorEastAsia"/>
                <w:kern w:val="0"/>
              </w:rPr>
              <w:t>时间戳服务</w:t>
            </w:r>
          </w:p>
        </w:tc>
        <w:tc>
          <w:tcPr>
            <w:tcW w:w="1108" w:type="pct"/>
            <w:tcBorders>
              <w:top w:val="single" w:color="000000" w:sz="4" w:space="0"/>
              <w:left w:val="single" w:color="000000" w:sz="4" w:space="0"/>
              <w:bottom w:val="single" w:color="000000" w:sz="4" w:space="0"/>
              <w:right w:val="single" w:color="000000" w:sz="4" w:space="0"/>
            </w:tcBorders>
            <w:noWrap/>
            <w:vAlign w:val="center"/>
          </w:tcPr>
          <w:p w14:paraId="6235D495">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1</w:t>
            </w:r>
          </w:p>
        </w:tc>
        <w:tc>
          <w:tcPr>
            <w:tcW w:w="1106" w:type="pct"/>
            <w:tcBorders>
              <w:top w:val="single" w:color="000000" w:sz="4" w:space="0"/>
              <w:left w:val="single" w:color="000000" w:sz="4" w:space="0"/>
              <w:bottom w:val="single" w:color="000000" w:sz="4" w:space="0"/>
              <w:right w:val="single" w:color="000000" w:sz="4" w:space="0"/>
            </w:tcBorders>
            <w:vAlign w:val="center"/>
          </w:tcPr>
          <w:p w14:paraId="02948B47">
            <w:pPr>
              <w:widowControl/>
              <w:spacing w:line="240" w:lineRule="auto"/>
              <w:ind w:firstLine="0" w:firstLineChars="0"/>
              <w:jc w:val="center"/>
              <w:rPr>
                <w:rFonts w:cs="宋体" w:asciiTheme="minorEastAsia" w:hAnsiTheme="minorEastAsia" w:eastAsiaTheme="minorEastAsia"/>
                <w:kern w:val="0"/>
              </w:rPr>
            </w:pPr>
            <w:r>
              <w:rPr>
                <w:rFonts w:hint="eastAsia" w:cs="宋体" w:asciiTheme="minorEastAsia" w:hAnsiTheme="minorEastAsia" w:eastAsiaTheme="minorEastAsia"/>
                <w:kern w:val="0"/>
              </w:rPr>
              <w:t>套*年</w:t>
            </w:r>
          </w:p>
        </w:tc>
      </w:tr>
    </w:tbl>
    <w:p w14:paraId="2514E29D"/>
    <w:p w14:paraId="37C448B1">
      <w:pPr>
        <w:pStyle w:val="3"/>
      </w:pPr>
      <w:r>
        <w:rPr>
          <w:rFonts w:hint="eastAsia"/>
        </w:rPr>
        <w:t>政务区块链</w:t>
      </w:r>
      <w:r>
        <w:t>PaaS</w:t>
      </w:r>
      <w:r>
        <w:rPr>
          <w:rFonts w:hint="eastAsia"/>
        </w:rPr>
        <w:t>需求</w:t>
      </w:r>
    </w:p>
    <w:p w14:paraId="0F41E067">
      <w:r>
        <w:rPr>
          <w:rFonts w:hint="eastAsia"/>
        </w:rPr>
        <w:t>根据项目建设需求，本次建设根据估算向电子政务云申请以下政务区块链</w:t>
      </w:r>
      <w:r>
        <w:t>PaaS</w:t>
      </w:r>
      <w:r>
        <w:rPr>
          <w:rFonts w:hint="eastAsia"/>
        </w:rPr>
        <w:t>资源：</w:t>
      </w:r>
    </w:p>
    <w:tbl>
      <w:tblPr>
        <w:tblStyle w:val="35"/>
        <w:tblW w:w="4974" w:type="pct"/>
        <w:tblInd w:w="0" w:type="dxa"/>
        <w:tblLayout w:type="autofit"/>
        <w:tblCellMar>
          <w:top w:w="0" w:type="dxa"/>
          <w:left w:w="108" w:type="dxa"/>
          <w:bottom w:w="0" w:type="dxa"/>
          <w:right w:w="108" w:type="dxa"/>
        </w:tblCellMar>
      </w:tblPr>
      <w:tblGrid>
        <w:gridCol w:w="703"/>
        <w:gridCol w:w="891"/>
        <w:gridCol w:w="1166"/>
        <w:gridCol w:w="1312"/>
        <w:gridCol w:w="1006"/>
        <w:gridCol w:w="1929"/>
        <w:gridCol w:w="708"/>
        <w:gridCol w:w="769"/>
      </w:tblGrid>
      <w:tr w14:paraId="3F2EACD5">
        <w:tblPrEx>
          <w:tblCellMar>
            <w:top w:w="0" w:type="dxa"/>
            <w:left w:w="108" w:type="dxa"/>
            <w:bottom w:w="0" w:type="dxa"/>
            <w:right w:w="108" w:type="dxa"/>
          </w:tblCellMar>
        </w:tblPrEx>
        <w:trPr>
          <w:trHeight w:val="20" w:hRule="atLeast"/>
        </w:trPr>
        <w:tc>
          <w:tcPr>
            <w:tcW w:w="41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E3E0A78">
            <w:pPr>
              <w:widowControl/>
              <w:spacing w:line="240" w:lineRule="auto"/>
              <w:ind w:firstLine="0" w:firstLineChars="0"/>
              <w:jc w:val="center"/>
              <w:rPr>
                <w:rFonts w:asciiTheme="minorEastAsia" w:hAnsiTheme="minorEastAsia" w:eastAsiaTheme="minorEastAsia"/>
                <w:b/>
                <w:bCs/>
              </w:rPr>
            </w:pPr>
            <w:bookmarkStart w:id="20" w:name="RANGE!A1"/>
            <w:r>
              <w:rPr>
                <w:rFonts w:hint="eastAsia" w:asciiTheme="minorEastAsia" w:hAnsiTheme="minorEastAsia" w:eastAsiaTheme="minorEastAsia"/>
                <w:b/>
                <w:bCs/>
              </w:rPr>
              <w:t>序号</w:t>
            </w:r>
            <w:bookmarkEnd w:id="20"/>
          </w:p>
        </w:tc>
        <w:tc>
          <w:tcPr>
            <w:tcW w:w="525"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477E4389">
            <w:pPr>
              <w:widowControl/>
              <w:spacing w:line="240" w:lineRule="auto"/>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服务类别</w:t>
            </w:r>
          </w:p>
        </w:tc>
        <w:tc>
          <w:tcPr>
            <w:tcW w:w="687"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17BC454E">
            <w:pPr>
              <w:widowControl/>
              <w:spacing w:line="240" w:lineRule="auto"/>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服务子类</w:t>
            </w:r>
          </w:p>
        </w:tc>
        <w:tc>
          <w:tcPr>
            <w:tcW w:w="773"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454DA03C">
            <w:pPr>
              <w:widowControl/>
              <w:spacing w:line="240" w:lineRule="auto"/>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服务项</w:t>
            </w:r>
          </w:p>
        </w:tc>
        <w:tc>
          <w:tcPr>
            <w:tcW w:w="1730" w:type="pct"/>
            <w:gridSpan w:val="2"/>
            <w:tcBorders>
              <w:top w:val="single" w:color="auto" w:sz="4" w:space="0"/>
              <w:left w:val="nil"/>
              <w:bottom w:val="single" w:color="auto" w:sz="4" w:space="0"/>
              <w:right w:val="single" w:color="auto" w:sz="4" w:space="0"/>
            </w:tcBorders>
            <w:shd w:val="clear" w:color="auto" w:fill="D8D8D8" w:themeFill="background1" w:themeFillShade="D9"/>
            <w:vAlign w:val="center"/>
          </w:tcPr>
          <w:p w14:paraId="63E4DB88">
            <w:pPr>
              <w:widowControl/>
              <w:spacing w:line="240" w:lineRule="auto"/>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服务子项</w:t>
            </w:r>
          </w:p>
        </w:tc>
        <w:tc>
          <w:tcPr>
            <w:tcW w:w="417"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08D34D8D">
            <w:pPr>
              <w:widowControl/>
              <w:spacing w:line="240" w:lineRule="auto"/>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数量</w:t>
            </w:r>
          </w:p>
        </w:tc>
        <w:tc>
          <w:tcPr>
            <w:tcW w:w="453" w:type="pct"/>
            <w:tcBorders>
              <w:top w:val="single" w:color="auto" w:sz="4" w:space="0"/>
              <w:left w:val="nil"/>
              <w:bottom w:val="single" w:color="auto" w:sz="4" w:space="0"/>
              <w:right w:val="single" w:color="auto" w:sz="4" w:space="0"/>
            </w:tcBorders>
            <w:shd w:val="clear" w:color="auto" w:fill="D8D8D8" w:themeFill="background1" w:themeFillShade="D9"/>
            <w:vAlign w:val="center"/>
          </w:tcPr>
          <w:p w14:paraId="3E227857">
            <w:pPr>
              <w:widowControl/>
              <w:spacing w:line="240" w:lineRule="auto"/>
              <w:ind w:firstLine="0" w:firstLineChars="0"/>
              <w:jc w:val="center"/>
              <w:rPr>
                <w:rFonts w:asciiTheme="minorEastAsia" w:hAnsiTheme="minorEastAsia" w:eastAsiaTheme="minorEastAsia"/>
                <w:b/>
                <w:bCs/>
              </w:rPr>
            </w:pPr>
            <w:r>
              <w:rPr>
                <w:rFonts w:hint="eastAsia" w:asciiTheme="minorEastAsia" w:hAnsiTheme="minorEastAsia" w:eastAsiaTheme="minorEastAsia"/>
                <w:b/>
                <w:bCs/>
              </w:rPr>
              <w:t>单位</w:t>
            </w:r>
          </w:p>
        </w:tc>
      </w:tr>
      <w:tr w14:paraId="132B5651">
        <w:tblPrEx>
          <w:tblCellMar>
            <w:top w:w="0" w:type="dxa"/>
            <w:left w:w="108" w:type="dxa"/>
            <w:bottom w:w="0" w:type="dxa"/>
            <w:right w:w="108" w:type="dxa"/>
          </w:tblCellMar>
        </w:tblPrEx>
        <w:trPr>
          <w:trHeight w:val="20" w:hRule="atLeast"/>
        </w:trPr>
        <w:tc>
          <w:tcPr>
            <w:tcW w:w="415" w:type="pct"/>
            <w:tcBorders>
              <w:top w:val="nil"/>
              <w:left w:val="single" w:color="auto" w:sz="4" w:space="0"/>
              <w:bottom w:val="single" w:color="auto" w:sz="4" w:space="0"/>
              <w:right w:val="single" w:color="auto" w:sz="4" w:space="0"/>
            </w:tcBorders>
            <w:vAlign w:val="center"/>
          </w:tcPr>
          <w:p w14:paraId="20EC6E15">
            <w:pPr>
              <w:widowControl/>
              <w:spacing w:line="240" w:lineRule="auto"/>
              <w:ind w:firstLine="0" w:firstLineChars="0"/>
              <w:jc w:val="center"/>
              <w:rPr>
                <w:rFonts w:asciiTheme="minorEastAsia" w:hAnsiTheme="minorEastAsia" w:eastAsiaTheme="minorEastAsia"/>
              </w:rPr>
            </w:pPr>
            <w:r>
              <w:rPr>
                <w:rFonts w:hint="eastAsia"/>
              </w:rPr>
              <w:t>1</w:t>
            </w:r>
          </w:p>
        </w:tc>
        <w:tc>
          <w:tcPr>
            <w:tcW w:w="525" w:type="pct"/>
            <w:vMerge w:val="restart"/>
            <w:tcBorders>
              <w:top w:val="nil"/>
              <w:left w:val="single" w:color="auto" w:sz="4" w:space="0"/>
              <w:bottom w:val="single" w:color="auto" w:sz="4" w:space="0"/>
              <w:right w:val="single" w:color="auto" w:sz="4" w:space="0"/>
            </w:tcBorders>
            <w:vAlign w:val="center"/>
          </w:tcPr>
          <w:p w14:paraId="1C41475D">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政务区块链服务</w:t>
            </w:r>
          </w:p>
        </w:tc>
        <w:tc>
          <w:tcPr>
            <w:tcW w:w="687" w:type="pct"/>
            <w:vMerge w:val="restart"/>
            <w:tcBorders>
              <w:top w:val="nil"/>
              <w:left w:val="single" w:color="auto" w:sz="4" w:space="0"/>
              <w:bottom w:val="single" w:color="auto" w:sz="4" w:space="0"/>
              <w:right w:val="single" w:color="auto" w:sz="4" w:space="0"/>
            </w:tcBorders>
            <w:vAlign w:val="center"/>
          </w:tcPr>
          <w:p w14:paraId="62458B46">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政务区块链基础服务</w:t>
            </w:r>
          </w:p>
        </w:tc>
        <w:tc>
          <w:tcPr>
            <w:tcW w:w="773" w:type="pct"/>
            <w:tcBorders>
              <w:top w:val="nil"/>
              <w:left w:val="nil"/>
              <w:bottom w:val="single" w:color="auto" w:sz="4" w:space="0"/>
              <w:right w:val="single" w:color="auto" w:sz="4" w:space="0"/>
            </w:tcBorders>
            <w:vAlign w:val="center"/>
          </w:tcPr>
          <w:p w14:paraId="21CFD82D">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区块链算力卡服务</w:t>
            </w:r>
          </w:p>
        </w:tc>
        <w:tc>
          <w:tcPr>
            <w:tcW w:w="1730" w:type="pct"/>
            <w:gridSpan w:val="2"/>
            <w:tcBorders>
              <w:top w:val="single" w:color="auto" w:sz="4" w:space="0"/>
              <w:left w:val="nil"/>
              <w:bottom w:val="single" w:color="auto" w:sz="4" w:space="0"/>
              <w:right w:val="single" w:color="auto" w:sz="4" w:space="0"/>
            </w:tcBorders>
            <w:vAlign w:val="center"/>
          </w:tcPr>
          <w:p w14:paraId="73A870FD">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区块链算力卡服务</w:t>
            </w:r>
          </w:p>
        </w:tc>
        <w:tc>
          <w:tcPr>
            <w:tcW w:w="417" w:type="pct"/>
            <w:tcBorders>
              <w:top w:val="nil"/>
              <w:left w:val="nil"/>
              <w:bottom w:val="single" w:color="auto" w:sz="4" w:space="0"/>
              <w:right w:val="single" w:color="auto" w:sz="4" w:space="0"/>
            </w:tcBorders>
            <w:noWrap/>
            <w:vAlign w:val="center"/>
          </w:tcPr>
          <w:p w14:paraId="15B1E069">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4</w:t>
            </w:r>
          </w:p>
        </w:tc>
        <w:tc>
          <w:tcPr>
            <w:tcW w:w="453" w:type="pct"/>
            <w:tcBorders>
              <w:top w:val="nil"/>
              <w:left w:val="nil"/>
              <w:bottom w:val="single" w:color="auto" w:sz="4" w:space="0"/>
              <w:right w:val="single" w:color="auto" w:sz="4" w:space="0"/>
            </w:tcBorders>
            <w:noWrap/>
            <w:vAlign w:val="center"/>
          </w:tcPr>
          <w:p w14:paraId="2ABD5AD5">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块</w:t>
            </w:r>
          </w:p>
        </w:tc>
      </w:tr>
      <w:tr w14:paraId="43BF2173">
        <w:tblPrEx>
          <w:tblCellMar>
            <w:top w:w="0" w:type="dxa"/>
            <w:left w:w="108" w:type="dxa"/>
            <w:bottom w:w="0" w:type="dxa"/>
            <w:right w:w="108" w:type="dxa"/>
          </w:tblCellMar>
        </w:tblPrEx>
        <w:trPr>
          <w:trHeight w:val="20" w:hRule="atLeast"/>
        </w:trPr>
        <w:tc>
          <w:tcPr>
            <w:tcW w:w="415" w:type="pct"/>
            <w:tcBorders>
              <w:top w:val="nil"/>
              <w:left w:val="single" w:color="auto" w:sz="4" w:space="0"/>
              <w:bottom w:val="single" w:color="auto" w:sz="4" w:space="0"/>
              <w:right w:val="single" w:color="auto" w:sz="4" w:space="0"/>
            </w:tcBorders>
            <w:vAlign w:val="center"/>
          </w:tcPr>
          <w:p w14:paraId="7FB03676">
            <w:pPr>
              <w:widowControl/>
              <w:spacing w:line="240" w:lineRule="auto"/>
              <w:ind w:firstLine="0" w:firstLineChars="0"/>
              <w:jc w:val="center"/>
              <w:rPr>
                <w:rFonts w:asciiTheme="minorEastAsia" w:hAnsiTheme="minorEastAsia" w:eastAsiaTheme="minorEastAsia"/>
              </w:rPr>
            </w:pPr>
            <w:r>
              <w:rPr>
                <w:rFonts w:hint="eastAsia"/>
              </w:rPr>
              <w:t>2</w:t>
            </w:r>
          </w:p>
        </w:tc>
        <w:tc>
          <w:tcPr>
            <w:tcW w:w="525" w:type="pct"/>
            <w:vMerge w:val="continue"/>
            <w:tcBorders>
              <w:top w:val="nil"/>
              <w:left w:val="single" w:color="auto" w:sz="4" w:space="0"/>
              <w:bottom w:val="single" w:color="auto" w:sz="4" w:space="0"/>
              <w:right w:val="single" w:color="auto" w:sz="4" w:space="0"/>
            </w:tcBorders>
            <w:vAlign w:val="center"/>
          </w:tcPr>
          <w:p w14:paraId="66DF1B77">
            <w:pPr>
              <w:widowControl/>
              <w:spacing w:line="240" w:lineRule="auto"/>
              <w:ind w:firstLine="0" w:firstLineChars="0"/>
              <w:jc w:val="center"/>
              <w:rPr>
                <w:rFonts w:asciiTheme="minorEastAsia" w:hAnsiTheme="minorEastAsia" w:eastAsiaTheme="minorEastAsia"/>
              </w:rPr>
            </w:pPr>
          </w:p>
        </w:tc>
        <w:tc>
          <w:tcPr>
            <w:tcW w:w="687" w:type="pct"/>
            <w:vMerge w:val="continue"/>
            <w:tcBorders>
              <w:top w:val="nil"/>
              <w:left w:val="single" w:color="auto" w:sz="4" w:space="0"/>
              <w:bottom w:val="single" w:color="auto" w:sz="4" w:space="0"/>
              <w:right w:val="single" w:color="auto" w:sz="4" w:space="0"/>
            </w:tcBorders>
            <w:vAlign w:val="center"/>
          </w:tcPr>
          <w:p w14:paraId="2F48B455">
            <w:pPr>
              <w:widowControl/>
              <w:spacing w:line="240" w:lineRule="auto"/>
              <w:ind w:firstLine="0" w:firstLineChars="0"/>
              <w:jc w:val="center"/>
              <w:rPr>
                <w:rFonts w:asciiTheme="minorEastAsia" w:hAnsiTheme="minorEastAsia" w:eastAsiaTheme="minorEastAsia"/>
              </w:rPr>
            </w:pPr>
          </w:p>
        </w:tc>
        <w:tc>
          <w:tcPr>
            <w:tcW w:w="773" w:type="pct"/>
            <w:tcBorders>
              <w:top w:val="nil"/>
              <w:left w:val="single" w:color="auto" w:sz="4" w:space="0"/>
              <w:bottom w:val="single" w:color="auto" w:sz="4" w:space="0"/>
              <w:right w:val="single" w:color="auto" w:sz="4" w:space="0"/>
            </w:tcBorders>
            <w:vAlign w:val="center"/>
          </w:tcPr>
          <w:p w14:paraId="796F8337">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政务区块链服务节点</w:t>
            </w:r>
          </w:p>
        </w:tc>
        <w:tc>
          <w:tcPr>
            <w:tcW w:w="1730" w:type="pct"/>
            <w:gridSpan w:val="2"/>
            <w:tcBorders>
              <w:top w:val="single" w:color="auto" w:sz="4" w:space="0"/>
              <w:left w:val="nil"/>
              <w:bottom w:val="single" w:color="auto" w:sz="4" w:space="0"/>
              <w:right w:val="single" w:color="auto" w:sz="4" w:space="0"/>
            </w:tcBorders>
            <w:vAlign w:val="center"/>
          </w:tcPr>
          <w:p w14:paraId="4F756335">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政务区块链服务节点（性能）</w:t>
            </w:r>
          </w:p>
        </w:tc>
        <w:tc>
          <w:tcPr>
            <w:tcW w:w="417" w:type="pct"/>
            <w:tcBorders>
              <w:top w:val="nil"/>
              <w:left w:val="nil"/>
              <w:bottom w:val="single" w:color="auto" w:sz="4" w:space="0"/>
              <w:right w:val="single" w:color="auto" w:sz="4" w:space="0"/>
            </w:tcBorders>
            <w:noWrap/>
            <w:vAlign w:val="center"/>
          </w:tcPr>
          <w:p w14:paraId="679D12DA">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4</w:t>
            </w:r>
          </w:p>
        </w:tc>
        <w:tc>
          <w:tcPr>
            <w:tcW w:w="453" w:type="pct"/>
            <w:tcBorders>
              <w:top w:val="nil"/>
              <w:left w:val="nil"/>
              <w:bottom w:val="single" w:color="auto" w:sz="4" w:space="0"/>
              <w:right w:val="single" w:color="auto" w:sz="4" w:space="0"/>
            </w:tcBorders>
            <w:noWrap/>
            <w:vAlign w:val="center"/>
          </w:tcPr>
          <w:p w14:paraId="164B3C78">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实例</w:t>
            </w:r>
          </w:p>
        </w:tc>
      </w:tr>
      <w:tr w14:paraId="02EC0986">
        <w:tblPrEx>
          <w:tblCellMar>
            <w:top w:w="0" w:type="dxa"/>
            <w:left w:w="108" w:type="dxa"/>
            <w:bottom w:w="0" w:type="dxa"/>
            <w:right w:w="108" w:type="dxa"/>
          </w:tblCellMar>
        </w:tblPrEx>
        <w:trPr>
          <w:trHeight w:val="20" w:hRule="atLeast"/>
        </w:trPr>
        <w:tc>
          <w:tcPr>
            <w:tcW w:w="415" w:type="pct"/>
            <w:tcBorders>
              <w:top w:val="nil"/>
              <w:left w:val="single" w:color="auto" w:sz="4" w:space="0"/>
              <w:bottom w:val="single" w:color="auto" w:sz="4" w:space="0"/>
              <w:right w:val="single" w:color="auto" w:sz="4" w:space="0"/>
            </w:tcBorders>
            <w:vAlign w:val="center"/>
          </w:tcPr>
          <w:p w14:paraId="2EB00CDB">
            <w:pPr>
              <w:widowControl/>
              <w:spacing w:line="240" w:lineRule="auto"/>
              <w:ind w:firstLine="0" w:firstLineChars="0"/>
              <w:jc w:val="center"/>
              <w:rPr>
                <w:rFonts w:asciiTheme="minorEastAsia" w:hAnsiTheme="minorEastAsia" w:eastAsiaTheme="minorEastAsia"/>
              </w:rPr>
            </w:pPr>
            <w:r>
              <w:rPr>
                <w:rFonts w:hint="eastAsia"/>
              </w:rPr>
              <w:t>3</w:t>
            </w:r>
          </w:p>
        </w:tc>
        <w:tc>
          <w:tcPr>
            <w:tcW w:w="525" w:type="pct"/>
            <w:vMerge w:val="continue"/>
            <w:tcBorders>
              <w:top w:val="nil"/>
              <w:left w:val="single" w:color="auto" w:sz="4" w:space="0"/>
              <w:bottom w:val="single" w:color="auto" w:sz="4" w:space="0"/>
              <w:right w:val="single" w:color="auto" w:sz="4" w:space="0"/>
            </w:tcBorders>
            <w:vAlign w:val="center"/>
          </w:tcPr>
          <w:p w14:paraId="3A01CC4B">
            <w:pPr>
              <w:widowControl/>
              <w:spacing w:line="240" w:lineRule="auto"/>
              <w:ind w:firstLine="0" w:firstLineChars="0"/>
              <w:jc w:val="center"/>
              <w:rPr>
                <w:rFonts w:asciiTheme="minorEastAsia" w:hAnsiTheme="minorEastAsia" w:eastAsiaTheme="minorEastAsia"/>
              </w:rPr>
            </w:pPr>
          </w:p>
        </w:tc>
        <w:tc>
          <w:tcPr>
            <w:tcW w:w="687" w:type="pct"/>
            <w:vMerge w:val="continue"/>
            <w:tcBorders>
              <w:top w:val="nil"/>
              <w:left w:val="single" w:color="auto" w:sz="4" w:space="0"/>
              <w:bottom w:val="single" w:color="auto" w:sz="4" w:space="0"/>
              <w:right w:val="single" w:color="auto" w:sz="4" w:space="0"/>
            </w:tcBorders>
            <w:vAlign w:val="center"/>
          </w:tcPr>
          <w:p w14:paraId="079CBAF3">
            <w:pPr>
              <w:widowControl/>
              <w:spacing w:line="240" w:lineRule="auto"/>
              <w:ind w:firstLine="0" w:firstLineChars="0"/>
              <w:jc w:val="center"/>
              <w:rPr>
                <w:rFonts w:asciiTheme="minorEastAsia" w:hAnsiTheme="minorEastAsia" w:eastAsiaTheme="minorEastAsia"/>
              </w:rPr>
            </w:pPr>
          </w:p>
        </w:tc>
        <w:tc>
          <w:tcPr>
            <w:tcW w:w="773" w:type="pct"/>
            <w:tcBorders>
              <w:top w:val="nil"/>
              <w:left w:val="single" w:color="auto" w:sz="4" w:space="0"/>
              <w:bottom w:val="single" w:color="auto" w:sz="4" w:space="0"/>
              <w:right w:val="single" w:color="auto" w:sz="4" w:space="0"/>
            </w:tcBorders>
            <w:vAlign w:val="center"/>
          </w:tcPr>
          <w:p w14:paraId="563569B2">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块存储</w:t>
            </w:r>
          </w:p>
        </w:tc>
        <w:tc>
          <w:tcPr>
            <w:tcW w:w="1730" w:type="pct"/>
            <w:gridSpan w:val="2"/>
            <w:tcBorders>
              <w:top w:val="single" w:color="auto" w:sz="4" w:space="0"/>
              <w:left w:val="nil"/>
              <w:bottom w:val="single" w:color="auto" w:sz="4" w:space="0"/>
              <w:right w:val="single" w:color="auto" w:sz="4" w:space="0"/>
            </w:tcBorders>
            <w:vAlign w:val="center"/>
          </w:tcPr>
          <w:p w14:paraId="7142056B">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块存储（SSD固态硬盘）</w:t>
            </w:r>
          </w:p>
        </w:tc>
        <w:tc>
          <w:tcPr>
            <w:tcW w:w="417" w:type="pct"/>
            <w:tcBorders>
              <w:top w:val="nil"/>
              <w:left w:val="nil"/>
              <w:bottom w:val="single" w:color="auto" w:sz="4" w:space="0"/>
              <w:right w:val="single" w:color="auto" w:sz="4" w:space="0"/>
            </w:tcBorders>
            <w:noWrap/>
            <w:vAlign w:val="center"/>
          </w:tcPr>
          <w:p w14:paraId="71D70F49">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6</w:t>
            </w:r>
          </w:p>
        </w:tc>
        <w:tc>
          <w:tcPr>
            <w:tcW w:w="453" w:type="pct"/>
            <w:tcBorders>
              <w:top w:val="nil"/>
              <w:left w:val="nil"/>
              <w:bottom w:val="single" w:color="auto" w:sz="4" w:space="0"/>
              <w:right w:val="single" w:color="auto" w:sz="4" w:space="0"/>
            </w:tcBorders>
            <w:noWrap/>
            <w:vAlign w:val="center"/>
          </w:tcPr>
          <w:p w14:paraId="5DC443E8">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TB</w:t>
            </w:r>
          </w:p>
        </w:tc>
      </w:tr>
      <w:tr w14:paraId="4D54916D">
        <w:tblPrEx>
          <w:tblCellMar>
            <w:top w:w="0" w:type="dxa"/>
            <w:left w:w="108" w:type="dxa"/>
            <w:bottom w:w="0" w:type="dxa"/>
            <w:right w:w="108" w:type="dxa"/>
          </w:tblCellMar>
        </w:tblPrEx>
        <w:trPr>
          <w:trHeight w:val="20" w:hRule="atLeast"/>
        </w:trPr>
        <w:tc>
          <w:tcPr>
            <w:tcW w:w="415" w:type="pct"/>
            <w:tcBorders>
              <w:top w:val="nil"/>
              <w:left w:val="single" w:color="auto" w:sz="4" w:space="0"/>
              <w:bottom w:val="single" w:color="auto" w:sz="4" w:space="0"/>
              <w:right w:val="single" w:color="auto" w:sz="4" w:space="0"/>
            </w:tcBorders>
            <w:vAlign w:val="center"/>
          </w:tcPr>
          <w:p w14:paraId="04B86245">
            <w:pPr>
              <w:widowControl/>
              <w:spacing w:line="240" w:lineRule="auto"/>
              <w:ind w:firstLine="0" w:firstLineChars="0"/>
              <w:jc w:val="center"/>
              <w:rPr>
                <w:rFonts w:asciiTheme="minorEastAsia" w:hAnsiTheme="minorEastAsia" w:eastAsiaTheme="minorEastAsia"/>
              </w:rPr>
            </w:pPr>
            <w:r>
              <w:rPr>
                <w:rFonts w:hint="eastAsia"/>
              </w:rPr>
              <w:t>4</w:t>
            </w:r>
          </w:p>
        </w:tc>
        <w:tc>
          <w:tcPr>
            <w:tcW w:w="525" w:type="pct"/>
            <w:vMerge w:val="continue"/>
            <w:tcBorders>
              <w:top w:val="nil"/>
              <w:left w:val="single" w:color="auto" w:sz="4" w:space="0"/>
              <w:bottom w:val="single" w:color="auto" w:sz="4" w:space="0"/>
              <w:right w:val="single" w:color="auto" w:sz="4" w:space="0"/>
            </w:tcBorders>
            <w:vAlign w:val="center"/>
          </w:tcPr>
          <w:p w14:paraId="2BF53950">
            <w:pPr>
              <w:widowControl/>
              <w:spacing w:line="240" w:lineRule="auto"/>
              <w:ind w:firstLine="0" w:firstLineChars="0"/>
              <w:jc w:val="center"/>
              <w:rPr>
                <w:rFonts w:asciiTheme="minorEastAsia" w:hAnsiTheme="minorEastAsia" w:eastAsiaTheme="minorEastAsia"/>
              </w:rPr>
            </w:pPr>
          </w:p>
        </w:tc>
        <w:tc>
          <w:tcPr>
            <w:tcW w:w="687" w:type="pct"/>
            <w:vMerge w:val="restart"/>
            <w:tcBorders>
              <w:top w:val="nil"/>
              <w:left w:val="single" w:color="auto" w:sz="4" w:space="0"/>
              <w:bottom w:val="single" w:color="auto" w:sz="4" w:space="0"/>
              <w:right w:val="single" w:color="auto" w:sz="4" w:space="0"/>
            </w:tcBorders>
            <w:vAlign w:val="center"/>
          </w:tcPr>
          <w:p w14:paraId="4981782D">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政务区块链数字信任及证书服务</w:t>
            </w:r>
          </w:p>
        </w:tc>
        <w:tc>
          <w:tcPr>
            <w:tcW w:w="773" w:type="pct"/>
            <w:tcBorders>
              <w:top w:val="nil"/>
              <w:left w:val="single" w:color="auto" w:sz="4" w:space="0"/>
              <w:bottom w:val="single" w:color="auto" w:sz="4" w:space="0"/>
              <w:right w:val="single" w:color="auto" w:sz="4" w:space="0"/>
            </w:tcBorders>
            <w:vAlign w:val="center"/>
          </w:tcPr>
          <w:p w14:paraId="2C67C92B">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政务区块链分布式数字身份服务</w:t>
            </w:r>
          </w:p>
        </w:tc>
        <w:tc>
          <w:tcPr>
            <w:tcW w:w="593" w:type="pct"/>
            <w:tcBorders>
              <w:top w:val="nil"/>
              <w:left w:val="single" w:color="auto" w:sz="4" w:space="0"/>
              <w:bottom w:val="single" w:color="auto" w:sz="4" w:space="0"/>
              <w:right w:val="single" w:color="auto" w:sz="4" w:space="0"/>
            </w:tcBorders>
            <w:vAlign w:val="center"/>
          </w:tcPr>
          <w:p w14:paraId="784B7A60">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政务区块链分布式数字身份服务</w:t>
            </w:r>
          </w:p>
        </w:tc>
        <w:tc>
          <w:tcPr>
            <w:tcW w:w="1137" w:type="pct"/>
            <w:tcBorders>
              <w:top w:val="nil"/>
              <w:left w:val="nil"/>
              <w:bottom w:val="single" w:color="auto" w:sz="4" w:space="0"/>
              <w:right w:val="single" w:color="auto" w:sz="4" w:space="0"/>
            </w:tcBorders>
            <w:vAlign w:val="center"/>
          </w:tcPr>
          <w:p w14:paraId="0793A969">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单个应用年访问量（＞50万次）</w:t>
            </w:r>
          </w:p>
        </w:tc>
        <w:tc>
          <w:tcPr>
            <w:tcW w:w="417" w:type="pct"/>
            <w:tcBorders>
              <w:top w:val="nil"/>
              <w:left w:val="nil"/>
              <w:bottom w:val="single" w:color="auto" w:sz="4" w:space="0"/>
              <w:right w:val="single" w:color="auto" w:sz="4" w:space="0"/>
            </w:tcBorders>
            <w:noWrap/>
            <w:vAlign w:val="center"/>
          </w:tcPr>
          <w:p w14:paraId="31774175">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1</w:t>
            </w:r>
          </w:p>
        </w:tc>
        <w:tc>
          <w:tcPr>
            <w:tcW w:w="453" w:type="pct"/>
            <w:tcBorders>
              <w:top w:val="nil"/>
              <w:left w:val="single" w:color="auto" w:sz="4" w:space="0"/>
              <w:bottom w:val="single" w:color="auto" w:sz="4" w:space="0"/>
              <w:right w:val="single" w:color="auto" w:sz="4" w:space="0"/>
            </w:tcBorders>
            <w:noWrap/>
            <w:vAlign w:val="center"/>
          </w:tcPr>
          <w:p w14:paraId="547C3F0E">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应用</w:t>
            </w:r>
          </w:p>
        </w:tc>
      </w:tr>
      <w:tr w14:paraId="5BB7BD87">
        <w:tblPrEx>
          <w:tblCellMar>
            <w:top w:w="0" w:type="dxa"/>
            <w:left w:w="108" w:type="dxa"/>
            <w:bottom w:w="0" w:type="dxa"/>
            <w:right w:w="108" w:type="dxa"/>
          </w:tblCellMar>
        </w:tblPrEx>
        <w:trPr>
          <w:trHeight w:val="20" w:hRule="atLeast"/>
        </w:trPr>
        <w:tc>
          <w:tcPr>
            <w:tcW w:w="415" w:type="pct"/>
            <w:tcBorders>
              <w:top w:val="nil"/>
              <w:left w:val="single" w:color="auto" w:sz="4" w:space="0"/>
              <w:bottom w:val="single" w:color="auto" w:sz="4" w:space="0"/>
              <w:right w:val="single" w:color="auto" w:sz="4" w:space="0"/>
            </w:tcBorders>
            <w:vAlign w:val="center"/>
          </w:tcPr>
          <w:p w14:paraId="028E2EF9">
            <w:pPr>
              <w:widowControl/>
              <w:spacing w:line="240" w:lineRule="auto"/>
              <w:ind w:firstLine="0" w:firstLineChars="0"/>
              <w:jc w:val="center"/>
              <w:rPr>
                <w:rFonts w:asciiTheme="minorEastAsia" w:hAnsiTheme="minorEastAsia" w:eastAsiaTheme="minorEastAsia"/>
              </w:rPr>
            </w:pPr>
            <w:r>
              <w:rPr>
                <w:rFonts w:hint="eastAsia"/>
              </w:rPr>
              <w:t>5</w:t>
            </w:r>
          </w:p>
        </w:tc>
        <w:tc>
          <w:tcPr>
            <w:tcW w:w="525" w:type="pct"/>
            <w:vMerge w:val="continue"/>
            <w:tcBorders>
              <w:top w:val="nil"/>
              <w:left w:val="single" w:color="auto" w:sz="4" w:space="0"/>
              <w:bottom w:val="single" w:color="auto" w:sz="4" w:space="0"/>
              <w:right w:val="single" w:color="auto" w:sz="4" w:space="0"/>
            </w:tcBorders>
            <w:vAlign w:val="center"/>
          </w:tcPr>
          <w:p w14:paraId="7869A268">
            <w:pPr>
              <w:widowControl/>
              <w:spacing w:line="240" w:lineRule="auto"/>
              <w:ind w:firstLine="0" w:firstLineChars="0"/>
              <w:jc w:val="center"/>
              <w:rPr>
                <w:rFonts w:asciiTheme="minorEastAsia" w:hAnsiTheme="minorEastAsia" w:eastAsiaTheme="minorEastAsia"/>
              </w:rPr>
            </w:pPr>
          </w:p>
        </w:tc>
        <w:tc>
          <w:tcPr>
            <w:tcW w:w="687" w:type="pct"/>
            <w:vMerge w:val="continue"/>
            <w:tcBorders>
              <w:top w:val="nil"/>
              <w:left w:val="single" w:color="auto" w:sz="4" w:space="0"/>
              <w:bottom w:val="single" w:color="auto" w:sz="4" w:space="0"/>
              <w:right w:val="single" w:color="auto" w:sz="4" w:space="0"/>
            </w:tcBorders>
            <w:vAlign w:val="center"/>
          </w:tcPr>
          <w:p w14:paraId="2796A922">
            <w:pPr>
              <w:widowControl/>
              <w:spacing w:line="240" w:lineRule="auto"/>
              <w:ind w:firstLine="0" w:firstLineChars="0"/>
              <w:jc w:val="center"/>
              <w:rPr>
                <w:rFonts w:asciiTheme="minorEastAsia" w:hAnsiTheme="minorEastAsia" w:eastAsiaTheme="minorEastAsia"/>
              </w:rPr>
            </w:pPr>
          </w:p>
        </w:tc>
        <w:tc>
          <w:tcPr>
            <w:tcW w:w="773" w:type="pct"/>
            <w:tcBorders>
              <w:top w:val="nil"/>
              <w:left w:val="nil"/>
              <w:bottom w:val="single" w:color="auto" w:sz="4" w:space="0"/>
              <w:right w:val="single" w:color="auto" w:sz="4" w:space="0"/>
            </w:tcBorders>
            <w:vAlign w:val="center"/>
          </w:tcPr>
          <w:p w14:paraId="73E6C85A">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政务区块链可信证书服务</w:t>
            </w:r>
          </w:p>
        </w:tc>
        <w:tc>
          <w:tcPr>
            <w:tcW w:w="1730" w:type="pct"/>
            <w:gridSpan w:val="2"/>
            <w:tcBorders>
              <w:top w:val="single" w:color="auto" w:sz="4" w:space="0"/>
              <w:left w:val="nil"/>
              <w:bottom w:val="single" w:color="auto" w:sz="4" w:space="0"/>
              <w:right w:val="single" w:color="auto" w:sz="4" w:space="0"/>
            </w:tcBorders>
            <w:vAlign w:val="center"/>
          </w:tcPr>
          <w:p w14:paraId="23AB1BDE">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政务区块链可信证书服务</w:t>
            </w:r>
          </w:p>
        </w:tc>
        <w:tc>
          <w:tcPr>
            <w:tcW w:w="417" w:type="pct"/>
            <w:tcBorders>
              <w:top w:val="nil"/>
              <w:left w:val="nil"/>
              <w:bottom w:val="single" w:color="auto" w:sz="4" w:space="0"/>
              <w:right w:val="single" w:color="auto" w:sz="4" w:space="0"/>
            </w:tcBorders>
            <w:noWrap/>
            <w:vAlign w:val="center"/>
          </w:tcPr>
          <w:p w14:paraId="05EB3FB4">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4</w:t>
            </w:r>
          </w:p>
        </w:tc>
        <w:tc>
          <w:tcPr>
            <w:tcW w:w="453" w:type="pct"/>
            <w:tcBorders>
              <w:top w:val="nil"/>
              <w:left w:val="nil"/>
              <w:bottom w:val="single" w:color="auto" w:sz="4" w:space="0"/>
              <w:right w:val="single" w:color="auto" w:sz="4" w:space="0"/>
            </w:tcBorders>
            <w:noWrap/>
            <w:vAlign w:val="center"/>
          </w:tcPr>
          <w:p w14:paraId="76CD1234">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套</w:t>
            </w:r>
          </w:p>
        </w:tc>
      </w:tr>
      <w:tr w14:paraId="49465EB6">
        <w:tblPrEx>
          <w:tblCellMar>
            <w:top w:w="0" w:type="dxa"/>
            <w:left w:w="108" w:type="dxa"/>
            <w:bottom w:w="0" w:type="dxa"/>
            <w:right w:w="108" w:type="dxa"/>
          </w:tblCellMar>
        </w:tblPrEx>
        <w:trPr>
          <w:trHeight w:val="20" w:hRule="atLeast"/>
        </w:trPr>
        <w:tc>
          <w:tcPr>
            <w:tcW w:w="415" w:type="pct"/>
            <w:tcBorders>
              <w:top w:val="nil"/>
              <w:left w:val="single" w:color="auto" w:sz="4" w:space="0"/>
              <w:bottom w:val="single" w:color="auto" w:sz="4" w:space="0"/>
              <w:right w:val="single" w:color="auto" w:sz="4" w:space="0"/>
            </w:tcBorders>
            <w:vAlign w:val="center"/>
          </w:tcPr>
          <w:p w14:paraId="59D88E4D">
            <w:pPr>
              <w:widowControl/>
              <w:spacing w:line="240" w:lineRule="auto"/>
              <w:ind w:firstLine="0" w:firstLineChars="0"/>
              <w:jc w:val="center"/>
              <w:rPr>
                <w:rFonts w:asciiTheme="minorEastAsia" w:hAnsiTheme="minorEastAsia" w:eastAsiaTheme="minorEastAsia"/>
              </w:rPr>
            </w:pPr>
            <w:r>
              <w:rPr>
                <w:rFonts w:hint="eastAsia"/>
              </w:rPr>
              <w:t>6</w:t>
            </w:r>
          </w:p>
        </w:tc>
        <w:tc>
          <w:tcPr>
            <w:tcW w:w="525" w:type="pct"/>
            <w:vMerge w:val="continue"/>
            <w:tcBorders>
              <w:top w:val="nil"/>
              <w:left w:val="single" w:color="auto" w:sz="4" w:space="0"/>
              <w:bottom w:val="single" w:color="auto" w:sz="4" w:space="0"/>
              <w:right w:val="single" w:color="auto" w:sz="4" w:space="0"/>
            </w:tcBorders>
            <w:vAlign w:val="center"/>
          </w:tcPr>
          <w:p w14:paraId="65F112CB">
            <w:pPr>
              <w:widowControl/>
              <w:spacing w:line="240" w:lineRule="auto"/>
              <w:ind w:firstLine="0" w:firstLineChars="0"/>
              <w:jc w:val="center"/>
              <w:rPr>
                <w:rFonts w:asciiTheme="minorEastAsia" w:hAnsiTheme="minorEastAsia" w:eastAsiaTheme="minorEastAsia"/>
              </w:rPr>
            </w:pPr>
          </w:p>
        </w:tc>
        <w:tc>
          <w:tcPr>
            <w:tcW w:w="687" w:type="pct"/>
            <w:tcBorders>
              <w:top w:val="nil"/>
              <w:left w:val="nil"/>
              <w:bottom w:val="single" w:color="auto" w:sz="4" w:space="0"/>
              <w:right w:val="single" w:color="auto" w:sz="4" w:space="0"/>
            </w:tcBorders>
            <w:vAlign w:val="center"/>
          </w:tcPr>
          <w:p w14:paraId="2D44E075">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政务区块链密码服务</w:t>
            </w:r>
          </w:p>
        </w:tc>
        <w:tc>
          <w:tcPr>
            <w:tcW w:w="773" w:type="pct"/>
            <w:tcBorders>
              <w:top w:val="nil"/>
              <w:left w:val="nil"/>
              <w:bottom w:val="single" w:color="auto" w:sz="4" w:space="0"/>
              <w:right w:val="single" w:color="auto" w:sz="4" w:space="0"/>
            </w:tcBorders>
            <w:vAlign w:val="center"/>
          </w:tcPr>
          <w:p w14:paraId="3A6B456F">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政务区块链密码服务</w:t>
            </w:r>
          </w:p>
        </w:tc>
        <w:tc>
          <w:tcPr>
            <w:tcW w:w="1730" w:type="pct"/>
            <w:gridSpan w:val="2"/>
            <w:tcBorders>
              <w:top w:val="single" w:color="auto" w:sz="4" w:space="0"/>
              <w:left w:val="nil"/>
              <w:bottom w:val="single" w:color="auto" w:sz="4" w:space="0"/>
              <w:right w:val="single" w:color="auto" w:sz="4" w:space="0"/>
            </w:tcBorders>
            <w:vAlign w:val="center"/>
          </w:tcPr>
          <w:p w14:paraId="10E109D8">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政务区块链密码服务</w:t>
            </w:r>
          </w:p>
        </w:tc>
        <w:tc>
          <w:tcPr>
            <w:tcW w:w="417" w:type="pct"/>
            <w:tcBorders>
              <w:top w:val="nil"/>
              <w:left w:val="nil"/>
              <w:bottom w:val="single" w:color="auto" w:sz="4" w:space="0"/>
              <w:right w:val="single" w:color="auto" w:sz="4" w:space="0"/>
            </w:tcBorders>
            <w:noWrap/>
            <w:vAlign w:val="center"/>
          </w:tcPr>
          <w:p w14:paraId="6C0BD63D">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1</w:t>
            </w:r>
          </w:p>
        </w:tc>
        <w:tc>
          <w:tcPr>
            <w:tcW w:w="453" w:type="pct"/>
            <w:tcBorders>
              <w:top w:val="nil"/>
              <w:left w:val="nil"/>
              <w:bottom w:val="single" w:color="auto" w:sz="4" w:space="0"/>
              <w:right w:val="single" w:color="auto" w:sz="4" w:space="0"/>
            </w:tcBorders>
            <w:noWrap/>
            <w:vAlign w:val="center"/>
          </w:tcPr>
          <w:p w14:paraId="5286BB56">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应用</w:t>
            </w:r>
          </w:p>
        </w:tc>
      </w:tr>
      <w:tr w14:paraId="73C3B996">
        <w:tblPrEx>
          <w:tblCellMar>
            <w:top w:w="0" w:type="dxa"/>
            <w:left w:w="108" w:type="dxa"/>
            <w:bottom w:w="0" w:type="dxa"/>
            <w:right w:w="108" w:type="dxa"/>
          </w:tblCellMar>
        </w:tblPrEx>
        <w:trPr>
          <w:trHeight w:val="20" w:hRule="atLeast"/>
        </w:trPr>
        <w:tc>
          <w:tcPr>
            <w:tcW w:w="415" w:type="pct"/>
            <w:tcBorders>
              <w:top w:val="nil"/>
              <w:left w:val="single" w:color="auto" w:sz="4" w:space="0"/>
              <w:bottom w:val="single" w:color="auto" w:sz="4" w:space="0"/>
              <w:right w:val="single" w:color="auto" w:sz="4" w:space="0"/>
            </w:tcBorders>
            <w:vAlign w:val="center"/>
          </w:tcPr>
          <w:p w14:paraId="74666E3C">
            <w:pPr>
              <w:widowControl/>
              <w:spacing w:line="240" w:lineRule="auto"/>
              <w:ind w:firstLine="0" w:firstLineChars="0"/>
              <w:jc w:val="center"/>
              <w:rPr>
                <w:rFonts w:asciiTheme="minorEastAsia" w:hAnsiTheme="minorEastAsia" w:eastAsiaTheme="minorEastAsia"/>
              </w:rPr>
            </w:pPr>
            <w:r>
              <w:rPr>
                <w:rFonts w:hint="eastAsia"/>
              </w:rPr>
              <w:t>7</w:t>
            </w:r>
          </w:p>
        </w:tc>
        <w:tc>
          <w:tcPr>
            <w:tcW w:w="525" w:type="pct"/>
            <w:vMerge w:val="continue"/>
            <w:tcBorders>
              <w:top w:val="nil"/>
              <w:left w:val="single" w:color="auto" w:sz="4" w:space="0"/>
              <w:bottom w:val="single" w:color="auto" w:sz="4" w:space="0"/>
              <w:right w:val="single" w:color="auto" w:sz="4" w:space="0"/>
            </w:tcBorders>
            <w:vAlign w:val="center"/>
          </w:tcPr>
          <w:p w14:paraId="262D6D30">
            <w:pPr>
              <w:widowControl/>
              <w:spacing w:line="240" w:lineRule="auto"/>
              <w:ind w:firstLine="0" w:firstLineChars="0"/>
              <w:jc w:val="center"/>
              <w:rPr>
                <w:rFonts w:asciiTheme="minorEastAsia" w:hAnsiTheme="minorEastAsia" w:eastAsiaTheme="minorEastAsia"/>
              </w:rPr>
            </w:pPr>
          </w:p>
        </w:tc>
        <w:tc>
          <w:tcPr>
            <w:tcW w:w="687" w:type="pct"/>
            <w:tcBorders>
              <w:top w:val="nil"/>
              <w:left w:val="single" w:color="auto" w:sz="4" w:space="0"/>
              <w:bottom w:val="single" w:color="auto" w:sz="4" w:space="0"/>
              <w:right w:val="single" w:color="auto" w:sz="4" w:space="0"/>
            </w:tcBorders>
            <w:vAlign w:val="center"/>
          </w:tcPr>
          <w:p w14:paraId="1589DD8E">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政务区块链目录服务</w:t>
            </w:r>
          </w:p>
        </w:tc>
        <w:tc>
          <w:tcPr>
            <w:tcW w:w="773" w:type="pct"/>
            <w:tcBorders>
              <w:top w:val="nil"/>
              <w:left w:val="single" w:color="auto" w:sz="4" w:space="0"/>
              <w:bottom w:val="single" w:color="auto" w:sz="4" w:space="0"/>
              <w:right w:val="single" w:color="auto" w:sz="4" w:space="0"/>
            </w:tcBorders>
            <w:vAlign w:val="center"/>
          </w:tcPr>
          <w:p w14:paraId="2E8D74B9">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政务区块链目录服务</w:t>
            </w:r>
          </w:p>
        </w:tc>
        <w:tc>
          <w:tcPr>
            <w:tcW w:w="593" w:type="pct"/>
            <w:tcBorders>
              <w:top w:val="nil"/>
              <w:left w:val="single" w:color="auto" w:sz="4" w:space="0"/>
              <w:bottom w:val="single" w:color="auto" w:sz="4" w:space="0"/>
              <w:right w:val="single" w:color="auto" w:sz="4" w:space="0"/>
            </w:tcBorders>
            <w:vAlign w:val="center"/>
          </w:tcPr>
          <w:p w14:paraId="69B04B51">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政务区块链目录服务</w:t>
            </w:r>
          </w:p>
        </w:tc>
        <w:tc>
          <w:tcPr>
            <w:tcW w:w="1137" w:type="pct"/>
            <w:tcBorders>
              <w:top w:val="nil"/>
              <w:left w:val="nil"/>
              <w:bottom w:val="single" w:color="auto" w:sz="4" w:space="0"/>
              <w:right w:val="single" w:color="auto" w:sz="4" w:space="0"/>
            </w:tcBorders>
            <w:vAlign w:val="center"/>
          </w:tcPr>
          <w:p w14:paraId="6837C0F6">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1个-40个部门接入使用</w:t>
            </w:r>
          </w:p>
        </w:tc>
        <w:tc>
          <w:tcPr>
            <w:tcW w:w="417" w:type="pct"/>
            <w:tcBorders>
              <w:top w:val="nil"/>
              <w:left w:val="nil"/>
              <w:bottom w:val="single" w:color="auto" w:sz="4" w:space="0"/>
              <w:right w:val="single" w:color="auto" w:sz="4" w:space="0"/>
            </w:tcBorders>
            <w:noWrap/>
            <w:vAlign w:val="center"/>
          </w:tcPr>
          <w:p w14:paraId="0EF30643">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1</w:t>
            </w:r>
          </w:p>
        </w:tc>
        <w:tc>
          <w:tcPr>
            <w:tcW w:w="453" w:type="pct"/>
            <w:tcBorders>
              <w:top w:val="nil"/>
              <w:left w:val="single" w:color="auto" w:sz="4" w:space="0"/>
              <w:bottom w:val="single" w:color="auto" w:sz="4" w:space="0"/>
              <w:right w:val="single" w:color="auto" w:sz="4" w:space="0"/>
            </w:tcBorders>
            <w:noWrap/>
            <w:vAlign w:val="center"/>
          </w:tcPr>
          <w:p w14:paraId="09622D61">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部门</w:t>
            </w:r>
          </w:p>
        </w:tc>
      </w:tr>
      <w:tr w14:paraId="43A566B7">
        <w:tblPrEx>
          <w:tblCellMar>
            <w:top w:w="0" w:type="dxa"/>
            <w:left w:w="108" w:type="dxa"/>
            <w:bottom w:w="0" w:type="dxa"/>
            <w:right w:w="108" w:type="dxa"/>
          </w:tblCellMar>
        </w:tblPrEx>
        <w:trPr>
          <w:trHeight w:val="20" w:hRule="atLeast"/>
        </w:trPr>
        <w:tc>
          <w:tcPr>
            <w:tcW w:w="415" w:type="pct"/>
            <w:tcBorders>
              <w:top w:val="nil"/>
              <w:left w:val="single" w:color="auto" w:sz="4" w:space="0"/>
              <w:bottom w:val="single" w:color="auto" w:sz="4" w:space="0"/>
              <w:right w:val="single" w:color="auto" w:sz="4" w:space="0"/>
            </w:tcBorders>
            <w:vAlign w:val="center"/>
          </w:tcPr>
          <w:p w14:paraId="013C0D8C">
            <w:pPr>
              <w:widowControl/>
              <w:spacing w:line="240" w:lineRule="auto"/>
              <w:ind w:firstLine="0" w:firstLineChars="0"/>
              <w:jc w:val="center"/>
              <w:rPr>
                <w:rFonts w:asciiTheme="minorEastAsia" w:hAnsiTheme="minorEastAsia" w:eastAsiaTheme="minorEastAsia"/>
              </w:rPr>
            </w:pPr>
            <w:r>
              <w:rPr>
                <w:rFonts w:hint="eastAsia"/>
              </w:rPr>
              <w:t>8</w:t>
            </w:r>
          </w:p>
        </w:tc>
        <w:tc>
          <w:tcPr>
            <w:tcW w:w="525" w:type="pct"/>
            <w:vMerge w:val="continue"/>
            <w:tcBorders>
              <w:top w:val="nil"/>
              <w:left w:val="single" w:color="auto" w:sz="4" w:space="0"/>
              <w:bottom w:val="single" w:color="auto" w:sz="4" w:space="0"/>
              <w:right w:val="single" w:color="auto" w:sz="4" w:space="0"/>
            </w:tcBorders>
            <w:vAlign w:val="center"/>
          </w:tcPr>
          <w:p w14:paraId="35D5ADB5">
            <w:pPr>
              <w:widowControl/>
              <w:spacing w:line="240" w:lineRule="auto"/>
              <w:ind w:firstLine="0" w:firstLineChars="0"/>
              <w:jc w:val="center"/>
              <w:rPr>
                <w:rFonts w:asciiTheme="minorEastAsia" w:hAnsiTheme="minorEastAsia" w:eastAsiaTheme="minorEastAsia"/>
              </w:rPr>
            </w:pPr>
          </w:p>
        </w:tc>
        <w:tc>
          <w:tcPr>
            <w:tcW w:w="687" w:type="pct"/>
            <w:tcBorders>
              <w:top w:val="nil"/>
              <w:left w:val="single" w:color="auto" w:sz="4" w:space="0"/>
              <w:bottom w:val="single" w:color="auto" w:sz="4" w:space="0"/>
              <w:right w:val="single" w:color="auto" w:sz="4" w:space="0"/>
            </w:tcBorders>
            <w:vAlign w:val="center"/>
          </w:tcPr>
          <w:p w14:paraId="00F54D2F">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政务区块链综合平台服务</w:t>
            </w:r>
          </w:p>
        </w:tc>
        <w:tc>
          <w:tcPr>
            <w:tcW w:w="773" w:type="pct"/>
            <w:tcBorders>
              <w:top w:val="nil"/>
              <w:left w:val="single" w:color="auto" w:sz="4" w:space="0"/>
              <w:bottom w:val="single" w:color="auto" w:sz="4" w:space="0"/>
              <w:right w:val="single" w:color="auto" w:sz="4" w:space="0"/>
            </w:tcBorders>
            <w:vAlign w:val="center"/>
          </w:tcPr>
          <w:p w14:paraId="60F18468">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政务区块链综合平台服务</w:t>
            </w:r>
          </w:p>
        </w:tc>
        <w:tc>
          <w:tcPr>
            <w:tcW w:w="593" w:type="pct"/>
            <w:tcBorders>
              <w:top w:val="nil"/>
              <w:left w:val="single" w:color="auto" w:sz="4" w:space="0"/>
              <w:bottom w:val="single" w:color="auto" w:sz="4" w:space="0"/>
              <w:right w:val="single" w:color="auto" w:sz="4" w:space="0"/>
            </w:tcBorders>
            <w:vAlign w:val="center"/>
          </w:tcPr>
          <w:p w14:paraId="744222CD">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政务区块链综合平台服务</w:t>
            </w:r>
          </w:p>
        </w:tc>
        <w:tc>
          <w:tcPr>
            <w:tcW w:w="1137" w:type="pct"/>
            <w:tcBorders>
              <w:top w:val="nil"/>
              <w:left w:val="nil"/>
              <w:bottom w:val="single" w:color="auto" w:sz="4" w:space="0"/>
              <w:right w:val="single" w:color="auto" w:sz="4" w:space="0"/>
            </w:tcBorders>
            <w:vAlign w:val="center"/>
          </w:tcPr>
          <w:p w14:paraId="362FE1A8">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用户使用实例数量1-100个</w:t>
            </w:r>
          </w:p>
        </w:tc>
        <w:tc>
          <w:tcPr>
            <w:tcW w:w="417" w:type="pct"/>
            <w:tcBorders>
              <w:top w:val="nil"/>
              <w:left w:val="nil"/>
              <w:bottom w:val="single" w:color="auto" w:sz="4" w:space="0"/>
              <w:right w:val="single" w:color="auto" w:sz="4" w:space="0"/>
            </w:tcBorders>
            <w:noWrap/>
            <w:vAlign w:val="center"/>
          </w:tcPr>
          <w:p w14:paraId="618ADC99">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4</w:t>
            </w:r>
          </w:p>
        </w:tc>
        <w:tc>
          <w:tcPr>
            <w:tcW w:w="453" w:type="pct"/>
            <w:tcBorders>
              <w:top w:val="nil"/>
              <w:left w:val="single" w:color="auto" w:sz="4" w:space="0"/>
              <w:bottom w:val="single" w:color="auto" w:sz="4" w:space="0"/>
              <w:right w:val="single" w:color="auto" w:sz="4" w:space="0"/>
            </w:tcBorders>
            <w:vAlign w:val="center"/>
          </w:tcPr>
          <w:p w14:paraId="1F3B397C">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实例</w:t>
            </w:r>
          </w:p>
        </w:tc>
      </w:tr>
      <w:tr w14:paraId="1118F408">
        <w:tblPrEx>
          <w:tblCellMar>
            <w:top w:w="0" w:type="dxa"/>
            <w:left w:w="108" w:type="dxa"/>
            <w:bottom w:w="0" w:type="dxa"/>
            <w:right w:w="108" w:type="dxa"/>
          </w:tblCellMar>
        </w:tblPrEx>
        <w:trPr>
          <w:trHeight w:val="20" w:hRule="atLeast"/>
        </w:trPr>
        <w:tc>
          <w:tcPr>
            <w:tcW w:w="415" w:type="pct"/>
            <w:tcBorders>
              <w:top w:val="nil"/>
              <w:left w:val="single" w:color="auto" w:sz="4" w:space="0"/>
              <w:bottom w:val="single" w:color="auto" w:sz="4" w:space="0"/>
              <w:right w:val="single" w:color="auto" w:sz="4" w:space="0"/>
            </w:tcBorders>
            <w:vAlign w:val="center"/>
          </w:tcPr>
          <w:p w14:paraId="679E6EDD">
            <w:pPr>
              <w:widowControl/>
              <w:spacing w:line="240" w:lineRule="auto"/>
              <w:ind w:firstLine="0" w:firstLineChars="0"/>
              <w:jc w:val="center"/>
              <w:rPr>
                <w:rFonts w:asciiTheme="minorEastAsia" w:hAnsiTheme="minorEastAsia" w:eastAsiaTheme="minorEastAsia"/>
              </w:rPr>
            </w:pPr>
            <w:r>
              <w:rPr>
                <w:rFonts w:hint="eastAsia"/>
              </w:rPr>
              <w:t>9</w:t>
            </w:r>
          </w:p>
        </w:tc>
        <w:tc>
          <w:tcPr>
            <w:tcW w:w="525" w:type="pct"/>
            <w:vMerge w:val="continue"/>
            <w:tcBorders>
              <w:top w:val="nil"/>
              <w:left w:val="single" w:color="auto" w:sz="4" w:space="0"/>
              <w:bottom w:val="single" w:color="auto" w:sz="4" w:space="0"/>
              <w:right w:val="single" w:color="auto" w:sz="4" w:space="0"/>
            </w:tcBorders>
            <w:vAlign w:val="center"/>
          </w:tcPr>
          <w:p w14:paraId="5B735339">
            <w:pPr>
              <w:widowControl/>
              <w:spacing w:line="240" w:lineRule="auto"/>
              <w:ind w:firstLine="0" w:firstLineChars="0"/>
              <w:jc w:val="center"/>
              <w:rPr>
                <w:rFonts w:asciiTheme="minorEastAsia" w:hAnsiTheme="minorEastAsia" w:eastAsiaTheme="minorEastAsia"/>
              </w:rPr>
            </w:pPr>
          </w:p>
        </w:tc>
        <w:tc>
          <w:tcPr>
            <w:tcW w:w="687" w:type="pct"/>
            <w:tcBorders>
              <w:top w:val="nil"/>
              <w:left w:val="single" w:color="auto" w:sz="4" w:space="0"/>
              <w:bottom w:val="single" w:color="auto" w:sz="4" w:space="0"/>
              <w:right w:val="single" w:color="auto" w:sz="4" w:space="0"/>
            </w:tcBorders>
            <w:vAlign w:val="center"/>
          </w:tcPr>
          <w:p w14:paraId="043D7FE0">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政务区块链智能合约服务</w:t>
            </w:r>
          </w:p>
        </w:tc>
        <w:tc>
          <w:tcPr>
            <w:tcW w:w="773" w:type="pct"/>
            <w:tcBorders>
              <w:top w:val="nil"/>
              <w:left w:val="single" w:color="auto" w:sz="4" w:space="0"/>
              <w:bottom w:val="single" w:color="auto" w:sz="4" w:space="0"/>
              <w:right w:val="single" w:color="auto" w:sz="4" w:space="0"/>
            </w:tcBorders>
            <w:vAlign w:val="center"/>
          </w:tcPr>
          <w:p w14:paraId="69BE441C">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政务区块链智能合约服务</w:t>
            </w:r>
          </w:p>
        </w:tc>
        <w:tc>
          <w:tcPr>
            <w:tcW w:w="593" w:type="pct"/>
            <w:tcBorders>
              <w:top w:val="nil"/>
              <w:left w:val="single" w:color="auto" w:sz="4" w:space="0"/>
              <w:bottom w:val="single" w:color="auto" w:sz="4" w:space="0"/>
              <w:right w:val="single" w:color="auto" w:sz="4" w:space="0"/>
            </w:tcBorders>
            <w:vAlign w:val="center"/>
          </w:tcPr>
          <w:p w14:paraId="59FC898D">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政务区块链智能合约服务</w:t>
            </w:r>
          </w:p>
        </w:tc>
        <w:tc>
          <w:tcPr>
            <w:tcW w:w="1137" w:type="pct"/>
            <w:tcBorders>
              <w:top w:val="nil"/>
              <w:left w:val="nil"/>
              <w:bottom w:val="single" w:color="auto" w:sz="4" w:space="0"/>
              <w:right w:val="single" w:color="auto" w:sz="4" w:space="0"/>
            </w:tcBorders>
            <w:vAlign w:val="center"/>
          </w:tcPr>
          <w:p w14:paraId="23B069C7">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1个-25个接入应用</w:t>
            </w:r>
          </w:p>
        </w:tc>
        <w:tc>
          <w:tcPr>
            <w:tcW w:w="417" w:type="pct"/>
            <w:tcBorders>
              <w:top w:val="nil"/>
              <w:left w:val="nil"/>
              <w:bottom w:val="single" w:color="auto" w:sz="4" w:space="0"/>
              <w:right w:val="single" w:color="auto" w:sz="4" w:space="0"/>
            </w:tcBorders>
            <w:noWrap/>
            <w:vAlign w:val="center"/>
          </w:tcPr>
          <w:p w14:paraId="298540EE">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1</w:t>
            </w:r>
          </w:p>
        </w:tc>
        <w:tc>
          <w:tcPr>
            <w:tcW w:w="453" w:type="pct"/>
            <w:tcBorders>
              <w:top w:val="nil"/>
              <w:left w:val="single" w:color="auto" w:sz="4" w:space="0"/>
              <w:bottom w:val="single" w:color="auto" w:sz="4" w:space="0"/>
              <w:right w:val="single" w:color="auto" w:sz="4" w:space="0"/>
            </w:tcBorders>
            <w:noWrap/>
            <w:vAlign w:val="center"/>
          </w:tcPr>
          <w:p w14:paraId="1ED6BD92">
            <w:pPr>
              <w:widowControl/>
              <w:spacing w:line="240" w:lineRule="auto"/>
              <w:ind w:firstLine="0" w:firstLineChars="0"/>
              <w:jc w:val="center"/>
              <w:rPr>
                <w:rFonts w:asciiTheme="minorEastAsia" w:hAnsiTheme="minorEastAsia" w:eastAsiaTheme="minorEastAsia"/>
              </w:rPr>
            </w:pPr>
            <w:r>
              <w:rPr>
                <w:rFonts w:hint="eastAsia" w:asciiTheme="minorEastAsia" w:hAnsiTheme="minorEastAsia" w:eastAsiaTheme="minorEastAsia"/>
              </w:rPr>
              <w:t>应用</w:t>
            </w:r>
          </w:p>
        </w:tc>
      </w:tr>
    </w:tbl>
    <w:p w14:paraId="51F97466"/>
    <w:p w14:paraId="1907ECFF">
      <w:pPr>
        <w:pStyle w:val="2"/>
      </w:pPr>
      <w:r>
        <w:rPr>
          <w:rFonts w:hint="eastAsia"/>
        </w:rPr>
        <w:t>其他工作要求</w:t>
      </w:r>
      <w:bookmarkEnd w:id="17"/>
    </w:p>
    <w:p w14:paraId="15F5DD27">
      <w:pPr>
        <w:ind w:firstLine="562"/>
        <w:rPr>
          <w:rFonts w:ascii="仿宋" w:hAnsi="仿宋" w:eastAsia="仿宋"/>
          <w:b/>
          <w:vanish/>
          <w:sz w:val="28"/>
          <w:szCs w:val="20"/>
        </w:rPr>
      </w:pPr>
      <w:bookmarkStart w:id="21" w:name="_Toc63585480"/>
      <w:bookmarkEnd w:id="21"/>
      <w:bookmarkStart w:id="22" w:name="_Toc61968111"/>
      <w:bookmarkEnd w:id="22"/>
      <w:bookmarkStart w:id="23" w:name="_Toc63762370"/>
      <w:bookmarkEnd w:id="23"/>
      <w:bookmarkStart w:id="24" w:name="_Toc63151871"/>
      <w:bookmarkEnd w:id="24"/>
      <w:bookmarkStart w:id="25" w:name="_Toc62219358"/>
      <w:bookmarkEnd w:id="25"/>
      <w:bookmarkStart w:id="26" w:name="_Toc63785439"/>
      <w:bookmarkEnd w:id="26"/>
      <w:bookmarkStart w:id="27" w:name="_Toc62209488"/>
      <w:bookmarkEnd w:id="27"/>
      <w:bookmarkStart w:id="28" w:name="_Toc63785504"/>
      <w:bookmarkEnd w:id="28"/>
    </w:p>
    <w:p w14:paraId="5E530C4F">
      <w:pPr>
        <w:pStyle w:val="3"/>
      </w:pPr>
      <w:bookmarkStart w:id="29" w:name="_Toc63785505"/>
      <w:r>
        <w:rPr>
          <w:rFonts w:hint="eastAsia"/>
        </w:rPr>
        <w:t>售后服务要求</w:t>
      </w:r>
      <w:bookmarkEnd w:id="29"/>
    </w:p>
    <w:p w14:paraId="656FB07F">
      <w:pPr>
        <w:pStyle w:val="106"/>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1739C7DB">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7F27F597">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系统定期巡检、系统安全补丁升级、系统和应用漏洞修复、Bug修复、功能优化。</w:t>
      </w:r>
    </w:p>
    <w:p w14:paraId="5F9D30B8">
      <w:pPr>
        <w:pStyle w:val="3"/>
      </w:pPr>
      <w:bookmarkStart w:id="30" w:name="_Toc63785506"/>
      <w:r>
        <w:rPr>
          <w:rFonts w:hint="eastAsia"/>
        </w:rPr>
        <w:t>应急响应要求</w:t>
      </w:r>
      <w:bookmarkEnd w:id="30"/>
    </w:p>
    <w:p w14:paraId="432673CC">
      <w:pPr>
        <w:pStyle w:val="106"/>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4E4A7D5F">
      <w:pPr>
        <w:pStyle w:val="106"/>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3FF82A78">
      <w:pPr>
        <w:pStyle w:val="106"/>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6A5CAA8B">
      <w:pPr>
        <w:pStyle w:val="106"/>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4FF81BDE">
      <w:pPr>
        <w:pStyle w:val="106"/>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15AB86DD">
      <w:pPr>
        <w:pStyle w:val="3"/>
      </w:pPr>
      <w:bookmarkStart w:id="31" w:name="_Toc63785507"/>
      <w:r>
        <w:rPr>
          <w:rFonts w:hint="eastAsia"/>
        </w:rPr>
        <w:t>培训要求</w:t>
      </w:r>
      <w:bookmarkEnd w:id="31"/>
    </w:p>
    <w:p w14:paraId="335F03B3">
      <w:r>
        <w:rPr>
          <w:rFonts w:hint="eastAsia"/>
        </w:rPr>
        <w:t>对系统使用单位提供业务操作培训，应提供详细培训方案。</w:t>
      </w:r>
    </w:p>
    <w:p w14:paraId="00346DCD">
      <w:r>
        <w:rPr>
          <w:rFonts w:hint="eastAsia"/>
        </w:rPr>
        <w:t>(1)在12个月的质量保证期内，提供2次与项目相关的必要培训。</w:t>
      </w:r>
    </w:p>
    <w:p w14:paraId="34263920">
      <w:r>
        <w:rPr>
          <w:rFonts w:hint="eastAsia"/>
        </w:rPr>
        <w:t>(2)供应商需要开展分层次的人员培训工作，每次培训后应对参加培训人员进行测试，评估培训成果。培训应具有培训教材、培训环境和高水平的培训讲师。</w:t>
      </w:r>
    </w:p>
    <w:p w14:paraId="213C3A42">
      <w:r>
        <w:rPr>
          <w:rFonts w:hint="eastAsia"/>
        </w:rPr>
        <w:t>(3)供应商应提供一般用户的基础操作培训和部门信息管理员的日常应用维护的培训，确保用户对象能够掌握对应的操作技能。</w:t>
      </w:r>
    </w:p>
    <w:p w14:paraId="51C3A580">
      <w:pPr>
        <w:pStyle w:val="3"/>
      </w:pPr>
      <w:bookmarkStart w:id="32" w:name="_Toc63785508"/>
      <w:r>
        <w:rPr>
          <w:rFonts w:hint="eastAsia"/>
        </w:rPr>
        <w:t>验收要求</w:t>
      </w:r>
      <w:bookmarkEnd w:id="32"/>
    </w:p>
    <w:p w14:paraId="7270150A">
      <w:pPr>
        <w:rPr>
          <w:szCs w:val="21"/>
        </w:rPr>
      </w:pPr>
      <w:r>
        <w:rPr>
          <w:rFonts w:hint="eastAsia"/>
          <w:szCs w:val="21"/>
        </w:rPr>
        <w:t>本项目按下述方式开展验收。</w:t>
      </w:r>
    </w:p>
    <w:p w14:paraId="52AB277F">
      <w:pPr>
        <w:rPr>
          <w:szCs w:val="21"/>
        </w:rPr>
      </w:pPr>
      <w:r>
        <w:rPr>
          <w:rFonts w:hint="eastAsia"/>
          <w:szCs w:val="21"/>
        </w:rPr>
        <w:t>（</w:t>
      </w:r>
      <w:r>
        <w:rPr>
          <w:szCs w:val="21"/>
        </w:rPr>
        <w:t>1）验收分初验和终验。</w:t>
      </w:r>
    </w:p>
    <w:p w14:paraId="4FFDE80F">
      <w:pPr>
        <w:rPr>
          <w:szCs w:val="21"/>
        </w:rPr>
      </w:pPr>
      <w:r>
        <w:rPr>
          <w:rFonts w:hint="eastAsia"/>
          <w:szCs w:val="21"/>
        </w:rPr>
        <w:t>（</w:t>
      </w:r>
      <w:r>
        <w:rPr>
          <w:szCs w:val="21"/>
        </w:rPr>
        <w:t>2）初验前，供应商</w:t>
      </w:r>
      <w:r>
        <w:rPr>
          <w:rFonts w:hint="eastAsia"/>
          <w:szCs w:val="21"/>
          <w:lang w:eastAsia="zh-CN"/>
        </w:rPr>
        <w:t>需</w:t>
      </w:r>
      <w:r>
        <w:rPr>
          <w:szCs w:val="21"/>
        </w:rPr>
        <w:t>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180AE986">
      <w:pPr>
        <w:rPr>
          <w:szCs w:val="21"/>
        </w:rPr>
      </w:pPr>
      <w:r>
        <w:rPr>
          <w:rFonts w:hint="eastAsia"/>
          <w:szCs w:val="21"/>
        </w:rPr>
        <w:t>（</w:t>
      </w:r>
      <w:r>
        <w:rPr>
          <w:szCs w:val="21"/>
        </w:rPr>
        <w:t>3）初验时，供应商</w:t>
      </w:r>
      <w:r>
        <w:rPr>
          <w:rFonts w:hint="eastAsia"/>
          <w:szCs w:val="21"/>
          <w:lang w:eastAsia="zh-CN"/>
        </w:rPr>
        <w:t>需</w:t>
      </w:r>
      <w:r>
        <w:rPr>
          <w:szCs w:val="21"/>
        </w:rPr>
        <w:t>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2370847F">
      <w:pPr>
        <w:rPr>
          <w:szCs w:val="21"/>
        </w:rPr>
      </w:pPr>
      <w:r>
        <w:rPr>
          <w:rFonts w:hint="eastAsia"/>
          <w:szCs w:val="21"/>
        </w:rPr>
        <w:t>（</w:t>
      </w:r>
      <w:r>
        <w:rPr>
          <w:szCs w:val="21"/>
        </w:rPr>
        <w:t>4）自初验通过之日起，招标方享有供应商免费提供的</w:t>
      </w:r>
      <w:r>
        <w:rPr>
          <w:rFonts w:hint="eastAsia"/>
          <w:szCs w:val="21"/>
        </w:rPr>
        <w:t>30</w:t>
      </w:r>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14:paraId="30443DD1">
      <w:pPr>
        <w:rPr>
          <w:szCs w:val="21"/>
        </w:rPr>
      </w:pPr>
      <w:r>
        <w:rPr>
          <w:rFonts w:hint="eastAsia"/>
          <w:szCs w:val="21"/>
        </w:rPr>
        <w:t>（</w:t>
      </w:r>
      <w:r>
        <w:rPr>
          <w:szCs w:val="21"/>
        </w:rPr>
        <w:t>5）</w:t>
      </w:r>
      <w:r>
        <w:rPr>
          <w:rFonts w:hint="eastAsia"/>
          <w:szCs w:val="21"/>
        </w:rPr>
        <w:t>初验通过且信息系统试运行期已经达到本项目约定的时间，且完成</w:t>
      </w:r>
      <w:r>
        <w:rPr>
          <w:rFonts w:hint="eastAsia"/>
        </w:rPr>
        <w:t>试点单位（市级公立医疗机构33家，区级卫健委2家，预计覆盖1000万用户）</w:t>
      </w:r>
      <w:r>
        <w:rPr>
          <w:rFonts w:hint="eastAsia"/>
          <w:szCs w:val="21"/>
        </w:rPr>
        <w:t>的业务上线试运行，经供应商确认信息系统具备正常运行条件，且信息系统通过运行测试，供应商应以书面形式通知采购方信息系统已准备就绪等待终验。采购方在收到终验通知后的30个工作日内发起组织专家验收会</w:t>
      </w:r>
      <w:r>
        <w:rPr>
          <w:szCs w:val="21"/>
        </w:rPr>
        <w:t>。</w:t>
      </w:r>
    </w:p>
    <w:p w14:paraId="200A46E5">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487139A5">
      <w:pPr>
        <w:rPr>
          <w:szCs w:val="21"/>
        </w:rPr>
      </w:pPr>
      <w:r>
        <w:rPr>
          <w:rFonts w:hint="eastAsia"/>
          <w:szCs w:val="21"/>
        </w:rPr>
        <w:t>（7</w:t>
      </w:r>
      <w:r>
        <w:rPr>
          <w:szCs w:val="21"/>
        </w:rPr>
        <w:t>）如果由于招标方原因导致本项目在终验通过前出现故障或问题，供应商应及时配合排除该方面的故障或问题。</w:t>
      </w:r>
    </w:p>
    <w:p w14:paraId="21BD7C55">
      <w:pPr>
        <w:rPr>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14:paraId="719D85F2">
      <w:pPr>
        <w:pStyle w:val="3"/>
      </w:pPr>
      <w:bookmarkStart w:id="33" w:name="_Toc63785509"/>
      <w:r>
        <w:rPr>
          <w:rFonts w:hint="eastAsia"/>
        </w:rPr>
        <w:t>进度要求</w:t>
      </w:r>
      <w:bookmarkEnd w:id="33"/>
    </w:p>
    <w:p w14:paraId="38D8F42C">
      <w:r>
        <w:rPr>
          <w:rFonts w:hint="eastAsia"/>
        </w:rPr>
        <w:t>投标人应根据建设内容，分阶段制定合理的时间进度，并且应根据招标方要求进行调整和细化。</w:t>
      </w:r>
    </w:p>
    <w:p w14:paraId="3760B961">
      <w:r>
        <w:rPr>
          <w:rFonts w:hint="eastAsia"/>
        </w:rPr>
        <w:t>总建设周期为18个月，分为7个阶段。</w:t>
      </w:r>
    </w:p>
    <w:p w14:paraId="5135B346">
      <w:r>
        <w:rPr>
          <w:rFonts w:hint="eastAsia"/>
        </w:rPr>
        <w:t>第一阶段为1个月，完成需求调研；</w:t>
      </w:r>
    </w:p>
    <w:p w14:paraId="24F56CF6">
      <w:r>
        <w:rPr>
          <w:rFonts w:hint="eastAsia"/>
        </w:rPr>
        <w:t>第二阶段为0.5个月，完成系统设计；</w:t>
      </w:r>
    </w:p>
    <w:p w14:paraId="7412C718">
      <w:r>
        <w:rPr>
          <w:rFonts w:hint="eastAsia"/>
        </w:rPr>
        <w:t>第三阶段为8个月，完成所有项目内容建设；</w:t>
      </w:r>
    </w:p>
    <w:p w14:paraId="18A7D6A1">
      <w:r>
        <w:rPr>
          <w:rFonts w:hint="eastAsia"/>
        </w:rPr>
        <w:t>第四阶段为0.5个月，完成系统初验；</w:t>
      </w:r>
    </w:p>
    <w:p w14:paraId="40F8726C">
      <w:r>
        <w:rPr>
          <w:rFonts w:hint="eastAsia"/>
        </w:rPr>
        <w:t>第五阶段为4个月，完成系统测试；</w:t>
      </w:r>
    </w:p>
    <w:p w14:paraId="6B2CE204">
      <w:r>
        <w:rPr>
          <w:rFonts w:hint="eastAsia"/>
        </w:rPr>
        <w:t>第六阶段为3个月，完成系统试运行；</w:t>
      </w:r>
    </w:p>
    <w:p w14:paraId="6CC6C60E">
      <w:r>
        <w:rPr>
          <w:rFonts w:hint="eastAsia"/>
        </w:rPr>
        <w:t>第七阶段为1个月，完成系统终验上线。</w:t>
      </w:r>
    </w:p>
    <w:p w14:paraId="05413ABD">
      <w:pPr>
        <w:pStyle w:val="3"/>
      </w:pPr>
      <w:bookmarkStart w:id="34" w:name="_Toc63785510"/>
      <w:r>
        <w:rPr>
          <w:rFonts w:hint="eastAsia"/>
        </w:rPr>
        <w:t>项目团队及驻场人员要求</w:t>
      </w:r>
      <w:bookmarkEnd w:id="34"/>
    </w:p>
    <w:p w14:paraId="689DB1F6">
      <w:r>
        <w:t>1）投标人</w:t>
      </w:r>
      <w:r>
        <w:rPr>
          <w:rFonts w:hint="eastAsia"/>
          <w:lang w:eastAsia="zh-CN"/>
        </w:rPr>
        <w:t>需</w:t>
      </w:r>
      <w:r>
        <w:t>具有稳定的在职技术保障力量，能够提供及时的技术支援或服务，应针对本项目提供不少于</w:t>
      </w:r>
      <w:r>
        <w:rPr>
          <w:rFonts w:hint="eastAsia"/>
        </w:rPr>
        <w:t>19</w:t>
      </w:r>
      <w:r>
        <w:t>人的项目服务团队（包括项目经理、产品经理、技术负责人、研发等），投标单位的相关服务人员需具备相应的服务能力，需提供相关证明</w:t>
      </w:r>
      <w:r>
        <w:rPr>
          <w:rFonts w:hint="eastAsia"/>
          <w:lang w:eastAsia="zh-CN"/>
        </w:rPr>
        <w:t>和</w:t>
      </w:r>
      <w:r>
        <w:rPr>
          <w:rFonts w:hint="eastAsia"/>
        </w:rPr>
        <w:t>最近一个季度</w:t>
      </w:r>
      <w:r>
        <w:rPr>
          <w:rFonts w:hint="eastAsia"/>
          <w:lang w:eastAsia="zh-CN"/>
        </w:rPr>
        <w:t>任意一个月</w:t>
      </w:r>
      <w:r>
        <w:rPr>
          <w:rFonts w:hint="eastAsia"/>
        </w:rPr>
        <w:t>依法缴纳社保费的证明</w:t>
      </w:r>
      <w: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265"/>
        <w:gridCol w:w="1180"/>
        <w:gridCol w:w="2487"/>
        <w:gridCol w:w="1180"/>
      </w:tblGrid>
      <w:tr w14:paraId="4805E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225597A4">
            <w:pPr>
              <w:widowControl/>
              <w:spacing w:line="240" w:lineRule="auto"/>
              <w:ind w:firstLine="0" w:firstLineChars="0"/>
              <w:jc w:val="center"/>
              <w:rPr>
                <w:b/>
              </w:rPr>
            </w:pPr>
            <w:r>
              <w:rPr>
                <w:rFonts w:hint="eastAsia"/>
                <w:b/>
              </w:rPr>
              <w:t>角色</w:t>
            </w:r>
          </w:p>
        </w:tc>
        <w:tc>
          <w:tcPr>
            <w:tcW w:w="2265" w:type="dxa"/>
            <w:noWrap/>
            <w:vAlign w:val="center"/>
          </w:tcPr>
          <w:p w14:paraId="73E2D563">
            <w:pPr>
              <w:widowControl/>
              <w:spacing w:line="240" w:lineRule="auto"/>
              <w:ind w:firstLine="0" w:firstLineChars="0"/>
              <w:jc w:val="center"/>
              <w:rPr>
                <w:b/>
              </w:rPr>
            </w:pPr>
            <w:r>
              <w:rPr>
                <w:rFonts w:hint="eastAsia"/>
                <w:b/>
              </w:rPr>
              <w:t>主要职责</w:t>
            </w:r>
          </w:p>
        </w:tc>
        <w:tc>
          <w:tcPr>
            <w:tcW w:w="0" w:type="auto"/>
            <w:noWrap/>
            <w:vAlign w:val="center"/>
          </w:tcPr>
          <w:p w14:paraId="54AD831B">
            <w:pPr>
              <w:widowControl/>
              <w:spacing w:line="240" w:lineRule="auto"/>
              <w:ind w:firstLine="0" w:firstLineChars="0"/>
              <w:jc w:val="center"/>
              <w:rPr>
                <w:b/>
              </w:rPr>
            </w:pPr>
            <w:r>
              <w:rPr>
                <w:rFonts w:hint="eastAsia"/>
                <w:b/>
              </w:rPr>
              <w:t>人员数量</w:t>
            </w:r>
          </w:p>
        </w:tc>
        <w:tc>
          <w:tcPr>
            <w:tcW w:w="0" w:type="auto"/>
            <w:vAlign w:val="center"/>
          </w:tcPr>
          <w:p w14:paraId="6F5AB94A">
            <w:pPr>
              <w:widowControl/>
              <w:spacing w:line="240" w:lineRule="auto"/>
              <w:ind w:firstLine="0" w:firstLineChars="0"/>
              <w:jc w:val="center"/>
              <w:rPr>
                <w:b/>
              </w:rPr>
            </w:pPr>
            <w:r>
              <w:rPr>
                <w:rFonts w:hint="eastAsia"/>
                <w:b/>
              </w:rPr>
              <w:t>人员要求</w:t>
            </w:r>
          </w:p>
        </w:tc>
        <w:tc>
          <w:tcPr>
            <w:tcW w:w="0" w:type="auto"/>
            <w:noWrap/>
            <w:vAlign w:val="center"/>
          </w:tcPr>
          <w:p w14:paraId="49038698">
            <w:pPr>
              <w:widowControl/>
              <w:spacing w:line="240" w:lineRule="auto"/>
              <w:ind w:firstLine="0" w:firstLineChars="0"/>
              <w:jc w:val="center"/>
              <w:rPr>
                <w:b/>
              </w:rPr>
            </w:pPr>
            <w:r>
              <w:rPr>
                <w:rFonts w:hint="eastAsia"/>
                <w:b/>
              </w:rPr>
              <w:t>驻场要求</w:t>
            </w:r>
          </w:p>
        </w:tc>
      </w:tr>
      <w:tr w14:paraId="51C7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26493FB1">
            <w:pPr>
              <w:widowControl/>
              <w:spacing w:line="240" w:lineRule="auto"/>
              <w:ind w:firstLine="0" w:firstLineChars="0"/>
              <w:jc w:val="center"/>
            </w:pPr>
            <w:r>
              <w:rPr>
                <w:rFonts w:hint="eastAsia"/>
              </w:rPr>
              <w:t>项目经理</w:t>
            </w:r>
          </w:p>
        </w:tc>
        <w:tc>
          <w:tcPr>
            <w:tcW w:w="2265" w:type="dxa"/>
            <w:vAlign w:val="center"/>
          </w:tcPr>
          <w:p w14:paraId="3E62588A">
            <w:pPr>
              <w:widowControl/>
              <w:spacing w:line="240" w:lineRule="auto"/>
              <w:ind w:firstLine="0" w:firstLineChars="0"/>
              <w:jc w:val="center"/>
            </w:pPr>
            <w:r>
              <w:rPr>
                <w:rFonts w:hint="eastAsia"/>
              </w:rPr>
              <w:t>负责项目质量和进度控制</w:t>
            </w:r>
          </w:p>
        </w:tc>
        <w:tc>
          <w:tcPr>
            <w:tcW w:w="0" w:type="auto"/>
            <w:noWrap/>
            <w:vAlign w:val="center"/>
          </w:tcPr>
          <w:p w14:paraId="50E83C8A">
            <w:pPr>
              <w:widowControl/>
              <w:spacing w:line="240" w:lineRule="auto"/>
              <w:ind w:firstLine="0" w:firstLineChars="0"/>
              <w:jc w:val="center"/>
            </w:pPr>
            <w:r>
              <w:rPr>
                <w:rFonts w:hint="eastAsia"/>
              </w:rPr>
              <w:t>1人</w:t>
            </w:r>
          </w:p>
        </w:tc>
        <w:tc>
          <w:tcPr>
            <w:tcW w:w="0" w:type="auto"/>
            <w:vAlign w:val="center"/>
          </w:tcPr>
          <w:p w14:paraId="699CFAB9">
            <w:pPr>
              <w:widowControl/>
              <w:spacing w:line="240" w:lineRule="auto"/>
              <w:ind w:firstLine="0" w:firstLineChars="0"/>
              <w:jc w:val="center"/>
            </w:pPr>
            <w:r>
              <w:rPr>
                <w:rFonts w:hint="eastAsia"/>
              </w:rPr>
              <w:t>全日制本科及以上学历，</w:t>
            </w:r>
            <w:r>
              <w:rPr>
                <w:rFonts w:hint="eastAsia" w:cs="宋体"/>
                <w:spacing w:val="-8"/>
              </w:rPr>
              <w:t>具备信息系统项目管理师证书</w:t>
            </w:r>
          </w:p>
        </w:tc>
        <w:tc>
          <w:tcPr>
            <w:tcW w:w="0" w:type="auto"/>
            <w:noWrap/>
            <w:vAlign w:val="center"/>
          </w:tcPr>
          <w:p w14:paraId="774A5077">
            <w:pPr>
              <w:widowControl/>
              <w:spacing w:line="240" w:lineRule="auto"/>
              <w:ind w:firstLine="0" w:firstLineChars="0"/>
              <w:jc w:val="center"/>
            </w:pPr>
            <w:r>
              <w:rPr>
                <w:rFonts w:hint="eastAsia"/>
              </w:rPr>
              <w:t>驻场</w:t>
            </w:r>
          </w:p>
        </w:tc>
      </w:tr>
      <w:tr w14:paraId="51CA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5112B39A">
            <w:pPr>
              <w:widowControl/>
              <w:spacing w:line="240" w:lineRule="auto"/>
              <w:ind w:firstLine="0" w:firstLineChars="0"/>
              <w:jc w:val="center"/>
            </w:pPr>
            <w:r>
              <w:rPr>
                <w:rFonts w:hint="eastAsia"/>
              </w:rPr>
              <w:t>产品经理</w:t>
            </w:r>
          </w:p>
        </w:tc>
        <w:tc>
          <w:tcPr>
            <w:tcW w:w="2265" w:type="dxa"/>
            <w:vAlign w:val="center"/>
          </w:tcPr>
          <w:p w14:paraId="507E8C71">
            <w:pPr>
              <w:widowControl/>
              <w:spacing w:line="240" w:lineRule="auto"/>
              <w:ind w:firstLine="0" w:firstLineChars="0"/>
              <w:jc w:val="center"/>
            </w:pPr>
            <w:r>
              <w:rPr>
                <w:rFonts w:hint="eastAsia"/>
              </w:rPr>
              <w:t>负责项目需求评估与产品设计</w:t>
            </w:r>
          </w:p>
        </w:tc>
        <w:tc>
          <w:tcPr>
            <w:tcW w:w="0" w:type="auto"/>
            <w:noWrap/>
            <w:vAlign w:val="center"/>
          </w:tcPr>
          <w:p w14:paraId="03CA3E6F">
            <w:pPr>
              <w:widowControl/>
              <w:spacing w:line="240" w:lineRule="auto"/>
              <w:ind w:firstLine="0" w:firstLineChars="0"/>
              <w:jc w:val="center"/>
            </w:pPr>
            <w:r>
              <w:rPr>
                <w:rFonts w:hint="eastAsia"/>
              </w:rPr>
              <w:t>1人</w:t>
            </w:r>
          </w:p>
        </w:tc>
        <w:tc>
          <w:tcPr>
            <w:tcW w:w="0" w:type="auto"/>
            <w:vAlign w:val="center"/>
          </w:tcPr>
          <w:p w14:paraId="16C2AFC7">
            <w:pPr>
              <w:widowControl/>
              <w:spacing w:line="240" w:lineRule="auto"/>
              <w:ind w:firstLine="0" w:firstLineChars="0"/>
              <w:jc w:val="center"/>
            </w:pPr>
            <w:r>
              <w:rPr>
                <w:rFonts w:hint="eastAsia"/>
              </w:rPr>
              <w:t>全日制本科及以上学历</w:t>
            </w:r>
          </w:p>
        </w:tc>
        <w:tc>
          <w:tcPr>
            <w:tcW w:w="0" w:type="auto"/>
            <w:noWrap/>
            <w:vAlign w:val="center"/>
          </w:tcPr>
          <w:p w14:paraId="4512DD33">
            <w:pPr>
              <w:widowControl/>
              <w:spacing w:line="240" w:lineRule="auto"/>
              <w:ind w:firstLine="0" w:firstLineChars="0"/>
              <w:jc w:val="center"/>
            </w:pPr>
            <w:r>
              <w:rPr>
                <w:rFonts w:hint="eastAsia"/>
              </w:rPr>
              <w:t>驻场</w:t>
            </w:r>
          </w:p>
        </w:tc>
      </w:tr>
      <w:tr w14:paraId="379B4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20289196">
            <w:pPr>
              <w:widowControl/>
              <w:spacing w:line="240" w:lineRule="auto"/>
              <w:ind w:firstLine="0" w:firstLineChars="0"/>
              <w:jc w:val="center"/>
            </w:pPr>
            <w:r>
              <w:rPr>
                <w:rFonts w:hint="eastAsia"/>
              </w:rPr>
              <w:t>技术负责人</w:t>
            </w:r>
          </w:p>
        </w:tc>
        <w:tc>
          <w:tcPr>
            <w:tcW w:w="2265" w:type="dxa"/>
            <w:vAlign w:val="center"/>
          </w:tcPr>
          <w:p w14:paraId="1923E4E0">
            <w:pPr>
              <w:widowControl/>
              <w:spacing w:line="240" w:lineRule="auto"/>
              <w:ind w:firstLine="0" w:firstLineChars="0"/>
              <w:jc w:val="center"/>
            </w:pPr>
            <w:r>
              <w:rPr>
                <w:rFonts w:hint="eastAsia"/>
              </w:rPr>
              <w:t>负责项目具体开发、设计与实施</w:t>
            </w:r>
          </w:p>
        </w:tc>
        <w:tc>
          <w:tcPr>
            <w:tcW w:w="0" w:type="auto"/>
            <w:noWrap/>
            <w:vAlign w:val="center"/>
          </w:tcPr>
          <w:p w14:paraId="5DCB8288">
            <w:pPr>
              <w:widowControl/>
              <w:spacing w:line="240" w:lineRule="auto"/>
              <w:ind w:firstLine="0" w:firstLineChars="0"/>
              <w:jc w:val="center"/>
            </w:pPr>
            <w:r>
              <w:rPr>
                <w:rFonts w:hint="eastAsia"/>
              </w:rPr>
              <w:t>1人</w:t>
            </w:r>
          </w:p>
        </w:tc>
        <w:tc>
          <w:tcPr>
            <w:tcW w:w="0" w:type="auto"/>
            <w:vAlign w:val="center"/>
          </w:tcPr>
          <w:p w14:paraId="7696ECC0">
            <w:pPr>
              <w:widowControl/>
              <w:spacing w:line="240" w:lineRule="auto"/>
              <w:ind w:firstLine="0" w:firstLineChars="0"/>
              <w:jc w:val="center"/>
            </w:pPr>
            <w:r>
              <w:rPr>
                <w:rFonts w:hint="eastAsia"/>
              </w:rPr>
              <w:t>全日制本科及以上学历，</w:t>
            </w:r>
            <w:r>
              <w:rPr>
                <w:rFonts w:hint="eastAsia" w:cs="宋体"/>
                <w:spacing w:val="-8"/>
              </w:rPr>
              <w:t>具备系统架构设计师证书</w:t>
            </w:r>
          </w:p>
        </w:tc>
        <w:tc>
          <w:tcPr>
            <w:tcW w:w="0" w:type="auto"/>
            <w:noWrap/>
            <w:vAlign w:val="center"/>
          </w:tcPr>
          <w:p w14:paraId="485F6A12">
            <w:pPr>
              <w:widowControl/>
              <w:spacing w:line="240" w:lineRule="auto"/>
              <w:ind w:firstLine="0" w:firstLineChars="0"/>
              <w:jc w:val="center"/>
            </w:pPr>
            <w:r>
              <w:rPr>
                <w:rFonts w:hint="eastAsia"/>
              </w:rPr>
              <w:t>按需驻场</w:t>
            </w:r>
          </w:p>
        </w:tc>
      </w:tr>
      <w:tr w14:paraId="4C7F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13CDC998">
            <w:pPr>
              <w:widowControl/>
              <w:spacing w:line="240" w:lineRule="auto"/>
              <w:ind w:firstLine="0" w:firstLineChars="0"/>
              <w:jc w:val="center"/>
            </w:pPr>
            <w:r>
              <w:rPr>
                <w:rFonts w:hint="eastAsia"/>
              </w:rPr>
              <w:t>研发人员</w:t>
            </w:r>
          </w:p>
        </w:tc>
        <w:tc>
          <w:tcPr>
            <w:tcW w:w="2265" w:type="dxa"/>
            <w:noWrap/>
            <w:vAlign w:val="center"/>
          </w:tcPr>
          <w:p w14:paraId="3CECCED1">
            <w:pPr>
              <w:widowControl/>
              <w:spacing w:line="240" w:lineRule="auto"/>
              <w:ind w:firstLine="0" w:firstLineChars="0"/>
              <w:jc w:val="center"/>
            </w:pPr>
            <w:r>
              <w:rPr>
                <w:rFonts w:hint="eastAsia"/>
              </w:rPr>
              <w:t>负责项目具体开发与实施</w:t>
            </w:r>
          </w:p>
        </w:tc>
        <w:tc>
          <w:tcPr>
            <w:tcW w:w="0" w:type="auto"/>
            <w:noWrap/>
            <w:vAlign w:val="center"/>
          </w:tcPr>
          <w:p w14:paraId="4D387FB6">
            <w:pPr>
              <w:widowControl/>
              <w:spacing w:line="240" w:lineRule="auto"/>
              <w:ind w:firstLine="0" w:firstLineChars="0"/>
              <w:jc w:val="center"/>
            </w:pPr>
            <w:r>
              <w:rPr>
                <w:rFonts w:hint="eastAsia"/>
              </w:rPr>
              <w:t>16人</w:t>
            </w:r>
          </w:p>
        </w:tc>
        <w:tc>
          <w:tcPr>
            <w:tcW w:w="0" w:type="auto"/>
            <w:vAlign w:val="center"/>
          </w:tcPr>
          <w:p w14:paraId="35710D89">
            <w:pPr>
              <w:widowControl/>
              <w:spacing w:line="240" w:lineRule="auto"/>
              <w:ind w:firstLine="0" w:firstLineChars="0"/>
              <w:jc w:val="center"/>
            </w:pPr>
            <w:r>
              <w:rPr>
                <w:rFonts w:hint="eastAsia"/>
              </w:rPr>
              <w:t>全日制本科及以上学历</w:t>
            </w:r>
          </w:p>
        </w:tc>
        <w:tc>
          <w:tcPr>
            <w:tcW w:w="0" w:type="auto"/>
            <w:noWrap/>
            <w:vAlign w:val="center"/>
          </w:tcPr>
          <w:p w14:paraId="22413499">
            <w:pPr>
              <w:widowControl/>
              <w:spacing w:line="240" w:lineRule="auto"/>
              <w:ind w:firstLine="0" w:firstLineChars="0"/>
              <w:jc w:val="center"/>
            </w:pPr>
            <w:r>
              <w:rPr>
                <w:rFonts w:hint="eastAsia"/>
              </w:rPr>
              <w:t>按需驻场</w:t>
            </w:r>
          </w:p>
        </w:tc>
      </w:tr>
    </w:tbl>
    <w:p w14:paraId="344B7558">
      <w:r>
        <w:rPr>
          <w:rFonts w:hint="eastAsia"/>
        </w:rPr>
        <w:t>项目经理：应当具有信息系统项目管理师证书，具有类似的信息化项目建设经验目在项目建设过程中担任项目经理。</w:t>
      </w:r>
    </w:p>
    <w:p w14:paraId="28E69DB3">
      <w:r>
        <w:rPr>
          <w:rFonts w:hint="eastAsia"/>
        </w:rPr>
        <w:t>项目团队人员：应当具备全日制本科及以上学历，具有信息系统项目设计、开发、测试、运维其中一个方向1年以上经验。</w:t>
      </w:r>
    </w:p>
    <w:p w14:paraId="01585B8C">
      <w:r>
        <w:t>2）投标人应针对本项目提供不少于</w:t>
      </w:r>
      <w:r>
        <w:rPr>
          <w:rFonts w:hint="eastAsia"/>
        </w:rPr>
        <w:t>3</w:t>
      </w:r>
      <w:r>
        <w:t>人的质保期间支撑团队（</w:t>
      </w:r>
      <w:r>
        <w:rPr>
          <w:rFonts w:hint="eastAsia"/>
        </w:rPr>
        <w:t>其中项目经理1人，技术工程师不少于2人</w:t>
      </w:r>
      <w:r>
        <w:t>）；投标人的相关服务人员需具备相应的服务能力，需提供相关证明</w:t>
      </w:r>
      <w:r>
        <w:rPr>
          <w:rFonts w:hint="eastAsia"/>
          <w:lang w:eastAsia="zh-CN"/>
        </w:rPr>
        <w:t>和</w:t>
      </w:r>
      <w:r>
        <w:rPr>
          <w:rFonts w:hint="eastAsia"/>
        </w:rPr>
        <w:t>最近一个季度</w:t>
      </w:r>
      <w:r>
        <w:rPr>
          <w:rFonts w:hint="eastAsia"/>
          <w:lang w:eastAsia="zh-CN"/>
        </w:rPr>
        <w:t>任意一个月</w:t>
      </w:r>
      <w:r>
        <w:rPr>
          <w:rFonts w:hint="eastAsia"/>
        </w:rPr>
        <w:t>依法缴纳社保费的证明</w:t>
      </w:r>
      <w: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856"/>
        <w:gridCol w:w="1180"/>
        <w:gridCol w:w="1896"/>
        <w:gridCol w:w="1180"/>
      </w:tblGrid>
      <w:tr w14:paraId="273EC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67CF07D6">
            <w:pPr>
              <w:widowControl/>
              <w:spacing w:line="240" w:lineRule="auto"/>
              <w:ind w:firstLine="0" w:firstLineChars="0"/>
              <w:jc w:val="center"/>
              <w:rPr>
                <w:b/>
              </w:rPr>
            </w:pPr>
            <w:r>
              <w:rPr>
                <w:rFonts w:hint="eastAsia"/>
                <w:b/>
              </w:rPr>
              <w:t>角色</w:t>
            </w:r>
          </w:p>
        </w:tc>
        <w:tc>
          <w:tcPr>
            <w:tcW w:w="0" w:type="auto"/>
            <w:noWrap/>
            <w:vAlign w:val="center"/>
          </w:tcPr>
          <w:p w14:paraId="16416B33">
            <w:pPr>
              <w:widowControl/>
              <w:spacing w:line="240" w:lineRule="auto"/>
              <w:ind w:firstLine="0" w:firstLineChars="0"/>
              <w:jc w:val="center"/>
              <w:rPr>
                <w:b/>
              </w:rPr>
            </w:pPr>
            <w:r>
              <w:rPr>
                <w:rFonts w:hint="eastAsia"/>
                <w:b/>
              </w:rPr>
              <w:t>主要职责</w:t>
            </w:r>
          </w:p>
        </w:tc>
        <w:tc>
          <w:tcPr>
            <w:tcW w:w="0" w:type="auto"/>
            <w:noWrap/>
            <w:vAlign w:val="center"/>
          </w:tcPr>
          <w:p w14:paraId="10E1566A">
            <w:pPr>
              <w:widowControl/>
              <w:spacing w:line="240" w:lineRule="auto"/>
              <w:ind w:firstLine="0" w:firstLineChars="0"/>
              <w:jc w:val="center"/>
              <w:rPr>
                <w:b/>
              </w:rPr>
            </w:pPr>
            <w:r>
              <w:rPr>
                <w:rFonts w:hint="eastAsia"/>
                <w:b/>
              </w:rPr>
              <w:t>人员数量</w:t>
            </w:r>
          </w:p>
        </w:tc>
        <w:tc>
          <w:tcPr>
            <w:tcW w:w="0" w:type="auto"/>
            <w:vAlign w:val="center"/>
          </w:tcPr>
          <w:p w14:paraId="4F210DF8">
            <w:pPr>
              <w:widowControl/>
              <w:spacing w:line="240" w:lineRule="auto"/>
              <w:ind w:firstLine="0" w:firstLineChars="0"/>
              <w:jc w:val="center"/>
              <w:rPr>
                <w:b/>
              </w:rPr>
            </w:pPr>
            <w:r>
              <w:rPr>
                <w:rFonts w:hint="eastAsia"/>
                <w:b/>
              </w:rPr>
              <w:t>人员要求</w:t>
            </w:r>
          </w:p>
        </w:tc>
        <w:tc>
          <w:tcPr>
            <w:tcW w:w="0" w:type="auto"/>
            <w:noWrap/>
            <w:vAlign w:val="center"/>
          </w:tcPr>
          <w:p w14:paraId="0F4F9B2D">
            <w:pPr>
              <w:widowControl/>
              <w:spacing w:line="240" w:lineRule="auto"/>
              <w:ind w:firstLine="0" w:firstLineChars="0"/>
              <w:jc w:val="center"/>
              <w:rPr>
                <w:b/>
              </w:rPr>
            </w:pPr>
            <w:r>
              <w:rPr>
                <w:rFonts w:hint="eastAsia"/>
                <w:b/>
              </w:rPr>
              <w:t>驻场要求</w:t>
            </w:r>
          </w:p>
        </w:tc>
      </w:tr>
      <w:tr w14:paraId="6B384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5DAFE3F9">
            <w:pPr>
              <w:widowControl/>
              <w:spacing w:line="240" w:lineRule="auto"/>
              <w:ind w:firstLine="0" w:firstLineChars="0"/>
              <w:jc w:val="center"/>
            </w:pPr>
            <w:r>
              <w:rPr>
                <w:rFonts w:hint="eastAsia"/>
              </w:rPr>
              <w:t>项目经理</w:t>
            </w:r>
          </w:p>
        </w:tc>
        <w:tc>
          <w:tcPr>
            <w:tcW w:w="0" w:type="auto"/>
            <w:vAlign w:val="center"/>
          </w:tcPr>
          <w:p w14:paraId="0DBF63B7">
            <w:pPr>
              <w:widowControl/>
              <w:spacing w:line="240" w:lineRule="auto"/>
              <w:ind w:firstLine="0" w:firstLineChars="0"/>
              <w:jc w:val="center"/>
            </w:pPr>
            <w:r>
              <w:rPr>
                <w:rFonts w:hint="eastAsia"/>
              </w:rPr>
              <w:t>负责项目质量和进度控制</w:t>
            </w:r>
          </w:p>
        </w:tc>
        <w:tc>
          <w:tcPr>
            <w:tcW w:w="0" w:type="auto"/>
            <w:noWrap/>
            <w:vAlign w:val="center"/>
          </w:tcPr>
          <w:p w14:paraId="7DB4309E">
            <w:pPr>
              <w:widowControl/>
              <w:spacing w:line="240" w:lineRule="auto"/>
              <w:ind w:firstLine="0" w:firstLineChars="0"/>
              <w:jc w:val="center"/>
            </w:pPr>
            <w:r>
              <w:rPr>
                <w:rFonts w:hint="eastAsia"/>
              </w:rPr>
              <w:t>1人</w:t>
            </w:r>
          </w:p>
        </w:tc>
        <w:tc>
          <w:tcPr>
            <w:tcW w:w="0" w:type="auto"/>
            <w:vAlign w:val="center"/>
          </w:tcPr>
          <w:p w14:paraId="4431F386">
            <w:pPr>
              <w:widowControl/>
              <w:spacing w:line="240" w:lineRule="auto"/>
              <w:ind w:firstLine="0" w:firstLineChars="0"/>
              <w:jc w:val="center"/>
            </w:pPr>
            <w:r>
              <w:rPr>
                <w:rFonts w:hint="eastAsia"/>
              </w:rPr>
              <w:t>全日制本科及以上学历</w:t>
            </w:r>
          </w:p>
        </w:tc>
        <w:tc>
          <w:tcPr>
            <w:tcW w:w="0" w:type="auto"/>
            <w:noWrap/>
            <w:vAlign w:val="center"/>
          </w:tcPr>
          <w:p w14:paraId="2285E996">
            <w:pPr>
              <w:widowControl/>
              <w:spacing w:line="240" w:lineRule="auto"/>
              <w:ind w:firstLine="0" w:firstLineChars="0"/>
              <w:jc w:val="center"/>
            </w:pPr>
            <w:r>
              <w:rPr>
                <w:rFonts w:hint="eastAsia"/>
              </w:rPr>
              <w:t>驻场</w:t>
            </w:r>
          </w:p>
        </w:tc>
      </w:tr>
      <w:tr w14:paraId="46FB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26C9BD44">
            <w:pPr>
              <w:widowControl/>
              <w:spacing w:line="240" w:lineRule="auto"/>
              <w:ind w:firstLine="0" w:firstLineChars="0"/>
              <w:jc w:val="center"/>
            </w:pPr>
            <w:r>
              <w:rPr>
                <w:rFonts w:hint="eastAsia"/>
              </w:rPr>
              <w:t>产品经理</w:t>
            </w:r>
          </w:p>
        </w:tc>
        <w:tc>
          <w:tcPr>
            <w:tcW w:w="0" w:type="auto"/>
            <w:vAlign w:val="center"/>
          </w:tcPr>
          <w:p w14:paraId="2206AB3E">
            <w:pPr>
              <w:widowControl/>
              <w:spacing w:line="240" w:lineRule="auto"/>
              <w:ind w:firstLine="0" w:firstLineChars="0"/>
              <w:jc w:val="center"/>
            </w:pPr>
            <w:r>
              <w:rPr>
                <w:rFonts w:hint="eastAsia"/>
              </w:rPr>
              <w:t>负责项目需求评估与产品设计</w:t>
            </w:r>
          </w:p>
        </w:tc>
        <w:tc>
          <w:tcPr>
            <w:tcW w:w="0" w:type="auto"/>
            <w:noWrap/>
            <w:vAlign w:val="center"/>
          </w:tcPr>
          <w:p w14:paraId="02A97AA0">
            <w:pPr>
              <w:widowControl/>
              <w:spacing w:line="240" w:lineRule="auto"/>
              <w:ind w:firstLine="0" w:firstLineChars="0"/>
              <w:jc w:val="center"/>
            </w:pPr>
            <w:r>
              <w:rPr>
                <w:rFonts w:hint="eastAsia"/>
              </w:rPr>
              <w:t>1人</w:t>
            </w:r>
          </w:p>
        </w:tc>
        <w:tc>
          <w:tcPr>
            <w:tcW w:w="0" w:type="auto"/>
            <w:vAlign w:val="center"/>
          </w:tcPr>
          <w:p w14:paraId="0190DD9F">
            <w:pPr>
              <w:widowControl/>
              <w:spacing w:line="240" w:lineRule="auto"/>
              <w:ind w:firstLine="0" w:firstLineChars="0"/>
              <w:jc w:val="center"/>
            </w:pPr>
            <w:r>
              <w:rPr>
                <w:rFonts w:hint="eastAsia"/>
              </w:rPr>
              <w:t>全日制本科生及以上学历</w:t>
            </w:r>
          </w:p>
        </w:tc>
        <w:tc>
          <w:tcPr>
            <w:tcW w:w="0" w:type="auto"/>
            <w:noWrap/>
            <w:vAlign w:val="center"/>
          </w:tcPr>
          <w:p w14:paraId="0C70A88B">
            <w:pPr>
              <w:widowControl/>
              <w:spacing w:line="240" w:lineRule="auto"/>
              <w:ind w:firstLine="0" w:firstLineChars="0"/>
              <w:jc w:val="center"/>
            </w:pPr>
            <w:r>
              <w:rPr>
                <w:rFonts w:hint="eastAsia"/>
              </w:rPr>
              <w:t>驻场</w:t>
            </w:r>
          </w:p>
        </w:tc>
      </w:tr>
      <w:tr w14:paraId="3768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59F35ED2">
            <w:pPr>
              <w:widowControl/>
              <w:spacing w:line="240" w:lineRule="auto"/>
              <w:ind w:firstLine="0" w:firstLineChars="0"/>
              <w:jc w:val="center"/>
            </w:pPr>
            <w:r>
              <w:rPr>
                <w:rFonts w:hint="eastAsia"/>
              </w:rPr>
              <w:t>技术工程师</w:t>
            </w:r>
          </w:p>
        </w:tc>
        <w:tc>
          <w:tcPr>
            <w:tcW w:w="0" w:type="auto"/>
            <w:noWrap/>
            <w:vAlign w:val="center"/>
          </w:tcPr>
          <w:p w14:paraId="03262127">
            <w:pPr>
              <w:widowControl/>
              <w:spacing w:line="240" w:lineRule="auto"/>
              <w:ind w:firstLine="0" w:firstLineChars="0"/>
              <w:jc w:val="center"/>
            </w:pPr>
            <w:r>
              <w:rPr>
                <w:rFonts w:hint="eastAsia"/>
              </w:rPr>
              <w:t>负责项目运行维护</w:t>
            </w:r>
          </w:p>
        </w:tc>
        <w:tc>
          <w:tcPr>
            <w:tcW w:w="0" w:type="auto"/>
            <w:noWrap/>
            <w:vAlign w:val="center"/>
          </w:tcPr>
          <w:p w14:paraId="417DD24D">
            <w:pPr>
              <w:widowControl/>
              <w:spacing w:line="240" w:lineRule="auto"/>
              <w:ind w:firstLine="0" w:firstLineChars="0"/>
              <w:jc w:val="center"/>
            </w:pPr>
            <w:r>
              <w:rPr>
                <w:rFonts w:hint="eastAsia"/>
              </w:rPr>
              <w:t>1人</w:t>
            </w:r>
          </w:p>
        </w:tc>
        <w:tc>
          <w:tcPr>
            <w:tcW w:w="0" w:type="auto"/>
            <w:vAlign w:val="center"/>
          </w:tcPr>
          <w:p w14:paraId="58743CCA">
            <w:pPr>
              <w:widowControl/>
              <w:spacing w:line="240" w:lineRule="auto"/>
              <w:ind w:firstLine="0" w:firstLineChars="0"/>
              <w:jc w:val="center"/>
            </w:pPr>
            <w:r>
              <w:rPr>
                <w:rFonts w:hint="eastAsia"/>
              </w:rPr>
              <w:t>全日制本科生及以上学历</w:t>
            </w:r>
          </w:p>
        </w:tc>
        <w:tc>
          <w:tcPr>
            <w:tcW w:w="0" w:type="auto"/>
            <w:noWrap/>
            <w:vAlign w:val="center"/>
          </w:tcPr>
          <w:p w14:paraId="1685FAF5">
            <w:pPr>
              <w:widowControl/>
              <w:spacing w:line="240" w:lineRule="auto"/>
              <w:ind w:firstLine="0" w:firstLineChars="0"/>
              <w:jc w:val="center"/>
            </w:pPr>
            <w:r>
              <w:rPr>
                <w:rFonts w:hint="eastAsia"/>
              </w:rPr>
              <w:t>按需驻场</w:t>
            </w:r>
          </w:p>
        </w:tc>
      </w:tr>
    </w:tbl>
    <w:p w14:paraId="1D5A0D5E">
      <w:pPr>
        <w:pStyle w:val="3"/>
      </w:pPr>
      <w:bookmarkStart w:id="35" w:name="_Toc63785511"/>
      <w:r>
        <w:t>等级保护要求</w:t>
      </w:r>
      <w:bookmarkEnd w:id="35"/>
    </w:p>
    <w:p w14:paraId="72070898">
      <w:r>
        <w:t>本项目等级保护要求：参照等保</w:t>
      </w:r>
      <w:r>
        <w:rPr>
          <w:rFonts w:hint="eastAsia"/>
        </w:rPr>
        <w:t>三</w:t>
      </w:r>
      <w:r>
        <w:t>级要求建设。</w:t>
      </w:r>
    </w:p>
    <w:p w14:paraId="1BBD1E60">
      <w:pPr>
        <w:pStyle w:val="3"/>
      </w:pPr>
      <w:bookmarkStart w:id="36" w:name="_Toc63785512"/>
      <w:r>
        <w:rPr>
          <w:rFonts w:hint="eastAsia"/>
        </w:rPr>
        <w:t>商业密码应用需求</w:t>
      </w:r>
    </w:p>
    <w:p w14:paraId="50A48993">
      <w:r>
        <w:rPr>
          <w:rFonts w:hint="eastAsia"/>
        </w:rPr>
        <w:t>满足商业密码应用建设要求，并通过商业密码应用安全测评。</w:t>
      </w:r>
    </w:p>
    <w:p w14:paraId="4BBFD25E">
      <w:pPr>
        <w:pStyle w:val="3"/>
      </w:pPr>
      <w:r>
        <w:rPr>
          <w:rFonts w:hint="eastAsia"/>
        </w:rPr>
        <w:t>技术文件要求</w:t>
      </w:r>
    </w:p>
    <w:p w14:paraId="19836D70">
      <w:r>
        <w:rPr>
          <w:rFonts w:hint="eastAsia"/>
        </w:rPr>
        <w:t>投标人提供的书面技术资料应能确保系统正常运行所需的管理、运营及维护有关的全套文件。技术文件应该全面、完整、详细。投标人提供的技术文件至少应包括：</w:t>
      </w:r>
    </w:p>
    <w:p w14:paraId="7160583A">
      <w:r>
        <w:rPr>
          <w:rFonts w:hint="eastAsia"/>
        </w:rPr>
        <w:t>－</w:t>
      </w:r>
      <w:r>
        <w:t xml:space="preserve"> 系统说明文件； </w:t>
      </w:r>
    </w:p>
    <w:p w14:paraId="03ECD274">
      <w:r>
        <w:rPr>
          <w:rFonts w:hint="eastAsia"/>
        </w:rPr>
        <w:t>－</w:t>
      </w:r>
      <w:r>
        <w:t xml:space="preserve"> 技术手册(安装、测试、操作、维护、故障排除等)； </w:t>
      </w:r>
    </w:p>
    <w:p w14:paraId="52F4D49A">
      <w:r>
        <w:rPr>
          <w:rFonts w:hint="eastAsia"/>
        </w:rPr>
        <w:t>－</w:t>
      </w:r>
      <w:r>
        <w:t xml:space="preserve"> 项目文档，应该包括：</w:t>
      </w:r>
    </w:p>
    <w:p w14:paraId="6A078890">
      <w:pPr>
        <w:ind w:left="360"/>
      </w:pPr>
      <w:r>
        <w:t>(1)软件需求说明书</w:t>
      </w:r>
    </w:p>
    <w:p w14:paraId="4668D4AF">
      <w:pPr>
        <w:ind w:left="360"/>
      </w:pPr>
      <w:r>
        <w:t>(2)</w:t>
      </w:r>
      <w:r>
        <w:tab/>
      </w:r>
      <w:r>
        <w:t>系统总体设计说明书</w:t>
      </w:r>
    </w:p>
    <w:p w14:paraId="6D00DBE3">
      <w:pPr>
        <w:ind w:left="360"/>
      </w:pPr>
      <w:r>
        <w:t>(3)</w:t>
      </w:r>
      <w:r>
        <w:tab/>
      </w:r>
      <w:r>
        <w:t>应用软件功能清单</w:t>
      </w:r>
    </w:p>
    <w:p w14:paraId="65867736">
      <w:r>
        <w:rPr>
          <w:rFonts w:hint="eastAsia"/>
        </w:rPr>
        <w:t>提供全套技术文件纸介质</w:t>
      </w:r>
      <w:r>
        <w:t>3套以及电子文件1套。</w:t>
      </w:r>
    </w:p>
    <w:p w14:paraId="0332D8E2">
      <w:pPr>
        <w:pStyle w:val="2"/>
      </w:pPr>
      <w:r>
        <w:rPr>
          <w:rFonts w:hint="eastAsia"/>
        </w:rPr>
        <w:t>供应商管理要求</w:t>
      </w:r>
      <w:bookmarkEnd w:id="36"/>
    </w:p>
    <w:p w14:paraId="698D8042">
      <w:pPr>
        <w:pStyle w:val="80"/>
        <w:ind w:firstLine="480"/>
        <w:rPr>
          <w:sz w:val="24"/>
          <w:szCs w:val="24"/>
        </w:rPr>
      </w:pPr>
      <w:r>
        <w:rPr>
          <w:rFonts w:hint="eastAsia"/>
          <w:sz w:val="24"/>
          <w:szCs w:val="24"/>
        </w:rPr>
        <w:t>1、在项目实施期间，中标人应严格执行国家、地方、行业有关本项目业务管理和安全作业的法律、法规和制度并按规定承担相应的费用。中标人因违反规定等原因造成的一切损失和责任由中标人自行承担。</w:t>
      </w:r>
    </w:p>
    <w:p w14:paraId="29BB4A9F">
      <w:pPr>
        <w:pStyle w:val="80"/>
        <w:ind w:firstLine="480"/>
        <w:rPr>
          <w:sz w:val="24"/>
          <w:szCs w:val="24"/>
        </w:rPr>
      </w:pPr>
      <w:r>
        <w:rPr>
          <w:rFonts w:hint="eastAsia"/>
          <w:sz w:val="24"/>
          <w:szCs w:val="24"/>
        </w:rPr>
        <w:t>2、中标人在投标书中承诺并经招标人认定的项目负责人及专业技术人员是本单位职工（在本单位缴纳社会保障金）和该项目实施现场的实际操作者，应具有类似本项目的实施经验，并应在软件应用调研、安装、试运行等</w:t>
      </w:r>
      <w:bookmarkStart w:id="41" w:name="_GoBack"/>
      <w:bookmarkEnd w:id="41"/>
      <w:r>
        <w:rPr>
          <w:rFonts w:hint="eastAsia"/>
          <w:sz w:val="24"/>
          <w:szCs w:val="24"/>
        </w:rPr>
        <w:t>期间常驻项目现场。未经采购人同意，中标人不得调换或撤离上述人员。如采购人认为有必要，可要求中标人对上述人员中的部分人员作出更好的调整。</w:t>
      </w:r>
    </w:p>
    <w:p w14:paraId="1D7506FA">
      <w:pPr>
        <w:pStyle w:val="80"/>
        <w:ind w:firstLine="480"/>
        <w:rPr>
          <w:sz w:val="24"/>
          <w:szCs w:val="24"/>
        </w:rPr>
      </w:pPr>
      <w:r>
        <w:rPr>
          <w:rFonts w:hint="eastAsia"/>
          <w:sz w:val="24"/>
          <w:szCs w:val="24"/>
        </w:rPr>
        <w:t>3、中标人在项目实施期间，应按项目实际进度与环节落实所对应项目整体及各环节管理工作，按照规范做好项目实施期间相关管理与实施记录。</w:t>
      </w:r>
    </w:p>
    <w:p w14:paraId="5ADBCED2">
      <w:pPr>
        <w:pStyle w:val="80"/>
        <w:ind w:firstLine="480"/>
        <w:rPr>
          <w:sz w:val="24"/>
          <w:szCs w:val="24"/>
        </w:rPr>
      </w:pPr>
      <w:r>
        <w:rPr>
          <w:rFonts w:hint="eastAsia"/>
          <w:sz w:val="24"/>
          <w:szCs w:val="24"/>
        </w:rPr>
        <w:t>4、参与本项目的工作人员应严格遵循采购人的安全制度，保障采购人资料和设备的安全。中标方如需进入采购人机房工作，只能在采购人规定的工作区域内对项目涉及的设备进行操作，严禁触动与项目无关的任何设备（包括任何操作行为），如需跨区操作</w:t>
      </w:r>
      <w:r>
        <w:rPr>
          <w:rFonts w:hint="eastAsia"/>
          <w:sz w:val="24"/>
          <w:szCs w:val="24"/>
          <w:lang w:eastAsia="zh-CN"/>
        </w:rPr>
        <w:t>需</w:t>
      </w:r>
      <w:r>
        <w:rPr>
          <w:rFonts w:hint="eastAsia"/>
          <w:sz w:val="24"/>
          <w:szCs w:val="24"/>
        </w:rPr>
        <w:t>得到采购人项目联系人确认。</w:t>
      </w:r>
    </w:p>
    <w:p w14:paraId="19072389">
      <w:pPr>
        <w:pStyle w:val="80"/>
        <w:ind w:firstLine="480"/>
        <w:rPr>
          <w:sz w:val="24"/>
          <w:szCs w:val="24"/>
        </w:rPr>
      </w:pPr>
      <w:r>
        <w:rPr>
          <w:rFonts w:hint="eastAsia"/>
          <w:sz w:val="24"/>
          <w:szCs w:val="24"/>
        </w:rPr>
        <w:t>5、中标人在项目实施期间</w:t>
      </w:r>
      <w:r>
        <w:rPr>
          <w:rFonts w:hint="eastAsia"/>
          <w:sz w:val="24"/>
          <w:szCs w:val="24"/>
          <w:lang w:eastAsia="zh-CN"/>
        </w:rPr>
        <w:t>需</w:t>
      </w:r>
      <w:r>
        <w:rPr>
          <w:rFonts w:hint="eastAsia"/>
          <w:sz w:val="24"/>
          <w:szCs w:val="24"/>
        </w:rPr>
        <w:t>遵守采购人的规章制度并提供实施人员名单。</w:t>
      </w:r>
    </w:p>
    <w:p w14:paraId="042B6043">
      <w:pPr>
        <w:pStyle w:val="80"/>
        <w:ind w:firstLine="480"/>
        <w:rPr>
          <w:sz w:val="24"/>
          <w:szCs w:val="24"/>
        </w:rPr>
      </w:pPr>
      <w:r>
        <w:rPr>
          <w:rFonts w:hint="eastAsia"/>
          <w:sz w:val="24"/>
          <w:szCs w:val="24"/>
        </w:rPr>
        <w:t>6、各投标人在投标文件中要结合本项目的特点和采购人上述的具体要求制定相应的管理措施，并在报价中列支相应的费用清单，投标人报价中未列支上述费用清单的，上述费用视为已包含在投标人的投标总报价中。</w:t>
      </w:r>
    </w:p>
    <w:p w14:paraId="12BB1AB9">
      <w:pPr>
        <w:pStyle w:val="80"/>
        <w:ind w:firstLine="480"/>
        <w:rPr>
          <w:rFonts w:hint="eastAsia"/>
          <w:sz w:val="24"/>
          <w:szCs w:val="24"/>
        </w:rPr>
      </w:pPr>
      <w:r>
        <w:rPr>
          <w:rFonts w:hint="eastAsia"/>
          <w:sz w:val="24"/>
          <w:szCs w:val="24"/>
        </w:rPr>
        <w:t>7、本项目软件开发及调试将纳入采购人的管理范围，中标人在此过程中</w:t>
      </w:r>
      <w:r>
        <w:rPr>
          <w:rFonts w:hint="eastAsia"/>
          <w:sz w:val="24"/>
          <w:szCs w:val="24"/>
          <w:lang w:eastAsia="zh-CN"/>
        </w:rPr>
        <w:t>需</w:t>
      </w:r>
      <w:r>
        <w:rPr>
          <w:rFonts w:hint="eastAsia"/>
          <w:sz w:val="24"/>
          <w:szCs w:val="24"/>
        </w:rPr>
        <w:t>服从上述单位的管理协调。</w:t>
      </w:r>
    </w:p>
    <w:p w14:paraId="06C8A585">
      <w:pPr>
        <w:pStyle w:val="80"/>
        <w:ind w:firstLine="480"/>
        <w:rPr>
          <w:rFonts w:hint="eastAsia"/>
          <w:sz w:val="24"/>
          <w:szCs w:val="24"/>
        </w:rPr>
      </w:pPr>
      <w:r>
        <w:rPr>
          <w:rFonts w:hint="eastAsia"/>
          <w:sz w:val="24"/>
          <w:szCs w:val="24"/>
        </w:rPr>
        <w:t>供应商具有ISO27001信息安全管理体系认证、ISO27701隐私信息安全管理体系认证、ISO20000信息技术服务管理体系认证证书</w:t>
      </w:r>
      <w:r>
        <w:rPr>
          <w:rFonts w:hint="eastAsia"/>
          <w:sz w:val="24"/>
          <w:szCs w:val="24"/>
          <w:lang w:eastAsia="zh-CN"/>
        </w:rPr>
        <w:t>，</w:t>
      </w:r>
      <w:r>
        <w:rPr>
          <w:rFonts w:hint="eastAsia"/>
          <w:sz w:val="24"/>
          <w:szCs w:val="24"/>
        </w:rPr>
        <w:t>CCRC信息安全服务资质认证证书的</w:t>
      </w:r>
      <w:r>
        <w:rPr>
          <w:rFonts w:hint="eastAsia"/>
          <w:sz w:val="24"/>
          <w:szCs w:val="24"/>
          <w:lang w:eastAsia="zh-CN"/>
        </w:rPr>
        <w:t>优先考虑</w:t>
      </w:r>
      <w:r>
        <w:rPr>
          <w:rFonts w:hint="eastAsia"/>
          <w:sz w:val="24"/>
          <w:szCs w:val="24"/>
        </w:rPr>
        <w:t>。</w:t>
      </w:r>
    </w:p>
    <w:p w14:paraId="75E3140C">
      <w:pPr>
        <w:pStyle w:val="2"/>
        <w:ind w:left="0"/>
      </w:pPr>
      <w:bookmarkStart w:id="37" w:name="_Toc63785513"/>
      <w:r>
        <w:rPr>
          <w:rFonts w:hint="eastAsia"/>
        </w:rPr>
        <w:t>关于转让和分包的规定</w:t>
      </w:r>
    </w:p>
    <w:p w14:paraId="2BD49789">
      <w:pPr>
        <w:pStyle w:val="80"/>
        <w:ind w:firstLine="480"/>
        <w:rPr>
          <w:sz w:val="24"/>
          <w:szCs w:val="24"/>
        </w:rPr>
      </w:pPr>
      <w:r>
        <w:rPr>
          <w:rFonts w:hint="eastAsia"/>
          <w:sz w:val="24"/>
          <w:szCs w:val="24"/>
        </w:rPr>
        <w:t>本项目不得转让不得分包。</w:t>
      </w:r>
    </w:p>
    <w:p w14:paraId="06640265">
      <w:pPr>
        <w:pStyle w:val="2"/>
      </w:pPr>
      <w:r>
        <w:rPr>
          <w:rFonts w:hint="eastAsia"/>
        </w:rPr>
        <w:t>知识产权及保密要求</w:t>
      </w:r>
      <w:bookmarkEnd w:id="37"/>
    </w:p>
    <w:p w14:paraId="0FE9CF85">
      <w:pPr>
        <w:ind w:firstLine="482"/>
        <w:rPr>
          <w:b/>
        </w:rPr>
      </w:pPr>
      <w:r>
        <w:rPr>
          <w:b/>
        </w:rPr>
        <w:t>1、中标人数据、文件、资料知识产权</w:t>
      </w:r>
    </w:p>
    <w:p w14:paraId="78A3AA58">
      <w:r>
        <w:rPr>
          <w:rFonts w:hint="eastAsia"/>
        </w:rPr>
        <w:t>中标人保证其所提供的服务和交付的成果以及在履行本项目义务中使用到的所有数据、文件、信息不会引起任何第三方在专利权、著作权、商标权等知识产权方面向采购人或采购人的关联方及合作方（包括但不限于采购人的主管单位和采购人的合作单位等）发出侵权指控或提出索赔。若有，中标人应负责与第三方解决纠纷，若因此导致采购人损失的，采购人有权要求中标人赔偿采购人因此遭受的全部损失，包括但不限于直接损失、间接损失、诉讼费／仲裁费、律师费、公证费、鉴定费等。</w:t>
      </w:r>
    </w:p>
    <w:p w14:paraId="7716F2C8">
      <w:r>
        <w:rPr>
          <w:rFonts w:hint="eastAsia"/>
        </w:rPr>
        <w:t>中标人因履行本项目而产生的所有成果的知识产权等权利均归采购人所有，中标人应配合采购人进行相关权利登记或申请。未经采购人书面同意，中标人不得以任何形式使用或许可他人使用本项目成果的相关内容，不得擅自对外公开发表或向任何第三方透露。</w:t>
      </w:r>
    </w:p>
    <w:p w14:paraId="413B0949">
      <w:r>
        <w:rPr>
          <w:rFonts w:hint="eastAsia"/>
        </w:rPr>
        <w:t>在不影响上述条款规定的由采购人取得所有成果的知识产权的前提下，双方因履行本项目而被授权接触或使用对方之知识产权（包括但不限于商标、专利、著作权等），和/或任何其他相关资料、数据等涉及的任何权利，均不视为向另一方转让上述权利或在本项目范围外授权许可另一方使用上述权利，上述权利仍应属于提供方，并仅可使用于本项目，被授权接触或使用方未经提供方书面同意，不得擅自挪作他用。</w:t>
      </w:r>
    </w:p>
    <w:p w14:paraId="1FEA05A5">
      <w:pPr>
        <w:ind w:firstLine="482"/>
        <w:rPr>
          <w:b/>
        </w:rPr>
      </w:pPr>
      <w:r>
        <w:rPr>
          <w:b/>
        </w:rPr>
        <w:t>2、项目保密要求</w:t>
      </w:r>
    </w:p>
    <w:p w14:paraId="6C22726A">
      <w:r>
        <w:rPr>
          <w:rFonts w:hint="eastAsia"/>
        </w:rPr>
        <w:t>中标人因履行本项目而知悉的所有数据、信息和资料（包括但不限于账号信息、图表、文字、计算过程、任何形式的文件、访谈记录、现场实测数据、采购人相关工作程序等）以及因履行本项目而形成的数据、信息和任何形式的工作成果，均是采购人要求保密的信息。未经采购人书面同意，中标人不得对外泄露采购人要求保密的信息，不得用于其他用途，否则中标人需承担由此引起的法律责任和经济责任，包括但不限于直接损失、间接损失、律师费、诉讼费/仲裁费、调查费、公证费等。</w:t>
      </w:r>
    </w:p>
    <w:p w14:paraId="14AF631D">
      <w:r>
        <w:rPr>
          <w:rFonts w:hint="eastAsia"/>
        </w:rPr>
        <w:t>中标人应采取必要的有效措施保证其参与本项目的人员（包括中标人聘用的人员、借调的人员、实习的人员）无论是在职或离职后，以及中标人的合作方无论是合作中或合作终止后，都能够履行本项目约定的保密义务。若中标人人员或中标人合作方违反保密规定，中标人应承担连带责任。</w:t>
      </w:r>
    </w:p>
    <w:p w14:paraId="5A4C5D13">
      <w:r>
        <w:rPr>
          <w:rFonts w:hint="eastAsia"/>
        </w:rPr>
        <w:t>中标人（含中标人参与本项目的人员以及其合作方）未经采购方书面许可，不得以任何形式自行使用或以任何方式向第三方披露、转让、授权、出售与本项目有关的技术成果、计算机软件、源代码、策划文档、技术诀窍、秘密信息、技术资料和其他文件。</w:t>
      </w:r>
    </w:p>
    <w:p w14:paraId="1401FCA8">
      <w:r>
        <w:rPr>
          <w:rFonts w:hint="eastAsia"/>
        </w:rPr>
        <w:t>以上内容的保密期限自中标人知悉保密信息起始至保密信息被合法公开之日止。</w:t>
      </w:r>
    </w:p>
    <w:p w14:paraId="1223C9A2">
      <w:pPr>
        <w:ind w:firstLine="482"/>
        <w:rPr>
          <w:b/>
        </w:rPr>
      </w:pPr>
      <w:r>
        <w:rPr>
          <w:b/>
        </w:rPr>
        <w:t>3、临时账号等使用要求</w:t>
      </w:r>
    </w:p>
    <w:p w14:paraId="1546942D">
      <w:r>
        <w:rPr>
          <w:rFonts w:hint="eastAsia"/>
        </w:rPr>
        <w:t>中标人对采购人提拱的临时使用账号要保密，不得公开，对组件开发的账号密码需进行加密，避免信息安全的泄露。未经采购人的同意不得利用采购人的网络及平台进行短信、彩信、微信发送</w:t>
      </w:r>
      <w:r>
        <w:t>,造成的一切后果由中标人负责。</w:t>
      </w:r>
    </w:p>
    <w:p w14:paraId="72E0582F">
      <w:pPr>
        <w:pStyle w:val="2"/>
      </w:pPr>
      <w:bookmarkStart w:id="38" w:name="_Toc65170093"/>
      <w:r>
        <w:t>项目的变更、解除和终止</w:t>
      </w:r>
    </w:p>
    <w:p w14:paraId="22A27CE4">
      <w:r>
        <w:rPr>
          <w:rFonts w:hint="eastAsia"/>
        </w:rPr>
        <w:t>如果中标人丧失履约能力、发生资不抵债或进入破产程序，采购人可在任何时候以书面形式通知中标人终止本项目的执行而不给予中标人补偿。该终止本项目将不损害或影响采购人已经采取或将要采取任何行动或补救措施的权利。</w:t>
      </w:r>
    </w:p>
    <w:p w14:paraId="08001B05">
      <w:r>
        <w:rPr>
          <w:rFonts w:hint="eastAsia"/>
        </w:rPr>
        <w:t>如遇国家、行业管理部门等机构的有关标准和规定调整的，导致本项目内容</w:t>
      </w:r>
      <w:r>
        <w:rPr>
          <w:rFonts w:hint="eastAsia"/>
          <w:lang w:eastAsia="zh-CN"/>
        </w:rPr>
        <w:t>需</w:t>
      </w:r>
      <w:r>
        <w:rPr>
          <w:rFonts w:hint="eastAsia"/>
        </w:rPr>
        <w:t>做相应调整时，双方应按照公平、合理的原则共同协商修改本项目对应的合同的相关条款。</w:t>
      </w:r>
    </w:p>
    <w:p w14:paraId="2449F7E1">
      <w:pPr>
        <w:pStyle w:val="2"/>
      </w:pPr>
      <w:r>
        <w:rPr>
          <w:rFonts w:hint="eastAsia"/>
        </w:rPr>
        <w:t>违约责任</w:t>
      </w:r>
      <w:bookmarkEnd w:id="38"/>
    </w:p>
    <w:p w14:paraId="515C9975">
      <w:r>
        <w:t>1、如中标人未按约定的时间或服务标准完成建设工作，采购人可要求中标人在规定的时间内采取补救措施。中标人还应向采购人支付本项目费用总额30%的违约金，违约金不足以弥补采购人损失的，采购人有权要求中标人赔偿超过部分。</w:t>
      </w:r>
    </w:p>
    <w:p w14:paraId="063C28E6">
      <w:r>
        <w:t>2、因中标人违反保密义务或知识产权约定的，采购人有权要求中标人支付本项目费用总额30%的违约金，违约金不足以弥补采购人损失的，采购人有权要求中标人赔偿超过部分。若中标人违反保密义务，采购人还有权立即单方解除合同而不承担任何违约责任。</w:t>
      </w:r>
    </w:p>
    <w:p w14:paraId="229FE5BD">
      <w:r>
        <w:t>3、中标人有其他违反本项目合同约定的行为，中标人应当支付本项目总价款金额的20%作为违约金，违约金不足以弥补采购人损失的，采购人有权要求中标人赔偿超过部分。</w:t>
      </w:r>
    </w:p>
    <w:p w14:paraId="35F0A5CB">
      <w:r>
        <w:t>4、中标人有下列情形之一，采购人有权解除合同：</w:t>
      </w:r>
    </w:p>
    <w:p w14:paraId="2BAAE8B7">
      <w:r>
        <w:rPr>
          <w:rFonts w:hint="eastAsia"/>
        </w:rPr>
        <w:t>（1</w:t>
      </w:r>
      <w:r>
        <w:t>）因中标人服务质量问题导致采购人无法实现目的；</w:t>
      </w:r>
    </w:p>
    <w:p w14:paraId="129E00A5">
      <w:r>
        <w:rPr>
          <w:rFonts w:hint="eastAsia"/>
        </w:rPr>
        <w:t>（2</w:t>
      </w:r>
      <w:r>
        <w:t>）擅自转让或者分包其应履行的义务的；</w:t>
      </w:r>
    </w:p>
    <w:p w14:paraId="7646D20F">
      <w:r>
        <w:rPr>
          <w:rFonts w:hint="eastAsia"/>
        </w:rPr>
        <w:t>（3</w:t>
      </w:r>
      <w:r>
        <w:t>）违反或者未履行本项目合同约定的其他相关义务，且在采购人要求的合理时间内未能纠正的。</w:t>
      </w:r>
    </w:p>
    <w:p w14:paraId="2E0BBAC3">
      <w:pPr>
        <w:widowControl/>
        <w:spacing w:line="240" w:lineRule="auto"/>
        <w:ind w:firstLine="0" w:firstLineChars="0"/>
        <w:jc w:val="left"/>
      </w:pPr>
      <w:r>
        <w:rPr>
          <w:rFonts w:hint="eastAsia"/>
        </w:rPr>
        <w:br w:type="page"/>
      </w:r>
    </w:p>
    <w:p w14:paraId="7B1CBD8B">
      <w:pPr>
        <w:pStyle w:val="2"/>
        <w:numPr>
          <w:ilvl w:val="0"/>
          <w:numId w:val="0"/>
        </w:numPr>
        <w:ind w:left="425" w:hanging="425"/>
      </w:pPr>
      <w:r>
        <w:rPr>
          <w:rFonts w:hint="eastAsia"/>
        </w:rPr>
        <w:t>附表一：软件开发清单</w:t>
      </w:r>
      <w:bookmarkStart w:id="39" w:name="_Toc68798863"/>
    </w:p>
    <w:tbl>
      <w:tblPr>
        <w:tblStyle w:val="35"/>
        <w:tblW w:w="5000" w:type="pct"/>
        <w:jc w:val="center"/>
        <w:tblLayout w:type="autofit"/>
        <w:tblCellMar>
          <w:top w:w="0" w:type="dxa"/>
          <w:left w:w="108" w:type="dxa"/>
          <w:bottom w:w="0" w:type="dxa"/>
          <w:right w:w="108" w:type="dxa"/>
        </w:tblCellMar>
      </w:tblPr>
      <w:tblGrid>
        <w:gridCol w:w="962"/>
        <w:gridCol w:w="1662"/>
        <w:gridCol w:w="1416"/>
        <w:gridCol w:w="4488"/>
      </w:tblGrid>
      <w:tr w14:paraId="013ED6DC">
        <w:tblPrEx>
          <w:tblCellMar>
            <w:top w:w="0" w:type="dxa"/>
            <w:left w:w="108" w:type="dxa"/>
            <w:bottom w:w="0" w:type="dxa"/>
            <w:right w:w="108" w:type="dxa"/>
          </w:tblCellMar>
        </w:tblPrEx>
        <w:trPr>
          <w:trHeight w:val="270" w:hRule="atLeast"/>
          <w:jc w:val="center"/>
        </w:trPr>
        <w:tc>
          <w:tcPr>
            <w:tcW w:w="422" w:type="pct"/>
            <w:tcBorders>
              <w:top w:val="single" w:color="auto" w:sz="4" w:space="0"/>
              <w:left w:val="single" w:color="auto" w:sz="4" w:space="0"/>
              <w:bottom w:val="single" w:color="auto" w:sz="4" w:space="0"/>
              <w:right w:val="single" w:color="auto" w:sz="4" w:space="0"/>
            </w:tcBorders>
            <w:shd w:val="clear" w:color="000000" w:fill="F3F8FC"/>
            <w:noWrap/>
            <w:vAlign w:val="center"/>
          </w:tcPr>
          <w:p w14:paraId="30BB1C3F">
            <w:pPr>
              <w:widowControl/>
              <w:spacing w:line="240" w:lineRule="auto"/>
              <w:ind w:firstLine="0" w:firstLineChars="0"/>
              <w:jc w:val="center"/>
              <w:rPr>
                <w:rFonts w:cs="宋体"/>
                <w:b/>
                <w:kern w:val="0"/>
              </w:rPr>
            </w:pPr>
            <w:r>
              <w:rPr>
                <w:rFonts w:hint="eastAsia" w:cs="宋体"/>
                <w:b/>
                <w:kern w:val="0"/>
              </w:rPr>
              <w:t>序号</w:t>
            </w:r>
          </w:p>
        </w:tc>
        <w:tc>
          <w:tcPr>
            <w:tcW w:w="696" w:type="pct"/>
            <w:tcBorders>
              <w:top w:val="single" w:color="auto" w:sz="4" w:space="0"/>
              <w:left w:val="nil"/>
              <w:bottom w:val="single" w:color="auto" w:sz="4" w:space="0"/>
              <w:right w:val="single" w:color="auto" w:sz="4" w:space="0"/>
            </w:tcBorders>
            <w:shd w:val="clear" w:color="000000" w:fill="F3F8FC"/>
            <w:noWrap/>
            <w:vAlign w:val="center"/>
          </w:tcPr>
          <w:p w14:paraId="6A557F9E">
            <w:pPr>
              <w:widowControl/>
              <w:spacing w:line="240" w:lineRule="auto"/>
              <w:ind w:firstLine="0" w:firstLineChars="0"/>
              <w:jc w:val="center"/>
              <w:rPr>
                <w:rFonts w:cs="宋体"/>
                <w:b/>
                <w:kern w:val="0"/>
              </w:rPr>
            </w:pPr>
            <w:r>
              <w:rPr>
                <w:rFonts w:hint="eastAsia" w:cs="宋体"/>
                <w:b/>
                <w:kern w:val="0"/>
              </w:rPr>
              <w:t>应用系统名称</w:t>
            </w:r>
          </w:p>
        </w:tc>
        <w:tc>
          <w:tcPr>
            <w:tcW w:w="974" w:type="pct"/>
            <w:tcBorders>
              <w:top w:val="single" w:color="auto" w:sz="4" w:space="0"/>
              <w:left w:val="nil"/>
              <w:bottom w:val="single" w:color="auto" w:sz="4" w:space="0"/>
              <w:right w:val="single" w:color="auto" w:sz="4" w:space="0"/>
            </w:tcBorders>
            <w:shd w:val="clear" w:color="000000" w:fill="F3F8FC"/>
            <w:noWrap/>
            <w:vAlign w:val="center"/>
          </w:tcPr>
          <w:p w14:paraId="27AF4CE1">
            <w:pPr>
              <w:widowControl/>
              <w:spacing w:line="240" w:lineRule="auto"/>
              <w:ind w:firstLine="0" w:firstLineChars="0"/>
              <w:jc w:val="center"/>
              <w:rPr>
                <w:rFonts w:cs="宋体"/>
                <w:b/>
                <w:kern w:val="0"/>
              </w:rPr>
            </w:pPr>
            <w:r>
              <w:rPr>
                <w:rFonts w:hint="eastAsia" w:cs="宋体"/>
                <w:b/>
                <w:kern w:val="0"/>
              </w:rPr>
              <w:t>模块名称</w:t>
            </w:r>
          </w:p>
        </w:tc>
        <w:tc>
          <w:tcPr>
            <w:tcW w:w="2908" w:type="pct"/>
            <w:tcBorders>
              <w:top w:val="single" w:color="auto" w:sz="4" w:space="0"/>
              <w:left w:val="nil"/>
              <w:bottom w:val="single" w:color="auto" w:sz="4" w:space="0"/>
              <w:right w:val="single" w:color="auto" w:sz="4" w:space="0"/>
            </w:tcBorders>
            <w:shd w:val="clear" w:color="000000" w:fill="F3F8FC"/>
            <w:vAlign w:val="center"/>
          </w:tcPr>
          <w:p w14:paraId="07DB414B">
            <w:pPr>
              <w:widowControl/>
              <w:spacing w:line="240" w:lineRule="auto"/>
              <w:ind w:firstLine="0" w:firstLineChars="0"/>
              <w:jc w:val="center"/>
              <w:rPr>
                <w:rFonts w:cs="宋体"/>
                <w:b/>
                <w:kern w:val="0"/>
              </w:rPr>
            </w:pPr>
            <w:r>
              <w:rPr>
                <w:rFonts w:hint="eastAsia" w:cs="宋体"/>
                <w:b/>
                <w:kern w:val="0"/>
              </w:rPr>
              <w:t>模块描述</w:t>
            </w:r>
          </w:p>
        </w:tc>
      </w:tr>
      <w:tr w14:paraId="187581F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F04BEC0">
            <w:pPr>
              <w:pStyle w:val="61"/>
              <w:widowControl/>
              <w:spacing w:line="240" w:lineRule="auto"/>
              <w:ind w:left="440" w:firstLine="0" w:firstLineChars="0"/>
              <w:rPr>
                <w:rFonts w:ascii="宋体" w:hAnsi="宋体" w:cs="Tahoma"/>
                <w:bCs/>
                <w:kern w:val="0"/>
                <w:sz w:val="24"/>
              </w:rPr>
            </w:pPr>
            <w:r>
              <w:rPr>
                <w:rFonts w:hint="eastAsia" w:cs="Tahoma"/>
                <w:bCs/>
                <w:kern w:val="0"/>
                <w:sz w:val="24"/>
              </w:rPr>
              <w:t>1</w:t>
            </w:r>
          </w:p>
        </w:tc>
        <w:tc>
          <w:tcPr>
            <w:tcW w:w="696" w:type="pct"/>
            <w:tcBorders>
              <w:top w:val="single" w:color="auto" w:sz="4" w:space="0"/>
              <w:left w:val="nil"/>
              <w:bottom w:val="single" w:color="auto" w:sz="4" w:space="0"/>
              <w:right w:val="single" w:color="auto" w:sz="4" w:space="0"/>
            </w:tcBorders>
            <w:shd w:val="clear" w:color="auto" w:fill="FFFFFF"/>
            <w:vAlign w:val="center"/>
          </w:tcPr>
          <w:p w14:paraId="2B3BE179">
            <w:pPr>
              <w:widowControl/>
              <w:spacing w:line="240" w:lineRule="auto"/>
              <w:ind w:firstLine="0" w:firstLineChars="0"/>
              <w:jc w:val="center"/>
              <w:rPr>
                <w:rFonts w:cs="Tahoma"/>
                <w:bCs/>
                <w:kern w:val="0"/>
              </w:rPr>
            </w:pPr>
            <w:bookmarkStart w:id="40" w:name="OLE_LINK1"/>
            <w:r>
              <w:rPr>
                <w:rFonts w:hint="eastAsia" w:cs="Tahoma"/>
                <w:bCs/>
                <w:kern w:val="0"/>
              </w:rPr>
              <w:t>财票链服务平台</w:t>
            </w:r>
            <w:bookmarkEnd w:id="40"/>
          </w:p>
        </w:tc>
        <w:tc>
          <w:tcPr>
            <w:tcW w:w="974" w:type="pct"/>
            <w:tcBorders>
              <w:top w:val="single" w:color="000000" w:sz="4" w:space="0"/>
              <w:left w:val="single" w:color="000000" w:sz="4" w:space="0"/>
              <w:bottom w:val="single" w:color="000000" w:sz="4" w:space="0"/>
              <w:right w:val="single" w:color="000000" w:sz="4" w:space="0"/>
            </w:tcBorders>
            <w:vAlign w:val="center"/>
          </w:tcPr>
          <w:p w14:paraId="76EE8344">
            <w:pPr>
              <w:widowControl/>
              <w:spacing w:line="240" w:lineRule="auto"/>
              <w:ind w:firstLine="0" w:firstLineChars="0"/>
              <w:jc w:val="center"/>
              <w:rPr>
                <w:rFonts w:cs="Tahoma"/>
                <w:bCs/>
                <w:kern w:val="0"/>
              </w:rPr>
            </w:pPr>
            <w:r>
              <w:rPr>
                <w:rFonts w:hint="eastAsia"/>
                <w:bCs/>
              </w:rPr>
              <w:t>财票链服务平台管理中心-分布式用户和组织管理模块-分布式账号管理模块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24891075">
            <w:pPr>
              <w:widowControl/>
              <w:spacing w:line="240" w:lineRule="auto"/>
              <w:ind w:firstLine="0" w:firstLineChars="0"/>
              <w:rPr>
                <w:rFonts w:cs="Tahoma"/>
                <w:bCs/>
                <w:kern w:val="0"/>
              </w:rPr>
            </w:pPr>
            <w:r>
              <w:rPr>
                <w:rFonts w:hint="eastAsia"/>
                <w:bCs/>
              </w:rPr>
              <w:t>分布式账号生成引擎 "支持中心端统一生成符合分布式标识规范的账号（基于分布式身份标识的的分布式唯一ID）</w:t>
            </w:r>
            <w:r>
              <w:rPr>
                <w:rFonts w:hint="eastAsia"/>
                <w:bCs/>
              </w:rPr>
              <w:br w:type="textWrapping"/>
            </w:r>
            <w:r>
              <w:rPr>
                <w:rFonts w:hint="eastAsia"/>
                <w:bCs/>
              </w:rPr>
              <w:t>集成密钥对生成模块（公钥/私钥）：中心端签发账号时绑定终端公钥</w:t>
            </w:r>
            <w:r>
              <w:rPr>
                <w:rFonts w:hint="eastAsia"/>
                <w:bCs/>
              </w:rPr>
              <w:br w:type="textWrapping"/>
            </w:r>
            <w:r>
              <w:rPr>
                <w:rFonts w:hint="eastAsia"/>
                <w:bCs/>
              </w:rPr>
              <w:t>跨终端账号同步引擎</w:t>
            </w:r>
            <w:r>
              <w:rPr>
                <w:rFonts w:ascii="Times New Roman" w:hAnsi="Times New Roman"/>
                <w:bCs/>
              </w:rPr>
              <w:t>​</w:t>
            </w:r>
            <w:r>
              <w:rPr>
                <w:rFonts w:hint="eastAsia" w:cs="等线"/>
                <w:bCs/>
              </w:rPr>
              <w:t>：实现账号信息在多终端节点的最终一致性同步</w:t>
            </w:r>
            <w:r>
              <w:rPr>
                <w:rFonts w:hint="eastAsia"/>
                <w:bCs/>
              </w:rPr>
              <w:br w:type="textWrapping"/>
            </w:r>
            <w:r>
              <w:rPr>
                <w:rFonts w:hint="eastAsia"/>
                <w:bCs/>
              </w:rPr>
              <w:t>接入端账号由中心端账号信息绑定生成</w:t>
            </w:r>
            <w:r>
              <w:rPr>
                <w:rFonts w:hint="eastAsia"/>
                <w:bCs/>
              </w:rPr>
              <w:br w:type="textWrapping"/>
            </w:r>
            <w:r>
              <w:rPr>
                <w:rFonts w:hint="eastAsia"/>
                <w:bCs/>
              </w:rPr>
              <w:t>多级账户数据架构配置 采用三级树状架构配置，适配“财政-接入端-场景的多级架构</w:t>
            </w:r>
            <w:r>
              <w:rPr>
                <w:rFonts w:hint="eastAsia"/>
                <w:bCs/>
              </w:rPr>
              <w:br w:type="textWrapping"/>
            </w:r>
            <w:r>
              <w:rPr>
                <w:rFonts w:hint="eastAsia"/>
                <w:bCs/>
              </w:rPr>
              <w:t>身份源对接管理 "身份源对接管理：支持LDAP、第三方中间库、非税系统等企业身份数据源对接。实现平台用户自动化同步创建与状态变更，保证了用户身份信息在多系统间的一致性与合规性，支撑平台统一的权限管理和访问控制策略定义。</w:t>
            </w:r>
            <w:r>
              <w:rPr>
                <w:rFonts w:hint="eastAsia"/>
                <w:bCs/>
              </w:rPr>
              <w:br w:type="textWrapping"/>
            </w:r>
            <w:r>
              <w:rPr>
                <w:rFonts w:hint="eastAsia"/>
                <w:bCs/>
              </w:rPr>
              <w:t>支持接入端分布式身份标识等本地身份数据接入中心端</w:t>
            </w:r>
            <w:r>
              <w:rPr>
                <w:rFonts w:hint="eastAsia"/>
                <w:bCs/>
              </w:rPr>
              <w:br w:type="textWrapping"/>
            </w:r>
            <w:r>
              <w:rPr>
                <w:rFonts w:hint="eastAsia"/>
                <w:bCs/>
              </w:rPr>
              <w:t>支持双向身份核验协议，中心端验证终端合法性时，终端同步校验中心端账号的有效性（防伪冒接入）"</w:t>
            </w:r>
            <w:r>
              <w:rPr>
                <w:rFonts w:hint="eastAsia"/>
                <w:bCs/>
              </w:rPr>
              <w:br w:type="textWrapping"/>
            </w:r>
            <w:r>
              <w:rPr>
                <w:rFonts w:hint="eastAsia"/>
                <w:bCs/>
              </w:rPr>
              <w:t>分级管理账号设置 "特权账号管理：支持对平台超级管理员账号与子管理员账号的管理</w:t>
            </w:r>
            <w:r>
              <w:rPr>
                <w:rFonts w:hint="eastAsia"/>
                <w:bCs/>
              </w:rPr>
              <w:br w:type="textWrapping"/>
            </w:r>
            <w:r>
              <w:rPr>
                <w:rFonts w:hint="eastAsia"/>
                <w:bCs/>
              </w:rPr>
              <w:t>区分「中心端超级管理员」「终端域管理员」两级权限</w:t>
            </w:r>
            <w:r>
              <w:rPr>
                <w:rFonts w:hint="eastAsia"/>
                <w:bCs/>
              </w:rPr>
              <w:br w:type="textWrapping"/>
            </w:r>
            <w:r>
              <w:rPr>
                <w:rFonts w:hint="eastAsia"/>
                <w:bCs/>
              </w:rPr>
              <w:t>终端域管理员权限范围限定：仅可管理本终端节点下的子账号，无跨节点操作权限"</w:t>
            </w:r>
          </w:p>
        </w:tc>
      </w:tr>
      <w:tr w14:paraId="014270C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8E8A5FB">
            <w:pPr>
              <w:pStyle w:val="61"/>
              <w:widowControl/>
              <w:spacing w:line="240" w:lineRule="auto"/>
              <w:ind w:left="440" w:firstLine="0" w:firstLineChars="0"/>
              <w:rPr>
                <w:rFonts w:cs="Tahoma"/>
                <w:bCs/>
                <w:kern w:val="0"/>
                <w:sz w:val="24"/>
              </w:rPr>
            </w:pPr>
            <w:r>
              <w:rPr>
                <w:rFonts w:hint="eastAsia" w:cs="Tahoma"/>
                <w:bCs/>
                <w:kern w:val="0"/>
                <w:sz w:val="24"/>
              </w:rPr>
              <w:t>2</w:t>
            </w:r>
          </w:p>
        </w:tc>
        <w:tc>
          <w:tcPr>
            <w:tcW w:w="696" w:type="pct"/>
            <w:tcBorders>
              <w:top w:val="single" w:color="auto" w:sz="4" w:space="0"/>
              <w:left w:val="nil"/>
              <w:bottom w:val="single" w:color="auto" w:sz="4" w:space="0"/>
              <w:right w:val="single" w:color="auto" w:sz="4" w:space="0"/>
            </w:tcBorders>
            <w:shd w:val="clear" w:color="auto" w:fill="FFFFFF"/>
            <w:vAlign w:val="center"/>
          </w:tcPr>
          <w:p w14:paraId="37B312E9">
            <w:pPr>
              <w:widowControl/>
              <w:spacing w:line="240" w:lineRule="auto"/>
              <w:ind w:firstLine="0" w:firstLineChars="0"/>
              <w:jc w:val="center"/>
              <w:rPr>
                <w:rFonts w:cs="Tahoma"/>
                <w:bCs/>
                <w:kern w:val="0"/>
              </w:rPr>
            </w:pPr>
            <w:r>
              <w:rPr>
                <w:rFonts w:hint="eastAsia" w:cs="Tahoma"/>
                <w:bCs/>
                <w:kern w:val="0"/>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C3581D7">
            <w:pPr>
              <w:widowControl/>
              <w:spacing w:line="240" w:lineRule="auto"/>
              <w:ind w:firstLine="0" w:firstLineChars="0"/>
              <w:jc w:val="center"/>
              <w:rPr>
                <w:rFonts w:cs="Tahoma"/>
                <w:bCs/>
                <w:kern w:val="0"/>
              </w:rPr>
            </w:pPr>
            <w:r>
              <w:rPr>
                <w:rFonts w:hint="eastAsia"/>
                <w:bCs/>
              </w:rPr>
              <w:t>财票链服务平台管理中心-分布式用户和组织管理模块-分布式组织机构管理模块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53532A38">
            <w:pPr>
              <w:widowControl/>
              <w:spacing w:line="240" w:lineRule="auto"/>
              <w:ind w:firstLine="0" w:firstLineChars="0"/>
              <w:rPr>
                <w:rFonts w:cs="Tahoma"/>
                <w:bCs/>
                <w:kern w:val="0"/>
              </w:rPr>
            </w:pPr>
            <w:r>
              <w:rPr>
                <w:rFonts w:hint="eastAsia"/>
                <w:bCs/>
              </w:rPr>
              <w:t>可视化分布式组织结构呈现 一种以树形结构直观呈现组织内部层级关系、部门设置及权责分工的可视化工具，其核心在于清晰展示组织的架构体系和审核关系。包括节点、层级、连接关系展示。</w:t>
            </w:r>
            <w:r>
              <w:rPr>
                <w:rFonts w:hint="eastAsia"/>
                <w:bCs/>
              </w:rPr>
              <w:br w:type="textWrapping"/>
            </w:r>
            <w:r>
              <w:rPr>
                <w:rFonts w:hint="eastAsia"/>
                <w:bCs/>
              </w:rPr>
              <w:t>动态节点归属管理 支持自动同步下发接入端账号的访问权限</w:t>
            </w:r>
            <w:r>
              <w:rPr>
                <w:rFonts w:hint="eastAsia"/>
                <w:bCs/>
              </w:rPr>
              <w:br w:type="textWrapping"/>
            </w:r>
            <w:r>
              <w:rPr>
                <w:rFonts w:hint="eastAsia"/>
                <w:bCs/>
              </w:rPr>
              <w:t>组织机构管理 "平台提供组织机构的管理能力，支持对机构的新增、修改、删除，以及对分布式用户所属机构、部门进行管理</w:t>
            </w:r>
            <w:r>
              <w:rPr>
                <w:rFonts w:hint="eastAsia"/>
                <w:bCs/>
              </w:rPr>
              <w:br w:type="textWrapping"/>
            </w:r>
            <w:r>
              <w:rPr>
                <w:rFonts w:hint="eastAsia"/>
                <w:bCs/>
              </w:rPr>
              <w:t>接入端只可查看自身组织的成员信息"</w:t>
            </w:r>
          </w:p>
        </w:tc>
      </w:tr>
      <w:tr w14:paraId="1ACFAF1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C5BEACA">
            <w:pPr>
              <w:pStyle w:val="61"/>
              <w:widowControl/>
              <w:spacing w:line="240" w:lineRule="auto"/>
              <w:ind w:left="440" w:firstLine="0" w:firstLineChars="0"/>
              <w:rPr>
                <w:rFonts w:cs="Tahoma"/>
                <w:bCs/>
                <w:kern w:val="0"/>
                <w:sz w:val="24"/>
              </w:rPr>
            </w:pPr>
            <w:r>
              <w:rPr>
                <w:rFonts w:hint="eastAsia" w:cs="Tahoma"/>
                <w:bCs/>
                <w:kern w:val="0"/>
                <w:sz w:val="24"/>
              </w:rPr>
              <w:t>3</w:t>
            </w:r>
          </w:p>
        </w:tc>
        <w:tc>
          <w:tcPr>
            <w:tcW w:w="696" w:type="pct"/>
            <w:tcBorders>
              <w:top w:val="single" w:color="auto" w:sz="4" w:space="0"/>
              <w:left w:val="nil"/>
              <w:bottom w:val="single" w:color="auto" w:sz="4" w:space="0"/>
              <w:right w:val="single" w:color="auto" w:sz="4" w:space="0"/>
            </w:tcBorders>
            <w:shd w:val="clear" w:color="auto" w:fill="FFFFFF"/>
            <w:vAlign w:val="center"/>
          </w:tcPr>
          <w:p w14:paraId="73037D8E">
            <w:pPr>
              <w:widowControl/>
              <w:spacing w:line="240" w:lineRule="auto"/>
              <w:ind w:firstLine="0" w:firstLineChars="0"/>
              <w:jc w:val="center"/>
              <w:rPr>
                <w:rFonts w:cs="Tahoma"/>
                <w:bCs/>
                <w:kern w:val="0"/>
              </w:rPr>
            </w:pPr>
            <w:r>
              <w:rPr>
                <w:rFonts w:hint="eastAsia" w:cs="Tahoma"/>
                <w:bCs/>
                <w:kern w:val="0"/>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F15AF7F">
            <w:pPr>
              <w:widowControl/>
              <w:spacing w:line="240" w:lineRule="auto"/>
              <w:ind w:firstLine="0" w:firstLineChars="0"/>
              <w:jc w:val="center"/>
              <w:rPr>
                <w:rFonts w:cs="Tahoma"/>
                <w:bCs/>
                <w:kern w:val="0"/>
              </w:rPr>
            </w:pPr>
            <w:r>
              <w:rPr>
                <w:rFonts w:hint="eastAsia"/>
                <w:bCs/>
              </w:rPr>
              <w:t>财票链服务平台管理中心-分布式用户和组织管理模块-账户数据同步模块-分布式接入节点同步</w:t>
            </w:r>
          </w:p>
        </w:tc>
        <w:tc>
          <w:tcPr>
            <w:tcW w:w="2908" w:type="pct"/>
            <w:tcBorders>
              <w:top w:val="single" w:color="000000" w:sz="4" w:space="0"/>
              <w:left w:val="single" w:color="000000" w:sz="4" w:space="0"/>
              <w:bottom w:val="single" w:color="000000" w:sz="4" w:space="0"/>
              <w:right w:val="single" w:color="000000" w:sz="4" w:space="0"/>
            </w:tcBorders>
            <w:vAlign w:val="center"/>
          </w:tcPr>
          <w:p w14:paraId="18DE4967">
            <w:pPr>
              <w:widowControl/>
              <w:spacing w:line="240" w:lineRule="auto"/>
              <w:ind w:firstLine="0" w:firstLineChars="0"/>
              <w:rPr>
                <w:rFonts w:cs="Tahoma"/>
                <w:bCs/>
                <w:kern w:val="0"/>
              </w:rPr>
            </w:pPr>
            <w:r>
              <w:rPr>
                <w:rFonts w:hint="eastAsia"/>
                <w:bCs/>
              </w:rPr>
              <w:t>接入节点通过Kafka消息队列订阅中心端账户变更事件，异步更新本地缓存，通过版本号解决分布式事务冲突。</w:t>
            </w:r>
          </w:p>
        </w:tc>
      </w:tr>
      <w:tr w14:paraId="75C8DFB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4F28B04">
            <w:pPr>
              <w:pStyle w:val="61"/>
              <w:widowControl/>
              <w:spacing w:line="240" w:lineRule="auto"/>
              <w:ind w:left="440" w:firstLine="0" w:firstLineChars="0"/>
              <w:rPr>
                <w:rFonts w:cs="Tahoma"/>
                <w:bCs/>
                <w:kern w:val="0"/>
                <w:sz w:val="24"/>
              </w:rPr>
            </w:pPr>
            <w:r>
              <w:rPr>
                <w:rFonts w:hint="eastAsia" w:cs="Tahoma"/>
                <w:bCs/>
                <w:kern w:val="0"/>
                <w:sz w:val="24"/>
              </w:rPr>
              <w:t>4</w:t>
            </w:r>
          </w:p>
        </w:tc>
        <w:tc>
          <w:tcPr>
            <w:tcW w:w="696" w:type="pct"/>
            <w:tcBorders>
              <w:top w:val="single" w:color="auto" w:sz="4" w:space="0"/>
              <w:left w:val="nil"/>
              <w:bottom w:val="single" w:color="auto" w:sz="4" w:space="0"/>
              <w:right w:val="single" w:color="auto" w:sz="4" w:space="0"/>
            </w:tcBorders>
            <w:shd w:val="clear" w:color="auto" w:fill="FFFFFF"/>
            <w:vAlign w:val="center"/>
          </w:tcPr>
          <w:p w14:paraId="0AEBA5AB">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7909959">
            <w:pPr>
              <w:widowControl/>
              <w:spacing w:line="240" w:lineRule="auto"/>
              <w:ind w:firstLine="0" w:firstLineChars="0"/>
              <w:jc w:val="center"/>
              <w:rPr>
                <w:rFonts w:cs="Tahoma"/>
                <w:bCs/>
                <w:kern w:val="0"/>
              </w:rPr>
            </w:pPr>
            <w:r>
              <w:rPr>
                <w:rFonts w:hint="eastAsia"/>
                <w:bCs/>
              </w:rPr>
              <w:t>财票链服务平台管理中心-动态权限分配模块-授权策略管理模块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11C03C2B">
            <w:pPr>
              <w:widowControl/>
              <w:spacing w:line="240" w:lineRule="auto"/>
              <w:ind w:firstLine="0" w:firstLineChars="0"/>
              <w:rPr>
                <w:rFonts w:cs="Tahoma"/>
                <w:bCs/>
                <w:kern w:val="0"/>
              </w:rPr>
            </w:pPr>
            <w:r>
              <w:rPr>
                <w:rFonts w:hint="eastAsia"/>
                <w:bCs/>
              </w:rPr>
              <w:t>角色管理 为精准匹配各类用户在平台中的职责与操作需求，本系统提供对各类授权角色类型（如开票方、用票方、财政管理员等）进行生命周期管理的能力</w:t>
            </w:r>
            <w:r>
              <w:rPr>
                <w:rFonts w:hint="eastAsia"/>
                <w:bCs/>
              </w:rPr>
              <w:br w:type="textWrapping"/>
            </w:r>
            <w:r>
              <w:rPr>
                <w:rFonts w:hint="eastAsia"/>
                <w:bCs/>
              </w:rPr>
              <w:t>动态授权管理 "支持管理员预先配置基于用户组织归属和用户账号状态（等身份属性的动态授权规则。</w:t>
            </w:r>
            <w:r>
              <w:rPr>
                <w:rFonts w:hint="eastAsia"/>
                <w:bCs/>
              </w:rPr>
              <w:br w:type="textWrapping"/>
            </w:r>
            <w:r>
              <w:rPr>
                <w:rFonts w:hint="eastAsia"/>
                <w:bCs/>
              </w:rPr>
              <w:t>平台持续监控用户身份的变更动态。一旦检测到用户组织关系变动（如子账号停用）或状态更改，内置规则立即响应，根据最新属性重新计算该用户应匹配的角色集合。</w:t>
            </w:r>
            <w:r>
              <w:rPr>
                <w:rFonts w:hint="eastAsia"/>
                <w:bCs/>
              </w:rPr>
              <w:br w:type="textWrapping"/>
            </w:r>
            <w:r>
              <w:rPr>
                <w:rFonts w:hint="eastAsia"/>
                <w:bCs/>
              </w:rPr>
              <w:t>菜单权限策略 基于不同管理员、操作员、审计员等多种角色，设置不同菜单权限，控制不同角色登录平台后可见的功能范围</w:t>
            </w:r>
            <w:r>
              <w:rPr>
                <w:rFonts w:hint="eastAsia"/>
                <w:bCs/>
              </w:rPr>
              <w:br w:type="textWrapping"/>
            </w:r>
            <w:r>
              <w:rPr>
                <w:rFonts w:hint="eastAsia"/>
                <w:bCs/>
              </w:rPr>
              <w:t>应用权限策略 设置开票方、用票方、财政管理员等不同角色的应用访问权限，通过不同权限展示不同的应用入口页面</w:t>
            </w:r>
            <w:r>
              <w:rPr>
                <w:rFonts w:hint="eastAsia"/>
                <w:bCs/>
              </w:rPr>
              <w:br w:type="textWrapping"/>
            </w:r>
            <w:r>
              <w:rPr>
                <w:rFonts w:hint="eastAsia"/>
                <w:bCs/>
              </w:rPr>
              <w:t>权限资源管理 支持管理员管理平台内所有需进行权限控制的关键资源（平台菜单、可授权应用），形成“可授权资源池”，设定“可为哪些角色分配哪些授权资源”。管理员可在为某个角色配置权限时，仅能从其可见且允许被分配给该角色的资源池中进行选择。</w:t>
            </w:r>
          </w:p>
        </w:tc>
      </w:tr>
      <w:tr w14:paraId="497A7EC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456D5E4">
            <w:pPr>
              <w:pStyle w:val="61"/>
              <w:widowControl/>
              <w:spacing w:line="240" w:lineRule="auto"/>
              <w:ind w:left="440" w:firstLine="0" w:firstLineChars="0"/>
              <w:rPr>
                <w:rFonts w:cs="Tahoma"/>
                <w:bCs/>
                <w:kern w:val="0"/>
                <w:sz w:val="24"/>
              </w:rPr>
            </w:pPr>
            <w:r>
              <w:rPr>
                <w:rFonts w:hint="eastAsia" w:cs="Tahoma"/>
                <w:bCs/>
                <w:kern w:val="0"/>
                <w:sz w:val="24"/>
              </w:rPr>
              <w:t>5</w:t>
            </w:r>
          </w:p>
        </w:tc>
        <w:tc>
          <w:tcPr>
            <w:tcW w:w="696" w:type="pct"/>
            <w:tcBorders>
              <w:top w:val="single" w:color="auto" w:sz="4" w:space="0"/>
              <w:left w:val="nil"/>
              <w:bottom w:val="single" w:color="auto" w:sz="4" w:space="0"/>
              <w:right w:val="single" w:color="auto" w:sz="4" w:space="0"/>
            </w:tcBorders>
            <w:shd w:val="clear" w:color="auto" w:fill="FFFFFF"/>
            <w:vAlign w:val="center"/>
          </w:tcPr>
          <w:p w14:paraId="7CD0B78B">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1A4BACE">
            <w:pPr>
              <w:widowControl/>
              <w:spacing w:line="240" w:lineRule="auto"/>
              <w:ind w:firstLine="0" w:firstLineChars="0"/>
              <w:jc w:val="center"/>
              <w:rPr>
                <w:rFonts w:cs="Tahoma"/>
                <w:bCs/>
                <w:kern w:val="0"/>
              </w:rPr>
            </w:pPr>
            <w:r>
              <w:rPr>
                <w:rFonts w:hint="eastAsia"/>
                <w:bCs/>
              </w:rPr>
              <w:t>财票链服务平台管理中心-平台消息管理-消息生成及模版管理模块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55F0879C">
            <w:pPr>
              <w:widowControl/>
              <w:spacing w:line="240" w:lineRule="auto"/>
              <w:ind w:firstLine="0" w:firstLineChars="0"/>
              <w:rPr>
                <w:rFonts w:cs="Tahoma"/>
                <w:bCs/>
                <w:kern w:val="0"/>
              </w:rPr>
            </w:pPr>
            <w:r>
              <w:rPr>
                <w:rFonts w:hint="eastAsia"/>
                <w:bCs/>
              </w:rPr>
              <w:t>消息分类配置 设置不同消息分类标签，包括提醒类、通知类、异常预警类。</w:t>
            </w:r>
            <w:r>
              <w:rPr>
                <w:rFonts w:hint="eastAsia"/>
                <w:bCs/>
              </w:rPr>
              <w:br w:type="textWrapping"/>
            </w:r>
            <w:r>
              <w:rPr>
                <w:rFonts w:hint="eastAsia"/>
                <w:bCs/>
              </w:rPr>
              <w:t>消息生成 按消息分类生成不同标签的消息，包括提醒类、通知类、异常预警类。</w:t>
            </w:r>
            <w:r>
              <w:rPr>
                <w:rFonts w:hint="eastAsia"/>
                <w:bCs/>
              </w:rPr>
              <w:br w:type="textWrapping"/>
            </w:r>
            <w:r>
              <w:rPr>
                <w:rFonts w:hint="eastAsia"/>
                <w:bCs/>
              </w:rPr>
              <w:t>消息模版配置 支持基于信息分类定义不同的消息模版。</w:t>
            </w:r>
          </w:p>
        </w:tc>
      </w:tr>
      <w:tr w14:paraId="5733C87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3D1CA73">
            <w:pPr>
              <w:pStyle w:val="61"/>
              <w:widowControl/>
              <w:spacing w:line="240" w:lineRule="auto"/>
              <w:ind w:left="440" w:firstLine="0" w:firstLineChars="0"/>
              <w:rPr>
                <w:rFonts w:cs="Tahoma"/>
                <w:bCs/>
                <w:kern w:val="0"/>
                <w:sz w:val="24"/>
              </w:rPr>
            </w:pPr>
            <w:r>
              <w:rPr>
                <w:rFonts w:hint="eastAsia" w:cs="Tahoma"/>
                <w:bCs/>
                <w:kern w:val="0"/>
                <w:sz w:val="24"/>
              </w:rPr>
              <w:t>6</w:t>
            </w:r>
          </w:p>
        </w:tc>
        <w:tc>
          <w:tcPr>
            <w:tcW w:w="696" w:type="pct"/>
            <w:tcBorders>
              <w:top w:val="single" w:color="auto" w:sz="4" w:space="0"/>
              <w:left w:val="nil"/>
              <w:bottom w:val="single" w:color="auto" w:sz="4" w:space="0"/>
              <w:right w:val="single" w:color="auto" w:sz="4" w:space="0"/>
            </w:tcBorders>
            <w:shd w:val="clear" w:color="auto" w:fill="FFFFFF"/>
            <w:vAlign w:val="center"/>
          </w:tcPr>
          <w:p w14:paraId="3C3FD95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8758625">
            <w:pPr>
              <w:widowControl/>
              <w:spacing w:line="240" w:lineRule="auto"/>
              <w:ind w:firstLine="0" w:firstLineChars="0"/>
              <w:jc w:val="center"/>
              <w:rPr>
                <w:rFonts w:cs="Tahoma"/>
                <w:bCs/>
                <w:kern w:val="0"/>
              </w:rPr>
            </w:pPr>
            <w:r>
              <w:rPr>
                <w:rFonts w:hint="eastAsia"/>
                <w:bCs/>
              </w:rPr>
              <w:t>财票链服务平台管理中心-平台消息管理-消息发布管理模块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3C34E3BB">
            <w:pPr>
              <w:widowControl/>
              <w:spacing w:line="240" w:lineRule="auto"/>
              <w:ind w:firstLine="0" w:firstLineChars="0"/>
              <w:rPr>
                <w:rFonts w:cs="Tahoma"/>
                <w:bCs/>
                <w:kern w:val="0"/>
              </w:rPr>
            </w:pPr>
            <w:r>
              <w:rPr>
                <w:rFonts w:hint="eastAsia"/>
                <w:bCs/>
              </w:rPr>
              <w:t>消息编辑 支持后台管理员人工编辑消息通知</w:t>
            </w:r>
            <w:r>
              <w:rPr>
                <w:rFonts w:hint="eastAsia"/>
                <w:bCs/>
              </w:rPr>
              <w:br w:type="textWrapping"/>
            </w:r>
            <w:r>
              <w:rPr>
                <w:rFonts w:hint="eastAsia"/>
                <w:bCs/>
              </w:rPr>
              <w:t>发布策略 可指定参与方或全局接收消息。支持通过站内信方式，按照既定规则推送消息至参与方账号</w:t>
            </w:r>
            <w:r>
              <w:rPr>
                <w:rFonts w:hint="eastAsia"/>
                <w:bCs/>
              </w:rPr>
              <w:br w:type="textWrapping"/>
            </w:r>
            <w:r>
              <w:rPr>
                <w:rFonts w:hint="eastAsia"/>
                <w:bCs/>
              </w:rPr>
              <w:t>表单查询 支持后台管理员查询所有消息状态，包括已发布、未发布。</w:t>
            </w:r>
            <w:r>
              <w:rPr>
                <w:rFonts w:hint="eastAsia"/>
                <w:bCs/>
              </w:rPr>
              <w:br w:type="textWrapping"/>
            </w:r>
            <w:r>
              <w:rPr>
                <w:rFonts w:hint="eastAsia"/>
                <w:bCs/>
              </w:rPr>
              <w:t>消息阅读状态管理 支持参与方登录后，查看消息列表及消息明细，并标记阅读和未阅读状态；支持批量标记阅读</w:t>
            </w:r>
            <w:r>
              <w:rPr>
                <w:rFonts w:hint="eastAsia"/>
                <w:bCs/>
              </w:rPr>
              <w:br w:type="textWrapping"/>
            </w:r>
            <w:r>
              <w:rPr>
                <w:rFonts w:hint="eastAsia"/>
                <w:bCs/>
              </w:rPr>
              <w:t>短信网关对接 支持对接政务云短信网关，用于实名认证、登录、业务审核状态通知。支持基于上述通知事项，系统自动组装配置短信模版内容。</w:t>
            </w:r>
          </w:p>
        </w:tc>
      </w:tr>
      <w:tr w14:paraId="4E1CDE25">
        <w:tblPrEx>
          <w:tblCellMar>
            <w:top w:w="0" w:type="dxa"/>
            <w:left w:w="108" w:type="dxa"/>
            <w:bottom w:w="0" w:type="dxa"/>
            <w:right w:w="108" w:type="dxa"/>
          </w:tblCellMar>
        </w:tblPrEx>
        <w:trPr>
          <w:trHeight w:val="699"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6B514A6">
            <w:pPr>
              <w:pStyle w:val="61"/>
              <w:widowControl/>
              <w:spacing w:line="240" w:lineRule="auto"/>
              <w:ind w:left="440" w:firstLine="0" w:firstLineChars="0"/>
              <w:rPr>
                <w:rFonts w:ascii="宋体" w:hAnsi="宋体" w:cs="Tahoma"/>
                <w:bCs/>
                <w:kern w:val="0"/>
                <w:sz w:val="24"/>
              </w:rPr>
            </w:pPr>
            <w:r>
              <w:rPr>
                <w:rFonts w:hint="eastAsia" w:cs="Tahoma"/>
                <w:bCs/>
                <w:kern w:val="0"/>
                <w:sz w:val="24"/>
              </w:rPr>
              <w:t>7</w:t>
            </w:r>
          </w:p>
        </w:tc>
        <w:tc>
          <w:tcPr>
            <w:tcW w:w="696" w:type="pct"/>
            <w:tcBorders>
              <w:top w:val="single" w:color="auto" w:sz="4" w:space="0"/>
              <w:left w:val="nil"/>
              <w:bottom w:val="single" w:color="auto" w:sz="4" w:space="0"/>
              <w:right w:val="single" w:color="auto" w:sz="4" w:space="0"/>
            </w:tcBorders>
            <w:shd w:val="clear" w:color="auto" w:fill="FFFFFF"/>
            <w:vAlign w:val="center"/>
          </w:tcPr>
          <w:p w14:paraId="76F29D2B">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1261366">
            <w:pPr>
              <w:widowControl/>
              <w:spacing w:line="240" w:lineRule="auto"/>
              <w:ind w:firstLine="0" w:firstLineChars="0"/>
              <w:jc w:val="center"/>
              <w:rPr>
                <w:rFonts w:cs="Tahoma"/>
                <w:bCs/>
                <w:kern w:val="0"/>
              </w:rPr>
            </w:pPr>
            <w:r>
              <w:rPr>
                <w:rFonts w:hint="eastAsia"/>
                <w:bCs/>
              </w:rPr>
              <w:t>财票链服务平台管理中心-审批策略管理-审批业务流程管理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2B192F73">
            <w:pPr>
              <w:widowControl/>
              <w:spacing w:line="240" w:lineRule="auto"/>
              <w:ind w:firstLine="0" w:firstLineChars="0"/>
              <w:rPr>
                <w:rFonts w:cs="Tahoma"/>
                <w:bCs/>
                <w:kern w:val="0"/>
              </w:rPr>
            </w:pPr>
            <w:r>
              <w:rPr>
                <w:rFonts w:hint="eastAsia"/>
                <w:bCs/>
              </w:rPr>
              <w:t>支持对平台审批业务流程进行管理、定义各审批节点</w:t>
            </w:r>
            <w:r>
              <w:rPr>
                <w:rFonts w:hint="eastAsia"/>
                <w:bCs/>
              </w:rPr>
              <w:br w:type="textWrapping"/>
            </w:r>
            <w:r>
              <w:rPr>
                <w:rFonts w:hint="eastAsia"/>
                <w:bCs/>
              </w:rPr>
              <w:t>审批角色管理：支持对审批角色管理，用户与审批角色的管理定义</w:t>
            </w:r>
            <w:r>
              <w:rPr>
                <w:rFonts w:hint="eastAsia"/>
                <w:bCs/>
              </w:rPr>
              <w:br w:type="textWrapping"/>
            </w:r>
            <w:r>
              <w:rPr>
                <w:rFonts w:hint="eastAsia"/>
                <w:bCs/>
              </w:rPr>
              <w:t>审批流程操作日志：支持对审批流程操作日志进行查看</w:t>
            </w:r>
            <w:r>
              <w:rPr>
                <w:rFonts w:hint="eastAsia"/>
                <w:bCs/>
              </w:rPr>
              <w:br w:type="textWrapping"/>
            </w:r>
            <w:r>
              <w:rPr>
                <w:rFonts w:hint="eastAsia"/>
                <w:bCs/>
              </w:rPr>
              <w:t>支持对平台审批业务流程进行管理、定义各节点审批的角色</w:t>
            </w:r>
            <w:r>
              <w:rPr>
                <w:rFonts w:hint="eastAsia"/>
                <w:bCs/>
              </w:rPr>
              <w:br w:type="textWrapping"/>
            </w:r>
            <w:r>
              <w:rPr>
                <w:rFonts w:hint="eastAsia"/>
                <w:bCs/>
              </w:rPr>
              <w:t>串联审批业务流程，支持联动敏感操作、权限变更等平台管理业务流程触发审批</w:t>
            </w:r>
          </w:p>
        </w:tc>
      </w:tr>
      <w:tr w14:paraId="1550737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99871EA">
            <w:pPr>
              <w:pStyle w:val="61"/>
              <w:widowControl/>
              <w:spacing w:line="240" w:lineRule="auto"/>
              <w:ind w:left="440" w:firstLine="0" w:firstLineChars="0"/>
              <w:rPr>
                <w:rFonts w:ascii="宋体" w:hAnsi="宋体" w:cs="Tahoma"/>
                <w:bCs/>
                <w:kern w:val="0"/>
                <w:sz w:val="24"/>
              </w:rPr>
            </w:pPr>
            <w:r>
              <w:rPr>
                <w:rFonts w:hint="eastAsia" w:cs="Tahoma"/>
                <w:bCs/>
                <w:kern w:val="0"/>
                <w:sz w:val="24"/>
              </w:rPr>
              <w:t>8</w:t>
            </w:r>
          </w:p>
        </w:tc>
        <w:tc>
          <w:tcPr>
            <w:tcW w:w="696" w:type="pct"/>
            <w:tcBorders>
              <w:top w:val="single" w:color="auto" w:sz="4" w:space="0"/>
              <w:left w:val="nil"/>
              <w:bottom w:val="single" w:color="auto" w:sz="4" w:space="0"/>
              <w:right w:val="single" w:color="auto" w:sz="4" w:space="0"/>
            </w:tcBorders>
            <w:shd w:val="clear" w:color="auto" w:fill="FFFFFF"/>
            <w:vAlign w:val="center"/>
          </w:tcPr>
          <w:p w14:paraId="10B4A3A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C993AF5">
            <w:pPr>
              <w:widowControl/>
              <w:spacing w:line="240" w:lineRule="auto"/>
              <w:ind w:firstLine="0" w:firstLineChars="0"/>
              <w:jc w:val="center"/>
              <w:rPr>
                <w:rFonts w:cs="Tahoma"/>
                <w:bCs/>
                <w:kern w:val="0"/>
              </w:rPr>
            </w:pPr>
            <w:r>
              <w:rPr>
                <w:rFonts w:hint="eastAsia"/>
                <w:bCs/>
              </w:rPr>
              <w:t>财票链服务平台管理中心-审批策略管理-审批角色管理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54B4306E">
            <w:pPr>
              <w:widowControl/>
              <w:spacing w:line="240" w:lineRule="auto"/>
              <w:ind w:firstLine="0" w:firstLineChars="0"/>
              <w:rPr>
                <w:rFonts w:cs="Tahoma"/>
                <w:bCs/>
                <w:kern w:val="0"/>
              </w:rPr>
            </w:pPr>
            <w:r>
              <w:rPr>
                <w:rFonts w:hint="eastAsia"/>
                <w:bCs/>
              </w:rPr>
              <w:t>超级管理员可进行审批角色管理，包括新建（如新建自定义角色）、删除角色（删除前需先移除成员）、修改角色名称、调整管理范围（如选择全部或指定部门）</w:t>
            </w:r>
            <w:r>
              <w:rPr>
                <w:rFonts w:hint="eastAsia"/>
                <w:bCs/>
              </w:rPr>
              <w:br w:type="textWrapping"/>
            </w:r>
            <w:r>
              <w:rPr>
                <w:rFonts w:hint="eastAsia"/>
                <w:bCs/>
              </w:rPr>
              <w:t>提供成员管理，支持审批角色中添加、删除成员</w:t>
            </w:r>
          </w:p>
        </w:tc>
      </w:tr>
      <w:tr w14:paraId="600CCE4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49E4BAB">
            <w:pPr>
              <w:pStyle w:val="61"/>
              <w:widowControl/>
              <w:spacing w:line="240" w:lineRule="auto"/>
              <w:ind w:left="440" w:firstLine="0" w:firstLineChars="0"/>
              <w:rPr>
                <w:rFonts w:ascii="宋体" w:hAnsi="宋体" w:cs="Tahoma"/>
                <w:bCs/>
                <w:kern w:val="0"/>
                <w:sz w:val="24"/>
              </w:rPr>
            </w:pPr>
            <w:r>
              <w:rPr>
                <w:rFonts w:hint="eastAsia" w:cs="Tahoma"/>
                <w:bCs/>
                <w:kern w:val="0"/>
                <w:sz w:val="24"/>
              </w:rPr>
              <w:t>9</w:t>
            </w:r>
          </w:p>
        </w:tc>
        <w:tc>
          <w:tcPr>
            <w:tcW w:w="696" w:type="pct"/>
            <w:tcBorders>
              <w:top w:val="single" w:color="auto" w:sz="4" w:space="0"/>
              <w:left w:val="nil"/>
              <w:bottom w:val="single" w:color="auto" w:sz="4" w:space="0"/>
              <w:right w:val="single" w:color="auto" w:sz="4" w:space="0"/>
            </w:tcBorders>
            <w:shd w:val="clear" w:color="auto" w:fill="FFFFFF"/>
            <w:vAlign w:val="center"/>
          </w:tcPr>
          <w:p w14:paraId="118651F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018B658">
            <w:pPr>
              <w:widowControl/>
              <w:spacing w:line="240" w:lineRule="auto"/>
              <w:ind w:firstLine="0" w:firstLineChars="0"/>
              <w:jc w:val="center"/>
              <w:rPr>
                <w:rFonts w:cs="Tahoma"/>
                <w:bCs/>
                <w:kern w:val="0"/>
              </w:rPr>
            </w:pPr>
            <w:r>
              <w:rPr>
                <w:rFonts w:hint="eastAsia"/>
                <w:bCs/>
              </w:rPr>
              <w:t>安全管控模块-全局风险控制管理-账号安全策略</w:t>
            </w:r>
          </w:p>
        </w:tc>
        <w:tc>
          <w:tcPr>
            <w:tcW w:w="2908" w:type="pct"/>
            <w:tcBorders>
              <w:top w:val="single" w:color="000000" w:sz="4" w:space="0"/>
              <w:left w:val="single" w:color="000000" w:sz="4" w:space="0"/>
              <w:bottom w:val="single" w:color="000000" w:sz="4" w:space="0"/>
              <w:right w:val="single" w:color="000000" w:sz="4" w:space="0"/>
            </w:tcBorders>
            <w:vAlign w:val="center"/>
          </w:tcPr>
          <w:p w14:paraId="768F9F17">
            <w:pPr>
              <w:widowControl/>
              <w:spacing w:line="240" w:lineRule="auto"/>
              <w:ind w:firstLine="0" w:firstLineChars="0"/>
              <w:rPr>
                <w:rFonts w:cs="Tahoma"/>
                <w:bCs/>
                <w:kern w:val="0"/>
              </w:rPr>
            </w:pPr>
            <w:r>
              <w:rPr>
                <w:rFonts w:hint="eastAsia"/>
                <w:bCs/>
              </w:rPr>
              <w:t>黑名单用户管理：提供针对风险账号进行锁定拉黑能力，黑名单用户禁止登录平台</w:t>
            </w:r>
            <w:r>
              <w:rPr>
                <w:rFonts w:hint="eastAsia"/>
                <w:bCs/>
              </w:rPr>
              <w:br w:type="textWrapping"/>
            </w:r>
            <w:r>
              <w:rPr>
                <w:rFonts w:hint="eastAsia"/>
                <w:bCs/>
              </w:rPr>
              <w:t>管理员可对黑名单进行维护，提供撤销黑名单功能</w:t>
            </w:r>
            <w:r>
              <w:rPr>
                <w:rFonts w:hint="eastAsia"/>
                <w:bCs/>
              </w:rPr>
              <w:br w:type="textWrapping"/>
            </w:r>
            <w:r>
              <w:rPr>
                <w:rFonts w:hint="eastAsia"/>
                <w:bCs/>
              </w:rPr>
              <w:t>账号安全策略：提供平台统一的密码错误次数风险策略定义</w:t>
            </w:r>
            <w:r>
              <w:rPr>
                <w:rFonts w:hint="eastAsia"/>
                <w:bCs/>
              </w:rPr>
              <w:br w:type="textWrapping"/>
            </w:r>
            <w:r>
              <w:rPr>
                <w:rFonts w:hint="eastAsia"/>
                <w:bCs/>
              </w:rPr>
              <w:t>账号安全策略：提供平台统一账号定时修改密码风险策略定义</w:t>
            </w:r>
            <w:r>
              <w:rPr>
                <w:rFonts w:hint="eastAsia"/>
                <w:bCs/>
              </w:rPr>
              <w:br w:type="textWrapping"/>
            </w:r>
            <w:r>
              <w:rPr>
                <w:rFonts w:hint="eastAsia"/>
                <w:bCs/>
              </w:rPr>
              <w:t>账号安全策略：提供平台统一密码安全策略风险策略定义</w:t>
            </w:r>
          </w:p>
        </w:tc>
      </w:tr>
      <w:tr w14:paraId="2CB8DE7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3234160">
            <w:pPr>
              <w:pStyle w:val="61"/>
              <w:widowControl/>
              <w:spacing w:line="240" w:lineRule="auto"/>
              <w:ind w:left="440" w:firstLine="0" w:firstLineChars="0"/>
              <w:rPr>
                <w:rFonts w:ascii="宋体" w:hAnsi="宋体" w:cs="Tahoma"/>
                <w:bCs/>
                <w:kern w:val="0"/>
                <w:sz w:val="24"/>
              </w:rPr>
            </w:pPr>
            <w:r>
              <w:rPr>
                <w:rFonts w:hint="eastAsia" w:cs="Tahoma"/>
                <w:bCs/>
                <w:kern w:val="0"/>
                <w:sz w:val="24"/>
              </w:rPr>
              <w:t>10</w:t>
            </w:r>
          </w:p>
        </w:tc>
        <w:tc>
          <w:tcPr>
            <w:tcW w:w="696" w:type="pct"/>
            <w:tcBorders>
              <w:top w:val="single" w:color="auto" w:sz="4" w:space="0"/>
              <w:left w:val="nil"/>
              <w:bottom w:val="single" w:color="auto" w:sz="4" w:space="0"/>
              <w:right w:val="single" w:color="auto" w:sz="4" w:space="0"/>
            </w:tcBorders>
            <w:shd w:val="clear" w:color="auto" w:fill="FFFFFF"/>
            <w:vAlign w:val="center"/>
          </w:tcPr>
          <w:p w14:paraId="58F23CC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4B8DD0A">
            <w:pPr>
              <w:widowControl/>
              <w:spacing w:line="240" w:lineRule="auto"/>
              <w:ind w:firstLine="0" w:firstLineChars="0"/>
              <w:jc w:val="center"/>
              <w:rPr>
                <w:rFonts w:cs="Tahoma"/>
                <w:bCs/>
                <w:kern w:val="0"/>
              </w:rPr>
            </w:pPr>
            <w:r>
              <w:rPr>
                <w:rFonts w:hint="eastAsia"/>
                <w:bCs/>
              </w:rPr>
              <w:t>安全管控模块-全局风险控制管理-登录行为分析</w:t>
            </w:r>
          </w:p>
        </w:tc>
        <w:tc>
          <w:tcPr>
            <w:tcW w:w="2908" w:type="pct"/>
            <w:tcBorders>
              <w:top w:val="single" w:color="000000" w:sz="4" w:space="0"/>
              <w:left w:val="single" w:color="000000" w:sz="4" w:space="0"/>
              <w:bottom w:val="single" w:color="000000" w:sz="4" w:space="0"/>
              <w:right w:val="single" w:color="000000" w:sz="4" w:space="0"/>
            </w:tcBorders>
            <w:vAlign w:val="center"/>
          </w:tcPr>
          <w:p w14:paraId="0EB9F20C">
            <w:pPr>
              <w:widowControl/>
              <w:spacing w:line="240" w:lineRule="auto"/>
              <w:ind w:firstLine="0" w:firstLineChars="0"/>
              <w:rPr>
                <w:rFonts w:cs="Tahoma"/>
                <w:bCs/>
                <w:kern w:val="0"/>
              </w:rPr>
            </w:pPr>
            <w:r>
              <w:rPr>
                <w:rFonts w:hint="eastAsia"/>
                <w:bCs/>
              </w:rPr>
              <w:t>提供基于常用IP登录检测异常登录行为，可设置登录IP段</w:t>
            </w:r>
            <w:r>
              <w:rPr>
                <w:rFonts w:hint="eastAsia"/>
                <w:bCs/>
              </w:rPr>
              <w:br w:type="textWrapping"/>
            </w:r>
            <w:r>
              <w:rPr>
                <w:rFonts w:hint="eastAsia"/>
                <w:bCs/>
              </w:rPr>
              <w:t>提供基于时间段登录检测异常登录行为，可设置异常时间段及登录操作联动</w:t>
            </w:r>
            <w:r>
              <w:rPr>
                <w:rFonts w:hint="eastAsia"/>
                <w:bCs/>
              </w:rPr>
              <w:br w:type="textWrapping"/>
            </w:r>
            <w:r>
              <w:rPr>
                <w:rFonts w:hint="eastAsia"/>
                <w:bCs/>
              </w:rPr>
              <w:t>提供基于登录频率登录检测异常登录行为，可设置固定时间内限定次数登录</w:t>
            </w:r>
            <w:r>
              <w:rPr>
                <w:rFonts w:hint="eastAsia"/>
                <w:bCs/>
              </w:rPr>
              <w:br w:type="textWrapping"/>
            </w:r>
            <w:r>
              <w:rPr>
                <w:rFonts w:hint="eastAsia"/>
                <w:bCs/>
              </w:rPr>
              <w:t>支持设置登录会话时长，超时自动回到登录页</w:t>
            </w:r>
          </w:p>
        </w:tc>
      </w:tr>
      <w:tr w14:paraId="3E73636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DA8DAE9">
            <w:pPr>
              <w:pStyle w:val="61"/>
              <w:widowControl/>
              <w:spacing w:line="240" w:lineRule="auto"/>
              <w:ind w:left="440" w:firstLine="0" w:firstLineChars="0"/>
              <w:rPr>
                <w:rFonts w:ascii="宋体" w:hAnsi="宋体" w:cs="Tahoma"/>
                <w:bCs/>
                <w:kern w:val="0"/>
                <w:sz w:val="24"/>
              </w:rPr>
            </w:pPr>
            <w:r>
              <w:rPr>
                <w:rFonts w:hint="eastAsia" w:cs="Tahoma"/>
                <w:bCs/>
                <w:kern w:val="0"/>
                <w:sz w:val="24"/>
              </w:rPr>
              <w:t>11</w:t>
            </w:r>
          </w:p>
        </w:tc>
        <w:tc>
          <w:tcPr>
            <w:tcW w:w="696" w:type="pct"/>
            <w:tcBorders>
              <w:top w:val="single" w:color="auto" w:sz="4" w:space="0"/>
              <w:left w:val="nil"/>
              <w:bottom w:val="single" w:color="auto" w:sz="4" w:space="0"/>
              <w:right w:val="single" w:color="auto" w:sz="4" w:space="0"/>
            </w:tcBorders>
            <w:shd w:val="clear" w:color="auto" w:fill="FFFFFF"/>
            <w:vAlign w:val="center"/>
          </w:tcPr>
          <w:p w14:paraId="008C870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E0079ED">
            <w:pPr>
              <w:widowControl/>
              <w:spacing w:line="240" w:lineRule="auto"/>
              <w:ind w:firstLine="0" w:firstLineChars="0"/>
              <w:jc w:val="center"/>
              <w:rPr>
                <w:rFonts w:cs="Tahoma"/>
                <w:bCs/>
                <w:kern w:val="0"/>
              </w:rPr>
            </w:pPr>
            <w:r>
              <w:rPr>
                <w:rFonts w:hint="eastAsia"/>
                <w:bCs/>
              </w:rPr>
              <w:t>安全管控模块-全局风险控制管理-敏感操作拦截</w:t>
            </w:r>
          </w:p>
        </w:tc>
        <w:tc>
          <w:tcPr>
            <w:tcW w:w="2908" w:type="pct"/>
            <w:tcBorders>
              <w:top w:val="single" w:color="000000" w:sz="4" w:space="0"/>
              <w:left w:val="single" w:color="000000" w:sz="4" w:space="0"/>
              <w:bottom w:val="single" w:color="000000" w:sz="4" w:space="0"/>
              <w:right w:val="single" w:color="000000" w:sz="4" w:space="0"/>
            </w:tcBorders>
            <w:vAlign w:val="center"/>
          </w:tcPr>
          <w:p w14:paraId="6A7A3114">
            <w:pPr>
              <w:widowControl/>
              <w:spacing w:line="240" w:lineRule="auto"/>
              <w:ind w:firstLine="0" w:firstLineChars="0"/>
              <w:rPr>
                <w:rFonts w:cs="Tahoma"/>
                <w:bCs/>
                <w:kern w:val="0"/>
              </w:rPr>
            </w:pPr>
            <w:r>
              <w:rPr>
                <w:rFonts w:hint="eastAsia"/>
                <w:bCs/>
              </w:rPr>
              <w:t>高风险操作定义 对高风险操作（如批量删除日志、批量更改权限）等高风险操作定义</w:t>
            </w:r>
            <w:r>
              <w:rPr>
                <w:rFonts w:hint="eastAsia"/>
                <w:bCs/>
              </w:rPr>
              <w:br w:type="textWrapping"/>
            </w:r>
            <w:r>
              <w:rPr>
                <w:rFonts w:hint="eastAsia"/>
                <w:bCs/>
              </w:rPr>
              <w:t>唤起上级管理员审批流程 触发高风险操作，唤起上级管理员审批流程</w:t>
            </w:r>
          </w:p>
        </w:tc>
      </w:tr>
      <w:tr w14:paraId="4DD218D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1F2DF1A">
            <w:pPr>
              <w:pStyle w:val="61"/>
              <w:widowControl/>
              <w:spacing w:line="240" w:lineRule="auto"/>
              <w:ind w:left="440" w:firstLine="0" w:firstLineChars="0"/>
              <w:rPr>
                <w:rFonts w:ascii="宋体" w:hAnsi="宋体" w:cs="Tahoma"/>
                <w:bCs/>
                <w:kern w:val="0"/>
                <w:sz w:val="24"/>
              </w:rPr>
            </w:pPr>
            <w:r>
              <w:rPr>
                <w:rFonts w:hint="eastAsia" w:cs="Tahoma"/>
                <w:bCs/>
                <w:kern w:val="0"/>
                <w:sz w:val="24"/>
              </w:rPr>
              <w:t>12</w:t>
            </w:r>
          </w:p>
        </w:tc>
        <w:tc>
          <w:tcPr>
            <w:tcW w:w="696" w:type="pct"/>
            <w:tcBorders>
              <w:top w:val="single" w:color="auto" w:sz="4" w:space="0"/>
              <w:left w:val="nil"/>
              <w:bottom w:val="single" w:color="auto" w:sz="4" w:space="0"/>
              <w:right w:val="single" w:color="auto" w:sz="4" w:space="0"/>
            </w:tcBorders>
            <w:shd w:val="clear" w:color="auto" w:fill="FFFFFF"/>
            <w:vAlign w:val="center"/>
          </w:tcPr>
          <w:p w14:paraId="7B1F9C9C">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94682AF">
            <w:pPr>
              <w:widowControl/>
              <w:spacing w:line="240" w:lineRule="auto"/>
              <w:ind w:firstLine="0" w:firstLineChars="0"/>
              <w:jc w:val="center"/>
              <w:rPr>
                <w:rFonts w:cs="Tahoma"/>
                <w:bCs/>
                <w:kern w:val="0"/>
              </w:rPr>
            </w:pPr>
            <w:r>
              <w:rPr>
                <w:rFonts w:hint="eastAsia"/>
                <w:bCs/>
              </w:rPr>
              <w:t>安全管控模块-分布式账户认证模块-分布式账户认证中心</w:t>
            </w:r>
          </w:p>
        </w:tc>
        <w:tc>
          <w:tcPr>
            <w:tcW w:w="2908" w:type="pct"/>
            <w:tcBorders>
              <w:top w:val="single" w:color="000000" w:sz="4" w:space="0"/>
              <w:left w:val="single" w:color="000000" w:sz="4" w:space="0"/>
              <w:bottom w:val="single" w:color="000000" w:sz="4" w:space="0"/>
              <w:right w:val="single" w:color="000000" w:sz="4" w:space="0"/>
            </w:tcBorders>
            <w:vAlign w:val="center"/>
          </w:tcPr>
          <w:p w14:paraId="3D16F9A9">
            <w:pPr>
              <w:widowControl/>
              <w:spacing w:line="240" w:lineRule="auto"/>
              <w:ind w:firstLine="0" w:firstLineChars="0"/>
              <w:rPr>
                <w:rFonts w:cs="Tahoma"/>
                <w:bCs/>
                <w:kern w:val="0"/>
              </w:rPr>
            </w:pPr>
            <w:r>
              <w:rPr>
                <w:rFonts w:hint="eastAsia"/>
                <w:bCs/>
              </w:rPr>
              <w:t>多级账户密钥设置 "基于分布式身份标识技术设置不同账户密钥，设置分层密钥（平台主密钥+接入端账户分密钥）</w:t>
            </w:r>
            <w:r>
              <w:rPr>
                <w:rFonts w:hint="eastAsia"/>
                <w:bCs/>
              </w:rPr>
              <w:br w:type="textWrapping"/>
            </w:r>
            <w:r>
              <w:rPr>
                <w:rFonts w:hint="eastAsia"/>
                <w:bCs/>
              </w:rPr>
              <w:t>分布式接入端管理账户：接入端独立分布式身份标识文档（存储公钥、认证策略哈希），通过平台背书，与平台身份绑定</w:t>
            </w:r>
            <w:r>
              <w:rPr>
                <w:rFonts w:hint="eastAsia"/>
                <w:bCs/>
              </w:rPr>
              <w:br w:type="textWrapping"/>
            </w:r>
            <w:r>
              <w:rPr>
                <w:rFonts w:hint="eastAsia"/>
                <w:bCs/>
              </w:rPr>
              <w:t>分布式接入端操作账户：由接入端管理员生成及签发，由接入端管理账户背书及绑定</w:t>
            </w:r>
            <w:r>
              <w:rPr>
                <w:rFonts w:hint="eastAsia"/>
                <w:bCs/>
              </w:rPr>
              <w:br w:type="textWrapping"/>
            </w:r>
            <w:r>
              <w:rPr>
                <w:rFonts w:hint="eastAsia"/>
                <w:bCs/>
              </w:rPr>
              <w:t>"</w:t>
            </w:r>
            <w:r>
              <w:rPr>
                <w:rFonts w:hint="eastAsia"/>
                <w:bCs/>
              </w:rPr>
              <w:br w:type="textWrapping"/>
            </w:r>
            <w:r>
              <w:rPr>
                <w:rFonts w:hint="eastAsia"/>
                <w:bCs/>
              </w:rPr>
              <w:t>多因素认证能力 "企业实名认证：提供多种企业身份认证能力，包括：①法人一证通Ukey认证；②法人一证通Ukey+图形验证码；③手机号+密码+图形验证码；④企业打款认证</w:t>
            </w:r>
            <w:r>
              <w:rPr>
                <w:rFonts w:hint="eastAsia"/>
                <w:bCs/>
              </w:rPr>
              <w:br w:type="textWrapping"/>
            </w:r>
            <w:r>
              <w:rPr>
                <w:rFonts w:hint="eastAsia"/>
                <w:bCs/>
              </w:rPr>
              <w:t>个人实名认证：提供多种个人认证能力，包含①微信、短信、随申办等社会身份认证方式对接能力；②企业微信、钉钉、飞书等企业级身份认证方式对接能力；③手机号+短信验证码+图形验证码认证方式；④手机号+密码+图形验证码认证方式</w:t>
            </w:r>
            <w:r>
              <w:rPr>
                <w:rFonts w:hint="eastAsia"/>
                <w:bCs/>
              </w:rPr>
              <w:br w:type="textWrapping"/>
            </w:r>
            <w:r>
              <w:rPr>
                <w:rFonts w:hint="eastAsia"/>
                <w:bCs/>
              </w:rPr>
              <w:t>管理用户实名认证方式、企业实名认证方式的应用场景</w:t>
            </w:r>
            <w:r>
              <w:rPr>
                <w:rFonts w:hint="eastAsia"/>
                <w:bCs/>
              </w:rPr>
              <w:br w:type="textWrapping"/>
            </w:r>
            <w:r>
              <w:rPr>
                <w:rFonts w:hint="eastAsia"/>
                <w:bCs/>
              </w:rPr>
              <w:t>设置认证方式配置启用、停用策略"</w:t>
            </w:r>
          </w:p>
        </w:tc>
      </w:tr>
      <w:tr w14:paraId="3EA04C75">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A8FBFE0">
            <w:pPr>
              <w:pStyle w:val="61"/>
              <w:widowControl/>
              <w:spacing w:line="240" w:lineRule="auto"/>
              <w:ind w:left="440" w:firstLine="0" w:firstLineChars="0"/>
              <w:rPr>
                <w:rFonts w:ascii="宋体" w:hAnsi="宋体" w:cs="Tahoma"/>
                <w:bCs/>
                <w:kern w:val="0"/>
                <w:sz w:val="24"/>
              </w:rPr>
            </w:pPr>
            <w:r>
              <w:rPr>
                <w:rFonts w:hint="eastAsia" w:cs="Tahoma"/>
                <w:bCs/>
                <w:kern w:val="0"/>
                <w:sz w:val="24"/>
              </w:rPr>
              <w:t>13</w:t>
            </w:r>
          </w:p>
        </w:tc>
        <w:tc>
          <w:tcPr>
            <w:tcW w:w="696" w:type="pct"/>
            <w:tcBorders>
              <w:top w:val="single" w:color="auto" w:sz="4" w:space="0"/>
              <w:left w:val="nil"/>
              <w:bottom w:val="single" w:color="auto" w:sz="4" w:space="0"/>
              <w:right w:val="single" w:color="auto" w:sz="4" w:space="0"/>
            </w:tcBorders>
            <w:shd w:val="clear" w:color="auto" w:fill="FFFFFF"/>
            <w:vAlign w:val="center"/>
          </w:tcPr>
          <w:p w14:paraId="55EFD24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98D73ED">
            <w:pPr>
              <w:widowControl/>
              <w:spacing w:line="240" w:lineRule="auto"/>
              <w:ind w:firstLine="0" w:firstLineChars="0"/>
              <w:jc w:val="center"/>
              <w:rPr>
                <w:rFonts w:cs="Tahoma"/>
                <w:bCs/>
                <w:kern w:val="0"/>
              </w:rPr>
            </w:pPr>
            <w:r>
              <w:rPr>
                <w:rFonts w:hint="eastAsia"/>
                <w:bCs/>
              </w:rPr>
              <w:t>安全管控模块-分布式账户认证模块-人工审核流程</w:t>
            </w:r>
          </w:p>
        </w:tc>
        <w:tc>
          <w:tcPr>
            <w:tcW w:w="2908" w:type="pct"/>
            <w:tcBorders>
              <w:top w:val="single" w:color="000000" w:sz="4" w:space="0"/>
              <w:left w:val="single" w:color="000000" w:sz="4" w:space="0"/>
              <w:bottom w:val="single" w:color="000000" w:sz="4" w:space="0"/>
              <w:right w:val="single" w:color="000000" w:sz="4" w:space="0"/>
            </w:tcBorders>
            <w:vAlign w:val="center"/>
          </w:tcPr>
          <w:p w14:paraId="2D9100A4">
            <w:pPr>
              <w:widowControl/>
              <w:spacing w:line="240" w:lineRule="auto"/>
              <w:ind w:firstLine="0" w:firstLineChars="0"/>
              <w:rPr>
                <w:rFonts w:cs="Tahoma"/>
                <w:bCs/>
                <w:kern w:val="0"/>
              </w:rPr>
            </w:pPr>
            <w:r>
              <w:rPr>
                <w:rFonts w:hint="eastAsia"/>
                <w:bCs/>
              </w:rPr>
              <w:t>提供审核界面上传功能，支持上传电子营业执照等材料</w:t>
            </w:r>
            <w:r>
              <w:rPr>
                <w:rFonts w:hint="eastAsia"/>
                <w:bCs/>
              </w:rPr>
              <w:br w:type="textWrapping"/>
            </w:r>
            <w:r>
              <w:rPr>
                <w:rFonts w:hint="eastAsia"/>
                <w:bCs/>
              </w:rPr>
              <w:t>后台管理员审核企业提交的营业执照等材料，支持多级审批。</w:t>
            </w:r>
          </w:p>
        </w:tc>
      </w:tr>
      <w:tr w14:paraId="27A9DA63">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1E2D2BE">
            <w:pPr>
              <w:pStyle w:val="61"/>
              <w:widowControl/>
              <w:spacing w:line="240" w:lineRule="auto"/>
              <w:ind w:left="440" w:firstLine="0" w:firstLineChars="0"/>
              <w:rPr>
                <w:rFonts w:ascii="宋体" w:hAnsi="宋体" w:cs="Tahoma"/>
                <w:bCs/>
                <w:kern w:val="0"/>
                <w:sz w:val="24"/>
              </w:rPr>
            </w:pPr>
            <w:r>
              <w:rPr>
                <w:rFonts w:hint="eastAsia" w:cs="Tahoma"/>
                <w:bCs/>
                <w:kern w:val="0"/>
                <w:sz w:val="24"/>
              </w:rPr>
              <w:t>14</w:t>
            </w:r>
          </w:p>
        </w:tc>
        <w:tc>
          <w:tcPr>
            <w:tcW w:w="696" w:type="pct"/>
            <w:tcBorders>
              <w:top w:val="single" w:color="auto" w:sz="4" w:space="0"/>
              <w:left w:val="nil"/>
              <w:bottom w:val="single" w:color="auto" w:sz="4" w:space="0"/>
              <w:right w:val="single" w:color="auto" w:sz="4" w:space="0"/>
            </w:tcBorders>
            <w:shd w:val="clear" w:color="auto" w:fill="FFFFFF"/>
            <w:vAlign w:val="center"/>
          </w:tcPr>
          <w:p w14:paraId="626596BE">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BE50F0F">
            <w:pPr>
              <w:widowControl/>
              <w:spacing w:line="240" w:lineRule="auto"/>
              <w:ind w:firstLine="0" w:firstLineChars="0"/>
              <w:jc w:val="center"/>
              <w:rPr>
                <w:rFonts w:cs="Tahoma"/>
                <w:bCs/>
                <w:kern w:val="0"/>
              </w:rPr>
            </w:pPr>
            <w:r>
              <w:rPr>
                <w:rFonts w:hint="eastAsia"/>
                <w:bCs/>
              </w:rPr>
              <w:t>安全管控模块-分布式账户认证模块-SSO单点认证</w:t>
            </w:r>
          </w:p>
        </w:tc>
        <w:tc>
          <w:tcPr>
            <w:tcW w:w="2908" w:type="pct"/>
            <w:tcBorders>
              <w:top w:val="single" w:color="000000" w:sz="4" w:space="0"/>
              <w:left w:val="single" w:color="000000" w:sz="4" w:space="0"/>
              <w:bottom w:val="single" w:color="000000" w:sz="4" w:space="0"/>
              <w:right w:val="single" w:color="000000" w:sz="4" w:space="0"/>
            </w:tcBorders>
            <w:vAlign w:val="center"/>
          </w:tcPr>
          <w:p w14:paraId="0130E44E">
            <w:pPr>
              <w:widowControl/>
              <w:spacing w:line="240" w:lineRule="auto"/>
              <w:ind w:firstLine="0" w:firstLineChars="0"/>
              <w:rPr>
                <w:rFonts w:cs="Tahoma"/>
                <w:bCs/>
                <w:kern w:val="0"/>
              </w:rPr>
            </w:pPr>
            <w:r>
              <w:rPr>
                <w:rFonts w:hint="eastAsia"/>
                <w:bCs/>
              </w:rPr>
              <w:t>基于授权码模式（Authorization Code），支持跨域和移动端，安全性高</w:t>
            </w:r>
            <w:r>
              <w:rPr>
                <w:rFonts w:hint="eastAsia"/>
                <w:bCs/>
              </w:rPr>
              <w:br w:type="textWrapping"/>
            </w:r>
            <w:r>
              <w:rPr>
                <w:rFonts w:hint="eastAsia"/>
                <w:bCs/>
              </w:rPr>
              <w:t>提供完整的SSO框架，支持票据（Ticket）管理和会话复制，但微服务支持较弱</w:t>
            </w:r>
            <w:r>
              <w:rPr>
                <w:rFonts w:hint="eastAsia"/>
                <w:bCs/>
              </w:rPr>
              <w:br w:type="textWrapping"/>
            </w:r>
            <w:r>
              <w:rPr>
                <w:rFonts w:hint="eastAsia"/>
                <w:bCs/>
              </w:rPr>
              <w:t>基于XML的断言，支持浏览器重定向和HTTP POST绑定，适合复杂权限管理</w:t>
            </w:r>
            <w:r>
              <w:rPr>
                <w:rFonts w:hint="eastAsia"/>
                <w:bCs/>
              </w:rPr>
              <w:br w:type="textWrapping"/>
            </w:r>
            <w:r>
              <w:rPr>
                <w:rFonts w:hint="eastAsia"/>
                <w:bCs/>
              </w:rPr>
              <w:t>设置用户认证、令牌签发、会话管理、客户端注册等单点认证相关功能模块，实现单点认证逻辑流程</w:t>
            </w:r>
            <w:r>
              <w:rPr>
                <w:rFonts w:hint="eastAsia"/>
                <w:bCs/>
              </w:rPr>
              <w:br w:type="textWrapping"/>
            </w:r>
            <w:r>
              <w:rPr>
                <w:rFonts w:hint="eastAsia"/>
                <w:bCs/>
              </w:rPr>
              <w:t>支持以SSO客户端对接现有SSO平台做兼容对接，认证过程集成多种常见认证方式，并支持多因子验证（MFA）认证能力。</w:t>
            </w:r>
            <w:r>
              <w:rPr>
                <w:rFonts w:hint="eastAsia"/>
                <w:bCs/>
              </w:rPr>
              <w:br w:type="textWrapping"/>
            </w:r>
            <w:r>
              <w:rPr>
                <w:rFonts w:hint="eastAsia"/>
                <w:bCs/>
              </w:rPr>
              <w:t>管理用户通过中心端账号登录后，自动生成终端访问令牌（JWT），支持一次认证访问多接入端服务</w:t>
            </w:r>
            <w:r>
              <w:rPr>
                <w:rFonts w:hint="eastAsia"/>
                <w:bCs/>
              </w:rPr>
              <w:br w:type="textWrapping"/>
            </w:r>
            <w:r>
              <w:rPr>
                <w:rFonts w:hint="eastAsia"/>
                <w:bCs/>
              </w:rPr>
              <w:t>接入端用户可通过接入端单点跳转至中心端平台</w:t>
            </w:r>
          </w:p>
        </w:tc>
      </w:tr>
      <w:tr w14:paraId="4CF3D0E8">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F6D4DCD">
            <w:pPr>
              <w:pStyle w:val="61"/>
              <w:widowControl/>
              <w:spacing w:line="240" w:lineRule="auto"/>
              <w:ind w:left="440" w:firstLine="0" w:firstLineChars="0"/>
              <w:rPr>
                <w:rFonts w:ascii="宋体" w:hAnsi="宋体" w:cs="Tahoma"/>
                <w:bCs/>
                <w:kern w:val="0"/>
                <w:sz w:val="24"/>
              </w:rPr>
            </w:pPr>
            <w:r>
              <w:rPr>
                <w:rFonts w:hint="eastAsia" w:cs="Tahoma"/>
                <w:bCs/>
                <w:kern w:val="0"/>
                <w:sz w:val="24"/>
              </w:rPr>
              <w:t>15</w:t>
            </w:r>
          </w:p>
        </w:tc>
        <w:tc>
          <w:tcPr>
            <w:tcW w:w="696" w:type="pct"/>
            <w:tcBorders>
              <w:top w:val="single" w:color="auto" w:sz="4" w:space="0"/>
              <w:left w:val="nil"/>
              <w:bottom w:val="single" w:color="auto" w:sz="4" w:space="0"/>
              <w:right w:val="single" w:color="auto" w:sz="4" w:space="0"/>
            </w:tcBorders>
            <w:shd w:val="clear" w:color="auto" w:fill="FFFFFF"/>
            <w:vAlign w:val="center"/>
          </w:tcPr>
          <w:p w14:paraId="06B24B7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4D2F88F">
            <w:pPr>
              <w:widowControl/>
              <w:spacing w:line="240" w:lineRule="auto"/>
              <w:ind w:firstLine="0" w:firstLineChars="0"/>
              <w:jc w:val="center"/>
              <w:rPr>
                <w:rFonts w:cs="Tahoma"/>
                <w:bCs/>
                <w:kern w:val="0"/>
              </w:rPr>
            </w:pPr>
            <w:r>
              <w:rPr>
                <w:rFonts w:hint="eastAsia"/>
                <w:bCs/>
              </w:rPr>
              <w:t>安全管控模块-分布式节点监测中心-设备与链路监控</w:t>
            </w:r>
          </w:p>
        </w:tc>
        <w:tc>
          <w:tcPr>
            <w:tcW w:w="2908" w:type="pct"/>
            <w:tcBorders>
              <w:top w:val="single" w:color="000000" w:sz="4" w:space="0"/>
              <w:left w:val="single" w:color="000000" w:sz="4" w:space="0"/>
              <w:bottom w:val="single" w:color="000000" w:sz="4" w:space="0"/>
              <w:right w:val="single" w:color="000000" w:sz="4" w:space="0"/>
            </w:tcBorders>
            <w:vAlign w:val="center"/>
          </w:tcPr>
          <w:p w14:paraId="5FD5BA02">
            <w:pPr>
              <w:widowControl/>
              <w:spacing w:line="240" w:lineRule="auto"/>
              <w:ind w:firstLine="0" w:firstLineChars="0"/>
              <w:rPr>
                <w:rFonts w:cs="Tahoma"/>
                <w:bCs/>
                <w:kern w:val="0"/>
              </w:rPr>
            </w:pPr>
            <w:r>
              <w:rPr>
                <w:rFonts w:hint="eastAsia"/>
                <w:bCs/>
              </w:rPr>
              <w:t>全局设备管理：包括设备列表、设备搜索、设备详情、准入进度，管理员可操作进行设备停用、设备启用。</w:t>
            </w:r>
            <w:r>
              <w:rPr>
                <w:rFonts w:hint="eastAsia"/>
                <w:bCs/>
              </w:rPr>
              <w:br w:type="textWrapping"/>
            </w:r>
            <w:r>
              <w:rPr>
                <w:rFonts w:hint="eastAsia"/>
                <w:bCs/>
              </w:rPr>
              <w:t>全局设备健康监控：</w:t>
            </w:r>
            <w:r>
              <w:rPr>
                <w:rFonts w:hint="eastAsia"/>
                <w:bCs/>
              </w:rPr>
              <w:br w:type="textWrapping"/>
            </w:r>
            <w:r>
              <w:rPr>
                <w:rFonts w:hint="eastAsia"/>
                <w:bCs/>
              </w:rPr>
              <w:t>1）支持对全局设备的健康状态数据进行远程心跳监控；</w:t>
            </w:r>
            <w:r>
              <w:rPr>
                <w:rFonts w:hint="eastAsia"/>
                <w:bCs/>
              </w:rPr>
              <w:br w:type="textWrapping"/>
            </w:r>
            <w:r>
              <w:rPr>
                <w:rFonts w:hint="eastAsia"/>
                <w:bCs/>
              </w:rPr>
              <w:t>2）支持管理员对数据更新频率进行配置"</w:t>
            </w:r>
          </w:p>
        </w:tc>
      </w:tr>
      <w:tr w14:paraId="59AA4BD1">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DA5D1D0">
            <w:pPr>
              <w:pStyle w:val="61"/>
              <w:widowControl/>
              <w:spacing w:line="240" w:lineRule="auto"/>
              <w:ind w:left="440" w:firstLine="0" w:firstLineChars="0"/>
              <w:rPr>
                <w:rFonts w:ascii="宋体" w:hAnsi="宋体" w:cs="Tahoma"/>
                <w:bCs/>
                <w:kern w:val="0"/>
                <w:sz w:val="24"/>
              </w:rPr>
            </w:pPr>
            <w:r>
              <w:rPr>
                <w:rFonts w:hint="eastAsia" w:cs="Tahoma"/>
                <w:bCs/>
                <w:kern w:val="0"/>
                <w:sz w:val="24"/>
              </w:rPr>
              <w:t>16</w:t>
            </w:r>
          </w:p>
        </w:tc>
        <w:tc>
          <w:tcPr>
            <w:tcW w:w="696" w:type="pct"/>
            <w:tcBorders>
              <w:top w:val="single" w:color="auto" w:sz="4" w:space="0"/>
              <w:left w:val="nil"/>
              <w:bottom w:val="single" w:color="auto" w:sz="4" w:space="0"/>
              <w:right w:val="single" w:color="auto" w:sz="4" w:space="0"/>
            </w:tcBorders>
            <w:shd w:val="clear" w:color="auto" w:fill="FFFFFF"/>
            <w:vAlign w:val="center"/>
          </w:tcPr>
          <w:p w14:paraId="3D1DA0B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89DBB4C">
            <w:pPr>
              <w:widowControl/>
              <w:spacing w:line="240" w:lineRule="auto"/>
              <w:ind w:firstLine="0" w:firstLineChars="0"/>
              <w:jc w:val="center"/>
              <w:rPr>
                <w:rFonts w:cs="Tahoma"/>
                <w:bCs/>
                <w:kern w:val="0"/>
              </w:rPr>
            </w:pPr>
            <w:r>
              <w:rPr>
                <w:rFonts w:hint="eastAsia"/>
                <w:bCs/>
              </w:rPr>
              <w:t>安全管控模块-分布式节点监测中心-应用存活状态归集和展示</w:t>
            </w:r>
          </w:p>
        </w:tc>
        <w:tc>
          <w:tcPr>
            <w:tcW w:w="2908" w:type="pct"/>
            <w:tcBorders>
              <w:top w:val="single" w:color="000000" w:sz="4" w:space="0"/>
              <w:left w:val="single" w:color="000000" w:sz="4" w:space="0"/>
              <w:bottom w:val="single" w:color="000000" w:sz="4" w:space="0"/>
              <w:right w:val="single" w:color="000000" w:sz="4" w:space="0"/>
            </w:tcBorders>
            <w:vAlign w:val="center"/>
          </w:tcPr>
          <w:p w14:paraId="667627D6">
            <w:pPr>
              <w:widowControl/>
              <w:spacing w:line="240" w:lineRule="auto"/>
              <w:ind w:firstLine="0" w:firstLineChars="0"/>
              <w:rPr>
                <w:rFonts w:cs="Tahoma"/>
                <w:bCs/>
                <w:kern w:val="0"/>
              </w:rPr>
            </w:pPr>
            <w:r>
              <w:rPr>
                <w:rFonts w:hint="eastAsia"/>
                <w:bCs/>
              </w:rPr>
              <w:t>应用存活状态归集和展示：通过所有设备上报的应用状态监测数据进行归集和展示</w:t>
            </w:r>
            <w:r>
              <w:rPr>
                <w:rFonts w:hint="eastAsia"/>
                <w:bCs/>
              </w:rPr>
              <w:br w:type="textWrapping"/>
            </w:r>
            <w:r>
              <w:rPr>
                <w:rFonts w:hint="eastAsia"/>
                <w:bCs/>
              </w:rPr>
              <w:t>通过所有设备上报的应用状态监测数据进行归集和展示</w:t>
            </w:r>
          </w:p>
        </w:tc>
      </w:tr>
      <w:tr w14:paraId="5801874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636753C">
            <w:pPr>
              <w:pStyle w:val="61"/>
              <w:widowControl/>
              <w:spacing w:line="240" w:lineRule="auto"/>
              <w:ind w:left="440" w:firstLine="0" w:firstLineChars="0"/>
              <w:rPr>
                <w:rFonts w:ascii="宋体" w:hAnsi="宋体" w:cs="Tahoma"/>
                <w:bCs/>
                <w:kern w:val="0"/>
                <w:sz w:val="24"/>
              </w:rPr>
            </w:pPr>
            <w:r>
              <w:rPr>
                <w:rFonts w:hint="eastAsia" w:cs="Tahoma"/>
                <w:bCs/>
                <w:kern w:val="0"/>
                <w:sz w:val="24"/>
              </w:rPr>
              <w:t>17</w:t>
            </w:r>
          </w:p>
        </w:tc>
        <w:tc>
          <w:tcPr>
            <w:tcW w:w="696" w:type="pct"/>
            <w:tcBorders>
              <w:top w:val="single" w:color="auto" w:sz="4" w:space="0"/>
              <w:left w:val="nil"/>
              <w:bottom w:val="single" w:color="auto" w:sz="4" w:space="0"/>
              <w:right w:val="single" w:color="auto" w:sz="4" w:space="0"/>
            </w:tcBorders>
            <w:shd w:val="clear" w:color="auto" w:fill="FFFFFF"/>
            <w:vAlign w:val="center"/>
          </w:tcPr>
          <w:p w14:paraId="34B693F7">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6043A53">
            <w:pPr>
              <w:widowControl/>
              <w:spacing w:line="240" w:lineRule="auto"/>
              <w:ind w:firstLine="0" w:firstLineChars="0"/>
              <w:jc w:val="center"/>
              <w:rPr>
                <w:rFonts w:cs="Tahoma"/>
                <w:bCs/>
                <w:kern w:val="0"/>
              </w:rPr>
            </w:pPr>
            <w:r>
              <w:rPr>
                <w:rFonts w:hint="eastAsia"/>
                <w:bCs/>
              </w:rPr>
              <w:t>安全管控模块-分布式节点监测中心-健康状态可视化与分析</w:t>
            </w:r>
          </w:p>
        </w:tc>
        <w:tc>
          <w:tcPr>
            <w:tcW w:w="2908" w:type="pct"/>
            <w:tcBorders>
              <w:top w:val="single" w:color="000000" w:sz="4" w:space="0"/>
              <w:left w:val="single" w:color="000000" w:sz="4" w:space="0"/>
              <w:bottom w:val="single" w:color="000000" w:sz="4" w:space="0"/>
              <w:right w:val="single" w:color="000000" w:sz="4" w:space="0"/>
            </w:tcBorders>
            <w:vAlign w:val="center"/>
          </w:tcPr>
          <w:p w14:paraId="1B5EC73A">
            <w:pPr>
              <w:widowControl/>
              <w:spacing w:line="240" w:lineRule="auto"/>
              <w:ind w:firstLine="0" w:firstLineChars="0"/>
              <w:rPr>
                <w:rFonts w:cs="Tahoma"/>
                <w:bCs/>
                <w:kern w:val="0"/>
              </w:rPr>
            </w:pPr>
            <w:r>
              <w:rPr>
                <w:rFonts w:hint="eastAsia"/>
                <w:bCs/>
              </w:rPr>
              <w:t>健康状态图形展示：通过图表形式，直观呈现业务接入端的健康状态，以色彩鲜明的图形直观区分在线与离线、激活与未激活状态，增强视觉感知，便于快速识别异常。支持按不同业务类型（如开票、用票方等）维度展示数据，提供全方位、多角度的业务运行状态分析。</w:t>
            </w:r>
            <w:r>
              <w:rPr>
                <w:rFonts w:hint="eastAsia"/>
                <w:bCs/>
              </w:rPr>
              <w:br w:type="textWrapping"/>
            </w:r>
            <w:r>
              <w:rPr>
                <w:rFonts w:hint="eastAsia"/>
                <w:bCs/>
              </w:rPr>
              <w:t>筛选与排序：提供灵活的筛选功能，用户可根据时间段、状态等条件筛选相关业务接入端状态；同时支持基于时间、状态进行排序，便于用户快速定位所需信息</w:t>
            </w:r>
            <w:r>
              <w:rPr>
                <w:rFonts w:hint="eastAsia"/>
                <w:bCs/>
              </w:rPr>
              <w:br w:type="textWrapping"/>
            </w:r>
            <w:r>
              <w:rPr>
                <w:rFonts w:hint="eastAsia"/>
                <w:bCs/>
              </w:rPr>
              <w:t>健康数据趋势分析：绘制健康状态等相关数据的趋势图，展示数据随时间的变化情况。</w:t>
            </w:r>
          </w:p>
        </w:tc>
      </w:tr>
      <w:tr w14:paraId="66AA21D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925FD5A">
            <w:pPr>
              <w:pStyle w:val="61"/>
              <w:widowControl/>
              <w:spacing w:line="240" w:lineRule="auto"/>
              <w:ind w:left="440" w:firstLine="0" w:firstLineChars="0"/>
              <w:rPr>
                <w:rFonts w:ascii="宋体" w:hAnsi="宋体" w:cs="Tahoma"/>
                <w:bCs/>
                <w:kern w:val="0"/>
                <w:sz w:val="24"/>
              </w:rPr>
            </w:pPr>
            <w:r>
              <w:rPr>
                <w:rFonts w:hint="eastAsia" w:cs="Tahoma"/>
                <w:bCs/>
                <w:kern w:val="0"/>
                <w:sz w:val="24"/>
              </w:rPr>
              <w:t>18</w:t>
            </w:r>
          </w:p>
        </w:tc>
        <w:tc>
          <w:tcPr>
            <w:tcW w:w="696" w:type="pct"/>
            <w:tcBorders>
              <w:top w:val="single" w:color="auto" w:sz="4" w:space="0"/>
              <w:left w:val="nil"/>
              <w:bottom w:val="single" w:color="auto" w:sz="4" w:space="0"/>
              <w:right w:val="single" w:color="auto" w:sz="4" w:space="0"/>
            </w:tcBorders>
            <w:shd w:val="clear" w:color="auto" w:fill="FFFFFF"/>
            <w:vAlign w:val="center"/>
          </w:tcPr>
          <w:p w14:paraId="0899FC7E">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CFC34F6">
            <w:pPr>
              <w:widowControl/>
              <w:spacing w:line="240" w:lineRule="auto"/>
              <w:ind w:firstLine="0" w:firstLineChars="0"/>
              <w:jc w:val="center"/>
              <w:rPr>
                <w:rFonts w:cs="Tahoma"/>
                <w:bCs/>
                <w:kern w:val="0"/>
              </w:rPr>
            </w:pPr>
            <w:r>
              <w:rPr>
                <w:rFonts w:hint="eastAsia"/>
                <w:bCs/>
              </w:rPr>
              <w:t>安全管控模块-分布式节点监测中心-数据导出与分享</w:t>
            </w:r>
          </w:p>
        </w:tc>
        <w:tc>
          <w:tcPr>
            <w:tcW w:w="2908" w:type="pct"/>
            <w:tcBorders>
              <w:top w:val="single" w:color="000000" w:sz="4" w:space="0"/>
              <w:left w:val="single" w:color="000000" w:sz="4" w:space="0"/>
              <w:bottom w:val="single" w:color="000000" w:sz="4" w:space="0"/>
              <w:right w:val="single" w:color="000000" w:sz="4" w:space="0"/>
            </w:tcBorders>
            <w:vAlign w:val="center"/>
          </w:tcPr>
          <w:p w14:paraId="13EB2630">
            <w:pPr>
              <w:widowControl/>
              <w:spacing w:line="240" w:lineRule="auto"/>
              <w:ind w:firstLine="0" w:firstLineChars="0"/>
              <w:rPr>
                <w:rFonts w:cs="Tahoma"/>
                <w:bCs/>
                <w:kern w:val="0"/>
              </w:rPr>
            </w:pPr>
            <w:r>
              <w:rPr>
                <w:rFonts w:hint="eastAsia"/>
                <w:bCs/>
              </w:rPr>
              <w:t>提供仪表盘数据的导出功能，支持将图表导出为图片或文档格式，便于用户进行数据报告制作、分享与存档。</w:t>
            </w:r>
          </w:p>
        </w:tc>
      </w:tr>
      <w:tr w14:paraId="67A6E0E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4DBE759">
            <w:pPr>
              <w:pStyle w:val="61"/>
              <w:widowControl/>
              <w:spacing w:line="240" w:lineRule="auto"/>
              <w:ind w:left="440" w:firstLine="0" w:firstLineChars="0"/>
              <w:rPr>
                <w:rFonts w:ascii="宋体" w:hAnsi="宋体" w:cs="Tahoma"/>
                <w:bCs/>
                <w:kern w:val="0"/>
                <w:sz w:val="24"/>
              </w:rPr>
            </w:pPr>
            <w:r>
              <w:rPr>
                <w:rFonts w:hint="eastAsia" w:cs="Tahoma"/>
                <w:bCs/>
                <w:kern w:val="0"/>
                <w:sz w:val="24"/>
              </w:rPr>
              <w:t>19</w:t>
            </w:r>
          </w:p>
        </w:tc>
        <w:tc>
          <w:tcPr>
            <w:tcW w:w="696" w:type="pct"/>
            <w:tcBorders>
              <w:top w:val="single" w:color="auto" w:sz="4" w:space="0"/>
              <w:left w:val="nil"/>
              <w:bottom w:val="single" w:color="auto" w:sz="4" w:space="0"/>
              <w:right w:val="single" w:color="auto" w:sz="4" w:space="0"/>
            </w:tcBorders>
            <w:shd w:val="clear" w:color="auto" w:fill="FFFFFF"/>
            <w:vAlign w:val="center"/>
          </w:tcPr>
          <w:p w14:paraId="419047F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4CB6F8F">
            <w:pPr>
              <w:widowControl/>
              <w:spacing w:line="240" w:lineRule="auto"/>
              <w:ind w:firstLine="0" w:firstLineChars="0"/>
              <w:jc w:val="center"/>
              <w:rPr>
                <w:rFonts w:cs="Tahoma"/>
                <w:bCs/>
                <w:kern w:val="0"/>
              </w:rPr>
            </w:pPr>
            <w:r>
              <w:rPr>
                <w:rFonts w:hint="eastAsia"/>
                <w:bCs/>
              </w:rPr>
              <w:t>安全管控模块-分布式节点监测中心-预警与告警</w:t>
            </w:r>
          </w:p>
        </w:tc>
        <w:tc>
          <w:tcPr>
            <w:tcW w:w="2908" w:type="pct"/>
            <w:tcBorders>
              <w:top w:val="single" w:color="000000" w:sz="4" w:space="0"/>
              <w:left w:val="single" w:color="000000" w:sz="4" w:space="0"/>
              <w:bottom w:val="single" w:color="000000" w:sz="4" w:space="0"/>
              <w:right w:val="single" w:color="000000" w:sz="4" w:space="0"/>
            </w:tcBorders>
            <w:vAlign w:val="center"/>
          </w:tcPr>
          <w:p w14:paraId="7D3D4751">
            <w:pPr>
              <w:widowControl/>
              <w:spacing w:line="240" w:lineRule="auto"/>
              <w:ind w:firstLine="0" w:firstLineChars="0"/>
              <w:rPr>
                <w:rFonts w:cs="Tahoma"/>
                <w:bCs/>
                <w:kern w:val="0"/>
              </w:rPr>
            </w:pPr>
            <w:r>
              <w:rPr>
                <w:rFonts w:hint="eastAsia"/>
                <w:bCs/>
              </w:rPr>
              <w:t>异常状态预警设置：提供异常状态、异常状态阈值配置功能，用户可根据业务需求自定义预警规则。</w:t>
            </w:r>
            <w:r>
              <w:rPr>
                <w:rFonts w:hint="eastAsia"/>
                <w:bCs/>
              </w:rPr>
              <w:br w:type="textWrapping"/>
            </w:r>
            <w:r>
              <w:rPr>
                <w:rFonts w:hint="eastAsia"/>
                <w:bCs/>
              </w:rPr>
              <w:t>智能预警触发：当业务接入端健康状态触发异常状态预警规则时，系统自动发送预警信息，提醒管理员及用户及时关注并处理异常，确保业务运行平稳</w:t>
            </w:r>
          </w:p>
        </w:tc>
      </w:tr>
      <w:tr w14:paraId="5B49A1B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59F8BE4">
            <w:pPr>
              <w:pStyle w:val="61"/>
              <w:widowControl/>
              <w:spacing w:line="240" w:lineRule="auto"/>
              <w:ind w:left="440" w:firstLine="0" w:firstLineChars="0"/>
              <w:rPr>
                <w:rFonts w:ascii="宋体" w:hAnsi="宋体" w:cs="Tahoma"/>
                <w:bCs/>
                <w:kern w:val="0"/>
                <w:sz w:val="24"/>
              </w:rPr>
            </w:pPr>
            <w:r>
              <w:rPr>
                <w:rFonts w:hint="eastAsia" w:cs="Tahoma"/>
                <w:bCs/>
                <w:kern w:val="0"/>
                <w:sz w:val="24"/>
              </w:rPr>
              <w:t>20</w:t>
            </w:r>
          </w:p>
        </w:tc>
        <w:tc>
          <w:tcPr>
            <w:tcW w:w="696" w:type="pct"/>
            <w:tcBorders>
              <w:top w:val="single" w:color="auto" w:sz="4" w:space="0"/>
              <w:left w:val="nil"/>
              <w:bottom w:val="single" w:color="auto" w:sz="4" w:space="0"/>
              <w:right w:val="single" w:color="auto" w:sz="4" w:space="0"/>
            </w:tcBorders>
            <w:shd w:val="clear" w:color="auto" w:fill="FFFFFF"/>
            <w:vAlign w:val="center"/>
          </w:tcPr>
          <w:p w14:paraId="49B3CA2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5748D83">
            <w:pPr>
              <w:widowControl/>
              <w:spacing w:line="240" w:lineRule="auto"/>
              <w:ind w:firstLine="0" w:firstLineChars="0"/>
              <w:jc w:val="center"/>
              <w:rPr>
                <w:rFonts w:cs="Tahoma"/>
                <w:bCs/>
                <w:kern w:val="0"/>
              </w:rPr>
            </w:pPr>
            <w:r>
              <w:rPr>
                <w:rFonts w:hint="eastAsia"/>
                <w:bCs/>
              </w:rPr>
              <w:t>安全管控模块-分布式节点监测中心-证书管理监控</w:t>
            </w:r>
          </w:p>
        </w:tc>
        <w:tc>
          <w:tcPr>
            <w:tcW w:w="2908" w:type="pct"/>
            <w:tcBorders>
              <w:top w:val="single" w:color="000000" w:sz="4" w:space="0"/>
              <w:left w:val="single" w:color="000000" w:sz="4" w:space="0"/>
              <w:bottom w:val="single" w:color="000000" w:sz="4" w:space="0"/>
              <w:right w:val="single" w:color="000000" w:sz="4" w:space="0"/>
            </w:tcBorders>
            <w:vAlign w:val="center"/>
          </w:tcPr>
          <w:p w14:paraId="276B5599">
            <w:pPr>
              <w:widowControl/>
              <w:spacing w:line="240" w:lineRule="auto"/>
              <w:ind w:firstLine="0" w:firstLineChars="0"/>
              <w:rPr>
                <w:rFonts w:cs="Tahoma"/>
                <w:bCs/>
                <w:kern w:val="0"/>
              </w:rPr>
            </w:pPr>
            <w:r>
              <w:rPr>
                <w:rFonts w:hint="eastAsia"/>
                <w:bCs/>
              </w:rPr>
              <w:t>安全证书综合管理列表页：提供安全证书管理的综合列表页，以分页形式展示设备证书、通信证书及链用户证书等各类安全证书信息，便于用户快速浏览和查询。</w:t>
            </w:r>
            <w:r>
              <w:rPr>
                <w:rFonts w:hint="eastAsia"/>
                <w:bCs/>
              </w:rPr>
              <w:br w:type="textWrapping"/>
            </w:r>
            <w:r>
              <w:rPr>
                <w:rFonts w:hint="eastAsia"/>
                <w:bCs/>
              </w:rPr>
              <w:t>证书有效期智能监控：1）设备证书有效期监控：实时监控业务接入端设备证书的有效期，确保设备证书在到期前得到及时更新，避免因证书过期导致的业务中断。2）通信证书有效期监控：同样提供对业务接入端通信证书有效期的实时监控，确保通信证书始终有效，保障业务通信的安全性和稳定性。3）链用户证书有效期监控：对业务接入端链用户证书的有效期进行智能监控，确保链用户证书在有效期内，维护区块链业务的连续性和安全性。"</w:t>
            </w:r>
            <w:r>
              <w:rPr>
                <w:rFonts w:hint="eastAsia"/>
                <w:bCs/>
              </w:rPr>
              <w:br w:type="textWrapping"/>
            </w:r>
            <w:r>
              <w:rPr>
                <w:rFonts w:hint="eastAsia"/>
                <w:bCs/>
              </w:rPr>
              <w:t>一键证书更新功能：设备证书一键更新：提供设备证书的一键更新功能，用户只需简单操作即可调用CA服务进行发证及更新，极大地简化了证书更新的流程，提高了更新效率。通信证书一键更新：同样提供通信证书的一键更新功能，确保通信证书在到期前得到及时更新，保障业务通信的连续性和安全性。"</w:t>
            </w:r>
          </w:p>
        </w:tc>
      </w:tr>
      <w:tr w14:paraId="78F72E2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005155E">
            <w:pPr>
              <w:pStyle w:val="61"/>
              <w:widowControl/>
              <w:spacing w:line="240" w:lineRule="auto"/>
              <w:ind w:left="440" w:firstLine="0" w:firstLineChars="0"/>
              <w:rPr>
                <w:rFonts w:ascii="宋体" w:hAnsi="宋体" w:cs="Tahoma"/>
                <w:bCs/>
                <w:kern w:val="0"/>
                <w:sz w:val="24"/>
              </w:rPr>
            </w:pPr>
            <w:r>
              <w:rPr>
                <w:rFonts w:hint="eastAsia" w:cs="Tahoma"/>
                <w:bCs/>
                <w:kern w:val="0"/>
                <w:sz w:val="24"/>
              </w:rPr>
              <w:t>21</w:t>
            </w:r>
          </w:p>
        </w:tc>
        <w:tc>
          <w:tcPr>
            <w:tcW w:w="696" w:type="pct"/>
            <w:tcBorders>
              <w:top w:val="single" w:color="auto" w:sz="4" w:space="0"/>
              <w:left w:val="nil"/>
              <w:bottom w:val="single" w:color="auto" w:sz="4" w:space="0"/>
              <w:right w:val="single" w:color="auto" w:sz="4" w:space="0"/>
            </w:tcBorders>
            <w:shd w:val="clear" w:color="auto" w:fill="FFFFFF"/>
            <w:vAlign w:val="center"/>
          </w:tcPr>
          <w:p w14:paraId="628AC99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51AB507">
            <w:pPr>
              <w:widowControl/>
              <w:spacing w:line="240" w:lineRule="auto"/>
              <w:ind w:firstLine="0" w:firstLineChars="0"/>
              <w:jc w:val="center"/>
              <w:rPr>
                <w:bCs/>
              </w:rPr>
            </w:pPr>
            <w:r>
              <w:rPr>
                <w:rFonts w:hint="eastAsia"/>
                <w:bCs/>
              </w:rPr>
              <w:t>审计与日志归集-服务平台管理审计模块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489AF5E0">
            <w:pPr>
              <w:widowControl/>
              <w:spacing w:line="240" w:lineRule="auto"/>
              <w:ind w:firstLine="0" w:firstLineChars="0"/>
              <w:rPr>
                <w:bCs/>
              </w:rPr>
            </w:pPr>
            <w:r>
              <w:rPr>
                <w:rFonts w:hint="eastAsia"/>
                <w:bCs/>
              </w:rPr>
              <w:t>服务平台权限审计看板 "提供基于用户维度进行权限配置与使用情况的可视化展示与审计分析。</w:t>
            </w:r>
            <w:r>
              <w:rPr>
                <w:rFonts w:hint="eastAsia"/>
                <w:bCs/>
              </w:rPr>
              <w:br w:type="textWrapping"/>
            </w:r>
            <w:r>
              <w:rPr>
                <w:rFonts w:hint="eastAsia"/>
                <w:bCs/>
              </w:rPr>
              <w:t>提供基于资源维度进行权限配置与使用情况的可视化展示与审计分析。</w:t>
            </w:r>
            <w:r>
              <w:rPr>
                <w:rFonts w:hint="eastAsia"/>
                <w:bCs/>
              </w:rPr>
              <w:br w:type="textWrapping"/>
            </w:r>
            <w:r>
              <w:rPr>
                <w:rFonts w:hint="eastAsia"/>
                <w:bCs/>
              </w:rPr>
              <w:t>提供权限审计的数据聚合展示"</w:t>
            </w:r>
            <w:r>
              <w:rPr>
                <w:rFonts w:hint="eastAsia"/>
                <w:bCs/>
              </w:rPr>
              <w:br w:type="textWrapping"/>
            </w:r>
            <w:r>
              <w:rPr>
                <w:rFonts w:hint="eastAsia"/>
                <w:bCs/>
              </w:rPr>
              <w:t>全局日志策略管理 "平台日志存储策略：管理日志文件存储位置、存储周期配置，超期日志备份/删除策略</w:t>
            </w:r>
            <w:r>
              <w:rPr>
                <w:rFonts w:hint="eastAsia"/>
                <w:bCs/>
              </w:rPr>
              <w:br w:type="textWrapping"/>
            </w:r>
            <w:r>
              <w:rPr>
                <w:rFonts w:hint="eastAsia"/>
                <w:bCs/>
              </w:rPr>
              <w:t>人工日志备份：支持管理员人工手动触发日志备份，释放服务器内存空间。配置包含对于主数据库、查询数据库相关数据库操作语句，提供界面式选择操作，操作时需进行管理员二次认证。</w:t>
            </w:r>
            <w:r>
              <w:rPr>
                <w:rFonts w:hint="eastAsia"/>
                <w:bCs/>
              </w:rPr>
              <w:br w:type="textWrapping"/>
            </w:r>
            <w:r>
              <w:rPr>
                <w:rFonts w:hint="eastAsia"/>
                <w:bCs/>
              </w:rPr>
              <w:t>历史日志查询和下载：支持管理员对历史的日志进行查询管理。支持超级管理员对冷数据日志文件进行下载操作。"</w:t>
            </w:r>
          </w:p>
        </w:tc>
      </w:tr>
      <w:tr w14:paraId="35EBC12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A0FCE1F">
            <w:pPr>
              <w:pStyle w:val="61"/>
              <w:widowControl/>
              <w:spacing w:line="240" w:lineRule="auto"/>
              <w:ind w:left="440" w:firstLine="0" w:firstLineChars="0"/>
              <w:rPr>
                <w:rFonts w:ascii="宋体" w:hAnsi="宋体" w:cs="Tahoma"/>
                <w:bCs/>
                <w:kern w:val="0"/>
                <w:sz w:val="24"/>
              </w:rPr>
            </w:pPr>
            <w:r>
              <w:rPr>
                <w:rFonts w:hint="eastAsia" w:cs="Tahoma"/>
                <w:bCs/>
                <w:kern w:val="0"/>
                <w:sz w:val="24"/>
              </w:rPr>
              <w:t>22</w:t>
            </w:r>
          </w:p>
        </w:tc>
        <w:tc>
          <w:tcPr>
            <w:tcW w:w="696" w:type="pct"/>
            <w:tcBorders>
              <w:top w:val="single" w:color="auto" w:sz="4" w:space="0"/>
              <w:left w:val="nil"/>
              <w:bottom w:val="single" w:color="auto" w:sz="4" w:space="0"/>
              <w:right w:val="single" w:color="auto" w:sz="4" w:space="0"/>
            </w:tcBorders>
            <w:shd w:val="clear" w:color="auto" w:fill="FFFFFF"/>
            <w:vAlign w:val="center"/>
          </w:tcPr>
          <w:p w14:paraId="5F1027D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81EED84">
            <w:pPr>
              <w:widowControl/>
              <w:spacing w:line="240" w:lineRule="auto"/>
              <w:ind w:firstLine="0" w:firstLineChars="0"/>
              <w:jc w:val="center"/>
              <w:rPr>
                <w:bCs/>
              </w:rPr>
            </w:pPr>
            <w:r>
              <w:rPr>
                <w:rFonts w:hint="eastAsia"/>
                <w:bCs/>
              </w:rPr>
              <w:t>审计与日志归集-分布式上链接入端管理审计模块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3FFE55E4">
            <w:pPr>
              <w:widowControl/>
              <w:spacing w:line="240" w:lineRule="auto"/>
              <w:ind w:firstLine="0" w:firstLineChars="0"/>
              <w:rPr>
                <w:bCs/>
              </w:rPr>
            </w:pPr>
            <w:r>
              <w:rPr>
                <w:rFonts w:hint="eastAsia"/>
                <w:bCs/>
              </w:rPr>
              <w:t>准入行为审计：</w:t>
            </w:r>
            <w:r>
              <w:rPr>
                <w:rFonts w:hint="eastAsia"/>
                <w:bCs/>
              </w:rPr>
              <w:br w:type="textWrapping"/>
            </w:r>
            <w:r>
              <w:rPr>
                <w:rFonts w:hint="eastAsia"/>
                <w:bCs/>
              </w:rPr>
              <w:t>1）接入主体合规性审计：审计接入主体身份凭证，审计主体身份凭证是否由财票链服务平台签发，比对接入应用对应主体与凭证是否一致</w:t>
            </w:r>
            <w:r>
              <w:rPr>
                <w:rFonts w:hint="eastAsia"/>
                <w:bCs/>
              </w:rPr>
              <w:br w:type="textWrapping"/>
            </w:r>
            <w:r>
              <w:rPr>
                <w:rFonts w:hint="eastAsia"/>
                <w:bCs/>
              </w:rPr>
              <w:t>2）接入行为审计：接入时间/频率限制执行情况（异常高频接入预警、非工作时间接入审批记录）</w:t>
            </w:r>
            <w:r>
              <w:rPr>
                <w:rFonts w:hint="eastAsia"/>
                <w:bCs/>
              </w:rPr>
              <w:br w:type="textWrapping"/>
            </w:r>
            <w:r>
              <w:rPr>
                <w:rFonts w:hint="eastAsia"/>
                <w:bCs/>
              </w:rPr>
              <w:t>3）接入端基线审计（接入端指纹合规性、接入端服务启用状态）</w:t>
            </w:r>
            <w:r>
              <w:rPr>
                <w:rFonts w:hint="eastAsia"/>
                <w:bCs/>
              </w:rPr>
              <w:br w:type="textWrapping"/>
            </w:r>
            <w:r>
              <w:rPr>
                <w:rFonts w:hint="eastAsia"/>
                <w:bCs/>
              </w:rPr>
              <w:t>4）分布式节点管理审计：包括加密传输协议使用情况、数据完整性校验记录；</w:t>
            </w:r>
            <w:r>
              <w:rPr>
                <w:rFonts w:hint="eastAsia"/>
                <w:bCs/>
              </w:rPr>
              <w:br w:type="textWrapping"/>
            </w:r>
            <w:r>
              <w:rPr>
                <w:rFonts w:hint="eastAsia"/>
                <w:bCs/>
              </w:rPr>
              <w:t>5）节点间数据传输一致性审计，包括票据数据Hash值比对；分布式节点资源占用异常审计</w:t>
            </w:r>
            <w:r>
              <w:rPr>
                <w:rFonts w:hint="eastAsia"/>
                <w:bCs/>
              </w:rPr>
              <w:br w:type="textWrapping"/>
            </w:r>
            <w:r>
              <w:rPr>
                <w:rFonts w:hint="eastAsia"/>
                <w:bCs/>
              </w:rPr>
              <w:t>6）版本管理审计：</w:t>
            </w:r>
            <w:r>
              <w:rPr>
                <w:rFonts w:hint="eastAsia"/>
                <w:bCs/>
              </w:rPr>
              <w:br w:type="textWrapping"/>
            </w:r>
            <w:r>
              <w:rPr>
                <w:rFonts w:hint="eastAsia"/>
                <w:bCs/>
              </w:rPr>
              <w:t>审计软件版本更新发布流程合规性</w:t>
            </w:r>
            <w:r>
              <w:rPr>
                <w:rFonts w:hint="eastAsia"/>
                <w:bCs/>
              </w:rPr>
              <w:br w:type="textWrapping"/>
            </w:r>
            <w:r>
              <w:rPr>
                <w:rFonts w:hint="eastAsia"/>
                <w:bCs/>
              </w:rPr>
              <w:t>审计版本一致性，包括跨节点版本一致性校验</w:t>
            </w:r>
            <w:r>
              <w:rPr>
                <w:rFonts w:hint="eastAsia"/>
                <w:bCs/>
              </w:rPr>
              <w:br w:type="textWrapping"/>
            </w:r>
            <w:r>
              <w:rPr>
                <w:rFonts w:hint="eastAsia"/>
                <w:bCs/>
              </w:rPr>
              <w:t>7）历史版本回溯审计，基于日志触发审计规则</w:t>
            </w:r>
            <w:r>
              <w:rPr>
                <w:rFonts w:hint="eastAsia"/>
                <w:bCs/>
              </w:rPr>
              <w:br w:type="textWrapping"/>
            </w:r>
            <w:r>
              <w:rPr>
                <w:rFonts w:hint="eastAsia"/>
                <w:bCs/>
              </w:rPr>
              <w:t>审计异常处理：</w:t>
            </w:r>
            <w:r>
              <w:rPr>
                <w:rFonts w:hint="eastAsia"/>
                <w:bCs/>
              </w:rPr>
              <w:br w:type="textWrapping"/>
            </w:r>
            <w:r>
              <w:rPr>
                <w:rFonts w:hint="eastAsia"/>
                <w:bCs/>
              </w:rPr>
              <w:t>审计预警联动消息通知模块，触发审计预警后，调用消息通知管理员</w:t>
            </w:r>
            <w:r>
              <w:rPr>
                <w:rFonts w:hint="eastAsia"/>
                <w:bCs/>
              </w:rPr>
              <w:br w:type="textWrapping"/>
            </w:r>
            <w:r>
              <w:rPr>
                <w:rFonts w:hint="eastAsia"/>
                <w:bCs/>
              </w:rPr>
              <w:t>提供审计基线规则设置，如身份凭证不匹配、接入端状态异常、票据数据Hash比对不一致、软件版本更新错误等</w:t>
            </w:r>
          </w:p>
        </w:tc>
      </w:tr>
      <w:tr w14:paraId="39BDA318">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A45C8CA">
            <w:pPr>
              <w:pStyle w:val="61"/>
              <w:widowControl/>
              <w:spacing w:line="240" w:lineRule="auto"/>
              <w:ind w:left="440" w:firstLine="0" w:firstLineChars="0"/>
              <w:rPr>
                <w:rFonts w:cs="Tahoma"/>
                <w:bCs/>
                <w:kern w:val="0"/>
                <w:sz w:val="24"/>
              </w:rPr>
            </w:pPr>
            <w:r>
              <w:rPr>
                <w:rFonts w:hint="eastAsia" w:cs="Tahoma"/>
                <w:bCs/>
                <w:kern w:val="0"/>
                <w:sz w:val="24"/>
              </w:rPr>
              <w:t>2</w:t>
            </w:r>
            <w:r>
              <w:rPr>
                <w:rFonts w:cs="Tahoma"/>
                <w:bCs/>
                <w:kern w:val="0"/>
                <w:sz w:val="24"/>
              </w:rPr>
              <w:t>3</w:t>
            </w:r>
          </w:p>
        </w:tc>
        <w:tc>
          <w:tcPr>
            <w:tcW w:w="696" w:type="pct"/>
            <w:tcBorders>
              <w:top w:val="single" w:color="auto" w:sz="4" w:space="0"/>
              <w:left w:val="nil"/>
              <w:bottom w:val="single" w:color="auto" w:sz="4" w:space="0"/>
              <w:right w:val="single" w:color="auto" w:sz="4" w:space="0"/>
            </w:tcBorders>
            <w:shd w:val="clear" w:color="auto" w:fill="FFFFFF"/>
            <w:vAlign w:val="center"/>
          </w:tcPr>
          <w:p w14:paraId="3138F48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8AF1ABF">
            <w:pPr>
              <w:widowControl/>
              <w:spacing w:line="240" w:lineRule="auto"/>
              <w:ind w:firstLine="0" w:firstLineChars="0"/>
              <w:jc w:val="center"/>
              <w:rPr>
                <w:bCs/>
              </w:rPr>
            </w:pPr>
            <w:r>
              <w:rPr>
                <w:rFonts w:hint="eastAsia"/>
                <w:bCs/>
              </w:rPr>
              <w:t>审计与日志归集-涉链票据业务管理审计模块-开票、用票、票据流转记录审计</w:t>
            </w:r>
          </w:p>
        </w:tc>
        <w:tc>
          <w:tcPr>
            <w:tcW w:w="2908" w:type="pct"/>
            <w:tcBorders>
              <w:top w:val="single" w:color="000000" w:sz="4" w:space="0"/>
              <w:left w:val="single" w:color="000000" w:sz="4" w:space="0"/>
              <w:bottom w:val="single" w:color="000000" w:sz="4" w:space="0"/>
              <w:right w:val="single" w:color="000000" w:sz="4" w:space="0"/>
            </w:tcBorders>
            <w:vAlign w:val="center"/>
          </w:tcPr>
          <w:p w14:paraId="59F3A8EE">
            <w:pPr>
              <w:widowControl/>
              <w:spacing w:line="240" w:lineRule="auto"/>
              <w:ind w:firstLine="0" w:firstLineChars="0"/>
              <w:rPr>
                <w:bCs/>
              </w:rPr>
            </w:pPr>
            <w:r>
              <w:rPr>
                <w:rFonts w:hint="eastAsia"/>
                <w:bCs/>
              </w:rPr>
              <w:t>提供审计列表页，管理员及开票方可通过列表查看审计列表，审计列表进行分标签展示，包括授权凭证推送、授权凭证使用、调用票据信息</w:t>
            </w:r>
            <w:r>
              <w:rPr>
                <w:rFonts w:hint="eastAsia"/>
                <w:bCs/>
              </w:rPr>
              <w:br w:type="textWrapping"/>
            </w:r>
            <w:r>
              <w:rPr>
                <w:rFonts w:hint="eastAsia"/>
                <w:bCs/>
              </w:rPr>
              <w:t>审计详情，包括开票时间、开票方、开票场景、用票场景、用票方</w:t>
            </w:r>
            <w:r>
              <w:rPr>
                <w:rFonts w:hint="eastAsia"/>
                <w:bCs/>
              </w:rPr>
              <w:br w:type="textWrapping"/>
            </w:r>
            <w:r>
              <w:rPr>
                <w:rFonts w:hint="eastAsia"/>
                <w:bCs/>
              </w:rPr>
              <w:t>审计授权过程，审计授权签发过程、授权验证过程</w:t>
            </w:r>
          </w:p>
        </w:tc>
      </w:tr>
      <w:tr w14:paraId="513BE00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8AEB424">
            <w:pPr>
              <w:pStyle w:val="61"/>
              <w:widowControl/>
              <w:spacing w:line="240" w:lineRule="auto"/>
              <w:ind w:left="440" w:firstLine="0" w:firstLineChars="0"/>
              <w:rPr>
                <w:rFonts w:cs="Tahoma"/>
                <w:bCs/>
                <w:kern w:val="0"/>
                <w:sz w:val="24"/>
              </w:rPr>
            </w:pPr>
            <w:r>
              <w:rPr>
                <w:rFonts w:hint="eastAsia" w:cs="Tahoma"/>
                <w:bCs/>
                <w:kern w:val="0"/>
                <w:sz w:val="24"/>
              </w:rPr>
              <w:t>24</w:t>
            </w:r>
          </w:p>
        </w:tc>
        <w:tc>
          <w:tcPr>
            <w:tcW w:w="696" w:type="pct"/>
            <w:tcBorders>
              <w:top w:val="single" w:color="auto" w:sz="4" w:space="0"/>
              <w:left w:val="nil"/>
              <w:bottom w:val="single" w:color="auto" w:sz="4" w:space="0"/>
              <w:right w:val="single" w:color="auto" w:sz="4" w:space="0"/>
            </w:tcBorders>
            <w:shd w:val="clear" w:color="auto" w:fill="FFFFFF"/>
            <w:vAlign w:val="center"/>
          </w:tcPr>
          <w:p w14:paraId="22922DB3">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9A3FC49">
            <w:pPr>
              <w:widowControl/>
              <w:spacing w:line="240" w:lineRule="auto"/>
              <w:ind w:firstLine="0" w:firstLineChars="0"/>
              <w:jc w:val="center"/>
              <w:rPr>
                <w:bCs/>
              </w:rPr>
            </w:pPr>
            <w:r>
              <w:rPr>
                <w:rFonts w:hint="eastAsia"/>
                <w:bCs/>
              </w:rPr>
              <w:t>审计与日志归集-多级多模块日志归集</w:t>
            </w:r>
          </w:p>
        </w:tc>
        <w:tc>
          <w:tcPr>
            <w:tcW w:w="2908" w:type="pct"/>
            <w:tcBorders>
              <w:top w:val="single" w:color="000000" w:sz="4" w:space="0"/>
              <w:left w:val="single" w:color="000000" w:sz="4" w:space="0"/>
              <w:bottom w:val="single" w:color="000000" w:sz="4" w:space="0"/>
              <w:right w:val="single" w:color="000000" w:sz="4" w:space="0"/>
            </w:tcBorders>
            <w:vAlign w:val="center"/>
          </w:tcPr>
          <w:p w14:paraId="149EEC71">
            <w:pPr>
              <w:widowControl/>
              <w:spacing w:line="240" w:lineRule="auto"/>
              <w:ind w:firstLine="0" w:firstLineChars="0"/>
              <w:rPr>
                <w:bCs/>
              </w:rPr>
            </w:pPr>
            <w:r>
              <w:rPr>
                <w:rFonts w:hint="eastAsia"/>
                <w:bCs/>
              </w:rPr>
              <w:t>服务平台审计日志归集 "归集记录权限变更日志，包括变更发起人、变更权限、变更时间等</w:t>
            </w:r>
            <w:r>
              <w:rPr>
                <w:rFonts w:hint="eastAsia"/>
                <w:bCs/>
              </w:rPr>
              <w:br w:type="textWrapping"/>
            </w:r>
            <w:r>
              <w:rPr>
                <w:rFonts w:hint="eastAsia"/>
                <w:bCs/>
              </w:rPr>
              <w:t>归集记录风险日志，包括风险触发、风险通知、风险详情、发生时间等</w:t>
            </w:r>
            <w:r>
              <w:rPr>
                <w:rFonts w:hint="eastAsia"/>
                <w:bCs/>
              </w:rPr>
              <w:br w:type="textWrapping"/>
            </w:r>
            <w:r>
              <w:rPr>
                <w:rFonts w:hint="eastAsia"/>
                <w:bCs/>
              </w:rPr>
              <w:t>归集记录平台操作日志，包括操作人员、操作动作、操作时间等</w:t>
            </w:r>
            <w:r>
              <w:rPr>
                <w:rFonts w:hint="eastAsia"/>
                <w:bCs/>
              </w:rPr>
              <w:br w:type="textWrapping"/>
            </w:r>
            <w:r>
              <w:rPr>
                <w:rFonts w:hint="eastAsia"/>
                <w:bCs/>
              </w:rPr>
              <w:t>归集记录审批操作日志，包括审批事件、审批人员、审批时间等"</w:t>
            </w:r>
            <w:r>
              <w:rPr>
                <w:rFonts w:hint="eastAsia"/>
                <w:bCs/>
              </w:rPr>
              <w:br w:type="textWrapping"/>
            </w:r>
            <w:r>
              <w:rPr>
                <w:rFonts w:hint="eastAsia"/>
                <w:bCs/>
              </w:rPr>
              <w:t>分布式上链接入端治理中枢日志归集 "归集准入审核，准入变更日志信息，日志信息包括准入申请方、审核人员、审核时间、变更时间</w:t>
            </w:r>
            <w:r>
              <w:rPr>
                <w:rFonts w:hint="eastAsia"/>
                <w:bCs/>
              </w:rPr>
              <w:br w:type="textWrapping"/>
            </w:r>
            <w:r>
              <w:rPr>
                <w:rFonts w:hint="eastAsia"/>
                <w:bCs/>
              </w:rPr>
              <w:t>归集身份凭证下发日志，包括准入申请方、身份凭证编号、下发时间</w:t>
            </w:r>
            <w:r>
              <w:rPr>
                <w:rFonts w:hint="eastAsia"/>
                <w:bCs/>
              </w:rPr>
              <w:br w:type="textWrapping"/>
            </w:r>
            <w:r>
              <w:rPr>
                <w:rFonts w:hint="eastAsia"/>
                <w:bCs/>
              </w:rPr>
              <w:t>归集激活事件日志，包括接入方、激活时间、身份凭证编号、激活成功/失败</w:t>
            </w:r>
            <w:r>
              <w:rPr>
                <w:rFonts w:hint="eastAsia"/>
                <w:bCs/>
              </w:rPr>
              <w:br w:type="textWrapping"/>
            </w:r>
            <w:r>
              <w:rPr>
                <w:rFonts w:hint="eastAsia"/>
                <w:bCs/>
              </w:rPr>
              <w:t>归集记录每次升级的版本号、时间、结果信息等关键数据，为后续的升级分析和问题排查提供有力支持"</w:t>
            </w:r>
            <w:r>
              <w:rPr>
                <w:rFonts w:hint="eastAsia"/>
                <w:bCs/>
              </w:rPr>
              <w:br w:type="textWrapping"/>
            </w:r>
            <w:r>
              <w:rPr>
                <w:rFonts w:hint="eastAsia"/>
                <w:bCs/>
              </w:rPr>
              <w:t>涉链票据业务日志归集 "涉链票据业务日志归集：</w:t>
            </w:r>
            <w:r>
              <w:rPr>
                <w:rFonts w:hint="eastAsia"/>
                <w:bCs/>
              </w:rPr>
              <w:br w:type="textWrapping"/>
            </w:r>
            <w:r>
              <w:rPr>
                <w:rFonts w:hint="eastAsia"/>
                <w:bCs/>
              </w:rPr>
              <w:t>归集记录开票相关日志，包括票据三码、票据场景、开票方、开票时间、票据资源url、票据上链情况等信息</w:t>
            </w:r>
            <w:r>
              <w:rPr>
                <w:rFonts w:hint="eastAsia"/>
                <w:bCs/>
              </w:rPr>
              <w:br w:type="textWrapping"/>
            </w:r>
            <w:r>
              <w:rPr>
                <w:rFonts w:hint="eastAsia"/>
                <w:bCs/>
              </w:rPr>
              <w:t>归集记录开票相关日志，包括票据三码、票据场景、用票方、使用的授权凭证时间、用票时间等信息</w:t>
            </w:r>
            <w:r>
              <w:rPr>
                <w:rFonts w:hint="eastAsia"/>
                <w:bCs/>
              </w:rPr>
              <w:br w:type="textWrapping"/>
            </w:r>
            <w:r>
              <w:rPr>
                <w:rFonts w:hint="eastAsia"/>
                <w:bCs/>
              </w:rPr>
              <w:t>归集记录票据资源流转日志，包括票据资源信息、流转类型、流转时间等信息</w:t>
            </w:r>
            <w:r>
              <w:rPr>
                <w:rFonts w:hint="eastAsia"/>
                <w:bCs/>
              </w:rPr>
              <w:br w:type="textWrapping"/>
            </w:r>
            <w:r>
              <w:rPr>
                <w:rFonts w:hint="eastAsia"/>
                <w:bCs/>
              </w:rPr>
              <w:t>授权日志：</w:t>
            </w:r>
            <w:r>
              <w:rPr>
                <w:rFonts w:hint="eastAsia"/>
                <w:bCs/>
              </w:rPr>
              <w:br w:type="textWrapping"/>
            </w:r>
            <w:r>
              <w:rPr>
                <w:rFonts w:hint="eastAsia"/>
                <w:bCs/>
              </w:rPr>
              <w:t>归集记录分布式身份标识授权签发、验证日志"</w:t>
            </w:r>
            <w:r>
              <w:rPr>
                <w:rFonts w:hint="eastAsia"/>
                <w:bCs/>
              </w:rPr>
              <w:br w:type="textWrapping"/>
            </w:r>
            <w:r>
              <w:rPr>
                <w:rFonts w:hint="eastAsia"/>
                <w:bCs/>
              </w:rPr>
              <w:t>接入端日志归集 "归集记录链路状态日志，包括链路心跳记录、异常链路通知、发生时间、所属接入端等信息</w:t>
            </w:r>
            <w:r>
              <w:rPr>
                <w:rFonts w:hint="eastAsia"/>
                <w:bCs/>
              </w:rPr>
              <w:br w:type="textWrapping"/>
            </w:r>
            <w:r>
              <w:rPr>
                <w:rFonts w:hint="eastAsia"/>
                <w:bCs/>
              </w:rPr>
              <w:t>归集记录设备状态日志，包括接入端CPU、内存、磁盘空间等告警日志信息</w:t>
            </w:r>
            <w:r>
              <w:rPr>
                <w:rFonts w:hint="eastAsia"/>
                <w:bCs/>
              </w:rPr>
              <w:br w:type="textWrapping"/>
            </w:r>
            <w:r>
              <w:rPr>
                <w:rFonts w:hint="eastAsia"/>
                <w:bCs/>
              </w:rPr>
              <w:t>归集记录应用状态日志，包括开票应用状态、上链应用状态、密码应用状态信息</w:t>
            </w:r>
            <w:r>
              <w:rPr>
                <w:rFonts w:hint="eastAsia"/>
                <w:bCs/>
              </w:rPr>
              <w:br w:type="textWrapping"/>
            </w:r>
            <w:r>
              <w:rPr>
                <w:rFonts w:hint="eastAsia"/>
                <w:bCs/>
              </w:rPr>
              <w:t>归集记录票据涉链交互时间、票据资源传输时间等日志"</w:t>
            </w:r>
          </w:p>
        </w:tc>
      </w:tr>
      <w:tr w14:paraId="0DD2726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37D12F5">
            <w:pPr>
              <w:pStyle w:val="61"/>
              <w:widowControl/>
              <w:spacing w:line="240" w:lineRule="auto"/>
              <w:ind w:left="440" w:firstLine="0" w:firstLineChars="0"/>
              <w:rPr>
                <w:rFonts w:cs="Tahoma"/>
                <w:bCs/>
                <w:kern w:val="0"/>
                <w:sz w:val="24"/>
              </w:rPr>
            </w:pPr>
            <w:r>
              <w:rPr>
                <w:rFonts w:hint="eastAsia" w:cs="Tahoma"/>
                <w:bCs/>
                <w:kern w:val="0"/>
                <w:sz w:val="24"/>
              </w:rPr>
              <w:t>25</w:t>
            </w:r>
          </w:p>
        </w:tc>
        <w:tc>
          <w:tcPr>
            <w:tcW w:w="696" w:type="pct"/>
            <w:tcBorders>
              <w:top w:val="single" w:color="auto" w:sz="4" w:space="0"/>
              <w:left w:val="nil"/>
              <w:bottom w:val="single" w:color="auto" w:sz="4" w:space="0"/>
              <w:right w:val="single" w:color="auto" w:sz="4" w:space="0"/>
            </w:tcBorders>
            <w:shd w:val="clear" w:color="auto" w:fill="FFFFFF"/>
            <w:vAlign w:val="center"/>
          </w:tcPr>
          <w:p w14:paraId="4C249542">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146B531">
            <w:pPr>
              <w:widowControl/>
              <w:spacing w:line="240" w:lineRule="auto"/>
              <w:ind w:firstLine="0" w:firstLineChars="0"/>
              <w:jc w:val="center"/>
              <w:rPr>
                <w:bCs/>
              </w:rPr>
            </w:pPr>
            <w:r>
              <w:rPr>
                <w:rFonts w:hint="eastAsia"/>
                <w:bCs/>
              </w:rPr>
              <w:t>分布式上链接入端治理中枢模块-分布式上链接入端管理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34A65A29">
            <w:pPr>
              <w:widowControl/>
              <w:spacing w:line="240" w:lineRule="auto"/>
              <w:ind w:firstLine="0" w:firstLineChars="0"/>
              <w:rPr>
                <w:bCs/>
              </w:rPr>
            </w:pPr>
            <w:r>
              <w:rPr>
                <w:rFonts w:hint="eastAsia"/>
                <w:bCs/>
              </w:rPr>
              <w:t>接入端账号生成 "在线信息编辑：提供开票方、用票方企业用户注册界面，支持在线填写企业基本信息。对提交信息进行格式、必填项校验。注册完成后，参与方管理信息调用智能合约进行上链。</w:t>
            </w:r>
            <w:r>
              <w:rPr>
                <w:rFonts w:hint="eastAsia"/>
                <w:bCs/>
              </w:rPr>
              <w:br w:type="textWrapping"/>
            </w:r>
            <w:r>
              <w:rPr>
                <w:rFonts w:hint="eastAsia"/>
                <w:bCs/>
              </w:rPr>
              <w:t>信息数据输入后，基于分布式身份标识创建接入端管理账号，并绑定该接入端</w:t>
            </w:r>
            <w:r>
              <w:rPr>
                <w:rFonts w:hint="eastAsia"/>
                <w:bCs/>
              </w:rPr>
              <w:br w:type="textWrapping"/>
            </w:r>
            <w:r>
              <w:rPr>
                <w:rFonts w:hint="eastAsia"/>
                <w:bCs/>
              </w:rPr>
              <w:t>Excel模板下载：支持线下excel/csv清单方式进行批量导入参与方，默认开通管理员账号并标记为已实名</w:t>
            </w:r>
            <w:r>
              <w:rPr>
                <w:rFonts w:hint="eastAsia"/>
                <w:bCs/>
              </w:rPr>
              <w:br w:type="textWrapping"/>
            </w:r>
            <w:r>
              <w:rPr>
                <w:rFonts w:hint="eastAsia"/>
                <w:bCs/>
              </w:rPr>
              <w:t>批量数据校验：调用二要素实名认证进行认证。上传文件后，系统校验数据完整性及格式。提供错误条目提示，正确条目进行录入确认</w:t>
            </w:r>
            <w:r>
              <w:rPr>
                <w:rFonts w:hint="eastAsia"/>
                <w:bCs/>
              </w:rPr>
              <w:br w:type="textWrapping"/>
            </w:r>
            <w:r>
              <w:rPr>
                <w:rFonts w:hint="eastAsia"/>
                <w:bCs/>
              </w:rPr>
              <w:t>批量修改：支持管理员通过excel/csv清单方式进行批量导入修改参与方信息"</w:t>
            </w:r>
            <w:r>
              <w:rPr>
                <w:rFonts w:hint="eastAsia"/>
                <w:bCs/>
              </w:rPr>
              <w:br w:type="textWrapping"/>
            </w:r>
            <w:r>
              <w:rPr>
                <w:rFonts w:hint="eastAsia"/>
                <w:bCs/>
              </w:rPr>
              <w:t>操作员成员管理 "首次登录强制实名：操作员首次登录时触发实名认证流程。</w:t>
            </w:r>
            <w:r>
              <w:rPr>
                <w:rFonts w:hint="eastAsia"/>
                <w:bCs/>
              </w:rPr>
              <w:br w:type="textWrapping"/>
            </w:r>
            <w:r>
              <w:rPr>
                <w:rFonts w:hint="eastAsia"/>
                <w:bCs/>
              </w:rPr>
              <w:t>由接入端基于分布式身份标识生成分布式操作员账户，操作员账户由接入端管理员账户背书签发及绑定接入端</w:t>
            </w:r>
            <w:r>
              <w:rPr>
                <w:rFonts w:hint="eastAsia"/>
                <w:bCs/>
              </w:rPr>
              <w:br w:type="textWrapping"/>
            </w:r>
            <w:r>
              <w:rPr>
                <w:rFonts w:hint="eastAsia"/>
                <w:bCs/>
              </w:rPr>
              <w:t>操作员管理及权限分配：支持企业管理员添加、删除、修改操作人员。添加后自动生成人员手机号作为账号；为操作员分配权限"</w:t>
            </w:r>
          </w:p>
        </w:tc>
      </w:tr>
      <w:tr w14:paraId="0FF945B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18D4CC7">
            <w:pPr>
              <w:pStyle w:val="61"/>
              <w:widowControl/>
              <w:spacing w:line="240" w:lineRule="auto"/>
              <w:ind w:left="440" w:firstLine="0" w:firstLineChars="0"/>
              <w:rPr>
                <w:rFonts w:cs="Tahoma"/>
                <w:bCs/>
                <w:kern w:val="0"/>
                <w:sz w:val="24"/>
              </w:rPr>
            </w:pPr>
            <w:r>
              <w:rPr>
                <w:rFonts w:hint="eastAsia" w:cs="Tahoma"/>
                <w:bCs/>
                <w:kern w:val="0"/>
                <w:sz w:val="24"/>
              </w:rPr>
              <w:t>26</w:t>
            </w:r>
          </w:p>
        </w:tc>
        <w:tc>
          <w:tcPr>
            <w:tcW w:w="696" w:type="pct"/>
            <w:tcBorders>
              <w:top w:val="single" w:color="auto" w:sz="4" w:space="0"/>
              <w:left w:val="nil"/>
              <w:bottom w:val="single" w:color="auto" w:sz="4" w:space="0"/>
              <w:right w:val="single" w:color="auto" w:sz="4" w:space="0"/>
            </w:tcBorders>
            <w:shd w:val="clear" w:color="auto" w:fill="FFFFFF"/>
            <w:vAlign w:val="center"/>
          </w:tcPr>
          <w:p w14:paraId="6C13C53B">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E42BD16">
            <w:pPr>
              <w:widowControl/>
              <w:spacing w:line="240" w:lineRule="auto"/>
              <w:ind w:firstLine="0" w:firstLineChars="0"/>
              <w:jc w:val="center"/>
              <w:rPr>
                <w:bCs/>
              </w:rPr>
            </w:pPr>
            <w:r>
              <w:rPr>
                <w:rFonts w:hint="eastAsia"/>
                <w:bCs/>
              </w:rPr>
              <w:t>分布式上链接入端治理中枢模块-分布式上链接入端准入管理-场景化动态表单</w:t>
            </w:r>
          </w:p>
        </w:tc>
        <w:tc>
          <w:tcPr>
            <w:tcW w:w="2908" w:type="pct"/>
            <w:tcBorders>
              <w:top w:val="single" w:color="000000" w:sz="4" w:space="0"/>
              <w:left w:val="single" w:color="000000" w:sz="4" w:space="0"/>
              <w:bottom w:val="single" w:color="000000" w:sz="4" w:space="0"/>
              <w:right w:val="single" w:color="000000" w:sz="4" w:space="0"/>
            </w:tcBorders>
            <w:vAlign w:val="center"/>
          </w:tcPr>
          <w:p w14:paraId="2CBABAFE">
            <w:pPr>
              <w:widowControl/>
              <w:spacing w:line="240" w:lineRule="auto"/>
              <w:ind w:firstLine="0" w:firstLineChars="0"/>
              <w:rPr>
                <w:bCs/>
              </w:rPr>
            </w:pPr>
            <w:r>
              <w:rPr>
                <w:rFonts w:hint="eastAsia"/>
                <w:bCs/>
              </w:rPr>
              <w:t>根据医疗等场景生成差异化申请表单，医疗电子票据场景申请包括医疗票据医保零星报销和商业保险报销，关联数据包括诊疗记录、病历、住院出院小结等</w:t>
            </w:r>
            <w:r>
              <w:rPr>
                <w:rFonts w:hint="eastAsia"/>
                <w:bCs/>
              </w:rPr>
              <w:br w:type="textWrapping"/>
            </w:r>
            <w:r>
              <w:rPr>
                <w:rFonts w:hint="eastAsia"/>
                <w:bCs/>
              </w:rPr>
              <w:t>场景生成独立编号，与分布式上链接入端绑定</w:t>
            </w:r>
            <w:r>
              <w:rPr>
                <w:rFonts w:hint="eastAsia"/>
                <w:bCs/>
              </w:rPr>
              <w:br w:type="textWrapping"/>
            </w:r>
            <w:r>
              <w:rPr>
                <w:rFonts w:hint="eastAsia"/>
                <w:bCs/>
              </w:rPr>
              <w:t>根据教育等场景生成差异化申请表单，教育电子票据场景包括资助补贴，关联数据包括成绩单、在读证明、收费项目、教育周期等</w:t>
            </w:r>
            <w:r>
              <w:rPr>
                <w:rFonts w:hint="eastAsia"/>
                <w:bCs/>
              </w:rPr>
              <w:br w:type="textWrapping"/>
            </w:r>
            <w:r>
              <w:rPr>
                <w:rFonts w:hint="eastAsia"/>
                <w:bCs/>
              </w:rPr>
              <w:t>场景生成独立编号，与分布式上链接入端绑定</w:t>
            </w:r>
            <w:r>
              <w:rPr>
                <w:rFonts w:hint="eastAsia"/>
                <w:bCs/>
              </w:rPr>
              <w:br w:type="textWrapping"/>
            </w:r>
            <w:r>
              <w:rPr>
                <w:rFonts w:hint="eastAsia"/>
                <w:bCs/>
              </w:rPr>
              <w:t>根据公益票据等场景生成差异化申请表单，公益电子票据场景包括公益抵扣，关联数据包括捐赠协议、捐赠金额凭证等</w:t>
            </w:r>
            <w:r>
              <w:rPr>
                <w:rFonts w:hint="eastAsia"/>
                <w:bCs/>
              </w:rPr>
              <w:br w:type="textWrapping"/>
            </w:r>
            <w:r>
              <w:rPr>
                <w:rFonts w:hint="eastAsia"/>
                <w:bCs/>
              </w:rPr>
              <w:t>场景生成独立编号，与分布式上链接入端绑定</w:t>
            </w:r>
            <w:r>
              <w:rPr>
                <w:rFonts w:hint="eastAsia"/>
                <w:bCs/>
              </w:rPr>
              <w:br w:type="textWrapping"/>
            </w:r>
            <w:r>
              <w:rPr>
                <w:rFonts w:hint="eastAsia"/>
                <w:bCs/>
              </w:rPr>
              <w:t>根据行政处罚等场景生成差异化申请表单，行政处罚电子票据场景包括信用修复，关联数据包括行政处罚决定书、缴款通知书等</w:t>
            </w:r>
            <w:r>
              <w:rPr>
                <w:rFonts w:hint="eastAsia"/>
                <w:bCs/>
              </w:rPr>
              <w:br w:type="textWrapping"/>
            </w:r>
            <w:r>
              <w:rPr>
                <w:rFonts w:hint="eastAsia"/>
                <w:bCs/>
              </w:rPr>
              <w:t>场景生成独立编号，与分布式上链接入端绑定</w:t>
            </w:r>
          </w:p>
        </w:tc>
      </w:tr>
      <w:tr w14:paraId="2429810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B6EC55B">
            <w:pPr>
              <w:pStyle w:val="61"/>
              <w:widowControl/>
              <w:spacing w:line="240" w:lineRule="auto"/>
              <w:ind w:left="440" w:firstLine="0" w:firstLineChars="0"/>
              <w:rPr>
                <w:rFonts w:cs="Tahoma"/>
                <w:bCs/>
                <w:kern w:val="0"/>
                <w:sz w:val="24"/>
              </w:rPr>
            </w:pPr>
            <w:r>
              <w:rPr>
                <w:rFonts w:hint="eastAsia" w:cs="Tahoma"/>
                <w:bCs/>
                <w:kern w:val="0"/>
                <w:sz w:val="24"/>
              </w:rPr>
              <w:t>27</w:t>
            </w:r>
          </w:p>
        </w:tc>
        <w:tc>
          <w:tcPr>
            <w:tcW w:w="696" w:type="pct"/>
            <w:tcBorders>
              <w:top w:val="single" w:color="auto" w:sz="4" w:space="0"/>
              <w:left w:val="nil"/>
              <w:bottom w:val="single" w:color="auto" w:sz="4" w:space="0"/>
              <w:right w:val="single" w:color="auto" w:sz="4" w:space="0"/>
            </w:tcBorders>
            <w:shd w:val="clear" w:color="auto" w:fill="FFFFFF"/>
            <w:vAlign w:val="center"/>
          </w:tcPr>
          <w:p w14:paraId="0B8C94FE">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4D53D37">
            <w:pPr>
              <w:widowControl/>
              <w:spacing w:line="240" w:lineRule="auto"/>
              <w:ind w:firstLine="0" w:firstLineChars="0"/>
              <w:jc w:val="center"/>
              <w:rPr>
                <w:bCs/>
              </w:rPr>
            </w:pPr>
            <w:r>
              <w:rPr>
                <w:rFonts w:hint="eastAsia"/>
                <w:bCs/>
              </w:rPr>
              <w:t>分布式上链接入端治理中枢模块-分布式上链接入端准入管理-准入申请、审核、查询</w:t>
            </w:r>
          </w:p>
        </w:tc>
        <w:tc>
          <w:tcPr>
            <w:tcW w:w="2908" w:type="pct"/>
            <w:tcBorders>
              <w:top w:val="single" w:color="000000" w:sz="4" w:space="0"/>
              <w:left w:val="single" w:color="000000" w:sz="4" w:space="0"/>
              <w:bottom w:val="single" w:color="000000" w:sz="4" w:space="0"/>
              <w:right w:val="single" w:color="000000" w:sz="4" w:space="0"/>
            </w:tcBorders>
            <w:vAlign w:val="center"/>
          </w:tcPr>
          <w:p w14:paraId="174B1287">
            <w:pPr>
              <w:widowControl/>
              <w:spacing w:line="240" w:lineRule="auto"/>
              <w:ind w:firstLine="0" w:firstLineChars="0"/>
              <w:rPr>
                <w:bCs/>
              </w:rPr>
            </w:pPr>
            <w:r>
              <w:rPr>
                <w:rFonts w:hint="eastAsia"/>
                <w:bCs/>
              </w:rPr>
              <w:t>准入信息申请及核验：</w:t>
            </w:r>
            <w:r>
              <w:rPr>
                <w:rFonts w:hint="eastAsia"/>
                <w:bCs/>
              </w:rPr>
              <w:br w:type="textWrapping"/>
            </w:r>
            <w:r>
              <w:rPr>
                <w:rFonts w:hint="eastAsia"/>
                <w:bCs/>
              </w:rPr>
              <w:t>自动读取并反显参与方企业已实名认证完成信息，企业自行选择参与方身份、开票用票场景（医疗、教育、罚没等）、涉及票据资源（票据列表、票据摘要、票据结构化数据及票据PDF）等信息，并提交申请。开票场景由管理员提前创建，申请时校验开票场景与参与者身份关系</w:t>
            </w:r>
            <w:r>
              <w:rPr>
                <w:rFonts w:hint="eastAsia"/>
                <w:bCs/>
              </w:rPr>
              <w:br w:type="textWrapping"/>
            </w:r>
            <w:r>
              <w:rPr>
                <w:rFonts w:hint="eastAsia"/>
                <w:bCs/>
              </w:rPr>
              <w:t>准入信息变更及核验：</w:t>
            </w:r>
            <w:r>
              <w:rPr>
                <w:rFonts w:hint="eastAsia"/>
                <w:bCs/>
              </w:rPr>
              <w:br w:type="textWrapping"/>
            </w:r>
            <w:r>
              <w:rPr>
                <w:rFonts w:hint="eastAsia"/>
                <w:bCs/>
              </w:rPr>
              <w:t>读取已提交申请，企业自行选择参与方身份、开票用票场景（医疗、教育、罚没等）、涉及票据资源（票据列表、票据摘要、票据结构化数据及票据PDF）等信息，并提交变更。</w:t>
            </w:r>
            <w:r>
              <w:rPr>
                <w:rFonts w:hint="eastAsia"/>
                <w:bCs/>
              </w:rPr>
              <w:br w:type="textWrapping"/>
            </w:r>
            <w:r>
              <w:rPr>
                <w:rFonts w:hint="eastAsia"/>
                <w:bCs/>
              </w:rPr>
              <w:t>准入申请/变更查询：</w:t>
            </w:r>
            <w:r>
              <w:rPr>
                <w:rFonts w:hint="eastAsia"/>
                <w:bCs/>
              </w:rPr>
              <w:br w:type="textWrapping"/>
            </w:r>
            <w:r>
              <w:rPr>
                <w:rFonts w:hint="eastAsia"/>
                <w:bCs/>
              </w:rPr>
              <w:t>参与方可以通过页面查询准入申请/变更的列表及详情。</w:t>
            </w:r>
            <w:r>
              <w:rPr>
                <w:rFonts w:hint="eastAsia"/>
                <w:bCs/>
              </w:rPr>
              <w:br w:type="textWrapping"/>
            </w:r>
            <w:r>
              <w:rPr>
                <w:rFonts w:hint="eastAsia"/>
                <w:bCs/>
              </w:rPr>
              <w:t>准入审核 ：</w:t>
            </w:r>
            <w:r>
              <w:rPr>
                <w:rFonts w:hint="eastAsia"/>
                <w:bCs/>
              </w:rPr>
              <w:br w:type="textWrapping"/>
            </w:r>
            <w:r>
              <w:rPr>
                <w:rFonts w:hint="eastAsia"/>
                <w:bCs/>
              </w:rPr>
              <w:t>后台管理员管理所有准入申请：1）通过列表方式展示准入申请，包括已提交、审核中、已通过、已驳回。2）支持后台管理员查看详情，并操作审核动作</w:t>
            </w:r>
            <w:r>
              <w:rPr>
                <w:rFonts w:hint="eastAsia"/>
                <w:bCs/>
              </w:rPr>
              <w:br w:type="textWrapping"/>
            </w:r>
            <w:r>
              <w:rPr>
                <w:rFonts w:hint="eastAsia"/>
                <w:bCs/>
              </w:rPr>
              <w:t>异常流程处理：</w:t>
            </w:r>
            <w:r>
              <w:rPr>
                <w:rFonts w:hint="eastAsia"/>
                <w:bCs/>
              </w:rPr>
              <w:br w:type="textWrapping"/>
            </w:r>
            <w:r>
              <w:rPr>
                <w:rFonts w:hint="eastAsia"/>
                <w:bCs/>
              </w:rPr>
              <w:t>提供异常处理流程，包括重新提交、准入撤回、准入驳回等</w:t>
            </w:r>
          </w:p>
        </w:tc>
      </w:tr>
      <w:tr w14:paraId="6635CAD5">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2D45B41">
            <w:pPr>
              <w:pStyle w:val="61"/>
              <w:widowControl/>
              <w:spacing w:line="240" w:lineRule="auto"/>
              <w:ind w:left="440" w:firstLine="0" w:firstLineChars="0"/>
              <w:rPr>
                <w:rFonts w:cs="Tahoma"/>
                <w:bCs/>
                <w:kern w:val="0"/>
                <w:sz w:val="24"/>
              </w:rPr>
            </w:pPr>
            <w:r>
              <w:rPr>
                <w:rFonts w:hint="eastAsia" w:cs="Tahoma"/>
                <w:bCs/>
                <w:kern w:val="0"/>
                <w:sz w:val="24"/>
              </w:rPr>
              <w:t>28</w:t>
            </w:r>
          </w:p>
        </w:tc>
        <w:tc>
          <w:tcPr>
            <w:tcW w:w="696" w:type="pct"/>
            <w:tcBorders>
              <w:top w:val="single" w:color="auto" w:sz="4" w:space="0"/>
              <w:left w:val="nil"/>
              <w:bottom w:val="single" w:color="auto" w:sz="4" w:space="0"/>
              <w:right w:val="single" w:color="auto" w:sz="4" w:space="0"/>
            </w:tcBorders>
            <w:shd w:val="clear" w:color="auto" w:fill="FFFFFF"/>
            <w:vAlign w:val="center"/>
          </w:tcPr>
          <w:p w14:paraId="468A2AD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5A2E33A">
            <w:pPr>
              <w:widowControl/>
              <w:spacing w:line="240" w:lineRule="auto"/>
              <w:ind w:firstLine="0" w:firstLineChars="0"/>
              <w:jc w:val="center"/>
              <w:rPr>
                <w:bCs/>
              </w:rPr>
            </w:pPr>
            <w:r>
              <w:rPr>
                <w:rFonts w:hint="eastAsia"/>
                <w:bCs/>
              </w:rPr>
              <w:t>分布式上链接入端治理中枢模块-分布式上链接入端准入管理-分布式身份凭证生成</w:t>
            </w:r>
          </w:p>
        </w:tc>
        <w:tc>
          <w:tcPr>
            <w:tcW w:w="2908" w:type="pct"/>
            <w:tcBorders>
              <w:top w:val="single" w:color="000000" w:sz="4" w:space="0"/>
              <w:left w:val="single" w:color="000000" w:sz="4" w:space="0"/>
              <w:bottom w:val="single" w:color="000000" w:sz="4" w:space="0"/>
              <w:right w:val="single" w:color="000000" w:sz="4" w:space="0"/>
            </w:tcBorders>
            <w:vAlign w:val="center"/>
          </w:tcPr>
          <w:p w14:paraId="2580EA90">
            <w:pPr>
              <w:widowControl/>
              <w:spacing w:line="240" w:lineRule="auto"/>
              <w:ind w:firstLine="0" w:firstLineChars="0"/>
              <w:rPr>
                <w:bCs/>
              </w:rPr>
            </w:pPr>
            <w:r>
              <w:rPr>
                <w:rFonts w:hint="eastAsia"/>
                <w:bCs/>
              </w:rPr>
              <w:t>身份凭证生成 "系统会为该业务参与方生成一个接入凭证，该凭证是接入方在开票、用票场景下合法使用系统或服务的凭证，开票、用票业务需要依赖此接入凭证进行身份验证和权限控制。</w:t>
            </w:r>
            <w:r>
              <w:rPr>
                <w:rFonts w:hint="eastAsia"/>
                <w:bCs/>
              </w:rPr>
              <w:br w:type="textWrapping"/>
            </w:r>
            <w:r>
              <w:rPr>
                <w:rFonts w:hint="eastAsia"/>
                <w:bCs/>
              </w:rPr>
              <w:t>接入凭证基于接入端账户、接入端基础信息、票据场景融合生成"</w:t>
            </w:r>
            <w:r>
              <w:rPr>
                <w:rFonts w:hint="eastAsia"/>
                <w:bCs/>
              </w:rPr>
              <w:br w:type="textWrapping"/>
            </w:r>
            <w:r>
              <w:rPr>
                <w:rFonts w:hint="eastAsia"/>
                <w:bCs/>
              </w:rPr>
              <w:t>身份凭证管理 后台管理员可查看所有身份凭证列表及详情。可跟踪凭证状态（有效/过期/吊销），自动发送续期提醒</w:t>
            </w:r>
          </w:p>
        </w:tc>
      </w:tr>
      <w:tr w14:paraId="4DC7750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D33262B">
            <w:pPr>
              <w:pStyle w:val="61"/>
              <w:widowControl/>
              <w:spacing w:line="240" w:lineRule="auto"/>
              <w:ind w:left="440" w:firstLine="0" w:firstLineChars="0"/>
              <w:rPr>
                <w:rFonts w:cs="Tahoma"/>
                <w:bCs/>
                <w:kern w:val="0"/>
                <w:sz w:val="24"/>
              </w:rPr>
            </w:pPr>
            <w:r>
              <w:rPr>
                <w:rFonts w:hint="eastAsia" w:cs="Tahoma"/>
                <w:bCs/>
                <w:kern w:val="0"/>
                <w:sz w:val="24"/>
              </w:rPr>
              <w:t>29</w:t>
            </w:r>
          </w:p>
        </w:tc>
        <w:tc>
          <w:tcPr>
            <w:tcW w:w="696" w:type="pct"/>
            <w:tcBorders>
              <w:top w:val="single" w:color="auto" w:sz="4" w:space="0"/>
              <w:left w:val="nil"/>
              <w:bottom w:val="single" w:color="auto" w:sz="4" w:space="0"/>
              <w:right w:val="single" w:color="auto" w:sz="4" w:space="0"/>
            </w:tcBorders>
            <w:shd w:val="clear" w:color="auto" w:fill="FFFFFF"/>
            <w:vAlign w:val="center"/>
          </w:tcPr>
          <w:p w14:paraId="6371695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9C226A8">
            <w:pPr>
              <w:widowControl/>
              <w:spacing w:line="240" w:lineRule="auto"/>
              <w:ind w:firstLine="0" w:firstLineChars="0"/>
              <w:jc w:val="center"/>
              <w:rPr>
                <w:bCs/>
              </w:rPr>
            </w:pPr>
            <w:r>
              <w:rPr>
                <w:rFonts w:hint="eastAsia"/>
                <w:bCs/>
              </w:rPr>
              <w:t>分布式上链接入端治理中枢模块-分布式上链接入端准入管理-分布式接入端激活体系</w:t>
            </w:r>
          </w:p>
        </w:tc>
        <w:tc>
          <w:tcPr>
            <w:tcW w:w="2908" w:type="pct"/>
            <w:tcBorders>
              <w:top w:val="single" w:color="000000" w:sz="4" w:space="0"/>
              <w:left w:val="single" w:color="000000" w:sz="4" w:space="0"/>
              <w:bottom w:val="single" w:color="000000" w:sz="4" w:space="0"/>
              <w:right w:val="single" w:color="000000" w:sz="4" w:space="0"/>
            </w:tcBorders>
            <w:vAlign w:val="center"/>
          </w:tcPr>
          <w:p w14:paraId="622AC8C6">
            <w:pPr>
              <w:widowControl/>
              <w:spacing w:line="240" w:lineRule="auto"/>
              <w:ind w:firstLine="0" w:firstLineChars="0"/>
              <w:rPr>
                <w:bCs/>
              </w:rPr>
            </w:pPr>
            <w:r>
              <w:rPr>
                <w:rFonts w:hint="eastAsia"/>
                <w:bCs/>
              </w:rPr>
              <w:t>激活码生成及管理 "激活码生成：提供单次生成与批量生成能力，允许通过可视化界面灵活配置激活码规则，包括字符集、长度、分隔符格式，并支持绑定业务属性（（如产品版本、有效期、使用次数））。激活生成逻辑包含规则模版调用、字符串拼接、编码转换。激活码动态参数配置与绑定，支持固定值（如企业分布式身份标识）、动态值（调用随机数生成）、其他值（准入用户信息等）。支持激活码校验，对激活码格式、激活码唯一性进行校验。生成后的激活码自动存储并支持多维度查询、批量导出及作废管理。支持防碰撞机制和防爆破设计，确保高强度随机性与安全性。</w:t>
            </w:r>
            <w:r>
              <w:rPr>
                <w:rFonts w:hint="eastAsia"/>
                <w:bCs/>
              </w:rPr>
              <w:br w:type="textWrapping"/>
            </w:r>
            <w:r>
              <w:rPr>
                <w:rFonts w:hint="eastAsia"/>
                <w:bCs/>
              </w:rPr>
              <w:t>激活码生命周期管理：状态追踪：实时监控激活码的基础状态（未激活/已激活/已失效）与衍生状态（如临近过期、次数耗尽），通过可视化看板动态展示分布比例，支持按产品版本、批次或时间段多维筛选，实现状态全局可视化管理。失效机制：支持四类失效触发：有效期到期自动失效、风控异常行为（如多地IP激活）冻结、人工批量手动作废、业务解绑（设备更换）废弃；同时提供审批恢复机制，允许误操作后还原至未激活状态。使用溯源：完整记录激活信息（时间/IP/设备指纹/用户账号）及使用行为（按次功能调用记录、设备换绑历史），输入任一激活码可穿透查询全生命周期轨迹（从生成到失效的全链路日志）。自动化治理：集成智能策略，自动推送临近过期预警至用户、定期归档失效超1年的数据、突发大规模失效时触发告警通知管理员，减少人工干预成本。"</w:t>
            </w:r>
            <w:r>
              <w:rPr>
                <w:rFonts w:hint="eastAsia"/>
                <w:bCs/>
              </w:rPr>
              <w:br w:type="textWrapping"/>
            </w:r>
            <w:r>
              <w:rPr>
                <w:rFonts w:hint="eastAsia"/>
                <w:bCs/>
              </w:rPr>
              <w:t>激活码下发 "后台根据准入信息调用激活码生成器生成激活码，并下发至参与方账户。参与方登录后可查看激活码；激活码使用后触发失效模块。</w:t>
            </w:r>
            <w:r>
              <w:rPr>
                <w:rFonts w:hint="eastAsia"/>
                <w:bCs/>
              </w:rPr>
              <w:br w:type="textWrapping"/>
            </w:r>
            <w:r>
              <w:rPr>
                <w:rFonts w:hint="eastAsia"/>
                <w:bCs/>
              </w:rPr>
              <w:t>激活码失效：销毁激活码对应标识和信息，记录失效事件"</w:t>
            </w:r>
          </w:p>
        </w:tc>
      </w:tr>
      <w:tr w14:paraId="30D5BC05">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26DDE0A">
            <w:pPr>
              <w:pStyle w:val="61"/>
              <w:widowControl/>
              <w:spacing w:line="240" w:lineRule="auto"/>
              <w:ind w:left="440" w:firstLine="0" w:firstLineChars="0"/>
              <w:rPr>
                <w:rFonts w:cs="Tahoma"/>
                <w:bCs/>
                <w:kern w:val="0"/>
                <w:sz w:val="24"/>
              </w:rPr>
            </w:pPr>
            <w:r>
              <w:rPr>
                <w:rFonts w:hint="eastAsia" w:cs="Tahoma"/>
                <w:bCs/>
                <w:kern w:val="0"/>
                <w:sz w:val="24"/>
              </w:rPr>
              <w:t>30</w:t>
            </w:r>
          </w:p>
        </w:tc>
        <w:tc>
          <w:tcPr>
            <w:tcW w:w="696" w:type="pct"/>
            <w:tcBorders>
              <w:top w:val="single" w:color="auto" w:sz="4" w:space="0"/>
              <w:left w:val="nil"/>
              <w:bottom w:val="single" w:color="auto" w:sz="4" w:space="0"/>
              <w:right w:val="single" w:color="auto" w:sz="4" w:space="0"/>
            </w:tcBorders>
            <w:shd w:val="clear" w:color="auto" w:fill="FFFFFF"/>
            <w:vAlign w:val="center"/>
          </w:tcPr>
          <w:p w14:paraId="5AF287E4">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D80AC1C">
            <w:pPr>
              <w:widowControl/>
              <w:spacing w:line="240" w:lineRule="auto"/>
              <w:ind w:firstLine="0" w:firstLineChars="0"/>
              <w:jc w:val="center"/>
              <w:rPr>
                <w:bCs/>
              </w:rPr>
            </w:pPr>
            <w:r>
              <w:rPr>
                <w:rFonts w:hint="eastAsia"/>
                <w:bCs/>
              </w:rPr>
              <w:t>分布式上链接入端治理中枢模块-分布式上链接入端准入管理-分布式接入端涉链配置文件自动生成-涉链交互配置文件自动生成及下载</w:t>
            </w:r>
          </w:p>
        </w:tc>
        <w:tc>
          <w:tcPr>
            <w:tcW w:w="2908" w:type="pct"/>
            <w:tcBorders>
              <w:top w:val="single" w:color="000000" w:sz="4" w:space="0"/>
              <w:left w:val="single" w:color="000000" w:sz="4" w:space="0"/>
              <w:bottom w:val="single" w:color="000000" w:sz="4" w:space="0"/>
              <w:right w:val="single" w:color="000000" w:sz="4" w:space="0"/>
            </w:tcBorders>
            <w:vAlign w:val="center"/>
          </w:tcPr>
          <w:p w14:paraId="19EC98B7">
            <w:pPr>
              <w:widowControl/>
              <w:spacing w:line="240" w:lineRule="auto"/>
              <w:ind w:firstLine="0" w:firstLineChars="0"/>
              <w:rPr>
                <w:bCs/>
              </w:rPr>
            </w:pPr>
            <w:r>
              <w:rPr>
                <w:rFonts w:hint="eastAsia"/>
                <w:bCs/>
              </w:rPr>
              <w:t>根据参与方准入场景、身份信息、审核状态等内容，初始化涉链配置文件，包含：</w:t>
            </w:r>
            <w:r>
              <w:rPr>
                <w:rFonts w:hint="eastAsia"/>
                <w:bCs/>
              </w:rPr>
              <w:br w:type="textWrapping"/>
            </w:r>
            <w:r>
              <w:rPr>
                <w:rFonts w:hint="eastAsia"/>
                <w:bCs/>
              </w:rPr>
              <w:t>1）初始化配置文件生成：对于节点证书配置、上链签名地址配置、初始化参数配置；</w:t>
            </w:r>
            <w:r>
              <w:rPr>
                <w:rFonts w:hint="eastAsia"/>
                <w:bCs/>
              </w:rPr>
              <w:br w:type="textWrapping"/>
            </w:r>
            <w:r>
              <w:rPr>
                <w:rFonts w:hint="eastAsia"/>
                <w:bCs/>
              </w:rPr>
              <w:t>2）在涉链模块初始化过程中配置区块链节点成员证书，涉链模块配置</w:t>
            </w:r>
            <w:r>
              <w:rPr>
                <w:rFonts w:hint="eastAsia"/>
                <w:bCs/>
              </w:rPr>
              <w:br w:type="textWrapping"/>
            </w:r>
            <w:r>
              <w:rPr>
                <w:rFonts w:hint="eastAsia"/>
                <w:bCs/>
              </w:rPr>
              <w:t>3）链数稽核模块配置初始化</w:t>
            </w:r>
            <w:r>
              <w:rPr>
                <w:rFonts w:hint="eastAsia"/>
                <w:bCs/>
              </w:rPr>
              <w:br w:type="textWrapping"/>
            </w:r>
            <w:r>
              <w:rPr>
                <w:rFonts w:hint="eastAsia"/>
                <w:bCs/>
              </w:rPr>
              <w:t>4）支持生成的配置文件参与方可进行下载后导入业务接入端，避免通过后台进行逐条策略配置</w:t>
            </w:r>
          </w:p>
        </w:tc>
      </w:tr>
      <w:tr w14:paraId="58D90CF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F05136B">
            <w:pPr>
              <w:pStyle w:val="61"/>
              <w:widowControl/>
              <w:spacing w:line="240" w:lineRule="auto"/>
              <w:ind w:left="440" w:firstLine="0" w:firstLineChars="0"/>
              <w:rPr>
                <w:rFonts w:cs="Tahoma"/>
                <w:bCs/>
                <w:kern w:val="0"/>
                <w:sz w:val="24"/>
              </w:rPr>
            </w:pPr>
            <w:r>
              <w:rPr>
                <w:rFonts w:hint="eastAsia" w:cs="Tahoma"/>
                <w:bCs/>
                <w:kern w:val="0"/>
                <w:sz w:val="24"/>
              </w:rPr>
              <w:t>31</w:t>
            </w:r>
          </w:p>
        </w:tc>
        <w:tc>
          <w:tcPr>
            <w:tcW w:w="696" w:type="pct"/>
            <w:tcBorders>
              <w:top w:val="single" w:color="auto" w:sz="4" w:space="0"/>
              <w:left w:val="nil"/>
              <w:bottom w:val="single" w:color="auto" w:sz="4" w:space="0"/>
              <w:right w:val="single" w:color="auto" w:sz="4" w:space="0"/>
            </w:tcBorders>
            <w:shd w:val="clear" w:color="auto" w:fill="FFFFFF"/>
            <w:vAlign w:val="center"/>
          </w:tcPr>
          <w:p w14:paraId="08CD7B7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BE2C6B7">
            <w:pPr>
              <w:widowControl/>
              <w:spacing w:line="240" w:lineRule="auto"/>
              <w:ind w:firstLine="0" w:firstLineChars="0"/>
              <w:jc w:val="center"/>
              <w:rPr>
                <w:bCs/>
              </w:rPr>
            </w:pPr>
            <w:r>
              <w:rPr>
                <w:rFonts w:hint="eastAsia"/>
                <w:bCs/>
              </w:rPr>
              <w:t>分布式上链接入端治理中枢模块-分布式接入端节点管理-业务接入端设备管理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00FBE8C2">
            <w:pPr>
              <w:widowControl/>
              <w:spacing w:line="240" w:lineRule="auto"/>
              <w:ind w:firstLine="0" w:firstLineChars="0"/>
              <w:rPr>
                <w:bCs/>
              </w:rPr>
            </w:pPr>
            <w:r>
              <w:rPr>
                <w:rFonts w:hint="eastAsia"/>
                <w:bCs/>
              </w:rPr>
              <w:t>接入方用户登录系统后，能够在设备管理模块中查看到自身所拥有或管理的全部设备列表。列表中通常会展示设备的基本标识信息，如设备编号、设备名称等，方便用户快速识别和定位设备。</w:t>
            </w:r>
            <w:r>
              <w:rPr>
                <w:rFonts w:hint="eastAsia"/>
                <w:bCs/>
              </w:rPr>
              <w:br w:type="textWrapping"/>
            </w:r>
            <w:r>
              <w:rPr>
                <w:rFonts w:hint="eastAsia"/>
                <w:bCs/>
              </w:rPr>
              <w:t>对于设备列表中的每一个设备，用户可以点击进入查看该设备的详细信息页面。在设备详情页面中，详情信息包括设备编号、设备名称、设备类型、设备配置信息、设备所有方信息、设备激活状态、设备健康状态</w:t>
            </w:r>
          </w:p>
        </w:tc>
      </w:tr>
      <w:tr w14:paraId="7228ABD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B2D39F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580CA6E">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2740501">
            <w:pPr>
              <w:widowControl/>
              <w:spacing w:line="240" w:lineRule="auto"/>
              <w:ind w:firstLine="0" w:firstLineChars="0"/>
              <w:jc w:val="center"/>
              <w:rPr>
                <w:bCs/>
              </w:rPr>
            </w:pPr>
            <w:r>
              <w:rPr>
                <w:rFonts w:hint="eastAsia"/>
                <w:bCs/>
              </w:rPr>
              <w:t>分布式上链接入端治理中枢模块-分布式接入端节点管理-业务接入端设备激活服务</w:t>
            </w:r>
          </w:p>
        </w:tc>
        <w:tc>
          <w:tcPr>
            <w:tcW w:w="2908" w:type="pct"/>
            <w:tcBorders>
              <w:top w:val="single" w:color="000000" w:sz="4" w:space="0"/>
              <w:left w:val="single" w:color="000000" w:sz="4" w:space="0"/>
              <w:bottom w:val="single" w:color="000000" w:sz="4" w:space="0"/>
              <w:right w:val="single" w:color="000000" w:sz="4" w:space="0"/>
            </w:tcBorders>
            <w:vAlign w:val="center"/>
          </w:tcPr>
          <w:p w14:paraId="0AAABB94">
            <w:pPr>
              <w:widowControl/>
              <w:spacing w:line="240" w:lineRule="auto"/>
              <w:ind w:firstLine="0" w:firstLineChars="0"/>
              <w:rPr>
                <w:bCs/>
              </w:rPr>
            </w:pPr>
            <w:r>
              <w:rPr>
                <w:rFonts w:hint="eastAsia"/>
                <w:bCs/>
              </w:rPr>
              <w:t>业务接入端输入激活码后，进行初始化及设备激活。</w:t>
            </w:r>
            <w:r>
              <w:rPr>
                <w:rFonts w:hint="eastAsia"/>
                <w:bCs/>
              </w:rPr>
              <w:br w:type="textWrapping"/>
            </w:r>
            <w:r>
              <w:rPr>
                <w:rFonts w:hint="eastAsia"/>
                <w:bCs/>
              </w:rPr>
              <w:t>1)服务平台提供激活码真实性校验、激活码失效管理。</w:t>
            </w:r>
            <w:r>
              <w:rPr>
                <w:rFonts w:hint="eastAsia"/>
                <w:bCs/>
              </w:rPr>
              <w:br w:type="textWrapping"/>
            </w:r>
            <w:r>
              <w:rPr>
                <w:rFonts w:hint="eastAsia"/>
                <w:bCs/>
              </w:rPr>
              <w:t>2）接入端信息登记能力，包括设备IP信息、设备端口号、设备基本信息，绑定设备地址和设备分布式身份标识、激活码信息。</w:t>
            </w:r>
          </w:p>
        </w:tc>
      </w:tr>
      <w:tr w14:paraId="6D49CD1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55B7C6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06EA8C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7355A0E">
            <w:pPr>
              <w:widowControl/>
              <w:spacing w:line="240" w:lineRule="auto"/>
              <w:ind w:firstLine="0" w:firstLineChars="0"/>
              <w:jc w:val="center"/>
              <w:rPr>
                <w:bCs/>
              </w:rPr>
            </w:pPr>
            <w:r>
              <w:rPr>
                <w:rFonts w:hint="eastAsia"/>
                <w:bCs/>
              </w:rPr>
              <w:t>分布式上链接入端治理中枢模块-分布式接入端节点管理-分布式身份凭证下发和管理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4C2459C7">
            <w:pPr>
              <w:widowControl/>
              <w:spacing w:line="240" w:lineRule="auto"/>
              <w:ind w:firstLine="0" w:firstLineChars="0"/>
              <w:rPr>
                <w:bCs/>
              </w:rPr>
            </w:pPr>
            <w:r>
              <w:rPr>
                <w:rFonts w:hint="eastAsia"/>
                <w:bCs/>
              </w:rPr>
              <w:t>身份凭证下发：业务接入端激活成功后，服务平台下发参与方身份凭证至设备，设备侧自动完成业务场景配置。</w:t>
            </w:r>
            <w:r>
              <w:rPr>
                <w:rFonts w:hint="eastAsia"/>
                <w:bCs/>
              </w:rPr>
              <w:br w:type="textWrapping"/>
            </w:r>
            <w:r>
              <w:rPr>
                <w:rFonts w:hint="eastAsia"/>
                <w:bCs/>
              </w:rPr>
              <w:t>身份凭证下发管理：提供管理功能，支持后台管理员查看所有身份凭证下发情况。针对失败的身份凭证下发，提供手动下发能力。</w:t>
            </w:r>
          </w:p>
        </w:tc>
      </w:tr>
      <w:tr w14:paraId="421AFA95">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B144346">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667145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4A152D4">
            <w:pPr>
              <w:widowControl/>
              <w:spacing w:line="240" w:lineRule="auto"/>
              <w:ind w:firstLine="0" w:firstLineChars="0"/>
              <w:jc w:val="center"/>
              <w:rPr>
                <w:bCs/>
              </w:rPr>
            </w:pPr>
            <w:r>
              <w:rPr>
                <w:rFonts w:hint="eastAsia"/>
                <w:bCs/>
              </w:rPr>
              <w:t>分布式上链接入端治理中枢模块-分布式接入端节点管理-数据传输与加密通道</w:t>
            </w:r>
          </w:p>
        </w:tc>
        <w:tc>
          <w:tcPr>
            <w:tcW w:w="2908" w:type="pct"/>
            <w:tcBorders>
              <w:top w:val="single" w:color="000000" w:sz="4" w:space="0"/>
              <w:left w:val="single" w:color="000000" w:sz="4" w:space="0"/>
              <w:bottom w:val="single" w:color="000000" w:sz="4" w:space="0"/>
              <w:right w:val="single" w:color="000000" w:sz="4" w:space="0"/>
            </w:tcBorders>
            <w:vAlign w:val="center"/>
          </w:tcPr>
          <w:p w14:paraId="563AA8CD">
            <w:pPr>
              <w:widowControl/>
              <w:spacing w:line="240" w:lineRule="auto"/>
              <w:ind w:firstLine="0" w:firstLineChars="0"/>
              <w:rPr>
                <w:bCs/>
              </w:rPr>
            </w:pPr>
            <w:r>
              <w:rPr>
                <w:rFonts w:hint="eastAsia"/>
                <w:bCs/>
              </w:rPr>
              <w:t>建立业务接入端与财票链服务平台的加密通信通道，进行双向认证。</w:t>
            </w:r>
          </w:p>
        </w:tc>
      </w:tr>
      <w:tr w14:paraId="316E02E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0E14A9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65D952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CBE5F20">
            <w:pPr>
              <w:widowControl/>
              <w:spacing w:line="240" w:lineRule="auto"/>
              <w:ind w:firstLine="0" w:firstLineChars="0"/>
              <w:jc w:val="center"/>
              <w:rPr>
                <w:bCs/>
              </w:rPr>
            </w:pPr>
            <w:r>
              <w:rPr>
                <w:rFonts w:hint="eastAsia"/>
                <w:bCs/>
              </w:rPr>
              <w:t>分布式上链接入端治理中枢模块-中枢及分布式节点组网管理-组网支撑及展示能力</w:t>
            </w:r>
          </w:p>
        </w:tc>
        <w:tc>
          <w:tcPr>
            <w:tcW w:w="2908" w:type="pct"/>
            <w:tcBorders>
              <w:top w:val="single" w:color="000000" w:sz="4" w:space="0"/>
              <w:left w:val="single" w:color="000000" w:sz="4" w:space="0"/>
              <w:bottom w:val="single" w:color="000000" w:sz="4" w:space="0"/>
              <w:right w:val="single" w:color="000000" w:sz="4" w:space="0"/>
            </w:tcBorders>
            <w:vAlign w:val="center"/>
          </w:tcPr>
          <w:p w14:paraId="09AE0E08">
            <w:pPr>
              <w:widowControl/>
              <w:spacing w:line="240" w:lineRule="auto"/>
              <w:ind w:firstLine="0" w:firstLineChars="0"/>
              <w:rPr>
                <w:bCs/>
              </w:rPr>
            </w:pPr>
            <w:r>
              <w:rPr>
                <w:rFonts w:hint="eastAsia"/>
                <w:bCs/>
              </w:rPr>
              <w:t>组网支撑能力：业务接入端激活、完成身份凭证配置及建立加密通道后，自动按场景等策略实现组网。服务平台需提供组网所需要的路由表等组网支撑能力。各业务接入端与服务平台组建财政票据空间网络。</w:t>
            </w:r>
            <w:r>
              <w:rPr>
                <w:rFonts w:hint="eastAsia"/>
                <w:bCs/>
              </w:rPr>
              <w:br w:type="textWrapping"/>
            </w:r>
            <w:r>
              <w:rPr>
                <w:rFonts w:hint="eastAsia"/>
                <w:bCs/>
              </w:rPr>
              <w:t>组网情况展示：提供后台管理员查看组网情况，采用图形化方式展示。</w:t>
            </w:r>
          </w:p>
        </w:tc>
      </w:tr>
      <w:tr w14:paraId="235346D8">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324975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7BBB1B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CC029D5">
            <w:pPr>
              <w:widowControl/>
              <w:spacing w:line="240" w:lineRule="auto"/>
              <w:ind w:firstLine="0" w:firstLineChars="0"/>
              <w:jc w:val="center"/>
              <w:rPr>
                <w:bCs/>
              </w:rPr>
            </w:pPr>
            <w:r>
              <w:rPr>
                <w:rFonts w:hint="eastAsia"/>
                <w:bCs/>
              </w:rPr>
              <w:t>分布式上链接入端治理中枢模块-分布式接入端版本管理-版本控制与管理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1C7F6945">
            <w:pPr>
              <w:widowControl/>
              <w:spacing w:line="240" w:lineRule="auto"/>
              <w:ind w:firstLine="0" w:firstLineChars="0"/>
              <w:rPr>
                <w:bCs/>
              </w:rPr>
            </w:pPr>
            <w:r>
              <w:rPr>
                <w:rFonts w:hint="eastAsia"/>
                <w:bCs/>
              </w:rPr>
              <w:t>版本追踪与记录：追踪数据空间连接器的每个版本，记录每次更改的详细信息，包括更改内容、时间、开发者等。提供版本历史查看功能，使接入端能够回溯到之前的版本。记录版本号、发布时间、适用业务接入端设备、依赖关系、校验值、软件签名等。</w:t>
            </w:r>
            <w:r>
              <w:rPr>
                <w:rFonts w:hint="eastAsia"/>
                <w:bCs/>
              </w:rPr>
              <w:br w:type="textWrapping"/>
            </w:r>
            <w:r>
              <w:rPr>
                <w:rFonts w:hint="eastAsia"/>
                <w:bCs/>
              </w:rPr>
              <w:t>版本仓库管理：提供一个版本仓库，用于存储服务端软件的源代码和版本信息。支持版本代码的提交、查看、比较和还原等操作。</w:t>
            </w:r>
            <w:r>
              <w:rPr>
                <w:rFonts w:hint="eastAsia"/>
                <w:bCs/>
              </w:rPr>
              <w:br w:type="textWrapping"/>
            </w:r>
            <w:r>
              <w:rPr>
                <w:rFonts w:hint="eastAsia"/>
                <w:bCs/>
              </w:rPr>
              <w:t>版本安全及访问控制：对业务接入端的版本进行安全保护，防止未经授权的访问和修改。</w:t>
            </w:r>
            <w:r>
              <w:rPr>
                <w:rFonts w:hint="eastAsia"/>
                <w:bCs/>
              </w:rPr>
              <w:br w:type="textWrapping"/>
            </w:r>
            <w:r>
              <w:rPr>
                <w:rFonts w:hint="eastAsia"/>
                <w:bCs/>
              </w:rPr>
              <w:t>提供访问控制功能，根据用户角色和权限限制对版本的访问和操作。</w:t>
            </w:r>
          </w:p>
        </w:tc>
      </w:tr>
      <w:tr w14:paraId="3B609A1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A315F1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F97063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49F99C4">
            <w:pPr>
              <w:widowControl/>
              <w:spacing w:line="240" w:lineRule="auto"/>
              <w:ind w:firstLine="0" w:firstLineChars="0"/>
              <w:jc w:val="center"/>
              <w:rPr>
                <w:bCs/>
              </w:rPr>
            </w:pPr>
            <w:r>
              <w:rPr>
                <w:rFonts w:hint="eastAsia"/>
                <w:bCs/>
              </w:rPr>
              <w:t>分布式上链接入端治理中枢模块-分布式接入端版本管理-分组化升级任务创建-分组化升级任务创建</w:t>
            </w:r>
          </w:p>
        </w:tc>
        <w:tc>
          <w:tcPr>
            <w:tcW w:w="2908" w:type="pct"/>
            <w:tcBorders>
              <w:top w:val="single" w:color="000000" w:sz="4" w:space="0"/>
              <w:left w:val="single" w:color="000000" w:sz="4" w:space="0"/>
              <w:bottom w:val="single" w:color="000000" w:sz="4" w:space="0"/>
              <w:right w:val="single" w:color="000000" w:sz="4" w:space="0"/>
            </w:tcBorders>
            <w:vAlign w:val="center"/>
          </w:tcPr>
          <w:p w14:paraId="02BC7CDE">
            <w:pPr>
              <w:widowControl/>
              <w:spacing w:line="240" w:lineRule="auto"/>
              <w:ind w:firstLine="0" w:firstLineChars="0"/>
              <w:rPr>
                <w:bCs/>
              </w:rPr>
            </w:pPr>
            <w:r>
              <w:rPr>
                <w:rFonts w:hint="eastAsia"/>
                <w:bCs/>
              </w:rPr>
              <w:t>支持管理员根据业务类型、区域等维度对前置机进行灵活分组，并基于选定分组精准创建升级任务，实现针对不同业务场景的定制化升级策略；同时提供实时可视化的升级进度监控仪表盘，清晰展示任务整体及单个设备的状态（待升级/升级中/已完成/失败），并允许深入查看失败设备的详细错误信息，便于快速定位和解决问题。</w:t>
            </w:r>
          </w:p>
        </w:tc>
      </w:tr>
      <w:tr w14:paraId="7521FDC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323D2C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756FBA4">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07B77ED">
            <w:pPr>
              <w:widowControl/>
              <w:spacing w:line="240" w:lineRule="auto"/>
              <w:ind w:firstLine="0" w:firstLineChars="0"/>
              <w:jc w:val="center"/>
              <w:rPr>
                <w:bCs/>
              </w:rPr>
            </w:pPr>
            <w:r>
              <w:rPr>
                <w:rFonts w:hint="eastAsia"/>
                <w:bCs/>
              </w:rPr>
              <w:t>分布式上链接入端治理中枢模块-分布式接入端版本管理-分组化升级任务创建-升级策略配置</w:t>
            </w:r>
          </w:p>
        </w:tc>
        <w:tc>
          <w:tcPr>
            <w:tcW w:w="2908" w:type="pct"/>
            <w:tcBorders>
              <w:top w:val="single" w:color="000000" w:sz="4" w:space="0"/>
              <w:left w:val="single" w:color="000000" w:sz="4" w:space="0"/>
              <w:bottom w:val="single" w:color="000000" w:sz="4" w:space="0"/>
              <w:right w:val="single" w:color="000000" w:sz="4" w:space="0"/>
            </w:tcBorders>
            <w:vAlign w:val="center"/>
          </w:tcPr>
          <w:p w14:paraId="4E59CA73">
            <w:pPr>
              <w:widowControl/>
              <w:spacing w:line="240" w:lineRule="auto"/>
              <w:ind w:firstLine="0" w:firstLineChars="0"/>
              <w:rPr>
                <w:bCs/>
              </w:rPr>
            </w:pPr>
            <w:r>
              <w:rPr>
                <w:rFonts w:hint="eastAsia"/>
                <w:bCs/>
              </w:rPr>
              <w:t>提供高度灵活的升级执行策略配置能力，支持管理员根据实际需求选择 立即执行（任务创建后即刻触发）、定时执行（在指定时间点自动启动）或 分批次执行（按设备数量/百分比/自定义列表划分批次，并可设置批次间隔时间和依赖关系），以满足不同业务窗口期、资源限制和风险控制的要求，确保升级过程平滑可控。</w:t>
            </w:r>
          </w:p>
        </w:tc>
      </w:tr>
      <w:tr w14:paraId="4A10C15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19557F4">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1495AA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F8E6FF7">
            <w:pPr>
              <w:widowControl/>
              <w:spacing w:line="240" w:lineRule="auto"/>
              <w:ind w:firstLine="0" w:firstLineChars="0"/>
              <w:jc w:val="center"/>
              <w:rPr>
                <w:bCs/>
              </w:rPr>
            </w:pPr>
            <w:r>
              <w:rPr>
                <w:rFonts w:hint="eastAsia"/>
                <w:bCs/>
              </w:rPr>
              <w:t>分布式上链接入端治理中枢模块-分布式接入端版本管理-分组化升级任务创建-升级断点续传</w:t>
            </w:r>
          </w:p>
        </w:tc>
        <w:tc>
          <w:tcPr>
            <w:tcW w:w="2908" w:type="pct"/>
            <w:tcBorders>
              <w:top w:val="single" w:color="000000" w:sz="4" w:space="0"/>
              <w:left w:val="single" w:color="000000" w:sz="4" w:space="0"/>
              <w:bottom w:val="single" w:color="000000" w:sz="4" w:space="0"/>
              <w:right w:val="single" w:color="000000" w:sz="4" w:space="0"/>
            </w:tcBorders>
            <w:vAlign w:val="center"/>
          </w:tcPr>
          <w:p w14:paraId="077AD3D0">
            <w:pPr>
              <w:widowControl/>
              <w:spacing w:line="240" w:lineRule="auto"/>
              <w:ind w:firstLine="0" w:firstLineChars="0"/>
              <w:rPr>
                <w:bCs/>
              </w:rPr>
            </w:pPr>
            <w:r>
              <w:rPr>
                <w:rFonts w:hint="eastAsia"/>
                <w:bCs/>
              </w:rPr>
              <w:t>支持升级包传输过程中引入分片下载、校验及断点记录机制，确保在网络不稳定或意外中断发生时，前置机能够从中断点自动恢复下载并对完整性进行最终校验，避免已传输数据的丢失和重复传输，极大提升了升级过程在网络波动环境下的可靠性和整体执行效率，保障升级任务的成功率。</w:t>
            </w:r>
          </w:p>
        </w:tc>
      </w:tr>
      <w:tr w14:paraId="33A204B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AC5D3F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54C1A07">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5523CED">
            <w:pPr>
              <w:widowControl/>
              <w:spacing w:line="240" w:lineRule="auto"/>
              <w:ind w:firstLine="0" w:firstLineChars="0"/>
              <w:jc w:val="center"/>
              <w:rPr>
                <w:bCs/>
              </w:rPr>
            </w:pPr>
            <w:r>
              <w:rPr>
                <w:rFonts w:hint="eastAsia"/>
                <w:bCs/>
              </w:rPr>
              <w:t>分布式上链接入端治理中枢模块-分布式接入端版本管理-版本发布与更新</w:t>
            </w:r>
          </w:p>
        </w:tc>
        <w:tc>
          <w:tcPr>
            <w:tcW w:w="2908" w:type="pct"/>
            <w:tcBorders>
              <w:top w:val="single" w:color="000000" w:sz="4" w:space="0"/>
              <w:left w:val="single" w:color="000000" w:sz="4" w:space="0"/>
              <w:bottom w:val="single" w:color="000000" w:sz="4" w:space="0"/>
              <w:right w:val="single" w:color="000000" w:sz="4" w:space="0"/>
            </w:tcBorders>
            <w:vAlign w:val="center"/>
          </w:tcPr>
          <w:p w14:paraId="52EF7ECD">
            <w:pPr>
              <w:widowControl/>
              <w:spacing w:line="240" w:lineRule="auto"/>
              <w:ind w:firstLine="0" w:firstLineChars="0"/>
              <w:rPr>
                <w:bCs/>
              </w:rPr>
            </w:pPr>
            <w:r>
              <w:rPr>
                <w:rFonts w:hint="eastAsia"/>
                <w:bCs/>
              </w:rPr>
              <w:t>版本发布与更新管理 ：该功能负责业务接入端软件版本的全生命周期管理，涵盖新版本的上线、测试、发布、通知及更新策略控制。管理员首先在平台上传新版本安装包/升级包，并配置其兼容性矩阵（如支持的旧版本范围、依赖项）。版本需经过测试环境验证后，方可设置发布状态（如“灰度发布”、“正式发布”）。平台根据发布状态和配置的更新策略（强制更新/推荐更新），自动或手动触发更新通知（通过平台消息中心、邮件、或集成到客户端自身通知机制），告知用户有新版本可用，并说明更新内容和操作指引。对于强制更新，平台会阻止旧版本继续接入核心业务或限制功能，直至用户完成升级；推荐更新则允许用户选择在合适时机升级。核心在于确保新版本的平稳过渡、严格兼容性检查，并通过差异化的更新策略控制推动升级进程，同时提供清晰的用户沟通渠道。</w:t>
            </w:r>
            <w:r>
              <w:rPr>
                <w:rFonts w:hint="eastAsia"/>
                <w:bCs/>
              </w:rPr>
              <w:br w:type="textWrapping"/>
            </w:r>
            <w:r>
              <w:rPr>
                <w:rFonts w:hint="eastAsia"/>
                <w:bCs/>
              </w:rPr>
              <w:t>升级远程版本推送（OTA）：该功能提供安全、可靠、高效的远程无线升级（Over-the-Air）能力，实现业务接入端版本的无缝远程更新。实现逻辑上：平台管理员选定目标设备或分组，并指定待推送的目标版本后，系统基于分组化升级任务管理模块创建OTA升级任务（复用其分组、策略、断点续传能力）。升级指令和元数据（版本信息、下载URL、校验码）通过安全通道（如HTTPS + 双向认证） 下发至目标设备。设备端OTA客户端接收到指令后，根据策略启动后台下载（利用断点续传机制保障网络波动下的可靠性），下载完成后进行包完整性校验（如校验MD5/SHA256） 和签名验证以确保来源可信及内容未篡改。验证通过后，客户端执行静默安装或引导式安装（取决于配置），并在完成后重启（若需要）或激活新版本。整个过程状态（下载进度、安装结果、成功/失败）实时回传平台监控。核心在于利用平台已有的任务管理和传输能力，结合端侧的安全校验与安装引擎，实现端到端的自动化、无人值守的远程升级体验，显著提升运维效率。</w:t>
            </w:r>
            <w:r>
              <w:rPr>
                <w:rFonts w:hint="eastAsia"/>
                <w:bCs/>
              </w:rPr>
              <w:br w:type="textWrapping"/>
            </w:r>
            <w:r>
              <w:rPr>
                <w:rFonts w:hint="eastAsia"/>
                <w:bCs/>
              </w:rPr>
              <w:t>一键升级回滚、升级版本校验和监测：一键升级回滚：支持在升级任务执行中或完成后检测到严重业务故障时，允许管理员一键触发全自动化回滚流程，将业务接入端批量回退至升级前的稳定版本，最大限度缩短业务中断时间，整体包含回滚包预埋机制、回滚指令下发、自动化回滚执行、业务连续性保障等。升级版本校验和监测：对业务接入端的软件版本进行实时监测，确保用户能够及时了解并处理版本更新情况，避免因版本落后导致的安全漏洞和功能缺失。提供版本校验能力，通过升级包与业务接入端升级获取软件包特征值比对，确保版本一致。</w:t>
            </w:r>
          </w:p>
        </w:tc>
      </w:tr>
      <w:tr w14:paraId="563F889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0FD449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F7D4EE3">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1D9F205">
            <w:pPr>
              <w:widowControl/>
              <w:spacing w:line="240" w:lineRule="auto"/>
              <w:ind w:firstLine="0" w:firstLineChars="0"/>
              <w:jc w:val="center"/>
              <w:rPr>
                <w:bCs/>
              </w:rPr>
            </w:pPr>
            <w:r>
              <w:rPr>
                <w:rFonts w:hint="eastAsia"/>
                <w:bCs/>
              </w:rPr>
              <w:t>分布式上链接入端治理中枢模块-财票链票据应用策略-财票链票据业务</w:t>
            </w:r>
            <w:r>
              <w:rPr>
                <w:rFonts w:hint="eastAsia"/>
                <w:bCs/>
              </w:rPr>
              <w:br w:type="textWrapping"/>
            </w:r>
            <w:r>
              <w:rPr>
                <w:rFonts w:hint="eastAsia"/>
                <w:bCs/>
              </w:rPr>
              <w:t>定义与建模-票据条件元语库</w:t>
            </w:r>
          </w:p>
        </w:tc>
        <w:tc>
          <w:tcPr>
            <w:tcW w:w="2908" w:type="pct"/>
            <w:tcBorders>
              <w:top w:val="single" w:color="000000" w:sz="4" w:space="0"/>
              <w:left w:val="single" w:color="000000" w:sz="4" w:space="0"/>
              <w:bottom w:val="single" w:color="000000" w:sz="4" w:space="0"/>
              <w:right w:val="single" w:color="000000" w:sz="4" w:space="0"/>
            </w:tcBorders>
            <w:vAlign w:val="center"/>
          </w:tcPr>
          <w:p w14:paraId="2C8C84DC">
            <w:pPr>
              <w:widowControl/>
              <w:spacing w:line="240" w:lineRule="auto"/>
              <w:ind w:firstLine="0" w:firstLineChars="0"/>
              <w:rPr>
                <w:bCs/>
              </w:rPr>
            </w:pPr>
            <w:r>
              <w:rPr>
                <w:rFonts w:hint="eastAsia"/>
                <w:bCs/>
              </w:rPr>
              <w:t>预定义通用条件（如：时间范围、开票方、用票方、票据数据、开票地域），支持自定义条件扩展。</w:t>
            </w:r>
          </w:p>
        </w:tc>
      </w:tr>
      <w:tr w14:paraId="7928CB35">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B74B478">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BA44AF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082509C">
            <w:pPr>
              <w:widowControl/>
              <w:spacing w:line="240" w:lineRule="auto"/>
              <w:ind w:firstLine="0" w:firstLineChars="0"/>
              <w:jc w:val="center"/>
              <w:rPr>
                <w:bCs/>
              </w:rPr>
            </w:pPr>
            <w:r>
              <w:rPr>
                <w:rFonts w:hint="eastAsia"/>
                <w:bCs/>
              </w:rPr>
              <w:t>分布式上链接入端治理中枢模块-财票链票据应用策略-财票链票据业务</w:t>
            </w:r>
            <w:r>
              <w:rPr>
                <w:rFonts w:hint="eastAsia"/>
                <w:bCs/>
              </w:rPr>
              <w:br w:type="textWrapping"/>
            </w:r>
            <w:r>
              <w:rPr>
                <w:rFonts w:hint="eastAsia"/>
                <w:bCs/>
              </w:rPr>
              <w:t>定义与建模-票决业务操作符管理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0D691C36">
            <w:pPr>
              <w:widowControl/>
              <w:spacing w:line="240" w:lineRule="auto"/>
              <w:ind w:firstLine="0" w:firstLineChars="0"/>
              <w:rPr>
                <w:bCs/>
              </w:rPr>
            </w:pPr>
            <w:r>
              <w:rPr>
                <w:rFonts w:hint="eastAsia"/>
                <w:bCs/>
              </w:rPr>
              <w:t>提供逻辑运算符（AND/OR/NOT）、关系运算符（=/&gt;/&lt;）、集合运算符（in/not in）等。</w:t>
            </w:r>
          </w:p>
        </w:tc>
      </w:tr>
      <w:tr w14:paraId="14BF083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DDDEA31">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7E94B6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A98ADF9">
            <w:pPr>
              <w:widowControl/>
              <w:spacing w:line="240" w:lineRule="auto"/>
              <w:ind w:firstLine="0" w:firstLineChars="0"/>
              <w:jc w:val="center"/>
              <w:rPr>
                <w:bCs/>
              </w:rPr>
            </w:pPr>
            <w:r>
              <w:rPr>
                <w:rFonts w:hint="eastAsia"/>
                <w:bCs/>
              </w:rPr>
              <w:t>分布式上链接入端治理中枢模块-财票链票据应用策略-财票链票据业务</w:t>
            </w:r>
            <w:r>
              <w:rPr>
                <w:rFonts w:hint="eastAsia"/>
                <w:bCs/>
              </w:rPr>
              <w:br w:type="textWrapping"/>
            </w:r>
            <w:r>
              <w:rPr>
                <w:rFonts w:hint="eastAsia"/>
                <w:bCs/>
              </w:rPr>
              <w:t>定义与建模-票据业务值约束引擎</w:t>
            </w:r>
          </w:p>
        </w:tc>
        <w:tc>
          <w:tcPr>
            <w:tcW w:w="2908" w:type="pct"/>
            <w:tcBorders>
              <w:top w:val="single" w:color="000000" w:sz="4" w:space="0"/>
              <w:left w:val="single" w:color="000000" w:sz="4" w:space="0"/>
              <w:bottom w:val="single" w:color="000000" w:sz="4" w:space="0"/>
              <w:right w:val="single" w:color="000000" w:sz="4" w:space="0"/>
            </w:tcBorders>
            <w:vAlign w:val="center"/>
          </w:tcPr>
          <w:p w14:paraId="743DF3E8">
            <w:pPr>
              <w:widowControl/>
              <w:spacing w:line="240" w:lineRule="auto"/>
              <w:ind w:firstLine="0" w:firstLineChars="0"/>
              <w:rPr>
                <w:bCs/>
              </w:rPr>
            </w:pPr>
            <w:r>
              <w:rPr>
                <w:rFonts w:hint="eastAsia"/>
                <w:bCs/>
              </w:rPr>
              <w:t>定义值类型（字符串/数字/枚举，如票据结构化数据、票据金额、票据列表等）、格式校验（正则表达式）、取值范围约束。</w:t>
            </w:r>
          </w:p>
        </w:tc>
      </w:tr>
      <w:tr w14:paraId="3F38847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EAA4051">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814E9E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FFCFED3">
            <w:pPr>
              <w:widowControl/>
              <w:spacing w:line="240" w:lineRule="auto"/>
              <w:ind w:firstLine="0" w:firstLineChars="0"/>
              <w:jc w:val="center"/>
              <w:rPr>
                <w:bCs/>
              </w:rPr>
            </w:pPr>
            <w:r>
              <w:rPr>
                <w:rFonts w:hint="eastAsia"/>
                <w:bCs/>
              </w:rPr>
              <w:t>分布式上链接入端治理中枢模块-财票链票据应用策略-财票链票据业务</w:t>
            </w:r>
            <w:r>
              <w:rPr>
                <w:rFonts w:hint="eastAsia"/>
                <w:bCs/>
              </w:rPr>
              <w:br w:type="textWrapping"/>
            </w:r>
            <w:r>
              <w:rPr>
                <w:rFonts w:hint="eastAsia"/>
                <w:bCs/>
              </w:rPr>
              <w:t>定义与建模-元语版本控制</w:t>
            </w:r>
          </w:p>
        </w:tc>
        <w:tc>
          <w:tcPr>
            <w:tcW w:w="2908" w:type="pct"/>
            <w:tcBorders>
              <w:top w:val="single" w:color="000000" w:sz="4" w:space="0"/>
              <w:left w:val="single" w:color="000000" w:sz="4" w:space="0"/>
              <w:bottom w:val="single" w:color="000000" w:sz="4" w:space="0"/>
              <w:right w:val="single" w:color="000000" w:sz="4" w:space="0"/>
            </w:tcBorders>
            <w:vAlign w:val="center"/>
          </w:tcPr>
          <w:p w14:paraId="3DBA89F8">
            <w:pPr>
              <w:widowControl/>
              <w:spacing w:line="240" w:lineRule="auto"/>
              <w:ind w:firstLine="0" w:firstLineChars="0"/>
              <w:rPr>
                <w:bCs/>
              </w:rPr>
            </w:pPr>
            <w:r>
              <w:rPr>
                <w:rFonts w:hint="eastAsia"/>
                <w:bCs/>
              </w:rPr>
              <w:t>记录条件元语、操作符、值约束的修改历史，支持版本回滚与依赖分析。</w:t>
            </w:r>
          </w:p>
        </w:tc>
      </w:tr>
      <w:tr w14:paraId="6E1A798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8BF996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E864E4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8D7DC17">
            <w:pPr>
              <w:widowControl/>
              <w:spacing w:line="240" w:lineRule="auto"/>
              <w:ind w:firstLine="0" w:firstLineChars="0"/>
              <w:jc w:val="center"/>
              <w:rPr>
                <w:bCs/>
              </w:rPr>
            </w:pPr>
            <w:r>
              <w:rPr>
                <w:rFonts w:hint="eastAsia"/>
                <w:bCs/>
              </w:rPr>
              <w:t>分布式上链接入端治理中枢模块-财票链票据应用策略-财票链票据业务</w:t>
            </w:r>
            <w:r>
              <w:rPr>
                <w:rFonts w:hint="eastAsia"/>
                <w:bCs/>
              </w:rPr>
              <w:br w:type="textWrapping"/>
            </w:r>
            <w:r>
              <w:rPr>
                <w:rFonts w:hint="eastAsia"/>
                <w:bCs/>
              </w:rPr>
              <w:t>定义与建模-冲突检测</w:t>
            </w:r>
          </w:p>
        </w:tc>
        <w:tc>
          <w:tcPr>
            <w:tcW w:w="2908" w:type="pct"/>
            <w:tcBorders>
              <w:top w:val="single" w:color="000000" w:sz="4" w:space="0"/>
              <w:left w:val="single" w:color="000000" w:sz="4" w:space="0"/>
              <w:bottom w:val="single" w:color="000000" w:sz="4" w:space="0"/>
              <w:right w:val="single" w:color="000000" w:sz="4" w:space="0"/>
            </w:tcBorders>
            <w:vAlign w:val="center"/>
          </w:tcPr>
          <w:p w14:paraId="32292CD0">
            <w:pPr>
              <w:widowControl/>
              <w:spacing w:line="240" w:lineRule="auto"/>
              <w:ind w:firstLine="0" w:firstLineChars="0"/>
              <w:rPr>
                <w:bCs/>
              </w:rPr>
            </w:pPr>
            <w:r>
              <w:rPr>
                <w:rFonts w:hint="eastAsia"/>
                <w:bCs/>
              </w:rPr>
              <w:t>自动识别元语组合中的矛盾规则（如操作符互斥、值约束冲突等）。</w:t>
            </w:r>
          </w:p>
        </w:tc>
      </w:tr>
      <w:tr w14:paraId="5F069BB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9FE2EA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4492B4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33CB6D6">
            <w:pPr>
              <w:widowControl/>
              <w:spacing w:line="240" w:lineRule="auto"/>
              <w:ind w:firstLine="0" w:firstLineChars="0"/>
              <w:jc w:val="center"/>
              <w:rPr>
                <w:bCs/>
              </w:rPr>
            </w:pPr>
            <w:r>
              <w:rPr>
                <w:rFonts w:hint="eastAsia"/>
                <w:bCs/>
              </w:rPr>
              <w:t>分布式上链接入端治理中枢模块-财票链票据应用策略-财票链票据业务</w:t>
            </w:r>
            <w:r>
              <w:rPr>
                <w:rFonts w:hint="eastAsia"/>
                <w:bCs/>
              </w:rPr>
              <w:br w:type="textWrapping"/>
            </w:r>
            <w:r>
              <w:rPr>
                <w:rFonts w:hint="eastAsia"/>
                <w:bCs/>
              </w:rPr>
              <w:t>定义与建模-复合元语</w:t>
            </w:r>
          </w:p>
        </w:tc>
        <w:tc>
          <w:tcPr>
            <w:tcW w:w="2908" w:type="pct"/>
            <w:tcBorders>
              <w:top w:val="single" w:color="000000" w:sz="4" w:space="0"/>
              <w:left w:val="single" w:color="000000" w:sz="4" w:space="0"/>
              <w:bottom w:val="single" w:color="000000" w:sz="4" w:space="0"/>
              <w:right w:val="single" w:color="000000" w:sz="4" w:space="0"/>
            </w:tcBorders>
            <w:vAlign w:val="center"/>
          </w:tcPr>
          <w:p w14:paraId="0EA24441">
            <w:pPr>
              <w:widowControl/>
              <w:spacing w:line="240" w:lineRule="auto"/>
              <w:ind w:firstLine="0" w:firstLineChars="0"/>
              <w:rPr>
                <w:bCs/>
              </w:rPr>
            </w:pPr>
            <w:r>
              <w:rPr>
                <w:rFonts w:hint="eastAsia"/>
                <w:bCs/>
              </w:rPr>
              <w:t>可视化拖拽/选择元语构建复合元语，支持同类型的元语进行组合。</w:t>
            </w:r>
          </w:p>
        </w:tc>
      </w:tr>
      <w:tr w14:paraId="2DD9B7D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A827820">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483B01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4ED3ACA">
            <w:pPr>
              <w:widowControl/>
              <w:spacing w:line="240" w:lineRule="auto"/>
              <w:ind w:firstLine="0" w:firstLineChars="0"/>
              <w:jc w:val="center"/>
              <w:rPr>
                <w:bCs/>
              </w:rPr>
            </w:pPr>
            <w:r>
              <w:rPr>
                <w:rFonts w:hint="eastAsia"/>
                <w:bCs/>
              </w:rPr>
              <w:t>分布式上链接入端治理中枢模块-财票链票据应用策略-票据业务应用策略</w:t>
            </w:r>
            <w:r>
              <w:rPr>
                <w:rFonts w:hint="eastAsia"/>
                <w:bCs/>
              </w:rPr>
              <w:br w:type="textWrapping"/>
            </w:r>
            <w:r>
              <w:rPr>
                <w:rFonts w:hint="eastAsia"/>
                <w:bCs/>
              </w:rPr>
              <w:t>编排与部署-票据业务策略模板库</w:t>
            </w:r>
          </w:p>
        </w:tc>
        <w:tc>
          <w:tcPr>
            <w:tcW w:w="2908" w:type="pct"/>
            <w:tcBorders>
              <w:top w:val="single" w:color="000000" w:sz="4" w:space="0"/>
              <w:left w:val="single" w:color="000000" w:sz="4" w:space="0"/>
              <w:bottom w:val="single" w:color="000000" w:sz="4" w:space="0"/>
              <w:right w:val="single" w:color="000000" w:sz="4" w:space="0"/>
            </w:tcBorders>
            <w:vAlign w:val="center"/>
          </w:tcPr>
          <w:p w14:paraId="794FD392">
            <w:pPr>
              <w:widowControl/>
              <w:spacing w:line="240" w:lineRule="auto"/>
              <w:ind w:firstLine="0" w:firstLineChars="0"/>
              <w:rPr>
                <w:bCs/>
              </w:rPr>
            </w:pPr>
            <w:r>
              <w:rPr>
                <w:rFonts w:hint="eastAsia"/>
                <w:bCs/>
              </w:rPr>
              <w:t>提供常用策略模板（如票据访问或财票链上数据访问时间控制、频率控制等），支持自定义模板保存。</w:t>
            </w:r>
          </w:p>
        </w:tc>
      </w:tr>
      <w:tr w14:paraId="1BB36F2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787009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5AC971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D80EFEB">
            <w:pPr>
              <w:widowControl/>
              <w:spacing w:line="240" w:lineRule="auto"/>
              <w:ind w:firstLine="0" w:firstLineChars="0"/>
              <w:jc w:val="center"/>
              <w:rPr>
                <w:bCs/>
              </w:rPr>
            </w:pPr>
            <w:r>
              <w:rPr>
                <w:rFonts w:hint="eastAsia"/>
                <w:bCs/>
              </w:rPr>
              <w:t>分布式上链接入端治理中枢模块-财票链票据应用策略-票据业务应用策略</w:t>
            </w:r>
            <w:r>
              <w:rPr>
                <w:rFonts w:hint="eastAsia"/>
                <w:bCs/>
              </w:rPr>
              <w:br w:type="textWrapping"/>
            </w:r>
            <w:r>
              <w:rPr>
                <w:rFonts w:hint="eastAsia"/>
                <w:bCs/>
              </w:rPr>
              <w:t>编排与部署-票据业务策略逻辑编排</w:t>
            </w:r>
          </w:p>
        </w:tc>
        <w:tc>
          <w:tcPr>
            <w:tcW w:w="2908" w:type="pct"/>
            <w:tcBorders>
              <w:top w:val="single" w:color="000000" w:sz="4" w:space="0"/>
              <w:left w:val="single" w:color="000000" w:sz="4" w:space="0"/>
              <w:bottom w:val="single" w:color="000000" w:sz="4" w:space="0"/>
              <w:right w:val="single" w:color="000000" w:sz="4" w:space="0"/>
            </w:tcBorders>
            <w:vAlign w:val="center"/>
          </w:tcPr>
          <w:p w14:paraId="0D4CBCC2">
            <w:pPr>
              <w:widowControl/>
              <w:spacing w:line="240" w:lineRule="auto"/>
              <w:ind w:firstLine="0" w:firstLineChars="0"/>
              <w:rPr>
                <w:bCs/>
              </w:rPr>
            </w:pPr>
            <w:r>
              <w:rPr>
                <w:rFonts w:hint="eastAsia"/>
                <w:bCs/>
              </w:rPr>
              <w:t>通过策略元语构建完整策略规则（并集、交集结构），支持嵌套条件。</w:t>
            </w:r>
          </w:p>
        </w:tc>
      </w:tr>
      <w:tr w14:paraId="63D5D0C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73DA4F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3B1BC2E">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0ABC458">
            <w:pPr>
              <w:widowControl/>
              <w:spacing w:line="240" w:lineRule="auto"/>
              <w:ind w:firstLine="0" w:firstLineChars="0"/>
              <w:jc w:val="center"/>
              <w:rPr>
                <w:bCs/>
              </w:rPr>
            </w:pPr>
            <w:r>
              <w:rPr>
                <w:rFonts w:hint="eastAsia"/>
                <w:bCs/>
              </w:rPr>
              <w:t>分布式上链接入端治理中枢模块-财票链票据应用策略-票据业务应用策略</w:t>
            </w:r>
            <w:r>
              <w:rPr>
                <w:rFonts w:hint="eastAsia"/>
                <w:bCs/>
              </w:rPr>
              <w:br w:type="textWrapping"/>
            </w:r>
            <w:r>
              <w:rPr>
                <w:rFonts w:hint="eastAsia"/>
                <w:bCs/>
              </w:rPr>
              <w:t>编排与部署-票据业务策略优先级管理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13AFFAF4">
            <w:pPr>
              <w:widowControl/>
              <w:spacing w:line="240" w:lineRule="auto"/>
              <w:ind w:firstLine="0" w:firstLineChars="0"/>
              <w:rPr>
                <w:bCs/>
              </w:rPr>
            </w:pPr>
            <w:r>
              <w:rPr>
                <w:rFonts w:hint="eastAsia"/>
                <w:bCs/>
              </w:rPr>
              <w:t>设定策略执行顺序，处理规则冲突。</w:t>
            </w:r>
          </w:p>
        </w:tc>
      </w:tr>
      <w:tr w14:paraId="64F4628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0059B10">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759DAB4">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A209FD1">
            <w:pPr>
              <w:widowControl/>
              <w:spacing w:line="240" w:lineRule="auto"/>
              <w:ind w:firstLine="0" w:firstLineChars="0"/>
              <w:jc w:val="center"/>
              <w:rPr>
                <w:bCs/>
              </w:rPr>
            </w:pPr>
            <w:r>
              <w:rPr>
                <w:rFonts w:hint="eastAsia"/>
                <w:bCs/>
              </w:rPr>
              <w:t>分布式上链接入端治理中枢模块-财票链票据应用策略-票据业务应用策略</w:t>
            </w:r>
            <w:r>
              <w:rPr>
                <w:rFonts w:hint="eastAsia"/>
                <w:bCs/>
              </w:rPr>
              <w:br w:type="textWrapping"/>
            </w:r>
            <w:r>
              <w:rPr>
                <w:rFonts w:hint="eastAsia"/>
                <w:bCs/>
              </w:rPr>
              <w:t>编排与部署-语法/语义校验</w:t>
            </w:r>
          </w:p>
        </w:tc>
        <w:tc>
          <w:tcPr>
            <w:tcW w:w="2908" w:type="pct"/>
            <w:tcBorders>
              <w:top w:val="single" w:color="000000" w:sz="4" w:space="0"/>
              <w:left w:val="single" w:color="000000" w:sz="4" w:space="0"/>
              <w:bottom w:val="single" w:color="000000" w:sz="4" w:space="0"/>
              <w:right w:val="single" w:color="000000" w:sz="4" w:space="0"/>
            </w:tcBorders>
            <w:vAlign w:val="center"/>
          </w:tcPr>
          <w:p w14:paraId="59A6C6FD">
            <w:pPr>
              <w:widowControl/>
              <w:spacing w:line="240" w:lineRule="auto"/>
              <w:ind w:firstLine="0" w:firstLineChars="0"/>
              <w:rPr>
                <w:bCs/>
              </w:rPr>
            </w:pPr>
            <w:r>
              <w:rPr>
                <w:rFonts w:hint="eastAsia"/>
                <w:bCs/>
              </w:rPr>
              <w:t>检查策略逻辑完整性、元语引用有效性。</w:t>
            </w:r>
          </w:p>
        </w:tc>
      </w:tr>
      <w:tr w14:paraId="5EC06218">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C9A191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65C197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3F70F95">
            <w:pPr>
              <w:widowControl/>
              <w:spacing w:line="240" w:lineRule="auto"/>
              <w:ind w:firstLine="0" w:firstLineChars="0"/>
              <w:jc w:val="center"/>
              <w:rPr>
                <w:bCs/>
              </w:rPr>
            </w:pPr>
            <w:r>
              <w:rPr>
                <w:rFonts w:hint="eastAsia"/>
                <w:bCs/>
              </w:rPr>
              <w:t>分布式上链接入端治理中枢模块-财票链票据应用策略-票据业务应用策略</w:t>
            </w:r>
            <w:r>
              <w:rPr>
                <w:rFonts w:hint="eastAsia"/>
                <w:bCs/>
              </w:rPr>
              <w:br w:type="textWrapping"/>
            </w:r>
            <w:r>
              <w:rPr>
                <w:rFonts w:hint="eastAsia"/>
                <w:bCs/>
              </w:rPr>
              <w:t>编排与部署-仿真验证</w:t>
            </w:r>
          </w:p>
        </w:tc>
        <w:tc>
          <w:tcPr>
            <w:tcW w:w="2908" w:type="pct"/>
            <w:tcBorders>
              <w:top w:val="single" w:color="000000" w:sz="4" w:space="0"/>
              <w:left w:val="single" w:color="000000" w:sz="4" w:space="0"/>
              <w:bottom w:val="single" w:color="000000" w:sz="4" w:space="0"/>
              <w:right w:val="single" w:color="000000" w:sz="4" w:space="0"/>
            </w:tcBorders>
            <w:vAlign w:val="center"/>
          </w:tcPr>
          <w:p w14:paraId="4A86540B">
            <w:pPr>
              <w:widowControl/>
              <w:spacing w:line="240" w:lineRule="auto"/>
              <w:ind w:firstLine="0" w:firstLineChars="0"/>
              <w:rPr>
                <w:bCs/>
              </w:rPr>
            </w:pPr>
            <w:r>
              <w:rPr>
                <w:rFonts w:hint="eastAsia"/>
                <w:bCs/>
              </w:rPr>
              <w:t>注入测试数据模拟，验证策略执行结果。</w:t>
            </w:r>
          </w:p>
        </w:tc>
      </w:tr>
      <w:tr w14:paraId="66EF731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4E2B15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BDE18C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E6FC94F">
            <w:pPr>
              <w:widowControl/>
              <w:spacing w:line="240" w:lineRule="auto"/>
              <w:ind w:firstLine="0" w:firstLineChars="0"/>
              <w:jc w:val="center"/>
              <w:rPr>
                <w:bCs/>
              </w:rPr>
            </w:pPr>
            <w:r>
              <w:rPr>
                <w:rFonts w:hint="eastAsia"/>
                <w:bCs/>
              </w:rPr>
              <w:t>分布式上链接入端治理中枢模块-财票链票据应用策略-票据业务应用策略</w:t>
            </w:r>
            <w:r>
              <w:rPr>
                <w:rFonts w:hint="eastAsia"/>
                <w:bCs/>
              </w:rPr>
              <w:br w:type="textWrapping"/>
            </w:r>
            <w:r>
              <w:rPr>
                <w:rFonts w:hint="eastAsia"/>
                <w:bCs/>
              </w:rPr>
              <w:t>编排与部署-票据业务策略部署审批流</w:t>
            </w:r>
          </w:p>
        </w:tc>
        <w:tc>
          <w:tcPr>
            <w:tcW w:w="2908" w:type="pct"/>
            <w:tcBorders>
              <w:top w:val="single" w:color="000000" w:sz="4" w:space="0"/>
              <w:left w:val="single" w:color="000000" w:sz="4" w:space="0"/>
              <w:bottom w:val="single" w:color="000000" w:sz="4" w:space="0"/>
              <w:right w:val="single" w:color="000000" w:sz="4" w:space="0"/>
            </w:tcBorders>
            <w:vAlign w:val="center"/>
          </w:tcPr>
          <w:p w14:paraId="63E2C64E">
            <w:pPr>
              <w:widowControl/>
              <w:spacing w:line="240" w:lineRule="auto"/>
              <w:ind w:firstLine="0" w:firstLineChars="0"/>
              <w:rPr>
                <w:bCs/>
              </w:rPr>
            </w:pPr>
            <w:r>
              <w:rPr>
                <w:rFonts w:hint="eastAsia"/>
                <w:bCs/>
              </w:rPr>
              <w:t>支持多级审核（例如操作员-&gt;普通管理员-&gt;超级管理员），审核通过后才能生效。</w:t>
            </w:r>
          </w:p>
        </w:tc>
      </w:tr>
      <w:tr w14:paraId="40FC6D4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8CF728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FEA7CAC">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10463F8">
            <w:pPr>
              <w:widowControl/>
              <w:spacing w:line="240" w:lineRule="auto"/>
              <w:ind w:firstLine="0" w:firstLineChars="0"/>
              <w:jc w:val="center"/>
              <w:rPr>
                <w:bCs/>
              </w:rPr>
            </w:pPr>
            <w:r>
              <w:rPr>
                <w:rFonts w:hint="eastAsia"/>
                <w:bCs/>
              </w:rPr>
              <w:t>分布式上链接入端治理中枢模块-财票链票据应用策略-票据业务策略下发与同步-业务接入端下发目标选择</w:t>
            </w:r>
          </w:p>
        </w:tc>
        <w:tc>
          <w:tcPr>
            <w:tcW w:w="2908" w:type="pct"/>
            <w:tcBorders>
              <w:top w:val="single" w:color="000000" w:sz="4" w:space="0"/>
              <w:left w:val="single" w:color="000000" w:sz="4" w:space="0"/>
              <w:bottom w:val="single" w:color="000000" w:sz="4" w:space="0"/>
              <w:right w:val="single" w:color="000000" w:sz="4" w:space="0"/>
            </w:tcBorders>
            <w:vAlign w:val="center"/>
          </w:tcPr>
          <w:p w14:paraId="30F27D0F">
            <w:pPr>
              <w:widowControl/>
              <w:spacing w:line="240" w:lineRule="auto"/>
              <w:ind w:firstLine="0" w:firstLineChars="0"/>
              <w:rPr>
                <w:bCs/>
              </w:rPr>
            </w:pPr>
            <w:r>
              <w:rPr>
                <w:rFonts w:hint="eastAsia"/>
                <w:bCs/>
              </w:rPr>
              <w:t>支持按分组/标签/单个业务接入节点，指定下发范围。</w:t>
            </w:r>
          </w:p>
        </w:tc>
      </w:tr>
      <w:tr w14:paraId="67CC7A5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43A3FB1">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079638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443E6BF">
            <w:pPr>
              <w:widowControl/>
              <w:spacing w:line="240" w:lineRule="auto"/>
              <w:ind w:firstLine="0" w:firstLineChars="0"/>
              <w:jc w:val="center"/>
              <w:rPr>
                <w:bCs/>
              </w:rPr>
            </w:pPr>
            <w:r>
              <w:rPr>
                <w:rFonts w:hint="eastAsia"/>
                <w:bCs/>
              </w:rPr>
              <w:t>分布式上链接入端治理中枢模块-财票链票据应用策略-票据业务策略下发与同步-增量/全量下发</w:t>
            </w:r>
          </w:p>
        </w:tc>
        <w:tc>
          <w:tcPr>
            <w:tcW w:w="2908" w:type="pct"/>
            <w:tcBorders>
              <w:top w:val="single" w:color="000000" w:sz="4" w:space="0"/>
              <w:left w:val="single" w:color="000000" w:sz="4" w:space="0"/>
              <w:bottom w:val="single" w:color="000000" w:sz="4" w:space="0"/>
              <w:right w:val="single" w:color="000000" w:sz="4" w:space="0"/>
            </w:tcBorders>
            <w:vAlign w:val="center"/>
          </w:tcPr>
          <w:p w14:paraId="603C7B54">
            <w:pPr>
              <w:widowControl/>
              <w:spacing w:line="240" w:lineRule="auto"/>
              <w:ind w:firstLine="0" w:firstLineChars="0"/>
              <w:rPr>
                <w:bCs/>
              </w:rPr>
            </w:pPr>
            <w:r>
              <w:rPr>
                <w:rFonts w:hint="eastAsia"/>
                <w:bCs/>
              </w:rPr>
              <w:t>仅推送变更策略或强制全量更新业务接入节点的策略。</w:t>
            </w:r>
          </w:p>
        </w:tc>
      </w:tr>
      <w:tr w14:paraId="56E1014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3BB7E9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B13904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F28038C">
            <w:pPr>
              <w:widowControl/>
              <w:spacing w:line="240" w:lineRule="auto"/>
              <w:ind w:firstLine="0" w:firstLineChars="0"/>
              <w:jc w:val="center"/>
              <w:rPr>
                <w:bCs/>
              </w:rPr>
            </w:pPr>
            <w:r>
              <w:rPr>
                <w:rFonts w:hint="eastAsia"/>
                <w:bCs/>
              </w:rPr>
              <w:t>分布式上链接入端治理中枢模块-财票链票据应用策略-票据业务策略下发与同步-业务策略灰度下发</w:t>
            </w:r>
          </w:p>
        </w:tc>
        <w:tc>
          <w:tcPr>
            <w:tcW w:w="2908" w:type="pct"/>
            <w:tcBorders>
              <w:top w:val="single" w:color="000000" w:sz="4" w:space="0"/>
              <w:left w:val="single" w:color="000000" w:sz="4" w:space="0"/>
              <w:bottom w:val="single" w:color="000000" w:sz="4" w:space="0"/>
              <w:right w:val="single" w:color="000000" w:sz="4" w:space="0"/>
            </w:tcBorders>
            <w:vAlign w:val="center"/>
          </w:tcPr>
          <w:p w14:paraId="25E56BC3">
            <w:pPr>
              <w:widowControl/>
              <w:spacing w:line="240" w:lineRule="auto"/>
              <w:ind w:firstLine="0" w:firstLineChars="0"/>
              <w:rPr>
                <w:bCs/>
              </w:rPr>
            </w:pPr>
            <w:r>
              <w:rPr>
                <w:rFonts w:hint="eastAsia"/>
                <w:bCs/>
              </w:rPr>
              <w:t>分批次下发新策略，监控异常后支持自动回滚策略。</w:t>
            </w:r>
          </w:p>
        </w:tc>
      </w:tr>
      <w:tr w14:paraId="2AAF9F5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FC124C5">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1C097BB">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2850DCD">
            <w:pPr>
              <w:widowControl/>
              <w:spacing w:line="240" w:lineRule="auto"/>
              <w:ind w:firstLine="0" w:firstLineChars="0"/>
              <w:jc w:val="center"/>
              <w:rPr>
                <w:bCs/>
              </w:rPr>
            </w:pPr>
            <w:r>
              <w:rPr>
                <w:rFonts w:hint="eastAsia"/>
                <w:bCs/>
              </w:rPr>
              <w:t>分布式上链接入端治理中枢模块-财票链票据应用策略-票据业务策略下发与同步-策略生效确认</w:t>
            </w:r>
          </w:p>
        </w:tc>
        <w:tc>
          <w:tcPr>
            <w:tcW w:w="2908" w:type="pct"/>
            <w:tcBorders>
              <w:top w:val="single" w:color="000000" w:sz="4" w:space="0"/>
              <w:left w:val="single" w:color="000000" w:sz="4" w:space="0"/>
              <w:bottom w:val="single" w:color="000000" w:sz="4" w:space="0"/>
              <w:right w:val="single" w:color="000000" w:sz="4" w:space="0"/>
            </w:tcBorders>
            <w:vAlign w:val="center"/>
          </w:tcPr>
          <w:p w14:paraId="331AA4EE">
            <w:pPr>
              <w:widowControl/>
              <w:spacing w:line="240" w:lineRule="auto"/>
              <w:ind w:firstLine="0" w:firstLineChars="0"/>
              <w:rPr>
                <w:bCs/>
              </w:rPr>
            </w:pPr>
            <w:r>
              <w:rPr>
                <w:rFonts w:hint="eastAsia"/>
                <w:bCs/>
              </w:rPr>
              <w:t>接收业务接入节点ACK信号，标记策略下发已生效状态。</w:t>
            </w:r>
          </w:p>
        </w:tc>
      </w:tr>
      <w:tr w14:paraId="617BE02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EF6246E">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A963B5E">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75B2C38">
            <w:pPr>
              <w:widowControl/>
              <w:spacing w:line="240" w:lineRule="auto"/>
              <w:ind w:firstLine="0" w:firstLineChars="0"/>
              <w:jc w:val="center"/>
              <w:rPr>
                <w:bCs/>
              </w:rPr>
            </w:pPr>
            <w:r>
              <w:rPr>
                <w:rFonts w:hint="eastAsia"/>
                <w:bCs/>
              </w:rPr>
              <w:t>分布式上链接入端治理中枢模块-财票链票据应用策略-票据业务策略下发与同步-策略一致性校验</w:t>
            </w:r>
          </w:p>
        </w:tc>
        <w:tc>
          <w:tcPr>
            <w:tcW w:w="2908" w:type="pct"/>
            <w:tcBorders>
              <w:top w:val="single" w:color="000000" w:sz="4" w:space="0"/>
              <w:left w:val="single" w:color="000000" w:sz="4" w:space="0"/>
              <w:bottom w:val="single" w:color="000000" w:sz="4" w:space="0"/>
              <w:right w:val="single" w:color="000000" w:sz="4" w:space="0"/>
            </w:tcBorders>
            <w:vAlign w:val="center"/>
          </w:tcPr>
          <w:p w14:paraId="75455C63">
            <w:pPr>
              <w:widowControl/>
              <w:spacing w:line="240" w:lineRule="auto"/>
              <w:ind w:firstLine="0" w:firstLineChars="0"/>
              <w:rPr>
                <w:bCs/>
              </w:rPr>
            </w:pPr>
            <w:r>
              <w:rPr>
                <w:rFonts w:hint="eastAsia"/>
                <w:bCs/>
              </w:rPr>
              <w:t>定期比对中心策略与业务接入节点本地策略的散列值，确保策略的全局一致性。</w:t>
            </w:r>
          </w:p>
        </w:tc>
      </w:tr>
      <w:tr w14:paraId="1E7CB5C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BFA046E">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3D42FFD">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628A0B1">
            <w:pPr>
              <w:widowControl/>
              <w:spacing w:line="240" w:lineRule="auto"/>
              <w:ind w:firstLine="0" w:firstLineChars="0"/>
              <w:jc w:val="center"/>
              <w:rPr>
                <w:bCs/>
              </w:rPr>
            </w:pPr>
            <w:r>
              <w:rPr>
                <w:rFonts w:hint="eastAsia"/>
                <w:bCs/>
              </w:rPr>
              <w:t>分布式上链接入端治理中枢模块-财票链票据应用策略-票据业务策略执行监测-执行日志采集</w:t>
            </w:r>
          </w:p>
        </w:tc>
        <w:tc>
          <w:tcPr>
            <w:tcW w:w="2908" w:type="pct"/>
            <w:tcBorders>
              <w:top w:val="single" w:color="000000" w:sz="4" w:space="0"/>
              <w:left w:val="single" w:color="000000" w:sz="4" w:space="0"/>
              <w:bottom w:val="single" w:color="000000" w:sz="4" w:space="0"/>
              <w:right w:val="single" w:color="000000" w:sz="4" w:space="0"/>
            </w:tcBorders>
            <w:vAlign w:val="center"/>
          </w:tcPr>
          <w:p w14:paraId="48229E79">
            <w:pPr>
              <w:widowControl/>
              <w:spacing w:line="240" w:lineRule="auto"/>
              <w:ind w:firstLine="0" w:firstLineChars="0"/>
              <w:rPr>
                <w:bCs/>
              </w:rPr>
            </w:pPr>
            <w:r>
              <w:rPr>
                <w:rFonts w:hint="eastAsia"/>
                <w:bCs/>
              </w:rPr>
              <w:t>汇聚业务接入节点上报的策略命中日志（策略ID、执行结果、触发时间等）。</w:t>
            </w:r>
          </w:p>
        </w:tc>
      </w:tr>
      <w:tr w14:paraId="0072984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739669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63EF8E3">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7FC70BC">
            <w:pPr>
              <w:widowControl/>
              <w:spacing w:line="240" w:lineRule="auto"/>
              <w:ind w:firstLine="0" w:firstLineChars="0"/>
              <w:jc w:val="center"/>
              <w:rPr>
                <w:bCs/>
              </w:rPr>
            </w:pPr>
            <w:r>
              <w:rPr>
                <w:rFonts w:hint="eastAsia"/>
                <w:bCs/>
              </w:rPr>
              <w:t>分布式上链接入端治理中枢模块-财票链票据应用策略-票据业务策略执行监测-性能指标监控</w:t>
            </w:r>
          </w:p>
        </w:tc>
        <w:tc>
          <w:tcPr>
            <w:tcW w:w="2908" w:type="pct"/>
            <w:tcBorders>
              <w:top w:val="single" w:color="000000" w:sz="4" w:space="0"/>
              <w:left w:val="single" w:color="000000" w:sz="4" w:space="0"/>
              <w:bottom w:val="single" w:color="000000" w:sz="4" w:space="0"/>
              <w:right w:val="single" w:color="000000" w:sz="4" w:space="0"/>
            </w:tcBorders>
            <w:vAlign w:val="center"/>
          </w:tcPr>
          <w:p w14:paraId="3367BDE9">
            <w:pPr>
              <w:widowControl/>
              <w:spacing w:line="240" w:lineRule="auto"/>
              <w:ind w:firstLine="0" w:firstLineChars="0"/>
              <w:rPr>
                <w:bCs/>
              </w:rPr>
            </w:pPr>
            <w:r>
              <w:rPr>
                <w:rFonts w:hint="eastAsia"/>
                <w:bCs/>
              </w:rPr>
              <w:t>统计策略执行延迟、内存占用、CPU资源消耗等。</w:t>
            </w:r>
          </w:p>
        </w:tc>
      </w:tr>
      <w:tr w14:paraId="2419E22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EF93B9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51AA08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7190F21">
            <w:pPr>
              <w:widowControl/>
              <w:spacing w:line="240" w:lineRule="auto"/>
              <w:ind w:firstLine="0" w:firstLineChars="0"/>
              <w:jc w:val="center"/>
              <w:rPr>
                <w:bCs/>
              </w:rPr>
            </w:pPr>
            <w:r>
              <w:rPr>
                <w:rFonts w:hint="eastAsia"/>
                <w:bCs/>
              </w:rPr>
              <w:t>分布式上链接入端治理中枢模块-财票链票据应用策略-票据业务策略执行监测-异常告警</w:t>
            </w:r>
          </w:p>
        </w:tc>
        <w:tc>
          <w:tcPr>
            <w:tcW w:w="2908" w:type="pct"/>
            <w:tcBorders>
              <w:top w:val="single" w:color="000000" w:sz="4" w:space="0"/>
              <w:left w:val="single" w:color="000000" w:sz="4" w:space="0"/>
              <w:bottom w:val="single" w:color="000000" w:sz="4" w:space="0"/>
              <w:right w:val="single" w:color="000000" w:sz="4" w:space="0"/>
            </w:tcBorders>
            <w:vAlign w:val="center"/>
          </w:tcPr>
          <w:p w14:paraId="7A8A191D">
            <w:pPr>
              <w:widowControl/>
              <w:spacing w:line="240" w:lineRule="auto"/>
              <w:ind w:firstLine="0" w:firstLineChars="0"/>
              <w:rPr>
                <w:bCs/>
              </w:rPr>
            </w:pPr>
            <w:r>
              <w:rPr>
                <w:rFonts w:hint="eastAsia"/>
                <w:bCs/>
              </w:rPr>
              <w:t>对执行失败率超阈值、未响应节点进行异常告警。</w:t>
            </w:r>
          </w:p>
        </w:tc>
      </w:tr>
      <w:tr w14:paraId="122BE3A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EE3865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2D33A2A">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C3D94D5">
            <w:pPr>
              <w:widowControl/>
              <w:spacing w:line="240" w:lineRule="auto"/>
              <w:ind w:firstLine="0" w:firstLineChars="0"/>
              <w:jc w:val="center"/>
              <w:rPr>
                <w:bCs/>
              </w:rPr>
            </w:pPr>
            <w:r>
              <w:rPr>
                <w:rFonts w:hint="eastAsia"/>
                <w:bCs/>
              </w:rPr>
              <w:t>分布式上链接入端治理中枢模块-财票链票据应用策略-票据业务策略执行监测-策略命中报表</w:t>
            </w:r>
          </w:p>
        </w:tc>
        <w:tc>
          <w:tcPr>
            <w:tcW w:w="2908" w:type="pct"/>
            <w:tcBorders>
              <w:top w:val="single" w:color="000000" w:sz="4" w:space="0"/>
              <w:left w:val="single" w:color="000000" w:sz="4" w:space="0"/>
              <w:bottom w:val="single" w:color="000000" w:sz="4" w:space="0"/>
              <w:right w:val="single" w:color="000000" w:sz="4" w:space="0"/>
            </w:tcBorders>
            <w:vAlign w:val="center"/>
          </w:tcPr>
          <w:p w14:paraId="1DD8BDA0">
            <w:pPr>
              <w:widowControl/>
              <w:spacing w:line="240" w:lineRule="auto"/>
              <w:ind w:firstLine="0" w:firstLineChars="0"/>
              <w:rPr>
                <w:bCs/>
              </w:rPr>
            </w:pPr>
            <w:r>
              <w:rPr>
                <w:rFonts w:hint="eastAsia"/>
                <w:bCs/>
              </w:rPr>
              <w:t>可视化各策略调用频次、拒绝/通过的比例等。</w:t>
            </w:r>
          </w:p>
        </w:tc>
      </w:tr>
      <w:tr w14:paraId="3AD48E2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DCCD4D6">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DAD963A">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0B62686">
            <w:pPr>
              <w:widowControl/>
              <w:spacing w:line="240" w:lineRule="auto"/>
              <w:ind w:firstLine="0" w:firstLineChars="0"/>
              <w:jc w:val="center"/>
              <w:rPr>
                <w:bCs/>
              </w:rPr>
            </w:pPr>
            <w:r>
              <w:rPr>
                <w:rFonts w:hint="eastAsia"/>
                <w:bCs/>
              </w:rPr>
              <w:t>分布式上链接入端治理中枢模块-财票链票据应用策略-票据业务策略执行监测-热点策略识别</w:t>
            </w:r>
          </w:p>
        </w:tc>
        <w:tc>
          <w:tcPr>
            <w:tcW w:w="2908" w:type="pct"/>
            <w:tcBorders>
              <w:top w:val="single" w:color="000000" w:sz="4" w:space="0"/>
              <w:left w:val="single" w:color="000000" w:sz="4" w:space="0"/>
              <w:bottom w:val="single" w:color="000000" w:sz="4" w:space="0"/>
              <w:right w:val="single" w:color="000000" w:sz="4" w:space="0"/>
            </w:tcBorders>
            <w:vAlign w:val="center"/>
          </w:tcPr>
          <w:p w14:paraId="60BA96B9">
            <w:pPr>
              <w:widowControl/>
              <w:spacing w:line="240" w:lineRule="auto"/>
              <w:ind w:firstLine="0" w:firstLineChars="0"/>
              <w:rPr>
                <w:bCs/>
              </w:rPr>
            </w:pPr>
            <w:r>
              <w:rPr>
                <w:rFonts w:hint="eastAsia"/>
                <w:bCs/>
              </w:rPr>
              <w:t>标记高频使用的策略，或高延迟的策略，以供识别和优化。</w:t>
            </w:r>
          </w:p>
        </w:tc>
      </w:tr>
      <w:tr w14:paraId="61F853E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BC04CB5">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2ADE53C">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DF47F89">
            <w:pPr>
              <w:widowControl/>
              <w:spacing w:line="240" w:lineRule="auto"/>
              <w:ind w:firstLine="0" w:firstLineChars="0"/>
              <w:jc w:val="center"/>
              <w:rPr>
                <w:bCs/>
              </w:rPr>
            </w:pPr>
            <w:r>
              <w:rPr>
                <w:rFonts w:hint="eastAsia"/>
                <w:bCs/>
              </w:rPr>
              <w:t>分布式上链接入端治理中枢模块-财票链票据应用策略-票据业务策略检测与调整-票据业务策略合规扫描</w:t>
            </w:r>
          </w:p>
        </w:tc>
        <w:tc>
          <w:tcPr>
            <w:tcW w:w="2908" w:type="pct"/>
            <w:tcBorders>
              <w:top w:val="single" w:color="000000" w:sz="4" w:space="0"/>
              <w:left w:val="single" w:color="000000" w:sz="4" w:space="0"/>
              <w:bottom w:val="single" w:color="000000" w:sz="4" w:space="0"/>
              <w:right w:val="single" w:color="000000" w:sz="4" w:space="0"/>
            </w:tcBorders>
            <w:vAlign w:val="center"/>
          </w:tcPr>
          <w:p w14:paraId="03A2196C">
            <w:pPr>
              <w:widowControl/>
              <w:spacing w:line="240" w:lineRule="auto"/>
              <w:ind w:firstLine="0" w:firstLineChars="0"/>
              <w:rPr>
                <w:bCs/>
              </w:rPr>
            </w:pPr>
            <w:r>
              <w:rPr>
                <w:rFonts w:hint="eastAsia"/>
                <w:bCs/>
              </w:rPr>
              <w:t>基于预置的合规框架，自动检测管理员添加的违规策略（例如要求any2any，空白策略，或禁止全局访问等）。</w:t>
            </w:r>
          </w:p>
        </w:tc>
      </w:tr>
      <w:tr w14:paraId="0BC2964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7C8DEE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11E8BB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A7EC2EF">
            <w:pPr>
              <w:widowControl/>
              <w:spacing w:line="240" w:lineRule="auto"/>
              <w:ind w:firstLine="0" w:firstLineChars="0"/>
              <w:jc w:val="center"/>
              <w:rPr>
                <w:bCs/>
              </w:rPr>
            </w:pPr>
            <w:r>
              <w:rPr>
                <w:rFonts w:hint="eastAsia"/>
                <w:bCs/>
              </w:rPr>
              <w:t>分布式上链接入端治理中枢模块-财票链票据应用策略-票据业务策略检测与调整-变更追溯</w:t>
            </w:r>
          </w:p>
        </w:tc>
        <w:tc>
          <w:tcPr>
            <w:tcW w:w="2908" w:type="pct"/>
            <w:tcBorders>
              <w:top w:val="single" w:color="000000" w:sz="4" w:space="0"/>
              <w:left w:val="single" w:color="000000" w:sz="4" w:space="0"/>
              <w:bottom w:val="single" w:color="000000" w:sz="4" w:space="0"/>
              <w:right w:val="single" w:color="000000" w:sz="4" w:space="0"/>
            </w:tcBorders>
            <w:vAlign w:val="center"/>
          </w:tcPr>
          <w:p w14:paraId="6E409CF2">
            <w:pPr>
              <w:widowControl/>
              <w:spacing w:line="240" w:lineRule="auto"/>
              <w:ind w:firstLine="0" w:firstLineChars="0"/>
              <w:rPr>
                <w:bCs/>
              </w:rPr>
            </w:pPr>
            <w:r>
              <w:rPr>
                <w:rFonts w:hint="eastAsia"/>
                <w:bCs/>
              </w:rPr>
              <w:t>关联策略修改记录、操作人、审批流。</w:t>
            </w:r>
          </w:p>
        </w:tc>
      </w:tr>
      <w:tr w14:paraId="0F62B97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E4B925E">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1C548F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2243FBD">
            <w:pPr>
              <w:widowControl/>
              <w:spacing w:line="240" w:lineRule="auto"/>
              <w:ind w:firstLine="0" w:firstLineChars="0"/>
              <w:jc w:val="center"/>
              <w:rPr>
                <w:bCs/>
              </w:rPr>
            </w:pPr>
            <w:r>
              <w:rPr>
                <w:rFonts w:hint="eastAsia"/>
                <w:bCs/>
              </w:rPr>
              <w:t>分布式上链接入端治理中枢模块-财票链票据应用策略-票据业务策略检测与调整-策略调整</w:t>
            </w:r>
          </w:p>
        </w:tc>
        <w:tc>
          <w:tcPr>
            <w:tcW w:w="2908" w:type="pct"/>
            <w:tcBorders>
              <w:top w:val="single" w:color="000000" w:sz="4" w:space="0"/>
              <w:left w:val="single" w:color="000000" w:sz="4" w:space="0"/>
              <w:bottom w:val="single" w:color="000000" w:sz="4" w:space="0"/>
              <w:right w:val="single" w:color="000000" w:sz="4" w:space="0"/>
            </w:tcBorders>
            <w:vAlign w:val="center"/>
          </w:tcPr>
          <w:p w14:paraId="7A870DA7">
            <w:pPr>
              <w:widowControl/>
              <w:spacing w:line="240" w:lineRule="auto"/>
              <w:ind w:firstLine="0" w:firstLineChars="0"/>
              <w:rPr>
                <w:bCs/>
              </w:rPr>
            </w:pPr>
            <w:r>
              <w:rPr>
                <w:rFonts w:hint="eastAsia"/>
                <w:bCs/>
              </w:rPr>
              <w:t>检测实际执行中的规则冲突（如A策略允许而B策略拒绝），根据历史日志建议管理员合并冗余策略或优化策略顺序。</w:t>
            </w:r>
          </w:p>
        </w:tc>
      </w:tr>
      <w:tr w14:paraId="074C9F4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EBBA8BE">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C899AA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A7414C9">
            <w:pPr>
              <w:widowControl/>
              <w:spacing w:line="240" w:lineRule="auto"/>
              <w:ind w:firstLine="0" w:firstLineChars="0"/>
              <w:jc w:val="center"/>
              <w:rPr>
                <w:bCs/>
              </w:rPr>
            </w:pPr>
            <w:r>
              <w:rPr>
                <w:rFonts w:hint="eastAsia"/>
                <w:bCs/>
              </w:rPr>
              <w:t>涉链票据业务管理-票据场景管理-开票场景创建与管理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0D900CA3">
            <w:pPr>
              <w:widowControl/>
              <w:spacing w:line="240" w:lineRule="auto"/>
              <w:ind w:firstLine="0" w:firstLineChars="0"/>
              <w:rPr>
                <w:bCs/>
              </w:rPr>
            </w:pPr>
            <w:r>
              <w:rPr>
                <w:rFonts w:hint="eastAsia"/>
                <w:bCs/>
              </w:rPr>
              <w:t>1）由后台管理员进行票据开票场景（如医疗电子票据、教育电子票据等）创建，并制定相应的数据使用控制策略。</w:t>
            </w:r>
            <w:r>
              <w:rPr>
                <w:rFonts w:hint="eastAsia"/>
                <w:bCs/>
              </w:rPr>
              <w:br w:type="textWrapping"/>
            </w:r>
            <w:r>
              <w:rPr>
                <w:rFonts w:hint="eastAsia"/>
                <w:bCs/>
              </w:rPr>
              <w:t>2）策略包含数据访问权限、数据使用方式、数据流通范围等，以确保数据在流通和利用过程中的安全性和合规性，创建成功后，需由其他后台管理员进行复核。</w:t>
            </w:r>
            <w:r>
              <w:rPr>
                <w:rFonts w:hint="eastAsia"/>
                <w:bCs/>
              </w:rPr>
              <w:br w:type="textWrapping"/>
            </w:r>
            <w:r>
              <w:rPr>
                <w:rFonts w:hint="eastAsia"/>
                <w:bCs/>
              </w:rPr>
              <w:t>3）提供场景管理功能，管理员可查看开票场景列表及详情。</w:t>
            </w:r>
          </w:p>
        </w:tc>
      </w:tr>
      <w:tr w14:paraId="652923F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C48A84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8A0C0A3">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D93570B">
            <w:pPr>
              <w:widowControl/>
              <w:spacing w:line="240" w:lineRule="auto"/>
              <w:ind w:firstLine="0" w:firstLineChars="0"/>
              <w:jc w:val="center"/>
              <w:rPr>
                <w:bCs/>
              </w:rPr>
            </w:pPr>
            <w:r>
              <w:rPr>
                <w:rFonts w:hint="eastAsia"/>
                <w:bCs/>
              </w:rPr>
              <w:t>涉链票据业务管理-票据资源登记-票据资源类型管理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74E8395B">
            <w:pPr>
              <w:widowControl/>
              <w:spacing w:line="240" w:lineRule="auto"/>
              <w:ind w:firstLine="0" w:firstLineChars="0"/>
              <w:rPr>
                <w:bCs/>
              </w:rPr>
            </w:pPr>
            <w:r>
              <w:rPr>
                <w:rFonts w:hint="eastAsia"/>
                <w:bCs/>
              </w:rPr>
              <w:t>1）后台管理员创建票据资源类型（如票据列表、票据摘要、票据结构化数据、票据PDF等），及每个类型的字段机构。</w:t>
            </w:r>
            <w:r>
              <w:rPr>
                <w:rFonts w:hint="eastAsia"/>
                <w:bCs/>
              </w:rPr>
              <w:br w:type="textWrapping"/>
            </w:r>
            <w:r>
              <w:rPr>
                <w:rFonts w:hint="eastAsia"/>
                <w:bCs/>
              </w:rPr>
              <w:t>2）提供票据资源类型管理功能，管理员可查看列表及详情。</w:t>
            </w:r>
          </w:p>
        </w:tc>
      </w:tr>
      <w:tr w14:paraId="0BC6AC4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764D5E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FDD644D">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4EFB84F">
            <w:pPr>
              <w:widowControl/>
              <w:spacing w:line="240" w:lineRule="auto"/>
              <w:ind w:firstLine="0" w:firstLineChars="0"/>
              <w:jc w:val="center"/>
              <w:rPr>
                <w:bCs/>
              </w:rPr>
            </w:pPr>
            <w:r>
              <w:rPr>
                <w:rFonts w:hint="eastAsia"/>
                <w:bCs/>
              </w:rPr>
              <w:t>涉链票据业务管理-票据资源登记-票据资源登记与管理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6D9278C6">
            <w:pPr>
              <w:widowControl/>
              <w:spacing w:line="240" w:lineRule="auto"/>
              <w:ind w:firstLine="0" w:firstLineChars="0"/>
              <w:rPr>
                <w:bCs/>
              </w:rPr>
            </w:pPr>
            <w:r>
              <w:rPr>
                <w:rFonts w:hint="eastAsia"/>
                <w:bCs/>
              </w:rPr>
              <w:t>提供高效、安全的票据背后关联资源的全生命周期登记与管理能力，核心功能包括：</w:t>
            </w:r>
            <w:r>
              <w:rPr>
                <w:rFonts w:hint="eastAsia"/>
                <w:bCs/>
              </w:rPr>
              <w:br w:type="textWrapping"/>
            </w:r>
            <w:r>
              <w:rPr>
                <w:rFonts w:hint="eastAsia"/>
                <w:bCs/>
              </w:rPr>
              <w:t>1) 票据资源基本信息登记，支持开票方详实登记关联数据资源的元数据（如名称、类型、描述、来源），奠定数据理解与索引基础；</w:t>
            </w:r>
            <w:r>
              <w:rPr>
                <w:rFonts w:hint="eastAsia"/>
                <w:bCs/>
              </w:rPr>
              <w:br w:type="textWrapping"/>
            </w:r>
            <w:r>
              <w:rPr>
                <w:rFonts w:hint="eastAsia"/>
                <w:bCs/>
              </w:rPr>
              <w:t>2) 票据资源存储信息登记，用于记录关键存储细节（位置、格式、访问权限），确保数据的可追溯性与受控访问；</w:t>
            </w:r>
            <w:r>
              <w:rPr>
                <w:rFonts w:hint="eastAsia"/>
                <w:bCs/>
              </w:rPr>
              <w:br w:type="textWrapping"/>
            </w:r>
            <w:r>
              <w:rPr>
                <w:rFonts w:hint="eastAsia"/>
                <w:bCs/>
              </w:rPr>
              <w:t>3) 票据资源登记凭证管理，基于区块链技术生成并管理具有法律效力的数字凭证，作为开票方对票据关联资源权属和授权的核心证明，支持凭证的查看、下载与更新；</w:t>
            </w:r>
            <w:r>
              <w:rPr>
                <w:rFonts w:hint="eastAsia"/>
                <w:bCs/>
              </w:rPr>
              <w:br w:type="textWrapping"/>
            </w:r>
            <w:r>
              <w:rPr>
                <w:rFonts w:hint="eastAsia"/>
                <w:bCs/>
              </w:rPr>
              <w:t>4) 业务接入端协同，特别强调与医院前置端的深度集成，确保票据资源信息、状态变更及访问策略在服务平台与医院业务系统间实时、强一致地同步。通过本模块，系统实现了票据关联资源的透明化登记、权属的区块链化存证与高效协同管理，为后续的票据流转、核销、审计及价值挖掘提供坚实的数据基础与信任保障。</w:t>
            </w:r>
          </w:p>
        </w:tc>
      </w:tr>
      <w:tr w14:paraId="0E16F8A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6E3138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14D51B7">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53D3B69">
            <w:pPr>
              <w:widowControl/>
              <w:spacing w:line="240" w:lineRule="auto"/>
              <w:ind w:firstLine="0" w:firstLineChars="0"/>
              <w:jc w:val="center"/>
              <w:rPr>
                <w:bCs/>
              </w:rPr>
            </w:pPr>
            <w:r>
              <w:rPr>
                <w:rFonts w:hint="eastAsia"/>
                <w:bCs/>
              </w:rPr>
              <w:t>涉链票据业务管理-票据资源登记-票据交换规则管理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69822C1C">
            <w:pPr>
              <w:widowControl/>
              <w:spacing w:line="240" w:lineRule="auto"/>
              <w:ind w:firstLine="0" w:firstLineChars="0"/>
              <w:rPr>
                <w:bCs/>
              </w:rPr>
            </w:pPr>
            <w:r>
              <w:rPr>
                <w:rFonts w:hint="eastAsia"/>
                <w:bCs/>
              </w:rPr>
              <w:t>提供票据数据交换过程的标准化、合规化与自动化治理能力，包括分层级的规则配置能力，赋能管理员根据不同业务场景灵活定义票据数据的交换规范：</w:t>
            </w:r>
            <w:r>
              <w:rPr>
                <w:rFonts w:hint="eastAsia"/>
                <w:bCs/>
              </w:rPr>
              <w:br w:type="textWrapping"/>
            </w:r>
            <w:r>
              <w:rPr>
                <w:rFonts w:hint="eastAsia"/>
                <w:bCs/>
              </w:rPr>
              <w:t>1）链下交换规则管理，允许管理员针对原始票据数据（通常在业务系统或前置端），精确定义数据要素（必填字段、可选字段）、配置字段级规则（格式校验、值域范围、逻辑依赖）及限制逻辑（如敏感信息脱敏策略），确保源头数据的质量与合规性。</w:t>
            </w:r>
            <w:r>
              <w:rPr>
                <w:rFonts w:hint="eastAsia"/>
                <w:bCs/>
              </w:rPr>
              <w:br w:type="textWrapping"/>
            </w:r>
            <w:r>
              <w:rPr>
                <w:rFonts w:hint="eastAsia"/>
                <w:bCs/>
              </w:rPr>
              <w:t>2）链上交换规则管理： 聚焦于定义上链票据数据的要素及其约束规则。核心在于与动态场景配置智能合约深度联动：管理员在链下配置的规则（如数据字段要求、校验逻辑）能动态映射并驱动链上智能合约的执行。这实现了“链下配置，链上生效”，彻底避免了修改智能合约硬编码的繁琐与风险，极大提升了规则管理的灵活性与响应速度。</w:t>
            </w:r>
            <w:r>
              <w:rPr>
                <w:rFonts w:hint="eastAsia"/>
                <w:bCs/>
              </w:rPr>
              <w:br w:type="textWrapping"/>
            </w:r>
            <w:r>
              <w:rPr>
                <w:rFonts w:hint="eastAsia"/>
                <w:bCs/>
              </w:rPr>
              <w:t>3）预置医疗电子票据模板与规则：预置符合行业标准与监管要求的医疗电子票据链上数据模板及配套交换规则，降低参与方接入合规成本。</w:t>
            </w:r>
          </w:p>
        </w:tc>
      </w:tr>
      <w:tr w14:paraId="75D3A41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FF5DC2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6A54EA4">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9BD2377">
            <w:pPr>
              <w:widowControl/>
              <w:spacing w:line="240" w:lineRule="auto"/>
              <w:ind w:firstLine="0" w:firstLineChars="0"/>
              <w:jc w:val="center"/>
              <w:rPr>
                <w:bCs/>
              </w:rPr>
            </w:pPr>
            <w:r>
              <w:rPr>
                <w:rFonts w:hint="eastAsia"/>
                <w:bCs/>
              </w:rPr>
              <w:t>涉链票据业务管理-票据流转记录-流转轨迹记录</w:t>
            </w:r>
          </w:p>
        </w:tc>
        <w:tc>
          <w:tcPr>
            <w:tcW w:w="2908" w:type="pct"/>
            <w:tcBorders>
              <w:top w:val="single" w:color="000000" w:sz="4" w:space="0"/>
              <w:left w:val="single" w:color="000000" w:sz="4" w:space="0"/>
              <w:bottom w:val="single" w:color="000000" w:sz="4" w:space="0"/>
              <w:right w:val="single" w:color="000000" w:sz="4" w:space="0"/>
            </w:tcBorders>
            <w:vAlign w:val="center"/>
          </w:tcPr>
          <w:p w14:paraId="5F1DA2E2">
            <w:pPr>
              <w:widowControl/>
              <w:spacing w:line="240" w:lineRule="auto"/>
              <w:ind w:firstLine="0" w:firstLineChars="0"/>
              <w:rPr>
                <w:bCs/>
              </w:rPr>
            </w:pPr>
            <w:r>
              <w:rPr>
                <w:rFonts w:hint="eastAsia"/>
                <w:bCs/>
              </w:rPr>
              <w:t>记录票据持有方变更历史，支持图形化展示。</w:t>
            </w:r>
          </w:p>
        </w:tc>
      </w:tr>
      <w:tr w14:paraId="66AF080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D714748">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CD9DE84">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8BA27DC">
            <w:pPr>
              <w:widowControl/>
              <w:spacing w:line="240" w:lineRule="auto"/>
              <w:ind w:firstLine="0" w:firstLineChars="0"/>
              <w:jc w:val="center"/>
              <w:rPr>
                <w:bCs/>
              </w:rPr>
            </w:pPr>
            <w:r>
              <w:rPr>
                <w:rFonts w:hint="eastAsia"/>
                <w:bCs/>
              </w:rPr>
              <w:t>涉链票据业务管理-开票上链记录-开票上链记录查询</w:t>
            </w:r>
          </w:p>
        </w:tc>
        <w:tc>
          <w:tcPr>
            <w:tcW w:w="2908" w:type="pct"/>
            <w:tcBorders>
              <w:top w:val="single" w:color="000000" w:sz="4" w:space="0"/>
              <w:left w:val="single" w:color="000000" w:sz="4" w:space="0"/>
              <w:bottom w:val="single" w:color="000000" w:sz="4" w:space="0"/>
              <w:right w:val="single" w:color="000000" w:sz="4" w:space="0"/>
            </w:tcBorders>
            <w:vAlign w:val="center"/>
          </w:tcPr>
          <w:p w14:paraId="6C35131E">
            <w:pPr>
              <w:widowControl/>
              <w:spacing w:line="240" w:lineRule="auto"/>
              <w:ind w:firstLine="0" w:firstLineChars="0"/>
              <w:rPr>
                <w:bCs/>
              </w:rPr>
            </w:pPr>
            <w:r>
              <w:rPr>
                <w:rFonts w:hint="eastAsia"/>
                <w:bCs/>
              </w:rPr>
              <w:t>提供列表页，后台管理员可通过开票方、时间段、场景检索开票上链记录，支持分页查询。</w:t>
            </w:r>
            <w:r>
              <w:rPr>
                <w:rFonts w:hint="eastAsia"/>
                <w:bCs/>
              </w:rPr>
              <w:br w:type="textWrapping"/>
            </w:r>
            <w:r>
              <w:rPr>
                <w:rFonts w:hint="eastAsia"/>
                <w:bCs/>
              </w:rPr>
              <w:t>开票上链记录详情，包括链上交易Hash，开票时间、开票方、开票场景。</w:t>
            </w:r>
          </w:p>
        </w:tc>
      </w:tr>
      <w:tr w14:paraId="3DA1B85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11C1E2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C8B3DF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2CB4F48">
            <w:pPr>
              <w:widowControl/>
              <w:spacing w:line="240" w:lineRule="auto"/>
              <w:ind w:firstLine="0" w:firstLineChars="0"/>
              <w:jc w:val="center"/>
              <w:rPr>
                <w:bCs/>
              </w:rPr>
            </w:pPr>
            <w:r>
              <w:rPr>
                <w:rFonts w:hint="eastAsia"/>
                <w:bCs/>
              </w:rPr>
              <w:t>涉链票据业务管理-链上用票服务能力-多维度票据摘要查询模块-以人查票</w:t>
            </w:r>
          </w:p>
        </w:tc>
        <w:tc>
          <w:tcPr>
            <w:tcW w:w="2908" w:type="pct"/>
            <w:tcBorders>
              <w:top w:val="single" w:color="000000" w:sz="4" w:space="0"/>
              <w:left w:val="single" w:color="000000" w:sz="4" w:space="0"/>
              <w:bottom w:val="single" w:color="000000" w:sz="4" w:space="0"/>
              <w:right w:val="single" w:color="000000" w:sz="4" w:space="0"/>
            </w:tcBorders>
            <w:vAlign w:val="center"/>
          </w:tcPr>
          <w:p w14:paraId="7AD52F49">
            <w:pPr>
              <w:widowControl/>
              <w:spacing w:line="240" w:lineRule="auto"/>
              <w:ind w:firstLine="0" w:firstLineChars="0"/>
              <w:rPr>
                <w:bCs/>
              </w:rPr>
            </w:pPr>
            <w:r>
              <w:rPr>
                <w:rFonts w:hint="eastAsia"/>
                <w:bCs/>
              </w:rPr>
              <w:t>返回持票人名下票据摘要列表</w:t>
            </w:r>
            <w:r>
              <w:rPr>
                <w:rFonts w:hint="eastAsia"/>
                <w:bCs/>
              </w:rPr>
              <w:br w:type="textWrapping"/>
            </w:r>
            <w:r>
              <w:rPr>
                <w:rFonts w:hint="eastAsia"/>
                <w:bCs/>
              </w:rPr>
              <w:t>处理逻辑包括使用分布式数字身份串联人员-票据关系，获取票据三码后通过智能合约模块查询票据</w:t>
            </w:r>
            <w:r>
              <w:rPr>
                <w:rFonts w:hint="eastAsia"/>
                <w:bCs/>
              </w:rPr>
              <w:br w:type="textWrapping"/>
            </w:r>
            <w:r>
              <w:rPr>
                <w:rFonts w:hint="eastAsia"/>
                <w:bCs/>
              </w:rPr>
              <w:t>整合查询到的票据列表，组装返回信息</w:t>
            </w:r>
            <w:r>
              <w:rPr>
                <w:rFonts w:hint="eastAsia"/>
                <w:bCs/>
              </w:rPr>
              <w:br w:type="textWrapping"/>
            </w:r>
            <w:r>
              <w:rPr>
                <w:rFonts w:hint="eastAsia"/>
                <w:bCs/>
              </w:rPr>
              <w:t>支持以自然人、法人进行查票</w:t>
            </w:r>
          </w:p>
        </w:tc>
      </w:tr>
      <w:tr w14:paraId="6FFB4AB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43BE6E2">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6FE913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BFAC9BF">
            <w:pPr>
              <w:widowControl/>
              <w:spacing w:line="240" w:lineRule="auto"/>
              <w:ind w:firstLine="0" w:firstLineChars="0"/>
              <w:jc w:val="center"/>
              <w:rPr>
                <w:bCs/>
              </w:rPr>
            </w:pPr>
            <w:r>
              <w:rPr>
                <w:rFonts w:hint="eastAsia"/>
                <w:bCs/>
              </w:rPr>
              <w:t>涉链票据业务管理-链上用票服务能力-多维度票据摘要查询模块-链上合约调用查询</w:t>
            </w:r>
          </w:p>
        </w:tc>
        <w:tc>
          <w:tcPr>
            <w:tcW w:w="2908" w:type="pct"/>
            <w:tcBorders>
              <w:top w:val="single" w:color="000000" w:sz="4" w:space="0"/>
              <w:left w:val="single" w:color="000000" w:sz="4" w:space="0"/>
              <w:bottom w:val="single" w:color="000000" w:sz="4" w:space="0"/>
              <w:right w:val="single" w:color="000000" w:sz="4" w:space="0"/>
            </w:tcBorders>
            <w:vAlign w:val="center"/>
          </w:tcPr>
          <w:p w14:paraId="33A34AFA">
            <w:pPr>
              <w:widowControl/>
              <w:spacing w:line="240" w:lineRule="auto"/>
              <w:ind w:firstLine="0" w:firstLineChars="0"/>
              <w:rPr>
                <w:bCs/>
              </w:rPr>
            </w:pPr>
            <w:r>
              <w:rPr>
                <w:rFonts w:hint="eastAsia"/>
                <w:bCs/>
              </w:rPr>
              <w:t>提供链上查询合约调用，组装查询报文，返回的链上信息抽取票据信息关键字段组合以人查票所需信息</w:t>
            </w:r>
          </w:p>
        </w:tc>
      </w:tr>
      <w:tr w14:paraId="663CCE0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F706B7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571095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4724BB4">
            <w:pPr>
              <w:widowControl/>
              <w:spacing w:line="240" w:lineRule="auto"/>
              <w:ind w:firstLine="0" w:firstLineChars="0"/>
              <w:jc w:val="center"/>
              <w:rPr>
                <w:bCs/>
              </w:rPr>
            </w:pPr>
            <w:r>
              <w:rPr>
                <w:rFonts w:hint="eastAsia"/>
                <w:bCs/>
              </w:rPr>
              <w:t>涉链票据业务管理-链上用票服务能力-多维度票据摘要查询模块-结果缓存</w:t>
            </w:r>
          </w:p>
        </w:tc>
        <w:tc>
          <w:tcPr>
            <w:tcW w:w="2908" w:type="pct"/>
            <w:tcBorders>
              <w:top w:val="single" w:color="000000" w:sz="4" w:space="0"/>
              <w:left w:val="single" w:color="000000" w:sz="4" w:space="0"/>
              <w:bottom w:val="single" w:color="000000" w:sz="4" w:space="0"/>
              <w:right w:val="single" w:color="000000" w:sz="4" w:space="0"/>
            </w:tcBorders>
            <w:vAlign w:val="center"/>
          </w:tcPr>
          <w:p w14:paraId="2676F9E9">
            <w:pPr>
              <w:widowControl/>
              <w:spacing w:line="240" w:lineRule="auto"/>
              <w:ind w:firstLine="0" w:firstLineChars="0"/>
              <w:rPr>
                <w:bCs/>
              </w:rPr>
            </w:pPr>
            <w:r>
              <w:rPr>
                <w:rFonts w:hint="eastAsia"/>
                <w:bCs/>
              </w:rPr>
              <w:t>对高频查询结果建立Redis缓存（TTL=5分钟），降低区块链直接访问压力</w:t>
            </w:r>
          </w:p>
        </w:tc>
      </w:tr>
      <w:tr w14:paraId="1F7AAB1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068006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25B644B">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25AB64F">
            <w:pPr>
              <w:widowControl/>
              <w:spacing w:line="240" w:lineRule="auto"/>
              <w:ind w:firstLine="0" w:firstLineChars="0"/>
              <w:jc w:val="center"/>
              <w:rPr>
                <w:bCs/>
              </w:rPr>
            </w:pPr>
            <w:r>
              <w:rPr>
                <w:rFonts w:hint="eastAsia"/>
                <w:bCs/>
              </w:rPr>
              <w:t>涉链票据业务管理-链上用票服务能力-多维度票据摘要查询模块-批量查询能力</w:t>
            </w:r>
          </w:p>
        </w:tc>
        <w:tc>
          <w:tcPr>
            <w:tcW w:w="2908" w:type="pct"/>
            <w:tcBorders>
              <w:top w:val="single" w:color="000000" w:sz="4" w:space="0"/>
              <w:left w:val="single" w:color="000000" w:sz="4" w:space="0"/>
              <w:bottom w:val="single" w:color="000000" w:sz="4" w:space="0"/>
              <w:right w:val="single" w:color="000000" w:sz="4" w:space="0"/>
            </w:tcBorders>
            <w:vAlign w:val="center"/>
          </w:tcPr>
          <w:p w14:paraId="77F9BDA8">
            <w:pPr>
              <w:widowControl/>
              <w:spacing w:line="240" w:lineRule="auto"/>
              <w:ind w:firstLine="0" w:firstLineChars="0"/>
              <w:rPr>
                <w:bCs/>
              </w:rPr>
            </w:pPr>
            <w:r>
              <w:rPr>
                <w:rFonts w:hint="eastAsia"/>
                <w:bCs/>
              </w:rPr>
              <w:t>提供批量检索能力，可批量提供人员信息或票据信息进行批量检索</w:t>
            </w:r>
          </w:p>
        </w:tc>
      </w:tr>
      <w:tr w14:paraId="449627E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1D39FA0">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02BFFA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7E89550">
            <w:pPr>
              <w:widowControl/>
              <w:spacing w:line="240" w:lineRule="auto"/>
              <w:ind w:firstLine="0" w:firstLineChars="0"/>
              <w:jc w:val="center"/>
              <w:rPr>
                <w:bCs/>
              </w:rPr>
            </w:pPr>
            <w:r>
              <w:rPr>
                <w:rFonts w:hint="eastAsia"/>
                <w:bCs/>
              </w:rPr>
              <w:t>涉链票据业务管理-链上用票服务能力-多维度票据摘要查询模块-多渠道查询能力兼容</w:t>
            </w:r>
          </w:p>
        </w:tc>
        <w:tc>
          <w:tcPr>
            <w:tcW w:w="2908" w:type="pct"/>
            <w:tcBorders>
              <w:top w:val="single" w:color="000000" w:sz="4" w:space="0"/>
              <w:left w:val="single" w:color="000000" w:sz="4" w:space="0"/>
              <w:bottom w:val="single" w:color="000000" w:sz="4" w:space="0"/>
              <w:right w:val="single" w:color="000000" w:sz="4" w:space="0"/>
            </w:tcBorders>
            <w:vAlign w:val="center"/>
          </w:tcPr>
          <w:p w14:paraId="55718121">
            <w:pPr>
              <w:widowControl/>
              <w:spacing w:line="240" w:lineRule="auto"/>
              <w:ind w:firstLine="0" w:firstLineChars="0"/>
              <w:rPr>
                <w:bCs/>
              </w:rPr>
            </w:pPr>
            <w:r>
              <w:rPr>
                <w:rFonts w:hint="eastAsia"/>
                <w:bCs/>
              </w:rPr>
              <w:t>兼容面向特定系统的以票查票需求，支持通过票据三码查询票据</w:t>
            </w:r>
            <w:r>
              <w:rPr>
                <w:rFonts w:hint="eastAsia"/>
                <w:bCs/>
              </w:rPr>
              <w:br w:type="textWrapping"/>
            </w:r>
            <w:r>
              <w:rPr>
                <w:rFonts w:hint="eastAsia"/>
                <w:bCs/>
              </w:rPr>
              <w:t>优先查询链上票据，针对历史存量未上链数据查询非税系统</w:t>
            </w:r>
            <w:r>
              <w:rPr>
                <w:rFonts w:hint="eastAsia"/>
                <w:bCs/>
              </w:rPr>
              <w:br w:type="textWrapping"/>
            </w:r>
            <w:r>
              <w:rPr>
                <w:rFonts w:hint="eastAsia"/>
                <w:bCs/>
              </w:rPr>
              <w:t>提供白名单设置能力，支持基于白名单免授权查询票据能力</w:t>
            </w:r>
          </w:p>
        </w:tc>
      </w:tr>
      <w:tr w14:paraId="60269B9F">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197AB0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54CE73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6C0E23A">
            <w:pPr>
              <w:widowControl/>
              <w:spacing w:line="240" w:lineRule="auto"/>
              <w:ind w:firstLine="0" w:firstLineChars="0"/>
              <w:jc w:val="center"/>
              <w:rPr>
                <w:bCs/>
              </w:rPr>
            </w:pPr>
            <w:r>
              <w:rPr>
                <w:rFonts w:hint="eastAsia"/>
                <w:bCs/>
              </w:rPr>
              <w:t>涉链票据业务管理-链上用票服务能力-多维度票据摘要查询模块-基于零知识证明的查询能力</w:t>
            </w:r>
          </w:p>
        </w:tc>
        <w:tc>
          <w:tcPr>
            <w:tcW w:w="2908" w:type="pct"/>
            <w:tcBorders>
              <w:top w:val="single" w:color="000000" w:sz="4" w:space="0"/>
              <w:left w:val="single" w:color="000000" w:sz="4" w:space="0"/>
              <w:bottom w:val="single" w:color="000000" w:sz="4" w:space="0"/>
              <w:right w:val="single" w:color="000000" w:sz="4" w:space="0"/>
            </w:tcBorders>
            <w:vAlign w:val="center"/>
          </w:tcPr>
          <w:p w14:paraId="6E187711">
            <w:pPr>
              <w:widowControl/>
              <w:spacing w:line="240" w:lineRule="auto"/>
              <w:ind w:firstLine="0" w:firstLineChars="0"/>
              <w:rPr>
                <w:bCs/>
              </w:rPr>
            </w:pPr>
            <w:r>
              <w:rPr>
                <w:rFonts w:hint="eastAsia"/>
                <w:bCs/>
              </w:rPr>
              <w:t>链下支持设置票据数据筛选票据范围（如时间范围、票据场景）</w:t>
            </w:r>
            <w:r>
              <w:rPr>
                <w:rFonts w:hint="eastAsia"/>
                <w:bCs/>
              </w:rPr>
              <w:br w:type="textWrapping"/>
            </w:r>
            <w:r>
              <w:rPr>
                <w:rFonts w:hint="eastAsia"/>
                <w:bCs/>
              </w:rPr>
              <w:t>生成零知识证明，证明“存在/不存在符合条件的票据”</w:t>
            </w:r>
            <w:r>
              <w:rPr>
                <w:rFonts w:hint="eastAsia"/>
                <w:bCs/>
              </w:rPr>
              <w:br w:type="textWrapping"/>
            </w:r>
            <w:r>
              <w:rPr>
                <w:rFonts w:hint="eastAsia"/>
                <w:bCs/>
              </w:rPr>
              <w:t>联动链上智能合约，实现查询结果反馈</w:t>
            </w:r>
          </w:p>
        </w:tc>
      </w:tr>
      <w:tr w14:paraId="03B5DAA3">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BC94E5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88B2172">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B7C62A9">
            <w:pPr>
              <w:widowControl/>
              <w:spacing w:line="240" w:lineRule="auto"/>
              <w:ind w:firstLine="0" w:firstLineChars="0"/>
              <w:jc w:val="center"/>
              <w:rPr>
                <w:bCs/>
              </w:rPr>
            </w:pPr>
            <w:r>
              <w:rPr>
                <w:rFonts w:hint="eastAsia"/>
                <w:bCs/>
              </w:rPr>
              <w:t>涉链票据业务管理-链上用票服务能力-点对点票据数据资源查询模块-票据全量结构化数据查询服务</w:t>
            </w:r>
          </w:p>
        </w:tc>
        <w:tc>
          <w:tcPr>
            <w:tcW w:w="2908" w:type="pct"/>
            <w:tcBorders>
              <w:top w:val="single" w:color="000000" w:sz="4" w:space="0"/>
              <w:left w:val="single" w:color="000000" w:sz="4" w:space="0"/>
              <w:bottom w:val="single" w:color="000000" w:sz="4" w:space="0"/>
              <w:right w:val="single" w:color="000000" w:sz="4" w:space="0"/>
            </w:tcBorders>
            <w:vAlign w:val="center"/>
          </w:tcPr>
          <w:p w14:paraId="18C64719">
            <w:pPr>
              <w:widowControl/>
              <w:spacing w:line="240" w:lineRule="auto"/>
              <w:ind w:firstLine="0" w:firstLineChars="0"/>
              <w:rPr>
                <w:bCs/>
              </w:rPr>
            </w:pPr>
            <w:r>
              <w:rPr>
                <w:rFonts w:hint="eastAsia"/>
                <w:bCs/>
              </w:rPr>
              <w:t>通过路由定位到票据所在资源地址，查询结构化数据</w:t>
            </w:r>
          </w:p>
        </w:tc>
      </w:tr>
      <w:tr w14:paraId="569B5F0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7A83B2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21EDF6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3536D37">
            <w:pPr>
              <w:widowControl/>
              <w:spacing w:line="240" w:lineRule="auto"/>
              <w:ind w:firstLine="0" w:firstLineChars="0"/>
              <w:jc w:val="center"/>
              <w:rPr>
                <w:bCs/>
              </w:rPr>
            </w:pPr>
            <w:r>
              <w:rPr>
                <w:rFonts w:hint="eastAsia"/>
                <w:bCs/>
              </w:rPr>
              <w:t>涉链票据业务管理-链上用票服务能力-点对点票据数据资源查询模块-票据PDF查询服务</w:t>
            </w:r>
          </w:p>
        </w:tc>
        <w:tc>
          <w:tcPr>
            <w:tcW w:w="2908" w:type="pct"/>
            <w:tcBorders>
              <w:top w:val="single" w:color="000000" w:sz="4" w:space="0"/>
              <w:left w:val="single" w:color="000000" w:sz="4" w:space="0"/>
              <w:bottom w:val="single" w:color="000000" w:sz="4" w:space="0"/>
              <w:right w:val="single" w:color="000000" w:sz="4" w:space="0"/>
            </w:tcBorders>
            <w:vAlign w:val="center"/>
          </w:tcPr>
          <w:p w14:paraId="0B121A69">
            <w:pPr>
              <w:widowControl/>
              <w:spacing w:line="240" w:lineRule="auto"/>
              <w:ind w:firstLine="0" w:firstLineChars="0"/>
              <w:rPr>
                <w:bCs/>
              </w:rPr>
            </w:pPr>
            <w:r>
              <w:rPr>
                <w:rFonts w:hint="eastAsia"/>
                <w:bCs/>
              </w:rPr>
              <w:t>通过路由定位到票据所在资源地址，下载PDF文件</w:t>
            </w:r>
          </w:p>
        </w:tc>
      </w:tr>
      <w:tr w14:paraId="797FAE63">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EEF7A76">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7033A3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454D79D">
            <w:pPr>
              <w:widowControl/>
              <w:spacing w:line="240" w:lineRule="auto"/>
              <w:ind w:firstLine="0" w:firstLineChars="0"/>
              <w:jc w:val="center"/>
              <w:rPr>
                <w:bCs/>
              </w:rPr>
            </w:pPr>
            <w:r>
              <w:rPr>
                <w:rFonts w:hint="eastAsia"/>
                <w:bCs/>
              </w:rPr>
              <w:t>涉链票据业务管理-链上用票服务能力-点对点票据数据资源查询模块-路由补偿模块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4EBC2BFC">
            <w:pPr>
              <w:widowControl/>
              <w:spacing w:line="240" w:lineRule="auto"/>
              <w:ind w:firstLine="0" w:firstLineChars="0"/>
              <w:rPr>
                <w:bCs/>
              </w:rPr>
            </w:pPr>
            <w:r>
              <w:rPr>
                <w:rFonts w:hint="eastAsia"/>
                <w:bCs/>
              </w:rPr>
              <w:t>点对点路由未响应时，平台中转路由，数据流通过平台流转</w:t>
            </w:r>
          </w:p>
        </w:tc>
      </w:tr>
      <w:tr w14:paraId="5EB2DBA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B6E8762">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58F7E7B">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FBF140D">
            <w:pPr>
              <w:widowControl/>
              <w:spacing w:line="240" w:lineRule="auto"/>
              <w:ind w:firstLine="0" w:firstLineChars="0"/>
              <w:jc w:val="center"/>
              <w:rPr>
                <w:bCs/>
              </w:rPr>
            </w:pPr>
            <w:r>
              <w:rPr>
                <w:rFonts w:hint="eastAsia"/>
                <w:bCs/>
              </w:rPr>
              <w:t>涉链票据业务管理-链上用票服务能力-供数方核验服务模块-授权凭证解析</w:t>
            </w:r>
          </w:p>
        </w:tc>
        <w:tc>
          <w:tcPr>
            <w:tcW w:w="2908" w:type="pct"/>
            <w:tcBorders>
              <w:top w:val="single" w:color="000000" w:sz="4" w:space="0"/>
              <w:left w:val="single" w:color="000000" w:sz="4" w:space="0"/>
              <w:bottom w:val="single" w:color="000000" w:sz="4" w:space="0"/>
              <w:right w:val="single" w:color="000000" w:sz="4" w:space="0"/>
            </w:tcBorders>
            <w:vAlign w:val="center"/>
          </w:tcPr>
          <w:p w14:paraId="7FD53248">
            <w:pPr>
              <w:widowControl/>
              <w:spacing w:line="240" w:lineRule="auto"/>
              <w:ind w:firstLine="0" w:firstLineChars="0"/>
              <w:rPr>
                <w:bCs/>
              </w:rPr>
            </w:pPr>
            <w:r>
              <w:rPr>
                <w:rFonts w:hint="eastAsia"/>
                <w:bCs/>
              </w:rPr>
              <w:t>解析VC中的JWT结构，提取持票人分布式身份标识、票据哈希、授权范围等关键信息</w:t>
            </w:r>
            <w:r>
              <w:rPr>
                <w:rFonts w:hint="eastAsia"/>
                <w:bCs/>
              </w:rPr>
              <w:br w:type="textWrapping"/>
            </w:r>
            <w:r>
              <w:rPr>
                <w:rFonts w:hint="eastAsia"/>
                <w:bCs/>
              </w:rPr>
              <w:t>验证签名有效性（使用开票方根证书公钥）</w:t>
            </w:r>
          </w:p>
        </w:tc>
      </w:tr>
      <w:tr w14:paraId="2A786F55">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F548E1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93D0DD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61EA95F">
            <w:pPr>
              <w:widowControl/>
              <w:spacing w:line="240" w:lineRule="auto"/>
              <w:ind w:firstLine="0" w:firstLineChars="0"/>
              <w:jc w:val="center"/>
              <w:rPr>
                <w:bCs/>
              </w:rPr>
            </w:pPr>
            <w:r>
              <w:rPr>
                <w:rFonts w:hint="eastAsia"/>
                <w:bCs/>
              </w:rPr>
              <w:t>涉链票据业务管理-链上用票服务能力-供数方核验服务模块-票据资源访问控制</w:t>
            </w:r>
          </w:p>
        </w:tc>
        <w:tc>
          <w:tcPr>
            <w:tcW w:w="2908" w:type="pct"/>
            <w:tcBorders>
              <w:top w:val="single" w:color="000000" w:sz="4" w:space="0"/>
              <w:left w:val="single" w:color="000000" w:sz="4" w:space="0"/>
              <w:bottom w:val="single" w:color="000000" w:sz="4" w:space="0"/>
              <w:right w:val="single" w:color="000000" w:sz="4" w:space="0"/>
            </w:tcBorders>
            <w:vAlign w:val="center"/>
          </w:tcPr>
          <w:p w14:paraId="5227B3A0">
            <w:pPr>
              <w:widowControl/>
              <w:spacing w:line="240" w:lineRule="auto"/>
              <w:ind w:firstLine="0" w:firstLineChars="0"/>
              <w:rPr>
                <w:bCs/>
              </w:rPr>
            </w:pPr>
            <w:r>
              <w:rPr>
                <w:rFonts w:hint="eastAsia"/>
                <w:bCs/>
              </w:rPr>
              <w:t>根据授权凭证信息，建立访问通道，基于精准授权访问对应的票据资源</w:t>
            </w:r>
          </w:p>
        </w:tc>
      </w:tr>
      <w:tr w14:paraId="117B5E9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B07B161">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004CA6D">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97FC28A">
            <w:pPr>
              <w:widowControl/>
              <w:spacing w:line="240" w:lineRule="auto"/>
              <w:ind w:firstLine="0" w:firstLineChars="0"/>
              <w:jc w:val="center"/>
              <w:rPr>
                <w:bCs/>
              </w:rPr>
            </w:pPr>
            <w:r>
              <w:rPr>
                <w:rFonts w:hint="eastAsia"/>
                <w:bCs/>
              </w:rPr>
              <w:t>涉链票据业务管理-链上用票服务能力-票据一致性校验模块-核验一致性</w:t>
            </w:r>
          </w:p>
        </w:tc>
        <w:tc>
          <w:tcPr>
            <w:tcW w:w="2908" w:type="pct"/>
            <w:tcBorders>
              <w:top w:val="single" w:color="000000" w:sz="4" w:space="0"/>
              <w:left w:val="single" w:color="000000" w:sz="4" w:space="0"/>
              <w:bottom w:val="single" w:color="000000" w:sz="4" w:space="0"/>
              <w:right w:val="single" w:color="000000" w:sz="4" w:space="0"/>
            </w:tcBorders>
            <w:vAlign w:val="center"/>
          </w:tcPr>
          <w:p w14:paraId="71841DEF">
            <w:pPr>
              <w:widowControl/>
              <w:spacing w:line="240" w:lineRule="auto"/>
              <w:ind w:firstLine="0" w:firstLineChars="0"/>
              <w:rPr>
                <w:bCs/>
              </w:rPr>
            </w:pPr>
            <w:r>
              <w:rPr>
                <w:rFonts w:hint="eastAsia"/>
                <w:bCs/>
              </w:rPr>
              <w:t>支持在获取票据数据资源时，内部调用逻辑，进行PDF/XML文件的SM3 哈希计算；提供哈希值缓存能力避免重复计算</w:t>
            </w:r>
          </w:p>
        </w:tc>
      </w:tr>
      <w:tr w14:paraId="5F922303">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F5950A5">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9AC5227">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1F69161">
            <w:pPr>
              <w:widowControl/>
              <w:spacing w:line="240" w:lineRule="auto"/>
              <w:ind w:firstLine="0" w:firstLineChars="0"/>
              <w:jc w:val="center"/>
              <w:rPr>
                <w:bCs/>
              </w:rPr>
            </w:pPr>
            <w:r>
              <w:rPr>
                <w:rFonts w:hint="eastAsia"/>
                <w:bCs/>
              </w:rPr>
              <w:t>涉链票据业务管理-链上用票服务能力-票据一致性校验模块-链上数据比对</w:t>
            </w:r>
          </w:p>
        </w:tc>
        <w:tc>
          <w:tcPr>
            <w:tcW w:w="2908" w:type="pct"/>
            <w:tcBorders>
              <w:top w:val="single" w:color="000000" w:sz="4" w:space="0"/>
              <w:left w:val="single" w:color="000000" w:sz="4" w:space="0"/>
              <w:bottom w:val="single" w:color="000000" w:sz="4" w:space="0"/>
              <w:right w:val="single" w:color="000000" w:sz="4" w:space="0"/>
            </w:tcBorders>
            <w:vAlign w:val="center"/>
          </w:tcPr>
          <w:p w14:paraId="6CDAA8BB">
            <w:pPr>
              <w:widowControl/>
              <w:spacing w:line="240" w:lineRule="auto"/>
              <w:ind w:firstLine="0" w:firstLineChars="0"/>
              <w:rPr>
                <w:bCs/>
              </w:rPr>
            </w:pPr>
            <w:r>
              <w:rPr>
                <w:rFonts w:hint="eastAsia"/>
                <w:bCs/>
              </w:rPr>
              <w:t>通过合约从链上获取票据哈希基准值，进行比对</w:t>
            </w:r>
          </w:p>
        </w:tc>
      </w:tr>
      <w:tr w14:paraId="44E6719F">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D56063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1D0947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C1F0920">
            <w:pPr>
              <w:widowControl/>
              <w:spacing w:line="240" w:lineRule="auto"/>
              <w:ind w:firstLine="0" w:firstLineChars="0"/>
              <w:jc w:val="center"/>
              <w:rPr>
                <w:bCs/>
              </w:rPr>
            </w:pPr>
            <w:r>
              <w:rPr>
                <w:rFonts w:hint="eastAsia"/>
                <w:bCs/>
              </w:rPr>
              <w:t>涉链票据业务管理-链上用票服务能力-票据一致性校验模块-差异处理模块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4B54F4BB">
            <w:pPr>
              <w:widowControl/>
              <w:spacing w:line="240" w:lineRule="auto"/>
              <w:ind w:firstLine="0" w:firstLineChars="0"/>
              <w:rPr>
                <w:bCs/>
              </w:rPr>
            </w:pPr>
            <w:r>
              <w:rPr>
                <w:rFonts w:hint="eastAsia"/>
                <w:bCs/>
              </w:rPr>
              <w:t>哈希值不一致时记录审计事件，触发比对不一致处理流程</w:t>
            </w:r>
          </w:p>
        </w:tc>
      </w:tr>
      <w:tr w14:paraId="6A7D7AD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DC76C4E">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34D9AF2">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42359BF">
            <w:pPr>
              <w:widowControl/>
              <w:spacing w:line="240" w:lineRule="auto"/>
              <w:ind w:firstLine="0" w:firstLineChars="0"/>
              <w:jc w:val="center"/>
              <w:rPr>
                <w:bCs/>
              </w:rPr>
            </w:pPr>
            <w:r>
              <w:rPr>
                <w:rFonts w:hint="eastAsia"/>
                <w:bCs/>
              </w:rPr>
              <w:t>涉链票据业务管理-链上用票服务能力-历史数据查询-以票查票、查询下载、状态回写</w:t>
            </w:r>
          </w:p>
        </w:tc>
        <w:tc>
          <w:tcPr>
            <w:tcW w:w="2908" w:type="pct"/>
            <w:tcBorders>
              <w:top w:val="single" w:color="000000" w:sz="4" w:space="0"/>
              <w:left w:val="single" w:color="000000" w:sz="4" w:space="0"/>
              <w:bottom w:val="single" w:color="000000" w:sz="4" w:space="0"/>
              <w:right w:val="single" w:color="000000" w:sz="4" w:space="0"/>
            </w:tcBorders>
            <w:vAlign w:val="center"/>
          </w:tcPr>
          <w:p w14:paraId="60E1E4C9">
            <w:pPr>
              <w:widowControl/>
              <w:spacing w:line="240" w:lineRule="auto"/>
              <w:ind w:firstLine="0" w:firstLineChars="0"/>
              <w:rPr>
                <w:bCs/>
              </w:rPr>
            </w:pPr>
            <w:r>
              <w:rPr>
                <w:rFonts w:hint="eastAsia"/>
                <w:bCs/>
              </w:rPr>
              <w:t>以票查票：提供与原财政非税票据系统对接，系统切换过渡期，需通过接口获取历史存量票据信息。</w:t>
            </w:r>
            <w:r>
              <w:rPr>
                <w:rFonts w:hint="eastAsia"/>
                <w:bCs/>
              </w:rPr>
              <w:br w:type="textWrapping"/>
            </w:r>
            <w:r>
              <w:rPr>
                <w:rFonts w:hint="eastAsia"/>
                <w:bCs/>
              </w:rPr>
              <w:t>查询下载：提供与原财政非税票据系统对接，系统切换过渡期，需通过此接口进行票据的查询和下载</w:t>
            </w:r>
            <w:r>
              <w:rPr>
                <w:rFonts w:hint="eastAsia"/>
                <w:bCs/>
              </w:rPr>
              <w:br w:type="textWrapping"/>
            </w:r>
            <w:r>
              <w:rPr>
                <w:rFonts w:hint="eastAsia"/>
                <w:bCs/>
              </w:rPr>
              <w:t>状态回写对接：系统切换过渡期，所有票据状态变更均需调用状态回写接口进行回写</w:t>
            </w:r>
          </w:p>
        </w:tc>
      </w:tr>
      <w:tr w14:paraId="5909095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44C42B0">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301CB32">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F298D7E">
            <w:pPr>
              <w:widowControl/>
              <w:spacing w:line="240" w:lineRule="auto"/>
              <w:ind w:firstLine="0" w:firstLineChars="0"/>
              <w:jc w:val="center"/>
              <w:rPr>
                <w:bCs/>
              </w:rPr>
            </w:pPr>
            <w:r>
              <w:rPr>
                <w:rFonts w:hint="eastAsia"/>
                <w:bCs/>
              </w:rPr>
              <w:t>涉链票据业务管理-链上用票服务能力-医保用票场景推送</w:t>
            </w:r>
          </w:p>
        </w:tc>
        <w:tc>
          <w:tcPr>
            <w:tcW w:w="2908" w:type="pct"/>
            <w:tcBorders>
              <w:top w:val="single" w:color="000000" w:sz="4" w:space="0"/>
              <w:left w:val="single" w:color="000000" w:sz="4" w:space="0"/>
              <w:bottom w:val="single" w:color="000000" w:sz="4" w:space="0"/>
              <w:right w:val="single" w:color="000000" w:sz="4" w:space="0"/>
            </w:tcBorders>
            <w:vAlign w:val="center"/>
          </w:tcPr>
          <w:p w14:paraId="3C7BB0DE">
            <w:pPr>
              <w:widowControl/>
              <w:spacing w:line="240" w:lineRule="auto"/>
              <w:ind w:firstLine="0" w:firstLineChars="0"/>
              <w:rPr>
                <w:bCs/>
              </w:rPr>
            </w:pPr>
            <w:r>
              <w:rPr>
                <w:rFonts w:hint="eastAsia"/>
                <w:bCs/>
              </w:rPr>
              <w:t>提供与医保系统对接，支持授权凭证签发后向医保系统推送</w:t>
            </w:r>
          </w:p>
        </w:tc>
      </w:tr>
      <w:tr w14:paraId="66479B1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CDAFB46">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4806534">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84483AA">
            <w:pPr>
              <w:widowControl/>
              <w:spacing w:line="240" w:lineRule="auto"/>
              <w:ind w:firstLine="0" w:firstLineChars="0"/>
              <w:jc w:val="center"/>
              <w:rPr>
                <w:bCs/>
              </w:rPr>
            </w:pPr>
            <w:r>
              <w:rPr>
                <w:rFonts w:hint="eastAsia"/>
                <w:bCs/>
              </w:rPr>
              <w:t>涉链票据业务管理-链上用票服务能力-商保用票场景推送</w:t>
            </w:r>
          </w:p>
        </w:tc>
        <w:tc>
          <w:tcPr>
            <w:tcW w:w="2908" w:type="pct"/>
            <w:tcBorders>
              <w:top w:val="single" w:color="000000" w:sz="4" w:space="0"/>
              <w:left w:val="single" w:color="000000" w:sz="4" w:space="0"/>
              <w:bottom w:val="single" w:color="000000" w:sz="4" w:space="0"/>
              <w:right w:val="single" w:color="000000" w:sz="4" w:space="0"/>
            </w:tcBorders>
            <w:vAlign w:val="center"/>
          </w:tcPr>
          <w:p w14:paraId="2A003793">
            <w:pPr>
              <w:widowControl/>
              <w:spacing w:line="240" w:lineRule="auto"/>
              <w:ind w:firstLine="0" w:firstLineChars="0"/>
              <w:rPr>
                <w:bCs/>
              </w:rPr>
            </w:pPr>
            <w:r>
              <w:rPr>
                <w:rFonts w:hint="eastAsia"/>
                <w:bCs/>
              </w:rPr>
              <w:t>以人查票后精准授权。授权签发后，支持凭证根据holder进行分发</w:t>
            </w:r>
            <w:r>
              <w:rPr>
                <w:rFonts w:hint="eastAsia"/>
                <w:bCs/>
              </w:rPr>
              <w:br w:type="textWrapping"/>
            </w:r>
            <w:r>
              <w:rPr>
                <w:rFonts w:hint="eastAsia"/>
                <w:bCs/>
              </w:rPr>
              <w:t>设置商保清单，通过商保公司分布式身份标识推送授权凭证</w:t>
            </w:r>
          </w:p>
        </w:tc>
      </w:tr>
      <w:tr w14:paraId="26574BB8">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E05A51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86E9D5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90813C0">
            <w:pPr>
              <w:widowControl/>
              <w:spacing w:line="240" w:lineRule="auto"/>
              <w:ind w:firstLine="0" w:firstLineChars="0"/>
              <w:jc w:val="center"/>
              <w:rPr>
                <w:bCs/>
              </w:rPr>
            </w:pPr>
            <w:r>
              <w:rPr>
                <w:rFonts w:hint="eastAsia"/>
                <w:bCs/>
              </w:rPr>
              <w:t>涉链票据业务管理-财政票据一致性比对模块-跨系统状态同步引擎</w:t>
            </w:r>
          </w:p>
        </w:tc>
        <w:tc>
          <w:tcPr>
            <w:tcW w:w="2908" w:type="pct"/>
            <w:tcBorders>
              <w:top w:val="single" w:color="000000" w:sz="4" w:space="0"/>
              <w:left w:val="single" w:color="000000" w:sz="4" w:space="0"/>
              <w:bottom w:val="single" w:color="000000" w:sz="4" w:space="0"/>
              <w:right w:val="single" w:color="000000" w:sz="4" w:space="0"/>
            </w:tcBorders>
            <w:vAlign w:val="center"/>
          </w:tcPr>
          <w:p w14:paraId="51AB17A1">
            <w:pPr>
              <w:widowControl/>
              <w:spacing w:line="240" w:lineRule="auto"/>
              <w:ind w:firstLine="0" w:firstLineChars="0"/>
              <w:rPr>
                <w:bCs/>
              </w:rPr>
            </w:pPr>
            <w:r>
              <w:rPr>
                <w:rFonts w:hint="eastAsia"/>
                <w:bCs/>
              </w:rPr>
              <w:t>建立链上（财票链）与链下（财政票据系统）之间的标准化通信服务，支持异步/同步两种同步模式</w:t>
            </w:r>
          </w:p>
        </w:tc>
      </w:tr>
      <w:tr w14:paraId="2A2B8053">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2D064E6">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020A132">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128E685">
            <w:pPr>
              <w:widowControl/>
              <w:spacing w:line="240" w:lineRule="auto"/>
              <w:ind w:firstLine="0" w:firstLineChars="0"/>
              <w:jc w:val="center"/>
              <w:rPr>
                <w:bCs/>
              </w:rPr>
            </w:pPr>
            <w:r>
              <w:rPr>
                <w:rFonts w:hint="eastAsia"/>
                <w:bCs/>
              </w:rPr>
              <w:t>涉链票据业务管理-财政票据一致性比对模块-自动化校验结果推送及比对</w:t>
            </w:r>
          </w:p>
        </w:tc>
        <w:tc>
          <w:tcPr>
            <w:tcW w:w="2908" w:type="pct"/>
            <w:tcBorders>
              <w:top w:val="single" w:color="000000" w:sz="4" w:space="0"/>
              <w:left w:val="single" w:color="000000" w:sz="4" w:space="0"/>
              <w:bottom w:val="single" w:color="000000" w:sz="4" w:space="0"/>
              <w:right w:val="single" w:color="000000" w:sz="4" w:space="0"/>
            </w:tcBorders>
            <w:vAlign w:val="center"/>
          </w:tcPr>
          <w:p w14:paraId="433573BB">
            <w:pPr>
              <w:widowControl/>
              <w:spacing w:line="240" w:lineRule="auto"/>
              <w:ind w:firstLine="0" w:firstLineChars="0"/>
              <w:rPr>
                <w:bCs/>
              </w:rPr>
            </w:pPr>
            <w:r>
              <w:rPr>
                <w:rFonts w:hint="eastAsia"/>
                <w:bCs/>
              </w:rPr>
              <w:t>进行票据XML数据哈希值校验，推送核验结果，更新票据状态字段</w:t>
            </w:r>
          </w:p>
        </w:tc>
      </w:tr>
      <w:tr w14:paraId="5D73E23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6B5EA2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58F397D">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33CA9F4">
            <w:pPr>
              <w:widowControl/>
              <w:spacing w:line="240" w:lineRule="auto"/>
              <w:ind w:firstLine="0" w:firstLineChars="0"/>
              <w:jc w:val="center"/>
              <w:rPr>
                <w:bCs/>
              </w:rPr>
            </w:pPr>
            <w:r>
              <w:rPr>
                <w:rFonts w:hint="eastAsia"/>
                <w:bCs/>
              </w:rPr>
              <w:t>涉链票据业务管理-财政票据一致性比对模块-票据一致性模块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54262299">
            <w:pPr>
              <w:widowControl/>
              <w:spacing w:line="240" w:lineRule="auto"/>
              <w:ind w:firstLine="0" w:firstLineChars="0"/>
              <w:rPr>
                <w:bCs/>
              </w:rPr>
            </w:pPr>
            <w:r>
              <w:rPr>
                <w:rFonts w:hint="eastAsia"/>
                <w:bCs/>
              </w:rPr>
              <w:t>比对链上链下票据数据和状态，按链上准确状态及时间逻辑，通过补偿事务修复不一致数据</w:t>
            </w:r>
          </w:p>
        </w:tc>
      </w:tr>
      <w:tr w14:paraId="1B799491">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1E8449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F42BD1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448D2CF">
            <w:pPr>
              <w:widowControl/>
              <w:spacing w:line="240" w:lineRule="auto"/>
              <w:ind w:firstLine="0" w:firstLineChars="0"/>
              <w:jc w:val="center"/>
              <w:rPr>
                <w:bCs/>
              </w:rPr>
            </w:pPr>
            <w:r>
              <w:rPr>
                <w:rFonts w:hint="eastAsia"/>
                <w:bCs/>
              </w:rPr>
              <w:t>涉链票据业务管理-票据摘要信息交互-业务接入端摘要信息传递</w:t>
            </w:r>
          </w:p>
        </w:tc>
        <w:tc>
          <w:tcPr>
            <w:tcW w:w="2908" w:type="pct"/>
            <w:tcBorders>
              <w:top w:val="single" w:color="000000" w:sz="4" w:space="0"/>
              <w:left w:val="single" w:color="000000" w:sz="4" w:space="0"/>
              <w:bottom w:val="single" w:color="000000" w:sz="4" w:space="0"/>
              <w:right w:val="single" w:color="000000" w:sz="4" w:space="0"/>
            </w:tcBorders>
            <w:vAlign w:val="center"/>
          </w:tcPr>
          <w:p w14:paraId="27048781">
            <w:pPr>
              <w:widowControl/>
              <w:spacing w:line="240" w:lineRule="auto"/>
              <w:ind w:firstLine="0" w:firstLineChars="0"/>
              <w:rPr>
                <w:bCs/>
              </w:rPr>
            </w:pPr>
            <w:r>
              <w:rPr>
                <w:rFonts w:hint="eastAsia"/>
                <w:bCs/>
              </w:rPr>
              <w:t>提供票面摘要信息存储，提供与链上数据保持一致的票面摘要信息存储，用于后续开展跨省报销业务中摘要列表及摘要信息获取服务。</w:t>
            </w:r>
          </w:p>
        </w:tc>
      </w:tr>
      <w:tr w14:paraId="0054F118">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1FD02F2">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38F020D">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06A9999">
            <w:pPr>
              <w:widowControl/>
              <w:spacing w:line="240" w:lineRule="auto"/>
              <w:ind w:firstLine="0" w:firstLineChars="0"/>
              <w:jc w:val="center"/>
              <w:rPr>
                <w:bCs/>
              </w:rPr>
            </w:pPr>
            <w:r>
              <w:rPr>
                <w:rFonts w:hint="eastAsia"/>
                <w:bCs/>
              </w:rPr>
              <w:t>涉链票据业务管理-票据关联数据管理-文件路径关联模块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3CFEBFC4">
            <w:pPr>
              <w:widowControl/>
              <w:spacing w:line="240" w:lineRule="auto"/>
              <w:ind w:firstLine="0" w:firstLineChars="0"/>
              <w:rPr>
                <w:bCs/>
              </w:rPr>
            </w:pPr>
            <w:r>
              <w:rPr>
                <w:rFonts w:hint="eastAsia"/>
                <w:bCs/>
              </w:rPr>
              <w:t>提供电子票据PDF文件及结构化数据文件（如XML/JSON）的存储路径登记与加密关联，记录文件在安全存储介质（如IPFS、分布式文件系统）中的唯一定位信息。</w:t>
            </w:r>
            <w:r>
              <w:rPr>
                <w:rFonts w:hint="eastAsia"/>
                <w:bCs/>
              </w:rPr>
              <w:br w:type="textWrapping"/>
            </w:r>
            <w:r>
              <w:rPr>
                <w:rFonts w:hint="eastAsia"/>
                <w:bCs/>
              </w:rPr>
              <w:t>不保存原始文件，仅存储路径哈希与元数据，降低链上负载，同时通过权限控制确保路径访问安全。</w:t>
            </w:r>
          </w:p>
        </w:tc>
      </w:tr>
      <w:tr w14:paraId="3BAE6CC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D0E0CE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4316A84">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C36905C">
            <w:pPr>
              <w:widowControl/>
              <w:spacing w:line="240" w:lineRule="auto"/>
              <w:ind w:firstLine="0" w:firstLineChars="0"/>
              <w:jc w:val="center"/>
              <w:rPr>
                <w:bCs/>
              </w:rPr>
            </w:pPr>
            <w:r>
              <w:rPr>
                <w:rFonts w:hint="eastAsia"/>
                <w:bCs/>
              </w:rPr>
              <w:t>涉链票据业务管理-票据关联数据管理-票据关联关系网络</w:t>
            </w:r>
          </w:p>
        </w:tc>
        <w:tc>
          <w:tcPr>
            <w:tcW w:w="2908" w:type="pct"/>
            <w:tcBorders>
              <w:top w:val="single" w:color="000000" w:sz="4" w:space="0"/>
              <w:left w:val="single" w:color="000000" w:sz="4" w:space="0"/>
              <w:bottom w:val="single" w:color="000000" w:sz="4" w:space="0"/>
              <w:right w:val="single" w:color="000000" w:sz="4" w:space="0"/>
            </w:tcBorders>
            <w:vAlign w:val="center"/>
          </w:tcPr>
          <w:p w14:paraId="57C0E17D">
            <w:pPr>
              <w:widowControl/>
              <w:spacing w:line="240" w:lineRule="auto"/>
              <w:ind w:firstLine="0" w:firstLineChars="0"/>
              <w:rPr>
                <w:bCs/>
              </w:rPr>
            </w:pPr>
            <w:r>
              <w:rPr>
                <w:rFonts w:hint="eastAsia"/>
                <w:bCs/>
              </w:rPr>
              <w:t>构建多维票据关联网络，存储四层关键关系：</w:t>
            </w:r>
            <w:r>
              <w:rPr>
                <w:rFonts w:hint="eastAsia"/>
                <w:bCs/>
              </w:rPr>
              <w:br w:type="textWrapping"/>
            </w:r>
            <w:r>
              <w:rPr>
                <w:rFonts w:hint="eastAsia"/>
                <w:bCs/>
              </w:rPr>
              <w:t>1）票据主体（票据ID、类型、金额等核心元数据）</w:t>
            </w:r>
            <w:r>
              <w:rPr>
                <w:rFonts w:hint="eastAsia"/>
                <w:bCs/>
              </w:rPr>
              <w:br w:type="textWrapping"/>
            </w:r>
            <w:r>
              <w:rPr>
                <w:rFonts w:hint="eastAsia"/>
                <w:bCs/>
              </w:rPr>
              <w:t>2）票据摘要信息（哈希值、时间戳等防篡改指纹）</w:t>
            </w:r>
            <w:r>
              <w:rPr>
                <w:rFonts w:hint="eastAsia"/>
                <w:bCs/>
              </w:rPr>
              <w:br w:type="textWrapping"/>
            </w:r>
            <w:r>
              <w:rPr>
                <w:rFonts w:hint="eastAsia"/>
                <w:bCs/>
              </w:rPr>
              <w:t>3）票据文件路径（PDF及结构化数据的加密定位信息）</w:t>
            </w:r>
            <w:r>
              <w:rPr>
                <w:rFonts w:hint="eastAsia"/>
                <w:bCs/>
              </w:rPr>
              <w:br w:type="textWrapping"/>
            </w:r>
            <w:r>
              <w:rPr>
                <w:rFonts w:hint="eastAsia"/>
                <w:bCs/>
              </w:rPr>
              <w:t>4）票据全量数据索引（关联业务数据的链外存储索引键）</w:t>
            </w:r>
          </w:p>
        </w:tc>
      </w:tr>
      <w:tr w14:paraId="5F9CA27F">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B86B51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F362B0C">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D3F766B">
            <w:pPr>
              <w:widowControl/>
              <w:spacing w:line="240" w:lineRule="auto"/>
              <w:ind w:firstLine="0" w:firstLineChars="0"/>
              <w:jc w:val="center"/>
              <w:rPr>
                <w:bCs/>
              </w:rPr>
            </w:pPr>
            <w:r>
              <w:rPr>
                <w:rFonts w:hint="eastAsia"/>
                <w:bCs/>
              </w:rPr>
              <w:t>涉链票据业务管理-票据数据路由管理-票据数据路由模版管理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1F80D251">
            <w:pPr>
              <w:widowControl/>
              <w:spacing w:line="240" w:lineRule="auto"/>
              <w:ind w:firstLine="0" w:firstLineChars="0"/>
              <w:rPr>
                <w:bCs/>
              </w:rPr>
            </w:pPr>
            <w:r>
              <w:rPr>
                <w:rFonts w:hint="eastAsia"/>
                <w:bCs/>
              </w:rPr>
              <w:t>智能路由匹配引擎：基于高性能的Radix Tree算法，支持复杂的URI模式匹配，包括通配符匹配、正则表达式匹配、参数提取等能力，实现纳秒级的路由查找性能。</w:t>
            </w:r>
            <w:r>
              <w:rPr>
                <w:rFonts w:hint="eastAsia"/>
                <w:bCs/>
              </w:rPr>
              <w:br w:type="textWrapping"/>
            </w:r>
            <w:r>
              <w:rPr>
                <w:rFonts w:hint="eastAsia"/>
                <w:bCs/>
              </w:rPr>
              <w:t>多维度路由策略：支持基于请求头、查询参数、请求体、客户端IP、时间窗口等多个维度的组合路由规则，通过灵活的条件表达式语言(CEL)实现复杂的路由决策逻辑。</w:t>
            </w:r>
            <w:r>
              <w:rPr>
                <w:rFonts w:hint="eastAsia"/>
                <w:bCs/>
              </w:rPr>
              <w:br w:type="textWrapping"/>
            </w:r>
            <w:r>
              <w:rPr>
                <w:rFonts w:hint="eastAsia"/>
                <w:bCs/>
              </w:rPr>
              <w:t>动态路由热更新：采用双缓冲机制和版本化管理，支持路由规则的无损热更新，确保在路由变更过程中不影响正在处理的请求，实现7×24小时不间断服务。</w:t>
            </w:r>
            <w:r>
              <w:rPr>
                <w:rFonts w:hint="eastAsia"/>
                <w:bCs/>
              </w:rPr>
              <w:br w:type="textWrapping"/>
            </w:r>
            <w:r>
              <w:rPr>
                <w:rFonts w:hint="eastAsia"/>
                <w:bCs/>
              </w:rPr>
              <w:t>智能负载均衡：内置多种负载均衡算法（一致性哈希</w:t>
            </w:r>
            <w:r>
              <w:rPr>
                <w:rFonts w:hint="eastAsia"/>
                <w:bCs/>
                <w:lang w:eastAsia="zh-CN"/>
              </w:rPr>
              <w:t>、</w:t>
            </w:r>
            <w:r>
              <w:rPr>
                <w:rFonts w:hint="eastAsia"/>
                <w:bCs/>
              </w:rPr>
              <w:t>轮询、最小连接数、加权响应时间等），并支持基于实时健康检查和性能指标的自适应负载均衡策略。</w:t>
            </w:r>
            <w:r>
              <w:rPr>
                <w:rFonts w:hint="eastAsia"/>
                <w:bCs/>
              </w:rPr>
              <w:br w:type="textWrapping"/>
            </w:r>
            <w:r>
              <w:rPr>
                <w:rFonts w:hint="eastAsia"/>
                <w:bCs/>
              </w:rPr>
              <w:t>灰度发布能力：支持基于流量百分比、用户标签、地理位置的灰度发布策略，通过哈希环算法确保灰度流量的稳定性和可预测性。</w:t>
            </w:r>
            <w:r>
              <w:rPr>
                <w:rFonts w:hint="eastAsia"/>
                <w:bCs/>
              </w:rPr>
              <w:br w:type="textWrapping"/>
            </w:r>
            <w:r>
              <w:rPr>
                <w:rFonts w:hint="eastAsia"/>
                <w:bCs/>
              </w:rPr>
              <w:t>故障隔离与熔断：集成Circuit Breaker模式，支持基于错误率、响应时间的自动熔断，以及半开状态的智能恢复机制，有效防止雪崩效应。</w:t>
            </w:r>
          </w:p>
        </w:tc>
      </w:tr>
      <w:tr w14:paraId="333599C5">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368761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2C78FB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D411BCE">
            <w:pPr>
              <w:widowControl/>
              <w:spacing w:line="240" w:lineRule="auto"/>
              <w:ind w:firstLine="0" w:firstLineChars="0"/>
              <w:jc w:val="center"/>
              <w:rPr>
                <w:bCs/>
              </w:rPr>
            </w:pPr>
            <w:r>
              <w:rPr>
                <w:rFonts w:hint="eastAsia"/>
                <w:bCs/>
              </w:rPr>
              <w:t>涉链票据业务管理-票据数据路由管理-票据数据策略模版管理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138AE5EB">
            <w:pPr>
              <w:widowControl/>
              <w:spacing w:line="240" w:lineRule="auto"/>
              <w:ind w:firstLine="0" w:firstLineChars="0"/>
              <w:rPr>
                <w:bCs/>
              </w:rPr>
            </w:pPr>
            <w:r>
              <w:rPr>
                <w:rFonts w:hint="eastAsia"/>
                <w:bCs/>
              </w:rPr>
              <w:t>规则引擎架构：采用高性能的RETE算法实现的规则引擎，支持复杂的前向推理和事实匹配，能够处理海量规则的并发执行，单节点可支持万级TPS的策略决策。</w:t>
            </w:r>
            <w:r>
              <w:rPr>
                <w:rFonts w:hint="eastAsia"/>
                <w:bCs/>
              </w:rPr>
              <w:br w:type="textWrapping"/>
            </w:r>
            <w:r>
              <w:rPr>
                <w:rFonts w:hint="eastAsia"/>
                <w:bCs/>
              </w:rPr>
              <w:t>细粒度访问控制：实现基于ABAC（属性基访问控制）模型的精准授权，支持主体属性、资源属性、环境属性、操作属性的多维度组合授权决策，可精确到字段级别的数据访问控制。</w:t>
            </w:r>
            <w:r>
              <w:rPr>
                <w:rFonts w:hint="eastAsia"/>
                <w:bCs/>
              </w:rPr>
              <w:br w:type="textWrapping"/>
            </w:r>
            <w:r>
              <w:rPr>
                <w:rFonts w:hint="eastAsia"/>
                <w:bCs/>
              </w:rPr>
              <w:t>动态限流降级：集成令牌桶、漏桶、滑动窗口等多种限流算法，支持分布式限流和本地限流的混合模式，可根据系统负载自动调整限流阈值，实现弹性保护。</w:t>
            </w:r>
            <w:r>
              <w:rPr>
                <w:rFonts w:hint="eastAsia"/>
                <w:bCs/>
              </w:rPr>
              <w:br w:type="textWrapping"/>
            </w:r>
            <w:r>
              <w:rPr>
                <w:rFonts w:hint="eastAsia"/>
                <w:bCs/>
              </w:rPr>
              <w:t>智能防护策略：内置机器学习驱动的异常检测引擎，通过行为模式分析识别潜在的安全威胁，支持CC攻击防护、SQL注入检测、XSS防护等多层安全策略。</w:t>
            </w:r>
            <w:r>
              <w:rPr>
                <w:rFonts w:hint="eastAsia"/>
                <w:bCs/>
              </w:rPr>
              <w:br w:type="textWrapping"/>
            </w:r>
            <w:r>
              <w:rPr>
                <w:rFonts w:hint="eastAsia"/>
                <w:bCs/>
              </w:rPr>
              <w:t>数据转换管道：提供强大的数据转换能力，支持请求/响应的格式转换（JSON/XML/Protocol Buffer）、字段映射、数据脱敏、加解密等处理，通过流式处理架构实现高效转换。</w:t>
            </w:r>
            <w:r>
              <w:rPr>
                <w:rFonts w:hint="eastAsia"/>
                <w:bCs/>
              </w:rPr>
              <w:br w:type="textWrapping"/>
            </w:r>
            <w:r>
              <w:rPr>
                <w:rFonts w:hint="eastAsia"/>
                <w:bCs/>
              </w:rPr>
              <w:t>策略编排能力：支持策略的组合编排和条件分支，通过可视化的策略设计器，业务人员可以灵活组装复杂的业务逻辑，无需编程即可实现策略的快速迭代。</w:t>
            </w:r>
          </w:p>
        </w:tc>
      </w:tr>
      <w:tr w14:paraId="66E1B48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09B4CC4">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1157DB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C319D66">
            <w:pPr>
              <w:widowControl/>
              <w:spacing w:line="240" w:lineRule="auto"/>
              <w:ind w:firstLine="0" w:firstLineChars="0"/>
              <w:jc w:val="center"/>
              <w:rPr>
                <w:bCs/>
              </w:rPr>
            </w:pPr>
            <w:r>
              <w:rPr>
                <w:rFonts w:hint="eastAsia"/>
                <w:bCs/>
              </w:rPr>
              <w:t>涉链票据业务管理-票据数据路由管理-路由实例管理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28EA6F57">
            <w:pPr>
              <w:widowControl/>
              <w:spacing w:line="240" w:lineRule="auto"/>
              <w:ind w:firstLine="0" w:firstLineChars="0"/>
              <w:rPr>
                <w:bCs/>
              </w:rPr>
            </w:pPr>
            <w:r>
              <w:rPr>
                <w:rFonts w:hint="eastAsia"/>
                <w:bCs/>
              </w:rPr>
              <w:t>安全实例生成：采用国密SM2/SM3算法对路由和策略实例进行数字签名，结合时间戳和防重放机制，确保实例的真实性、完整性和不可抵赖性，有效防止配置篡改和伪造。</w:t>
            </w:r>
            <w:r>
              <w:rPr>
                <w:rFonts w:hint="eastAsia"/>
                <w:bCs/>
              </w:rPr>
              <w:br w:type="textWrapping"/>
            </w:r>
            <w:r>
              <w:rPr>
                <w:rFonts w:hint="eastAsia"/>
                <w:bCs/>
              </w:rPr>
              <w:t>智能实例分发：基于发布/订阅模式的实例推送机制，支持增量更新和全量同步，通过Merkle Tree实现高效的差异检测，最小化网络传输开销。</w:t>
            </w:r>
            <w:r>
              <w:rPr>
                <w:rFonts w:hint="eastAsia"/>
                <w:bCs/>
              </w:rPr>
              <w:br w:type="textWrapping"/>
            </w:r>
            <w:r>
              <w:rPr>
                <w:rFonts w:hint="eastAsia"/>
                <w:bCs/>
              </w:rPr>
              <w:t>接入业务端自适应：接入业务端采用自适应架构，可根据本地资源和负载情况自动调整工作模式，支持嵌入式、独立进程、容器化等多种部署形态，适配不同规模的应用场景。</w:t>
            </w:r>
            <w:r>
              <w:rPr>
                <w:rFonts w:hint="eastAsia"/>
                <w:bCs/>
              </w:rPr>
              <w:br w:type="textWrapping"/>
            </w:r>
            <w:r>
              <w:rPr>
                <w:rFonts w:hint="eastAsia"/>
                <w:bCs/>
              </w:rPr>
              <w:t>实例版本管理：实现Git-like的版本控制机制，支持实例的版本回滚、分支管理、冲突解决，提供完整的变更历史追溯和审计能力。</w:t>
            </w:r>
            <w:r>
              <w:rPr>
                <w:rFonts w:hint="eastAsia"/>
                <w:bCs/>
              </w:rPr>
              <w:br w:type="textWrapping"/>
            </w:r>
            <w:r>
              <w:rPr>
                <w:rFonts w:hint="eastAsia"/>
                <w:bCs/>
              </w:rPr>
              <w:t>离线工作模式：接入业务端支持离线缓存和本地决策能力，在与管理平台断开连接时仍可正常工作，待网络恢复后自动同步状态，确保服务的高可用性。</w:t>
            </w:r>
            <w:r>
              <w:rPr>
                <w:rFonts w:hint="eastAsia"/>
                <w:bCs/>
              </w:rPr>
              <w:br w:type="textWrapping"/>
            </w:r>
            <w:r>
              <w:rPr>
                <w:rFonts w:hint="eastAsia"/>
                <w:bCs/>
              </w:rPr>
              <w:t>实例生命周期：提供实例从创建、激活、更新到废弃的全生命周期管理，支持定时生效、定时失效、条件触发等灵活的生命周期策略。</w:t>
            </w:r>
          </w:p>
        </w:tc>
      </w:tr>
      <w:tr w14:paraId="45C686E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970219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387B4FE">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4F593C4">
            <w:pPr>
              <w:widowControl/>
              <w:spacing w:line="240" w:lineRule="auto"/>
              <w:ind w:firstLine="0" w:firstLineChars="0"/>
              <w:jc w:val="center"/>
              <w:rPr>
                <w:bCs/>
              </w:rPr>
            </w:pPr>
            <w:r>
              <w:rPr>
                <w:rFonts w:hint="eastAsia"/>
                <w:bCs/>
              </w:rPr>
              <w:t>涉链票据业务管理-票据数据路由管理-票据数据策略引擎管理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0621E8A3">
            <w:pPr>
              <w:widowControl/>
              <w:spacing w:line="240" w:lineRule="auto"/>
              <w:ind w:firstLine="0" w:firstLineChars="0"/>
              <w:rPr>
                <w:bCs/>
              </w:rPr>
            </w:pPr>
            <w:r>
              <w:rPr>
                <w:rFonts w:hint="eastAsia"/>
                <w:bCs/>
              </w:rPr>
              <w:t>多语言运行时：支持多种策略描述语言（CEL、Rego、JavaScript、Lua）的运行时环境，通过WebAssembly技术实现安全隔离的沙箱执行，确保策略执行的安全性和性能。</w:t>
            </w:r>
            <w:r>
              <w:rPr>
                <w:rFonts w:hint="eastAsia"/>
                <w:bCs/>
              </w:rPr>
              <w:br w:type="textWrapping"/>
            </w:r>
            <w:r>
              <w:rPr>
                <w:rFonts w:hint="eastAsia"/>
                <w:bCs/>
              </w:rPr>
              <w:t>插件化架构：采用微内核架构设计，核心引擎轻量化，功能通过插件扩展，支持热插拔和动态加载，可根据业务需求灵活组装功能模块。</w:t>
            </w:r>
            <w:r>
              <w:rPr>
                <w:rFonts w:hint="eastAsia"/>
                <w:bCs/>
              </w:rPr>
              <w:br w:type="textWrapping"/>
            </w:r>
            <w:r>
              <w:rPr>
                <w:rFonts w:hint="eastAsia"/>
                <w:bCs/>
              </w:rPr>
              <w:t>依赖智能管理：自动分析策略的依赖关系，构建依赖图谱，支持依赖版本的兼容性检查、冲突检测、自动解析，确保运行环境的稳定性。</w:t>
            </w:r>
            <w:r>
              <w:rPr>
                <w:rFonts w:hint="eastAsia"/>
                <w:bCs/>
              </w:rPr>
              <w:br w:type="textWrapping"/>
            </w:r>
            <w:r>
              <w:rPr>
                <w:rFonts w:hint="eastAsia"/>
                <w:bCs/>
              </w:rPr>
              <w:t>性能优化引擎：内置JIT编译器，将高频执行的策略编译为本地代码，大幅提升执行效率；支持策略预热、结果缓存、并行执行等优化技术。</w:t>
            </w:r>
            <w:r>
              <w:rPr>
                <w:rFonts w:hint="eastAsia"/>
                <w:bCs/>
              </w:rPr>
              <w:br w:type="textWrapping"/>
            </w:r>
            <w:r>
              <w:rPr>
                <w:rFonts w:hint="eastAsia"/>
                <w:bCs/>
              </w:rPr>
              <w:t>分布式执行框架：支持策略的分布式执行和状态同步，通过Raft协议实现强一致性，可横向扩展到数百个节点，满足大规模部署需求。</w:t>
            </w:r>
            <w:r>
              <w:rPr>
                <w:rFonts w:hint="eastAsia"/>
                <w:bCs/>
              </w:rPr>
              <w:br w:type="textWrapping"/>
            </w:r>
            <w:r>
              <w:rPr>
                <w:rFonts w:hint="eastAsia"/>
                <w:bCs/>
              </w:rPr>
              <w:t>可观测性平台：集成OpenTelemetry标准，提供策略执行的全链路追踪、性能剖析、决策解释等能力，通过可视化界面直观展示策略的执行过程和决策依据。</w:t>
            </w:r>
            <w:r>
              <w:rPr>
                <w:rFonts w:hint="eastAsia"/>
                <w:bCs/>
              </w:rPr>
              <w:br w:type="textWrapping"/>
            </w:r>
            <w:r>
              <w:rPr>
                <w:rFonts w:hint="eastAsia"/>
                <w:bCs/>
              </w:rPr>
              <w:t>容错与恢复机制：实现多级容错策略，包括进程级、线程级、协程级的故障隔离，支持优雅降级和快速恢复，确保策略引擎的高可用性。</w:t>
            </w:r>
          </w:p>
        </w:tc>
      </w:tr>
      <w:tr w14:paraId="5D1A5FC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49DA128">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ADC44B4">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607C751">
            <w:pPr>
              <w:widowControl/>
              <w:spacing w:line="240" w:lineRule="auto"/>
              <w:ind w:firstLine="0" w:firstLineChars="0"/>
              <w:jc w:val="center"/>
              <w:rPr>
                <w:bCs/>
              </w:rPr>
            </w:pPr>
            <w:r>
              <w:rPr>
                <w:rFonts w:hint="eastAsia"/>
                <w:bCs/>
              </w:rPr>
              <w:t>涉链票据业务管理-票据涉链状态综合处理模块-统一通用上链模块-上链SDK组件适配</w:t>
            </w:r>
          </w:p>
        </w:tc>
        <w:tc>
          <w:tcPr>
            <w:tcW w:w="2908" w:type="pct"/>
            <w:tcBorders>
              <w:top w:val="single" w:color="000000" w:sz="4" w:space="0"/>
              <w:left w:val="single" w:color="000000" w:sz="4" w:space="0"/>
              <w:bottom w:val="single" w:color="000000" w:sz="4" w:space="0"/>
              <w:right w:val="single" w:color="000000" w:sz="4" w:space="0"/>
            </w:tcBorders>
            <w:vAlign w:val="center"/>
          </w:tcPr>
          <w:p w14:paraId="1861D42B">
            <w:pPr>
              <w:widowControl/>
              <w:spacing w:line="240" w:lineRule="auto"/>
              <w:ind w:firstLine="0" w:firstLineChars="0"/>
              <w:rPr>
                <w:bCs/>
              </w:rPr>
            </w:pPr>
            <w:r>
              <w:rPr>
                <w:rFonts w:hint="eastAsia"/>
                <w:bCs/>
              </w:rPr>
              <w:t>提供链数稽核适配、上链SDK适配，用于未部署业务接入段，适用服务平台进行上链场景，包含：</w:t>
            </w:r>
            <w:r>
              <w:rPr>
                <w:rFonts w:hint="eastAsia"/>
                <w:bCs/>
              </w:rPr>
              <w:br w:type="textWrapping"/>
            </w:r>
            <w:r>
              <w:rPr>
                <w:rFonts w:hint="eastAsia"/>
                <w:bCs/>
              </w:rPr>
              <w:t>1）服务平台管理类数据上链，</w:t>
            </w:r>
            <w:r>
              <w:rPr>
                <w:rFonts w:hint="eastAsia"/>
                <w:bCs/>
              </w:rPr>
              <w:br w:type="textWrapping"/>
            </w:r>
            <w:r>
              <w:rPr>
                <w:rFonts w:hint="eastAsia"/>
                <w:bCs/>
              </w:rPr>
              <w:t>2）通用票据上链、查询、更新</w:t>
            </w:r>
          </w:p>
        </w:tc>
      </w:tr>
      <w:tr w14:paraId="3E1E4ADF">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88273F6">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23BDD9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D0ADA98">
            <w:pPr>
              <w:widowControl/>
              <w:spacing w:line="240" w:lineRule="auto"/>
              <w:ind w:firstLine="0" w:firstLineChars="0"/>
              <w:jc w:val="center"/>
              <w:rPr>
                <w:bCs/>
              </w:rPr>
            </w:pPr>
            <w:r>
              <w:rPr>
                <w:rFonts w:hint="eastAsia"/>
                <w:bCs/>
              </w:rPr>
              <w:t>涉链票据业务管理-票据涉链状态综合处理模块-统一通用上链模块-上链应用层</w:t>
            </w:r>
          </w:p>
        </w:tc>
        <w:tc>
          <w:tcPr>
            <w:tcW w:w="2908" w:type="pct"/>
            <w:tcBorders>
              <w:top w:val="single" w:color="000000" w:sz="4" w:space="0"/>
              <w:left w:val="single" w:color="000000" w:sz="4" w:space="0"/>
              <w:bottom w:val="single" w:color="000000" w:sz="4" w:space="0"/>
              <w:right w:val="single" w:color="000000" w:sz="4" w:space="0"/>
            </w:tcBorders>
            <w:vAlign w:val="center"/>
          </w:tcPr>
          <w:p w14:paraId="5916AC2D">
            <w:pPr>
              <w:widowControl/>
              <w:spacing w:line="240" w:lineRule="auto"/>
              <w:ind w:firstLine="0" w:firstLineChars="0"/>
              <w:rPr>
                <w:bCs/>
              </w:rPr>
            </w:pPr>
            <w:r>
              <w:rPr>
                <w:rFonts w:hint="eastAsia"/>
                <w:bCs/>
              </w:rPr>
              <w:t>提供上链应用层能力，实现服务平台参与方管理信息上链</w:t>
            </w:r>
            <w:r>
              <w:rPr>
                <w:rFonts w:hint="eastAsia"/>
                <w:bCs/>
              </w:rPr>
              <w:br w:type="textWrapping"/>
            </w:r>
            <w:r>
              <w:rPr>
                <w:rFonts w:hint="eastAsia"/>
                <w:bCs/>
              </w:rPr>
              <w:t>提供上链应用层能力，实现业务接入节点信息上链</w:t>
            </w:r>
            <w:r>
              <w:rPr>
                <w:rFonts w:hint="eastAsia"/>
                <w:bCs/>
              </w:rPr>
              <w:br w:type="textWrapping"/>
            </w:r>
            <w:r>
              <w:rPr>
                <w:rFonts w:hint="eastAsia"/>
                <w:bCs/>
              </w:rPr>
              <w:t>提供上链应用层能力，实现票据应用策略信息上链</w:t>
            </w:r>
            <w:r>
              <w:rPr>
                <w:rFonts w:hint="eastAsia"/>
                <w:bCs/>
              </w:rPr>
              <w:br w:type="textWrapping"/>
            </w:r>
            <w:r>
              <w:rPr>
                <w:rFonts w:hint="eastAsia"/>
                <w:bCs/>
              </w:rPr>
              <w:t>提供上链应用层能力，实现票据场景管理信息上链</w:t>
            </w:r>
          </w:p>
        </w:tc>
      </w:tr>
      <w:tr w14:paraId="326F7D3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EAC080E">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16EFBB2">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56B957C">
            <w:pPr>
              <w:widowControl/>
              <w:spacing w:line="240" w:lineRule="auto"/>
              <w:ind w:firstLine="0" w:firstLineChars="0"/>
              <w:jc w:val="center"/>
              <w:rPr>
                <w:bCs/>
              </w:rPr>
            </w:pPr>
            <w:r>
              <w:rPr>
                <w:rFonts w:hint="eastAsia"/>
                <w:bCs/>
              </w:rPr>
              <w:t>涉链票据业务管理-票据涉链状态综合处理模块-统一通用上链模块-通用票据上链、查询、更新应用</w:t>
            </w:r>
          </w:p>
        </w:tc>
        <w:tc>
          <w:tcPr>
            <w:tcW w:w="2908" w:type="pct"/>
            <w:tcBorders>
              <w:top w:val="single" w:color="000000" w:sz="4" w:space="0"/>
              <w:left w:val="single" w:color="000000" w:sz="4" w:space="0"/>
              <w:bottom w:val="single" w:color="000000" w:sz="4" w:space="0"/>
              <w:right w:val="single" w:color="000000" w:sz="4" w:space="0"/>
            </w:tcBorders>
            <w:vAlign w:val="center"/>
          </w:tcPr>
          <w:p w14:paraId="1C296907">
            <w:pPr>
              <w:widowControl/>
              <w:spacing w:line="240" w:lineRule="auto"/>
              <w:ind w:firstLine="0" w:firstLineChars="0"/>
              <w:rPr>
                <w:bCs/>
              </w:rPr>
            </w:pPr>
            <w:r>
              <w:rPr>
                <w:rFonts w:hint="eastAsia"/>
                <w:bCs/>
              </w:rPr>
              <w:t>提供通用票据上链、查询、更新应用层接口</w:t>
            </w:r>
          </w:p>
        </w:tc>
      </w:tr>
      <w:tr w14:paraId="3D66143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02549C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0E93DA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B57287B">
            <w:pPr>
              <w:widowControl/>
              <w:spacing w:line="240" w:lineRule="auto"/>
              <w:ind w:firstLine="0" w:firstLineChars="0"/>
              <w:jc w:val="center"/>
              <w:rPr>
                <w:bCs/>
              </w:rPr>
            </w:pPr>
            <w:r>
              <w:rPr>
                <w:rFonts w:hint="eastAsia"/>
                <w:bCs/>
              </w:rPr>
              <w:t>涉链票据业务管理-票据涉链状态综合处理模块-链上行为追溯中心-链上查询服务</w:t>
            </w:r>
          </w:p>
        </w:tc>
        <w:tc>
          <w:tcPr>
            <w:tcW w:w="2908" w:type="pct"/>
            <w:tcBorders>
              <w:top w:val="single" w:color="000000" w:sz="4" w:space="0"/>
              <w:left w:val="single" w:color="000000" w:sz="4" w:space="0"/>
              <w:bottom w:val="single" w:color="000000" w:sz="4" w:space="0"/>
              <w:right w:val="single" w:color="000000" w:sz="4" w:space="0"/>
            </w:tcBorders>
            <w:vAlign w:val="center"/>
          </w:tcPr>
          <w:p w14:paraId="542E5F0D">
            <w:pPr>
              <w:widowControl/>
              <w:spacing w:line="240" w:lineRule="auto"/>
              <w:ind w:firstLine="0" w:firstLineChars="0"/>
              <w:rPr>
                <w:bCs/>
              </w:rPr>
            </w:pPr>
            <w:r>
              <w:rPr>
                <w:rFonts w:hint="eastAsia"/>
                <w:bCs/>
              </w:rPr>
              <w:t>向监管方提供链上查询服务，可查询票据状态、查询授权记录、查询用票记录</w:t>
            </w:r>
          </w:p>
        </w:tc>
      </w:tr>
      <w:tr w14:paraId="369EF278">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F22819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AF7178E">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9087C35">
            <w:pPr>
              <w:widowControl/>
              <w:spacing w:line="240" w:lineRule="auto"/>
              <w:ind w:firstLine="0" w:firstLineChars="0"/>
              <w:jc w:val="center"/>
              <w:rPr>
                <w:bCs/>
              </w:rPr>
            </w:pPr>
            <w:r>
              <w:rPr>
                <w:rFonts w:hint="eastAsia"/>
                <w:bCs/>
              </w:rPr>
              <w:t>涉链票据业务管理-票据涉链状态综合处理模块-链上行为追溯中心-链上核验服务</w:t>
            </w:r>
          </w:p>
        </w:tc>
        <w:tc>
          <w:tcPr>
            <w:tcW w:w="2908" w:type="pct"/>
            <w:tcBorders>
              <w:top w:val="single" w:color="000000" w:sz="4" w:space="0"/>
              <w:left w:val="single" w:color="000000" w:sz="4" w:space="0"/>
              <w:bottom w:val="single" w:color="000000" w:sz="4" w:space="0"/>
              <w:right w:val="single" w:color="000000" w:sz="4" w:space="0"/>
            </w:tcBorders>
            <w:vAlign w:val="center"/>
          </w:tcPr>
          <w:p w14:paraId="0075F430">
            <w:pPr>
              <w:widowControl/>
              <w:spacing w:line="240" w:lineRule="auto"/>
              <w:ind w:firstLine="0" w:firstLineChars="0"/>
              <w:rPr>
                <w:bCs/>
              </w:rPr>
            </w:pPr>
            <w:r>
              <w:rPr>
                <w:rFonts w:hint="eastAsia"/>
                <w:bCs/>
              </w:rPr>
              <w:t>提供票据核验能力，支持通过票据代码、票据号码、校验码、开票日期、开票金额，核验比对链上记录，返回核验真伪结果</w:t>
            </w:r>
          </w:p>
        </w:tc>
      </w:tr>
      <w:tr w14:paraId="349F3D1F">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62C0A7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DAA86CA">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63B2F66">
            <w:pPr>
              <w:widowControl/>
              <w:spacing w:line="240" w:lineRule="auto"/>
              <w:ind w:firstLine="0" w:firstLineChars="0"/>
              <w:jc w:val="center"/>
              <w:rPr>
                <w:bCs/>
              </w:rPr>
            </w:pPr>
            <w:r>
              <w:rPr>
                <w:rFonts w:hint="eastAsia"/>
                <w:bCs/>
              </w:rPr>
              <w:t>涉链票据业务管理-票据涉链状态综合处理模块-手动票据状态调整模块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2E78D0C6">
            <w:pPr>
              <w:widowControl/>
              <w:spacing w:line="240" w:lineRule="auto"/>
              <w:ind w:firstLine="0" w:firstLineChars="0"/>
              <w:rPr>
                <w:bCs/>
              </w:rPr>
            </w:pPr>
            <w:r>
              <w:rPr>
                <w:rFonts w:hint="eastAsia"/>
                <w:bCs/>
              </w:rPr>
              <w:t>提供手动票据状态调整功能，支持管理员在票据链上智能合约处理失败或其他需手动调整的情况输入票据五码并进行票据状态调整</w:t>
            </w:r>
          </w:p>
        </w:tc>
      </w:tr>
      <w:tr w14:paraId="0036523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1C9FA4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9582AF3">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D2254E4">
            <w:pPr>
              <w:widowControl/>
              <w:spacing w:line="240" w:lineRule="auto"/>
              <w:ind w:firstLine="0" w:firstLineChars="0"/>
              <w:jc w:val="center"/>
              <w:rPr>
                <w:bCs/>
              </w:rPr>
            </w:pPr>
            <w:r>
              <w:rPr>
                <w:rFonts w:hint="eastAsia"/>
                <w:bCs/>
              </w:rPr>
              <w:t>涉链票据业务管理-票据涉链状态综合处理模块-涉链状态变更</w:t>
            </w:r>
          </w:p>
        </w:tc>
        <w:tc>
          <w:tcPr>
            <w:tcW w:w="2908" w:type="pct"/>
            <w:tcBorders>
              <w:top w:val="single" w:color="000000" w:sz="4" w:space="0"/>
              <w:left w:val="single" w:color="000000" w:sz="4" w:space="0"/>
              <w:bottom w:val="single" w:color="000000" w:sz="4" w:space="0"/>
              <w:right w:val="single" w:color="000000" w:sz="4" w:space="0"/>
            </w:tcBorders>
            <w:vAlign w:val="center"/>
          </w:tcPr>
          <w:p w14:paraId="00AA14F2">
            <w:pPr>
              <w:widowControl/>
              <w:spacing w:line="240" w:lineRule="auto"/>
              <w:ind w:firstLine="0" w:firstLineChars="0"/>
              <w:rPr>
                <w:bCs/>
              </w:rPr>
            </w:pPr>
            <w:r>
              <w:rPr>
                <w:rFonts w:hint="eastAsia"/>
                <w:bCs/>
              </w:rPr>
              <w:t>票据在进行报销受理、锁定时，实现报销机构（如长三角、在线开票系统等）对本市票据受理，由财票链数据服务平台代为操作进行涉链票据状态更新和变更。</w:t>
            </w:r>
          </w:p>
        </w:tc>
      </w:tr>
      <w:tr w14:paraId="3B93133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A8EE26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E4306B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9832915">
            <w:pPr>
              <w:widowControl/>
              <w:spacing w:line="240" w:lineRule="auto"/>
              <w:ind w:firstLine="0" w:firstLineChars="0"/>
              <w:jc w:val="center"/>
              <w:rPr>
                <w:bCs/>
              </w:rPr>
            </w:pPr>
            <w:r>
              <w:rPr>
                <w:rFonts w:hint="eastAsia"/>
                <w:bCs/>
              </w:rPr>
              <w:t>涉链票据业务管理-票据冷热数据差异化管理-数据分类识别</w:t>
            </w:r>
          </w:p>
        </w:tc>
        <w:tc>
          <w:tcPr>
            <w:tcW w:w="2908" w:type="pct"/>
            <w:tcBorders>
              <w:top w:val="single" w:color="000000" w:sz="4" w:space="0"/>
              <w:left w:val="single" w:color="000000" w:sz="4" w:space="0"/>
              <w:bottom w:val="single" w:color="000000" w:sz="4" w:space="0"/>
              <w:right w:val="single" w:color="000000" w:sz="4" w:space="0"/>
            </w:tcBorders>
            <w:vAlign w:val="center"/>
          </w:tcPr>
          <w:p w14:paraId="0869F5E0">
            <w:pPr>
              <w:widowControl/>
              <w:spacing w:line="240" w:lineRule="auto"/>
              <w:ind w:firstLine="0" w:firstLineChars="0"/>
              <w:rPr>
                <w:bCs/>
              </w:rPr>
            </w:pPr>
            <w:r>
              <w:rPr>
                <w:rFonts w:hint="eastAsia"/>
                <w:bCs/>
              </w:rPr>
              <w:t>根据服务平台设置策略，配置数据分类规则（如按时间3个月为热数据，3个月后为冷数据）</w:t>
            </w:r>
          </w:p>
        </w:tc>
      </w:tr>
      <w:tr w14:paraId="4180A49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79A9706">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9A49B9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9E54B57">
            <w:pPr>
              <w:widowControl/>
              <w:spacing w:line="240" w:lineRule="auto"/>
              <w:ind w:firstLine="0" w:firstLineChars="0"/>
              <w:jc w:val="center"/>
              <w:rPr>
                <w:bCs/>
              </w:rPr>
            </w:pPr>
            <w:r>
              <w:rPr>
                <w:rFonts w:hint="eastAsia"/>
                <w:bCs/>
              </w:rPr>
              <w:t>涉链票据业务管理-票据冷热数据差异化管理-数据生命周期管理模块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134B4EB5">
            <w:pPr>
              <w:widowControl/>
              <w:spacing w:line="240" w:lineRule="auto"/>
              <w:ind w:firstLine="0" w:firstLineChars="0"/>
              <w:rPr>
                <w:bCs/>
              </w:rPr>
            </w:pPr>
            <w:r>
              <w:rPr>
                <w:rFonts w:hint="eastAsia"/>
                <w:bCs/>
              </w:rPr>
              <w:t>自动化管理数据的冷热迁移、归档和清理，设置迁移策略、保留索引、清理已迁移冗余数据策略</w:t>
            </w:r>
          </w:p>
        </w:tc>
      </w:tr>
      <w:tr w14:paraId="137C027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2DD7448">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6A8FA02">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A65DF19">
            <w:pPr>
              <w:widowControl/>
              <w:spacing w:line="240" w:lineRule="auto"/>
              <w:ind w:firstLine="0" w:firstLineChars="0"/>
              <w:jc w:val="center"/>
              <w:rPr>
                <w:bCs/>
              </w:rPr>
            </w:pPr>
            <w:r>
              <w:rPr>
                <w:rFonts w:hint="eastAsia"/>
                <w:bCs/>
              </w:rPr>
              <w:t>涉链票据业务管理-票据冷热数据差异化管理-热冷数据处理模块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6DB0E7F1">
            <w:pPr>
              <w:widowControl/>
              <w:spacing w:line="240" w:lineRule="auto"/>
              <w:ind w:firstLine="0" w:firstLineChars="0"/>
              <w:rPr>
                <w:bCs/>
              </w:rPr>
            </w:pPr>
            <w:r>
              <w:rPr>
                <w:rFonts w:hint="eastAsia"/>
                <w:bCs/>
              </w:rPr>
              <w:t>基于开票时间进行区分，实时接收并向3个月内的主数据库写入，同时通过数据库同步抽取机制向查询数据库写入数据</w:t>
            </w:r>
          </w:p>
        </w:tc>
      </w:tr>
      <w:tr w14:paraId="5B8F1431">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88CF1F4">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BEDB4A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D484008">
            <w:pPr>
              <w:widowControl/>
              <w:spacing w:line="240" w:lineRule="auto"/>
              <w:ind w:firstLine="0" w:firstLineChars="0"/>
              <w:jc w:val="center"/>
              <w:rPr>
                <w:bCs/>
              </w:rPr>
            </w:pPr>
            <w:r>
              <w:rPr>
                <w:rFonts w:hint="eastAsia"/>
                <w:bCs/>
              </w:rPr>
              <w:t>涉链票据业务管理-票据冷热数据差异化管理-数据查询路由模块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7A11D0E5">
            <w:pPr>
              <w:widowControl/>
              <w:spacing w:line="240" w:lineRule="auto"/>
              <w:ind w:firstLine="0" w:firstLineChars="0"/>
              <w:rPr>
                <w:bCs/>
              </w:rPr>
            </w:pPr>
            <w:r>
              <w:rPr>
                <w:rFonts w:hint="eastAsia"/>
                <w:bCs/>
              </w:rPr>
              <w:t>根据查询条件自动选择主数据库或查询数据库，确保查询性能</w:t>
            </w:r>
          </w:p>
        </w:tc>
      </w:tr>
      <w:tr w14:paraId="0A0D5C2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03DE83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AD15D0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4085760">
            <w:pPr>
              <w:widowControl/>
              <w:spacing w:line="240" w:lineRule="auto"/>
              <w:ind w:firstLine="0" w:firstLineChars="0"/>
              <w:jc w:val="center"/>
              <w:rPr>
                <w:bCs/>
              </w:rPr>
            </w:pPr>
            <w:r>
              <w:rPr>
                <w:rFonts w:hint="eastAsia"/>
                <w:bCs/>
              </w:rPr>
              <w:t>涉链票据业务管理-票据冷热数据差异化管理-数据一致性同步模块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2C820DA5">
            <w:pPr>
              <w:widowControl/>
              <w:spacing w:line="240" w:lineRule="auto"/>
              <w:ind w:firstLine="0" w:firstLineChars="0"/>
              <w:rPr>
                <w:bCs/>
              </w:rPr>
            </w:pPr>
            <w:r>
              <w:rPr>
                <w:rFonts w:hint="eastAsia"/>
                <w:bCs/>
              </w:rPr>
              <w:t>确保主数据库与查询数据库数据一致性，避免查询结果不一致</w:t>
            </w:r>
            <w:r>
              <w:rPr>
                <w:rFonts w:hint="eastAsia"/>
                <w:bCs/>
              </w:rPr>
              <w:br w:type="textWrapping"/>
            </w:r>
            <w:r>
              <w:rPr>
                <w:rFonts w:hint="eastAsia"/>
                <w:bCs/>
              </w:rPr>
              <w:t>对比主数据库与查询数据库增量数据哈希值，进行触发告警和重试</w:t>
            </w:r>
            <w:r>
              <w:rPr>
                <w:rFonts w:hint="eastAsia"/>
                <w:bCs/>
              </w:rPr>
              <w:br w:type="textWrapping"/>
            </w:r>
            <w:r>
              <w:rPr>
                <w:rFonts w:hint="eastAsia"/>
                <w:bCs/>
              </w:rPr>
              <w:t>定期校验全量数据表一致性，根据规则进行抽样检查</w:t>
            </w:r>
            <w:r>
              <w:rPr>
                <w:rFonts w:hint="eastAsia"/>
                <w:bCs/>
              </w:rPr>
              <w:br w:type="textWrapping"/>
            </w:r>
            <w:r>
              <w:rPr>
                <w:rFonts w:hint="eastAsia"/>
                <w:bCs/>
              </w:rPr>
              <w:t>冲突解决机制，两边数据不一致时，主数据库与链上、非税系统进行比对，以主数据库状态为主</w:t>
            </w:r>
          </w:p>
        </w:tc>
      </w:tr>
      <w:tr w14:paraId="3E83335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19F5E80">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F5C6224">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83BB7C4">
            <w:pPr>
              <w:widowControl/>
              <w:spacing w:line="240" w:lineRule="auto"/>
              <w:ind w:firstLine="0" w:firstLineChars="0"/>
              <w:jc w:val="center"/>
              <w:rPr>
                <w:bCs/>
              </w:rPr>
            </w:pPr>
            <w:r>
              <w:rPr>
                <w:rFonts w:hint="eastAsia"/>
                <w:bCs/>
              </w:rPr>
              <w:t>涉链票据业务管理-在线票据开票上链模块-系统登录</w:t>
            </w:r>
          </w:p>
        </w:tc>
        <w:tc>
          <w:tcPr>
            <w:tcW w:w="2908" w:type="pct"/>
            <w:tcBorders>
              <w:top w:val="single" w:color="000000" w:sz="4" w:space="0"/>
              <w:left w:val="single" w:color="000000" w:sz="4" w:space="0"/>
              <w:bottom w:val="single" w:color="000000" w:sz="4" w:space="0"/>
              <w:right w:val="single" w:color="000000" w:sz="4" w:space="0"/>
            </w:tcBorders>
            <w:vAlign w:val="center"/>
          </w:tcPr>
          <w:p w14:paraId="7F0D35AA">
            <w:pPr>
              <w:widowControl/>
              <w:spacing w:line="240" w:lineRule="auto"/>
              <w:ind w:firstLine="0" w:firstLineChars="0"/>
              <w:rPr>
                <w:bCs/>
              </w:rPr>
            </w:pPr>
            <w:r>
              <w:rPr>
                <w:rFonts w:hint="eastAsia"/>
                <w:bCs/>
              </w:rPr>
              <w:t>帐密登录：系统为单位用户提供帐号、密码登录，登录时提交：单位主帐号、管理员分配的用户帐号、用户密码信息。系统支持密码修改，密码修改包括帐号密码的修改和个人密码的修改。</w:t>
            </w:r>
            <w:r>
              <w:rPr>
                <w:rFonts w:hint="eastAsia"/>
                <w:bCs/>
              </w:rPr>
              <w:br w:type="textWrapping"/>
            </w:r>
            <w:r>
              <w:rPr>
                <w:rFonts w:hint="eastAsia"/>
                <w:bCs/>
              </w:rPr>
              <w:t>个人首页：系统根据用户默认角色展现角色对应的首页门户内容，首页门户包括通知公告、待办事项、开票信息的统计、开票金额总览、数据核对总览等信息</w:t>
            </w:r>
          </w:p>
        </w:tc>
      </w:tr>
      <w:tr w14:paraId="5D17BEC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C9AAF2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3C954A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2177C1E">
            <w:pPr>
              <w:widowControl/>
              <w:spacing w:line="240" w:lineRule="auto"/>
              <w:ind w:firstLine="0" w:firstLineChars="0"/>
              <w:jc w:val="center"/>
              <w:rPr>
                <w:bCs/>
              </w:rPr>
            </w:pPr>
            <w:r>
              <w:rPr>
                <w:rFonts w:hint="eastAsia"/>
                <w:bCs/>
              </w:rPr>
              <w:t>涉链票据业务管理-在线票据开票上链模块-财政基础数据管理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4C6E31EA">
            <w:pPr>
              <w:widowControl/>
              <w:spacing w:line="240" w:lineRule="auto"/>
              <w:ind w:firstLine="0" w:firstLineChars="0"/>
              <w:rPr>
                <w:bCs/>
              </w:rPr>
            </w:pPr>
            <w:r>
              <w:rPr>
                <w:rFonts w:hint="eastAsia"/>
                <w:bCs/>
              </w:rPr>
              <w:t>主管部门管理：维护单位主管部门，财政用户可新增、修改、删除主管部门，还能对已录入数据的主管部门进行条件查询。</w:t>
            </w:r>
            <w:r>
              <w:rPr>
                <w:rFonts w:hint="eastAsia"/>
                <w:bCs/>
              </w:rPr>
              <w:br w:type="textWrapping"/>
            </w:r>
            <w:r>
              <w:rPr>
                <w:rFonts w:hint="eastAsia"/>
                <w:bCs/>
              </w:rPr>
              <w:t>医疗单位信息管理：为财政用户提供医疗单位信息管理功能。包含单位信息维护、单位领用证管理、业务处室维护、单位可用票据及可用项目管理、单位控制信息、单位印章管理等单位相关基础信息维护管理。</w:t>
            </w:r>
            <w:r>
              <w:rPr>
                <w:rFonts w:hint="eastAsia"/>
                <w:bCs/>
              </w:rPr>
              <w:br w:type="textWrapping"/>
            </w:r>
            <w:r>
              <w:rPr>
                <w:rFonts w:hint="eastAsia"/>
                <w:bCs/>
              </w:rPr>
              <w:t>票据基础信息管理：财政用户对财政电子票据种类相关信息进行管理和设置。包含上海市门诊票据、住院票据及互联网医疗票据的票据种类管理、票据代码管理、票据项目关系管理、票据模板管理。</w:t>
            </w:r>
            <w:r>
              <w:rPr>
                <w:rFonts w:hint="eastAsia"/>
                <w:bCs/>
              </w:rPr>
              <w:br w:type="textWrapping"/>
            </w:r>
            <w:r>
              <w:rPr>
                <w:rFonts w:hint="eastAsia"/>
                <w:bCs/>
              </w:rPr>
              <w:t>收费项目管理：依据政策文件在系统中维护收费项目信息，包含收费项目维护、审核，收费标准管理功能。</w:t>
            </w:r>
          </w:p>
        </w:tc>
      </w:tr>
      <w:tr w14:paraId="5BF9B8C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D53854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943523E">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EE7123F">
            <w:pPr>
              <w:widowControl/>
              <w:spacing w:line="240" w:lineRule="auto"/>
              <w:ind w:firstLine="0" w:firstLineChars="0"/>
              <w:jc w:val="center"/>
              <w:rPr>
                <w:bCs/>
              </w:rPr>
            </w:pPr>
            <w:r>
              <w:rPr>
                <w:rFonts w:hint="eastAsia"/>
                <w:bCs/>
              </w:rPr>
              <w:t>涉链票据业务管理-在线票据开票上链模块-财政票据库存管理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50D2CE0C">
            <w:pPr>
              <w:widowControl/>
              <w:spacing w:line="240" w:lineRule="auto"/>
              <w:ind w:firstLine="0" w:firstLineChars="0"/>
              <w:rPr>
                <w:bCs/>
              </w:rPr>
            </w:pPr>
            <w:r>
              <w:rPr>
                <w:rFonts w:hint="eastAsia"/>
                <w:bCs/>
              </w:rPr>
              <w:t>财政票据入库：财政票据专管员通过系统设置电子票据财政库存，包括票据种类、票据代码、票号范围等信息。</w:t>
            </w:r>
            <w:r>
              <w:rPr>
                <w:rFonts w:hint="eastAsia"/>
                <w:bCs/>
              </w:rPr>
              <w:br w:type="textWrapping"/>
            </w:r>
            <w:r>
              <w:rPr>
                <w:rFonts w:hint="eastAsia"/>
                <w:bCs/>
              </w:rPr>
              <w:t>财政票据赋码（发放）：赋码是财政部门向单位发放电子票号的过程，是保证财政电子票据票号唯一性的核心环节。财政预发电子票据票号，支持按顺序使用电子票号。</w:t>
            </w:r>
            <w:r>
              <w:rPr>
                <w:rFonts w:hint="eastAsia"/>
                <w:bCs/>
              </w:rPr>
              <w:br w:type="textWrapping"/>
            </w:r>
            <w:r>
              <w:rPr>
                <w:rFonts w:hint="eastAsia"/>
                <w:bCs/>
              </w:rPr>
              <w:t>财政票据申领：下级财政机构库存不足时，下级财政用户可通过系统填写财政票据申领申请单，填写相关要素，包括票据代码、票据名称、数量等信息的选择。递交上级财政部门审核通过后，库存可按申领数量进行票据出库的财政票据申领业务流程。</w:t>
            </w:r>
            <w:r>
              <w:rPr>
                <w:rFonts w:hint="eastAsia"/>
                <w:bCs/>
              </w:rPr>
              <w:br w:type="textWrapping"/>
            </w:r>
            <w:r>
              <w:rPr>
                <w:rFonts w:hint="eastAsia"/>
                <w:bCs/>
              </w:rPr>
              <w:t>票据自动发放流程：财政用户支持按单位、票据种类进行自定义手动发放或自动发放，并可配置自动发放的库存额度。单位在库存不足时，支持按预制额度进行自动发放入库。提供多样化的库存自动管理功能。</w:t>
            </w:r>
          </w:p>
        </w:tc>
      </w:tr>
      <w:tr w14:paraId="2C88754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15E2448">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976CE6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62D9A18">
            <w:pPr>
              <w:widowControl/>
              <w:spacing w:line="240" w:lineRule="auto"/>
              <w:ind w:firstLine="0" w:firstLineChars="0"/>
              <w:jc w:val="center"/>
              <w:rPr>
                <w:bCs/>
              </w:rPr>
            </w:pPr>
            <w:r>
              <w:rPr>
                <w:rFonts w:hint="eastAsia"/>
                <w:bCs/>
              </w:rPr>
              <w:t>涉链票据业务管理-在线票据开票上链模块-单位基础信息-基础信息管理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36690580">
            <w:pPr>
              <w:widowControl/>
              <w:spacing w:line="240" w:lineRule="auto"/>
              <w:ind w:firstLine="0" w:firstLineChars="0"/>
              <w:rPr>
                <w:bCs/>
              </w:rPr>
            </w:pPr>
            <w:r>
              <w:rPr>
                <w:rFonts w:hint="eastAsia"/>
                <w:bCs/>
              </w:rPr>
              <w:t>开票点管理 对系统开票点和管理点的新增、项目、票据、用户业务权限、印章等挂接设置</w:t>
            </w:r>
            <w:r>
              <w:rPr>
                <w:rFonts w:hint="eastAsia"/>
                <w:bCs/>
              </w:rPr>
              <w:br w:type="textWrapping"/>
            </w:r>
            <w:r>
              <w:rPr>
                <w:rFonts w:hint="eastAsia"/>
                <w:bCs/>
              </w:rPr>
              <w:t>常用交款人 对开票常用交款人信息的设置，包括交款人编码、交款人名称、交款人类型等信息，在开票界面可直接选择</w:t>
            </w:r>
            <w:r>
              <w:rPr>
                <w:rFonts w:hint="eastAsia"/>
                <w:bCs/>
              </w:rPr>
              <w:br w:type="textWrapping"/>
            </w:r>
            <w:r>
              <w:rPr>
                <w:rFonts w:hint="eastAsia"/>
                <w:bCs/>
              </w:rPr>
              <w:t>项目信息管理 "项目分组：对开票常用的项目分组进行设置，包括分组编码、分组名称、票据种类、开票机构等，在开票界面可直接选择</w:t>
            </w:r>
            <w:r>
              <w:rPr>
                <w:rFonts w:hint="eastAsia"/>
                <w:bCs/>
              </w:rPr>
              <w:br w:type="textWrapping"/>
            </w:r>
            <w:r>
              <w:rPr>
                <w:rFonts w:hint="eastAsia"/>
                <w:bCs/>
              </w:rPr>
              <w:t>收费明细管理：实现对行业收费明细项目的管理，包括收费明细编码、名称、剂型、规格、收费标准等信息，在开票界面可直接选择</w:t>
            </w:r>
            <w:r>
              <w:rPr>
                <w:rFonts w:hint="eastAsia"/>
                <w:bCs/>
              </w:rPr>
              <w:br w:type="textWrapping"/>
            </w:r>
            <w:r>
              <w:rPr>
                <w:rFonts w:hint="eastAsia"/>
                <w:bCs/>
              </w:rPr>
              <w:t xml:space="preserve">收费明细分组：对开票常用的收费明细分组进行设置，包括分组编码、分组名称、票据种类等，在开票界面可直接选择" </w:t>
            </w:r>
            <w:r>
              <w:rPr>
                <w:rFonts w:hint="eastAsia"/>
                <w:bCs/>
              </w:rPr>
              <w:br w:type="textWrapping"/>
            </w:r>
            <w:r>
              <w:rPr>
                <w:rFonts w:hint="eastAsia"/>
                <w:bCs/>
              </w:rPr>
              <w:t>复核人管理 对电子票据开票复核人的设置管理，可按开票点、票据种类等维度进行复核人的挂接</w:t>
            </w:r>
            <w:r>
              <w:rPr>
                <w:rFonts w:hint="eastAsia"/>
                <w:bCs/>
              </w:rPr>
              <w:br w:type="textWrapping"/>
            </w:r>
            <w:r>
              <w:rPr>
                <w:rFonts w:hint="eastAsia"/>
                <w:bCs/>
              </w:rPr>
              <w:t>业务科室管理 提供单位内部的业务科室管理功能。</w:t>
            </w:r>
          </w:p>
        </w:tc>
      </w:tr>
      <w:tr w14:paraId="47488B7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2D2C78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CBB917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50FE5D0">
            <w:pPr>
              <w:widowControl/>
              <w:spacing w:line="240" w:lineRule="auto"/>
              <w:ind w:firstLine="0" w:firstLineChars="0"/>
              <w:jc w:val="center"/>
              <w:rPr>
                <w:bCs/>
              </w:rPr>
            </w:pPr>
            <w:r>
              <w:rPr>
                <w:rFonts w:hint="eastAsia"/>
                <w:bCs/>
              </w:rPr>
              <w:t>涉链票据业务管理-在线票据开票上链模块-单位基础信息-库存预警设置</w:t>
            </w:r>
          </w:p>
        </w:tc>
        <w:tc>
          <w:tcPr>
            <w:tcW w:w="2908" w:type="pct"/>
            <w:tcBorders>
              <w:top w:val="single" w:color="000000" w:sz="4" w:space="0"/>
              <w:left w:val="single" w:color="000000" w:sz="4" w:space="0"/>
              <w:bottom w:val="single" w:color="000000" w:sz="4" w:space="0"/>
              <w:right w:val="single" w:color="000000" w:sz="4" w:space="0"/>
            </w:tcBorders>
            <w:vAlign w:val="center"/>
          </w:tcPr>
          <w:p w14:paraId="3B2BEA90">
            <w:pPr>
              <w:widowControl/>
              <w:spacing w:line="240" w:lineRule="auto"/>
              <w:ind w:firstLine="0" w:firstLineChars="0"/>
              <w:rPr>
                <w:bCs/>
              </w:rPr>
            </w:pPr>
            <w:r>
              <w:rPr>
                <w:rFonts w:hint="eastAsia"/>
                <w:bCs/>
              </w:rPr>
              <w:t>单位或管理点或开票点管理员可设定最低库存预警值，系统自动根据库存剩余数量计算是否进行预警。</w:t>
            </w:r>
          </w:p>
        </w:tc>
      </w:tr>
      <w:tr w14:paraId="7A18046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77CA1C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C25E0A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B8378D2">
            <w:pPr>
              <w:widowControl/>
              <w:spacing w:line="240" w:lineRule="auto"/>
              <w:ind w:firstLine="0" w:firstLineChars="0"/>
              <w:jc w:val="center"/>
              <w:rPr>
                <w:bCs/>
              </w:rPr>
            </w:pPr>
            <w:r>
              <w:rPr>
                <w:rFonts w:hint="eastAsia"/>
                <w:bCs/>
              </w:rPr>
              <w:t>涉链票据业务管理-在线票据开票上链模块-票据管理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2EE4049C">
            <w:pPr>
              <w:widowControl/>
              <w:spacing w:line="240" w:lineRule="auto"/>
              <w:ind w:firstLine="0" w:firstLineChars="0"/>
              <w:rPr>
                <w:bCs/>
              </w:rPr>
            </w:pPr>
            <w:r>
              <w:rPr>
                <w:rFonts w:hint="eastAsia"/>
                <w:bCs/>
              </w:rPr>
              <w:t>票据申领：此功能用于开票点向上级票管申领票据，由开票点用户在线填写申领单，并提交给上级票管，上级票管接收到申领信息，经审批后，并下发票号信息，开票点进行入库确认</w:t>
            </w:r>
            <w:r>
              <w:rPr>
                <w:rFonts w:hint="eastAsia"/>
                <w:bCs/>
              </w:rPr>
              <w:br w:type="textWrapping"/>
            </w:r>
            <w:r>
              <w:rPr>
                <w:rFonts w:hint="eastAsia"/>
                <w:bCs/>
              </w:rPr>
              <w:t>票据分发：为单位提供内部电子票据分发管理，电子票据支持人工分发和自动分发两种模式</w:t>
            </w:r>
            <w:r>
              <w:rPr>
                <w:rFonts w:hint="eastAsia"/>
                <w:bCs/>
              </w:rPr>
              <w:br w:type="textWrapping"/>
            </w:r>
            <w:r>
              <w:rPr>
                <w:rFonts w:hint="eastAsia"/>
                <w:bCs/>
              </w:rPr>
              <w:t>票据入库：单位将申领或上级机构下发的票据进行核对确认入库</w:t>
            </w:r>
            <w:r>
              <w:rPr>
                <w:rFonts w:hint="eastAsia"/>
                <w:bCs/>
              </w:rPr>
              <w:br w:type="textWrapping"/>
            </w:r>
            <w:r>
              <w:rPr>
                <w:rFonts w:hint="eastAsia"/>
                <w:bCs/>
              </w:rPr>
              <w:t>票据申退：单位出现多领、错领的情况下，通过该功能将票据退回到上级单位或财政</w:t>
            </w:r>
            <w:r>
              <w:rPr>
                <w:rFonts w:hint="eastAsia"/>
                <w:bCs/>
              </w:rPr>
              <w:br w:type="textWrapping"/>
            </w:r>
            <w:r>
              <w:rPr>
                <w:rFonts w:hint="eastAsia"/>
                <w:bCs/>
              </w:rPr>
              <w:t>库存作废：单位从财政领购票据后，因政策或其他原因对电子票据进行批量作废，可在系统填写库存作废申请，提交上级财政审核</w:t>
            </w:r>
          </w:p>
        </w:tc>
      </w:tr>
      <w:tr w14:paraId="4F9F77C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0AA268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DDC35F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18B2338">
            <w:pPr>
              <w:widowControl/>
              <w:spacing w:line="240" w:lineRule="auto"/>
              <w:ind w:firstLine="0" w:firstLineChars="0"/>
              <w:jc w:val="center"/>
              <w:rPr>
                <w:bCs/>
              </w:rPr>
            </w:pPr>
            <w:r>
              <w:rPr>
                <w:rFonts w:hint="eastAsia"/>
                <w:bCs/>
              </w:rPr>
              <w:t>涉链票据业务管理-在线票据开票上链模块-开具管理-U-key对接</w:t>
            </w:r>
          </w:p>
        </w:tc>
        <w:tc>
          <w:tcPr>
            <w:tcW w:w="2908" w:type="pct"/>
            <w:tcBorders>
              <w:top w:val="single" w:color="000000" w:sz="4" w:space="0"/>
              <w:left w:val="single" w:color="000000" w:sz="4" w:space="0"/>
              <w:bottom w:val="single" w:color="000000" w:sz="4" w:space="0"/>
              <w:right w:val="single" w:color="000000" w:sz="4" w:space="0"/>
            </w:tcBorders>
            <w:vAlign w:val="center"/>
          </w:tcPr>
          <w:p w14:paraId="76C96C68">
            <w:pPr>
              <w:widowControl/>
              <w:spacing w:line="240" w:lineRule="auto"/>
              <w:ind w:firstLine="0" w:firstLineChars="0"/>
              <w:rPr>
                <w:bCs/>
              </w:rPr>
            </w:pPr>
            <w:r>
              <w:rPr>
                <w:rFonts w:hint="eastAsia"/>
                <w:bCs/>
              </w:rPr>
              <w:t>与U-key签名设备对接</w:t>
            </w:r>
          </w:p>
        </w:tc>
      </w:tr>
      <w:tr w14:paraId="0E2C67D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360912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94F0BF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1C99795">
            <w:pPr>
              <w:widowControl/>
              <w:spacing w:line="240" w:lineRule="auto"/>
              <w:ind w:firstLine="0" w:firstLineChars="0"/>
              <w:jc w:val="center"/>
              <w:rPr>
                <w:bCs/>
              </w:rPr>
            </w:pPr>
            <w:r>
              <w:rPr>
                <w:rFonts w:hint="eastAsia"/>
                <w:bCs/>
              </w:rPr>
              <w:t>涉链票据业务管理-在线票据开票上链模块-开具管理-票据开具</w:t>
            </w:r>
          </w:p>
        </w:tc>
        <w:tc>
          <w:tcPr>
            <w:tcW w:w="2908" w:type="pct"/>
            <w:tcBorders>
              <w:top w:val="single" w:color="000000" w:sz="4" w:space="0"/>
              <w:left w:val="single" w:color="000000" w:sz="4" w:space="0"/>
              <w:bottom w:val="single" w:color="000000" w:sz="4" w:space="0"/>
              <w:right w:val="single" w:color="000000" w:sz="4" w:space="0"/>
            </w:tcBorders>
            <w:vAlign w:val="center"/>
          </w:tcPr>
          <w:p w14:paraId="4DF15A39">
            <w:pPr>
              <w:widowControl/>
              <w:spacing w:line="240" w:lineRule="auto"/>
              <w:ind w:firstLine="0" w:firstLineChars="0"/>
              <w:rPr>
                <w:bCs/>
              </w:rPr>
            </w:pPr>
            <w:r>
              <w:rPr>
                <w:rFonts w:hint="eastAsia"/>
                <w:bCs/>
              </w:rPr>
              <w:t>支持单位用户直接登录系统，录入开票信息，选择收费项目、收费清单、交费渠道明细信息开具门诊、住院、互联网医疗电子票据</w:t>
            </w:r>
            <w:r>
              <w:rPr>
                <w:rFonts w:hint="eastAsia"/>
                <w:bCs/>
              </w:rPr>
              <w:br w:type="textWrapping"/>
            </w:r>
            <w:r>
              <w:rPr>
                <w:rFonts w:hint="eastAsia"/>
                <w:bCs/>
              </w:rPr>
              <w:t>开具后调用服务平台票据涉链状态综合处理模块的统一上链查询模块进行上链</w:t>
            </w:r>
          </w:p>
        </w:tc>
      </w:tr>
      <w:tr w14:paraId="5500FA58">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964CDBE">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DAE72E2">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4F248B3">
            <w:pPr>
              <w:widowControl/>
              <w:spacing w:line="240" w:lineRule="auto"/>
              <w:ind w:firstLine="0" w:firstLineChars="0"/>
              <w:jc w:val="center"/>
              <w:rPr>
                <w:bCs/>
              </w:rPr>
            </w:pPr>
            <w:r>
              <w:rPr>
                <w:rFonts w:hint="eastAsia"/>
                <w:bCs/>
              </w:rPr>
              <w:t>涉链票据业务管理-在线票据开票上链模块-开具管理-票据冲红</w:t>
            </w:r>
          </w:p>
        </w:tc>
        <w:tc>
          <w:tcPr>
            <w:tcW w:w="2908" w:type="pct"/>
            <w:tcBorders>
              <w:top w:val="single" w:color="000000" w:sz="4" w:space="0"/>
              <w:left w:val="single" w:color="000000" w:sz="4" w:space="0"/>
              <w:bottom w:val="single" w:color="000000" w:sz="4" w:space="0"/>
              <w:right w:val="single" w:color="000000" w:sz="4" w:space="0"/>
            </w:tcBorders>
            <w:vAlign w:val="center"/>
          </w:tcPr>
          <w:p w14:paraId="2E96073E">
            <w:pPr>
              <w:widowControl/>
              <w:spacing w:line="240" w:lineRule="auto"/>
              <w:ind w:firstLine="0" w:firstLineChars="0"/>
              <w:rPr>
                <w:bCs/>
              </w:rPr>
            </w:pPr>
            <w:r>
              <w:rPr>
                <w:rFonts w:hint="eastAsia"/>
                <w:bCs/>
              </w:rPr>
              <w:t>支持对已开具的电子票据进行冲红</w:t>
            </w:r>
            <w:r>
              <w:rPr>
                <w:rFonts w:hint="eastAsia"/>
                <w:bCs/>
              </w:rPr>
              <w:br w:type="textWrapping"/>
            </w:r>
            <w:r>
              <w:rPr>
                <w:rFonts w:hint="eastAsia"/>
                <w:bCs/>
              </w:rPr>
              <w:t>触发调用服务平台票据涉链状态综合处理模块的统一上链查询模块进行冲红</w:t>
            </w:r>
          </w:p>
        </w:tc>
      </w:tr>
      <w:tr w14:paraId="11675818">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77A6A4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D28762A">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B7387F7">
            <w:pPr>
              <w:widowControl/>
              <w:spacing w:line="240" w:lineRule="auto"/>
              <w:ind w:firstLine="0" w:firstLineChars="0"/>
              <w:jc w:val="center"/>
              <w:rPr>
                <w:bCs/>
              </w:rPr>
            </w:pPr>
            <w:r>
              <w:rPr>
                <w:rFonts w:hint="eastAsia"/>
                <w:bCs/>
              </w:rPr>
              <w:t>涉链票据业务管理-在线票据开票上链模块-开具管理-电子票据交付</w:t>
            </w:r>
          </w:p>
        </w:tc>
        <w:tc>
          <w:tcPr>
            <w:tcW w:w="2908" w:type="pct"/>
            <w:tcBorders>
              <w:top w:val="single" w:color="000000" w:sz="4" w:space="0"/>
              <w:left w:val="single" w:color="000000" w:sz="4" w:space="0"/>
              <w:bottom w:val="single" w:color="000000" w:sz="4" w:space="0"/>
              <w:right w:val="single" w:color="000000" w:sz="4" w:space="0"/>
            </w:tcBorders>
            <w:vAlign w:val="center"/>
          </w:tcPr>
          <w:p w14:paraId="43D86BD3">
            <w:pPr>
              <w:widowControl/>
              <w:spacing w:line="240" w:lineRule="auto"/>
              <w:ind w:firstLine="0" w:firstLineChars="0"/>
              <w:rPr>
                <w:bCs/>
              </w:rPr>
            </w:pPr>
            <w:r>
              <w:rPr>
                <w:rFonts w:hint="eastAsia"/>
                <w:bCs/>
              </w:rPr>
              <w:t>提供电子票据交付功能，可以进行打印、下载及发送邮箱等功能，方便单位业务人员进行票据二次交付</w:t>
            </w:r>
          </w:p>
        </w:tc>
      </w:tr>
      <w:tr w14:paraId="3019983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4DA0B1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DB73E7C">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339034A">
            <w:pPr>
              <w:widowControl/>
              <w:spacing w:line="240" w:lineRule="auto"/>
              <w:ind w:firstLine="0" w:firstLineChars="0"/>
              <w:jc w:val="center"/>
              <w:rPr>
                <w:bCs/>
              </w:rPr>
            </w:pPr>
            <w:r>
              <w:rPr>
                <w:rFonts w:hint="eastAsia"/>
                <w:bCs/>
              </w:rPr>
              <w:t>涉链票据业务管理-在线票据开票上链模块-报表查询</w:t>
            </w:r>
          </w:p>
        </w:tc>
        <w:tc>
          <w:tcPr>
            <w:tcW w:w="2908" w:type="pct"/>
            <w:tcBorders>
              <w:top w:val="single" w:color="000000" w:sz="4" w:space="0"/>
              <w:left w:val="single" w:color="000000" w:sz="4" w:space="0"/>
              <w:bottom w:val="single" w:color="000000" w:sz="4" w:space="0"/>
              <w:right w:val="single" w:color="000000" w:sz="4" w:space="0"/>
            </w:tcBorders>
            <w:vAlign w:val="center"/>
          </w:tcPr>
          <w:p w14:paraId="21D93DDC">
            <w:pPr>
              <w:widowControl/>
              <w:spacing w:line="240" w:lineRule="auto"/>
              <w:ind w:firstLine="0" w:firstLineChars="0"/>
              <w:rPr>
                <w:bCs/>
              </w:rPr>
            </w:pPr>
            <w:r>
              <w:rPr>
                <w:rFonts w:hint="eastAsia"/>
                <w:bCs/>
              </w:rPr>
              <w:t>单位票据库存查询：提供库存结余查询、库存不足预警查询、票据入库情况查询、票据分发情况查询、票据作废情况查询、票据领用存情况查询功能</w:t>
            </w:r>
            <w:r>
              <w:rPr>
                <w:rFonts w:hint="eastAsia"/>
                <w:bCs/>
              </w:rPr>
              <w:br w:type="textWrapping"/>
            </w:r>
            <w:r>
              <w:rPr>
                <w:rFonts w:hint="eastAsia"/>
                <w:bCs/>
              </w:rPr>
              <w:t>单位票据开具查询：提供开票明细查询、开票汇总查询、冲红明细查询功能</w:t>
            </w:r>
            <w:r>
              <w:rPr>
                <w:rFonts w:hint="eastAsia"/>
                <w:bCs/>
              </w:rPr>
              <w:br w:type="textWrapping"/>
            </w:r>
            <w:r>
              <w:rPr>
                <w:rFonts w:hint="eastAsia"/>
                <w:bCs/>
              </w:rPr>
              <w:t>财政库存查询：提供库存类报表查询、财政票据发放查询功能</w:t>
            </w:r>
            <w:r>
              <w:rPr>
                <w:rFonts w:hint="eastAsia"/>
                <w:bCs/>
              </w:rPr>
              <w:br w:type="textWrapping"/>
            </w:r>
            <w:r>
              <w:rPr>
                <w:rFonts w:hint="eastAsia"/>
                <w:bCs/>
              </w:rPr>
              <w:t>财政综合查询：提供票据生命周期查询、全区划开票明细功能</w:t>
            </w:r>
          </w:p>
        </w:tc>
      </w:tr>
      <w:tr w14:paraId="3938FAC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04D267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E7DD20E">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B31FCF4">
            <w:pPr>
              <w:widowControl/>
              <w:spacing w:line="240" w:lineRule="auto"/>
              <w:ind w:firstLine="0" w:firstLineChars="0"/>
              <w:jc w:val="center"/>
              <w:rPr>
                <w:bCs/>
              </w:rPr>
            </w:pPr>
            <w:r>
              <w:rPr>
                <w:rFonts w:hint="eastAsia"/>
                <w:bCs/>
              </w:rPr>
              <w:t>涉链票据业务管理-在线票据开票上链模块-医疗在线开票平台管理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4E854D2B">
            <w:pPr>
              <w:widowControl/>
              <w:spacing w:line="240" w:lineRule="auto"/>
              <w:ind w:firstLine="0" w:firstLineChars="0"/>
              <w:rPr>
                <w:bCs/>
              </w:rPr>
            </w:pPr>
            <w:r>
              <w:rPr>
                <w:rFonts w:hint="eastAsia"/>
                <w:bCs/>
              </w:rPr>
              <w:t>医疗用户管理：单位的工作人员使用系统前需要在系统中新增用户，同时还支持查看用户信息(基本信息、系统使用情况和已分配菜单信息)、修改用户信息、删除用户、为忘记密码的用户重置密码、按照实际业务职责给用户分配相应角色，如果用户不再负责某项业务，可删除用户相应角色。</w:t>
            </w:r>
            <w:r>
              <w:rPr>
                <w:rFonts w:hint="eastAsia"/>
                <w:bCs/>
              </w:rPr>
              <w:br w:type="textWrapping"/>
            </w:r>
            <w:r>
              <w:rPr>
                <w:rFonts w:hint="eastAsia"/>
                <w:bCs/>
              </w:rPr>
              <w:t>角色管理：支持新建、查看、修改、删除、启用、停用、分配菜单功能，每个角色对应业务中具体岗位，例如开票点、管理点、单位管理员等，可查看某一角色对应的可使用菜单和系统用户。</w:t>
            </w:r>
            <w:r>
              <w:rPr>
                <w:rFonts w:hint="eastAsia"/>
                <w:bCs/>
              </w:rPr>
              <w:br w:type="textWrapping"/>
            </w:r>
            <w:r>
              <w:rPr>
                <w:rFonts w:hint="eastAsia"/>
                <w:bCs/>
              </w:rPr>
              <w:t>菜单管理：按照用户、角色、机构的不同，可根据机构的实际需求进行授权设置。通过对用户、岗位或机构的绑定，允许其办理或查看相应的事项或数据，严格把控数据权限。</w:t>
            </w:r>
            <w:r>
              <w:rPr>
                <w:rFonts w:hint="eastAsia"/>
                <w:bCs/>
              </w:rPr>
              <w:br w:type="textWrapping"/>
            </w:r>
            <w:r>
              <w:rPr>
                <w:rFonts w:hint="eastAsia"/>
                <w:bCs/>
              </w:rPr>
              <w:t>系统设置：设置医疗票据业务的相关参数配置</w:t>
            </w:r>
            <w:r>
              <w:rPr>
                <w:rFonts w:hint="eastAsia"/>
                <w:bCs/>
              </w:rPr>
              <w:br w:type="textWrapping"/>
            </w:r>
            <w:r>
              <w:rPr>
                <w:rFonts w:hint="eastAsia"/>
                <w:bCs/>
              </w:rPr>
              <w:t>操作日志查询：查询单位用户在平台的所有操作记录用于审计使用，包括帐号、操作菜单、操作功能等信息</w:t>
            </w:r>
            <w:r>
              <w:rPr>
                <w:rFonts w:hint="eastAsia"/>
                <w:bCs/>
              </w:rPr>
              <w:br w:type="textWrapping"/>
            </w:r>
            <w:r>
              <w:rPr>
                <w:rFonts w:hint="eastAsia"/>
                <w:bCs/>
              </w:rPr>
              <w:t>数据权限组：财政管理人员可根据实际情况对用户进行授权，控制用户可操作的数据权限范围。权限组包含的数据项有：仓库、下级区划、归口财政部门、票据、区划、单位、单位用途、项目用途。财政用户可配置用户的相关数据权限组关系，实现精细化的权限过滤和业务控制。</w:t>
            </w:r>
            <w:r>
              <w:rPr>
                <w:rFonts w:hint="eastAsia"/>
                <w:bCs/>
              </w:rPr>
              <w:br w:type="textWrapping"/>
            </w:r>
            <w:r>
              <w:rPr>
                <w:rFonts w:hint="eastAsia"/>
                <w:bCs/>
              </w:rPr>
              <w:t>通知公告：通知公告管理包含通知公告录入、通知公告审核、通知公告发布、通知公告查询功能。支持全区划发布、按机构类型、按用户分目标通知公告。支持富文本及附件相关内容，增加各机构接受的公告代办事项。</w:t>
            </w:r>
            <w:r>
              <w:rPr>
                <w:rFonts w:hint="eastAsia"/>
                <w:bCs/>
              </w:rPr>
              <w:br w:type="textWrapping"/>
            </w:r>
            <w:r>
              <w:rPr>
                <w:rFonts w:hint="eastAsia"/>
                <w:bCs/>
              </w:rPr>
              <w:t>门户管理 支持对财政用户门户、单位用户门户界面要素进行维护管理。支持自定义显示隐藏门户要素。</w:t>
            </w:r>
          </w:p>
        </w:tc>
      </w:tr>
      <w:tr w14:paraId="510756D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091421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B655472">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C64ABF4">
            <w:pPr>
              <w:widowControl/>
              <w:spacing w:line="240" w:lineRule="auto"/>
              <w:ind w:firstLine="0" w:firstLineChars="0"/>
              <w:jc w:val="center"/>
              <w:rPr>
                <w:bCs/>
              </w:rPr>
            </w:pPr>
            <w:r>
              <w:rPr>
                <w:rFonts w:hint="eastAsia"/>
                <w:bCs/>
              </w:rPr>
              <w:t>涉票数据授权中心-分布式身份服务模块-分布式身份签发能力</w:t>
            </w:r>
          </w:p>
        </w:tc>
        <w:tc>
          <w:tcPr>
            <w:tcW w:w="2908" w:type="pct"/>
            <w:tcBorders>
              <w:top w:val="single" w:color="000000" w:sz="4" w:space="0"/>
              <w:left w:val="single" w:color="000000" w:sz="4" w:space="0"/>
              <w:bottom w:val="single" w:color="000000" w:sz="4" w:space="0"/>
              <w:right w:val="single" w:color="000000" w:sz="4" w:space="0"/>
            </w:tcBorders>
            <w:vAlign w:val="center"/>
          </w:tcPr>
          <w:p w14:paraId="5EC7EC51">
            <w:pPr>
              <w:widowControl/>
              <w:spacing w:line="240" w:lineRule="auto"/>
              <w:ind w:firstLine="0" w:firstLineChars="0"/>
              <w:rPr>
                <w:bCs/>
              </w:rPr>
            </w:pPr>
            <w:r>
              <w:rPr>
                <w:rFonts w:hint="eastAsia"/>
                <w:bCs/>
              </w:rPr>
              <w:t>面向随申办或其他票据应用终端提供分布式身份标识签发应用服务</w:t>
            </w:r>
          </w:p>
        </w:tc>
      </w:tr>
      <w:tr w14:paraId="0B8545F1">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ED0043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3CE1D7D">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8E7F51D">
            <w:pPr>
              <w:widowControl/>
              <w:spacing w:line="240" w:lineRule="auto"/>
              <w:ind w:firstLine="0" w:firstLineChars="0"/>
              <w:jc w:val="center"/>
              <w:rPr>
                <w:bCs/>
              </w:rPr>
            </w:pPr>
            <w:r>
              <w:rPr>
                <w:rFonts w:hint="eastAsia"/>
                <w:bCs/>
              </w:rPr>
              <w:t>涉票数据授权中心-分布式身份服务模块-分布式身份查询能力</w:t>
            </w:r>
          </w:p>
        </w:tc>
        <w:tc>
          <w:tcPr>
            <w:tcW w:w="2908" w:type="pct"/>
            <w:tcBorders>
              <w:top w:val="single" w:color="000000" w:sz="4" w:space="0"/>
              <w:left w:val="single" w:color="000000" w:sz="4" w:space="0"/>
              <w:bottom w:val="single" w:color="000000" w:sz="4" w:space="0"/>
              <w:right w:val="single" w:color="000000" w:sz="4" w:space="0"/>
            </w:tcBorders>
            <w:vAlign w:val="center"/>
          </w:tcPr>
          <w:p w14:paraId="7E72ACE0">
            <w:pPr>
              <w:widowControl/>
              <w:spacing w:line="240" w:lineRule="auto"/>
              <w:ind w:firstLine="0" w:firstLineChars="0"/>
              <w:rPr>
                <w:bCs/>
              </w:rPr>
            </w:pPr>
            <w:r>
              <w:rPr>
                <w:rFonts w:hint="eastAsia"/>
                <w:bCs/>
              </w:rPr>
              <w:t>面向随申办或其他票据应用终端提供分布式身份标识查询服务</w:t>
            </w:r>
          </w:p>
        </w:tc>
      </w:tr>
      <w:tr w14:paraId="77E23CB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A917C9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0027DC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D4DD042">
            <w:pPr>
              <w:widowControl/>
              <w:spacing w:line="240" w:lineRule="auto"/>
              <w:ind w:firstLine="0" w:firstLineChars="0"/>
              <w:jc w:val="center"/>
              <w:rPr>
                <w:bCs/>
              </w:rPr>
            </w:pPr>
            <w:r>
              <w:rPr>
                <w:rFonts w:hint="eastAsia"/>
                <w:bCs/>
              </w:rPr>
              <w:t>涉票数据授权中心-分布式身份服务模块-分布式身份可验证凭证能力</w:t>
            </w:r>
          </w:p>
        </w:tc>
        <w:tc>
          <w:tcPr>
            <w:tcW w:w="2908" w:type="pct"/>
            <w:tcBorders>
              <w:top w:val="single" w:color="000000" w:sz="4" w:space="0"/>
              <w:left w:val="single" w:color="000000" w:sz="4" w:space="0"/>
              <w:bottom w:val="single" w:color="000000" w:sz="4" w:space="0"/>
              <w:right w:val="single" w:color="000000" w:sz="4" w:space="0"/>
            </w:tcBorders>
            <w:vAlign w:val="center"/>
          </w:tcPr>
          <w:p w14:paraId="66346A4D">
            <w:pPr>
              <w:widowControl/>
              <w:spacing w:line="240" w:lineRule="auto"/>
              <w:ind w:firstLine="0" w:firstLineChars="0"/>
              <w:rPr>
                <w:bCs/>
              </w:rPr>
            </w:pPr>
            <w:r>
              <w:rPr>
                <w:rFonts w:hint="eastAsia"/>
                <w:bCs/>
              </w:rPr>
              <w:t>票据授权凭证接收汇总：接收随申办基于分布式身份标识能力签发的授权凭证，解析凭证所有人，维护分发系统标签</w:t>
            </w:r>
            <w:r>
              <w:rPr>
                <w:rFonts w:hint="eastAsia"/>
                <w:bCs/>
              </w:rPr>
              <w:br w:type="textWrapping"/>
            </w:r>
            <w:r>
              <w:rPr>
                <w:rFonts w:hint="eastAsia"/>
                <w:bCs/>
              </w:rPr>
              <w:t>用户用票授权列表查询：提供根据用户查询在财票链场景下授权列表，系统进行处理默认返回有效的授权凭证</w:t>
            </w:r>
            <w:r>
              <w:rPr>
                <w:rFonts w:hint="eastAsia"/>
                <w:bCs/>
              </w:rPr>
              <w:br w:type="textWrapping"/>
            </w:r>
            <w:r>
              <w:rPr>
                <w:rFonts w:hint="eastAsia"/>
                <w:bCs/>
              </w:rPr>
              <w:t>凭证签发：提供授权凭证、确认凭证签发能力，可通过此能力调用凭证模版签发凭证</w:t>
            </w:r>
            <w:r>
              <w:rPr>
                <w:rFonts w:hint="eastAsia"/>
                <w:bCs/>
              </w:rPr>
              <w:br w:type="textWrapping"/>
            </w:r>
            <w:r>
              <w:rPr>
                <w:rFonts w:hint="eastAsia"/>
                <w:bCs/>
              </w:rPr>
              <w:t>凭证撤销：提供凭证撤销能力，支持对已签发的凭证进行撤销</w:t>
            </w:r>
          </w:p>
        </w:tc>
      </w:tr>
      <w:tr w14:paraId="3EACB58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4D243C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4FF88DB">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83C29D1">
            <w:pPr>
              <w:widowControl/>
              <w:spacing w:line="240" w:lineRule="auto"/>
              <w:ind w:firstLine="0" w:firstLineChars="0"/>
              <w:jc w:val="center"/>
              <w:rPr>
                <w:bCs/>
              </w:rPr>
            </w:pPr>
            <w:r>
              <w:rPr>
                <w:rFonts w:hint="eastAsia"/>
                <w:bCs/>
              </w:rPr>
              <w:t>涉票数据授权中心-主体授权模块-基于可验证凭证的授权</w:t>
            </w:r>
          </w:p>
        </w:tc>
        <w:tc>
          <w:tcPr>
            <w:tcW w:w="2908" w:type="pct"/>
            <w:tcBorders>
              <w:top w:val="single" w:color="000000" w:sz="4" w:space="0"/>
              <w:left w:val="single" w:color="000000" w:sz="4" w:space="0"/>
              <w:bottom w:val="single" w:color="000000" w:sz="4" w:space="0"/>
              <w:right w:val="single" w:color="000000" w:sz="4" w:space="0"/>
            </w:tcBorders>
            <w:vAlign w:val="center"/>
          </w:tcPr>
          <w:p w14:paraId="509F82E8">
            <w:pPr>
              <w:widowControl/>
              <w:spacing w:line="240" w:lineRule="auto"/>
              <w:ind w:firstLine="0" w:firstLineChars="0"/>
              <w:rPr>
                <w:bCs/>
              </w:rPr>
            </w:pPr>
            <w:r>
              <w:rPr>
                <w:rFonts w:hint="eastAsia"/>
                <w:bCs/>
              </w:rPr>
              <w:t>基于可验证凭证的个人授权：提供个人授权能力，支持个人向用票单位进行授权，授权过程采用先进的可验证凭证（Verifiable Credential, VC）技术</w:t>
            </w:r>
            <w:r>
              <w:rPr>
                <w:rFonts w:hint="eastAsia"/>
                <w:bCs/>
              </w:rPr>
              <w:br w:type="textWrapping"/>
            </w:r>
            <w:r>
              <w:rPr>
                <w:rFonts w:hint="eastAsia"/>
                <w:bCs/>
              </w:rPr>
              <w:t>免密授权模式能力：提供免密授权能力，适用于密钥或确认意愿由其他可信方（如随申办）进行场景</w:t>
            </w:r>
            <w:r>
              <w:rPr>
                <w:rFonts w:hint="eastAsia"/>
                <w:bCs/>
              </w:rPr>
              <w:br w:type="textWrapping"/>
            </w:r>
            <w:r>
              <w:rPr>
                <w:rFonts w:hint="eastAsia"/>
                <w:bCs/>
              </w:rPr>
              <w:t>基于可验证凭证的法人授权：法人授权是指企业通过数字化系统对其持有的财政电子票据进行批量授权管理的能力。该能力支持企业向用票单位（如税务机关、审计机构、合作企业等）授予特定票据的使用权限，授权过程依托区块链技术和可验证凭证（VC）技术</w:t>
            </w:r>
          </w:p>
        </w:tc>
      </w:tr>
      <w:tr w14:paraId="261766A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639CCD0">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92C1B8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DAF0908">
            <w:pPr>
              <w:widowControl/>
              <w:spacing w:line="240" w:lineRule="auto"/>
              <w:ind w:firstLine="0" w:firstLineChars="0"/>
              <w:jc w:val="center"/>
              <w:rPr>
                <w:bCs/>
              </w:rPr>
            </w:pPr>
            <w:r>
              <w:rPr>
                <w:rFonts w:hint="eastAsia"/>
                <w:bCs/>
              </w:rPr>
              <w:t>涉票数据授权中心-主体授权模块-授权凭证管理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616290B9">
            <w:pPr>
              <w:widowControl/>
              <w:spacing w:line="240" w:lineRule="auto"/>
              <w:ind w:firstLine="0" w:firstLineChars="0"/>
              <w:rPr>
                <w:bCs/>
              </w:rPr>
            </w:pPr>
            <w:r>
              <w:rPr>
                <w:rFonts w:hint="eastAsia"/>
                <w:bCs/>
              </w:rPr>
              <w:t>可验证授权凭证解析：调用分布式身份标识能力解析授权凭证内容，并通过解析内容进行用票业务</w:t>
            </w:r>
            <w:r>
              <w:rPr>
                <w:rFonts w:hint="eastAsia"/>
                <w:bCs/>
              </w:rPr>
              <w:br w:type="textWrapping"/>
            </w:r>
            <w:r>
              <w:rPr>
                <w:rFonts w:hint="eastAsia"/>
                <w:bCs/>
              </w:rPr>
              <w:t>可视化凭证模版编辑器 ：提供拖拽式凭证模版编辑器，支持用户从预设字段库中勾选需要的内容（如票据类型、票据列表组成）。通过输入界面设置授权规则（如授权有效期）。</w:t>
            </w:r>
          </w:p>
        </w:tc>
      </w:tr>
      <w:tr w14:paraId="3530B8E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D79157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DF1767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AE59AD9">
            <w:pPr>
              <w:widowControl/>
              <w:spacing w:line="240" w:lineRule="auto"/>
              <w:ind w:firstLine="0" w:firstLineChars="0"/>
              <w:jc w:val="center"/>
              <w:rPr>
                <w:bCs/>
              </w:rPr>
            </w:pPr>
            <w:r>
              <w:rPr>
                <w:rFonts w:hint="eastAsia"/>
                <w:bCs/>
              </w:rPr>
              <w:t>涉票数据授权中心-主体授权模块-凭证模版设置</w:t>
            </w:r>
          </w:p>
        </w:tc>
        <w:tc>
          <w:tcPr>
            <w:tcW w:w="2908" w:type="pct"/>
            <w:tcBorders>
              <w:top w:val="single" w:color="000000" w:sz="4" w:space="0"/>
              <w:left w:val="single" w:color="000000" w:sz="4" w:space="0"/>
              <w:bottom w:val="single" w:color="000000" w:sz="4" w:space="0"/>
              <w:right w:val="single" w:color="000000" w:sz="4" w:space="0"/>
            </w:tcBorders>
            <w:vAlign w:val="center"/>
          </w:tcPr>
          <w:p w14:paraId="3FA87906">
            <w:pPr>
              <w:widowControl/>
              <w:spacing w:line="240" w:lineRule="auto"/>
              <w:ind w:firstLine="0" w:firstLineChars="0"/>
              <w:rPr>
                <w:bCs/>
              </w:rPr>
            </w:pPr>
            <w:r>
              <w:rPr>
                <w:rFonts w:hint="eastAsia"/>
                <w:bCs/>
              </w:rPr>
              <w:t>个人授权凭证模版设置：提供授权凭证模版设置，主要针对个人对企业/机构授权，授权凭证模版包含票据列表、授权方信息、被授权方信息、授权有效时间</w:t>
            </w:r>
            <w:r>
              <w:rPr>
                <w:rFonts w:hint="eastAsia"/>
                <w:bCs/>
              </w:rPr>
              <w:br w:type="textWrapping"/>
            </w:r>
            <w:r>
              <w:rPr>
                <w:rFonts w:hint="eastAsia"/>
                <w:bCs/>
              </w:rPr>
              <w:t>机构确认凭证模版设置：提供机构确认凭证模版设置，主要针对企业/机构对自身需查询的名单进行确认及背书，凭证模版包括企业/机构信息、需查询业务分布式身份标识、凭证有效时间</w:t>
            </w:r>
          </w:p>
        </w:tc>
      </w:tr>
      <w:tr w14:paraId="2364CC31">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BB32B8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FA66222">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6D3027E">
            <w:pPr>
              <w:widowControl/>
              <w:spacing w:line="240" w:lineRule="auto"/>
              <w:ind w:firstLine="0" w:firstLineChars="0"/>
              <w:jc w:val="center"/>
              <w:rPr>
                <w:bCs/>
              </w:rPr>
            </w:pPr>
            <w:r>
              <w:rPr>
                <w:rFonts w:hint="eastAsia"/>
                <w:bCs/>
              </w:rPr>
              <w:t>涉票数据授权中心-主体授权模块-授权文件签署</w:t>
            </w:r>
          </w:p>
        </w:tc>
        <w:tc>
          <w:tcPr>
            <w:tcW w:w="2908" w:type="pct"/>
            <w:tcBorders>
              <w:top w:val="single" w:color="000000" w:sz="4" w:space="0"/>
              <w:left w:val="single" w:color="000000" w:sz="4" w:space="0"/>
              <w:bottom w:val="single" w:color="000000" w:sz="4" w:space="0"/>
              <w:right w:val="single" w:color="000000" w:sz="4" w:space="0"/>
            </w:tcBorders>
            <w:vAlign w:val="center"/>
          </w:tcPr>
          <w:p w14:paraId="68EBC706">
            <w:pPr>
              <w:widowControl/>
              <w:spacing w:line="240" w:lineRule="auto"/>
              <w:ind w:firstLine="0" w:firstLineChars="0"/>
              <w:rPr>
                <w:bCs/>
              </w:rPr>
            </w:pPr>
            <w:r>
              <w:rPr>
                <w:rFonts w:hint="eastAsia"/>
                <w:bCs/>
              </w:rPr>
              <w:t>授权文件模版：提供符合《电子签名法》的标准授权模版，支持模版挖空动态填充字段</w:t>
            </w:r>
            <w:r>
              <w:rPr>
                <w:rFonts w:hint="eastAsia"/>
                <w:bCs/>
              </w:rPr>
              <w:br w:type="textWrapping"/>
            </w:r>
            <w:r>
              <w:rPr>
                <w:rFonts w:hint="eastAsia"/>
                <w:bCs/>
              </w:rPr>
              <w:t>授权文件生成：支持票据所有方（个人/法人）填写授权信息（授权对象、授权内容、授权范围）并生成授权文件</w:t>
            </w:r>
            <w:r>
              <w:rPr>
                <w:rFonts w:hint="eastAsia"/>
                <w:bCs/>
              </w:rPr>
              <w:br w:type="textWrapping"/>
            </w:r>
            <w:r>
              <w:rPr>
                <w:rFonts w:hint="eastAsia"/>
                <w:bCs/>
              </w:rPr>
              <w:t>授权文件签署及下载：提供生成的授权文件签署。提供签署完成文件下载。提供签署全流程上链报告下载。</w:t>
            </w:r>
          </w:p>
        </w:tc>
      </w:tr>
      <w:tr w14:paraId="289005B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7B0330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2DECD8E">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E094583">
            <w:pPr>
              <w:widowControl/>
              <w:spacing w:line="240" w:lineRule="auto"/>
              <w:ind w:firstLine="0" w:firstLineChars="0"/>
              <w:jc w:val="center"/>
              <w:rPr>
                <w:bCs/>
              </w:rPr>
            </w:pPr>
            <w:r>
              <w:rPr>
                <w:rFonts w:hint="eastAsia"/>
                <w:bCs/>
              </w:rPr>
              <w:t>涉票数据授权中心-授权鉴权模块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34AB5F8D">
            <w:pPr>
              <w:widowControl/>
              <w:spacing w:line="240" w:lineRule="auto"/>
              <w:ind w:firstLine="0" w:firstLineChars="0"/>
              <w:rPr>
                <w:bCs/>
              </w:rPr>
            </w:pPr>
            <w:r>
              <w:rPr>
                <w:rFonts w:hint="eastAsia"/>
                <w:bCs/>
              </w:rPr>
              <w:t>凭证核验：凭证包含持票人分布式身份标识（issuer）、被授权方分布式身份标识（subject，如医保、保险公司）、授权有效期（date）、持票人对凭证内容的数字签名，分步骤校验：1）持票人对凭证内容的数字签名通过分布式身份标识服务留存的对应公钥进行验证，2）确认凭证中subject与被授权方分布式身份标识匹配，3）验证有效期"</w:t>
            </w:r>
            <w:r>
              <w:rPr>
                <w:rFonts w:hint="eastAsia"/>
                <w:bCs/>
              </w:rPr>
              <w:br w:type="textWrapping"/>
            </w:r>
            <w:r>
              <w:rPr>
                <w:rFonts w:hint="eastAsia"/>
                <w:bCs/>
              </w:rPr>
              <w:t>异常处理与边界情况：凭证过期或撤销情况，需返回鉴权失败信息；同步记录凭证失败异常原因。若被授权方更换分布式身份标识或者私钥更换，提示授权中心重新进行授权。</w:t>
            </w:r>
          </w:p>
        </w:tc>
      </w:tr>
      <w:tr w14:paraId="79C76188">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D0D172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87A5A1E">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56CE233">
            <w:pPr>
              <w:widowControl/>
              <w:spacing w:line="240" w:lineRule="auto"/>
              <w:ind w:firstLine="0" w:firstLineChars="0"/>
              <w:jc w:val="center"/>
              <w:rPr>
                <w:bCs/>
              </w:rPr>
            </w:pPr>
            <w:r>
              <w:rPr>
                <w:rFonts w:hint="eastAsia"/>
                <w:bCs/>
              </w:rPr>
              <w:t>涉票数据授权中心-票据载体模块-凭证展示列表</w:t>
            </w:r>
          </w:p>
        </w:tc>
        <w:tc>
          <w:tcPr>
            <w:tcW w:w="2908" w:type="pct"/>
            <w:tcBorders>
              <w:top w:val="single" w:color="000000" w:sz="4" w:space="0"/>
              <w:left w:val="single" w:color="000000" w:sz="4" w:space="0"/>
              <w:bottom w:val="single" w:color="000000" w:sz="4" w:space="0"/>
              <w:right w:val="single" w:color="000000" w:sz="4" w:space="0"/>
            </w:tcBorders>
            <w:vAlign w:val="center"/>
          </w:tcPr>
          <w:p w14:paraId="0CA0CD1C">
            <w:pPr>
              <w:widowControl/>
              <w:spacing w:line="240" w:lineRule="auto"/>
              <w:ind w:firstLine="0" w:firstLineChars="0"/>
              <w:rPr>
                <w:bCs/>
              </w:rPr>
            </w:pPr>
            <w:r>
              <w:rPr>
                <w:rFonts w:hint="eastAsia"/>
                <w:bCs/>
              </w:rPr>
              <w:t>提供凭证展示列表，用户在卡包中可看到自身签发的授权凭证</w:t>
            </w:r>
          </w:p>
        </w:tc>
      </w:tr>
      <w:tr w14:paraId="1AB16E7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7D75A0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7BE2F3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DE649D7">
            <w:pPr>
              <w:widowControl/>
              <w:spacing w:line="240" w:lineRule="auto"/>
              <w:ind w:firstLine="0" w:firstLineChars="0"/>
              <w:jc w:val="center"/>
              <w:rPr>
                <w:bCs/>
              </w:rPr>
            </w:pPr>
            <w:r>
              <w:rPr>
                <w:rFonts w:hint="eastAsia"/>
                <w:bCs/>
              </w:rPr>
              <w:t>涉票数据授权中心-票据载体模块-凭证管理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2523D9E9">
            <w:pPr>
              <w:widowControl/>
              <w:spacing w:line="240" w:lineRule="auto"/>
              <w:ind w:firstLine="0" w:firstLineChars="0"/>
              <w:rPr>
                <w:bCs/>
              </w:rPr>
            </w:pPr>
            <w:r>
              <w:rPr>
                <w:rFonts w:hint="eastAsia"/>
                <w:bCs/>
              </w:rPr>
              <w:t>提供凭证管理功能，用户可进行授权凭证撤回、冻结、激活等行为</w:t>
            </w:r>
          </w:p>
        </w:tc>
      </w:tr>
      <w:tr w14:paraId="4D6B5E5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AE2665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316915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F20C191">
            <w:pPr>
              <w:widowControl/>
              <w:spacing w:line="240" w:lineRule="auto"/>
              <w:ind w:firstLine="0" w:firstLineChars="0"/>
              <w:jc w:val="center"/>
              <w:rPr>
                <w:bCs/>
              </w:rPr>
            </w:pPr>
            <w:r>
              <w:rPr>
                <w:rFonts w:hint="eastAsia"/>
                <w:bCs/>
              </w:rPr>
              <w:t>涉票数据授权中心-票据载体模块-票据归集展示</w:t>
            </w:r>
          </w:p>
        </w:tc>
        <w:tc>
          <w:tcPr>
            <w:tcW w:w="2908" w:type="pct"/>
            <w:tcBorders>
              <w:top w:val="single" w:color="000000" w:sz="4" w:space="0"/>
              <w:left w:val="single" w:color="000000" w:sz="4" w:space="0"/>
              <w:bottom w:val="single" w:color="000000" w:sz="4" w:space="0"/>
              <w:right w:val="single" w:color="000000" w:sz="4" w:space="0"/>
            </w:tcBorders>
            <w:vAlign w:val="center"/>
          </w:tcPr>
          <w:p w14:paraId="3FB437F7">
            <w:pPr>
              <w:widowControl/>
              <w:spacing w:line="240" w:lineRule="auto"/>
              <w:ind w:firstLine="0" w:firstLineChars="0"/>
              <w:rPr>
                <w:bCs/>
              </w:rPr>
            </w:pPr>
            <w:r>
              <w:rPr>
                <w:rFonts w:hint="eastAsia"/>
                <w:bCs/>
              </w:rPr>
              <w:t>展示主体名下所有上链的票据摘要列表</w:t>
            </w:r>
          </w:p>
        </w:tc>
      </w:tr>
      <w:tr w14:paraId="71961303">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86E669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2509EAA">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9671DEA">
            <w:pPr>
              <w:widowControl/>
              <w:spacing w:line="240" w:lineRule="auto"/>
              <w:ind w:firstLine="0" w:firstLineChars="0"/>
              <w:jc w:val="center"/>
              <w:rPr>
                <w:bCs/>
              </w:rPr>
            </w:pPr>
            <w:r>
              <w:rPr>
                <w:rFonts w:hint="eastAsia"/>
                <w:bCs/>
              </w:rPr>
              <w:t>涉票数据授权中心-票据载体模块-票据授权</w:t>
            </w:r>
          </w:p>
        </w:tc>
        <w:tc>
          <w:tcPr>
            <w:tcW w:w="2908" w:type="pct"/>
            <w:tcBorders>
              <w:top w:val="single" w:color="000000" w:sz="4" w:space="0"/>
              <w:left w:val="single" w:color="000000" w:sz="4" w:space="0"/>
              <w:bottom w:val="single" w:color="000000" w:sz="4" w:space="0"/>
              <w:right w:val="single" w:color="000000" w:sz="4" w:space="0"/>
            </w:tcBorders>
            <w:vAlign w:val="center"/>
          </w:tcPr>
          <w:p w14:paraId="51ECD3D7">
            <w:pPr>
              <w:widowControl/>
              <w:spacing w:line="240" w:lineRule="auto"/>
              <w:ind w:firstLine="0" w:firstLineChars="0"/>
              <w:rPr>
                <w:bCs/>
              </w:rPr>
            </w:pPr>
            <w:r>
              <w:rPr>
                <w:rFonts w:hint="eastAsia"/>
                <w:bCs/>
              </w:rPr>
              <w:t>调用主体授权能力，提供授权可视化页面</w:t>
            </w:r>
          </w:p>
        </w:tc>
      </w:tr>
      <w:tr w14:paraId="6373AA2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F3AAC9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7853AA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7C352DB">
            <w:pPr>
              <w:widowControl/>
              <w:spacing w:line="240" w:lineRule="auto"/>
              <w:ind w:firstLine="0" w:firstLineChars="0"/>
              <w:jc w:val="center"/>
              <w:rPr>
                <w:bCs/>
              </w:rPr>
            </w:pPr>
            <w:r>
              <w:rPr>
                <w:rFonts w:hint="eastAsia"/>
                <w:bCs/>
              </w:rPr>
              <w:t>涉票数据授权中心-票据载体模块-多端展示兼容</w:t>
            </w:r>
          </w:p>
        </w:tc>
        <w:tc>
          <w:tcPr>
            <w:tcW w:w="2908" w:type="pct"/>
            <w:tcBorders>
              <w:top w:val="single" w:color="000000" w:sz="4" w:space="0"/>
              <w:left w:val="single" w:color="000000" w:sz="4" w:space="0"/>
              <w:bottom w:val="single" w:color="000000" w:sz="4" w:space="0"/>
              <w:right w:val="single" w:color="000000" w:sz="4" w:space="0"/>
            </w:tcBorders>
            <w:vAlign w:val="center"/>
          </w:tcPr>
          <w:p w14:paraId="1AAECA0F">
            <w:pPr>
              <w:widowControl/>
              <w:spacing w:line="240" w:lineRule="auto"/>
              <w:ind w:firstLine="0" w:firstLineChars="0"/>
              <w:rPr>
                <w:bCs/>
              </w:rPr>
            </w:pPr>
            <w:r>
              <w:rPr>
                <w:rFonts w:hint="eastAsia"/>
                <w:bCs/>
              </w:rPr>
              <w:t>提供H5页面，支持兼容PC端、移动端展示卡包相关页面</w:t>
            </w:r>
          </w:p>
        </w:tc>
      </w:tr>
      <w:tr w14:paraId="0A61FC3F">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F7E5951">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7CB77D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5CE49B8">
            <w:pPr>
              <w:widowControl/>
              <w:spacing w:line="240" w:lineRule="auto"/>
              <w:ind w:firstLine="0" w:firstLineChars="0"/>
              <w:jc w:val="center"/>
              <w:rPr>
                <w:bCs/>
              </w:rPr>
            </w:pPr>
            <w:r>
              <w:rPr>
                <w:rFonts w:hint="eastAsia"/>
                <w:bCs/>
              </w:rPr>
              <w:t>涉票数据授权中心-授权凭证流转模块-授权凭证获取转发</w:t>
            </w:r>
          </w:p>
        </w:tc>
        <w:tc>
          <w:tcPr>
            <w:tcW w:w="2908" w:type="pct"/>
            <w:tcBorders>
              <w:top w:val="single" w:color="000000" w:sz="4" w:space="0"/>
              <w:left w:val="single" w:color="000000" w:sz="4" w:space="0"/>
              <w:bottom w:val="single" w:color="000000" w:sz="4" w:space="0"/>
              <w:right w:val="single" w:color="000000" w:sz="4" w:space="0"/>
            </w:tcBorders>
            <w:vAlign w:val="center"/>
          </w:tcPr>
          <w:p w14:paraId="03C27C24">
            <w:pPr>
              <w:widowControl/>
              <w:spacing w:line="240" w:lineRule="auto"/>
              <w:ind w:firstLine="0" w:firstLineChars="0"/>
              <w:rPr>
                <w:bCs/>
              </w:rPr>
            </w:pPr>
            <w:r>
              <w:rPr>
                <w:rFonts w:hint="eastAsia"/>
                <w:bCs/>
              </w:rPr>
              <w:t>获取从随申办或其他数字账户签发的授权凭证，创建规范获取接口，接口包括授权凭证、签发方、签发时间、场景等信息</w:t>
            </w:r>
            <w:r>
              <w:rPr>
                <w:rFonts w:hint="eastAsia"/>
                <w:bCs/>
              </w:rPr>
              <w:br w:type="textWrapping"/>
            </w:r>
            <w:r>
              <w:rPr>
                <w:rFonts w:hint="eastAsia"/>
                <w:bCs/>
              </w:rPr>
              <w:t>提供凭证转发功能，通过此功能可配置基于凭证签发对象，将凭证转发至各外部业务系统，外部业务系统主要为其他系统交互模块中的外部用户业务系统</w:t>
            </w:r>
          </w:p>
        </w:tc>
      </w:tr>
      <w:tr w14:paraId="68F8075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1FCA86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BB9489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6046CA2">
            <w:pPr>
              <w:widowControl/>
              <w:spacing w:line="240" w:lineRule="auto"/>
              <w:ind w:firstLine="0" w:firstLineChars="0"/>
              <w:jc w:val="center"/>
              <w:rPr>
                <w:bCs/>
              </w:rPr>
            </w:pPr>
            <w:r>
              <w:rPr>
                <w:rFonts w:hint="eastAsia"/>
                <w:bCs/>
              </w:rPr>
              <w:t>涉票数据授权中心-授权凭证流转模块-授权动态码</w:t>
            </w:r>
          </w:p>
        </w:tc>
        <w:tc>
          <w:tcPr>
            <w:tcW w:w="2908" w:type="pct"/>
            <w:tcBorders>
              <w:top w:val="single" w:color="000000" w:sz="4" w:space="0"/>
              <w:left w:val="single" w:color="000000" w:sz="4" w:space="0"/>
              <w:bottom w:val="single" w:color="000000" w:sz="4" w:space="0"/>
              <w:right w:val="single" w:color="000000" w:sz="4" w:space="0"/>
            </w:tcBorders>
            <w:vAlign w:val="center"/>
          </w:tcPr>
          <w:p w14:paraId="44DC70B0">
            <w:pPr>
              <w:widowControl/>
              <w:spacing w:line="240" w:lineRule="auto"/>
              <w:ind w:firstLine="0" w:firstLineChars="0"/>
              <w:rPr>
                <w:bCs/>
              </w:rPr>
            </w:pPr>
            <w:r>
              <w:rPr>
                <w:rFonts w:hint="eastAsia"/>
                <w:bCs/>
              </w:rPr>
              <w:t>授权凭证绑定授权动态码，用户可通过动态码提供给用票方，用票方通过动态码获取授权凭证原文</w:t>
            </w:r>
          </w:p>
        </w:tc>
      </w:tr>
      <w:tr w14:paraId="0B6B0D2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6723932">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2EE43C2">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1B60DF2">
            <w:pPr>
              <w:widowControl/>
              <w:spacing w:line="240" w:lineRule="auto"/>
              <w:ind w:firstLine="0" w:firstLineChars="0"/>
              <w:jc w:val="center"/>
              <w:rPr>
                <w:bCs/>
              </w:rPr>
            </w:pPr>
            <w:r>
              <w:rPr>
                <w:rFonts w:hint="eastAsia"/>
                <w:bCs/>
              </w:rPr>
              <w:t>涉票数据授权中心-授权凭证流转模块-凭证出码</w:t>
            </w:r>
          </w:p>
        </w:tc>
        <w:tc>
          <w:tcPr>
            <w:tcW w:w="2908" w:type="pct"/>
            <w:tcBorders>
              <w:top w:val="single" w:color="000000" w:sz="4" w:space="0"/>
              <w:left w:val="single" w:color="000000" w:sz="4" w:space="0"/>
              <w:bottom w:val="single" w:color="000000" w:sz="4" w:space="0"/>
              <w:right w:val="single" w:color="000000" w:sz="4" w:space="0"/>
            </w:tcBorders>
            <w:vAlign w:val="center"/>
          </w:tcPr>
          <w:p w14:paraId="70173B42">
            <w:pPr>
              <w:widowControl/>
              <w:spacing w:line="240" w:lineRule="auto"/>
              <w:ind w:firstLine="0" w:firstLineChars="0"/>
              <w:rPr>
                <w:bCs/>
              </w:rPr>
            </w:pPr>
            <w:r>
              <w:rPr>
                <w:rFonts w:hint="eastAsia"/>
                <w:bCs/>
              </w:rPr>
              <w:t>对接随申码，提供凭证转码及生码能力，便于线下扫码获取授权凭证</w:t>
            </w:r>
          </w:p>
        </w:tc>
      </w:tr>
      <w:tr w14:paraId="7F9B64E5">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D671D56">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116CD1A">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3C80921">
            <w:pPr>
              <w:widowControl/>
              <w:spacing w:line="240" w:lineRule="auto"/>
              <w:ind w:firstLine="0" w:firstLineChars="0"/>
              <w:jc w:val="center"/>
              <w:rPr>
                <w:bCs/>
              </w:rPr>
            </w:pPr>
            <w:r>
              <w:rPr>
                <w:rFonts w:hint="eastAsia"/>
                <w:bCs/>
              </w:rPr>
              <w:t>涉票数据授权中心-授权凭证流转模块-凭证流转信息存证上链</w:t>
            </w:r>
          </w:p>
        </w:tc>
        <w:tc>
          <w:tcPr>
            <w:tcW w:w="2908" w:type="pct"/>
            <w:tcBorders>
              <w:top w:val="single" w:color="000000" w:sz="4" w:space="0"/>
              <w:left w:val="single" w:color="000000" w:sz="4" w:space="0"/>
              <w:bottom w:val="single" w:color="000000" w:sz="4" w:space="0"/>
              <w:right w:val="single" w:color="000000" w:sz="4" w:space="0"/>
            </w:tcBorders>
            <w:vAlign w:val="center"/>
          </w:tcPr>
          <w:p w14:paraId="0D34A950">
            <w:pPr>
              <w:widowControl/>
              <w:spacing w:line="240" w:lineRule="auto"/>
              <w:ind w:firstLine="0" w:firstLineChars="0"/>
              <w:rPr>
                <w:bCs/>
              </w:rPr>
            </w:pPr>
            <w:r>
              <w:rPr>
                <w:rFonts w:hint="eastAsia"/>
                <w:bCs/>
              </w:rPr>
              <w:t>凭证流转信息进行hash处理后记录在链上，后续可根据需要进行溯源查询</w:t>
            </w:r>
          </w:p>
        </w:tc>
      </w:tr>
      <w:tr w14:paraId="503F3395">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2357CD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9F40CB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A376C6B">
            <w:pPr>
              <w:widowControl/>
              <w:spacing w:line="240" w:lineRule="auto"/>
              <w:ind w:firstLine="0" w:firstLineChars="0"/>
              <w:jc w:val="center"/>
              <w:rPr>
                <w:bCs/>
              </w:rPr>
            </w:pPr>
            <w:r>
              <w:rPr>
                <w:rFonts w:hint="eastAsia"/>
                <w:bCs/>
              </w:rPr>
              <w:t>涉票数据授权中心-“一网通办”平台适配原生授权服务（随申办市民云小程序、APP、门户）-我的票据服务专区</w:t>
            </w:r>
          </w:p>
        </w:tc>
        <w:tc>
          <w:tcPr>
            <w:tcW w:w="2908" w:type="pct"/>
            <w:tcBorders>
              <w:top w:val="single" w:color="000000" w:sz="4" w:space="0"/>
              <w:left w:val="single" w:color="000000" w:sz="4" w:space="0"/>
              <w:bottom w:val="single" w:color="000000" w:sz="4" w:space="0"/>
              <w:right w:val="single" w:color="000000" w:sz="4" w:space="0"/>
            </w:tcBorders>
            <w:vAlign w:val="center"/>
          </w:tcPr>
          <w:p w14:paraId="49ED9C1D">
            <w:pPr>
              <w:widowControl/>
              <w:spacing w:line="240" w:lineRule="auto"/>
              <w:ind w:firstLine="0" w:firstLineChars="0"/>
              <w:rPr>
                <w:bCs/>
              </w:rPr>
            </w:pPr>
            <w:r>
              <w:rPr>
                <w:rFonts w:hint="eastAsia"/>
                <w:bCs/>
              </w:rPr>
              <w:t>依托“随申办”移动端（“随申办市民云”APP）、“随申办”微信/支付宝小程序、PC端总门户（用户数字空间）服务渠道，搭建财政电子票据服务专区提供原生能力服务，为用户提供基于场景的本人名下财政电子票据的授权使用、取消授权、历史授权记录查询、历史用票记录查询等相关基础服务功能，展示相关应用场景介绍、政策文件宣导、授权用票须知等内容，推荐相关用票场景服务。</w:t>
            </w:r>
          </w:p>
        </w:tc>
      </w:tr>
      <w:tr w14:paraId="344C51EF">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25AE195">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6C208A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2B2C73B">
            <w:pPr>
              <w:widowControl/>
              <w:spacing w:line="240" w:lineRule="auto"/>
              <w:ind w:firstLine="0" w:firstLineChars="0"/>
              <w:jc w:val="center"/>
              <w:rPr>
                <w:bCs/>
              </w:rPr>
            </w:pPr>
            <w:r>
              <w:rPr>
                <w:rFonts w:hint="eastAsia"/>
                <w:bCs/>
              </w:rPr>
              <w:t>涉票数据授权中心-“一网通办”平台适配原生授权服务（随申办市民云小程序、APP、门户）-基于应用场景的用票授权</w:t>
            </w:r>
          </w:p>
        </w:tc>
        <w:tc>
          <w:tcPr>
            <w:tcW w:w="2908" w:type="pct"/>
            <w:tcBorders>
              <w:top w:val="single" w:color="000000" w:sz="4" w:space="0"/>
              <w:left w:val="single" w:color="000000" w:sz="4" w:space="0"/>
              <w:bottom w:val="single" w:color="000000" w:sz="4" w:space="0"/>
              <w:right w:val="single" w:color="000000" w:sz="4" w:space="0"/>
            </w:tcBorders>
            <w:vAlign w:val="center"/>
          </w:tcPr>
          <w:p w14:paraId="7060E4D8">
            <w:pPr>
              <w:widowControl/>
              <w:spacing w:line="240" w:lineRule="auto"/>
              <w:ind w:firstLine="0" w:firstLineChars="0"/>
              <w:rPr>
                <w:bCs/>
              </w:rPr>
            </w:pPr>
            <w:r>
              <w:rPr>
                <w:rFonts w:hint="eastAsia"/>
                <w:bCs/>
              </w:rPr>
              <w:t>票据使用授权：依托“随申办”移动端（“随申办市民云”APP）、“随申办”微信/支付宝小程序、PC端总门户（用户数字空间）服务渠道，为用户提供基于应用场景的电子票据使用授权服务，依托财票链在用户名下生成相应授权凭证，供后续用票机构调用经用户授权的电子票据。用户在可授权票据列表中选择一张或多张电子票据并进行确认，生成在该应用场景下的授权记录（授权凭证），并作为申请材料完成该场景下的线上业务办理，相关场景机构后台针对用户所选授权记录所包含的相应电子票据进行调用以完成后续业务办理流程。</w:t>
            </w:r>
            <w:r>
              <w:rPr>
                <w:rFonts w:hint="eastAsia"/>
                <w:bCs/>
              </w:rPr>
              <w:br w:type="textWrapping"/>
            </w:r>
            <w:r>
              <w:rPr>
                <w:rFonts w:hint="eastAsia"/>
                <w:bCs/>
              </w:rPr>
              <w:t>可授权票据列表查询：依托“随申办”移动端（“随申办市民云”APP）、“随申办”微信/支付宝小程序、PC端总门户（用户数字空间）服务渠道，查询用户本人名下基于某个应用场景的可授权票据列表，分为本市以及长三角地区非本市两类电子票据，供用户在进行授权时勾选确认。</w:t>
            </w:r>
          </w:p>
        </w:tc>
      </w:tr>
      <w:tr w14:paraId="6170E20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523A9A2">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5E0B55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F506E8D">
            <w:pPr>
              <w:widowControl/>
              <w:spacing w:line="240" w:lineRule="auto"/>
              <w:ind w:firstLine="0" w:firstLineChars="0"/>
              <w:jc w:val="center"/>
              <w:rPr>
                <w:bCs/>
              </w:rPr>
            </w:pPr>
            <w:r>
              <w:rPr>
                <w:rFonts w:hint="eastAsia"/>
                <w:bCs/>
              </w:rPr>
              <w:t>涉票数据授权中心-“一网通办”平台适配原生授权服务（随申办市民云小程序、APP、门户）-我的授权记录-</w:t>
            </w:r>
          </w:p>
        </w:tc>
        <w:tc>
          <w:tcPr>
            <w:tcW w:w="2908" w:type="pct"/>
            <w:tcBorders>
              <w:top w:val="single" w:color="000000" w:sz="4" w:space="0"/>
              <w:left w:val="single" w:color="000000" w:sz="4" w:space="0"/>
              <w:bottom w:val="single" w:color="000000" w:sz="4" w:space="0"/>
              <w:right w:val="single" w:color="000000" w:sz="4" w:space="0"/>
            </w:tcBorders>
            <w:vAlign w:val="center"/>
          </w:tcPr>
          <w:p w14:paraId="52630CDE">
            <w:pPr>
              <w:widowControl/>
              <w:spacing w:line="240" w:lineRule="auto"/>
              <w:ind w:firstLine="0" w:firstLineChars="0"/>
              <w:rPr>
                <w:bCs/>
              </w:rPr>
            </w:pPr>
            <w:r>
              <w:rPr>
                <w:rFonts w:hint="eastAsia"/>
                <w:bCs/>
              </w:rPr>
              <w:t>历史授权记录查询：支持“随申办”移动端（“随申办市民云”APP）、“随申办”微信/支付宝小程序、PC端总门户（用户数字空间）三端，查询用户本人名下历史授权记录，为用户提供历史的已授权记录查询服务。</w:t>
            </w:r>
            <w:r>
              <w:rPr>
                <w:rFonts w:hint="eastAsia"/>
                <w:bCs/>
              </w:rPr>
              <w:br w:type="textWrapping"/>
            </w:r>
            <w:r>
              <w:rPr>
                <w:rFonts w:hint="eastAsia"/>
                <w:bCs/>
              </w:rPr>
              <w:t>取消用票授权：支持“随申办”移动端（“随申办市民云”APP）、“随申办”微信/支付宝小程序、PC端总门户（用户数字空间）三端，针对某一条已授权记录，为用户提供取消用票授权的服务。</w:t>
            </w:r>
            <w:r>
              <w:rPr>
                <w:rFonts w:hint="eastAsia"/>
                <w:bCs/>
              </w:rPr>
              <w:br w:type="textWrapping"/>
            </w:r>
            <w:r>
              <w:rPr>
                <w:rFonts w:hint="eastAsia"/>
                <w:bCs/>
              </w:rPr>
              <w:t>授权记录明细与票据详情查询：支持“随申办”移动端（“随申办市民云”APP）、“随申办”微信/支付宝小程序、PC端总门户（用户数字空间）三端，针对某一条已授权记录，为用户提供记录明细查询以及具体某一张电子票据详情查询的服务。</w:t>
            </w:r>
          </w:p>
        </w:tc>
      </w:tr>
      <w:tr w14:paraId="3D57B86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E6BB491">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FB49CB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0F80ACF">
            <w:pPr>
              <w:widowControl/>
              <w:spacing w:line="240" w:lineRule="auto"/>
              <w:ind w:firstLine="0" w:firstLineChars="0"/>
              <w:jc w:val="center"/>
              <w:rPr>
                <w:bCs/>
              </w:rPr>
            </w:pPr>
            <w:r>
              <w:rPr>
                <w:rFonts w:hint="eastAsia"/>
                <w:bCs/>
              </w:rPr>
              <w:t>涉票数据授权中心-“一网通办”平台适配原生授权服务（随申办市民云小程序、APP、门户）-我的用票记录</w:t>
            </w:r>
          </w:p>
        </w:tc>
        <w:tc>
          <w:tcPr>
            <w:tcW w:w="2908" w:type="pct"/>
            <w:tcBorders>
              <w:top w:val="single" w:color="000000" w:sz="4" w:space="0"/>
              <w:left w:val="single" w:color="000000" w:sz="4" w:space="0"/>
              <w:bottom w:val="single" w:color="000000" w:sz="4" w:space="0"/>
              <w:right w:val="single" w:color="000000" w:sz="4" w:space="0"/>
            </w:tcBorders>
            <w:vAlign w:val="center"/>
          </w:tcPr>
          <w:p w14:paraId="3D918DFE">
            <w:pPr>
              <w:widowControl/>
              <w:spacing w:line="240" w:lineRule="auto"/>
              <w:ind w:firstLine="0" w:firstLineChars="0"/>
              <w:rPr>
                <w:bCs/>
              </w:rPr>
            </w:pPr>
            <w:r>
              <w:rPr>
                <w:rFonts w:hint="eastAsia"/>
                <w:bCs/>
              </w:rPr>
              <w:t>支持“随申办”移动端（“随申办市民云”APP）、“随申办”微信/支付宝小程序、PC端总门户（用户数字空间）三端，查询用户本人名下电子票据被用票机构授权使用情况，根据财票链电子票据状态进行标记，为用户提供历史用票记录查询，展示用票场景、机构以及其他相关信息。</w:t>
            </w:r>
          </w:p>
        </w:tc>
      </w:tr>
      <w:tr w14:paraId="077D158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5A178F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81B46A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342FCF3">
            <w:pPr>
              <w:widowControl/>
              <w:spacing w:line="240" w:lineRule="auto"/>
              <w:ind w:firstLine="0" w:firstLineChars="0"/>
              <w:jc w:val="center"/>
              <w:rPr>
                <w:bCs/>
              </w:rPr>
            </w:pPr>
            <w:r>
              <w:rPr>
                <w:rFonts w:hint="eastAsia"/>
                <w:bCs/>
              </w:rPr>
              <w:t>涉票数据授权中心-“一网通办”平台适配原生授权服务（随申办市民云小程序、APP、门户）-财票链分布式身份标识用户创建</w:t>
            </w:r>
          </w:p>
        </w:tc>
        <w:tc>
          <w:tcPr>
            <w:tcW w:w="2908" w:type="pct"/>
            <w:tcBorders>
              <w:top w:val="single" w:color="000000" w:sz="4" w:space="0"/>
              <w:left w:val="single" w:color="000000" w:sz="4" w:space="0"/>
              <w:bottom w:val="single" w:color="000000" w:sz="4" w:space="0"/>
              <w:right w:val="single" w:color="000000" w:sz="4" w:space="0"/>
            </w:tcBorders>
            <w:vAlign w:val="center"/>
          </w:tcPr>
          <w:p w14:paraId="2106E1C2">
            <w:pPr>
              <w:widowControl/>
              <w:spacing w:line="240" w:lineRule="auto"/>
              <w:ind w:firstLine="0" w:firstLineChars="0"/>
              <w:rPr>
                <w:bCs/>
              </w:rPr>
            </w:pPr>
            <w:r>
              <w:rPr>
                <w:rFonts w:hint="eastAsia"/>
                <w:bCs/>
              </w:rPr>
              <w:t>对接“随申办”移动端（“随申办市民云”APP）、“随申办”微信/支付宝小程序、PC端总门户（用户数字空间），实现与财票链之间的用户信息互认与安全传递，实现财票链用户分布式身份标识账号的创建与关联，确保用户的自然人信息与分布式身份标识账号信息的一致，为后续业务流程中使用提供支撑。</w:t>
            </w:r>
          </w:p>
        </w:tc>
      </w:tr>
      <w:tr w14:paraId="337001F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7D1799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D53C66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2979049">
            <w:pPr>
              <w:widowControl/>
              <w:spacing w:line="240" w:lineRule="auto"/>
              <w:ind w:firstLine="0" w:firstLineChars="0"/>
              <w:jc w:val="center"/>
              <w:rPr>
                <w:bCs/>
              </w:rPr>
            </w:pPr>
            <w:r>
              <w:rPr>
                <w:rFonts w:hint="eastAsia"/>
                <w:bCs/>
              </w:rPr>
              <w:t>涉票数据授权中心-“一网通办”平台适配原生授权服务（随申办市民云小程序、APP、门户）-“随申办市民云”APP原生JS框架升级与能力封装-唤起相关原生JS能力安全校验机制搭建</w:t>
            </w:r>
          </w:p>
        </w:tc>
        <w:tc>
          <w:tcPr>
            <w:tcW w:w="2908" w:type="pct"/>
            <w:tcBorders>
              <w:top w:val="single" w:color="000000" w:sz="4" w:space="0"/>
              <w:left w:val="single" w:color="000000" w:sz="4" w:space="0"/>
              <w:bottom w:val="single" w:color="000000" w:sz="4" w:space="0"/>
              <w:right w:val="single" w:color="000000" w:sz="4" w:space="0"/>
            </w:tcBorders>
            <w:vAlign w:val="center"/>
          </w:tcPr>
          <w:p w14:paraId="2D7272DE">
            <w:pPr>
              <w:widowControl/>
              <w:spacing w:line="240" w:lineRule="auto"/>
              <w:ind w:firstLine="0" w:firstLineChars="0"/>
              <w:rPr>
                <w:bCs/>
              </w:rPr>
            </w:pPr>
            <w:r>
              <w:rPr>
                <w:rFonts w:hint="eastAsia"/>
                <w:bCs/>
              </w:rPr>
              <w:t>针对财票链场景，在“随申办市民云”APP后端建立相关定向安全校验机制，在JS原生能力框架中配置相关安全校验逻辑，实现线上应用场景在调用授权记录查询、用票场景授权、取消授权等相关原生JS能力过程中的数据安全有效性校验与加密通信。</w:t>
            </w:r>
            <w:r>
              <w:rPr>
                <w:rFonts w:hint="eastAsia"/>
                <w:bCs/>
              </w:rPr>
              <w:br w:type="textWrapping"/>
            </w:r>
            <w:r>
              <w:rPr>
                <w:rFonts w:hint="eastAsia"/>
                <w:bCs/>
              </w:rPr>
              <w:t>针对财票链场景，在“随申办”微信/支付宝小程序后端建立相关定向安全校验机制，在JS原生能力框架中配置相关安全校验逻辑，实现线上应用场景在调用授权记录查询、用票场景授权、取消授权等相关原生JS能力过程中的数据安全有效性校验与加密通信。</w:t>
            </w:r>
            <w:r>
              <w:rPr>
                <w:rFonts w:hint="eastAsia"/>
                <w:bCs/>
              </w:rPr>
              <w:br w:type="textWrapping"/>
            </w:r>
            <w:r>
              <w:rPr>
                <w:rFonts w:hint="eastAsia"/>
                <w:bCs/>
              </w:rPr>
              <w:t>针对财票链场景，在“一网通办”PC端总门户（用户数字空间）后端建立相关定向安全校验机制，配置相关安全校验逻辑，实现线上应用场景在调用授权记录查询、用票场景授权、取消授权等相关原生服务能力过程中的数据安全有效性校验与加密通信。</w:t>
            </w:r>
          </w:p>
        </w:tc>
      </w:tr>
      <w:tr w14:paraId="59CF7F3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D43BEE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F3D19F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8F51132">
            <w:pPr>
              <w:widowControl/>
              <w:spacing w:line="240" w:lineRule="auto"/>
              <w:ind w:firstLine="0" w:firstLineChars="0"/>
              <w:jc w:val="center"/>
              <w:rPr>
                <w:bCs/>
              </w:rPr>
            </w:pPr>
            <w:r>
              <w:rPr>
                <w:rFonts w:hint="eastAsia"/>
                <w:bCs/>
              </w:rPr>
              <w:t>涉票数据授权中心-“一网通办”平台适配原生授权服务（随申办市民云小程序、APP、门户）-“随申办市民云”APP原生JS框架升级与能力封装-我的授权记录查询原生JS能力框架搭建与能力封装</w:t>
            </w:r>
          </w:p>
        </w:tc>
        <w:tc>
          <w:tcPr>
            <w:tcW w:w="2908" w:type="pct"/>
            <w:tcBorders>
              <w:top w:val="single" w:color="000000" w:sz="4" w:space="0"/>
              <w:left w:val="single" w:color="000000" w:sz="4" w:space="0"/>
              <w:bottom w:val="single" w:color="000000" w:sz="4" w:space="0"/>
              <w:right w:val="single" w:color="000000" w:sz="4" w:space="0"/>
            </w:tcBorders>
            <w:vAlign w:val="center"/>
          </w:tcPr>
          <w:p w14:paraId="2E6D7B82">
            <w:pPr>
              <w:widowControl/>
              <w:spacing w:line="240" w:lineRule="auto"/>
              <w:ind w:firstLine="0" w:firstLineChars="0"/>
              <w:rPr>
                <w:bCs/>
              </w:rPr>
            </w:pPr>
            <w:r>
              <w:rPr>
                <w:rFonts w:hint="eastAsia"/>
                <w:bCs/>
              </w:rPr>
              <w:t>升级“随申办市民云”APP底层框架，增加我的授权记录查询原生JS能力，针对接入“随申办市民云”APP的线上应用服务（如H5轻应用）进行原生能力赋能，增加原生能力调用的可信应用白名单，支持纳入白名单的线上应用服务唤起我的票据用票授权记录查询的原生JS能力，实现用户在该场景应用业务流程中实时查询本人名下的授权记录（授权凭证），用户可选择具体某一条或多条授权记录在该应用场景下使用，授权相关场景机构调用用户所选授权记录包含的相应电子票据。</w:t>
            </w:r>
            <w:r>
              <w:rPr>
                <w:rFonts w:hint="eastAsia"/>
                <w:bCs/>
              </w:rPr>
              <w:br w:type="textWrapping"/>
            </w:r>
            <w:r>
              <w:rPr>
                <w:rFonts w:hint="eastAsia"/>
                <w:bCs/>
              </w:rPr>
              <w:t>升级“随申办”微信/支付宝小程序底层框架，增加我的授权记录查询原生JS能力，针对接入“随申办”支付宝小程序的线上应用服务（如H5轻应用）进行原生能力赋能，增加原生能力调用的可信应用白名单，支持纳入白名单的线上应用服务唤起我的票据用票授权记录查询的原生JS能力，实现用户在该场景应用业务流程中实时查询本人名下的授权记录（授权凭证），用户可选择具体某一条或多条授权记录在该应用场景下使用，授权相关场景机构调用用户所选授权记录包含的相应电子票据。</w:t>
            </w:r>
            <w:r>
              <w:rPr>
                <w:rFonts w:hint="eastAsia"/>
                <w:bCs/>
              </w:rPr>
              <w:br w:type="textWrapping"/>
            </w:r>
            <w:r>
              <w:rPr>
                <w:rFonts w:hint="eastAsia"/>
                <w:bCs/>
              </w:rPr>
              <w:t>封装我的授权记录查询原生服务能力，针对接入“一网通办”PC端总门户（用户数字空间）的线上应用服务（如模式三接入的服务）进行原生能力赋能，增加原生能力调用的可信应用白名单，支持纳入白名单的线上应用服务唤起我的票据用票授权记录查询的原生服务能力，实现用户在该场景应用业务流程中实时查询本人名下的授权记录（授权凭证），用户可选择具体某一条或多条授权记录在该应用场景下使用，授权相关场景机构调用用户所选授权记录包含的相应电子票据。</w:t>
            </w:r>
          </w:p>
        </w:tc>
      </w:tr>
      <w:tr w14:paraId="22AE3C6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0240AB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51E19A2">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8371CD5">
            <w:pPr>
              <w:widowControl/>
              <w:spacing w:line="240" w:lineRule="auto"/>
              <w:ind w:firstLine="0" w:firstLineChars="0"/>
              <w:jc w:val="center"/>
              <w:rPr>
                <w:bCs/>
              </w:rPr>
            </w:pPr>
            <w:r>
              <w:rPr>
                <w:rFonts w:hint="eastAsia"/>
                <w:bCs/>
              </w:rPr>
              <w:t>涉票数据授权中心-“一网通办”平台适配原生授权服务（随申办市民云小程序、APP、门户）-“随申办市民云”APP原生JS框架升级与能力封装-基于应用场景的用票授权原生JS能力框架搭建与能力封装</w:t>
            </w:r>
          </w:p>
        </w:tc>
        <w:tc>
          <w:tcPr>
            <w:tcW w:w="2908" w:type="pct"/>
            <w:tcBorders>
              <w:top w:val="single" w:color="000000" w:sz="4" w:space="0"/>
              <w:left w:val="single" w:color="000000" w:sz="4" w:space="0"/>
              <w:bottom w:val="single" w:color="000000" w:sz="4" w:space="0"/>
              <w:right w:val="single" w:color="000000" w:sz="4" w:space="0"/>
            </w:tcBorders>
            <w:vAlign w:val="center"/>
          </w:tcPr>
          <w:p w14:paraId="5E59028C">
            <w:pPr>
              <w:widowControl/>
              <w:spacing w:line="240" w:lineRule="auto"/>
              <w:ind w:firstLine="0" w:firstLineChars="0"/>
              <w:rPr>
                <w:bCs/>
              </w:rPr>
            </w:pPr>
            <w:r>
              <w:rPr>
                <w:rFonts w:hint="eastAsia"/>
                <w:bCs/>
              </w:rPr>
              <w:t>升级“随申办市民云”APP底层框架，增加基于应用场景的用票授权原生JS能力，针对接入“随申办市民云”APP的线上应用服务（如H5轻应用）进行原生能力赋能，增加原生能力调用的可信应用白名单，支持纳入白名单的线上应用服务唤起基于应用场景的用票授权的原生JS能力，实现用户在该场景应用业务流程中实时进行用票授权操作，用户在可授权票据列表中选择一张或多张电子票据并进行确认，生成在该应用场景下的授权记录（授权凭证），并作为申请材料完成该场景下的线上业务办理，相关场景机构后台针对用户所选授权记录所包含的相应电子票据进行调用以完成后续业务办理流程。</w:t>
            </w:r>
            <w:r>
              <w:rPr>
                <w:rFonts w:hint="eastAsia"/>
                <w:bCs/>
              </w:rPr>
              <w:br w:type="textWrapping"/>
            </w:r>
            <w:r>
              <w:rPr>
                <w:rFonts w:hint="eastAsia"/>
                <w:bCs/>
              </w:rPr>
              <w:t>升级“随申办”支付宝小程序底层框架，增加基于应用场景的用票授权原生JS能力，针对接入“随申办”支付宝小程序的线上应用服务（如H5轻应用）进行原生能力赋能，增加原生能力调用的可信应用白名单，支持纳入白名单的线上应用服务唤起基于应用场景的用票授权的原生JS能力，实现用户在该场景应用业务流程中实时进行用票授权操作，用户在可授权票据列表中选择一张或多张电子票据并进行确认，生成在该应用场景下的授权记录（授权凭证），并作为申请材料完成该场景下的线上业务办理，相关场景机构后台针对用户所选授权记录所包含的相应电子票据进行调用以完成后续业务办理流程。</w:t>
            </w:r>
            <w:r>
              <w:rPr>
                <w:rFonts w:hint="eastAsia"/>
                <w:bCs/>
              </w:rPr>
              <w:br w:type="textWrapping"/>
            </w:r>
            <w:r>
              <w:rPr>
                <w:rFonts w:hint="eastAsia"/>
                <w:bCs/>
              </w:rPr>
              <w:t>封装基于应用场景的用票授权原生服务能力，针对接入“一网通办”PC端总门户（用户数字空间）的线上应用服务（如模式三接入的服务）进行原生能力赋能，增加原生能力调用的可信应用白名单，支持纳入白名单的线上应用服务唤起基于应用场景的用票授权的原生服务能力，实现用户在该场景应用业务流程中实时进行用票授权操作，用户在可授权票据列表中选择一张或多张电子票据并进行确认，生成在该应用场景下的授权记录（授权凭证），并作为申请材料完成该场景下的线上业务办理，相关场景机构后台针对用户所选授权记录所包含的相应电子票据进行调用以完成后续业务办理流程。</w:t>
            </w:r>
          </w:p>
        </w:tc>
      </w:tr>
      <w:tr w14:paraId="73B98C1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F0AF0C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96ADBF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5B501E5">
            <w:pPr>
              <w:widowControl/>
              <w:spacing w:line="240" w:lineRule="auto"/>
              <w:ind w:firstLine="0" w:firstLineChars="0"/>
              <w:jc w:val="center"/>
              <w:rPr>
                <w:bCs/>
              </w:rPr>
            </w:pPr>
            <w:r>
              <w:rPr>
                <w:rFonts w:hint="eastAsia"/>
                <w:bCs/>
              </w:rPr>
              <w:t>应用接入及负载模块-接入隔离及流控模块-应用隔离及访问控制模块-接口鉴权与身份验证</w:t>
            </w:r>
          </w:p>
        </w:tc>
        <w:tc>
          <w:tcPr>
            <w:tcW w:w="2908" w:type="pct"/>
            <w:tcBorders>
              <w:top w:val="single" w:color="000000" w:sz="4" w:space="0"/>
              <w:left w:val="single" w:color="000000" w:sz="4" w:space="0"/>
              <w:bottom w:val="single" w:color="000000" w:sz="4" w:space="0"/>
              <w:right w:val="single" w:color="000000" w:sz="4" w:space="0"/>
            </w:tcBorders>
            <w:vAlign w:val="center"/>
          </w:tcPr>
          <w:p w14:paraId="22660D17">
            <w:pPr>
              <w:widowControl/>
              <w:spacing w:line="240" w:lineRule="auto"/>
              <w:ind w:firstLine="0" w:firstLineChars="0"/>
              <w:rPr>
                <w:bCs/>
              </w:rPr>
            </w:pPr>
            <w:r>
              <w:rPr>
                <w:rFonts w:hint="eastAsia"/>
                <w:bCs/>
              </w:rPr>
              <w:t>支持 JWT、OAuth2、API Key 等多种鉴权机制，对请求用户身份进行校验与控制</w:t>
            </w:r>
            <w:r>
              <w:rPr>
                <w:rFonts w:hint="eastAsia"/>
                <w:bCs/>
              </w:rPr>
              <w:br w:type="textWrapping"/>
            </w:r>
            <w:r>
              <w:rPr>
                <w:rFonts w:hint="eastAsia"/>
                <w:bCs/>
              </w:rPr>
              <w:t>与平台授权中心联动，实现基于用户和角色的应用授权</w:t>
            </w:r>
          </w:p>
        </w:tc>
      </w:tr>
      <w:tr w14:paraId="6D0FEA9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8553CC4">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C868A6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787F85B">
            <w:pPr>
              <w:widowControl/>
              <w:spacing w:line="240" w:lineRule="auto"/>
              <w:ind w:firstLine="0" w:firstLineChars="0"/>
              <w:jc w:val="center"/>
              <w:rPr>
                <w:bCs/>
              </w:rPr>
            </w:pPr>
            <w:r>
              <w:rPr>
                <w:rFonts w:hint="eastAsia"/>
                <w:bCs/>
              </w:rPr>
              <w:t>应用接入及负载模块-接入隔离及流控模块-应用隔离及访问控制模块-多租户隔离支持</w:t>
            </w:r>
          </w:p>
        </w:tc>
        <w:tc>
          <w:tcPr>
            <w:tcW w:w="2908" w:type="pct"/>
            <w:tcBorders>
              <w:top w:val="single" w:color="000000" w:sz="4" w:space="0"/>
              <w:left w:val="single" w:color="000000" w:sz="4" w:space="0"/>
              <w:bottom w:val="single" w:color="000000" w:sz="4" w:space="0"/>
              <w:right w:val="single" w:color="000000" w:sz="4" w:space="0"/>
            </w:tcBorders>
            <w:vAlign w:val="center"/>
          </w:tcPr>
          <w:p w14:paraId="70DFBAED">
            <w:pPr>
              <w:widowControl/>
              <w:spacing w:line="240" w:lineRule="auto"/>
              <w:ind w:firstLine="0" w:firstLineChars="0"/>
              <w:rPr>
                <w:bCs/>
              </w:rPr>
            </w:pPr>
            <w:r>
              <w:rPr>
                <w:rFonts w:hint="eastAsia"/>
                <w:bCs/>
              </w:rPr>
              <w:t>为不同租户提供独立的路由、配置与策略管理，保障数据与资源隔离</w:t>
            </w:r>
          </w:p>
        </w:tc>
      </w:tr>
      <w:tr w14:paraId="24EFF2A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05DAC0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74C118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368CAC0">
            <w:pPr>
              <w:widowControl/>
              <w:spacing w:line="240" w:lineRule="auto"/>
              <w:ind w:firstLine="0" w:firstLineChars="0"/>
              <w:jc w:val="center"/>
              <w:rPr>
                <w:bCs/>
              </w:rPr>
            </w:pPr>
            <w:r>
              <w:rPr>
                <w:rFonts w:hint="eastAsia"/>
                <w:bCs/>
              </w:rPr>
              <w:t>应用接入及负载模块-接入隔离及流控模块-应用隔离及访问控制模块-TLS/HTTPS 加密通信支持</w:t>
            </w:r>
          </w:p>
        </w:tc>
        <w:tc>
          <w:tcPr>
            <w:tcW w:w="2908" w:type="pct"/>
            <w:tcBorders>
              <w:top w:val="single" w:color="000000" w:sz="4" w:space="0"/>
              <w:left w:val="single" w:color="000000" w:sz="4" w:space="0"/>
              <w:bottom w:val="single" w:color="000000" w:sz="4" w:space="0"/>
              <w:right w:val="single" w:color="000000" w:sz="4" w:space="0"/>
            </w:tcBorders>
            <w:vAlign w:val="center"/>
          </w:tcPr>
          <w:p w14:paraId="0E200CFB">
            <w:pPr>
              <w:widowControl/>
              <w:spacing w:line="240" w:lineRule="auto"/>
              <w:ind w:firstLine="0" w:firstLineChars="0"/>
              <w:rPr>
                <w:bCs/>
              </w:rPr>
            </w:pPr>
            <w:r>
              <w:rPr>
                <w:rFonts w:hint="eastAsia"/>
                <w:bCs/>
              </w:rPr>
              <w:t>加密通信支持 支持 HTTPS 协议接入与证书管理，保障通信安全</w:t>
            </w:r>
          </w:p>
        </w:tc>
      </w:tr>
      <w:tr w14:paraId="65DA515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58C29B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224856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4E04095">
            <w:pPr>
              <w:widowControl/>
              <w:spacing w:line="240" w:lineRule="auto"/>
              <w:ind w:firstLine="0" w:firstLineChars="0"/>
              <w:jc w:val="center"/>
              <w:rPr>
                <w:bCs/>
              </w:rPr>
            </w:pPr>
            <w:r>
              <w:rPr>
                <w:rFonts w:hint="eastAsia"/>
                <w:bCs/>
              </w:rPr>
              <w:t>应用接入及负载模块-接入隔离及流控模块-应用隔离及访问控制模块-安全防护策略</w:t>
            </w:r>
          </w:p>
        </w:tc>
        <w:tc>
          <w:tcPr>
            <w:tcW w:w="2908" w:type="pct"/>
            <w:tcBorders>
              <w:top w:val="single" w:color="000000" w:sz="4" w:space="0"/>
              <w:left w:val="single" w:color="000000" w:sz="4" w:space="0"/>
              <w:bottom w:val="single" w:color="000000" w:sz="4" w:space="0"/>
              <w:right w:val="single" w:color="000000" w:sz="4" w:space="0"/>
            </w:tcBorders>
            <w:vAlign w:val="center"/>
          </w:tcPr>
          <w:p w14:paraId="734BA6B6">
            <w:pPr>
              <w:widowControl/>
              <w:spacing w:line="240" w:lineRule="auto"/>
              <w:ind w:firstLine="0" w:firstLineChars="0"/>
              <w:rPr>
                <w:bCs/>
              </w:rPr>
            </w:pPr>
            <w:r>
              <w:rPr>
                <w:rFonts w:hint="eastAsia"/>
                <w:bCs/>
              </w:rPr>
              <w:t>内置黑白名单、IP 封禁、请求签名校验、WAF 规则等安全防护机制</w:t>
            </w:r>
          </w:p>
        </w:tc>
      </w:tr>
      <w:tr w14:paraId="3B73CC0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805839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72EC3D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726D258">
            <w:pPr>
              <w:widowControl/>
              <w:spacing w:line="240" w:lineRule="auto"/>
              <w:ind w:firstLine="0" w:firstLineChars="0"/>
              <w:jc w:val="center"/>
              <w:rPr>
                <w:bCs/>
              </w:rPr>
            </w:pPr>
            <w:r>
              <w:rPr>
                <w:rFonts w:hint="eastAsia"/>
                <w:bCs/>
              </w:rPr>
              <w:t>应用接入及负载模块-接入隔离及流控模块-应用隔离及访问控制模块-请求参数校验与过滤</w:t>
            </w:r>
          </w:p>
        </w:tc>
        <w:tc>
          <w:tcPr>
            <w:tcW w:w="2908" w:type="pct"/>
            <w:tcBorders>
              <w:top w:val="single" w:color="000000" w:sz="4" w:space="0"/>
              <w:left w:val="single" w:color="000000" w:sz="4" w:space="0"/>
              <w:bottom w:val="single" w:color="000000" w:sz="4" w:space="0"/>
              <w:right w:val="single" w:color="000000" w:sz="4" w:space="0"/>
            </w:tcBorders>
            <w:vAlign w:val="center"/>
          </w:tcPr>
          <w:p w14:paraId="1D597413">
            <w:pPr>
              <w:widowControl/>
              <w:spacing w:line="240" w:lineRule="auto"/>
              <w:ind w:firstLine="0" w:firstLineChars="0"/>
              <w:rPr>
                <w:bCs/>
              </w:rPr>
            </w:pPr>
            <w:r>
              <w:rPr>
                <w:rFonts w:hint="eastAsia"/>
                <w:bCs/>
              </w:rPr>
              <w:t>对请求参数进行合法性校验与敏感字段过滤，提升安全性与数据一致性</w:t>
            </w:r>
          </w:p>
        </w:tc>
      </w:tr>
      <w:tr w14:paraId="64B58D8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77C40E5">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7FBE342">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0207AFD">
            <w:pPr>
              <w:widowControl/>
              <w:spacing w:line="240" w:lineRule="auto"/>
              <w:ind w:firstLine="0" w:firstLineChars="0"/>
              <w:jc w:val="center"/>
              <w:rPr>
                <w:bCs/>
              </w:rPr>
            </w:pPr>
            <w:r>
              <w:rPr>
                <w:rFonts w:hint="eastAsia"/>
                <w:bCs/>
              </w:rPr>
              <w:t>应用接入及负载模块-接入隔离及流控模块-应用隔离及访问控制模块-支持跨域访问控制</w:t>
            </w:r>
          </w:p>
        </w:tc>
        <w:tc>
          <w:tcPr>
            <w:tcW w:w="2908" w:type="pct"/>
            <w:tcBorders>
              <w:top w:val="single" w:color="000000" w:sz="4" w:space="0"/>
              <w:left w:val="single" w:color="000000" w:sz="4" w:space="0"/>
              <w:bottom w:val="single" w:color="000000" w:sz="4" w:space="0"/>
              <w:right w:val="single" w:color="000000" w:sz="4" w:space="0"/>
            </w:tcBorders>
            <w:vAlign w:val="center"/>
          </w:tcPr>
          <w:p w14:paraId="555AB6DB">
            <w:pPr>
              <w:widowControl/>
              <w:spacing w:line="240" w:lineRule="auto"/>
              <w:ind w:firstLine="0" w:firstLineChars="0"/>
              <w:rPr>
                <w:bCs/>
              </w:rPr>
            </w:pPr>
            <w:r>
              <w:rPr>
                <w:rFonts w:hint="eastAsia"/>
                <w:bCs/>
              </w:rPr>
              <w:t>实现 CORS 策略配置，控制前端跨域访问接口权限和安全性</w:t>
            </w:r>
          </w:p>
        </w:tc>
      </w:tr>
      <w:tr w14:paraId="67C1B06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0109FA8">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C3903CB">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9D1F987">
            <w:pPr>
              <w:widowControl/>
              <w:spacing w:line="240" w:lineRule="auto"/>
              <w:ind w:firstLine="0" w:firstLineChars="0"/>
              <w:jc w:val="center"/>
              <w:rPr>
                <w:bCs/>
              </w:rPr>
            </w:pPr>
            <w:r>
              <w:rPr>
                <w:rFonts w:hint="eastAsia"/>
                <w:bCs/>
              </w:rPr>
              <w:t>应用接入及负载模块-接入隔离及流控模块-流量管控与动态路由模块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08F5EA9E">
            <w:pPr>
              <w:widowControl/>
              <w:spacing w:line="240" w:lineRule="auto"/>
              <w:ind w:firstLine="0" w:firstLineChars="0"/>
              <w:rPr>
                <w:bCs/>
              </w:rPr>
            </w:pPr>
            <w:r>
              <w:rPr>
                <w:rFonts w:hint="eastAsia"/>
                <w:bCs/>
              </w:rPr>
              <w:t>动态路由与策略路由：支持根据用户属性、请求内容、应用场景等动态选择后端服务目标</w:t>
            </w:r>
            <w:r>
              <w:rPr>
                <w:rFonts w:hint="eastAsia"/>
                <w:bCs/>
              </w:rPr>
              <w:br w:type="textWrapping"/>
            </w:r>
            <w:r>
              <w:rPr>
                <w:rFonts w:hint="eastAsia"/>
                <w:bCs/>
              </w:rPr>
              <w:t>灰度发布与蓝绿部署：提供灰度策略支持，将部分请求导向新版本服务，用于灰度测试和蓝绿切换</w:t>
            </w:r>
            <w:r>
              <w:rPr>
                <w:rFonts w:hint="eastAsia"/>
                <w:bCs/>
              </w:rPr>
              <w:br w:type="textWrapping"/>
            </w:r>
            <w:r>
              <w:rPr>
                <w:rFonts w:hint="eastAsia"/>
                <w:bCs/>
              </w:rPr>
              <w:t>内容重写与路径转发：可按规则对请求路径、Header、Body 等内容进行重写或转发</w:t>
            </w:r>
            <w:r>
              <w:rPr>
                <w:rFonts w:hint="eastAsia"/>
                <w:bCs/>
              </w:rPr>
              <w:br w:type="textWrapping"/>
            </w:r>
            <w:r>
              <w:rPr>
                <w:rFonts w:hint="eastAsia"/>
                <w:bCs/>
              </w:rPr>
              <w:t>自动服务注册与发现：集成 Consul、Eureka、Nacos 等，实现服务自动注册与网关自动发现</w:t>
            </w:r>
          </w:p>
        </w:tc>
      </w:tr>
      <w:tr w14:paraId="5EF11C3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027615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173C853">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D682BF5">
            <w:pPr>
              <w:widowControl/>
              <w:spacing w:line="240" w:lineRule="auto"/>
              <w:ind w:firstLine="0" w:firstLineChars="0"/>
              <w:jc w:val="center"/>
              <w:rPr>
                <w:bCs/>
              </w:rPr>
            </w:pPr>
            <w:r>
              <w:rPr>
                <w:rFonts w:hint="eastAsia"/>
                <w:bCs/>
              </w:rPr>
              <w:t>应用接入及负载模块-应用运行管理模块-运行管理模块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3CE8BBE4">
            <w:pPr>
              <w:widowControl/>
              <w:spacing w:line="240" w:lineRule="auto"/>
              <w:ind w:firstLine="0" w:firstLineChars="0"/>
              <w:rPr>
                <w:bCs/>
              </w:rPr>
            </w:pPr>
            <w:r>
              <w:rPr>
                <w:rFonts w:hint="eastAsia"/>
                <w:bCs/>
              </w:rPr>
              <w:t>服务健康检查 通过主动探测（Ping、HTTP 检查等）评估服务可用性，自动摘除异常实例</w:t>
            </w:r>
            <w:r>
              <w:rPr>
                <w:rFonts w:hint="eastAsia"/>
                <w:bCs/>
              </w:rPr>
              <w:br w:type="textWrapping"/>
            </w:r>
            <w:r>
              <w:rPr>
                <w:rFonts w:hint="eastAsia"/>
                <w:bCs/>
              </w:rPr>
              <w:t>网关缓存管理 支持对请求/响应结果进行缓存，提升响应速度并减轻后端压力</w:t>
            </w:r>
            <w:r>
              <w:rPr>
                <w:rFonts w:hint="eastAsia"/>
                <w:bCs/>
              </w:rPr>
              <w:br w:type="textWrapping"/>
            </w:r>
            <w:r>
              <w:rPr>
                <w:rFonts w:hint="eastAsia"/>
                <w:bCs/>
              </w:rPr>
              <w:t>日志采集与监控指标输出 将访问日志、性能指标输出至 ELK、Prometheus 等监控系统</w:t>
            </w:r>
            <w:r>
              <w:rPr>
                <w:rFonts w:hint="eastAsia"/>
                <w:bCs/>
              </w:rPr>
              <w:br w:type="textWrapping"/>
            </w:r>
            <w:r>
              <w:rPr>
                <w:rFonts w:hint="eastAsia"/>
                <w:bCs/>
              </w:rPr>
              <w:t>API 文档管理 支持 Swagger/OpenAPI 接口导入与自动生成文档，便于对接与测试</w:t>
            </w:r>
          </w:p>
        </w:tc>
      </w:tr>
      <w:tr w14:paraId="15F0743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5BAE314">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DD4BD9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02FD1C4">
            <w:pPr>
              <w:widowControl/>
              <w:spacing w:line="240" w:lineRule="auto"/>
              <w:ind w:firstLine="0" w:firstLineChars="0"/>
              <w:jc w:val="center"/>
              <w:rPr>
                <w:bCs/>
              </w:rPr>
            </w:pPr>
            <w:r>
              <w:rPr>
                <w:rFonts w:hint="eastAsia"/>
                <w:bCs/>
              </w:rPr>
              <w:t>应用接入及负载模块-应用运行管理模块-熔断降级模块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0B65FF4B">
            <w:pPr>
              <w:widowControl/>
              <w:spacing w:line="240" w:lineRule="auto"/>
              <w:ind w:firstLine="0" w:firstLineChars="0"/>
              <w:rPr>
                <w:bCs/>
              </w:rPr>
            </w:pPr>
            <w:r>
              <w:rPr>
                <w:rFonts w:hint="eastAsia"/>
                <w:bCs/>
              </w:rPr>
              <w:t>熔断降级与容错处理 实现服务熔断与故障降级策略，避免单点故障影响整体系统可用性</w:t>
            </w:r>
            <w:r>
              <w:rPr>
                <w:rFonts w:hint="eastAsia"/>
                <w:bCs/>
              </w:rPr>
              <w:br w:type="textWrapping"/>
            </w:r>
            <w:r>
              <w:rPr>
                <w:rFonts w:hint="eastAsia"/>
                <w:bCs/>
              </w:rPr>
              <w:t>配置热更新 网关配置（如路由规则、限流策略等）支持实时变更且无需重启生效</w:t>
            </w:r>
            <w:r>
              <w:rPr>
                <w:rFonts w:hint="eastAsia"/>
                <w:bCs/>
              </w:rPr>
              <w:br w:type="textWrapping"/>
            </w:r>
            <w:r>
              <w:rPr>
                <w:rFonts w:hint="eastAsia"/>
                <w:bCs/>
              </w:rPr>
              <w:t>链路追踪与调用分析 支持 TraceID 注入与分布式调用链跟踪，便于问题排查与性能瓶颈分析</w:t>
            </w:r>
          </w:p>
        </w:tc>
      </w:tr>
      <w:tr w14:paraId="12FF7465">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0ABEEE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A0AD86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825D5C8">
            <w:pPr>
              <w:widowControl/>
              <w:spacing w:line="240" w:lineRule="auto"/>
              <w:ind w:firstLine="0" w:firstLineChars="0"/>
              <w:jc w:val="center"/>
              <w:rPr>
                <w:bCs/>
              </w:rPr>
            </w:pPr>
            <w:r>
              <w:rPr>
                <w:rFonts w:hint="eastAsia"/>
                <w:bCs/>
              </w:rPr>
              <w:t>肺结核政府减免服务应用场景-患者信息登记</w:t>
            </w:r>
          </w:p>
        </w:tc>
        <w:tc>
          <w:tcPr>
            <w:tcW w:w="2908" w:type="pct"/>
            <w:tcBorders>
              <w:top w:val="single" w:color="000000" w:sz="4" w:space="0"/>
              <w:left w:val="single" w:color="000000" w:sz="4" w:space="0"/>
              <w:bottom w:val="single" w:color="000000" w:sz="4" w:space="0"/>
              <w:right w:val="single" w:color="000000" w:sz="4" w:space="0"/>
            </w:tcBorders>
            <w:vAlign w:val="center"/>
          </w:tcPr>
          <w:p w14:paraId="1AB59EA2">
            <w:pPr>
              <w:widowControl/>
              <w:spacing w:line="240" w:lineRule="auto"/>
              <w:ind w:firstLine="0" w:firstLineChars="0"/>
              <w:rPr>
                <w:bCs/>
              </w:rPr>
            </w:pPr>
            <w:r>
              <w:rPr>
                <w:rFonts w:hint="eastAsia"/>
                <w:bCs/>
              </w:rPr>
              <w:t>支持对肺结核病患者的信息登记和上传功能。</w:t>
            </w:r>
          </w:p>
        </w:tc>
      </w:tr>
      <w:tr w14:paraId="76011DA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34A9AFE">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93F11CD">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2C1E6BA">
            <w:pPr>
              <w:widowControl/>
              <w:spacing w:line="240" w:lineRule="auto"/>
              <w:ind w:firstLine="0" w:firstLineChars="0"/>
              <w:jc w:val="center"/>
              <w:rPr>
                <w:bCs/>
              </w:rPr>
            </w:pPr>
            <w:r>
              <w:rPr>
                <w:rFonts w:hint="eastAsia"/>
                <w:bCs/>
              </w:rPr>
              <w:t>肺结核政府减免服务应用场景-告知书签署（政策受益资格审核）</w:t>
            </w:r>
          </w:p>
        </w:tc>
        <w:tc>
          <w:tcPr>
            <w:tcW w:w="2908" w:type="pct"/>
            <w:tcBorders>
              <w:top w:val="single" w:color="000000" w:sz="4" w:space="0"/>
              <w:left w:val="single" w:color="000000" w:sz="4" w:space="0"/>
              <w:bottom w:val="single" w:color="000000" w:sz="4" w:space="0"/>
              <w:right w:val="single" w:color="000000" w:sz="4" w:space="0"/>
            </w:tcBorders>
            <w:vAlign w:val="center"/>
          </w:tcPr>
          <w:p w14:paraId="461B188C">
            <w:pPr>
              <w:widowControl/>
              <w:spacing w:line="240" w:lineRule="auto"/>
              <w:ind w:firstLine="0" w:firstLineChars="0"/>
              <w:rPr>
                <w:bCs/>
              </w:rPr>
            </w:pPr>
            <w:r>
              <w:rPr>
                <w:rFonts w:hint="eastAsia"/>
                <w:bCs/>
              </w:rPr>
              <w:t>支持告知书在线签署及审核功能。</w:t>
            </w:r>
          </w:p>
        </w:tc>
      </w:tr>
      <w:tr w14:paraId="7F849D5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4C0C7E0">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4613B1B">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BC94DDA">
            <w:pPr>
              <w:widowControl/>
              <w:spacing w:line="240" w:lineRule="auto"/>
              <w:ind w:firstLine="0" w:firstLineChars="0"/>
              <w:jc w:val="center"/>
              <w:rPr>
                <w:bCs/>
              </w:rPr>
            </w:pPr>
            <w:r>
              <w:rPr>
                <w:rFonts w:hint="eastAsia"/>
                <w:bCs/>
              </w:rPr>
              <w:t>肺结核政府减免服务应用场景-减免费用上报（移动端）</w:t>
            </w:r>
          </w:p>
        </w:tc>
        <w:tc>
          <w:tcPr>
            <w:tcW w:w="2908" w:type="pct"/>
            <w:tcBorders>
              <w:top w:val="single" w:color="000000" w:sz="4" w:space="0"/>
              <w:left w:val="single" w:color="000000" w:sz="4" w:space="0"/>
              <w:bottom w:val="single" w:color="000000" w:sz="4" w:space="0"/>
              <w:right w:val="single" w:color="000000" w:sz="4" w:space="0"/>
            </w:tcBorders>
            <w:vAlign w:val="center"/>
          </w:tcPr>
          <w:p w14:paraId="1B501523">
            <w:pPr>
              <w:widowControl/>
              <w:spacing w:line="240" w:lineRule="auto"/>
              <w:ind w:firstLine="0" w:firstLineChars="0"/>
              <w:rPr>
                <w:bCs/>
              </w:rPr>
            </w:pPr>
            <w:r>
              <w:rPr>
                <w:rFonts w:hint="eastAsia"/>
                <w:bCs/>
              </w:rPr>
              <w:t>支持患者通过随申办移动端上报减免费用</w:t>
            </w:r>
          </w:p>
        </w:tc>
      </w:tr>
      <w:tr w14:paraId="48D7F57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97A117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98A6617">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E0919EB">
            <w:pPr>
              <w:widowControl/>
              <w:spacing w:line="240" w:lineRule="auto"/>
              <w:ind w:firstLine="0" w:firstLineChars="0"/>
              <w:jc w:val="center"/>
              <w:rPr>
                <w:bCs/>
              </w:rPr>
            </w:pPr>
            <w:r>
              <w:rPr>
                <w:rFonts w:hint="eastAsia"/>
                <w:bCs/>
              </w:rPr>
              <w:t>肺结核政府减免服务应用场景-减免费用审核（PC端）</w:t>
            </w:r>
          </w:p>
        </w:tc>
        <w:tc>
          <w:tcPr>
            <w:tcW w:w="2908" w:type="pct"/>
            <w:tcBorders>
              <w:top w:val="single" w:color="000000" w:sz="4" w:space="0"/>
              <w:left w:val="single" w:color="000000" w:sz="4" w:space="0"/>
              <w:bottom w:val="single" w:color="000000" w:sz="4" w:space="0"/>
              <w:right w:val="single" w:color="000000" w:sz="4" w:space="0"/>
            </w:tcBorders>
            <w:vAlign w:val="center"/>
          </w:tcPr>
          <w:p w14:paraId="1BBA31A4">
            <w:pPr>
              <w:widowControl/>
              <w:spacing w:line="240" w:lineRule="auto"/>
              <w:ind w:firstLine="0" w:firstLineChars="0"/>
              <w:rPr>
                <w:bCs/>
              </w:rPr>
            </w:pPr>
            <w:r>
              <w:rPr>
                <w:rFonts w:hint="eastAsia"/>
                <w:bCs/>
              </w:rPr>
              <w:t>支持区和街道公卫医生使用PC端审核患者申报的减免费用</w:t>
            </w:r>
          </w:p>
        </w:tc>
      </w:tr>
      <w:tr w14:paraId="5C07355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11620D2">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3F0885D">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1B7934C">
            <w:pPr>
              <w:widowControl/>
              <w:spacing w:line="240" w:lineRule="auto"/>
              <w:ind w:firstLine="0" w:firstLineChars="0"/>
              <w:jc w:val="center"/>
              <w:rPr>
                <w:bCs/>
              </w:rPr>
            </w:pPr>
            <w:r>
              <w:rPr>
                <w:rFonts w:hint="eastAsia"/>
                <w:bCs/>
              </w:rPr>
              <w:t>肺结核政府减免服务应用场景-报销业务规则设置和上链</w:t>
            </w:r>
          </w:p>
        </w:tc>
        <w:tc>
          <w:tcPr>
            <w:tcW w:w="2908" w:type="pct"/>
            <w:tcBorders>
              <w:top w:val="single" w:color="000000" w:sz="4" w:space="0"/>
              <w:left w:val="single" w:color="000000" w:sz="4" w:space="0"/>
              <w:bottom w:val="single" w:color="000000" w:sz="4" w:space="0"/>
              <w:right w:val="single" w:color="000000" w:sz="4" w:space="0"/>
            </w:tcBorders>
            <w:vAlign w:val="center"/>
          </w:tcPr>
          <w:p w14:paraId="377AEEFF">
            <w:pPr>
              <w:widowControl/>
              <w:spacing w:line="240" w:lineRule="auto"/>
              <w:ind w:firstLine="0" w:firstLineChars="0"/>
              <w:rPr>
                <w:bCs/>
              </w:rPr>
            </w:pPr>
            <w:r>
              <w:rPr>
                <w:rFonts w:hint="eastAsia"/>
                <w:bCs/>
              </w:rPr>
              <w:t>对于不同类型的肺结核病人的门诊、化验、治疗、药物开具以及不同药物的报销业务规则进行设置，设置后当患者诊疗且发票开具后可自动生成报销金额。</w:t>
            </w:r>
          </w:p>
        </w:tc>
      </w:tr>
      <w:tr w14:paraId="6B8E96D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6B30CB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ED77EF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58A048A">
            <w:pPr>
              <w:widowControl/>
              <w:spacing w:line="240" w:lineRule="auto"/>
              <w:ind w:firstLine="0" w:firstLineChars="0"/>
              <w:jc w:val="center"/>
              <w:rPr>
                <w:bCs/>
              </w:rPr>
            </w:pPr>
            <w:r>
              <w:rPr>
                <w:rFonts w:hint="eastAsia"/>
                <w:bCs/>
              </w:rPr>
              <w:t>肺结核政府减免服务应用场景-报销情况查询统计管理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50761024">
            <w:pPr>
              <w:widowControl/>
              <w:spacing w:line="240" w:lineRule="auto"/>
              <w:ind w:firstLine="0" w:firstLineChars="0"/>
              <w:rPr>
                <w:bCs/>
              </w:rPr>
            </w:pPr>
            <w:r>
              <w:rPr>
                <w:rFonts w:hint="eastAsia"/>
                <w:bCs/>
              </w:rPr>
              <w:t>支持多维度的信息查询和报表统计功能。</w:t>
            </w:r>
          </w:p>
        </w:tc>
      </w:tr>
      <w:tr w14:paraId="613EF47F">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591E406">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D5B6A4D">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1CE0EA1">
            <w:pPr>
              <w:widowControl/>
              <w:spacing w:line="240" w:lineRule="auto"/>
              <w:ind w:firstLine="0" w:firstLineChars="0"/>
              <w:jc w:val="center"/>
              <w:rPr>
                <w:bCs/>
              </w:rPr>
            </w:pPr>
            <w:r>
              <w:rPr>
                <w:rFonts w:hint="eastAsia"/>
                <w:bCs/>
              </w:rPr>
              <w:t>肺结核政府减免服务应用场景-随申办对接</w:t>
            </w:r>
          </w:p>
        </w:tc>
        <w:tc>
          <w:tcPr>
            <w:tcW w:w="2908" w:type="pct"/>
            <w:tcBorders>
              <w:top w:val="single" w:color="000000" w:sz="4" w:space="0"/>
              <w:left w:val="single" w:color="000000" w:sz="4" w:space="0"/>
              <w:bottom w:val="single" w:color="000000" w:sz="4" w:space="0"/>
              <w:right w:val="single" w:color="000000" w:sz="4" w:space="0"/>
            </w:tcBorders>
            <w:vAlign w:val="center"/>
          </w:tcPr>
          <w:p w14:paraId="688FE4C3">
            <w:pPr>
              <w:widowControl/>
              <w:spacing w:line="240" w:lineRule="auto"/>
              <w:ind w:firstLine="0" w:firstLineChars="0"/>
              <w:rPr>
                <w:bCs/>
              </w:rPr>
            </w:pPr>
            <w:r>
              <w:rPr>
                <w:rFonts w:hint="eastAsia"/>
                <w:bCs/>
              </w:rPr>
              <w:t>纳入随申办公众服务，患者可通过随申办平台开展业务申请及协议签署等一系列工作。</w:t>
            </w:r>
          </w:p>
        </w:tc>
      </w:tr>
      <w:tr w14:paraId="22C843B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B9A7DD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E006897">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423E7F1">
            <w:pPr>
              <w:widowControl/>
              <w:spacing w:line="240" w:lineRule="auto"/>
              <w:ind w:firstLine="0" w:firstLineChars="0"/>
              <w:jc w:val="center"/>
              <w:rPr>
                <w:bCs/>
              </w:rPr>
            </w:pPr>
            <w:r>
              <w:rPr>
                <w:rFonts w:hint="eastAsia"/>
                <w:bCs/>
              </w:rPr>
              <w:t>肺结核政府减免服务应用场景-用户权限管理</w:t>
            </w:r>
          </w:p>
        </w:tc>
        <w:tc>
          <w:tcPr>
            <w:tcW w:w="2908" w:type="pct"/>
            <w:tcBorders>
              <w:top w:val="single" w:color="000000" w:sz="4" w:space="0"/>
              <w:left w:val="single" w:color="000000" w:sz="4" w:space="0"/>
              <w:bottom w:val="single" w:color="000000" w:sz="4" w:space="0"/>
              <w:right w:val="single" w:color="000000" w:sz="4" w:space="0"/>
            </w:tcBorders>
            <w:vAlign w:val="center"/>
          </w:tcPr>
          <w:p w14:paraId="4DAD07D6">
            <w:pPr>
              <w:widowControl/>
              <w:spacing w:line="240" w:lineRule="auto"/>
              <w:ind w:firstLine="0" w:firstLineChars="0"/>
              <w:rPr>
                <w:bCs/>
              </w:rPr>
            </w:pPr>
            <w:r>
              <w:rPr>
                <w:rFonts w:hint="eastAsia"/>
                <w:bCs/>
              </w:rPr>
              <w:t>实现市区两级疾控中心、市社区卫生服务中心的机构及用户信息管理、权限配置管理、日志审计等功能。</w:t>
            </w:r>
          </w:p>
        </w:tc>
      </w:tr>
      <w:tr w14:paraId="28800DD8">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0F3C530">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BB1340A">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908E876">
            <w:pPr>
              <w:widowControl/>
              <w:spacing w:line="240" w:lineRule="auto"/>
              <w:ind w:firstLine="0" w:firstLineChars="0"/>
              <w:jc w:val="center"/>
              <w:rPr>
                <w:bCs/>
              </w:rPr>
            </w:pPr>
            <w:r>
              <w:rPr>
                <w:rFonts w:hint="eastAsia"/>
                <w:bCs/>
              </w:rPr>
              <w:t>肺结核政府减免服务应用场景-电子印章密码应用</w:t>
            </w:r>
          </w:p>
        </w:tc>
        <w:tc>
          <w:tcPr>
            <w:tcW w:w="2908" w:type="pct"/>
            <w:tcBorders>
              <w:top w:val="single" w:color="000000" w:sz="4" w:space="0"/>
              <w:left w:val="single" w:color="000000" w:sz="4" w:space="0"/>
              <w:bottom w:val="single" w:color="000000" w:sz="4" w:space="0"/>
              <w:right w:val="single" w:color="000000" w:sz="4" w:space="0"/>
            </w:tcBorders>
            <w:vAlign w:val="center"/>
          </w:tcPr>
          <w:p w14:paraId="63FB6A93">
            <w:pPr>
              <w:widowControl/>
              <w:spacing w:line="240" w:lineRule="auto"/>
              <w:ind w:firstLine="0" w:firstLineChars="0"/>
              <w:rPr>
                <w:bCs/>
              </w:rPr>
            </w:pPr>
            <w:r>
              <w:rPr>
                <w:rFonts w:hint="eastAsia"/>
                <w:bCs/>
              </w:rPr>
              <w:t>基于云平台提供的电子印章服务，建设相应的电子印章密码应用模块，实现告知书签名认证</w:t>
            </w:r>
          </w:p>
        </w:tc>
      </w:tr>
      <w:tr w14:paraId="2305E7C3">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8FFEFD8">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B7E9B54">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00B4841">
            <w:pPr>
              <w:widowControl/>
              <w:spacing w:line="240" w:lineRule="auto"/>
              <w:ind w:firstLine="0" w:firstLineChars="0"/>
              <w:jc w:val="center"/>
              <w:rPr>
                <w:bCs/>
              </w:rPr>
            </w:pPr>
            <w:r>
              <w:rPr>
                <w:rFonts w:hint="eastAsia"/>
                <w:bCs/>
              </w:rPr>
              <w:t>长三角票据共享服务-跨省授权管理模块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5AD7B592">
            <w:pPr>
              <w:widowControl/>
              <w:spacing w:line="240" w:lineRule="auto"/>
              <w:ind w:firstLine="0" w:firstLineChars="0"/>
              <w:rPr>
                <w:bCs/>
              </w:rPr>
            </w:pPr>
            <w:r>
              <w:rPr>
                <w:rFonts w:hint="eastAsia"/>
                <w:bCs/>
              </w:rPr>
              <w:t>三省一市应用授权管理：配置三省一市不同省市的授权管理，用于后续调用不同省份票据数据</w:t>
            </w:r>
            <w:r>
              <w:rPr>
                <w:rFonts w:hint="eastAsia"/>
                <w:bCs/>
              </w:rPr>
              <w:br w:type="textWrapping"/>
            </w:r>
            <w:r>
              <w:rPr>
                <w:rFonts w:hint="eastAsia"/>
                <w:bCs/>
              </w:rPr>
              <w:t>本市授权管理：提供本市内有长三角报销需求的用票单位授权管理</w:t>
            </w:r>
          </w:p>
        </w:tc>
      </w:tr>
      <w:tr w14:paraId="099972B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CF09821">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E12638C">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F95FE51">
            <w:pPr>
              <w:widowControl/>
              <w:spacing w:line="240" w:lineRule="auto"/>
              <w:ind w:firstLine="0" w:firstLineChars="0"/>
              <w:jc w:val="center"/>
              <w:rPr>
                <w:bCs/>
              </w:rPr>
            </w:pPr>
            <w:r>
              <w:rPr>
                <w:rFonts w:hint="eastAsia"/>
                <w:bCs/>
              </w:rPr>
              <w:t>长三角票据共享服务-跨省备案服务模块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0C2E4D7A">
            <w:pPr>
              <w:widowControl/>
              <w:spacing w:line="240" w:lineRule="auto"/>
              <w:ind w:firstLine="0" w:firstLineChars="0"/>
              <w:rPr>
                <w:bCs/>
              </w:rPr>
            </w:pPr>
            <w:r>
              <w:rPr>
                <w:rFonts w:hint="eastAsia"/>
                <w:bCs/>
              </w:rPr>
              <w:t>按长三角2.0跨省备案服务标准开发服务能力</w:t>
            </w:r>
            <w:r>
              <w:rPr>
                <w:rFonts w:hint="eastAsia"/>
                <w:bCs/>
              </w:rPr>
              <w:br w:type="textWrapping"/>
            </w:r>
            <w:r>
              <w:rPr>
                <w:rFonts w:hint="eastAsia"/>
                <w:bCs/>
              </w:rPr>
              <w:t>跨省备案申请和审批：提供本市报销机构进行跨省备案申请与审批，提供报销机构申请页、管理员审批页。</w:t>
            </w:r>
            <w:r>
              <w:rPr>
                <w:rFonts w:hint="eastAsia"/>
                <w:bCs/>
              </w:rPr>
              <w:br w:type="textWrapping"/>
            </w:r>
            <w:r>
              <w:rPr>
                <w:rFonts w:hint="eastAsia"/>
                <w:bCs/>
              </w:rPr>
              <w:t>跨省备案申请：用票单位提交跨省业务需求</w:t>
            </w:r>
            <w:r>
              <w:rPr>
                <w:rFonts w:hint="eastAsia"/>
                <w:bCs/>
              </w:rPr>
              <w:br w:type="textWrapping"/>
            </w:r>
            <w:r>
              <w:rPr>
                <w:rFonts w:hint="eastAsia"/>
                <w:bCs/>
              </w:rPr>
              <w:t>跨省备案审批：管理员进行跨省申请审批，审批后调用跨省备案服务接口进行跨省备案注册"</w:t>
            </w:r>
            <w:r>
              <w:rPr>
                <w:rFonts w:hint="eastAsia"/>
                <w:bCs/>
              </w:rPr>
              <w:br w:type="textWrapping"/>
            </w:r>
            <w:r>
              <w:rPr>
                <w:rFonts w:hint="eastAsia"/>
                <w:bCs/>
              </w:rPr>
              <w:t>获取外省市备案信息：外省市通过融合接口广播外省市准入的报销单位备案信息，通过广播信息记录外省市备案信息，后续外省市报销机构发起跨省报销业务时，需比对校验备案信息库，确保报销机构已经过备案</w:t>
            </w:r>
          </w:p>
        </w:tc>
      </w:tr>
      <w:tr w14:paraId="1132512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AA800F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968CFDC">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A5DE81C">
            <w:pPr>
              <w:widowControl/>
              <w:spacing w:line="240" w:lineRule="auto"/>
              <w:ind w:firstLine="0" w:firstLineChars="0"/>
              <w:jc w:val="center"/>
              <w:rPr>
                <w:bCs/>
              </w:rPr>
            </w:pPr>
            <w:r>
              <w:rPr>
                <w:rFonts w:hint="eastAsia"/>
                <w:bCs/>
              </w:rPr>
              <w:t>长三角票据共享服务-服务开通管理模块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1DCE0C13">
            <w:pPr>
              <w:widowControl/>
              <w:spacing w:line="240" w:lineRule="auto"/>
              <w:ind w:firstLine="0" w:firstLineChars="0"/>
              <w:rPr>
                <w:bCs/>
              </w:rPr>
            </w:pPr>
            <w:r>
              <w:rPr>
                <w:rFonts w:hint="eastAsia"/>
                <w:bCs/>
              </w:rPr>
              <w:t>按长三角2.0服务开通管理标准开发服务能力</w:t>
            </w:r>
            <w:r>
              <w:rPr>
                <w:rFonts w:hint="eastAsia"/>
                <w:bCs/>
              </w:rPr>
              <w:br w:type="textWrapping"/>
            </w:r>
            <w:r>
              <w:rPr>
                <w:rFonts w:hint="eastAsia"/>
                <w:bCs/>
              </w:rPr>
              <w:t>跨省服务管理：调用服务开通页面，进行用票单位服务开通、暂停、重开、续签、退出</w:t>
            </w:r>
            <w:r>
              <w:rPr>
                <w:rFonts w:hint="eastAsia"/>
                <w:bCs/>
              </w:rPr>
              <w:br w:type="textWrapping"/>
            </w:r>
            <w:r>
              <w:rPr>
                <w:rFonts w:hint="eastAsia"/>
                <w:bCs/>
              </w:rPr>
              <w:t>获取服务开通信息：对接融合接口获取外省市开通信息</w:t>
            </w:r>
          </w:p>
        </w:tc>
      </w:tr>
      <w:tr w14:paraId="32D3356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491E46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1E3F97A">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C4017B4">
            <w:pPr>
              <w:widowControl/>
              <w:spacing w:line="240" w:lineRule="auto"/>
              <w:ind w:firstLine="0" w:firstLineChars="0"/>
              <w:jc w:val="center"/>
              <w:rPr>
                <w:bCs/>
              </w:rPr>
            </w:pPr>
            <w:r>
              <w:rPr>
                <w:rFonts w:hint="eastAsia"/>
                <w:bCs/>
              </w:rPr>
              <w:t>长三角票据共享服务-票据摘要列表模块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6DF4039C">
            <w:pPr>
              <w:widowControl/>
              <w:spacing w:line="240" w:lineRule="auto"/>
              <w:ind w:firstLine="0" w:firstLineChars="0"/>
              <w:rPr>
                <w:bCs/>
              </w:rPr>
            </w:pPr>
            <w:r>
              <w:rPr>
                <w:rFonts w:hint="eastAsia"/>
                <w:bCs/>
              </w:rPr>
              <w:t>按长三角2.0票据摘要列表标准开发服务能力</w:t>
            </w:r>
            <w:r>
              <w:rPr>
                <w:rFonts w:hint="eastAsia"/>
                <w:bCs/>
              </w:rPr>
              <w:br w:type="textWrapping"/>
            </w:r>
            <w:r>
              <w:rPr>
                <w:rFonts w:hint="eastAsia"/>
                <w:bCs/>
              </w:rPr>
              <w:t>摘要列表获取：调用票据摘要列表接口获取开票省市归集的本人票据摘要信息</w:t>
            </w:r>
            <w:r>
              <w:rPr>
                <w:rFonts w:hint="eastAsia"/>
                <w:bCs/>
              </w:rPr>
              <w:br w:type="textWrapping"/>
            </w:r>
            <w:r>
              <w:rPr>
                <w:rFonts w:hint="eastAsia"/>
                <w:bCs/>
              </w:rPr>
              <w:t>摘要列表归集组合：获取到的摘要信息，拼接组成列表，用于汇聚展示</w:t>
            </w:r>
            <w:r>
              <w:rPr>
                <w:rFonts w:hint="eastAsia"/>
                <w:bCs/>
              </w:rPr>
              <w:br w:type="textWrapping"/>
            </w:r>
            <w:r>
              <w:rPr>
                <w:rFonts w:hint="eastAsia"/>
                <w:bCs/>
              </w:rPr>
              <w:t>外省市票据摘要列表获取：对接融合接口获取外省市票据摘要列表</w:t>
            </w:r>
            <w:r>
              <w:rPr>
                <w:rFonts w:hint="eastAsia"/>
                <w:bCs/>
              </w:rPr>
              <w:br w:type="textWrapping"/>
            </w:r>
            <w:r>
              <w:rPr>
                <w:rFonts w:hint="eastAsia"/>
                <w:bCs/>
              </w:rPr>
              <w:t>外省市票据列表获取后转发：转发至票据列表需求方</w:t>
            </w:r>
          </w:p>
        </w:tc>
      </w:tr>
      <w:tr w14:paraId="328B841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478E37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1A34FD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81FCA03">
            <w:pPr>
              <w:widowControl/>
              <w:spacing w:line="240" w:lineRule="auto"/>
              <w:ind w:firstLine="0" w:firstLineChars="0"/>
              <w:jc w:val="center"/>
              <w:rPr>
                <w:bCs/>
              </w:rPr>
            </w:pPr>
            <w:r>
              <w:rPr>
                <w:rFonts w:hint="eastAsia"/>
                <w:bCs/>
              </w:rPr>
              <w:t>长三角票据共享服务-票据摘要获取模块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1D1F1C3F">
            <w:pPr>
              <w:widowControl/>
              <w:spacing w:line="240" w:lineRule="auto"/>
              <w:ind w:firstLine="0" w:firstLineChars="0"/>
              <w:rPr>
                <w:bCs/>
              </w:rPr>
            </w:pPr>
            <w:r>
              <w:rPr>
                <w:rFonts w:hint="eastAsia"/>
                <w:bCs/>
              </w:rPr>
              <w:t>服务能力开发 按长三角2.0票据摘要获取标准开发服务能力</w:t>
            </w:r>
            <w:r>
              <w:rPr>
                <w:rFonts w:hint="eastAsia"/>
                <w:bCs/>
              </w:rPr>
              <w:br w:type="textWrapping"/>
            </w:r>
            <w:r>
              <w:rPr>
                <w:rFonts w:hint="eastAsia"/>
                <w:bCs/>
              </w:rPr>
              <w:t>票据摘要内容获取 "本市票据摘要获取：调用摘要获取服务，根据票据五要素获取票据摘要信息，补充摘要列表</w:t>
            </w:r>
            <w:r>
              <w:rPr>
                <w:rFonts w:hint="eastAsia"/>
                <w:bCs/>
              </w:rPr>
              <w:br w:type="textWrapping"/>
            </w:r>
            <w:r>
              <w:rPr>
                <w:rFonts w:hint="eastAsia"/>
                <w:bCs/>
              </w:rPr>
              <w:t>外省市票据摘要获取：对接融合接口获取外省市票据摘要信息</w:t>
            </w:r>
            <w:r>
              <w:rPr>
                <w:rFonts w:hint="eastAsia"/>
                <w:bCs/>
              </w:rPr>
              <w:br w:type="textWrapping"/>
            </w:r>
            <w:r>
              <w:rPr>
                <w:rFonts w:hint="eastAsia"/>
                <w:bCs/>
              </w:rPr>
              <w:t>外省市票据摘要获取后转发：转发至票据摘要需求方"</w:t>
            </w:r>
            <w:r>
              <w:rPr>
                <w:rFonts w:hint="eastAsia"/>
                <w:bCs/>
              </w:rPr>
              <w:br w:type="textWrapping"/>
            </w:r>
            <w:r>
              <w:rPr>
                <w:rFonts w:hint="eastAsia"/>
                <w:bCs/>
              </w:rPr>
              <w:t>本市历史票据获取 报销单位通过“财票链”在上海市财政票据公共服务平台获取财政电子票据摘要信息。</w:t>
            </w:r>
          </w:p>
        </w:tc>
      </w:tr>
      <w:tr w14:paraId="6876922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CBEE91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307685D">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D46D0DD">
            <w:pPr>
              <w:widowControl/>
              <w:spacing w:line="240" w:lineRule="auto"/>
              <w:ind w:firstLine="0" w:firstLineChars="0"/>
              <w:jc w:val="center"/>
              <w:rPr>
                <w:bCs/>
              </w:rPr>
            </w:pPr>
            <w:r>
              <w:rPr>
                <w:rFonts w:hint="eastAsia"/>
                <w:bCs/>
              </w:rPr>
              <w:t>长三角票据共享服务-授权获取服务模块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4812B914">
            <w:pPr>
              <w:widowControl/>
              <w:spacing w:line="240" w:lineRule="auto"/>
              <w:ind w:firstLine="0" w:firstLineChars="0"/>
              <w:rPr>
                <w:bCs/>
              </w:rPr>
            </w:pPr>
            <w:r>
              <w:rPr>
                <w:rFonts w:hint="eastAsia"/>
                <w:bCs/>
              </w:rPr>
              <w:t>按长三角2.0授权获取服务标准开发服务能力</w:t>
            </w:r>
            <w:r>
              <w:rPr>
                <w:rFonts w:hint="eastAsia"/>
                <w:bCs/>
              </w:rPr>
              <w:br w:type="textWrapping"/>
            </w:r>
            <w:r>
              <w:rPr>
                <w:rFonts w:hint="eastAsia"/>
                <w:bCs/>
              </w:rPr>
              <w:t>外省市授权拉取：调用授权获取服务拉取授权人与报销单位签订的授权协议文件</w:t>
            </w:r>
            <w:r>
              <w:rPr>
                <w:rFonts w:hint="eastAsia"/>
                <w:bCs/>
              </w:rPr>
              <w:br w:type="textWrapping"/>
            </w:r>
            <w:r>
              <w:rPr>
                <w:rFonts w:hint="eastAsia"/>
                <w:bCs/>
              </w:rPr>
              <w:t>授权文件本地存储：从外省市拉取到的协议文件进行存储</w:t>
            </w:r>
            <w:r>
              <w:rPr>
                <w:rFonts w:hint="eastAsia"/>
                <w:bCs/>
              </w:rPr>
              <w:br w:type="textWrapping"/>
            </w:r>
            <w:r>
              <w:rPr>
                <w:rFonts w:hint="eastAsia"/>
                <w:bCs/>
              </w:rPr>
              <w:t>本市授权凭证推送：本省市授权凭证推送至长三角共享平台</w:t>
            </w:r>
            <w:r>
              <w:rPr>
                <w:rFonts w:hint="eastAsia"/>
                <w:bCs/>
              </w:rPr>
              <w:br w:type="textWrapping"/>
            </w:r>
            <w:r>
              <w:rPr>
                <w:rFonts w:hint="eastAsia"/>
                <w:bCs/>
              </w:rPr>
              <w:t>授权文件签署及推送：支持本市报销机构调用授权文件签署共性能力，供用户方进行在线签署，签署完成后的文件可作为授权文件传递给需求省市"</w:t>
            </w:r>
          </w:p>
        </w:tc>
      </w:tr>
      <w:tr w14:paraId="4AFE5E8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15DF518">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C6AB6B3">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C53E5A8">
            <w:pPr>
              <w:widowControl/>
              <w:spacing w:line="240" w:lineRule="auto"/>
              <w:ind w:firstLine="0" w:firstLineChars="0"/>
              <w:jc w:val="center"/>
              <w:rPr>
                <w:bCs/>
              </w:rPr>
            </w:pPr>
            <w:r>
              <w:rPr>
                <w:rFonts w:hint="eastAsia"/>
                <w:bCs/>
              </w:rPr>
              <w:t>长三角票据共享服务-文件获取服务模块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1693AA4F">
            <w:pPr>
              <w:widowControl/>
              <w:spacing w:line="240" w:lineRule="auto"/>
              <w:ind w:firstLine="0" w:firstLineChars="0"/>
              <w:rPr>
                <w:bCs/>
              </w:rPr>
            </w:pPr>
            <w:r>
              <w:rPr>
                <w:rFonts w:hint="eastAsia"/>
                <w:bCs/>
              </w:rPr>
              <w:t>按长三角2.0文件获取服务标准开发服务能力</w:t>
            </w:r>
            <w:r>
              <w:rPr>
                <w:rFonts w:hint="eastAsia"/>
                <w:bCs/>
              </w:rPr>
              <w:br w:type="textWrapping"/>
            </w:r>
            <w:r>
              <w:rPr>
                <w:rFonts w:hint="eastAsia"/>
                <w:bCs/>
              </w:rPr>
              <w:t>文件获取和推送：本市文件获取：获取票据PDF文件，并通过接口传递至外省市，提供异步传输能力。</w:t>
            </w:r>
            <w:r>
              <w:rPr>
                <w:rFonts w:hint="eastAsia"/>
                <w:bCs/>
              </w:rPr>
              <w:br w:type="textWrapping"/>
            </w:r>
            <w:r>
              <w:rPr>
                <w:rFonts w:hint="eastAsia"/>
                <w:bCs/>
              </w:rPr>
              <w:t>外省市文件获取：通过融合接口获取外省市对应票据的PDF文件，比对业务流水号，确保流水号一致。</w:t>
            </w:r>
            <w:r>
              <w:rPr>
                <w:rFonts w:hint="eastAsia"/>
                <w:bCs/>
              </w:rPr>
              <w:br w:type="textWrapping"/>
            </w:r>
            <w:r>
              <w:rPr>
                <w:rFonts w:hint="eastAsia"/>
                <w:bCs/>
              </w:rPr>
              <w:t>本市历史票据文件获取 ：报销单位通过“财票链”在公共服务平台获取财政电子票据文件。</w:t>
            </w:r>
          </w:p>
        </w:tc>
      </w:tr>
      <w:tr w14:paraId="73EA68D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45BA06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1A5F6DD">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C7C192E">
            <w:pPr>
              <w:widowControl/>
              <w:spacing w:line="240" w:lineRule="auto"/>
              <w:ind w:firstLine="0" w:firstLineChars="0"/>
              <w:jc w:val="center"/>
              <w:rPr>
                <w:bCs/>
              </w:rPr>
            </w:pPr>
            <w:r>
              <w:rPr>
                <w:rFonts w:hint="eastAsia"/>
                <w:bCs/>
              </w:rPr>
              <w:t>长三角票据共享服务-发起报销服务模块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67B5910B">
            <w:pPr>
              <w:widowControl/>
              <w:spacing w:line="240" w:lineRule="auto"/>
              <w:ind w:firstLine="0" w:firstLineChars="0"/>
              <w:rPr>
                <w:bCs/>
              </w:rPr>
            </w:pPr>
            <w:r>
              <w:rPr>
                <w:rFonts w:hint="eastAsia"/>
                <w:bCs/>
              </w:rPr>
              <w:t>按长三角2.0发起报销服务标准开发服务能力</w:t>
            </w:r>
            <w:r>
              <w:rPr>
                <w:rFonts w:hint="eastAsia"/>
                <w:bCs/>
              </w:rPr>
              <w:br w:type="textWrapping"/>
            </w:r>
            <w:r>
              <w:rPr>
                <w:rFonts w:hint="eastAsia"/>
                <w:bCs/>
              </w:rPr>
              <w:t>本市发起报销服务：通过接口能力发起报销服务并通过长三角平台调用开票省市接口通知票据锁定</w:t>
            </w:r>
            <w:r>
              <w:rPr>
                <w:rFonts w:hint="eastAsia"/>
                <w:bCs/>
              </w:rPr>
              <w:br w:type="textWrapping"/>
            </w:r>
            <w:r>
              <w:rPr>
                <w:rFonts w:hint="eastAsia"/>
                <w:bCs/>
              </w:rPr>
              <w:t>获取外省市发起报销服务信息：对接融合接口获取外省市发起报销服务信息，进行票据锁定</w:t>
            </w:r>
            <w:r>
              <w:rPr>
                <w:rFonts w:hint="eastAsia"/>
                <w:bCs/>
              </w:rPr>
              <w:br w:type="textWrapping"/>
            </w:r>
            <w:r>
              <w:rPr>
                <w:rFonts w:hint="eastAsia"/>
                <w:bCs/>
              </w:rPr>
              <w:t>外省市发起报销服务后票据锁定：外省市发起票据后，票据状态链上变更为锁定"</w:t>
            </w:r>
            <w:r>
              <w:rPr>
                <w:rFonts w:hint="eastAsia"/>
                <w:bCs/>
              </w:rPr>
              <w:br w:type="textWrapping"/>
            </w:r>
            <w:r>
              <w:rPr>
                <w:rFonts w:hint="eastAsia"/>
                <w:bCs/>
              </w:rPr>
              <w:t>本市历史票据锁定：报销单位通过“财票链”在公共服务平台发起报销请求，进行锁定、解锁等相关服务。</w:t>
            </w:r>
          </w:p>
        </w:tc>
      </w:tr>
      <w:tr w14:paraId="10F0F39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C8B9E64">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0C3B72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BCABD50">
            <w:pPr>
              <w:widowControl/>
              <w:spacing w:line="240" w:lineRule="auto"/>
              <w:ind w:firstLine="0" w:firstLineChars="0"/>
              <w:jc w:val="center"/>
              <w:rPr>
                <w:bCs/>
              </w:rPr>
            </w:pPr>
            <w:r>
              <w:rPr>
                <w:rFonts w:hint="eastAsia"/>
                <w:bCs/>
              </w:rPr>
              <w:t>长三角票据共享服务-报销结果同步模块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5B5E0CCF">
            <w:pPr>
              <w:widowControl/>
              <w:spacing w:line="240" w:lineRule="auto"/>
              <w:ind w:firstLine="0" w:firstLineChars="0"/>
              <w:rPr>
                <w:bCs/>
              </w:rPr>
            </w:pPr>
            <w:r>
              <w:rPr>
                <w:rFonts w:hint="eastAsia"/>
                <w:bCs/>
              </w:rPr>
              <w:t>按长三角2.0报销结果同步标准开发服务能力</w:t>
            </w:r>
            <w:r>
              <w:rPr>
                <w:rFonts w:hint="eastAsia"/>
                <w:bCs/>
              </w:rPr>
              <w:br w:type="textWrapping"/>
            </w:r>
            <w:r>
              <w:rPr>
                <w:rFonts w:hint="eastAsia"/>
                <w:bCs/>
              </w:rPr>
              <w:t>本市报销结果推送：推送报销结果至开票省市</w:t>
            </w:r>
            <w:r>
              <w:rPr>
                <w:rFonts w:hint="eastAsia"/>
                <w:bCs/>
              </w:rPr>
              <w:br w:type="textWrapping"/>
            </w:r>
            <w:r>
              <w:rPr>
                <w:rFonts w:hint="eastAsia"/>
                <w:bCs/>
              </w:rPr>
              <w:t>获取外省市报销结果信息：对接融合接口获取外省市报销结果信息，并解锁票据</w:t>
            </w:r>
            <w:r>
              <w:rPr>
                <w:rFonts w:hint="eastAsia"/>
                <w:bCs/>
              </w:rPr>
              <w:br w:type="textWrapping"/>
            </w:r>
            <w:r>
              <w:rPr>
                <w:rFonts w:hint="eastAsia"/>
                <w:bCs/>
              </w:rPr>
              <w:t>获取外省市报销结果后票据解锁：对接融合接口获取外省市发起报销服务信息，进行票据解锁</w:t>
            </w:r>
            <w:r>
              <w:rPr>
                <w:rFonts w:hint="eastAsia"/>
                <w:bCs/>
              </w:rPr>
              <w:br w:type="textWrapping"/>
            </w:r>
            <w:r>
              <w:rPr>
                <w:rFonts w:hint="eastAsia"/>
                <w:bCs/>
              </w:rPr>
              <w:t>外省市报销结果回写：外省市报销处理完成后回写本地链上及关联系统"</w:t>
            </w:r>
            <w:r>
              <w:rPr>
                <w:rFonts w:hint="eastAsia"/>
                <w:bCs/>
              </w:rPr>
              <w:br w:type="textWrapping"/>
            </w:r>
            <w:r>
              <w:rPr>
                <w:rFonts w:hint="eastAsia"/>
                <w:bCs/>
              </w:rPr>
              <w:t>本市历史票据报销结果反馈：报销单位通过“财票链”在公共服务平台反馈报销结果。</w:t>
            </w:r>
          </w:p>
        </w:tc>
      </w:tr>
      <w:tr w14:paraId="20F04BC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CC115D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29154B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B08B820">
            <w:pPr>
              <w:widowControl/>
              <w:spacing w:line="240" w:lineRule="auto"/>
              <w:ind w:firstLine="0" w:firstLineChars="0"/>
              <w:jc w:val="center"/>
              <w:rPr>
                <w:bCs/>
              </w:rPr>
            </w:pPr>
            <w:r>
              <w:rPr>
                <w:rFonts w:hint="eastAsia"/>
                <w:bCs/>
              </w:rPr>
              <w:t>长三角票据共享服务-共享过程存证模块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571E4287">
            <w:pPr>
              <w:widowControl/>
              <w:spacing w:line="240" w:lineRule="auto"/>
              <w:ind w:firstLine="0" w:firstLineChars="0"/>
              <w:rPr>
                <w:bCs/>
              </w:rPr>
            </w:pPr>
            <w:r>
              <w:rPr>
                <w:rFonts w:hint="eastAsia"/>
                <w:bCs/>
              </w:rPr>
              <w:t>过程数据hash处理：接口调用过程日志数据进行hash处理</w:t>
            </w:r>
            <w:r>
              <w:rPr>
                <w:rFonts w:hint="eastAsia"/>
                <w:bCs/>
              </w:rPr>
              <w:br w:type="textWrapping"/>
            </w:r>
            <w:r>
              <w:rPr>
                <w:rFonts w:hint="eastAsia"/>
                <w:bCs/>
              </w:rPr>
              <w:t>hash存证：调用存证链接口进行hash存证</w:t>
            </w:r>
            <w:r>
              <w:rPr>
                <w:rFonts w:hint="eastAsia"/>
                <w:bCs/>
              </w:rPr>
              <w:br w:type="textWrapping"/>
            </w:r>
            <w:r>
              <w:rPr>
                <w:rFonts w:hint="eastAsia"/>
                <w:bCs/>
              </w:rPr>
              <w:t>存证记录留存：存证返回记录留存本地，待后续核验使用</w:t>
            </w:r>
          </w:p>
        </w:tc>
      </w:tr>
      <w:tr w14:paraId="0360C88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6A76D9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CE118A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801723A">
            <w:pPr>
              <w:widowControl/>
              <w:spacing w:line="240" w:lineRule="auto"/>
              <w:ind w:firstLine="0" w:firstLineChars="0"/>
              <w:jc w:val="center"/>
              <w:rPr>
                <w:bCs/>
              </w:rPr>
            </w:pPr>
            <w:r>
              <w:rPr>
                <w:rFonts w:hint="eastAsia"/>
                <w:bCs/>
              </w:rPr>
              <w:t>长三角票据共享服务-报文封装模块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003C6F83">
            <w:pPr>
              <w:widowControl/>
              <w:spacing w:line="240" w:lineRule="auto"/>
              <w:ind w:firstLine="0" w:firstLineChars="0"/>
              <w:rPr>
                <w:bCs/>
              </w:rPr>
            </w:pPr>
            <w:r>
              <w:rPr>
                <w:rFonts w:hint="eastAsia"/>
                <w:bCs/>
              </w:rPr>
              <w:t>提供基于长三角2.0标准，进行各服务模块报文封装，设置通用响应、异常响应等响应报文模版</w:t>
            </w:r>
          </w:p>
        </w:tc>
      </w:tr>
      <w:tr w14:paraId="29FABBD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C557F3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7BD9A9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F5FFF49">
            <w:pPr>
              <w:widowControl/>
              <w:spacing w:line="240" w:lineRule="auto"/>
              <w:ind w:firstLine="0" w:firstLineChars="0"/>
              <w:jc w:val="center"/>
              <w:rPr>
                <w:bCs/>
              </w:rPr>
            </w:pPr>
            <w:r>
              <w:rPr>
                <w:rFonts w:hint="eastAsia"/>
                <w:bCs/>
              </w:rPr>
              <w:t>长三角票据共享服务-业务接入端服务交互</w:t>
            </w:r>
          </w:p>
        </w:tc>
        <w:tc>
          <w:tcPr>
            <w:tcW w:w="2908" w:type="pct"/>
            <w:tcBorders>
              <w:top w:val="single" w:color="000000" w:sz="4" w:space="0"/>
              <w:left w:val="single" w:color="000000" w:sz="4" w:space="0"/>
              <w:bottom w:val="single" w:color="000000" w:sz="4" w:space="0"/>
              <w:right w:val="single" w:color="000000" w:sz="4" w:space="0"/>
            </w:tcBorders>
            <w:vAlign w:val="center"/>
          </w:tcPr>
          <w:p w14:paraId="0FE45A2E">
            <w:pPr>
              <w:widowControl/>
              <w:spacing w:line="240" w:lineRule="auto"/>
              <w:ind w:firstLine="0" w:firstLineChars="0"/>
              <w:rPr>
                <w:bCs/>
              </w:rPr>
            </w:pPr>
            <w:r>
              <w:rPr>
                <w:rFonts w:hint="eastAsia"/>
                <w:bCs/>
              </w:rPr>
              <w:t>提供与业务接入端交互服务能力，报销单位有长三角跨省报销需求时，支持业务接入端发起长三角跨省报销业务，调用各服务能力。</w:t>
            </w:r>
          </w:p>
        </w:tc>
      </w:tr>
      <w:tr w14:paraId="725CD21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7C3C49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C65B71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0A50BC9">
            <w:pPr>
              <w:widowControl/>
              <w:spacing w:line="240" w:lineRule="auto"/>
              <w:ind w:firstLine="0" w:firstLineChars="0"/>
              <w:jc w:val="center"/>
              <w:rPr>
                <w:bCs/>
              </w:rPr>
            </w:pPr>
            <w:r>
              <w:rPr>
                <w:rFonts w:hint="eastAsia"/>
                <w:bCs/>
              </w:rPr>
              <w:t>区块链共性能力应用-上海市政务存证链接入适配-对接存证链哈希存证能力</w:t>
            </w:r>
          </w:p>
        </w:tc>
        <w:tc>
          <w:tcPr>
            <w:tcW w:w="2908" w:type="pct"/>
            <w:tcBorders>
              <w:top w:val="single" w:color="000000" w:sz="4" w:space="0"/>
              <w:left w:val="single" w:color="000000" w:sz="4" w:space="0"/>
              <w:bottom w:val="single" w:color="000000" w:sz="4" w:space="0"/>
              <w:right w:val="single" w:color="000000" w:sz="4" w:space="0"/>
            </w:tcBorders>
            <w:vAlign w:val="center"/>
          </w:tcPr>
          <w:p w14:paraId="21517436">
            <w:pPr>
              <w:widowControl/>
              <w:spacing w:line="240" w:lineRule="auto"/>
              <w:ind w:firstLine="0" w:firstLineChars="0"/>
              <w:rPr>
                <w:bCs/>
              </w:rPr>
            </w:pPr>
            <w:r>
              <w:rPr>
                <w:rFonts w:hint="eastAsia"/>
                <w:bCs/>
              </w:rPr>
              <w:t>注册准入信息、开通信息、长三角备案、长三角开通等需存证的信息，进行哈希处理后，对接存证链进行存证。</w:t>
            </w:r>
          </w:p>
        </w:tc>
      </w:tr>
      <w:tr w14:paraId="45C412A3">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A660591">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46FF193">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D72B9D4">
            <w:pPr>
              <w:widowControl/>
              <w:spacing w:line="240" w:lineRule="auto"/>
              <w:ind w:firstLine="0" w:firstLineChars="0"/>
              <w:jc w:val="center"/>
              <w:rPr>
                <w:bCs/>
              </w:rPr>
            </w:pPr>
            <w:r>
              <w:rPr>
                <w:rFonts w:hint="eastAsia"/>
                <w:bCs/>
              </w:rPr>
              <w:t>区块链共性能力应用-上海市政务存证链接入适配-对接存证链原文存证能力</w:t>
            </w:r>
          </w:p>
        </w:tc>
        <w:tc>
          <w:tcPr>
            <w:tcW w:w="2908" w:type="pct"/>
            <w:tcBorders>
              <w:top w:val="single" w:color="000000" w:sz="4" w:space="0"/>
              <w:left w:val="single" w:color="000000" w:sz="4" w:space="0"/>
              <w:bottom w:val="single" w:color="000000" w:sz="4" w:space="0"/>
              <w:right w:val="single" w:color="000000" w:sz="4" w:space="0"/>
            </w:tcBorders>
            <w:vAlign w:val="center"/>
          </w:tcPr>
          <w:p w14:paraId="48D677A2">
            <w:pPr>
              <w:widowControl/>
              <w:spacing w:line="240" w:lineRule="auto"/>
              <w:ind w:firstLine="0" w:firstLineChars="0"/>
              <w:rPr>
                <w:bCs/>
              </w:rPr>
            </w:pPr>
            <w:r>
              <w:rPr>
                <w:rFonts w:hint="eastAsia"/>
                <w:bCs/>
              </w:rPr>
              <w:t>本地报销机构传递的授权文件、长三角跨省报销服务接收的授权文件对接存证链原文存证能力，进行原文存证</w:t>
            </w:r>
          </w:p>
        </w:tc>
      </w:tr>
      <w:tr w14:paraId="4DB57A11">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FDAC01E">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27C208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5B6551C">
            <w:pPr>
              <w:widowControl/>
              <w:spacing w:line="240" w:lineRule="auto"/>
              <w:ind w:firstLine="0" w:firstLineChars="0"/>
              <w:jc w:val="center"/>
              <w:rPr>
                <w:bCs/>
              </w:rPr>
            </w:pPr>
            <w:r>
              <w:rPr>
                <w:rFonts w:hint="eastAsia"/>
                <w:bCs/>
              </w:rPr>
              <w:t>区块链共性能力应用-上海市政务存证链接入适配-对接存证链查询核验能力</w:t>
            </w:r>
          </w:p>
        </w:tc>
        <w:tc>
          <w:tcPr>
            <w:tcW w:w="2908" w:type="pct"/>
            <w:tcBorders>
              <w:top w:val="single" w:color="000000" w:sz="4" w:space="0"/>
              <w:left w:val="single" w:color="000000" w:sz="4" w:space="0"/>
              <w:bottom w:val="single" w:color="000000" w:sz="4" w:space="0"/>
              <w:right w:val="single" w:color="000000" w:sz="4" w:space="0"/>
            </w:tcBorders>
            <w:vAlign w:val="center"/>
          </w:tcPr>
          <w:p w14:paraId="75A71238">
            <w:pPr>
              <w:widowControl/>
              <w:spacing w:line="240" w:lineRule="auto"/>
              <w:ind w:firstLine="0" w:firstLineChars="0"/>
              <w:rPr>
                <w:bCs/>
              </w:rPr>
            </w:pPr>
            <w:r>
              <w:rPr>
                <w:rFonts w:hint="eastAsia"/>
                <w:bCs/>
              </w:rPr>
              <w:t>对接存证链查询核验能力，查询核验结果留存本地</w:t>
            </w:r>
          </w:p>
        </w:tc>
      </w:tr>
      <w:tr w14:paraId="17780E2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6A53AD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B34A4A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656C08C">
            <w:pPr>
              <w:widowControl/>
              <w:spacing w:line="240" w:lineRule="auto"/>
              <w:ind w:firstLine="0" w:firstLineChars="0"/>
              <w:jc w:val="center"/>
              <w:rPr>
                <w:bCs/>
              </w:rPr>
            </w:pPr>
            <w:r>
              <w:rPr>
                <w:rFonts w:hint="eastAsia"/>
                <w:bCs/>
              </w:rPr>
              <w:t>区块链共性能力应用-上海市政务签署链接入适配-对接发起签署能力</w:t>
            </w:r>
          </w:p>
        </w:tc>
        <w:tc>
          <w:tcPr>
            <w:tcW w:w="2908" w:type="pct"/>
            <w:tcBorders>
              <w:top w:val="single" w:color="000000" w:sz="4" w:space="0"/>
              <w:left w:val="single" w:color="000000" w:sz="4" w:space="0"/>
              <w:bottom w:val="single" w:color="000000" w:sz="4" w:space="0"/>
              <w:right w:val="single" w:color="000000" w:sz="4" w:space="0"/>
            </w:tcBorders>
            <w:vAlign w:val="center"/>
          </w:tcPr>
          <w:p w14:paraId="1931917F">
            <w:pPr>
              <w:widowControl/>
              <w:spacing w:line="240" w:lineRule="auto"/>
              <w:ind w:firstLine="0" w:firstLineChars="0"/>
              <w:rPr>
                <w:bCs/>
              </w:rPr>
            </w:pPr>
            <w:r>
              <w:rPr>
                <w:rFonts w:hint="eastAsia"/>
                <w:bCs/>
              </w:rPr>
              <w:t>提供签署链签署服务模版服务、发起签署服务能力对接，实现基于标准授权模版发起签署</w:t>
            </w:r>
          </w:p>
        </w:tc>
      </w:tr>
      <w:tr w14:paraId="60F9DF2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7A65A7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CEFB2E3">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15909E1">
            <w:pPr>
              <w:widowControl/>
              <w:spacing w:line="240" w:lineRule="auto"/>
              <w:ind w:firstLine="0" w:firstLineChars="0"/>
              <w:jc w:val="center"/>
              <w:rPr>
                <w:bCs/>
              </w:rPr>
            </w:pPr>
            <w:r>
              <w:rPr>
                <w:rFonts w:hint="eastAsia"/>
                <w:bCs/>
              </w:rPr>
              <w:t>区块链共性能力应用-上海市政务签署链接入适配-对接签署能力</w:t>
            </w:r>
          </w:p>
        </w:tc>
        <w:tc>
          <w:tcPr>
            <w:tcW w:w="2908" w:type="pct"/>
            <w:tcBorders>
              <w:top w:val="single" w:color="000000" w:sz="4" w:space="0"/>
              <w:left w:val="single" w:color="000000" w:sz="4" w:space="0"/>
              <w:bottom w:val="single" w:color="000000" w:sz="4" w:space="0"/>
              <w:right w:val="single" w:color="000000" w:sz="4" w:space="0"/>
            </w:tcBorders>
            <w:vAlign w:val="center"/>
          </w:tcPr>
          <w:p w14:paraId="0A0AAB6E">
            <w:pPr>
              <w:widowControl/>
              <w:spacing w:line="240" w:lineRule="auto"/>
              <w:ind w:firstLine="0" w:firstLineChars="0"/>
              <w:rPr>
                <w:bCs/>
              </w:rPr>
            </w:pPr>
            <w:r>
              <w:rPr>
                <w:rFonts w:hint="eastAsia"/>
                <w:bCs/>
              </w:rPr>
              <w:t>提供签署链签署服务的能力对接，实现发起签署、签署文件下载、签署报告下载等功能。</w:t>
            </w:r>
          </w:p>
        </w:tc>
      </w:tr>
      <w:tr w14:paraId="7F90947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9545EF6">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FD7C81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C1649F5">
            <w:pPr>
              <w:widowControl/>
              <w:spacing w:line="240" w:lineRule="auto"/>
              <w:ind w:firstLine="0" w:firstLineChars="0"/>
              <w:jc w:val="center"/>
              <w:rPr>
                <w:bCs/>
              </w:rPr>
            </w:pPr>
            <w:r>
              <w:rPr>
                <w:rFonts w:hint="eastAsia"/>
                <w:bCs/>
              </w:rPr>
              <w:t>区块链共性能力应用-上海市政务签署链接入适配-对接签署溯源及报告获取能力</w:t>
            </w:r>
          </w:p>
        </w:tc>
        <w:tc>
          <w:tcPr>
            <w:tcW w:w="2908" w:type="pct"/>
            <w:tcBorders>
              <w:top w:val="single" w:color="000000" w:sz="4" w:space="0"/>
              <w:left w:val="single" w:color="000000" w:sz="4" w:space="0"/>
              <w:bottom w:val="single" w:color="000000" w:sz="4" w:space="0"/>
              <w:right w:val="single" w:color="000000" w:sz="4" w:space="0"/>
            </w:tcBorders>
            <w:vAlign w:val="center"/>
          </w:tcPr>
          <w:p w14:paraId="581DB63F">
            <w:pPr>
              <w:widowControl/>
              <w:spacing w:line="240" w:lineRule="auto"/>
              <w:ind w:firstLine="0" w:firstLineChars="0"/>
              <w:rPr>
                <w:bCs/>
              </w:rPr>
            </w:pPr>
            <w:r>
              <w:rPr>
                <w:rFonts w:hint="eastAsia"/>
                <w:bCs/>
              </w:rPr>
              <w:t>提供签署流程溯源功能，可通过签署流程溯源完整还原签署全过程并出具相应报告</w:t>
            </w:r>
          </w:p>
        </w:tc>
      </w:tr>
      <w:tr w14:paraId="6957A13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F94289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90CFEEC">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D4F21A3">
            <w:pPr>
              <w:widowControl/>
              <w:spacing w:line="240" w:lineRule="auto"/>
              <w:ind w:firstLine="0" w:firstLineChars="0"/>
              <w:jc w:val="center"/>
              <w:rPr>
                <w:bCs/>
              </w:rPr>
            </w:pPr>
            <w:r>
              <w:rPr>
                <w:rFonts w:hint="eastAsia"/>
                <w:bCs/>
              </w:rPr>
              <w:t>财票链接入端适配-财票链接入端插件-票据安全与存储模块（票据远端存储安全防护）-票据业务安全组件</w:t>
            </w:r>
          </w:p>
        </w:tc>
        <w:tc>
          <w:tcPr>
            <w:tcW w:w="2908" w:type="pct"/>
            <w:tcBorders>
              <w:top w:val="single" w:color="000000" w:sz="4" w:space="0"/>
              <w:left w:val="single" w:color="000000" w:sz="4" w:space="0"/>
              <w:bottom w:val="single" w:color="000000" w:sz="4" w:space="0"/>
              <w:right w:val="single" w:color="000000" w:sz="4" w:space="0"/>
            </w:tcBorders>
            <w:vAlign w:val="center"/>
          </w:tcPr>
          <w:p w14:paraId="76F08F0B">
            <w:pPr>
              <w:widowControl/>
              <w:spacing w:line="240" w:lineRule="auto"/>
              <w:ind w:firstLine="0" w:firstLineChars="0"/>
              <w:rPr>
                <w:bCs/>
              </w:rPr>
            </w:pPr>
            <w:r>
              <w:rPr>
                <w:rFonts w:hint="eastAsia"/>
                <w:bCs/>
              </w:rPr>
              <w:t>提供票据安全组件，提供单位基于硬件的安全保障能力，对票据的生成、传输、存储和使用等各个环节进行全方位的安全管控。</w:t>
            </w:r>
          </w:p>
        </w:tc>
      </w:tr>
      <w:tr w14:paraId="2D5BB95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A517F94">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5205A0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AAEFC62">
            <w:pPr>
              <w:widowControl/>
              <w:spacing w:line="240" w:lineRule="auto"/>
              <w:ind w:firstLine="0" w:firstLineChars="0"/>
              <w:jc w:val="center"/>
              <w:rPr>
                <w:bCs/>
              </w:rPr>
            </w:pPr>
            <w:r>
              <w:rPr>
                <w:rFonts w:hint="eastAsia"/>
                <w:bCs/>
              </w:rPr>
              <w:t>财票链接入端适配-财票链接入端插件-票据安全与存储模块（票据远端存储安全防护）-票据数据电子确权能力</w:t>
            </w:r>
          </w:p>
        </w:tc>
        <w:tc>
          <w:tcPr>
            <w:tcW w:w="2908" w:type="pct"/>
            <w:tcBorders>
              <w:top w:val="single" w:color="000000" w:sz="4" w:space="0"/>
              <w:left w:val="single" w:color="000000" w:sz="4" w:space="0"/>
              <w:bottom w:val="single" w:color="000000" w:sz="4" w:space="0"/>
              <w:right w:val="single" w:color="000000" w:sz="4" w:space="0"/>
            </w:tcBorders>
            <w:vAlign w:val="center"/>
          </w:tcPr>
          <w:p w14:paraId="51DDFF5D">
            <w:pPr>
              <w:widowControl/>
              <w:spacing w:line="240" w:lineRule="auto"/>
              <w:ind w:firstLine="0" w:firstLineChars="0"/>
              <w:rPr>
                <w:bCs/>
              </w:rPr>
            </w:pPr>
            <w:r>
              <w:rPr>
                <w:rFonts w:hint="eastAsia"/>
                <w:bCs/>
              </w:rPr>
              <w:t>提供票据上链确权，按照严格的格式规范和安全标准生成具有唯一性标识的票据确权信息，确保每一张票据数据都具有不可篡改性</w:t>
            </w:r>
          </w:p>
        </w:tc>
      </w:tr>
      <w:tr w14:paraId="2FA3001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96150E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4DF4F5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3C97373">
            <w:pPr>
              <w:widowControl/>
              <w:spacing w:line="240" w:lineRule="auto"/>
              <w:ind w:firstLine="0" w:firstLineChars="0"/>
              <w:jc w:val="center"/>
              <w:rPr>
                <w:bCs/>
              </w:rPr>
            </w:pPr>
            <w:r>
              <w:rPr>
                <w:rFonts w:hint="eastAsia"/>
                <w:bCs/>
              </w:rPr>
              <w:t>财票链接入端适配-财票链接入端插件-票据安全与存储模块（票据远端存储安全防护）-可认证票据文件生成</w:t>
            </w:r>
          </w:p>
        </w:tc>
        <w:tc>
          <w:tcPr>
            <w:tcW w:w="2908" w:type="pct"/>
            <w:tcBorders>
              <w:top w:val="single" w:color="000000" w:sz="4" w:space="0"/>
              <w:left w:val="single" w:color="000000" w:sz="4" w:space="0"/>
              <w:bottom w:val="single" w:color="000000" w:sz="4" w:space="0"/>
              <w:right w:val="single" w:color="000000" w:sz="4" w:space="0"/>
            </w:tcBorders>
            <w:vAlign w:val="center"/>
          </w:tcPr>
          <w:p w14:paraId="5EDFB08F">
            <w:pPr>
              <w:widowControl/>
              <w:spacing w:line="240" w:lineRule="auto"/>
              <w:ind w:firstLine="0" w:firstLineChars="0"/>
              <w:rPr>
                <w:bCs/>
              </w:rPr>
            </w:pPr>
            <w:r>
              <w:rPr>
                <w:rFonts w:hint="eastAsia"/>
                <w:bCs/>
              </w:rPr>
              <w:t>与开票管理器融合，提供生成可认证票据文件的能力</w:t>
            </w:r>
          </w:p>
        </w:tc>
      </w:tr>
      <w:tr w14:paraId="205D07D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3CE567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5FECA60">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34615DF">
            <w:pPr>
              <w:widowControl/>
              <w:spacing w:line="240" w:lineRule="auto"/>
              <w:ind w:firstLine="0" w:firstLineChars="0"/>
              <w:jc w:val="center"/>
              <w:rPr>
                <w:bCs/>
              </w:rPr>
            </w:pPr>
            <w:r>
              <w:rPr>
                <w:rFonts w:hint="eastAsia"/>
                <w:bCs/>
              </w:rPr>
              <w:t>财票链接入端适配-财票链接入端插件-票据安全与存储模块（票据远端存储安全防护）-票据文件本地存储对接</w:t>
            </w:r>
          </w:p>
        </w:tc>
        <w:tc>
          <w:tcPr>
            <w:tcW w:w="2908" w:type="pct"/>
            <w:tcBorders>
              <w:top w:val="single" w:color="000000" w:sz="4" w:space="0"/>
              <w:left w:val="single" w:color="000000" w:sz="4" w:space="0"/>
              <w:bottom w:val="single" w:color="000000" w:sz="4" w:space="0"/>
              <w:right w:val="single" w:color="000000" w:sz="4" w:space="0"/>
            </w:tcBorders>
            <w:vAlign w:val="center"/>
          </w:tcPr>
          <w:p w14:paraId="0F779058">
            <w:pPr>
              <w:widowControl/>
              <w:spacing w:line="240" w:lineRule="auto"/>
              <w:ind w:firstLine="0" w:firstLineChars="0"/>
              <w:rPr>
                <w:bCs/>
              </w:rPr>
            </w:pPr>
            <w:r>
              <w:rPr>
                <w:rFonts w:hint="eastAsia"/>
                <w:bCs/>
              </w:rPr>
              <w:t>面向开票票据文件数据量大、对数据不出域有需求的用户，提供对接开票端用户本地存储能力，支持开票后票据文件存储于本地存储，支持NAS、文件服务器、OSS存储等方式，开票方需根据财票链规范配置存储</w:t>
            </w:r>
          </w:p>
        </w:tc>
      </w:tr>
      <w:tr w14:paraId="3815592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0FEF99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CBDE30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70FFD51">
            <w:pPr>
              <w:widowControl/>
              <w:spacing w:line="240" w:lineRule="auto"/>
              <w:ind w:firstLine="0" w:firstLineChars="0"/>
              <w:jc w:val="center"/>
              <w:rPr>
                <w:bCs/>
              </w:rPr>
            </w:pPr>
            <w:r>
              <w:rPr>
                <w:rFonts w:hint="eastAsia"/>
                <w:bCs/>
              </w:rPr>
              <w:t>财票链接入端适配-财票链接入端插件-票据安全与存储模块（票据远端存储安全防护）-票据文件远程OSS存储</w:t>
            </w:r>
          </w:p>
        </w:tc>
        <w:tc>
          <w:tcPr>
            <w:tcW w:w="2908" w:type="pct"/>
            <w:tcBorders>
              <w:top w:val="single" w:color="000000" w:sz="4" w:space="0"/>
              <w:left w:val="single" w:color="000000" w:sz="4" w:space="0"/>
              <w:bottom w:val="single" w:color="000000" w:sz="4" w:space="0"/>
              <w:right w:val="single" w:color="000000" w:sz="4" w:space="0"/>
            </w:tcBorders>
            <w:vAlign w:val="center"/>
          </w:tcPr>
          <w:p w14:paraId="134A0326">
            <w:pPr>
              <w:widowControl/>
              <w:spacing w:line="240" w:lineRule="auto"/>
              <w:ind w:firstLine="0" w:firstLineChars="0"/>
              <w:rPr>
                <w:bCs/>
              </w:rPr>
            </w:pPr>
            <w:r>
              <w:rPr>
                <w:rFonts w:hint="eastAsia"/>
                <w:bCs/>
              </w:rPr>
              <w:t>面向开票票据文件数据量小，本地存储空间紧张的用户，提供对象存储空间，以多租户的方式划分并提供票据文件存储能力</w:t>
            </w:r>
          </w:p>
        </w:tc>
      </w:tr>
      <w:tr w14:paraId="784C47B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6BEC51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419293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890E09F">
            <w:pPr>
              <w:widowControl/>
              <w:spacing w:line="240" w:lineRule="auto"/>
              <w:ind w:firstLine="0" w:firstLineChars="0"/>
              <w:jc w:val="center"/>
              <w:rPr>
                <w:bCs/>
              </w:rPr>
            </w:pPr>
            <w:r>
              <w:rPr>
                <w:rFonts w:hint="eastAsia"/>
                <w:bCs/>
              </w:rPr>
              <w:t>财票链接入端适配-财票链接入端插件-票据查询与信息管理模块-基础信息获取功能</w:t>
            </w:r>
          </w:p>
        </w:tc>
        <w:tc>
          <w:tcPr>
            <w:tcW w:w="2908" w:type="pct"/>
            <w:tcBorders>
              <w:top w:val="single" w:color="000000" w:sz="4" w:space="0"/>
              <w:left w:val="single" w:color="000000" w:sz="4" w:space="0"/>
              <w:bottom w:val="single" w:color="000000" w:sz="4" w:space="0"/>
              <w:right w:val="single" w:color="000000" w:sz="4" w:space="0"/>
            </w:tcBorders>
            <w:vAlign w:val="center"/>
          </w:tcPr>
          <w:p w14:paraId="6F532E5C">
            <w:pPr>
              <w:widowControl/>
              <w:spacing w:line="240" w:lineRule="auto"/>
              <w:ind w:firstLine="0" w:firstLineChars="0"/>
              <w:rPr>
                <w:bCs/>
              </w:rPr>
            </w:pPr>
            <w:r>
              <w:rPr>
                <w:rFonts w:hint="eastAsia"/>
                <w:bCs/>
              </w:rPr>
              <w:t>提供单位基础信息获取能力，包含单位可用票据信息、单位可用项目信息。便于单位进行票据管理和使用。单位可获取票据种类、票据代码、收费项目、收费标准信息等内容。</w:t>
            </w:r>
          </w:p>
        </w:tc>
      </w:tr>
      <w:tr w14:paraId="5ECB26F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EF4755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B863E9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C653661">
            <w:pPr>
              <w:widowControl/>
              <w:spacing w:line="240" w:lineRule="auto"/>
              <w:ind w:firstLine="0" w:firstLineChars="0"/>
              <w:jc w:val="center"/>
              <w:rPr>
                <w:bCs/>
              </w:rPr>
            </w:pPr>
            <w:r>
              <w:rPr>
                <w:rFonts w:hint="eastAsia"/>
                <w:bCs/>
              </w:rPr>
              <w:t>财票链接入端适配-财票链接入端插件-票据查询与信息管理模块-库存信息获取功能</w:t>
            </w:r>
          </w:p>
        </w:tc>
        <w:tc>
          <w:tcPr>
            <w:tcW w:w="2908" w:type="pct"/>
            <w:tcBorders>
              <w:top w:val="single" w:color="000000" w:sz="4" w:space="0"/>
              <w:left w:val="single" w:color="000000" w:sz="4" w:space="0"/>
              <w:bottom w:val="single" w:color="000000" w:sz="4" w:space="0"/>
              <w:right w:val="single" w:color="000000" w:sz="4" w:space="0"/>
            </w:tcBorders>
            <w:vAlign w:val="center"/>
          </w:tcPr>
          <w:p w14:paraId="621F7571">
            <w:pPr>
              <w:widowControl/>
              <w:spacing w:line="240" w:lineRule="auto"/>
              <w:ind w:firstLine="0" w:firstLineChars="0"/>
              <w:rPr>
                <w:bCs/>
              </w:rPr>
            </w:pPr>
            <w:r>
              <w:rPr>
                <w:rFonts w:hint="eastAsia"/>
                <w:bCs/>
              </w:rPr>
              <w:t>提供单位库存信息获取能力，包含单位的可用电子票据库存信息、单位向财政部门申领电子票据的功能。可用于单位剩余库存监控，确保票据的充足和合理使用。在单位库存不足时，单位可申请所需的电子票据，以满足票据管理需求。</w:t>
            </w:r>
          </w:p>
        </w:tc>
      </w:tr>
      <w:tr w14:paraId="7D23BFA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62BAE6E">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6AAF8E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511FBA9">
            <w:pPr>
              <w:widowControl/>
              <w:spacing w:line="240" w:lineRule="auto"/>
              <w:ind w:firstLine="0" w:firstLineChars="0"/>
              <w:jc w:val="center"/>
              <w:rPr>
                <w:bCs/>
              </w:rPr>
            </w:pPr>
            <w:r>
              <w:rPr>
                <w:rFonts w:hint="eastAsia"/>
                <w:bCs/>
              </w:rPr>
              <w:t>财票链接入端适配-财票链接入端插件-票据查询与信息管理模块-获取票据信息图片及电子票据H5页面功能</w:t>
            </w:r>
          </w:p>
        </w:tc>
        <w:tc>
          <w:tcPr>
            <w:tcW w:w="2908" w:type="pct"/>
            <w:tcBorders>
              <w:top w:val="single" w:color="000000" w:sz="4" w:space="0"/>
              <w:left w:val="single" w:color="000000" w:sz="4" w:space="0"/>
              <w:bottom w:val="single" w:color="000000" w:sz="4" w:space="0"/>
              <w:right w:val="single" w:color="000000" w:sz="4" w:space="0"/>
            </w:tcBorders>
            <w:vAlign w:val="center"/>
          </w:tcPr>
          <w:p w14:paraId="3D61D94F">
            <w:pPr>
              <w:widowControl/>
              <w:spacing w:line="240" w:lineRule="auto"/>
              <w:ind w:firstLine="0" w:firstLineChars="0"/>
              <w:rPr>
                <w:bCs/>
              </w:rPr>
            </w:pPr>
            <w:r>
              <w:rPr>
                <w:rFonts w:hint="eastAsia"/>
                <w:bCs/>
              </w:rPr>
              <w:t>实现根据票据代码票号关键信息获取票据信息图片的功能。根据票据信息以及票据图片来源获取票据的图片base64字符串，单位解析图片base64内容，可获得直接查看预览的图片文件。单位可根据获取的图片进行打印预览等相关自定义业务。单位也可获取电子票据H5页面URL地址，可将电子票据图片直接内嵌在H5页面,单位可以便捷的使用H5页面进行访问电子票据预览展示页面。</w:t>
            </w:r>
          </w:p>
        </w:tc>
      </w:tr>
      <w:tr w14:paraId="3136195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66DF56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90A6CB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ECE86BE">
            <w:pPr>
              <w:widowControl/>
              <w:spacing w:line="240" w:lineRule="auto"/>
              <w:ind w:firstLine="0" w:firstLineChars="0"/>
              <w:jc w:val="center"/>
              <w:rPr>
                <w:bCs/>
              </w:rPr>
            </w:pPr>
            <w:r>
              <w:rPr>
                <w:rFonts w:hint="eastAsia"/>
                <w:bCs/>
              </w:rPr>
              <w:t>财票链接入端适配-财票链接入端插件-票据查询与信息管理模块-查看单位对接运行情况和数据上传状态</w:t>
            </w:r>
          </w:p>
        </w:tc>
        <w:tc>
          <w:tcPr>
            <w:tcW w:w="2908" w:type="pct"/>
            <w:tcBorders>
              <w:top w:val="single" w:color="000000" w:sz="4" w:space="0"/>
              <w:left w:val="single" w:color="000000" w:sz="4" w:space="0"/>
              <w:bottom w:val="single" w:color="000000" w:sz="4" w:space="0"/>
              <w:right w:val="single" w:color="000000" w:sz="4" w:space="0"/>
            </w:tcBorders>
            <w:vAlign w:val="center"/>
          </w:tcPr>
          <w:p w14:paraId="50917922">
            <w:pPr>
              <w:widowControl/>
              <w:spacing w:line="240" w:lineRule="auto"/>
              <w:ind w:firstLine="0" w:firstLineChars="0"/>
              <w:rPr>
                <w:bCs/>
              </w:rPr>
            </w:pPr>
            <w:r>
              <w:rPr>
                <w:rFonts w:hint="eastAsia"/>
                <w:bCs/>
              </w:rPr>
              <w:t>实现查看单位对接运行情况和数据上传状态。单位每日基础数据同步、开具票据、数据上报监制、插件服务心跳等业务行为进行状态记录。单位单位可监控单位上传的健康度，确保数据的及时上传和处理。针对长时间未进行业务的异常单位，可自动锁定开票权限。提升自动化管理能力。</w:t>
            </w:r>
          </w:p>
        </w:tc>
      </w:tr>
      <w:tr w14:paraId="4514E32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F8DEA71">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D45F993">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BEAF1C2">
            <w:pPr>
              <w:widowControl/>
              <w:spacing w:line="240" w:lineRule="auto"/>
              <w:ind w:firstLine="0" w:firstLineChars="0"/>
              <w:jc w:val="center"/>
              <w:rPr>
                <w:bCs/>
              </w:rPr>
            </w:pPr>
            <w:r>
              <w:rPr>
                <w:rFonts w:hint="eastAsia"/>
                <w:bCs/>
              </w:rPr>
              <w:t>财票链接入端适配-财票链接入端插件-票据查询与信息管理模块-归档电子票据pdf版式文件</w:t>
            </w:r>
          </w:p>
        </w:tc>
        <w:tc>
          <w:tcPr>
            <w:tcW w:w="2908" w:type="pct"/>
            <w:tcBorders>
              <w:top w:val="single" w:color="000000" w:sz="4" w:space="0"/>
              <w:left w:val="single" w:color="000000" w:sz="4" w:space="0"/>
              <w:bottom w:val="single" w:color="000000" w:sz="4" w:space="0"/>
              <w:right w:val="single" w:color="000000" w:sz="4" w:space="0"/>
            </w:tcBorders>
            <w:vAlign w:val="center"/>
          </w:tcPr>
          <w:p w14:paraId="4BEE9BA5">
            <w:pPr>
              <w:widowControl/>
              <w:spacing w:line="240" w:lineRule="auto"/>
              <w:ind w:firstLine="0" w:firstLineChars="0"/>
              <w:rPr>
                <w:bCs/>
              </w:rPr>
            </w:pPr>
            <w:r>
              <w:rPr>
                <w:rFonts w:hint="eastAsia"/>
                <w:bCs/>
              </w:rPr>
              <w:t>实现下载电子票据pdf版式文件的功能。电子票据pdf是票据监制完成后的最终实体版式文件，区别于仅用于展示的图片信息，单位可获取电子票据的最终版式文件，便于票据的存档、打印或其他交付行为。</w:t>
            </w:r>
          </w:p>
        </w:tc>
      </w:tr>
      <w:tr w14:paraId="7F523BC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F0AD6C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AEB184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E459BAC">
            <w:pPr>
              <w:widowControl/>
              <w:spacing w:line="240" w:lineRule="auto"/>
              <w:ind w:firstLine="0" w:firstLineChars="0"/>
              <w:jc w:val="center"/>
              <w:rPr>
                <w:bCs/>
              </w:rPr>
            </w:pPr>
            <w:r>
              <w:rPr>
                <w:rFonts w:hint="eastAsia"/>
                <w:bCs/>
              </w:rPr>
              <w:t>财票链接入端适配-财票链接入端插件-票据开具与退付模块-开具非税电子票据</w:t>
            </w:r>
          </w:p>
        </w:tc>
        <w:tc>
          <w:tcPr>
            <w:tcW w:w="2908" w:type="pct"/>
            <w:tcBorders>
              <w:top w:val="single" w:color="000000" w:sz="4" w:space="0"/>
              <w:left w:val="single" w:color="000000" w:sz="4" w:space="0"/>
              <w:bottom w:val="single" w:color="000000" w:sz="4" w:space="0"/>
              <w:right w:val="single" w:color="000000" w:sz="4" w:space="0"/>
            </w:tcBorders>
            <w:vAlign w:val="center"/>
          </w:tcPr>
          <w:p w14:paraId="2C544F6C">
            <w:pPr>
              <w:widowControl/>
              <w:spacing w:line="240" w:lineRule="auto"/>
              <w:ind w:firstLine="0" w:firstLineChars="0"/>
              <w:rPr>
                <w:bCs/>
              </w:rPr>
            </w:pPr>
            <w:r>
              <w:rPr>
                <w:rFonts w:hint="eastAsia"/>
                <w:bCs/>
              </w:rPr>
              <w:t>实现开具电子票据的功能。单位可根据业务需求开具电子票据，支持包含带扩展信息的非税电子票据。严格按照电子票据数据标准规范，组装电子票据原文信息，并将电子票据xml原文信息，对接签名服务设备进行电子签名，按标准规范进行单位签名。电子票据开具成功后，返回给单位开具成功的票据要素。</w:t>
            </w:r>
          </w:p>
        </w:tc>
      </w:tr>
      <w:tr w14:paraId="480B1A6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2CFBAB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B21062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6CCE15B">
            <w:pPr>
              <w:widowControl/>
              <w:spacing w:line="240" w:lineRule="auto"/>
              <w:ind w:firstLine="0" w:firstLineChars="0"/>
              <w:jc w:val="center"/>
              <w:rPr>
                <w:bCs/>
              </w:rPr>
            </w:pPr>
            <w:r>
              <w:rPr>
                <w:rFonts w:hint="eastAsia"/>
                <w:bCs/>
              </w:rPr>
              <w:t>财票链接入端适配-财票链接入端插件-票据开具与退付模块-开具医疗电子票据</w:t>
            </w:r>
          </w:p>
        </w:tc>
        <w:tc>
          <w:tcPr>
            <w:tcW w:w="2908" w:type="pct"/>
            <w:tcBorders>
              <w:top w:val="single" w:color="000000" w:sz="4" w:space="0"/>
              <w:left w:val="single" w:color="000000" w:sz="4" w:space="0"/>
              <w:bottom w:val="single" w:color="000000" w:sz="4" w:space="0"/>
              <w:right w:val="single" w:color="000000" w:sz="4" w:space="0"/>
            </w:tcBorders>
            <w:vAlign w:val="center"/>
          </w:tcPr>
          <w:p w14:paraId="3C90D512">
            <w:pPr>
              <w:widowControl/>
              <w:spacing w:line="240" w:lineRule="auto"/>
              <w:ind w:firstLine="0" w:firstLineChars="0"/>
              <w:rPr>
                <w:bCs/>
              </w:rPr>
            </w:pPr>
            <w:r>
              <w:rPr>
                <w:rFonts w:hint="eastAsia"/>
                <w:bCs/>
              </w:rPr>
              <w:t>实现开具带清单明细信息的医疗电子票据，支持包含带医疗清单明细信息,电子票据需包含票据版式文件和清单版式文件，支持项目和清单同页和清单独立页两种版式文件规范。根据电子票据数据标准规范，组装医疗电子票据xml原文信息，并进行单位签名。返回给单位开具成功的医疗票据要素。</w:t>
            </w:r>
          </w:p>
        </w:tc>
      </w:tr>
      <w:tr w14:paraId="35D88B1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B868E8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EA2F863">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A0475F1">
            <w:pPr>
              <w:widowControl/>
              <w:spacing w:line="240" w:lineRule="auto"/>
              <w:ind w:firstLine="0" w:firstLineChars="0"/>
              <w:jc w:val="center"/>
              <w:rPr>
                <w:bCs/>
              </w:rPr>
            </w:pPr>
            <w:r>
              <w:rPr>
                <w:rFonts w:hint="eastAsia"/>
                <w:bCs/>
              </w:rPr>
              <w:t>财票链接入端适配-财票链接入端插件-票据开具与退付模块-批量开具电子票据及结果获取功能</w:t>
            </w:r>
          </w:p>
        </w:tc>
        <w:tc>
          <w:tcPr>
            <w:tcW w:w="2908" w:type="pct"/>
            <w:tcBorders>
              <w:top w:val="single" w:color="000000" w:sz="4" w:space="0"/>
              <w:left w:val="single" w:color="000000" w:sz="4" w:space="0"/>
              <w:bottom w:val="single" w:color="000000" w:sz="4" w:space="0"/>
              <w:right w:val="single" w:color="000000" w:sz="4" w:space="0"/>
            </w:tcBorders>
            <w:vAlign w:val="center"/>
          </w:tcPr>
          <w:p w14:paraId="0C578C26">
            <w:pPr>
              <w:widowControl/>
              <w:spacing w:line="240" w:lineRule="auto"/>
              <w:ind w:firstLine="0" w:firstLineChars="0"/>
              <w:rPr>
                <w:bCs/>
              </w:rPr>
            </w:pPr>
            <w:r>
              <w:rPr>
                <w:rFonts w:hint="eastAsia"/>
                <w:bCs/>
              </w:rPr>
              <w:t>实现批量开具电子票据的功能，包含批量开具电子票据和批量开票情况查询能力。支持一次性开具多张电子票据，适用于大规模业务场景。一个批次最多只能接收500笔。批量开具发送后，单位后续可根据批次号批量查询开票情况的功能。在使用批量开具电子票据功能后，使用本功能对批量开票业务动作的结果进行结果获取，支持一次性查询批次内所有票据的开票状态和相关信息。</w:t>
            </w:r>
          </w:p>
        </w:tc>
      </w:tr>
      <w:tr w14:paraId="26740323">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D056C8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5AD96E5">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0A90082">
            <w:pPr>
              <w:widowControl/>
              <w:spacing w:line="240" w:lineRule="auto"/>
              <w:ind w:firstLine="0" w:firstLineChars="0"/>
              <w:jc w:val="center"/>
              <w:rPr>
                <w:bCs/>
              </w:rPr>
            </w:pPr>
            <w:r>
              <w:rPr>
                <w:rFonts w:hint="eastAsia"/>
                <w:bCs/>
              </w:rPr>
              <w:t>财票链接入端适配-财票链接入端插件-票据开具与退付模块-获取退付开票信息及冲红开票</w:t>
            </w:r>
          </w:p>
        </w:tc>
        <w:tc>
          <w:tcPr>
            <w:tcW w:w="2908" w:type="pct"/>
            <w:tcBorders>
              <w:top w:val="single" w:color="000000" w:sz="4" w:space="0"/>
              <w:left w:val="single" w:color="000000" w:sz="4" w:space="0"/>
              <w:bottom w:val="single" w:color="000000" w:sz="4" w:space="0"/>
              <w:right w:val="single" w:color="000000" w:sz="4" w:space="0"/>
            </w:tcBorders>
            <w:vAlign w:val="center"/>
          </w:tcPr>
          <w:p w14:paraId="546157E7">
            <w:pPr>
              <w:widowControl/>
              <w:spacing w:line="240" w:lineRule="auto"/>
              <w:ind w:firstLine="0" w:firstLineChars="0"/>
              <w:rPr>
                <w:bCs/>
              </w:rPr>
            </w:pPr>
            <w:r>
              <w:rPr>
                <w:rFonts w:hint="eastAsia"/>
                <w:bCs/>
              </w:rPr>
              <w:t>实现查询单位退付且还未冲红的票据信息的功能。在非税退付业务完成后，单位可根据其实日期区间，查询获取退付待冲红开票的票据信息情况，以便进行后续退付冲红处理。</w:t>
            </w:r>
            <w:r>
              <w:rPr>
                <w:rFonts w:hint="eastAsia"/>
                <w:bCs/>
              </w:rPr>
              <w:br w:type="textWrapping"/>
            </w:r>
            <w:r>
              <w:rPr>
                <w:rFonts w:hint="eastAsia"/>
                <w:bCs/>
              </w:rPr>
              <w:t>单位确认已退付未开票信息后，需要对已开具的票据进行退付冲红，退付开具红票成功后，会返回两张票据，一张为负数的全量冲红票据，另一张为新开具的差额票据。实现电子票据冲红、新开电子票据，两个业务同时完成。需对红票、蓝票，两个新增票号分别进行电子票据原文获取、电子签名。电子票据开具成功后，返回两张新票的票据要素。</w:t>
            </w:r>
          </w:p>
        </w:tc>
      </w:tr>
      <w:tr w14:paraId="34ECEA8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84CA35E">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CF6C96A">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AE63B65">
            <w:pPr>
              <w:widowControl/>
              <w:spacing w:line="240" w:lineRule="auto"/>
              <w:ind w:firstLine="0" w:firstLineChars="0"/>
              <w:jc w:val="center"/>
              <w:rPr>
                <w:bCs/>
              </w:rPr>
            </w:pPr>
            <w:r>
              <w:rPr>
                <w:rFonts w:hint="eastAsia"/>
                <w:bCs/>
              </w:rPr>
              <w:t>财票链接入端适配-财票链接入端插件-票据开具与退付模块-开票情况查询</w:t>
            </w:r>
          </w:p>
        </w:tc>
        <w:tc>
          <w:tcPr>
            <w:tcW w:w="2908" w:type="pct"/>
            <w:tcBorders>
              <w:top w:val="single" w:color="000000" w:sz="4" w:space="0"/>
              <w:left w:val="single" w:color="000000" w:sz="4" w:space="0"/>
              <w:bottom w:val="single" w:color="000000" w:sz="4" w:space="0"/>
              <w:right w:val="single" w:color="000000" w:sz="4" w:space="0"/>
            </w:tcBorders>
            <w:vAlign w:val="center"/>
          </w:tcPr>
          <w:p w14:paraId="358B5BF3">
            <w:pPr>
              <w:widowControl/>
              <w:spacing w:line="240" w:lineRule="auto"/>
              <w:ind w:firstLine="0" w:firstLineChars="0"/>
              <w:rPr>
                <w:bCs/>
              </w:rPr>
            </w:pPr>
            <w:r>
              <w:rPr>
                <w:rFonts w:hint="eastAsia"/>
                <w:bCs/>
              </w:rPr>
              <w:t>开票情况查询 实现查询开票情况的功能。单位可根据业务流水号查询特定票据的开票状态和相关信息。</w:t>
            </w:r>
            <w:r>
              <w:rPr>
                <w:rFonts w:hint="eastAsia"/>
                <w:bCs/>
              </w:rPr>
              <w:br w:type="textWrapping"/>
            </w:r>
            <w:r>
              <w:rPr>
                <w:rFonts w:hint="eastAsia"/>
                <w:bCs/>
              </w:rPr>
              <w:t>批量开票情况查询 单位可根据批次号批量查询开票情况的功能。在使用批量开具电子票据功能后，使用本功能对批量开票业务动作的结果进行查，支持一次性查询批次内所有票据的开票状态和相关信息。</w:t>
            </w:r>
            <w:r>
              <w:rPr>
                <w:rFonts w:hint="eastAsia"/>
                <w:bCs/>
              </w:rPr>
              <w:br w:type="textWrapping"/>
            </w:r>
            <w:r>
              <w:rPr>
                <w:rFonts w:hint="eastAsia"/>
                <w:bCs/>
              </w:rPr>
              <w:t>退付待开票情况查询 实现查询单位退付且还未冲红的票据信息的功能。单位可根据其实日期区间，查询获取退付待冲红开票的票据信息情况，以便进行后续退付冲红处理。</w:t>
            </w:r>
          </w:p>
        </w:tc>
      </w:tr>
      <w:tr w14:paraId="5B9B6F0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AD5D32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A35DAAD">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4A88C22">
            <w:pPr>
              <w:widowControl/>
              <w:spacing w:line="240" w:lineRule="auto"/>
              <w:ind w:firstLine="0" w:firstLineChars="0"/>
              <w:jc w:val="center"/>
              <w:rPr>
                <w:bCs/>
              </w:rPr>
            </w:pPr>
            <w:r>
              <w:rPr>
                <w:rFonts w:hint="eastAsia"/>
                <w:bCs/>
              </w:rPr>
              <w:t>财票链接入端适配-财票链接入端插件-电子缴款书管理模块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5C1BE9DE">
            <w:pPr>
              <w:widowControl/>
              <w:spacing w:line="240" w:lineRule="auto"/>
              <w:ind w:firstLine="0" w:firstLineChars="0"/>
              <w:rPr>
                <w:bCs/>
              </w:rPr>
            </w:pPr>
            <w:r>
              <w:rPr>
                <w:rFonts w:hint="eastAsia"/>
                <w:bCs/>
              </w:rPr>
              <w:t>预开具电子缴款书（通知） 实现预开具电子缴款书并发送通知的功能。单位可在未缴款前开具电子缴款书，仅具备通知功能。预开具的电子缴款书，支持带业务扩展信息，并严格按照电子票据数据标准规范，组织电子缴款书XBRL原文数据，按标准规范进行单位签名。预开具电子缴款书成功后，返回给单位开具成功的电子缴款书要素。</w:t>
            </w:r>
            <w:r>
              <w:rPr>
                <w:rFonts w:hint="eastAsia"/>
                <w:bCs/>
              </w:rPr>
              <w:br w:type="textWrapping"/>
            </w:r>
            <w:r>
              <w:rPr>
                <w:rFonts w:hint="eastAsia"/>
                <w:bCs/>
              </w:rPr>
              <w:t>获取预开具电子缴款书png/pdf信息 预开具电子缴款书成功，但未缴款之前需支持预览获取电子缴款书的图片，可用于单位通知缴款。实现获取预开具的电子缴款书图片信息的功能,单位可根据电子缴款书的票据代码票号获取预开具的电子缴款书png/pdf信息base64字符串。</w:t>
            </w:r>
            <w:r>
              <w:rPr>
                <w:rFonts w:hint="eastAsia"/>
                <w:bCs/>
              </w:rPr>
              <w:br w:type="textWrapping"/>
            </w:r>
            <w:r>
              <w:rPr>
                <w:rFonts w:hint="eastAsia"/>
                <w:bCs/>
              </w:rPr>
              <w:t>生成完整电子缴款书（凭证） 实现在缴款确认后生成完整电子缴款书的功能。单位可在缴款人缴款成功后，进行电子缴款书监制，形成完整的电子缴款书数据。生成具有法律效力的电子缴款书凭证。</w:t>
            </w:r>
            <w:r>
              <w:rPr>
                <w:rFonts w:hint="eastAsia"/>
                <w:bCs/>
              </w:rPr>
              <w:br w:type="textWrapping"/>
            </w:r>
            <w:r>
              <w:rPr>
                <w:rFonts w:hint="eastAsia"/>
                <w:bCs/>
              </w:rPr>
              <w:t>开具电子缴款书（直接开具） 实现直接开具电子缴款书的功能。单位可直接开具电子缴款书，适用于即时缴款场景。需按照电子票据数据标准规范，组织电子缴款书XBRL原文数据，进行单位签名和财政监制。生成具有法律效力的电子缴款书凭证。</w:t>
            </w:r>
            <w:r>
              <w:rPr>
                <w:rFonts w:hint="eastAsia"/>
                <w:bCs/>
              </w:rPr>
              <w:br w:type="textWrapping"/>
            </w:r>
            <w:r>
              <w:rPr>
                <w:rFonts w:hint="eastAsia"/>
                <w:bCs/>
              </w:rPr>
              <w:t>冲红电子缴款书 实现冲红电子缴款书的功能。当需要对已开具的电子缴款书进行退付时，退付开具红票成功后，会返回两张票据，一张为负数的全量冲红票据，另一张为新开具的差额票据。</w:t>
            </w:r>
            <w:r>
              <w:rPr>
                <w:rFonts w:hint="eastAsia"/>
                <w:bCs/>
              </w:rPr>
              <w:br w:type="textWrapping"/>
            </w:r>
            <w:r>
              <w:rPr>
                <w:rFonts w:hint="eastAsia"/>
                <w:bCs/>
              </w:rPr>
              <w:t>作废电子缴款书 实现作废电子缴款书的功能。单位可作废预开具未缴款的电子缴款书。</w:t>
            </w:r>
          </w:p>
        </w:tc>
      </w:tr>
      <w:tr w14:paraId="2419475F">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FA475BE">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21D4F04">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13287018">
            <w:pPr>
              <w:widowControl/>
              <w:spacing w:line="240" w:lineRule="auto"/>
              <w:ind w:firstLine="0" w:firstLineChars="0"/>
              <w:jc w:val="center"/>
              <w:rPr>
                <w:bCs/>
              </w:rPr>
            </w:pPr>
            <w:r>
              <w:rPr>
                <w:rFonts w:hint="eastAsia"/>
                <w:bCs/>
              </w:rPr>
              <w:t>财票链接入端适配-接入端状态监测探针</w:t>
            </w:r>
          </w:p>
        </w:tc>
        <w:tc>
          <w:tcPr>
            <w:tcW w:w="2908" w:type="pct"/>
            <w:tcBorders>
              <w:top w:val="single" w:color="000000" w:sz="4" w:space="0"/>
              <w:left w:val="single" w:color="000000" w:sz="4" w:space="0"/>
              <w:bottom w:val="single" w:color="000000" w:sz="4" w:space="0"/>
              <w:right w:val="single" w:color="000000" w:sz="4" w:space="0"/>
            </w:tcBorders>
            <w:vAlign w:val="center"/>
          </w:tcPr>
          <w:p w14:paraId="505D7A3D">
            <w:pPr>
              <w:widowControl/>
              <w:spacing w:line="240" w:lineRule="auto"/>
              <w:ind w:firstLine="0" w:firstLineChars="0"/>
              <w:rPr>
                <w:bCs/>
              </w:rPr>
            </w:pPr>
            <w:r>
              <w:rPr>
                <w:rFonts w:hint="eastAsia"/>
                <w:bCs/>
              </w:rPr>
              <w:t>接入端链路状态监测 通过心跳包方式，监测与开票财政端平台、与开票方业务系统、与财票链链路状态</w:t>
            </w:r>
            <w:r>
              <w:rPr>
                <w:rFonts w:hint="eastAsia"/>
                <w:bCs/>
              </w:rPr>
              <w:br w:type="textWrapping"/>
            </w:r>
            <w:r>
              <w:rPr>
                <w:rFonts w:hint="eastAsia"/>
                <w:bCs/>
              </w:rPr>
              <w:t>接入端设备状态监测 监控设备CPU、内存、磁盘空间，通过预设频率上报财票链服务平台监控中心</w:t>
            </w:r>
            <w:r>
              <w:rPr>
                <w:rFonts w:hint="eastAsia"/>
                <w:bCs/>
              </w:rPr>
              <w:br w:type="textWrapping"/>
            </w:r>
            <w:r>
              <w:rPr>
                <w:rFonts w:hint="eastAsia"/>
                <w:bCs/>
              </w:rPr>
              <w:t>接入端应用状态监测 监测应用存活状态，通过开票服务项监控、定期执行简单交易区块高度查询等方式确保应用正常运行</w:t>
            </w:r>
            <w:r>
              <w:rPr>
                <w:rFonts w:hint="eastAsia"/>
                <w:bCs/>
              </w:rPr>
              <w:br w:type="textWrapping"/>
            </w:r>
            <w:r>
              <w:rPr>
                <w:rFonts w:hint="eastAsia"/>
                <w:bCs/>
              </w:rPr>
              <w:t>接入端服务性能监测 监控应用响应时间、TPS、异步队列挤压监控等方式监控终端服务状态</w:t>
            </w:r>
            <w:r>
              <w:rPr>
                <w:rFonts w:hint="eastAsia"/>
                <w:bCs/>
              </w:rPr>
              <w:br w:type="textWrapping"/>
            </w:r>
            <w:r>
              <w:rPr>
                <w:rFonts w:hint="eastAsia"/>
                <w:bCs/>
              </w:rPr>
              <w:t>接入端终端状态上报和告警 "接入端终端异常状态告警：支持通过短信、消息平台，针对终端异常状态对管理人员进行告警</w:t>
            </w:r>
            <w:r>
              <w:rPr>
                <w:rFonts w:hint="eastAsia"/>
                <w:bCs/>
              </w:rPr>
              <w:br w:type="textWrapping"/>
            </w:r>
            <w:r>
              <w:rPr>
                <w:rFonts w:hint="eastAsia"/>
                <w:bCs/>
              </w:rPr>
              <w:t>接入端终端状态上报：通过预设的上报频率，定时上报设备状态监测情况，实时上报告警信息"</w:t>
            </w:r>
          </w:p>
        </w:tc>
      </w:tr>
      <w:tr w14:paraId="5A5A965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9FC8940">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C7FFB4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D8F64F2">
            <w:pPr>
              <w:widowControl/>
              <w:spacing w:line="240" w:lineRule="auto"/>
              <w:ind w:firstLine="0" w:firstLineChars="0"/>
              <w:jc w:val="center"/>
              <w:rPr>
                <w:bCs/>
              </w:rPr>
            </w:pPr>
            <w:r>
              <w:rPr>
                <w:rFonts w:hint="eastAsia"/>
                <w:bCs/>
              </w:rPr>
              <w:t>链上票据分析平台-历史票据查询</w:t>
            </w:r>
          </w:p>
        </w:tc>
        <w:tc>
          <w:tcPr>
            <w:tcW w:w="2908" w:type="pct"/>
            <w:tcBorders>
              <w:top w:val="single" w:color="000000" w:sz="4" w:space="0"/>
              <w:left w:val="single" w:color="000000" w:sz="4" w:space="0"/>
              <w:bottom w:val="single" w:color="000000" w:sz="4" w:space="0"/>
              <w:right w:val="single" w:color="000000" w:sz="4" w:space="0"/>
            </w:tcBorders>
            <w:vAlign w:val="center"/>
          </w:tcPr>
          <w:p w14:paraId="4080A470">
            <w:pPr>
              <w:widowControl/>
              <w:spacing w:line="240" w:lineRule="auto"/>
              <w:ind w:firstLine="0" w:firstLineChars="0"/>
              <w:rPr>
                <w:bCs/>
              </w:rPr>
            </w:pPr>
            <w:r>
              <w:rPr>
                <w:rFonts w:hint="eastAsia"/>
                <w:bCs/>
              </w:rPr>
              <w:t>财政票据查询：提供根据财政票据号码、订单日期、开具日期、受票方等查询条件，查询各类财政票据的状态、明细数据</w:t>
            </w:r>
            <w:r>
              <w:rPr>
                <w:rFonts w:hint="eastAsia"/>
                <w:bCs/>
              </w:rPr>
              <w:br w:type="textWrapping"/>
            </w:r>
            <w:r>
              <w:rPr>
                <w:rFonts w:hint="eastAsia"/>
                <w:bCs/>
              </w:rPr>
              <w:t>红字财政票据查询：提供根据财政票据号码、订单日期、开具日期、受票方等查询条件，查询各类红字财政票据的状态、明细数据</w:t>
            </w:r>
          </w:p>
        </w:tc>
      </w:tr>
      <w:tr w14:paraId="54361981">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1F8A14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2411556">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C393617">
            <w:pPr>
              <w:widowControl/>
              <w:spacing w:line="240" w:lineRule="auto"/>
              <w:ind w:firstLine="0" w:firstLineChars="0"/>
              <w:jc w:val="center"/>
              <w:rPr>
                <w:bCs/>
              </w:rPr>
            </w:pPr>
            <w:r>
              <w:rPr>
                <w:rFonts w:hint="eastAsia"/>
                <w:bCs/>
              </w:rPr>
              <w:t>链上票据分析平台-票据统计分析</w:t>
            </w:r>
          </w:p>
        </w:tc>
        <w:tc>
          <w:tcPr>
            <w:tcW w:w="2908" w:type="pct"/>
            <w:tcBorders>
              <w:top w:val="single" w:color="000000" w:sz="4" w:space="0"/>
              <w:left w:val="single" w:color="000000" w:sz="4" w:space="0"/>
              <w:bottom w:val="single" w:color="000000" w:sz="4" w:space="0"/>
              <w:right w:val="single" w:color="000000" w:sz="4" w:space="0"/>
            </w:tcBorders>
            <w:vAlign w:val="center"/>
          </w:tcPr>
          <w:p w14:paraId="7779292C">
            <w:pPr>
              <w:widowControl/>
              <w:spacing w:line="240" w:lineRule="auto"/>
              <w:ind w:firstLine="0" w:firstLineChars="0"/>
              <w:rPr>
                <w:bCs/>
              </w:rPr>
            </w:pPr>
            <w:r>
              <w:rPr>
                <w:rFonts w:hint="eastAsia"/>
                <w:bCs/>
              </w:rPr>
              <w:t>票据开具统计分析：按时间周期（日、月、季度等）、区域、开票行业等统计财政票据的开具数量、金额，并以图表形式展示</w:t>
            </w:r>
            <w:r>
              <w:rPr>
                <w:rFonts w:hint="eastAsia"/>
                <w:bCs/>
              </w:rPr>
              <w:br w:type="textWrapping"/>
            </w:r>
            <w:r>
              <w:rPr>
                <w:rFonts w:hint="eastAsia"/>
                <w:bCs/>
              </w:rPr>
              <w:t>开票内容统计分析：按照开票内容进行分类聚合统计，主要内容票种、开票内容（例如考试费、罚款）等进行票据金额数量、金额统计，并以图表形式展示</w:t>
            </w:r>
            <w:r>
              <w:rPr>
                <w:rFonts w:hint="eastAsia"/>
                <w:bCs/>
              </w:rPr>
              <w:br w:type="textWrapping"/>
            </w:r>
            <w:r>
              <w:rPr>
                <w:rFonts w:hint="eastAsia"/>
                <w:bCs/>
              </w:rPr>
              <w:t>红冲票据统计分析：按时间、区域等维度对历史上红冲票据进行金额、数量统计，并分析红冲原因，以图表方式展示</w:t>
            </w:r>
            <w:r>
              <w:rPr>
                <w:rFonts w:hint="eastAsia"/>
                <w:bCs/>
              </w:rPr>
              <w:br w:type="textWrapping"/>
            </w:r>
            <w:r>
              <w:rPr>
                <w:rFonts w:hint="eastAsia"/>
                <w:bCs/>
              </w:rPr>
              <w:t>特定票种统计分析：用于统计和评估指定类型票据的使用情况、异常比例及趋势。</w:t>
            </w:r>
          </w:p>
        </w:tc>
      </w:tr>
      <w:tr w14:paraId="471623CE">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9315B0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C0BA55C">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BC75825">
            <w:pPr>
              <w:widowControl/>
              <w:spacing w:line="240" w:lineRule="auto"/>
              <w:ind w:firstLine="0" w:firstLineChars="0"/>
              <w:jc w:val="center"/>
              <w:rPr>
                <w:bCs/>
              </w:rPr>
            </w:pPr>
            <w:r>
              <w:rPr>
                <w:rFonts w:hint="eastAsia"/>
                <w:bCs/>
              </w:rPr>
              <w:t>链上票据分析平台-票据预警指标-开具异常预警</w:t>
            </w:r>
          </w:p>
        </w:tc>
        <w:tc>
          <w:tcPr>
            <w:tcW w:w="2908" w:type="pct"/>
            <w:tcBorders>
              <w:top w:val="single" w:color="000000" w:sz="4" w:space="0"/>
              <w:left w:val="single" w:color="000000" w:sz="4" w:space="0"/>
              <w:bottom w:val="single" w:color="000000" w:sz="4" w:space="0"/>
              <w:right w:val="single" w:color="000000" w:sz="4" w:space="0"/>
            </w:tcBorders>
            <w:vAlign w:val="center"/>
          </w:tcPr>
          <w:p w14:paraId="3772B5ED">
            <w:pPr>
              <w:widowControl/>
              <w:spacing w:line="240" w:lineRule="auto"/>
              <w:ind w:firstLine="0" w:firstLineChars="0"/>
              <w:rPr>
                <w:bCs/>
              </w:rPr>
            </w:pPr>
            <w:r>
              <w:rPr>
                <w:rFonts w:hint="eastAsia"/>
                <w:bCs/>
              </w:rPr>
              <w:t>分析票据开具数据，分析异常疑点，例如：短期内大量开具、作废或者红冲发票（如单月开具量突增300%以上）。通过预警配置设置频率监控规则突增百分比、作废或红冲发票百分比等；计算某单位近一年的开票量，当前月份开票量超过平均量的100%，预警提示;开票单位针对某个固定交款方，连续开具金额为10、100、1000、10000、100000等整数，预警虚开风险;单张票据收款金额超出该开票单位正常范围5倍以上，该单位的开票正常范围为前一年12个月平均开票金额的最大值、最小值）;开具时间发生在正常工作时间以外，特殊单位（例如医院）除外，而且开具金额超过该开票单位正常范围的，预警提示该账号有盗用风险等，推送异常信息</w:t>
            </w:r>
          </w:p>
        </w:tc>
      </w:tr>
      <w:tr w14:paraId="70BDDE01">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9439A5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F5CCADD">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C5994EF">
            <w:pPr>
              <w:widowControl/>
              <w:spacing w:line="240" w:lineRule="auto"/>
              <w:ind w:firstLine="0" w:firstLineChars="0"/>
              <w:jc w:val="center"/>
              <w:rPr>
                <w:bCs/>
              </w:rPr>
            </w:pPr>
            <w:r>
              <w:rPr>
                <w:rFonts w:hint="eastAsia"/>
                <w:bCs/>
              </w:rPr>
              <w:t>链上票据分析平台-票据预警指标-开具内容异常预警</w:t>
            </w:r>
          </w:p>
        </w:tc>
        <w:tc>
          <w:tcPr>
            <w:tcW w:w="2908" w:type="pct"/>
            <w:tcBorders>
              <w:top w:val="single" w:color="000000" w:sz="4" w:space="0"/>
              <w:left w:val="single" w:color="000000" w:sz="4" w:space="0"/>
              <w:bottom w:val="single" w:color="000000" w:sz="4" w:space="0"/>
              <w:right w:val="single" w:color="000000" w:sz="4" w:space="0"/>
            </w:tcBorders>
            <w:vAlign w:val="center"/>
          </w:tcPr>
          <w:p w14:paraId="5DD01558">
            <w:pPr>
              <w:widowControl/>
              <w:spacing w:line="240" w:lineRule="auto"/>
              <w:ind w:firstLine="0" w:firstLineChars="0"/>
              <w:rPr>
                <w:bCs/>
              </w:rPr>
            </w:pPr>
            <w:r>
              <w:rPr>
                <w:rFonts w:hint="eastAsia"/>
                <w:bCs/>
              </w:rPr>
              <w:t>开具内容中出现与该单位历史开票内容，偏离度很大的内容，例如医疗单位开具内容出现考试费用等，预警开票内容风险，特殊票种的内容是否有</w:t>
            </w:r>
          </w:p>
        </w:tc>
      </w:tr>
      <w:tr w14:paraId="3E3A820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FF36240">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D0849B3">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6400066">
            <w:pPr>
              <w:widowControl/>
              <w:spacing w:line="240" w:lineRule="auto"/>
              <w:ind w:firstLine="0" w:firstLineChars="0"/>
              <w:jc w:val="center"/>
              <w:rPr>
                <w:bCs/>
              </w:rPr>
            </w:pPr>
            <w:r>
              <w:rPr>
                <w:rFonts w:hint="eastAsia"/>
                <w:bCs/>
              </w:rPr>
              <w:t>链上票据分析平台-票据预警指标-受票风险预警</w:t>
            </w:r>
          </w:p>
        </w:tc>
        <w:tc>
          <w:tcPr>
            <w:tcW w:w="2908" w:type="pct"/>
            <w:tcBorders>
              <w:top w:val="single" w:color="000000" w:sz="4" w:space="0"/>
              <w:left w:val="single" w:color="000000" w:sz="4" w:space="0"/>
              <w:bottom w:val="single" w:color="000000" w:sz="4" w:space="0"/>
              <w:right w:val="single" w:color="000000" w:sz="4" w:space="0"/>
            </w:tcBorders>
            <w:vAlign w:val="center"/>
          </w:tcPr>
          <w:p w14:paraId="549B8C07">
            <w:pPr>
              <w:widowControl/>
              <w:spacing w:line="240" w:lineRule="auto"/>
              <w:ind w:firstLine="0" w:firstLineChars="0"/>
              <w:rPr>
                <w:bCs/>
              </w:rPr>
            </w:pPr>
            <w:r>
              <w:rPr>
                <w:rFonts w:hint="eastAsia"/>
                <w:bCs/>
              </w:rPr>
              <w:t>以交款人或收票人的维度，分析票据风险，例如：某交款人（受票方）当月票据未缴款入库，隔月票据红冲，预警该交款人有虚受发票报销风险；按交款人聚合开票金额、开票内容，如出现开具金额三个月内变化超过500%，预警提示该交款人异常；某交款人（受票方）的票据内容与单位无业务关联性，如非税缴款书交款人为企业，开票内容与企业类型无关的风险预警提示；某交款人（受票方）在进一年内开票单位异常分散，例如开具单位超过100个，提示风险预警，并推送信息</w:t>
            </w:r>
          </w:p>
        </w:tc>
      </w:tr>
      <w:tr w14:paraId="1A637BA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B2CAE5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C35F30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182C7E0">
            <w:pPr>
              <w:widowControl/>
              <w:spacing w:line="240" w:lineRule="auto"/>
              <w:ind w:firstLine="0" w:firstLineChars="0"/>
              <w:jc w:val="center"/>
              <w:rPr>
                <w:bCs/>
              </w:rPr>
            </w:pPr>
            <w:r>
              <w:rPr>
                <w:rFonts w:hint="eastAsia"/>
                <w:bCs/>
              </w:rPr>
              <w:t>链上票据分析平台-预警规则配置</w:t>
            </w:r>
          </w:p>
        </w:tc>
        <w:tc>
          <w:tcPr>
            <w:tcW w:w="2908" w:type="pct"/>
            <w:tcBorders>
              <w:top w:val="single" w:color="000000" w:sz="4" w:space="0"/>
              <w:left w:val="single" w:color="000000" w:sz="4" w:space="0"/>
              <w:bottom w:val="single" w:color="000000" w:sz="4" w:space="0"/>
              <w:right w:val="single" w:color="000000" w:sz="4" w:space="0"/>
            </w:tcBorders>
            <w:vAlign w:val="center"/>
          </w:tcPr>
          <w:p w14:paraId="3CFA91EC">
            <w:pPr>
              <w:widowControl/>
              <w:spacing w:line="240" w:lineRule="auto"/>
              <w:ind w:firstLine="0" w:firstLineChars="0"/>
              <w:rPr>
                <w:bCs/>
              </w:rPr>
            </w:pPr>
            <w:r>
              <w:rPr>
                <w:rFonts w:hint="eastAsia"/>
                <w:bCs/>
              </w:rPr>
              <w:t>预警规则配置允许用户自定义监控条件（如金额阈值、票据状态等），灵活设置风险预警规则，实现精准监控和主动提醒。</w:t>
            </w:r>
          </w:p>
        </w:tc>
      </w:tr>
      <w:tr w14:paraId="47E1E85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71E2AE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2980DE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0E9069CE">
            <w:pPr>
              <w:widowControl/>
              <w:spacing w:line="240" w:lineRule="auto"/>
              <w:ind w:firstLine="0" w:firstLineChars="0"/>
              <w:jc w:val="center"/>
              <w:rPr>
                <w:bCs/>
              </w:rPr>
            </w:pPr>
            <w:r>
              <w:rPr>
                <w:rFonts w:hint="eastAsia"/>
                <w:bCs/>
              </w:rPr>
              <w:t>链上票据分析平台-票据预警推送</w:t>
            </w:r>
          </w:p>
        </w:tc>
        <w:tc>
          <w:tcPr>
            <w:tcW w:w="2908" w:type="pct"/>
            <w:tcBorders>
              <w:top w:val="single" w:color="000000" w:sz="4" w:space="0"/>
              <w:left w:val="single" w:color="000000" w:sz="4" w:space="0"/>
              <w:bottom w:val="single" w:color="000000" w:sz="4" w:space="0"/>
              <w:right w:val="single" w:color="000000" w:sz="4" w:space="0"/>
            </w:tcBorders>
            <w:vAlign w:val="center"/>
          </w:tcPr>
          <w:p w14:paraId="50BA2331">
            <w:pPr>
              <w:widowControl/>
              <w:spacing w:line="240" w:lineRule="auto"/>
              <w:ind w:firstLine="0" w:firstLineChars="0"/>
              <w:rPr>
                <w:bCs/>
              </w:rPr>
            </w:pPr>
            <w:r>
              <w:rPr>
                <w:rFonts w:hint="eastAsia"/>
                <w:bCs/>
              </w:rPr>
              <w:t>票据预警推送实时将异常票据信息（如高频开票、重复开具等）通过消息或邮件自动触达相关责任人，确保风险及时处理。</w:t>
            </w:r>
          </w:p>
        </w:tc>
      </w:tr>
      <w:tr w14:paraId="74A68C58">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03BEDC2">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3BAB0A7">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E0E29C9">
            <w:pPr>
              <w:widowControl/>
              <w:spacing w:line="240" w:lineRule="auto"/>
              <w:ind w:firstLine="0" w:firstLineChars="0"/>
              <w:jc w:val="center"/>
              <w:rPr>
                <w:bCs/>
              </w:rPr>
            </w:pPr>
            <w:r>
              <w:rPr>
                <w:rFonts w:hint="eastAsia"/>
                <w:bCs/>
              </w:rPr>
              <w:t>链上票据分析平台-财票立体画像-单位财票画像</w:t>
            </w:r>
          </w:p>
        </w:tc>
        <w:tc>
          <w:tcPr>
            <w:tcW w:w="2908" w:type="pct"/>
            <w:tcBorders>
              <w:top w:val="single" w:color="000000" w:sz="4" w:space="0"/>
              <w:left w:val="single" w:color="000000" w:sz="4" w:space="0"/>
              <w:bottom w:val="single" w:color="000000" w:sz="4" w:space="0"/>
              <w:right w:val="single" w:color="000000" w:sz="4" w:space="0"/>
            </w:tcBorders>
            <w:vAlign w:val="center"/>
          </w:tcPr>
          <w:p w14:paraId="5C533E38">
            <w:pPr>
              <w:widowControl/>
              <w:spacing w:line="240" w:lineRule="auto"/>
              <w:ind w:firstLine="0" w:firstLineChars="0"/>
              <w:rPr>
                <w:bCs/>
              </w:rPr>
            </w:pPr>
            <w:r>
              <w:rPr>
                <w:rFonts w:hint="eastAsia"/>
                <w:bCs/>
              </w:rPr>
              <w:t>单位财票数据汇聚与融合：对单位票据相关的数据进行归集、融合与治理，形成单位财票数据专题库</w:t>
            </w:r>
            <w:r>
              <w:rPr>
                <w:rFonts w:hint="eastAsia"/>
                <w:bCs/>
              </w:rPr>
              <w:br w:type="textWrapping"/>
            </w:r>
            <w:r>
              <w:rPr>
                <w:rFonts w:hint="eastAsia"/>
                <w:bCs/>
              </w:rPr>
              <w:t>单位基础信息：通过财政数据与大数据中心法人数据融合，展示单位基本信息</w:t>
            </w:r>
            <w:r>
              <w:rPr>
                <w:rFonts w:hint="eastAsia"/>
                <w:bCs/>
              </w:rPr>
              <w:br w:type="textWrapping"/>
            </w:r>
            <w:r>
              <w:rPr>
                <w:rFonts w:hint="eastAsia"/>
                <w:bCs/>
              </w:rPr>
              <w:t>单位票据监测展示：展示单位基本的票据预警信息进行汇总展示</w:t>
            </w:r>
            <w:r>
              <w:rPr>
                <w:rFonts w:hint="eastAsia"/>
                <w:bCs/>
              </w:rPr>
              <w:br w:type="textWrapping"/>
            </w:r>
            <w:r>
              <w:rPr>
                <w:rFonts w:hint="eastAsia"/>
                <w:bCs/>
              </w:rPr>
              <w:t>单位票据分类展示：展示单位基本的票据信息，并按票据种类、开票时间等维度进行数据可视化展示</w:t>
            </w:r>
            <w:r>
              <w:rPr>
                <w:rFonts w:hint="eastAsia"/>
                <w:bCs/>
              </w:rPr>
              <w:br w:type="textWrapping"/>
            </w:r>
            <w:r>
              <w:rPr>
                <w:rFonts w:hint="eastAsia"/>
                <w:bCs/>
              </w:rPr>
              <w:t>单位票据报告：形成单位票据汇总报告，综合展示单位的票据使用情况分析（如开票量、红冲率、异常记录等），提供数据支持以优化财务管理。</w:t>
            </w:r>
          </w:p>
        </w:tc>
      </w:tr>
      <w:tr w14:paraId="2FDD291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922CF78">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CAE76A1">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22B0C0DE">
            <w:pPr>
              <w:widowControl/>
              <w:spacing w:line="240" w:lineRule="auto"/>
              <w:ind w:firstLine="0" w:firstLineChars="0"/>
              <w:jc w:val="center"/>
              <w:rPr>
                <w:bCs/>
              </w:rPr>
            </w:pPr>
            <w:r>
              <w:rPr>
                <w:rFonts w:hint="eastAsia"/>
                <w:bCs/>
              </w:rPr>
              <w:t>链上票据分析平台-财票立体画像-个人财票画像</w:t>
            </w:r>
          </w:p>
        </w:tc>
        <w:tc>
          <w:tcPr>
            <w:tcW w:w="2908" w:type="pct"/>
            <w:tcBorders>
              <w:top w:val="single" w:color="000000" w:sz="4" w:space="0"/>
              <w:left w:val="single" w:color="000000" w:sz="4" w:space="0"/>
              <w:bottom w:val="single" w:color="000000" w:sz="4" w:space="0"/>
              <w:right w:val="single" w:color="000000" w:sz="4" w:space="0"/>
            </w:tcBorders>
            <w:vAlign w:val="center"/>
          </w:tcPr>
          <w:p w14:paraId="53B852E6">
            <w:pPr>
              <w:widowControl/>
              <w:spacing w:line="240" w:lineRule="auto"/>
              <w:ind w:firstLine="0" w:firstLineChars="0"/>
              <w:rPr>
                <w:bCs/>
              </w:rPr>
            </w:pPr>
            <w:r>
              <w:rPr>
                <w:rFonts w:hint="eastAsia"/>
                <w:bCs/>
              </w:rPr>
              <w:t>个人财票数据汇聚与融合：对个人票据相关的数据进行归集、融合与治理，形成个人财票数据专题库</w:t>
            </w:r>
            <w:r>
              <w:rPr>
                <w:rFonts w:hint="eastAsia"/>
                <w:bCs/>
              </w:rPr>
              <w:br w:type="textWrapping"/>
            </w:r>
            <w:r>
              <w:rPr>
                <w:rFonts w:hint="eastAsia"/>
                <w:bCs/>
              </w:rPr>
              <w:t>个人基础信息：通过财政数据与大数据中心人口数据融合，展示个人基本信息</w:t>
            </w:r>
            <w:r>
              <w:rPr>
                <w:rFonts w:hint="eastAsia"/>
                <w:bCs/>
              </w:rPr>
              <w:br w:type="textWrapping"/>
            </w:r>
            <w:r>
              <w:rPr>
                <w:rFonts w:hint="eastAsia"/>
                <w:bCs/>
              </w:rPr>
              <w:t>个人票据监测展示：展示个人基本的票据预警信息进行汇总展示</w:t>
            </w:r>
            <w:r>
              <w:rPr>
                <w:rFonts w:hint="eastAsia"/>
                <w:bCs/>
              </w:rPr>
              <w:br w:type="textWrapping"/>
            </w:r>
            <w:r>
              <w:rPr>
                <w:rFonts w:hint="eastAsia"/>
                <w:bCs/>
              </w:rPr>
              <w:t>个人票据分类展示：展示个人基本的票据信息，并进行种类、时间分类</w:t>
            </w:r>
            <w:r>
              <w:rPr>
                <w:rFonts w:hint="eastAsia"/>
                <w:bCs/>
              </w:rPr>
              <w:br w:type="textWrapping"/>
            </w:r>
            <w:r>
              <w:rPr>
                <w:rFonts w:hint="eastAsia"/>
                <w:bCs/>
              </w:rPr>
              <w:t>个人票据报告：形成个人票据汇总报告，综合展示个人的票据使用情况分析（如开票量、红冲率、异常记录等），提供数据支持以优化财务管理。</w:t>
            </w:r>
          </w:p>
        </w:tc>
      </w:tr>
      <w:tr w14:paraId="7E90F78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146E44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2419E78">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65B10D00">
            <w:pPr>
              <w:widowControl/>
              <w:spacing w:line="240" w:lineRule="auto"/>
              <w:ind w:firstLine="0" w:firstLineChars="0"/>
              <w:jc w:val="center"/>
              <w:rPr>
                <w:bCs/>
              </w:rPr>
            </w:pPr>
            <w:r>
              <w:rPr>
                <w:rFonts w:hint="eastAsia"/>
                <w:bCs/>
              </w:rPr>
              <w:t>密码应用模块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38E04BD2">
            <w:pPr>
              <w:widowControl/>
              <w:spacing w:line="240" w:lineRule="auto"/>
              <w:ind w:firstLine="0" w:firstLineChars="0"/>
              <w:rPr>
                <w:bCs/>
              </w:rPr>
            </w:pPr>
            <w:r>
              <w:rPr>
                <w:rFonts w:hint="eastAsia"/>
                <w:bCs/>
              </w:rPr>
              <w:t>1、用户身份认证机制模块</w:t>
            </w:r>
            <w:r>
              <w:rPr>
                <w:rFonts w:hint="eastAsia"/>
                <w:bCs/>
              </w:rPr>
              <w:br w:type="textWrapping"/>
            </w:r>
            <w:r>
              <w:rPr>
                <w:rFonts w:hint="eastAsia"/>
                <w:bCs/>
              </w:rPr>
              <w:t>2、服务器虚拟机设备日志/访问控制信息完整性模块</w:t>
            </w:r>
            <w:r>
              <w:rPr>
                <w:rFonts w:hint="eastAsia"/>
                <w:bCs/>
              </w:rPr>
              <w:br w:type="textWrapping"/>
            </w:r>
            <w:r>
              <w:rPr>
                <w:rFonts w:hint="eastAsia"/>
                <w:bCs/>
              </w:rPr>
              <w:t>3、重要可执行程序签名验签模块</w:t>
            </w:r>
            <w:r>
              <w:rPr>
                <w:rFonts w:hint="eastAsia"/>
                <w:bCs/>
              </w:rPr>
              <w:br w:type="textWrapping"/>
            </w:r>
            <w:r>
              <w:rPr>
                <w:rFonts w:hint="eastAsia"/>
                <w:bCs/>
              </w:rPr>
              <w:t>4、用户访问控制信息签名验签模块</w:t>
            </w:r>
            <w:r>
              <w:rPr>
                <w:rFonts w:hint="eastAsia"/>
                <w:bCs/>
              </w:rPr>
              <w:br w:type="textWrapping"/>
            </w:r>
            <w:r>
              <w:rPr>
                <w:rFonts w:hint="eastAsia"/>
                <w:bCs/>
              </w:rPr>
              <w:t>5、应用系统重要数据加解密模块</w:t>
            </w:r>
            <w:r>
              <w:rPr>
                <w:rFonts w:hint="eastAsia"/>
                <w:bCs/>
              </w:rPr>
              <w:br w:type="textWrapping"/>
            </w:r>
            <w:r>
              <w:rPr>
                <w:rFonts w:hint="eastAsia"/>
                <w:bCs/>
              </w:rPr>
              <w:t>6、应用系统重要数据签名验签模块</w:t>
            </w:r>
          </w:p>
        </w:tc>
      </w:tr>
      <w:tr w14:paraId="427F037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AB33A9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DF75DDC">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CEAFC85">
            <w:pPr>
              <w:widowControl/>
              <w:spacing w:line="240" w:lineRule="auto"/>
              <w:ind w:firstLine="0" w:firstLineChars="0"/>
              <w:jc w:val="center"/>
              <w:rPr>
                <w:bCs/>
              </w:rPr>
            </w:pPr>
            <w:r>
              <w:rPr>
                <w:rFonts w:hint="eastAsia"/>
                <w:bCs/>
              </w:rPr>
              <w:t>涉链票据业务管理-票据冷热数据差异化管理-动态数据预热模块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3BFAF8EF">
            <w:pPr>
              <w:widowControl/>
              <w:spacing w:line="240" w:lineRule="auto"/>
              <w:ind w:firstLine="0" w:firstLineChars="0"/>
              <w:rPr>
                <w:bCs/>
              </w:rPr>
            </w:pPr>
            <w:r>
              <w:rPr>
                <w:rFonts w:hint="eastAsia"/>
                <w:bCs/>
              </w:rPr>
              <w:t>针对高频查询、更改状态的冷数据，加载到主数据库热数据中，提高业务性能</w:t>
            </w:r>
          </w:p>
        </w:tc>
      </w:tr>
      <w:tr w14:paraId="764E5F71">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546CE88">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DBD2D39">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34C3FEA3">
            <w:pPr>
              <w:widowControl/>
              <w:spacing w:line="240" w:lineRule="auto"/>
              <w:ind w:firstLine="0" w:firstLineChars="0"/>
              <w:jc w:val="center"/>
              <w:rPr>
                <w:bCs/>
              </w:rPr>
            </w:pPr>
            <w:r>
              <w:rPr>
                <w:rFonts w:hint="eastAsia"/>
                <w:bCs/>
              </w:rPr>
              <w:t>链上票据分析平台-票据预警统计</w:t>
            </w:r>
          </w:p>
        </w:tc>
        <w:tc>
          <w:tcPr>
            <w:tcW w:w="2908" w:type="pct"/>
            <w:tcBorders>
              <w:top w:val="single" w:color="000000" w:sz="4" w:space="0"/>
              <w:left w:val="single" w:color="000000" w:sz="4" w:space="0"/>
              <w:bottom w:val="single" w:color="000000" w:sz="4" w:space="0"/>
              <w:right w:val="single" w:color="000000" w:sz="4" w:space="0"/>
            </w:tcBorders>
            <w:vAlign w:val="center"/>
          </w:tcPr>
          <w:p w14:paraId="1E1315C8">
            <w:pPr>
              <w:widowControl/>
              <w:spacing w:line="240" w:lineRule="auto"/>
              <w:ind w:firstLine="0" w:firstLineChars="0"/>
              <w:rPr>
                <w:bCs/>
              </w:rPr>
            </w:pPr>
            <w:r>
              <w:rPr>
                <w:rFonts w:hint="eastAsia"/>
                <w:bCs/>
              </w:rPr>
              <w:t>票据预警统计实时汇总并分析预警触发数据（如类型、频率、处理状态等），提供可视化报表，助力优化风控策略。</w:t>
            </w:r>
          </w:p>
        </w:tc>
      </w:tr>
      <w:tr w14:paraId="60DF6AC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5305946">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9073AA3">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51A67BE6">
            <w:pPr>
              <w:widowControl/>
              <w:spacing w:line="240" w:lineRule="auto"/>
              <w:ind w:firstLine="0" w:firstLineChars="0"/>
              <w:jc w:val="center"/>
              <w:rPr>
                <w:bCs/>
              </w:rPr>
            </w:pPr>
            <w:r>
              <w:rPr>
                <w:rFonts w:hint="eastAsia"/>
                <w:bCs/>
              </w:rPr>
              <w:t>财票链展示驾驶舱-链上数据订阅</w:t>
            </w:r>
          </w:p>
        </w:tc>
        <w:tc>
          <w:tcPr>
            <w:tcW w:w="2908" w:type="pct"/>
            <w:tcBorders>
              <w:top w:val="single" w:color="000000" w:sz="4" w:space="0"/>
              <w:left w:val="single" w:color="000000" w:sz="4" w:space="0"/>
              <w:bottom w:val="single" w:color="000000" w:sz="4" w:space="0"/>
              <w:right w:val="single" w:color="000000" w:sz="4" w:space="0"/>
            </w:tcBorders>
            <w:vAlign w:val="center"/>
          </w:tcPr>
          <w:p w14:paraId="573BF4EB">
            <w:pPr>
              <w:widowControl/>
              <w:spacing w:line="240" w:lineRule="auto"/>
              <w:ind w:firstLine="0" w:firstLineChars="0"/>
              <w:rPr>
                <w:bCs/>
              </w:rPr>
            </w:pPr>
            <w:r>
              <w:rPr>
                <w:rFonts w:hint="eastAsia"/>
                <w:bCs/>
              </w:rPr>
              <w:t>订阅财票链数据配置：按需订阅财票链数据类别（如票据状态、票据更新等），并配置订阅条件</w:t>
            </w:r>
            <w:r>
              <w:rPr>
                <w:rFonts w:hint="eastAsia"/>
                <w:bCs/>
              </w:rPr>
              <w:br w:type="textWrapping"/>
            </w:r>
            <w:r>
              <w:rPr>
                <w:rFonts w:hint="eastAsia"/>
                <w:bCs/>
              </w:rPr>
              <w:t>数据同步：实时同步链上票据数据至本地缓存。支持断点续传与数据校验。与大屏应用数据库内进行同步"</w:t>
            </w:r>
          </w:p>
        </w:tc>
      </w:tr>
      <w:tr w14:paraId="6F9BBA6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1807F45">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481E07E">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4BFA6387">
            <w:pPr>
              <w:widowControl/>
              <w:spacing w:line="240" w:lineRule="auto"/>
              <w:ind w:firstLine="0" w:firstLineChars="0"/>
              <w:jc w:val="center"/>
              <w:rPr>
                <w:bCs/>
              </w:rPr>
            </w:pPr>
            <w:r>
              <w:rPr>
                <w:rFonts w:hint="eastAsia"/>
                <w:bCs/>
              </w:rPr>
              <w:t>财票链展示驾驶舱-多维度数据可视化展示</w:t>
            </w:r>
          </w:p>
        </w:tc>
        <w:tc>
          <w:tcPr>
            <w:tcW w:w="2908" w:type="pct"/>
            <w:tcBorders>
              <w:top w:val="single" w:color="000000" w:sz="4" w:space="0"/>
              <w:left w:val="single" w:color="000000" w:sz="4" w:space="0"/>
              <w:bottom w:val="single" w:color="000000" w:sz="4" w:space="0"/>
              <w:right w:val="single" w:color="000000" w:sz="4" w:space="0"/>
            </w:tcBorders>
            <w:vAlign w:val="center"/>
          </w:tcPr>
          <w:p w14:paraId="4B24F975">
            <w:pPr>
              <w:widowControl/>
              <w:spacing w:line="240" w:lineRule="auto"/>
              <w:ind w:firstLine="0" w:firstLineChars="0"/>
              <w:rPr>
                <w:bCs/>
              </w:rPr>
            </w:pPr>
            <w:r>
              <w:rPr>
                <w:rFonts w:hint="eastAsia"/>
                <w:bCs/>
              </w:rPr>
              <w:t>角色分级数据视图：按角色（开票单位、用票单位）动态展示不同范围的票据统计数据</w:t>
            </w:r>
            <w:r>
              <w:rPr>
                <w:rFonts w:hint="eastAsia"/>
                <w:bCs/>
              </w:rPr>
              <w:br w:type="textWrapping"/>
            </w:r>
            <w:r>
              <w:rPr>
                <w:rFonts w:hint="eastAsia"/>
                <w:bCs/>
              </w:rPr>
              <w:t>多维度数据图标展示：支持通过折线图、柱状图、饼图等多种图表形式展现数据统计结果，帮助用户从不同维度深入分析数据，洞察业务趋势。</w:t>
            </w:r>
            <w:r>
              <w:rPr>
                <w:rFonts w:hint="eastAsia"/>
                <w:bCs/>
              </w:rPr>
              <w:br w:type="textWrapping"/>
            </w:r>
            <w:r>
              <w:rPr>
                <w:rFonts w:hint="eastAsia"/>
                <w:bCs/>
              </w:rPr>
              <w:t>主题归集展示：根据财票链链上票据情况展示，业务运营展示（包括票据流转情况、票据授权凭证转发情况等</w:t>
            </w:r>
          </w:p>
        </w:tc>
      </w:tr>
      <w:tr w14:paraId="41CA59C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8C5E3D6">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8DF7A1F">
            <w:pPr>
              <w:widowControl/>
              <w:spacing w:line="240" w:lineRule="auto"/>
              <w:ind w:firstLine="0" w:firstLineChars="0"/>
              <w:jc w:val="center"/>
              <w:rPr>
                <w:rFonts w:cs="Tahoma"/>
                <w:bCs/>
                <w:kern w:val="0"/>
              </w:rPr>
            </w:pPr>
            <w:r>
              <w:rPr>
                <w:rFonts w:hint="eastAsia"/>
                <w:bCs/>
              </w:rPr>
              <w:t>财票链服务平台</w:t>
            </w:r>
          </w:p>
        </w:tc>
        <w:tc>
          <w:tcPr>
            <w:tcW w:w="974" w:type="pct"/>
            <w:tcBorders>
              <w:top w:val="single" w:color="000000" w:sz="4" w:space="0"/>
              <w:left w:val="single" w:color="000000" w:sz="4" w:space="0"/>
              <w:bottom w:val="single" w:color="000000" w:sz="4" w:space="0"/>
              <w:right w:val="single" w:color="000000" w:sz="4" w:space="0"/>
            </w:tcBorders>
            <w:vAlign w:val="center"/>
          </w:tcPr>
          <w:p w14:paraId="7913CA31">
            <w:pPr>
              <w:widowControl/>
              <w:spacing w:line="240" w:lineRule="auto"/>
              <w:ind w:firstLine="0" w:firstLineChars="0"/>
              <w:jc w:val="center"/>
              <w:rPr>
                <w:bCs/>
              </w:rPr>
            </w:pPr>
            <w:r>
              <w:rPr>
                <w:rFonts w:hint="eastAsia"/>
                <w:bCs/>
              </w:rPr>
              <w:t>财票链展示驾驶舱-大屏数据汇聚</w:t>
            </w:r>
          </w:p>
        </w:tc>
        <w:tc>
          <w:tcPr>
            <w:tcW w:w="2908" w:type="pct"/>
            <w:tcBorders>
              <w:top w:val="single" w:color="000000" w:sz="4" w:space="0"/>
              <w:left w:val="single" w:color="000000" w:sz="4" w:space="0"/>
              <w:bottom w:val="single" w:color="000000" w:sz="4" w:space="0"/>
              <w:right w:val="single" w:color="000000" w:sz="4" w:space="0"/>
            </w:tcBorders>
            <w:vAlign w:val="center"/>
          </w:tcPr>
          <w:p w14:paraId="3BB22B47">
            <w:pPr>
              <w:widowControl/>
              <w:spacing w:line="240" w:lineRule="auto"/>
              <w:ind w:firstLine="0" w:firstLineChars="0"/>
              <w:rPr>
                <w:bCs/>
              </w:rPr>
            </w:pPr>
            <w:r>
              <w:rPr>
                <w:rFonts w:hint="eastAsia"/>
                <w:bCs/>
              </w:rPr>
              <w:t>实时数据汇总：对实时流入的数据进行即时汇总，如计算数据总数、平均值、最大值、最小值等。</w:t>
            </w:r>
            <w:r>
              <w:rPr>
                <w:rFonts w:hint="eastAsia"/>
                <w:bCs/>
              </w:rPr>
              <w:br w:type="textWrapping"/>
            </w:r>
            <w:r>
              <w:rPr>
                <w:rFonts w:hint="eastAsia"/>
                <w:bCs/>
              </w:rPr>
              <w:t>数据筛选及趋势分析：允许用户根据特定条件（如时间范围、数值范围、关键词等）过滤和筛选数据。通过折线图、柱状图等图表形式展示数据随时间的变化趋势"</w:t>
            </w:r>
            <w:r>
              <w:rPr>
                <w:rFonts w:hint="eastAsia"/>
                <w:bCs/>
              </w:rPr>
              <w:br w:type="textWrapping"/>
            </w:r>
            <w:r>
              <w:rPr>
                <w:rFonts w:hint="eastAsia"/>
                <w:bCs/>
              </w:rPr>
              <w:t>数据预警与通知：当数据达到或超过预设阈值时，自动触发预警并发送通知</w:t>
            </w:r>
          </w:p>
        </w:tc>
      </w:tr>
      <w:tr w14:paraId="22D8E22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D9E59D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FCE167B">
            <w:pPr>
              <w:widowControl/>
              <w:spacing w:line="240" w:lineRule="auto"/>
              <w:ind w:firstLine="0" w:firstLineChars="0"/>
              <w:jc w:val="center"/>
              <w:rPr>
                <w:rFonts w:cs="Tahoma"/>
                <w:bCs/>
                <w:kern w:val="0"/>
              </w:rPr>
            </w:pPr>
            <w:r>
              <w:rPr>
                <w:rFonts w:hint="eastAsia" w:cs="Tahoma"/>
                <w:bCs/>
                <w:kern w:val="0"/>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01721F0C">
            <w:pPr>
              <w:widowControl/>
              <w:spacing w:line="240" w:lineRule="auto"/>
              <w:ind w:firstLine="0" w:firstLineChars="0"/>
              <w:jc w:val="center"/>
              <w:rPr>
                <w:bCs/>
              </w:rPr>
            </w:pPr>
            <w:r>
              <w:rPr>
                <w:rFonts w:hint="eastAsia"/>
                <w:bCs/>
              </w:rPr>
              <w:t>财票链智能合约开发-管理类合约模块-参与方管理上链智能合约</w:t>
            </w:r>
          </w:p>
        </w:tc>
        <w:tc>
          <w:tcPr>
            <w:tcW w:w="2908" w:type="pct"/>
            <w:tcBorders>
              <w:top w:val="single" w:color="000000" w:sz="4" w:space="0"/>
              <w:left w:val="single" w:color="000000" w:sz="4" w:space="0"/>
              <w:bottom w:val="single" w:color="000000" w:sz="4" w:space="0"/>
              <w:right w:val="single" w:color="000000" w:sz="4" w:space="0"/>
            </w:tcBorders>
            <w:vAlign w:val="center"/>
          </w:tcPr>
          <w:p w14:paraId="248F8F89">
            <w:pPr>
              <w:widowControl/>
              <w:spacing w:line="240" w:lineRule="auto"/>
              <w:ind w:firstLine="0" w:firstLineChars="0"/>
              <w:rPr>
                <w:bCs/>
              </w:rPr>
            </w:pPr>
            <w:r>
              <w:rPr>
                <w:rFonts w:hint="eastAsia"/>
                <w:bCs/>
              </w:rPr>
              <w:t>参与方信息登记上链：参与方通过分布式身份标识（去中心化身份标识）注册，提交名称、类型（机构/个人）、公钥等基础信息，；同时记录注册时间戳并触发事件日志，支持链上唯一性校验，防止重复注册。实现参与方（如企业、机构或个人）身份信息上链，确保参与方身份可信不可篡改且可验证，为后续业务操作提供基础身份锚点。"</w:t>
            </w:r>
            <w:r>
              <w:rPr>
                <w:rFonts w:hint="eastAsia"/>
                <w:bCs/>
              </w:rPr>
              <w:br w:type="textWrapping"/>
            </w:r>
            <w:r>
              <w:rPr>
                <w:rFonts w:hint="eastAsia"/>
                <w:bCs/>
              </w:rPr>
              <w:t>参与方信息链上解析：合约内置分布式身份标识解析接口，输入分布式身份标识后返回其关联的公开信息（如名称、类型、注册时间），支持通过分布式身份标识或其他标识符查询参与方的登记信息及验证其身份真实性</w:t>
            </w:r>
            <w:r>
              <w:rPr>
                <w:rFonts w:hint="eastAsia"/>
                <w:bCs/>
              </w:rPr>
              <w:br w:type="textWrapping"/>
            </w:r>
            <w:r>
              <w:rPr>
                <w:rFonts w:hint="eastAsia"/>
                <w:bCs/>
              </w:rPr>
              <w:t>参与方链上状态管理：状态分为“活跃/冻结/注销”三态，默认注册后为“活跃”；变更时记录操作者信息、时间戳及原因；合约强制校验状态有效性（如注销后禁止调用业务合约），并通过事件日志广播状态变更，供其他合约监听响应。</w:t>
            </w:r>
          </w:p>
        </w:tc>
      </w:tr>
      <w:tr w14:paraId="1CF5759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F05C564">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B2AF4A2">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227043FD">
            <w:pPr>
              <w:widowControl/>
              <w:spacing w:line="240" w:lineRule="auto"/>
              <w:ind w:firstLine="0" w:firstLineChars="0"/>
              <w:jc w:val="center"/>
              <w:rPr>
                <w:bCs/>
              </w:rPr>
            </w:pPr>
            <w:r>
              <w:rPr>
                <w:rFonts w:hint="eastAsia"/>
                <w:bCs/>
              </w:rPr>
              <w:t>财票链智能合约开发-管理类合约模块-业务接入节点上链智能合约</w:t>
            </w:r>
          </w:p>
        </w:tc>
        <w:tc>
          <w:tcPr>
            <w:tcW w:w="2908" w:type="pct"/>
            <w:tcBorders>
              <w:top w:val="single" w:color="000000" w:sz="4" w:space="0"/>
              <w:left w:val="single" w:color="000000" w:sz="4" w:space="0"/>
              <w:bottom w:val="single" w:color="000000" w:sz="4" w:space="0"/>
              <w:right w:val="single" w:color="000000" w:sz="4" w:space="0"/>
            </w:tcBorders>
            <w:vAlign w:val="center"/>
          </w:tcPr>
          <w:p w14:paraId="724E6392">
            <w:pPr>
              <w:widowControl/>
              <w:spacing w:line="240" w:lineRule="auto"/>
              <w:ind w:firstLine="0" w:firstLineChars="0"/>
              <w:rPr>
                <w:bCs/>
              </w:rPr>
            </w:pPr>
            <w:r>
              <w:rPr>
                <w:rFonts w:hint="eastAsia"/>
                <w:bCs/>
              </w:rPr>
              <w:t>节点信息上链登记：实现业务节点（如保险公司、医疗机构的业务接入端）的身份凭证链上登记，确保节点的可信接入和身份可验证。</w:t>
            </w:r>
            <w:r>
              <w:rPr>
                <w:rFonts w:hint="eastAsia"/>
                <w:bCs/>
              </w:rPr>
              <w:br w:type="textWrapping"/>
            </w:r>
            <w:r>
              <w:rPr>
                <w:rFonts w:hint="eastAsia"/>
                <w:bCs/>
              </w:rPr>
              <w:t>“节点-参与方”关系链上管理：建立业务节点与参与方（如企业或机构）之间的多对多关联关系，明确节点的服务归属，关系进行上链，设备管理时系统逻辑校验链上关联关系。</w:t>
            </w:r>
            <w:r>
              <w:rPr>
                <w:rFonts w:hint="eastAsia"/>
                <w:bCs/>
              </w:rPr>
              <w:br w:type="textWrapping"/>
            </w:r>
            <w:r>
              <w:rPr>
                <w:rFonts w:hint="eastAsia"/>
                <w:bCs/>
              </w:rPr>
              <w:t>业务接入节点链上状态管理：动态管理业务接入端的运行状态（如正常、暂停、禁用），链上获取状态后，链上合约支持根据合规性或性能问题实时调整节点权限，保障业务链上交互的安全性。</w:t>
            </w:r>
          </w:p>
        </w:tc>
      </w:tr>
      <w:tr w14:paraId="3CA93A1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394F1F9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BC8E49D">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0F27701D">
            <w:pPr>
              <w:widowControl/>
              <w:spacing w:line="240" w:lineRule="auto"/>
              <w:ind w:firstLine="0" w:firstLineChars="0"/>
              <w:jc w:val="center"/>
              <w:rPr>
                <w:bCs/>
              </w:rPr>
            </w:pPr>
            <w:r>
              <w:rPr>
                <w:rFonts w:hint="eastAsia"/>
                <w:bCs/>
              </w:rPr>
              <w:t>财票链智能合约开发-管理类合约模块-策略上链智能合约</w:t>
            </w:r>
          </w:p>
        </w:tc>
        <w:tc>
          <w:tcPr>
            <w:tcW w:w="2908" w:type="pct"/>
            <w:tcBorders>
              <w:top w:val="single" w:color="000000" w:sz="4" w:space="0"/>
              <w:left w:val="single" w:color="000000" w:sz="4" w:space="0"/>
              <w:bottom w:val="single" w:color="000000" w:sz="4" w:space="0"/>
              <w:right w:val="single" w:color="000000" w:sz="4" w:space="0"/>
            </w:tcBorders>
            <w:vAlign w:val="center"/>
          </w:tcPr>
          <w:p w14:paraId="7C200973">
            <w:pPr>
              <w:widowControl/>
              <w:spacing w:line="240" w:lineRule="auto"/>
              <w:ind w:firstLine="0" w:firstLineChars="0"/>
              <w:rPr>
                <w:bCs/>
              </w:rPr>
            </w:pPr>
            <w:r>
              <w:rPr>
                <w:rFonts w:hint="eastAsia"/>
                <w:bCs/>
              </w:rPr>
              <w:t>票据全局策略上链登记 ：实现业务规则和权限策略的链上化存储与管理，确保策略的公开透明、不可篡改，并支持多策略以结构化数据（如JSON或protobuf）形式提交上链，包含规则内容、适用场景、生效条件及版本号；合约验证提交者权限后，将策略与版本号绑定上链存储；同时触发事件日志记录上链时间及操作者分布式身份标识，支持通过版本号或关键词快速检索策略，确保策略内容的可信性和可追溯性。</w:t>
            </w:r>
            <w:r>
              <w:rPr>
                <w:rFonts w:hint="eastAsia"/>
                <w:bCs/>
              </w:rPr>
              <w:br w:type="textWrapping"/>
            </w:r>
            <w:r>
              <w:rPr>
                <w:rFonts w:hint="eastAsia"/>
                <w:bCs/>
              </w:rPr>
              <w:t>票据策略状态链上管理：策略状态分为“草稿/生效/废止”三态，默认新建策略为“草稿”；状态变更需通过特定角色（如管理员）或审批流合约触发，变更时记录操作时间戳及原因；合约强制校验当前策略状态，仅允许“生效”状态的策略被业务合约调用，同时支持按状态筛选查询，保障策略管理的严谨性。</w:t>
            </w:r>
            <w:r>
              <w:rPr>
                <w:rFonts w:hint="eastAsia"/>
                <w:bCs/>
              </w:rPr>
              <w:br w:type="textWrapping"/>
            </w:r>
            <w:r>
              <w:rPr>
                <w:rFonts w:hint="eastAsia"/>
                <w:bCs/>
              </w:rPr>
              <w:t>票据策略审批流链上登记：策略从提案到生效的全流程审批动作进行上链，确保策略变更的合规性和责任可追溯，满足监管和审计要求。合约验证审批流程完整性后，方可触发策略状态变更，同时将审批流哈希值与策略绑定，供链下系统核查完整审批记录。</w:t>
            </w:r>
            <w:r>
              <w:rPr>
                <w:rFonts w:hint="eastAsia"/>
                <w:bCs/>
              </w:rPr>
              <w:br w:type="textWrapping"/>
            </w:r>
            <w:r>
              <w:rPr>
                <w:rFonts w:hint="eastAsia"/>
                <w:bCs/>
              </w:rPr>
              <w:t>票据策略审批流链上追溯：提供链上策略审批历史的全链路查询功能，支持按策略ID、时间范围或参与方分布式身份标识追溯审批细节，增强透明度和信任度。合约内置查询接口，输入策略ID后返回关联的审批流事件列表（含时间戳、操作者分布式身份标识、结果）</w:t>
            </w:r>
          </w:p>
        </w:tc>
      </w:tr>
      <w:tr w14:paraId="26E25F5D">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3AA490B">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B451BE5">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5F78A086">
            <w:pPr>
              <w:widowControl/>
              <w:spacing w:line="240" w:lineRule="auto"/>
              <w:ind w:firstLine="0" w:firstLineChars="0"/>
              <w:jc w:val="center"/>
              <w:rPr>
                <w:bCs/>
              </w:rPr>
            </w:pPr>
            <w:r>
              <w:rPr>
                <w:rFonts w:hint="eastAsia"/>
                <w:bCs/>
              </w:rPr>
              <w:t>财票链智能合约开发-管理类合约模块-场景管理上链智能合约</w:t>
            </w:r>
          </w:p>
        </w:tc>
        <w:tc>
          <w:tcPr>
            <w:tcW w:w="2908" w:type="pct"/>
            <w:tcBorders>
              <w:top w:val="single" w:color="000000" w:sz="4" w:space="0"/>
              <w:left w:val="single" w:color="000000" w:sz="4" w:space="0"/>
              <w:bottom w:val="single" w:color="000000" w:sz="4" w:space="0"/>
              <w:right w:val="single" w:color="000000" w:sz="4" w:space="0"/>
            </w:tcBorders>
            <w:vAlign w:val="center"/>
          </w:tcPr>
          <w:p w14:paraId="46CD0792">
            <w:pPr>
              <w:widowControl/>
              <w:spacing w:line="240" w:lineRule="auto"/>
              <w:ind w:firstLine="0" w:firstLineChars="0"/>
              <w:rPr>
                <w:bCs/>
              </w:rPr>
            </w:pPr>
            <w:r>
              <w:rPr>
                <w:rFonts w:hint="eastAsia"/>
                <w:bCs/>
              </w:rPr>
              <w:t>场景信息上链登记：实现票据应用场景（如医疗、教育等）的创建后链上登记，场景信息链上存证，业务触发时与系统逻辑校验链上场景信息，确保不可篡改性和可追溯性</w:t>
            </w:r>
            <w:r>
              <w:rPr>
                <w:rFonts w:hint="eastAsia"/>
                <w:bCs/>
              </w:rPr>
              <w:br w:type="textWrapping"/>
            </w:r>
            <w:r>
              <w:rPr>
                <w:rFonts w:hint="eastAsia"/>
                <w:bCs/>
              </w:rPr>
              <w:t>场景审批流上链登记：审批流以链上事件形式记录，包括提案者分布式身份标识、审批方分布式身份标识、时间戳、审批结果（通过/驳回）</w:t>
            </w:r>
          </w:p>
        </w:tc>
      </w:tr>
      <w:tr w14:paraId="3E0EF095">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D0364D5">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A520450">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58AE0118">
            <w:pPr>
              <w:widowControl/>
              <w:spacing w:line="240" w:lineRule="auto"/>
              <w:ind w:firstLine="0" w:firstLineChars="0"/>
              <w:jc w:val="center"/>
              <w:rPr>
                <w:bCs/>
              </w:rPr>
            </w:pPr>
            <w:r>
              <w:rPr>
                <w:rFonts w:hint="eastAsia"/>
                <w:bCs/>
              </w:rPr>
              <w:t>财票链智能合约开发-票据业务处理类合约模块-票据登记上链智能合约模块-票据摘要数据上链模块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63BDB3F4">
            <w:pPr>
              <w:widowControl/>
              <w:spacing w:line="240" w:lineRule="auto"/>
              <w:ind w:firstLine="0" w:firstLineChars="0"/>
              <w:rPr>
                <w:bCs/>
              </w:rPr>
            </w:pPr>
            <w:r>
              <w:rPr>
                <w:rFonts w:hint="eastAsia"/>
                <w:bCs/>
              </w:rPr>
              <w:t>提供票据上链合约方法，组装票据上链字段</w:t>
            </w:r>
            <w:r>
              <w:rPr>
                <w:rFonts w:hint="eastAsia"/>
                <w:bCs/>
              </w:rPr>
              <w:br w:type="textWrapping"/>
            </w:r>
            <w:r>
              <w:rPr>
                <w:rFonts w:hint="eastAsia"/>
                <w:bCs/>
              </w:rPr>
              <w:t>上链操作</w:t>
            </w:r>
            <w:r>
              <w:rPr>
                <w:rFonts w:ascii="Times New Roman" w:hAnsi="Times New Roman"/>
                <w:bCs/>
              </w:rPr>
              <w:t>​</w:t>
            </w:r>
            <w:r>
              <w:rPr>
                <w:rFonts w:hint="eastAsia" w:cs="等线"/>
                <w:bCs/>
              </w:rPr>
              <w:t>：</w:t>
            </w:r>
            <w:r>
              <w:rPr>
                <w:rFonts w:hint="eastAsia"/>
                <w:bCs/>
              </w:rPr>
              <w:br w:type="textWrapping"/>
            </w:r>
            <w:r>
              <w:rPr>
                <w:rFonts w:hint="eastAsia"/>
                <w:bCs/>
              </w:rPr>
              <w:t>通过链上智能合约将数据或哈希值打包成交易，广播至区块链网络。</w:t>
            </w:r>
            <w:r>
              <w:rPr>
                <w:rFonts w:hint="eastAsia"/>
                <w:bCs/>
              </w:rPr>
              <w:br w:type="textWrapping"/>
            </w:r>
            <w:r>
              <w:rPr>
                <w:rFonts w:hint="eastAsia"/>
                <w:bCs/>
              </w:rPr>
              <w:t>网络节点通过共识机制（PBFT）验证交易合法性，确认后将数据写入区块。</w:t>
            </w:r>
            <w:r>
              <w:rPr>
                <w:rFonts w:hint="eastAsia"/>
                <w:bCs/>
              </w:rPr>
              <w:br w:type="textWrapping"/>
            </w:r>
            <w:r>
              <w:rPr>
                <w:rFonts w:hint="eastAsia"/>
                <w:bCs/>
              </w:rPr>
              <w:t>数据存储</w:t>
            </w:r>
            <w:r>
              <w:rPr>
                <w:rFonts w:ascii="Times New Roman" w:hAnsi="Times New Roman"/>
                <w:bCs/>
              </w:rPr>
              <w:t>​</w:t>
            </w:r>
            <w:r>
              <w:rPr>
                <w:rFonts w:hint="eastAsia" w:cs="等线"/>
                <w:bCs/>
              </w:rPr>
              <w:t>：</w:t>
            </w:r>
            <w:r>
              <w:rPr>
                <w:rFonts w:hint="eastAsia"/>
                <w:bCs/>
              </w:rPr>
              <w:br w:type="textWrapping"/>
            </w:r>
            <w:r>
              <w:rPr>
                <w:rFonts w:hint="eastAsia"/>
                <w:bCs/>
              </w:rPr>
              <w:t>数据以交易或智能合约状态的形式永久存储于区块链；</w:t>
            </w:r>
            <w:r>
              <w:rPr>
                <w:rFonts w:hint="eastAsia"/>
                <w:bCs/>
              </w:rPr>
              <w:br w:type="textWrapping"/>
            </w:r>
            <w:r>
              <w:rPr>
                <w:rFonts w:hint="eastAsia"/>
                <w:bCs/>
              </w:rPr>
              <w:t>字段校验操作：校验票据字段业务规则，通过合约逻辑方法设置字段校验规则</w:t>
            </w:r>
          </w:p>
        </w:tc>
      </w:tr>
      <w:tr w14:paraId="3F14245A">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B5F9744">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DB9DB33">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1396CE96">
            <w:pPr>
              <w:widowControl/>
              <w:spacing w:line="240" w:lineRule="auto"/>
              <w:ind w:firstLine="0" w:firstLineChars="0"/>
              <w:jc w:val="center"/>
              <w:rPr>
                <w:bCs/>
              </w:rPr>
            </w:pPr>
            <w:r>
              <w:rPr>
                <w:rFonts w:hint="eastAsia"/>
                <w:bCs/>
              </w:rPr>
              <w:t>财票链智能合约开发-票据业务处理类合约模块-票据登记上链智能合约模块-票据链上索引模块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78379767">
            <w:pPr>
              <w:widowControl/>
              <w:spacing w:line="240" w:lineRule="auto"/>
              <w:ind w:firstLine="0" w:firstLineChars="0"/>
              <w:rPr>
                <w:bCs/>
              </w:rPr>
            </w:pPr>
            <w:r>
              <w:rPr>
                <w:rFonts w:hint="eastAsia"/>
                <w:bCs/>
              </w:rPr>
              <w:t>通过智能合约建立链上票据索引Key-value值，将票据的唯一标识及关键信息（如票据三码、开票方等）转化为区块链可识别的key-value结构。</w:t>
            </w:r>
          </w:p>
        </w:tc>
      </w:tr>
      <w:tr w14:paraId="1A706F93">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520FA4E0">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3EAAFD06">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42AF4EAA">
            <w:pPr>
              <w:widowControl/>
              <w:spacing w:line="240" w:lineRule="auto"/>
              <w:ind w:firstLine="0" w:firstLineChars="0"/>
              <w:jc w:val="center"/>
              <w:rPr>
                <w:bCs/>
              </w:rPr>
            </w:pPr>
            <w:r>
              <w:rPr>
                <w:rFonts w:hint="eastAsia"/>
                <w:bCs/>
              </w:rPr>
              <w:t>财票链智能合约开发-票据业务处理类合约模块-票据登记上链智能合约模块-“票据-参与方”关联管理模块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65463F1D">
            <w:pPr>
              <w:widowControl/>
              <w:spacing w:line="240" w:lineRule="auto"/>
              <w:ind w:firstLine="0" w:firstLineChars="0"/>
              <w:rPr>
                <w:bCs/>
              </w:rPr>
            </w:pPr>
            <w:r>
              <w:rPr>
                <w:rFonts w:hint="eastAsia"/>
                <w:bCs/>
              </w:rPr>
              <w:t>根据票据索引与参与方索引，建立链上票据与参与方关联关系</w:t>
            </w:r>
            <w:r>
              <w:rPr>
                <w:rFonts w:hint="eastAsia"/>
                <w:bCs/>
              </w:rPr>
              <w:br w:type="textWrapping"/>
            </w:r>
            <w:r>
              <w:rPr>
                <w:rFonts w:hint="eastAsia"/>
                <w:bCs/>
              </w:rPr>
              <w:t>根据票据索引与参与方索引，更新修订链上关联关系</w:t>
            </w:r>
            <w:r>
              <w:rPr>
                <w:rFonts w:hint="eastAsia"/>
                <w:bCs/>
              </w:rPr>
              <w:br w:type="textWrapping"/>
            </w:r>
            <w:r>
              <w:rPr>
                <w:rFonts w:hint="eastAsia"/>
                <w:bCs/>
              </w:rPr>
              <w:t>根据票据索引，查询该票据所关联的参与方</w:t>
            </w:r>
          </w:p>
        </w:tc>
      </w:tr>
      <w:tr w14:paraId="17BCC793">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AD21856">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31F9B4A">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7A7674A1">
            <w:pPr>
              <w:widowControl/>
              <w:spacing w:line="240" w:lineRule="auto"/>
              <w:ind w:firstLine="0" w:firstLineChars="0"/>
              <w:jc w:val="center"/>
              <w:rPr>
                <w:bCs/>
              </w:rPr>
            </w:pPr>
            <w:r>
              <w:rPr>
                <w:rFonts w:hint="eastAsia"/>
                <w:bCs/>
              </w:rPr>
              <w:t>财票链智能合约开发-票据业务处理类合约模块-票据登记上链智能合约模块-票据智能合约争议解决模块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0ED43A83">
            <w:pPr>
              <w:widowControl/>
              <w:spacing w:line="240" w:lineRule="auto"/>
              <w:ind w:firstLine="0" w:firstLineChars="0"/>
              <w:rPr>
                <w:bCs/>
              </w:rPr>
            </w:pPr>
            <w:r>
              <w:rPr>
                <w:rFonts w:hint="eastAsia"/>
                <w:bCs/>
              </w:rPr>
              <w:t>合约争议解决规则：适用于不同用票方对同一张票据进行锁定或受理操作，同一时间上基于时间戳顺序方式判断具备写入权限的用票方，时间戳一致情况下基于权重进行判断</w:t>
            </w:r>
            <w:r>
              <w:rPr>
                <w:rFonts w:hint="eastAsia"/>
                <w:bCs/>
              </w:rPr>
              <w:br w:type="textWrapping"/>
            </w:r>
            <w:r>
              <w:rPr>
                <w:rFonts w:hint="eastAsia"/>
                <w:bCs/>
              </w:rPr>
              <w:t>管理员人工介入解决：提供管理员人工锁定或解锁票据，人工处理无法自动解决的异常票据</w:t>
            </w:r>
            <w:r>
              <w:rPr>
                <w:rFonts w:hint="eastAsia"/>
                <w:bCs/>
              </w:rPr>
              <w:br w:type="textWrapping"/>
            </w:r>
            <w:r>
              <w:rPr>
                <w:rFonts w:hint="eastAsia"/>
                <w:bCs/>
              </w:rPr>
              <w:t>场景权重设置：合约方法预设用票方权重比例，支持动态设置场景权重设置</w:t>
            </w:r>
          </w:p>
        </w:tc>
      </w:tr>
      <w:tr w14:paraId="4580E2D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5A1093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E063337">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7634B610">
            <w:pPr>
              <w:widowControl/>
              <w:spacing w:line="240" w:lineRule="auto"/>
              <w:ind w:firstLine="0" w:firstLineChars="0"/>
              <w:jc w:val="center"/>
              <w:rPr>
                <w:bCs/>
              </w:rPr>
            </w:pPr>
            <w:r>
              <w:rPr>
                <w:rFonts w:hint="eastAsia"/>
                <w:bCs/>
              </w:rPr>
              <w:t>财票链智能合约开发-票据业务处理类合约模块-票据更新上链智能合约模块-票据摘要数据更新模块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541C291E">
            <w:pPr>
              <w:widowControl/>
              <w:spacing w:line="240" w:lineRule="auto"/>
              <w:ind w:firstLine="0" w:firstLineChars="0"/>
              <w:rPr>
                <w:bCs/>
              </w:rPr>
            </w:pPr>
            <w:r>
              <w:rPr>
                <w:rFonts w:hint="eastAsia"/>
                <w:bCs/>
              </w:rPr>
              <w:t>提供票据信息更新合约方法，设置票据更新方法</w:t>
            </w:r>
            <w:r>
              <w:rPr>
                <w:rFonts w:hint="eastAsia"/>
                <w:bCs/>
              </w:rPr>
              <w:br w:type="textWrapping"/>
            </w:r>
            <w:r>
              <w:rPr>
                <w:rFonts w:hint="eastAsia"/>
                <w:bCs/>
              </w:rPr>
              <w:t>通过该合约更新票据信息及状态</w:t>
            </w:r>
            <w:r>
              <w:rPr>
                <w:rFonts w:hint="eastAsia"/>
                <w:bCs/>
              </w:rPr>
              <w:br w:type="textWrapping"/>
            </w:r>
            <w:r>
              <w:rPr>
                <w:rFonts w:hint="eastAsia"/>
                <w:bCs/>
              </w:rPr>
              <w:t>更新上链后，通过区块链共识存储进区块中</w:t>
            </w:r>
          </w:p>
        </w:tc>
      </w:tr>
      <w:tr w14:paraId="68C1FCA5">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050E5ED">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A703DDB">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668AD87D">
            <w:pPr>
              <w:widowControl/>
              <w:spacing w:line="240" w:lineRule="auto"/>
              <w:ind w:firstLine="0" w:firstLineChars="0"/>
              <w:jc w:val="center"/>
              <w:rPr>
                <w:bCs/>
              </w:rPr>
            </w:pPr>
            <w:r>
              <w:rPr>
                <w:rFonts w:hint="eastAsia"/>
                <w:bCs/>
              </w:rPr>
              <w:t>财票链智能合约开发-票据业务处理类合约模块-票据更新上链智能合约模块-版本控制与差异记录</w:t>
            </w:r>
          </w:p>
        </w:tc>
        <w:tc>
          <w:tcPr>
            <w:tcW w:w="2908" w:type="pct"/>
            <w:tcBorders>
              <w:top w:val="single" w:color="000000" w:sz="4" w:space="0"/>
              <w:left w:val="single" w:color="000000" w:sz="4" w:space="0"/>
              <w:bottom w:val="single" w:color="000000" w:sz="4" w:space="0"/>
              <w:right w:val="single" w:color="000000" w:sz="4" w:space="0"/>
            </w:tcBorders>
            <w:vAlign w:val="center"/>
          </w:tcPr>
          <w:p w14:paraId="08505A6C">
            <w:pPr>
              <w:widowControl/>
              <w:spacing w:line="240" w:lineRule="auto"/>
              <w:ind w:firstLine="0" w:firstLineChars="0"/>
              <w:rPr>
                <w:bCs/>
              </w:rPr>
            </w:pPr>
            <w:r>
              <w:rPr>
                <w:rFonts w:hint="eastAsia"/>
                <w:bCs/>
              </w:rPr>
              <w:t>链上记录更新记录，每个数据版本生成唯一哈希值，通过链式结构关联历史版本，确保可追溯性。通过默克尔树结构生成差异摘要</w:t>
            </w:r>
          </w:p>
        </w:tc>
      </w:tr>
      <w:tr w14:paraId="51E55C03">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FA0089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CD43A28">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400F8BAB">
            <w:pPr>
              <w:widowControl/>
              <w:spacing w:line="240" w:lineRule="auto"/>
              <w:ind w:firstLine="0" w:firstLineChars="0"/>
              <w:jc w:val="center"/>
              <w:rPr>
                <w:bCs/>
              </w:rPr>
            </w:pPr>
            <w:r>
              <w:rPr>
                <w:rFonts w:hint="eastAsia"/>
                <w:bCs/>
              </w:rPr>
              <w:t>财票链智能合约开发-票据业务处理类合约模块-票据更新上链智能合约模块-票据状态变更合约模块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0746528F">
            <w:pPr>
              <w:widowControl/>
              <w:spacing w:line="240" w:lineRule="auto"/>
              <w:ind w:firstLine="0" w:firstLineChars="0"/>
              <w:rPr>
                <w:bCs/>
              </w:rPr>
            </w:pPr>
            <w:r>
              <w:rPr>
                <w:rFonts w:hint="eastAsia"/>
                <w:bCs/>
              </w:rPr>
              <w:t>通过合约方法实现链上票据状态变更</w:t>
            </w:r>
            <w:r>
              <w:rPr>
                <w:rFonts w:hint="eastAsia"/>
                <w:bCs/>
              </w:rPr>
              <w:br w:type="textWrapping"/>
            </w:r>
            <w:r>
              <w:rPr>
                <w:rFonts w:hint="eastAsia"/>
                <w:bCs/>
              </w:rPr>
              <w:t>合约状态变更与权限管理模块联动，基于权限和智能合约规则进行状态变更</w:t>
            </w:r>
          </w:p>
        </w:tc>
      </w:tr>
      <w:tr w14:paraId="05183D81">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E7FD3E4">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5052B00">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36ABA01D">
            <w:pPr>
              <w:widowControl/>
              <w:spacing w:line="240" w:lineRule="auto"/>
              <w:ind w:firstLine="0" w:firstLineChars="0"/>
              <w:jc w:val="center"/>
              <w:rPr>
                <w:bCs/>
              </w:rPr>
            </w:pPr>
            <w:r>
              <w:rPr>
                <w:rFonts w:hint="eastAsia"/>
                <w:bCs/>
              </w:rPr>
              <w:t>财票链智能合约开发-票据业务处理类合约模块-票据更新上链智能合约模块-票据链上索引更新</w:t>
            </w:r>
          </w:p>
        </w:tc>
        <w:tc>
          <w:tcPr>
            <w:tcW w:w="2908" w:type="pct"/>
            <w:tcBorders>
              <w:top w:val="single" w:color="000000" w:sz="4" w:space="0"/>
              <w:left w:val="single" w:color="000000" w:sz="4" w:space="0"/>
              <w:bottom w:val="single" w:color="000000" w:sz="4" w:space="0"/>
              <w:right w:val="single" w:color="000000" w:sz="4" w:space="0"/>
            </w:tcBorders>
            <w:vAlign w:val="center"/>
          </w:tcPr>
          <w:p w14:paraId="1DD50379">
            <w:pPr>
              <w:widowControl/>
              <w:spacing w:line="240" w:lineRule="auto"/>
              <w:ind w:firstLine="0" w:firstLineChars="0"/>
              <w:rPr>
                <w:bCs/>
              </w:rPr>
            </w:pPr>
            <w:r>
              <w:rPr>
                <w:rFonts w:hint="eastAsia"/>
                <w:bCs/>
              </w:rPr>
              <w:t>票据更新后重新建立链上票据索引Key-value</w:t>
            </w:r>
          </w:p>
        </w:tc>
      </w:tr>
      <w:tr w14:paraId="3415CCA4">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98E6B14">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26E5E9EA">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5134D7D4">
            <w:pPr>
              <w:widowControl/>
              <w:spacing w:line="240" w:lineRule="auto"/>
              <w:ind w:firstLine="0" w:firstLineChars="0"/>
              <w:jc w:val="center"/>
              <w:rPr>
                <w:bCs/>
              </w:rPr>
            </w:pPr>
            <w:r>
              <w:rPr>
                <w:rFonts w:hint="eastAsia"/>
                <w:bCs/>
              </w:rPr>
              <w:t>财票链智能合约开发-票据业务处理类合约模块-票据链上查询智能合约模块-票据查询合约方法-基于票据三码</w:t>
            </w:r>
          </w:p>
        </w:tc>
        <w:tc>
          <w:tcPr>
            <w:tcW w:w="2908" w:type="pct"/>
            <w:tcBorders>
              <w:top w:val="single" w:color="000000" w:sz="4" w:space="0"/>
              <w:left w:val="single" w:color="000000" w:sz="4" w:space="0"/>
              <w:bottom w:val="single" w:color="000000" w:sz="4" w:space="0"/>
              <w:right w:val="single" w:color="000000" w:sz="4" w:space="0"/>
            </w:tcBorders>
            <w:vAlign w:val="center"/>
          </w:tcPr>
          <w:p w14:paraId="09FF07A6">
            <w:pPr>
              <w:widowControl/>
              <w:spacing w:line="240" w:lineRule="auto"/>
              <w:ind w:firstLine="0" w:firstLineChars="0"/>
              <w:rPr>
                <w:bCs/>
              </w:rPr>
            </w:pPr>
            <w:r>
              <w:rPr>
                <w:rFonts w:hint="eastAsia"/>
                <w:bCs/>
              </w:rPr>
              <w:t>基于票据三码查询KV表，通过Key-value表查询对应票据记录，返回链上记录</w:t>
            </w:r>
          </w:p>
        </w:tc>
      </w:tr>
      <w:tr w14:paraId="641769A1">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F5560F2">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E8CDBCC">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3F57287C">
            <w:pPr>
              <w:widowControl/>
              <w:spacing w:line="240" w:lineRule="auto"/>
              <w:ind w:firstLine="0" w:firstLineChars="0"/>
              <w:jc w:val="center"/>
              <w:rPr>
                <w:bCs/>
              </w:rPr>
            </w:pPr>
            <w:r>
              <w:rPr>
                <w:rFonts w:hint="eastAsia"/>
                <w:bCs/>
              </w:rPr>
              <w:t>财票链智能合约开发-票据业务处理类合约模块-票据链上查询智能合约模块-票据查询合约方法-基于交易ID</w:t>
            </w:r>
          </w:p>
        </w:tc>
        <w:tc>
          <w:tcPr>
            <w:tcW w:w="2908" w:type="pct"/>
            <w:tcBorders>
              <w:top w:val="single" w:color="000000" w:sz="4" w:space="0"/>
              <w:left w:val="single" w:color="000000" w:sz="4" w:space="0"/>
              <w:bottom w:val="single" w:color="000000" w:sz="4" w:space="0"/>
              <w:right w:val="single" w:color="000000" w:sz="4" w:space="0"/>
            </w:tcBorders>
            <w:vAlign w:val="center"/>
          </w:tcPr>
          <w:p w14:paraId="44D7DE76">
            <w:pPr>
              <w:widowControl/>
              <w:spacing w:line="240" w:lineRule="auto"/>
              <w:ind w:firstLine="0" w:firstLineChars="0"/>
              <w:rPr>
                <w:bCs/>
              </w:rPr>
            </w:pPr>
            <w:r>
              <w:rPr>
                <w:rFonts w:hint="eastAsia"/>
                <w:bCs/>
              </w:rPr>
              <w:t>基于交易ID查询KV表，通过Key-value表查询对应票据记录，返回链上记录</w:t>
            </w:r>
          </w:p>
        </w:tc>
      </w:tr>
      <w:tr w14:paraId="0A907457">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C7951D4">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F895B49">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3DB62A00">
            <w:pPr>
              <w:widowControl/>
              <w:spacing w:line="240" w:lineRule="auto"/>
              <w:ind w:firstLine="0" w:firstLineChars="0"/>
              <w:jc w:val="center"/>
              <w:rPr>
                <w:bCs/>
              </w:rPr>
            </w:pPr>
            <w:r>
              <w:rPr>
                <w:rFonts w:hint="eastAsia"/>
                <w:bCs/>
              </w:rPr>
              <w:t>财票链智能合约开发-票据业务处理类合约模块-票据链上查询智能合约模块-基于零知识证明的验证模块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3E7F57CC">
            <w:pPr>
              <w:widowControl/>
              <w:spacing w:line="240" w:lineRule="auto"/>
              <w:ind w:firstLine="0" w:firstLineChars="0"/>
              <w:rPr>
                <w:bCs/>
              </w:rPr>
            </w:pPr>
            <w:r>
              <w:rPr>
                <w:rFonts w:hint="eastAsia"/>
                <w:bCs/>
              </w:rPr>
              <w:t>与链下零知识证明模块联动，通过合约验证零知识证明内判断条件内是否存在票据，进返回验证结果，不返回链上记录及票据数据</w:t>
            </w:r>
          </w:p>
        </w:tc>
      </w:tr>
      <w:tr w14:paraId="44DEDB7B">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47D4C42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7A3CFBAA">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1AE5F64F">
            <w:pPr>
              <w:widowControl/>
              <w:spacing w:line="240" w:lineRule="auto"/>
              <w:ind w:firstLine="0" w:firstLineChars="0"/>
              <w:jc w:val="center"/>
              <w:rPr>
                <w:bCs/>
              </w:rPr>
            </w:pPr>
            <w:r>
              <w:rPr>
                <w:rFonts w:hint="eastAsia"/>
                <w:bCs/>
              </w:rPr>
              <w:t>财票链智能合约开发-票据业务处理类合约模块-票据核验智能合约模块-核验比对票据数据资源</w:t>
            </w:r>
          </w:p>
        </w:tc>
        <w:tc>
          <w:tcPr>
            <w:tcW w:w="2908" w:type="pct"/>
            <w:tcBorders>
              <w:top w:val="single" w:color="000000" w:sz="4" w:space="0"/>
              <w:left w:val="single" w:color="000000" w:sz="4" w:space="0"/>
              <w:bottom w:val="single" w:color="000000" w:sz="4" w:space="0"/>
              <w:right w:val="single" w:color="000000" w:sz="4" w:space="0"/>
            </w:tcBorders>
            <w:vAlign w:val="center"/>
          </w:tcPr>
          <w:p w14:paraId="6723BB7C">
            <w:pPr>
              <w:widowControl/>
              <w:spacing w:line="240" w:lineRule="auto"/>
              <w:ind w:firstLine="0" w:firstLineChars="0"/>
              <w:rPr>
                <w:bCs/>
              </w:rPr>
            </w:pPr>
            <w:r>
              <w:rPr>
                <w:rFonts w:hint="eastAsia"/>
                <w:bCs/>
              </w:rPr>
              <w:t>提供合约方法，比对链上票据PDF/XML哈希值与链下是否一致</w:t>
            </w:r>
            <w:r>
              <w:rPr>
                <w:rFonts w:hint="eastAsia"/>
                <w:bCs/>
              </w:rPr>
              <w:br w:type="textWrapping"/>
            </w:r>
            <w:r>
              <w:rPr>
                <w:rFonts w:hint="eastAsia"/>
                <w:bCs/>
              </w:rPr>
              <w:t>提供核验查询条件基于票据三码或交易ID进行核验</w:t>
            </w:r>
          </w:p>
        </w:tc>
      </w:tr>
      <w:tr w14:paraId="0CA4A06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F71D86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C1579AA">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6D773636">
            <w:pPr>
              <w:widowControl/>
              <w:spacing w:line="240" w:lineRule="auto"/>
              <w:ind w:firstLine="0" w:firstLineChars="0"/>
              <w:jc w:val="center"/>
              <w:rPr>
                <w:bCs/>
              </w:rPr>
            </w:pPr>
            <w:r>
              <w:rPr>
                <w:rFonts w:hint="eastAsia"/>
                <w:bCs/>
              </w:rPr>
              <w:t>财票链智能合约开发-票据业务处理类合约模块-链上权限管理智能合约模块-票据状态权限触发规则设置</w:t>
            </w:r>
          </w:p>
        </w:tc>
        <w:tc>
          <w:tcPr>
            <w:tcW w:w="2908" w:type="pct"/>
            <w:tcBorders>
              <w:top w:val="single" w:color="000000" w:sz="4" w:space="0"/>
              <w:left w:val="single" w:color="000000" w:sz="4" w:space="0"/>
              <w:bottom w:val="single" w:color="000000" w:sz="4" w:space="0"/>
              <w:right w:val="single" w:color="000000" w:sz="4" w:space="0"/>
            </w:tcBorders>
            <w:vAlign w:val="center"/>
          </w:tcPr>
          <w:p w14:paraId="11ABF1F3">
            <w:pPr>
              <w:widowControl/>
              <w:spacing w:line="240" w:lineRule="auto"/>
              <w:ind w:firstLine="0" w:firstLineChars="0"/>
              <w:rPr>
                <w:bCs/>
              </w:rPr>
            </w:pPr>
            <w:r>
              <w:rPr>
                <w:rFonts w:hint="eastAsia"/>
                <w:bCs/>
              </w:rPr>
              <w:t>预设权限控制方法，根本票据状态变更进行触发，例如红冲状态不允许进行进行票据状态变更等</w:t>
            </w:r>
          </w:p>
        </w:tc>
      </w:tr>
      <w:tr w14:paraId="60B7EC75">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AFDF5B8">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BD29A0E">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3C339C06">
            <w:pPr>
              <w:widowControl/>
              <w:spacing w:line="240" w:lineRule="auto"/>
              <w:ind w:firstLine="0" w:firstLineChars="0"/>
              <w:jc w:val="center"/>
              <w:rPr>
                <w:bCs/>
              </w:rPr>
            </w:pPr>
            <w:r>
              <w:rPr>
                <w:rFonts w:hint="eastAsia"/>
                <w:bCs/>
              </w:rPr>
              <w:t>财票链智能合约开发-票据业务处理类合约模块-链上权限管理智能合约模块-用票授权登记模块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57F99C33">
            <w:pPr>
              <w:widowControl/>
              <w:spacing w:line="240" w:lineRule="auto"/>
              <w:ind w:firstLine="0" w:firstLineChars="0"/>
              <w:rPr>
                <w:bCs/>
              </w:rPr>
            </w:pPr>
            <w:r>
              <w:rPr>
                <w:rFonts w:hint="eastAsia"/>
                <w:bCs/>
              </w:rPr>
              <w:t>根据链上参与方信息、票据信息、权限设置计算授权信息，进行链上票据授权登记</w:t>
            </w:r>
          </w:p>
        </w:tc>
      </w:tr>
      <w:tr w14:paraId="7D1DCA6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6A7BB447">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FF52C84">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692F1E58">
            <w:pPr>
              <w:widowControl/>
              <w:spacing w:line="240" w:lineRule="auto"/>
              <w:ind w:firstLine="0" w:firstLineChars="0"/>
              <w:jc w:val="center"/>
              <w:rPr>
                <w:bCs/>
              </w:rPr>
            </w:pPr>
            <w:r>
              <w:rPr>
                <w:rFonts w:hint="eastAsia"/>
                <w:bCs/>
              </w:rPr>
              <w:t>财票链智能合约开发-票据业务处理类合约模块-链上权限管理智能合约模块-用票授权吊销模块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3CC6A5C5">
            <w:pPr>
              <w:widowControl/>
              <w:spacing w:line="240" w:lineRule="auto"/>
              <w:ind w:firstLine="0" w:firstLineChars="0"/>
              <w:rPr>
                <w:bCs/>
              </w:rPr>
            </w:pPr>
            <w:r>
              <w:rPr>
                <w:rFonts w:hint="eastAsia"/>
                <w:bCs/>
              </w:rPr>
              <w:t>根据链上参与方信息、票据信息、权限设置计算授权信息，进行链上票据授权吊销</w:t>
            </w:r>
          </w:p>
        </w:tc>
      </w:tr>
      <w:tr w14:paraId="1B6E2662">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BE80BA9">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5C2D1FA6">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35517B1D">
            <w:pPr>
              <w:widowControl/>
              <w:spacing w:line="240" w:lineRule="auto"/>
              <w:ind w:firstLine="0" w:firstLineChars="0"/>
              <w:jc w:val="center"/>
              <w:rPr>
                <w:bCs/>
              </w:rPr>
            </w:pPr>
            <w:r>
              <w:rPr>
                <w:rFonts w:hint="eastAsia"/>
                <w:bCs/>
              </w:rPr>
              <w:t>财票链智能合约开发-票据业务处理类合约模块-链上票据溯源智能合约模块-票据溯源模块</w:t>
            </w:r>
          </w:p>
        </w:tc>
        <w:tc>
          <w:tcPr>
            <w:tcW w:w="2908" w:type="pct"/>
            <w:tcBorders>
              <w:top w:val="single" w:color="000000" w:sz="4" w:space="0"/>
              <w:left w:val="single" w:color="000000" w:sz="4" w:space="0"/>
              <w:bottom w:val="single" w:color="000000" w:sz="4" w:space="0"/>
              <w:right w:val="single" w:color="000000" w:sz="4" w:space="0"/>
            </w:tcBorders>
            <w:vAlign w:val="center"/>
          </w:tcPr>
          <w:p w14:paraId="124498B4">
            <w:pPr>
              <w:widowControl/>
              <w:spacing w:line="240" w:lineRule="auto"/>
              <w:ind w:firstLine="0" w:firstLineChars="0"/>
              <w:rPr>
                <w:bCs/>
              </w:rPr>
            </w:pPr>
            <w:r>
              <w:rPr>
                <w:rFonts w:hint="eastAsia"/>
                <w:bCs/>
              </w:rPr>
              <w:t>提供基于票据的溯源信息，溯源记录票据所有状态变更及流转记录</w:t>
            </w:r>
          </w:p>
        </w:tc>
      </w:tr>
      <w:tr w14:paraId="24905F6F">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25612915">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47A3D29">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266BE016">
            <w:pPr>
              <w:widowControl/>
              <w:spacing w:line="240" w:lineRule="auto"/>
              <w:ind w:firstLine="0" w:firstLineChars="0"/>
              <w:jc w:val="center"/>
              <w:rPr>
                <w:bCs/>
              </w:rPr>
            </w:pPr>
            <w:r>
              <w:rPr>
                <w:rFonts w:hint="eastAsia"/>
                <w:bCs/>
              </w:rPr>
              <w:t>财票链智能合约开发-票据业务处理类合约模块-批量处理上链和聚合交易</w:t>
            </w:r>
          </w:p>
        </w:tc>
        <w:tc>
          <w:tcPr>
            <w:tcW w:w="2908" w:type="pct"/>
            <w:tcBorders>
              <w:top w:val="single" w:color="000000" w:sz="4" w:space="0"/>
              <w:left w:val="single" w:color="000000" w:sz="4" w:space="0"/>
              <w:bottom w:val="single" w:color="000000" w:sz="4" w:space="0"/>
              <w:right w:val="single" w:color="000000" w:sz="4" w:space="0"/>
            </w:tcBorders>
            <w:vAlign w:val="center"/>
          </w:tcPr>
          <w:p w14:paraId="559527BF">
            <w:pPr>
              <w:widowControl/>
              <w:spacing w:line="240" w:lineRule="auto"/>
              <w:ind w:firstLine="0" w:firstLineChars="0"/>
              <w:rPr>
                <w:bCs/>
              </w:rPr>
            </w:pPr>
            <w:r>
              <w:rPr>
                <w:rFonts w:hint="eastAsia"/>
                <w:bCs/>
              </w:rPr>
              <w:t>批量上链合约方法：适用于海量历史存量记录上链，提供批量上链合约方法，支持多条票据打包成一个交易进行上链</w:t>
            </w:r>
            <w:r>
              <w:rPr>
                <w:rFonts w:hint="eastAsia"/>
                <w:bCs/>
              </w:rPr>
              <w:br w:type="textWrapping"/>
            </w:r>
            <w:r>
              <w:rPr>
                <w:rFonts w:hint="eastAsia"/>
                <w:bCs/>
              </w:rPr>
              <w:t>建立批量索引：根据批量上链的交易获取每条记录，统一建立链上索引</w:t>
            </w:r>
          </w:p>
        </w:tc>
      </w:tr>
      <w:tr w14:paraId="1280C756">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060CB8A">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3846449">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07E6E77C">
            <w:pPr>
              <w:widowControl/>
              <w:spacing w:line="240" w:lineRule="auto"/>
              <w:ind w:firstLine="0" w:firstLineChars="0"/>
              <w:jc w:val="center"/>
              <w:rPr>
                <w:bCs/>
              </w:rPr>
            </w:pPr>
            <w:r>
              <w:rPr>
                <w:rFonts w:hint="eastAsia"/>
                <w:bCs/>
              </w:rPr>
              <w:t>财票链智能合约开发-链上用票性能管理及配置-链上可配置票据业务规则引擎</w:t>
            </w:r>
          </w:p>
        </w:tc>
        <w:tc>
          <w:tcPr>
            <w:tcW w:w="2908" w:type="pct"/>
            <w:tcBorders>
              <w:top w:val="single" w:color="000000" w:sz="4" w:space="0"/>
              <w:left w:val="single" w:color="000000" w:sz="4" w:space="0"/>
              <w:bottom w:val="single" w:color="000000" w:sz="4" w:space="0"/>
              <w:right w:val="single" w:color="000000" w:sz="4" w:space="0"/>
            </w:tcBorders>
            <w:vAlign w:val="center"/>
          </w:tcPr>
          <w:p w14:paraId="0DAB103F">
            <w:pPr>
              <w:widowControl/>
              <w:spacing w:line="240" w:lineRule="auto"/>
              <w:ind w:firstLine="0" w:firstLineChars="0"/>
              <w:rPr>
                <w:bCs/>
              </w:rPr>
            </w:pPr>
            <w:r>
              <w:rPr>
                <w:rFonts w:hint="eastAsia"/>
                <w:bCs/>
              </w:rPr>
              <w:t>与财票链服务平台票据场景、票据资源模块关联，支持通过链下动态配置票据场景规则（如新增票据场景及配套状态），无需通过硬编码修改智能合约</w:t>
            </w:r>
          </w:p>
        </w:tc>
      </w:tr>
      <w:tr w14:paraId="03446E9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73A05A43">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1E25C04D">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28365203">
            <w:pPr>
              <w:widowControl/>
              <w:spacing w:line="240" w:lineRule="auto"/>
              <w:ind w:firstLine="0" w:firstLineChars="0"/>
              <w:jc w:val="center"/>
              <w:rPr>
                <w:bCs/>
              </w:rPr>
            </w:pPr>
            <w:r>
              <w:rPr>
                <w:rFonts w:hint="eastAsia"/>
                <w:bCs/>
              </w:rPr>
              <w:t>财票链智能合约开发-链上用票性能管理及配置-跨链票据互操作</w:t>
            </w:r>
          </w:p>
        </w:tc>
        <w:tc>
          <w:tcPr>
            <w:tcW w:w="2908" w:type="pct"/>
            <w:tcBorders>
              <w:top w:val="single" w:color="000000" w:sz="4" w:space="0"/>
              <w:left w:val="single" w:color="000000" w:sz="4" w:space="0"/>
              <w:bottom w:val="single" w:color="000000" w:sz="4" w:space="0"/>
              <w:right w:val="single" w:color="000000" w:sz="4" w:space="0"/>
            </w:tcBorders>
            <w:vAlign w:val="center"/>
          </w:tcPr>
          <w:p w14:paraId="3D3EACD3">
            <w:pPr>
              <w:widowControl/>
              <w:spacing w:line="240" w:lineRule="auto"/>
              <w:ind w:firstLine="0" w:firstLineChars="0"/>
              <w:rPr>
                <w:bCs/>
              </w:rPr>
            </w:pPr>
            <w:r>
              <w:rPr>
                <w:rFonts w:hint="eastAsia"/>
                <w:bCs/>
              </w:rPr>
              <w:t>票据登记跨链同步：预留跨链合约方法，支持票据登记上链后，触发跨链事务同步票据信息</w:t>
            </w:r>
            <w:r>
              <w:rPr>
                <w:rFonts w:hint="eastAsia"/>
                <w:bCs/>
              </w:rPr>
              <w:br w:type="textWrapping"/>
            </w:r>
            <w:r>
              <w:rPr>
                <w:rFonts w:hint="eastAsia"/>
                <w:bCs/>
              </w:rPr>
              <w:t>票据状态变更跨链同步 ：预留跨链合约方法，支持票据状态变更后后，触发跨链事务同步票据信息</w:t>
            </w:r>
          </w:p>
        </w:tc>
      </w:tr>
      <w:tr w14:paraId="1DED752C">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DD323DF">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0F019F1A">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593A11ED">
            <w:pPr>
              <w:widowControl/>
              <w:spacing w:line="240" w:lineRule="auto"/>
              <w:ind w:firstLine="0" w:firstLineChars="0"/>
              <w:jc w:val="center"/>
              <w:rPr>
                <w:bCs/>
              </w:rPr>
            </w:pPr>
            <w:r>
              <w:rPr>
                <w:rFonts w:hint="eastAsia"/>
                <w:bCs/>
              </w:rPr>
              <w:t>财票链智能合约开发-链上用票性能管理及配置-链上逻辑分片-票据分片逻辑规则</w:t>
            </w:r>
          </w:p>
        </w:tc>
        <w:tc>
          <w:tcPr>
            <w:tcW w:w="2908" w:type="pct"/>
            <w:tcBorders>
              <w:top w:val="single" w:color="000000" w:sz="4" w:space="0"/>
              <w:left w:val="single" w:color="000000" w:sz="4" w:space="0"/>
              <w:bottom w:val="single" w:color="000000" w:sz="4" w:space="0"/>
              <w:right w:val="single" w:color="000000" w:sz="4" w:space="0"/>
            </w:tcBorders>
            <w:vAlign w:val="center"/>
          </w:tcPr>
          <w:p w14:paraId="50B5FC0D">
            <w:pPr>
              <w:widowControl/>
              <w:spacing w:line="240" w:lineRule="auto"/>
              <w:ind w:firstLine="0" w:firstLineChars="0"/>
              <w:rPr>
                <w:bCs/>
              </w:rPr>
            </w:pPr>
            <w:r>
              <w:rPr>
                <w:rFonts w:hint="eastAsia"/>
                <w:bCs/>
              </w:rPr>
              <w:t>制定逻辑分片规则（如开票方+票据场景）划分不同的数据结构中，模拟分片效果实现逻辑分片</w:t>
            </w:r>
          </w:p>
        </w:tc>
      </w:tr>
      <w:tr w14:paraId="7C702330">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17342D42">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6F4BE651">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29DC0604">
            <w:pPr>
              <w:widowControl/>
              <w:spacing w:line="240" w:lineRule="auto"/>
              <w:ind w:firstLine="0" w:firstLineChars="0"/>
              <w:jc w:val="center"/>
              <w:rPr>
                <w:bCs/>
              </w:rPr>
            </w:pPr>
            <w:r>
              <w:rPr>
                <w:rFonts w:hint="eastAsia"/>
                <w:bCs/>
              </w:rPr>
              <w:t>财票链智能合约开发-链上用票性能管理及配置-链上逻辑分片-动态合约分片</w:t>
            </w:r>
          </w:p>
        </w:tc>
        <w:tc>
          <w:tcPr>
            <w:tcW w:w="2908" w:type="pct"/>
            <w:tcBorders>
              <w:top w:val="single" w:color="000000" w:sz="4" w:space="0"/>
              <w:left w:val="single" w:color="000000" w:sz="4" w:space="0"/>
              <w:bottom w:val="single" w:color="000000" w:sz="4" w:space="0"/>
              <w:right w:val="single" w:color="000000" w:sz="4" w:space="0"/>
            </w:tcBorders>
            <w:vAlign w:val="center"/>
          </w:tcPr>
          <w:p w14:paraId="2CAA8EE1">
            <w:pPr>
              <w:widowControl/>
              <w:spacing w:line="240" w:lineRule="auto"/>
              <w:ind w:firstLine="0" w:firstLineChars="0"/>
              <w:rPr>
                <w:bCs/>
              </w:rPr>
            </w:pPr>
            <w:r>
              <w:rPr>
                <w:rFonts w:hint="eastAsia"/>
                <w:bCs/>
              </w:rPr>
              <w:t>为每个分片设计独立方法，共享相同的接口规范，上链时根据票据元数据自动选择合约方法</w:t>
            </w:r>
          </w:p>
        </w:tc>
      </w:tr>
      <w:tr w14:paraId="0F12FD69">
        <w:tblPrEx>
          <w:tblCellMar>
            <w:top w:w="0" w:type="dxa"/>
            <w:left w:w="108" w:type="dxa"/>
            <w:bottom w:w="0" w:type="dxa"/>
            <w:right w:w="108" w:type="dxa"/>
          </w:tblCellMar>
        </w:tblPrEx>
        <w:trPr>
          <w:trHeight w:val="1140" w:hRule="atLeast"/>
          <w:jc w:val="center"/>
        </w:trPr>
        <w:tc>
          <w:tcPr>
            <w:tcW w:w="422" w:type="pct"/>
            <w:tcBorders>
              <w:top w:val="single" w:color="auto" w:sz="4" w:space="0"/>
              <w:left w:val="single" w:color="auto" w:sz="4" w:space="0"/>
              <w:bottom w:val="single" w:color="auto" w:sz="4" w:space="0"/>
              <w:right w:val="single" w:color="auto" w:sz="4" w:space="0"/>
            </w:tcBorders>
            <w:shd w:val="clear" w:color="auto" w:fill="FFFFFF"/>
            <w:vAlign w:val="center"/>
          </w:tcPr>
          <w:p w14:paraId="09552D9C">
            <w:pPr>
              <w:pStyle w:val="61"/>
              <w:widowControl/>
              <w:numPr>
                <w:ilvl w:val="0"/>
                <w:numId w:val="3"/>
              </w:numPr>
              <w:spacing w:line="240" w:lineRule="auto"/>
              <w:ind w:firstLineChars="0"/>
              <w:jc w:val="center"/>
              <w:rPr>
                <w:rFonts w:cs="Tahoma"/>
                <w:bCs/>
                <w:kern w:val="0"/>
                <w:sz w:val="24"/>
              </w:rPr>
            </w:pPr>
          </w:p>
        </w:tc>
        <w:tc>
          <w:tcPr>
            <w:tcW w:w="696" w:type="pct"/>
            <w:tcBorders>
              <w:top w:val="single" w:color="auto" w:sz="4" w:space="0"/>
              <w:left w:val="nil"/>
              <w:bottom w:val="single" w:color="auto" w:sz="4" w:space="0"/>
              <w:right w:val="single" w:color="auto" w:sz="4" w:space="0"/>
            </w:tcBorders>
            <w:shd w:val="clear" w:color="auto" w:fill="FFFFFF"/>
            <w:vAlign w:val="center"/>
          </w:tcPr>
          <w:p w14:paraId="46110C35">
            <w:pPr>
              <w:widowControl/>
              <w:spacing w:line="240" w:lineRule="auto"/>
              <w:ind w:firstLine="0" w:firstLineChars="0"/>
              <w:jc w:val="center"/>
              <w:rPr>
                <w:rFonts w:cs="Tahoma"/>
                <w:bCs/>
                <w:kern w:val="0"/>
              </w:rPr>
            </w:pPr>
            <w:r>
              <w:rPr>
                <w:rFonts w:hint="eastAsia"/>
                <w:bCs/>
              </w:rPr>
              <w:t>财票链合约建设</w:t>
            </w:r>
          </w:p>
        </w:tc>
        <w:tc>
          <w:tcPr>
            <w:tcW w:w="974" w:type="pct"/>
            <w:tcBorders>
              <w:top w:val="single" w:color="000000" w:sz="4" w:space="0"/>
              <w:left w:val="single" w:color="000000" w:sz="4" w:space="0"/>
              <w:bottom w:val="single" w:color="000000" w:sz="4" w:space="0"/>
              <w:right w:val="single" w:color="000000" w:sz="4" w:space="0"/>
            </w:tcBorders>
            <w:vAlign w:val="center"/>
          </w:tcPr>
          <w:p w14:paraId="568619B6">
            <w:pPr>
              <w:widowControl/>
              <w:spacing w:line="240" w:lineRule="auto"/>
              <w:ind w:firstLine="0" w:firstLineChars="0"/>
              <w:jc w:val="center"/>
              <w:rPr>
                <w:bCs/>
              </w:rPr>
            </w:pPr>
            <w:r>
              <w:rPr>
                <w:rFonts w:hint="eastAsia"/>
                <w:bCs/>
              </w:rPr>
              <w:t>财票链智能合约开发-链上用票性能管理及配置-链上逻辑分片-跨分片查询</w:t>
            </w:r>
          </w:p>
        </w:tc>
        <w:tc>
          <w:tcPr>
            <w:tcW w:w="2908" w:type="pct"/>
            <w:tcBorders>
              <w:top w:val="single" w:color="000000" w:sz="4" w:space="0"/>
              <w:left w:val="single" w:color="000000" w:sz="4" w:space="0"/>
              <w:bottom w:val="single" w:color="000000" w:sz="4" w:space="0"/>
              <w:right w:val="single" w:color="000000" w:sz="4" w:space="0"/>
            </w:tcBorders>
            <w:vAlign w:val="center"/>
          </w:tcPr>
          <w:p w14:paraId="2F9B5FA4">
            <w:pPr>
              <w:widowControl/>
              <w:spacing w:line="240" w:lineRule="auto"/>
              <w:ind w:firstLine="0" w:firstLineChars="0"/>
              <w:rPr>
                <w:bCs/>
              </w:rPr>
            </w:pPr>
            <w:r>
              <w:rPr>
                <w:rFonts w:hint="eastAsia"/>
                <w:bCs/>
              </w:rPr>
              <w:t>制定全局链上进行分片映射，允许业务查链时先查询映射对应到分片的合约方法，再获取链上记录</w:t>
            </w:r>
          </w:p>
        </w:tc>
      </w:tr>
      <w:bookmarkEnd w:id="39"/>
    </w:tbl>
    <w:p w14:paraId="68DA9D9E">
      <w:pPr>
        <w:ind w:firstLine="0" w:firstLineChars="0"/>
        <w:jc w:val="left"/>
        <w:rPr>
          <w:b/>
          <w:bCs/>
        </w:rPr>
      </w:pPr>
    </w:p>
    <w:sectPr>
      <w:headerReference r:id="rId6" w:type="first"/>
      <w:footerReference r:id="rId8" w:type="first"/>
      <w:headerReference r:id="rId5" w:type="default"/>
      <w:footerReference r:id="rId7" w:type="defaul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Microsoft Sans Serif">
    <w:altName w:val="Liberation Sans"/>
    <w:panose1 w:val="020B0604020202020204"/>
    <w:charset w:val="00"/>
    <w:family w:val="swiss"/>
    <w:pitch w:val="default"/>
    <w:sig w:usb0="00000000" w:usb1="00000000" w:usb2="00000008"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87E3">
    <w:pPr>
      <w:ind w:firstLine="0" w:firstLineChars="0"/>
      <w:jc w:val="center"/>
    </w:pPr>
    <w:r>
      <w:fldChar w:fldCharType="begin"/>
    </w:r>
    <w:r>
      <w:instrText xml:space="preserve">PAGE   \* MERGEFORMAT</w:instrText>
    </w:r>
    <w:r>
      <w:fldChar w:fldCharType="separate"/>
    </w:r>
    <w:r>
      <w:rPr>
        <w:lang w:val="zh-CN"/>
      </w:rPr>
      <w:t>15</w:t>
    </w:r>
    <w:r>
      <w:rPr>
        <w:lang w:val="zh-CN"/>
      </w:rPr>
      <w:fldChar w:fldCharType="end"/>
    </w:r>
  </w:p>
  <w:p w14:paraId="14A5008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F883F">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548DD5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F9EF9">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E967A">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934F15"/>
    <w:multiLevelType w:val="multilevel"/>
    <w:tmpl w:val="5F934F15"/>
    <w:lvl w:ilvl="0" w:tentative="0">
      <w:start w:val="32"/>
      <w:numFmt w:val="decimal"/>
      <w:lvlText w:val="%1"/>
      <w:lvlJc w:val="left"/>
      <w:pPr>
        <w:ind w:left="440" w:hanging="4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NhYmEzMTNhMjdkYThkNDYyOTNhN2M4MTNhMDJiODcifQ=="/>
  </w:docVars>
  <w:rsids>
    <w:rsidRoot w:val="006910C0"/>
    <w:rsid w:val="0000005A"/>
    <w:rsid w:val="00000AED"/>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3BE9"/>
    <w:rsid w:val="000447CB"/>
    <w:rsid w:val="00047915"/>
    <w:rsid w:val="00047D06"/>
    <w:rsid w:val="00050FBD"/>
    <w:rsid w:val="0005107A"/>
    <w:rsid w:val="0005192C"/>
    <w:rsid w:val="00052929"/>
    <w:rsid w:val="0005299F"/>
    <w:rsid w:val="00053F0A"/>
    <w:rsid w:val="000541D7"/>
    <w:rsid w:val="000545C0"/>
    <w:rsid w:val="0005586D"/>
    <w:rsid w:val="00056C0E"/>
    <w:rsid w:val="000574A8"/>
    <w:rsid w:val="000574F8"/>
    <w:rsid w:val="00057A49"/>
    <w:rsid w:val="00061114"/>
    <w:rsid w:val="0006231F"/>
    <w:rsid w:val="00062A05"/>
    <w:rsid w:val="00062EE6"/>
    <w:rsid w:val="0006344E"/>
    <w:rsid w:val="000649E6"/>
    <w:rsid w:val="0006794B"/>
    <w:rsid w:val="00067DCA"/>
    <w:rsid w:val="00070063"/>
    <w:rsid w:val="0007087A"/>
    <w:rsid w:val="000710EC"/>
    <w:rsid w:val="00072237"/>
    <w:rsid w:val="00072ABE"/>
    <w:rsid w:val="00080B39"/>
    <w:rsid w:val="00081F64"/>
    <w:rsid w:val="00083950"/>
    <w:rsid w:val="0008452F"/>
    <w:rsid w:val="00084E8E"/>
    <w:rsid w:val="00085A68"/>
    <w:rsid w:val="00090625"/>
    <w:rsid w:val="00090948"/>
    <w:rsid w:val="00091660"/>
    <w:rsid w:val="00091CD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F7"/>
    <w:rsid w:val="000D0AB2"/>
    <w:rsid w:val="000D225C"/>
    <w:rsid w:val="000D36F2"/>
    <w:rsid w:val="000D3E16"/>
    <w:rsid w:val="000D4B26"/>
    <w:rsid w:val="000D74DB"/>
    <w:rsid w:val="000E24D6"/>
    <w:rsid w:val="000E6072"/>
    <w:rsid w:val="000E6D61"/>
    <w:rsid w:val="000E7A23"/>
    <w:rsid w:val="000F1C29"/>
    <w:rsid w:val="000F1E9E"/>
    <w:rsid w:val="000F2B10"/>
    <w:rsid w:val="000F3F72"/>
    <w:rsid w:val="001055B2"/>
    <w:rsid w:val="001068F0"/>
    <w:rsid w:val="00106AB8"/>
    <w:rsid w:val="00106C9E"/>
    <w:rsid w:val="00106E16"/>
    <w:rsid w:val="0010768B"/>
    <w:rsid w:val="00110C91"/>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60A61"/>
    <w:rsid w:val="00160FC0"/>
    <w:rsid w:val="0016429B"/>
    <w:rsid w:val="00164525"/>
    <w:rsid w:val="00164C50"/>
    <w:rsid w:val="00165CB2"/>
    <w:rsid w:val="00166767"/>
    <w:rsid w:val="00166D7F"/>
    <w:rsid w:val="00167DF1"/>
    <w:rsid w:val="001707CB"/>
    <w:rsid w:val="00171477"/>
    <w:rsid w:val="00172A1A"/>
    <w:rsid w:val="00173251"/>
    <w:rsid w:val="00176BED"/>
    <w:rsid w:val="0017759D"/>
    <w:rsid w:val="001804A5"/>
    <w:rsid w:val="00181C94"/>
    <w:rsid w:val="00182719"/>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4E28"/>
    <w:rsid w:val="001C6028"/>
    <w:rsid w:val="001C6365"/>
    <w:rsid w:val="001C7F57"/>
    <w:rsid w:val="001D0E79"/>
    <w:rsid w:val="001D6049"/>
    <w:rsid w:val="001D7339"/>
    <w:rsid w:val="001E1C54"/>
    <w:rsid w:val="001E2750"/>
    <w:rsid w:val="001E4343"/>
    <w:rsid w:val="001E52BB"/>
    <w:rsid w:val="001E660A"/>
    <w:rsid w:val="001F05D6"/>
    <w:rsid w:val="001F5B0A"/>
    <w:rsid w:val="001F640F"/>
    <w:rsid w:val="001F6794"/>
    <w:rsid w:val="001F6F65"/>
    <w:rsid w:val="002002DF"/>
    <w:rsid w:val="00202072"/>
    <w:rsid w:val="00203A6F"/>
    <w:rsid w:val="00205646"/>
    <w:rsid w:val="002063F7"/>
    <w:rsid w:val="002129E5"/>
    <w:rsid w:val="00212AA4"/>
    <w:rsid w:val="00212E13"/>
    <w:rsid w:val="002163C8"/>
    <w:rsid w:val="002179FE"/>
    <w:rsid w:val="00220CC0"/>
    <w:rsid w:val="00221A36"/>
    <w:rsid w:val="00223296"/>
    <w:rsid w:val="0022329B"/>
    <w:rsid w:val="002240F7"/>
    <w:rsid w:val="0022486F"/>
    <w:rsid w:val="00225314"/>
    <w:rsid w:val="00225421"/>
    <w:rsid w:val="00225DF4"/>
    <w:rsid w:val="00226C70"/>
    <w:rsid w:val="00226D84"/>
    <w:rsid w:val="00230B35"/>
    <w:rsid w:val="00230C8A"/>
    <w:rsid w:val="00231F98"/>
    <w:rsid w:val="002324F8"/>
    <w:rsid w:val="002348B0"/>
    <w:rsid w:val="00235CDC"/>
    <w:rsid w:val="00237D20"/>
    <w:rsid w:val="00237E76"/>
    <w:rsid w:val="00240BBE"/>
    <w:rsid w:val="00241525"/>
    <w:rsid w:val="00241D87"/>
    <w:rsid w:val="00243C55"/>
    <w:rsid w:val="00243D5E"/>
    <w:rsid w:val="002451EC"/>
    <w:rsid w:val="00245ED4"/>
    <w:rsid w:val="00246B41"/>
    <w:rsid w:val="00247B96"/>
    <w:rsid w:val="0025002B"/>
    <w:rsid w:val="002500DE"/>
    <w:rsid w:val="00252457"/>
    <w:rsid w:val="00252581"/>
    <w:rsid w:val="002535B5"/>
    <w:rsid w:val="002538CB"/>
    <w:rsid w:val="002542BD"/>
    <w:rsid w:val="00255414"/>
    <w:rsid w:val="0025774E"/>
    <w:rsid w:val="00257D64"/>
    <w:rsid w:val="0026340A"/>
    <w:rsid w:val="002654EA"/>
    <w:rsid w:val="002704EA"/>
    <w:rsid w:val="0027061A"/>
    <w:rsid w:val="002719CC"/>
    <w:rsid w:val="002730C5"/>
    <w:rsid w:val="0027337C"/>
    <w:rsid w:val="0027602B"/>
    <w:rsid w:val="002775AE"/>
    <w:rsid w:val="00277F5E"/>
    <w:rsid w:val="00280084"/>
    <w:rsid w:val="00280490"/>
    <w:rsid w:val="002860B8"/>
    <w:rsid w:val="0029206E"/>
    <w:rsid w:val="00293382"/>
    <w:rsid w:val="00294E20"/>
    <w:rsid w:val="00294F51"/>
    <w:rsid w:val="002A2342"/>
    <w:rsid w:val="002A279E"/>
    <w:rsid w:val="002A4FA3"/>
    <w:rsid w:val="002A6833"/>
    <w:rsid w:val="002B0715"/>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1FE6"/>
    <w:rsid w:val="002E2EA7"/>
    <w:rsid w:val="002E36D2"/>
    <w:rsid w:val="002E7046"/>
    <w:rsid w:val="002E748B"/>
    <w:rsid w:val="002F0B59"/>
    <w:rsid w:val="002F2002"/>
    <w:rsid w:val="002F335D"/>
    <w:rsid w:val="002F4E32"/>
    <w:rsid w:val="002F503F"/>
    <w:rsid w:val="002F51DD"/>
    <w:rsid w:val="002F5D08"/>
    <w:rsid w:val="002F6895"/>
    <w:rsid w:val="002F6D13"/>
    <w:rsid w:val="003038D3"/>
    <w:rsid w:val="003049C7"/>
    <w:rsid w:val="00305F0E"/>
    <w:rsid w:val="0030667A"/>
    <w:rsid w:val="00307A4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47EB0"/>
    <w:rsid w:val="00351BFC"/>
    <w:rsid w:val="0035575E"/>
    <w:rsid w:val="003565B4"/>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2757"/>
    <w:rsid w:val="0039326E"/>
    <w:rsid w:val="00394E22"/>
    <w:rsid w:val="003967A4"/>
    <w:rsid w:val="00397FA3"/>
    <w:rsid w:val="003A1596"/>
    <w:rsid w:val="003A317E"/>
    <w:rsid w:val="003A345B"/>
    <w:rsid w:val="003A49EE"/>
    <w:rsid w:val="003A674D"/>
    <w:rsid w:val="003A7123"/>
    <w:rsid w:val="003B102E"/>
    <w:rsid w:val="003B2167"/>
    <w:rsid w:val="003B2766"/>
    <w:rsid w:val="003B4300"/>
    <w:rsid w:val="003B5F5D"/>
    <w:rsid w:val="003B62C8"/>
    <w:rsid w:val="003B650D"/>
    <w:rsid w:val="003C0C62"/>
    <w:rsid w:val="003C12DC"/>
    <w:rsid w:val="003C2CDA"/>
    <w:rsid w:val="003D000A"/>
    <w:rsid w:val="003D31E9"/>
    <w:rsid w:val="003D3724"/>
    <w:rsid w:val="003D544E"/>
    <w:rsid w:val="003D5980"/>
    <w:rsid w:val="003E0842"/>
    <w:rsid w:val="003E13B0"/>
    <w:rsid w:val="003E2580"/>
    <w:rsid w:val="003E3DEE"/>
    <w:rsid w:val="003E3EBB"/>
    <w:rsid w:val="003E4A4C"/>
    <w:rsid w:val="003E4CBA"/>
    <w:rsid w:val="003E4D2F"/>
    <w:rsid w:val="003E4EDC"/>
    <w:rsid w:val="003E599D"/>
    <w:rsid w:val="003E5C81"/>
    <w:rsid w:val="003E6965"/>
    <w:rsid w:val="003E7A53"/>
    <w:rsid w:val="003F00E8"/>
    <w:rsid w:val="003F1936"/>
    <w:rsid w:val="003F1BDD"/>
    <w:rsid w:val="003F3BA3"/>
    <w:rsid w:val="003F3BD5"/>
    <w:rsid w:val="003F400E"/>
    <w:rsid w:val="003F6F35"/>
    <w:rsid w:val="003F7768"/>
    <w:rsid w:val="00400E8C"/>
    <w:rsid w:val="004017DC"/>
    <w:rsid w:val="00401B53"/>
    <w:rsid w:val="00402668"/>
    <w:rsid w:val="00404B6B"/>
    <w:rsid w:val="00404FEC"/>
    <w:rsid w:val="0040534D"/>
    <w:rsid w:val="00405FAD"/>
    <w:rsid w:val="004117AB"/>
    <w:rsid w:val="00412B2F"/>
    <w:rsid w:val="00415281"/>
    <w:rsid w:val="00415716"/>
    <w:rsid w:val="0041604D"/>
    <w:rsid w:val="00417842"/>
    <w:rsid w:val="00417A6E"/>
    <w:rsid w:val="0042285D"/>
    <w:rsid w:val="00427D2B"/>
    <w:rsid w:val="00430B13"/>
    <w:rsid w:val="00430CE5"/>
    <w:rsid w:val="0043153C"/>
    <w:rsid w:val="00431D0F"/>
    <w:rsid w:val="0043481C"/>
    <w:rsid w:val="004365E0"/>
    <w:rsid w:val="00444307"/>
    <w:rsid w:val="0044436F"/>
    <w:rsid w:val="004443EB"/>
    <w:rsid w:val="00444432"/>
    <w:rsid w:val="00444488"/>
    <w:rsid w:val="00444673"/>
    <w:rsid w:val="0044621E"/>
    <w:rsid w:val="00447BF1"/>
    <w:rsid w:val="00450BA4"/>
    <w:rsid w:val="004511FC"/>
    <w:rsid w:val="00456784"/>
    <w:rsid w:val="00456DCA"/>
    <w:rsid w:val="00461140"/>
    <w:rsid w:val="004611DB"/>
    <w:rsid w:val="004658B0"/>
    <w:rsid w:val="0046614B"/>
    <w:rsid w:val="00467FD7"/>
    <w:rsid w:val="00470073"/>
    <w:rsid w:val="00470C72"/>
    <w:rsid w:val="004715B0"/>
    <w:rsid w:val="004730F8"/>
    <w:rsid w:val="00474353"/>
    <w:rsid w:val="00474555"/>
    <w:rsid w:val="004750F4"/>
    <w:rsid w:val="00476CB1"/>
    <w:rsid w:val="00480A48"/>
    <w:rsid w:val="00482501"/>
    <w:rsid w:val="00482E7D"/>
    <w:rsid w:val="00484395"/>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53A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3F0"/>
    <w:rsid w:val="004D7A0E"/>
    <w:rsid w:val="004E0186"/>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2D40"/>
    <w:rsid w:val="005042B3"/>
    <w:rsid w:val="005045AB"/>
    <w:rsid w:val="00507D43"/>
    <w:rsid w:val="005103F2"/>
    <w:rsid w:val="00510E2C"/>
    <w:rsid w:val="00511FDC"/>
    <w:rsid w:val="005124C6"/>
    <w:rsid w:val="00513EBC"/>
    <w:rsid w:val="00514637"/>
    <w:rsid w:val="00514CE1"/>
    <w:rsid w:val="00517155"/>
    <w:rsid w:val="00517DB3"/>
    <w:rsid w:val="005200DC"/>
    <w:rsid w:val="005200F2"/>
    <w:rsid w:val="0052169D"/>
    <w:rsid w:val="0052369D"/>
    <w:rsid w:val="005271DB"/>
    <w:rsid w:val="00530D2F"/>
    <w:rsid w:val="0053487C"/>
    <w:rsid w:val="005356E1"/>
    <w:rsid w:val="00536A8B"/>
    <w:rsid w:val="00540418"/>
    <w:rsid w:val="00541A96"/>
    <w:rsid w:val="00541C6A"/>
    <w:rsid w:val="00542C54"/>
    <w:rsid w:val="00542F57"/>
    <w:rsid w:val="005452D8"/>
    <w:rsid w:val="00546A43"/>
    <w:rsid w:val="00546C70"/>
    <w:rsid w:val="00547258"/>
    <w:rsid w:val="00550CF0"/>
    <w:rsid w:val="005559FE"/>
    <w:rsid w:val="005560D6"/>
    <w:rsid w:val="00556D07"/>
    <w:rsid w:val="005611F2"/>
    <w:rsid w:val="00561734"/>
    <w:rsid w:val="005618ED"/>
    <w:rsid w:val="00561952"/>
    <w:rsid w:val="005635FA"/>
    <w:rsid w:val="00564B9A"/>
    <w:rsid w:val="00565694"/>
    <w:rsid w:val="00566DD6"/>
    <w:rsid w:val="005714EF"/>
    <w:rsid w:val="00571CEC"/>
    <w:rsid w:val="00572FCE"/>
    <w:rsid w:val="005750DB"/>
    <w:rsid w:val="005759FC"/>
    <w:rsid w:val="00575B85"/>
    <w:rsid w:val="00576DB9"/>
    <w:rsid w:val="0057738F"/>
    <w:rsid w:val="005805E4"/>
    <w:rsid w:val="0058202F"/>
    <w:rsid w:val="00584221"/>
    <w:rsid w:val="00584EB6"/>
    <w:rsid w:val="00586B68"/>
    <w:rsid w:val="0058774E"/>
    <w:rsid w:val="005878CF"/>
    <w:rsid w:val="00590CA0"/>
    <w:rsid w:val="00595B01"/>
    <w:rsid w:val="00596D98"/>
    <w:rsid w:val="005979A5"/>
    <w:rsid w:val="00597ACF"/>
    <w:rsid w:val="005A0021"/>
    <w:rsid w:val="005A017B"/>
    <w:rsid w:val="005A2AEC"/>
    <w:rsid w:val="005A412D"/>
    <w:rsid w:val="005A5212"/>
    <w:rsid w:val="005B002D"/>
    <w:rsid w:val="005B0FFF"/>
    <w:rsid w:val="005B19AF"/>
    <w:rsid w:val="005B1FA1"/>
    <w:rsid w:val="005B258C"/>
    <w:rsid w:val="005B61DD"/>
    <w:rsid w:val="005B6735"/>
    <w:rsid w:val="005B69D0"/>
    <w:rsid w:val="005B7831"/>
    <w:rsid w:val="005C0265"/>
    <w:rsid w:val="005C08C7"/>
    <w:rsid w:val="005C0CD6"/>
    <w:rsid w:val="005C12D9"/>
    <w:rsid w:val="005C2146"/>
    <w:rsid w:val="005C309D"/>
    <w:rsid w:val="005C544B"/>
    <w:rsid w:val="005C5916"/>
    <w:rsid w:val="005C5AEE"/>
    <w:rsid w:val="005C774A"/>
    <w:rsid w:val="005D3734"/>
    <w:rsid w:val="005D4F16"/>
    <w:rsid w:val="005D5A53"/>
    <w:rsid w:val="005D5DA0"/>
    <w:rsid w:val="005D7FBD"/>
    <w:rsid w:val="005E19B4"/>
    <w:rsid w:val="005E1D6B"/>
    <w:rsid w:val="005E227A"/>
    <w:rsid w:val="005E2CF8"/>
    <w:rsid w:val="005E3126"/>
    <w:rsid w:val="005E7075"/>
    <w:rsid w:val="005E75A7"/>
    <w:rsid w:val="005F38E2"/>
    <w:rsid w:val="005F3EE6"/>
    <w:rsid w:val="005F6736"/>
    <w:rsid w:val="005F726B"/>
    <w:rsid w:val="006003F9"/>
    <w:rsid w:val="00602C10"/>
    <w:rsid w:val="00602EBD"/>
    <w:rsid w:val="00604CF2"/>
    <w:rsid w:val="00606DFF"/>
    <w:rsid w:val="00606FB7"/>
    <w:rsid w:val="00610533"/>
    <w:rsid w:val="00611059"/>
    <w:rsid w:val="006110F6"/>
    <w:rsid w:val="00611FA1"/>
    <w:rsid w:val="00612522"/>
    <w:rsid w:val="00612DA6"/>
    <w:rsid w:val="0061365B"/>
    <w:rsid w:val="006138B6"/>
    <w:rsid w:val="00614AA5"/>
    <w:rsid w:val="00614BC6"/>
    <w:rsid w:val="00614E33"/>
    <w:rsid w:val="006158B8"/>
    <w:rsid w:val="0061706D"/>
    <w:rsid w:val="006173DA"/>
    <w:rsid w:val="00617EF9"/>
    <w:rsid w:val="00620295"/>
    <w:rsid w:val="00621C5A"/>
    <w:rsid w:val="00622F8E"/>
    <w:rsid w:val="00626AC8"/>
    <w:rsid w:val="00627912"/>
    <w:rsid w:val="0063195F"/>
    <w:rsid w:val="00636C0A"/>
    <w:rsid w:val="00637EC6"/>
    <w:rsid w:val="00642033"/>
    <w:rsid w:val="0064240C"/>
    <w:rsid w:val="00642FF5"/>
    <w:rsid w:val="006430FB"/>
    <w:rsid w:val="00643992"/>
    <w:rsid w:val="00644D68"/>
    <w:rsid w:val="00644DBC"/>
    <w:rsid w:val="00646FE6"/>
    <w:rsid w:val="006473D8"/>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7749"/>
    <w:rsid w:val="00680E07"/>
    <w:rsid w:val="00682B9D"/>
    <w:rsid w:val="00683806"/>
    <w:rsid w:val="00686AF9"/>
    <w:rsid w:val="0068736F"/>
    <w:rsid w:val="006910C0"/>
    <w:rsid w:val="00691954"/>
    <w:rsid w:val="0069320E"/>
    <w:rsid w:val="00693D13"/>
    <w:rsid w:val="00694F58"/>
    <w:rsid w:val="006955BC"/>
    <w:rsid w:val="006959E2"/>
    <w:rsid w:val="00696920"/>
    <w:rsid w:val="00697EB9"/>
    <w:rsid w:val="006A20D4"/>
    <w:rsid w:val="006A268D"/>
    <w:rsid w:val="006A350F"/>
    <w:rsid w:val="006A3957"/>
    <w:rsid w:val="006A39A4"/>
    <w:rsid w:val="006A41D6"/>
    <w:rsid w:val="006A42F2"/>
    <w:rsid w:val="006A669D"/>
    <w:rsid w:val="006A6E41"/>
    <w:rsid w:val="006B012F"/>
    <w:rsid w:val="006B27CF"/>
    <w:rsid w:val="006B41BD"/>
    <w:rsid w:val="006B5678"/>
    <w:rsid w:val="006B62B2"/>
    <w:rsid w:val="006B76DB"/>
    <w:rsid w:val="006C1C57"/>
    <w:rsid w:val="006C5760"/>
    <w:rsid w:val="006C6D6F"/>
    <w:rsid w:val="006C7C2C"/>
    <w:rsid w:val="006D0D78"/>
    <w:rsid w:val="006D1128"/>
    <w:rsid w:val="006D2848"/>
    <w:rsid w:val="006D30E0"/>
    <w:rsid w:val="006D4688"/>
    <w:rsid w:val="006D5521"/>
    <w:rsid w:val="006D5FE9"/>
    <w:rsid w:val="006D6AE4"/>
    <w:rsid w:val="006D6CBB"/>
    <w:rsid w:val="006D76A9"/>
    <w:rsid w:val="006D77F4"/>
    <w:rsid w:val="006E0898"/>
    <w:rsid w:val="006E41CD"/>
    <w:rsid w:val="006F093B"/>
    <w:rsid w:val="006F3BEC"/>
    <w:rsid w:val="00703C00"/>
    <w:rsid w:val="007057CC"/>
    <w:rsid w:val="007066F2"/>
    <w:rsid w:val="00706AE5"/>
    <w:rsid w:val="0070740A"/>
    <w:rsid w:val="00711F93"/>
    <w:rsid w:val="00712940"/>
    <w:rsid w:val="00713B50"/>
    <w:rsid w:val="0071428C"/>
    <w:rsid w:val="00714A3E"/>
    <w:rsid w:val="00715A16"/>
    <w:rsid w:val="007164B0"/>
    <w:rsid w:val="007166FF"/>
    <w:rsid w:val="007260CC"/>
    <w:rsid w:val="00726543"/>
    <w:rsid w:val="007319FC"/>
    <w:rsid w:val="0073353E"/>
    <w:rsid w:val="00736633"/>
    <w:rsid w:val="00741EE7"/>
    <w:rsid w:val="00743A79"/>
    <w:rsid w:val="007444D4"/>
    <w:rsid w:val="0074594D"/>
    <w:rsid w:val="007459F3"/>
    <w:rsid w:val="00746E35"/>
    <w:rsid w:val="007470E2"/>
    <w:rsid w:val="00751A62"/>
    <w:rsid w:val="0075232F"/>
    <w:rsid w:val="00753132"/>
    <w:rsid w:val="007550B3"/>
    <w:rsid w:val="00760451"/>
    <w:rsid w:val="00767347"/>
    <w:rsid w:val="0077182A"/>
    <w:rsid w:val="00771913"/>
    <w:rsid w:val="00772718"/>
    <w:rsid w:val="00775BCF"/>
    <w:rsid w:val="00776DFA"/>
    <w:rsid w:val="007815D0"/>
    <w:rsid w:val="007818AA"/>
    <w:rsid w:val="00783140"/>
    <w:rsid w:val="007838B6"/>
    <w:rsid w:val="00783E77"/>
    <w:rsid w:val="0078465D"/>
    <w:rsid w:val="00786325"/>
    <w:rsid w:val="007906F1"/>
    <w:rsid w:val="0079243D"/>
    <w:rsid w:val="007941A7"/>
    <w:rsid w:val="00794A9B"/>
    <w:rsid w:val="0079583B"/>
    <w:rsid w:val="00796602"/>
    <w:rsid w:val="00797185"/>
    <w:rsid w:val="007976B7"/>
    <w:rsid w:val="00797A7E"/>
    <w:rsid w:val="00797D6F"/>
    <w:rsid w:val="007B014B"/>
    <w:rsid w:val="007B0D88"/>
    <w:rsid w:val="007B306F"/>
    <w:rsid w:val="007B4714"/>
    <w:rsid w:val="007B4E82"/>
    <w:rsid w:val="007C1996"/>
    <w:rsid w:val="007C3773"/>
    <w:rsid w:val="007C3F1F"/>
    <w:rsid w:val="007D2D0D"/>
    <w:rsid w:val="007D3325"/>
    <w:rsid w:val="007D3818"/>
    <w:rsid w:val="007D6DC5"/>
    <w:rsid w:val="007D72E5"/>
    <w:rsid w:val="007D7425"/>
    <w:rsid w:val="007E230A"/>
    <w:rsid w:val="007E320E"/>
    <w:rsid w:val="007E3280"/>
    <w:rsid w:val="007E4A02"/>
    <w:rsid w:val="007E595C"/>
    <w:rsid w:val="007E59A5"/>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650B"/>
    <w:rsid w:val="008301CE"/>
    <w:rsid w:val="008312E3"/>
    <w:rsid w:val="00831D5B"/>
    <w:rsid w:val="00832DD6"/>
    <w:rsid w:val="00832F0C"/>
    <w:rsid w:val="008336F2"/>
    <w:rsid w:val="008345D9"/>
    <w:rsid w:val="008347CB"/>
    <w:rsid w:val="00835647"/>
    <w:rsid w:val="00837A2E"/>
    <w:rsid w:val="00841558"/>
    <w:rsid w:val="00842A68"/>
    <w:rsid w:val="008435BA"/>
    <w:rsid w:val="00844CF1"/>
    <w:rsid w:val="0084558B"/>
    <w:rsid w:val="0084654A"/>
    <w:rsid w:val="00847654"/>
    <w:rsid w:val="00851064"/>
    <w:rsid w:val="0085258C"/>
    <w:rsid w:val="00855543"/>
    <w:rsid w:val="008566B3"/>
    <w:rsid w:val="008576B7"/>
    <w:rsid w:val="00857F7B"/>
    <w:rsid w:val="00863DA1"/>
    <w:rsid w:val="008654A6"/>
    <w:rsid w:val="00865D86"/>
    <w:rsid w:val="00870495"/>
    <w:rsid w:val="00870EA1"/>
    <w:rsid w:val="008710C5"/>
    <w:rsid w:val="00871D75"/>
    <w:rsid w:val="00874438"/>
    <w:rsid w:val="00874E75"/>
    <w:rsid w:val="008767F3"/>
    <w:rsid w:val="00876CEF"/>
    <w:rsid w:val="00877342"/>
    <w:rsid w:val="008803C3"/>
    <w:rsid w:val="00881450"/>
    <w:rsid w:val="008817C7"/>
    <w:rsid w:val="00881875"/>
    <w:rsid w:val="008848A3"/>
    <w:rsid w:val="00884AF1"/>
    <w:rsid w:val="00885F7A"/>
    <w:rsid w:val="00890712"/>
    <w:rsid w:val="00890D81"/>
    <w:rsid w:val="008926A4"/>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11C"/>
    <w:rsid w:val="008F5EB5"/>
    <w:rsid w:val="008F678C"/>
    <w:rsid w:val="008F75A7"/>
    <w:rsid w:val="008F7E5A"/>
    <w:rsid w:val="00900A7F"/>
    <w:rsid w:val="009036EE"/>
    <w:rsid w:val="00905815"/>
    <w:rsid w:val="00905D1D"/>
    <w:rsid w:val="0091016D"/>
    <w:rsid w:val="00910C98"/>
    <w:rsid w:val="00911910"/>
    <w:rsid w:val="00912A58"/>
    <w:rsid w:val="00913908"/>
    <w:rsid w:val="00913D26"/>
    <w:rsid w:val="0091438B"/>
    <w:rsid w:val="009147E3"/>
    <w:rsid w:val="00920FD2"/>
    <w:rsid w:val="00923A43"/>
    <w:rsid w:val="0092439C"/>
    <w:rsid w:val="0092498E"/>
    <w:rsid w:val="00925B91"/>
    <w:rsid w:val="00925D64"/>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226E"/>
    <w:rsid w:val="00973B5D"/>
    <w:rsid w:val="0097755E"/>
    <w:rsid w:val="00981467"/>
    <w:rsid w:val="00981C24"/>
    <w:rsid w:val="009852F6"/>
    <w:rsid w:val="00985384"/>
    <w:rsid w:val="00985DE5"/>
    <w:rsid w:val="00986254"/>
    <w:rsid w:val="0098729E"/>
    <w:rsid w:val="00990067"/>
    <w:rsid w:val="00992977"/>
    <w:rsid w:val="009937D4"/>
    <w:rsid w:val="00993C78"/>
    <w:rsid w:val="009948C7"/>
    <w:rsid w:val="00995850"/>
    <w:rsid w:val="00997918"/>
    <w:rsid w:val="0099796C"/>
    <w:rsid w:val="009A194E"/>
    <w:rsid w:val="009A1EA2"/>
    <w:rsid w:val="009A209E"/>
    <w:rsid w:val="009A3FD7"/>
    <w:rsid w:val="009A6652"/>
    <w:rsid w:val="009A74FD"/>
    <w:rsid w:val="009B25D8"/>
    <w:rsid w:val="009B42E3"/>
    <w:rsid w:val="009B5859"/>
    <w:rsid w:val="009C6D07"/>
    <w:rsid w:val="009C7199"/>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4335"/>
    <w:rsid w:val="009F54F2"/>
    <w:rsid w:val="00A0056B"/>
    <w:rsid w:val="00A01657"/>
    <w:rsid w:val="00A01C65"/>
    <w:rsid w:val="00A0213D"/>
    <w:rsid w:val="00A04C73"/>
    <w:rsid w:val="00A0679A"/>
    <w:rsid w:val="00A07A2B"/>
    <w:rsid w:val="00A1094E"/>
    <w:rsid w:val="00A12375"/>
    <w:rsid w:val="00A125B8"/>
    <w:rsid w:val="00A13124"/>
    <w:rsid w:val="00A15370"/>
    <w:rsid w:val="00A156AB"/>
    <w:rsid w:val="00A16B8D"/>
    <w:rsid w:val="00A21293"/>
    <w:rsid w:val="00A2134B"/>
    <w:rsid w:val="00A21623"/>
    <w:rsid w:val="00A220EB"/>
    <w:rsid w:val="00A22302"/>
    <w:rsid w:val="00A25F1B"/>
    <w:rsid w:val="00A325F3"/>
    <w:rsid w:val="00A33103"/>
    <w:rsid w:val="00A33294"/>
    <w:rsid w:val="00A35DCB"/>
    <w:rsid w:val="00A3617B"/>
    <w:rsid w:val="00A3690E"/>
    <w:rsid w:val="00A37751"/>
    <w:rsid w:val="00A406B1"/>
    <w:rsid w:val="00A4113E"/>
    <w:rsid w:val="00A42435"/>
    <w:rsid w:val="00A42726"/>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55B6"/>
    <w:rsid w:val="00A75B1A"/>
    <w:rsid w:val="00A773C3"/>
    <w:rsid w:val="00A80C2A"/>
    <w:rsid w:val="00A80ED4"/>
    <w:rsid w:val="00A816C4"/>
    <w:rsid w:val="00A82981"/>
    <w:rsid w:val="00A86F10"/>
    <w:rsid w:val="00A8795A"/>
    <w:rsid w:val="00A87AF2"/>
    <w:rsid w:val="00A90B23"/>
    <w:rsid w:val="00A93193"/>
    <w:rsid w:val="00A93C2B"/>
    <w:rsid w:val="00A94556"/>
    <w:rsid w:val="00A974CB"/>
    <w:rsid w:val="00AA1EAC"/>
    <w:rsid w:val="00AA45E2"/>
    <w:rsid w:val="00AA6D0A"/>
    <w:rsid w:val="00AA7AC1"/>
    <w:rsid w:val="00AB6327"/>
    <w:rsid w:val="00AB6B8F"/>
    <w:rsid w:val="00AC0C65"/>
    <w:rsid w:val="00AC0FB2"/>
    <w:rsid w:val="00AC3721"/>
    <w:rsid w:val="00AC41C6"/>
    <w:rsid w:val="00AC70C7"/>
    <w:rsid w:val="00AC76B7"/>
    <w:rsid w:val="00AD0223"/>
    <w:rsid w:val="00AD123A"/>
    <w:rsid w:val="00AD15FF"/>
    <w:rsid w:val="00AD1AA5"/>
    <w:rsid w:val="00AD2920"/>
    <w:rsid w:val="00AD2CD5"/>
    <w:rsid w:val="00AD2DFC"/>
    <w:rsid w:val="00AD38C4"/>
    <w:rsid w:val="00AD5A4A"/>
    <w:rsid w:val="00AD60EE"/>
    <w:rsid w:val="00AD6A2B"/>
    <w:rsid w:val="00AD73D4"/>
    <w:rsid w:val="00AE1EA2"/>
    <w:rsid w:val="00AE2874"/>
    <w:rsid w:val="00AE2F98"/>
    <w:rsid w:val="00AE3602"/>
    <w:rsid w:val="00AE5342"/>
    <w:rsid w:val="00AE5987"/>
    <w:rsid w:val="00AE6472"/>
    <w:rsid w:val="00AF1345"/>
    <w:rsid w:val="00AF38A8"/>
    <w:rsid w:val="00AF63EB"/>
    <w:rsid w:val="00B016D2"/>
    <w:rsid w:val="00B018EC"/>
    <w:rsid w:val="00B060C7"/>
    <w:rsid w:val="00B11AB7"/>
    <w:rsid w:val="00B12213"/>
    <w:rsid w:val="00B13710"/>
    <w:rsid w:val="00B219DD"/>
    <w:rsid w:val="00B22881"/>
    <w:rsid w:val="00B23EFC"/>
    <w:rsid w:val="00B24B72"/>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37DA7"/>
    <w:rsid w:val="00B400B8"/>
    <w:rsid w:val="00B404DE"/>
    <w:rsid w:val="00B40765"/>
    <w:rsid w:val="00B4232D"/>
    <w:rsid w:val="00B42682"/>
    <w:rsid w:val="00B43065"/>
    <w:rsid w:val="00B44784"/>
    <w:rsid w:val="00B449D0"/>
    <w:rsid w:val="00B456AB"/>
    <w:rsid w:val="00B46C2A"/>
    <w:rsid w:val="00B47E8B"/>
    <w:rsid w:val="00B51C67"/>
    <w:rsid w:val="00B53F86"/>
    <w:rsid w:val="00B53FDC"/>
    <w:rsid w:val="00B55431"/>
    <w:rsid w:val="00B55CAE"/>
    <w:rsid w:val="00B57683"/>
    <w:rsid w:val="00B576C6"/>
    <w:rsid w:val="00B57CA1"/>
    <w:rsid w:val="00B615F2"/>
    <w:rsid w:val="00B61A28"/>
    <w:rsid w:val="00B65C6D"/>
    <w:rsid w:val="00B66B06"/>
    <w:rsid w:val="00B67862"/>
    <w:rsid w:val="00B70634"/>
    <w:rsid w:val="00B7090A"/>
    <w:rsid w:val="00B70BE4"/>
    <w:rsid w:val="00B73880"/>
    <w:rsid w:val="00B73CF1"/>
    <w:rsid w:val="00B745B3"/>
    <w:rsid w:val="00B7599D"/>
    <w:rsid w:val="00B7648F"/>
    <w:rsid w:val="00B76E13"/>
    <w:rsid w:val="00B771EE"/>
    <w:rsid w:val="00B7765B"/>
    <w:rsid w:val="00B77B4B"/>
    <w:rsid w:val="00B80ABC"/>
    <w:rsid w:val="00B814C2"/>
    <w:rsid w:val="00B900FE"/>
    <w:rsid w:val="00B9064C"/>
    <w:rsid w:val="00B907E5"/>
    <w:rsid w:val="00BA0A14"/>
    <w:rsid w:val="00BA228D"/>
    <w:rsid w:val="00BA398D"/>
    <w:rsid w:val="00BA39D3"/>
    <w:rsid w:val="00BA5C56"/>
    <w:rsid w:val="00BA776F"/>
    <w:rsid w:val="00BB0C0D"/>
    <w:rsid w:val="00BB0D69"/>
    <w:rsid w:val="00BB366E"/>
    <w:rsid w:val="00BB3AF0"/>
    <w:rsid w:val="00BB4F70"/>
    <w:rsid w:val="00BB67FF"/>
    <w:rsid w:val="00BC11B9"/>
    <w:rsid w:val="00BC12F8"/>
    <w:rsid w:val="00BC138C"/>
    <w:rsid w:val="00BC14CF"/>
    <w:rsid w:val="00BC1659"/>
    <w:rsid w:val="00BC2C91"/>
    <w:rsid w:val="00BC3A9C"/>
    <w:rsid w:val="00BC5288"/>
    <w:rsid w:val="00BC6A71"/>
    <w:rsid w:val="00BC6B2F"/>
    <w:rsid w:val="00BD0637"/>
    <w:rsid w:val="00BD08A8"/>
    <w:rsid w:val="00BD1BAC"/>
    <w:rsid w:val="00BD1FA8"/>
    <w:rsid w:val="00BD25A6"/>
    <w:rsid w:val="00BD4C95"/>
    <w:rsid w:val="00BD65FC"/>
    <w:rsid w:val="00BD7660"/>
    <w:rsid w:val="00BE0666"/>
    <w:rsid w:val="00BE24B9"/>
    <w:rsid w:val="00BE2AE8"/>
    <w:rsid w:val="00BE2D55"/>
    <w:rsid w:val="00BE38DD"/>
    <w:rsid w:val="00BE4AB1"/>
    <w:rsid w:val="00BF16C3"/>
    <w:rsid w:val="00BF38E0"/>
    <w:rsid w:val="00BF44FA"/>
    <w:rsid w:val="00BF57E1"/>
    <w:rsid w:val="00C003B4"/>
    <w:rsid w:val="00C00A5F"/>
    <w:rsid w:val="00C042E0"/>
    <w:rsid w:val="00C051D9"/>
    <w:rsid w:val="00C06333"/>
    <w:rsid w:val="00C06F68"/>
    <w:rsid w:val="00C075BA"/>
    <w:rsid w:val="00C10A3A"/>
    <w:rsid w:val="00C11E20"/>
    <w:rsid w:val="00C1212B"/>
    <w:rsid w:val="00C1461D"/>
    <w:rsid w:val="00C15D16"/>
    <w:rsid w:val="00C20015"/>
    <w:rsid w:val="00C247DD"/>
    <w:rsid w:val="00C25B43"/>
    <w:rsid w:val="00C26A54"/>
    <w:rsid w:val="00C32216"/>
    <w:rsid w:val="00C3261C"/>
    <w:rsid w:val="00C3318B"/>
    <w:rsid w:val="00C33C20"/>
    <w:rsid w:val="00C35362"/>
    <w:rsid w:val="00C357EA"/>
    <w:rsid w:val="00C379F8"/>
    <w:rsid w:val="00C37A1C"/>
    <w:rsid w:val="00C42323"/>
    <w:rsid w:val="00C4316E"/>
    <w:rsid w:val="00C453A9"/>
    <w:rsid w:val="00C465D5"/>
    <w:rsid w:val="00C4756A"/>
    <w:rsid w:val="00C47C39"/>
    <w:rsid w:val="00C50649"/>
    <w:rsid w:val="00C50E1F"/>
    <w:rsid w:val="00C51C09"/>
    <w:rsid w:val="00C52BB6"/>
    <w:rsid w:val="00C53471"/>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3E86"/>
    <w:rsid w:val="00CA41C5"/>
    <w:rsid w:val="00CA42B7"/>
    <w:rsid w:val="00CA4A53"/>
    <w:rsid w:val="00CA51F5"/>
    <w:rsid w:val="00CB056D"/>
    <w:rsid w:val="00CB218A"/>
    <w:rsid w:val="00CB225A"/>
    <w:rsid w:val="00CB69E6"/>
    <w:rsid w:val="00CB761B"/>
    <w:rsid w:val="00CC13DF"/>
    <w:rsid w:val="00CC1EEE"/>
    <w:rsid w:val="00CC562B"/>
    <w:rsid w:val="00CC6C15"/>
    <w:rsid w:val="00CC7FCF"/>
    <w:rsid w:val="00CD2749"/>
    <w:rsid w:val="00CD2A60"/>
    <w:rsid w:val="00CD306F"/>
    <w:rsid w:val="00CD3971"/>
    <w:rsid w:val="00CD3DAB"/>
    <w:rsid w:val="00CE0DF1"/>
    <w:rsid w:val="00CE220B"/>
    <w:rsid w:val="00CE3786"/>
    <w:rsid w:val="00CE4027"/>
    <w:rsid w:val="00CE47CC"/>
    <w:rsid w:val="00CE68F6"/>
    <w:rsid w:val="00CE7E27"/>
    <w:rsid w:val="00CF22AC"/>
    <w:rsid w:val="00CF2F0A"/>
    <w:rsid w:val="00CF79E8"/>
    <w:rsid w:val="00D015AA"/>
    <w:rsid w:val="00D021B8"/>
    <w:rsid w:val="00D03D90"/>
    <w:rsid w:val="00D04024"/>
    <w:rsid w:val="00D043EB"/>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3080"/>
    <w:rsid w:val="00D84D5F"/>
    <w:rsid w:val="00D851E2"/>
    <w:rsid w:val="00D87FFA"/>
    <w:rsid w:val="00D91419"/>
    <w:rsid w:val="00D92898"/>
    <w:rsid w:val="00D92A09"/>
    <w:rsid w:val="00D92D2A"/>
    <w:rsid w:val="00D92EEC"/>
    <w:rsid w:val="00D93470"/>
    <w:rsid w:val="00D9352D"/>
    <w:rsid w:val="00D9395F"/>
    <w:rsid w:val="00D93D55"/>
    <w:rsid w:val="00D941FA"/>
    <w:rsid w:val="00D94B59"/>
    <w:rsid w:val="00D95315"/>
    <w:rsid w:val="00D95EAB"/>
    <w:rsid w:val="00DA05C8"/>
    <w:rsid w:val="00DA0B39"/>
    <w:rsid w:val="00DA0FEB"/>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2E80"/>
    <w:rsid w:val="00DC3631"/>
    <w:rsid w:val="00DC37F7"/>
    <w:rsid w:val="00DC6F54"/>
    <w:rsid w:val="00DD0C00"/>
    <w:rsid w:val="00DD0F8C"/>
    <w:rsid w:val="00DD116C"/>
    <w:rsid w:val="00DD23D5"/>
    <w:rsid w:val="00DD2AF1"/>
    <w:rsid w:val="00DD34A8"/>
    <w:rsid w:val="00DD46DA"/>
    <w:rsid w:val="00DD6072"/>
    <w:rsid w:val="00DD62BE"/>
    <w:rsid w:val="00DD77D9"/>
    <w:rsid w:val="00DD7CA4"/>
    <w:rsid w:val="00DE167C"/>
    <w:rsid w:val="00DE3B70"/>
    <w:rsid w:val="00DE5813"/>
    <w:rsid w:val="00DF10B1"/>
    <w:rsid w:val="00DF1FDA"/>
    <w:rsid w:val="00DF3DD0"/>
    <w:rsid w:val="00DF4D50"/>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3F71"/>
    <w:rsid w:val="00E26363"/>
    <w:rsid w:val="00E272A4"/>
    <w:rsid w:val="00E305F9"/>
    <w:rsid w:val="00E306AC"/>
    <w:rsid w:val="00E34446"/>
    <w:rsid w:val="00E3633B"/>
    <w:rsid w:val="00E36870"/>
    <w:rsid w:val="00E374E1"/>
    <w:rsid w:val="00E417AB"/>
    <w:rsid w:val="00E43D48"/>
    <w:rsid w:val="00E4542D"/>
    <w:rsid w:val="00E45BE0"/>
    <w:rsid w:val="00E46CAD"/>
    <w:rsid w:val="00E47521"/>
    <w:rsid w:val="00E4760C"/>
    <w:rsid w:val="00E507A6"/>
    <w:rsid w:val="00E5375C"/>
    <w:rsid w:val="00E561AD"/>
    <w:rsid w:val="00E57FAF"/>
    <w:rsid w:val="00E60BA9"/>
    <w:rsid w:val="00E60F3D"/>
    <w:rsid w:val="00E63510"/>
    <w:rsid w:val="00E635EA"/>
    <w:rsid w:val="00E655E5"/>
    <w:rsid w:val="00E65F4E"/>
    <w:rsid w:val="00E662E0"/>
    <w:rsid w:val="00E67D5D"/>
    <w:rsid w:val="00E71C7A"/>
    <w:rsid w:val="00E73119"/>
    <w:rsid w:val="00E73E1E"/>
    <w:rsid w:val="00E767FF"/>
    <w:rsid w:val="00E83564"/>
    <w:rsid w:val="00E84C91"/>
    <w:rsid w:val="00E84E60"/>
    <w:rsid w:val="00E8556E"/>
    <w:rsid w:val="00E86B2D"/>
    <w:rsid w:val="00E86F4D"/>
    <w:rsid w:val="00E87D08"/>
    <w:rsid w:val="00E90D0E"/>
    <w:rsid w:val="00E91B2D"/>
    <w:rsid w:val="00E92FCA"/>
    <w:rsid w:val="00E95CAA"/>
    <w:rsid w:val="00EA0A39"/>
    <w:rsid w:val="00EA0EB2"/>
    <w:rsid w:val="00EA236F"/>
    <w:rsid w:val="00EA3023"/>
    <w:rsid w:val="00EA3E49"/>
    <w:rsid w:val="00EA3FC8"/>
    <w:rsid w:val="00EA5B8C"/>
    <w:rsid w:val="00EA7F72"/>
    <w:rsid w:val="00EB0DC9"/>
    <w:rsid w:val="00EB1383"/>
    <w:rsid w:val="00EB252D"/>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D7669"/>
    <w:rsid w:val="00EE742D"/>
    <w:rsid w:val="00EF0A22"/>
    <w:rsid w:val="00EF1267"/>
    <w:rsid w:val="00EF180C"/>
    <w:rsid w:val="00EF3B6B"/>
    <w:rsid w:val="00EF4B43"/>
    <w:rsid w:val="00EF6750"/>
    <w:rsid w:val="00EF770B"/>
    <w:rsid w:val="00F02836"/>
    <w:rsid w:val="00F02FB5"/>
    <w:rsid w:val="00F0534E"/>
    <w:rsid w:val="00F05C30"/>
    <w:rsid w:val="00F10F1B"/>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337E"/>
    <w:rsid w:val="00F44CC0"/>
    <w:rsid w:val="00F450BA"/>
    <w:rsid w:val="00F4684B"/>
    <w:rsid w:val="00F46BE9"/>
    <w:rsid w:val="00F47C3B"/>
    <w:rsid w:val="00F506CA"/>
    <w:rsid w:val="00F53A7A"/>
    <w:rsid w:val="00F54FCD"/>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144B"/>
    <w:rsid w:val="00FC2169"/>
    <w:rsid w:val="00FC28E2"/>
    <w:rsid w:val="00FC3BF6"/>
    <w:rsid w:val="00FC3D22"/>
    <w:rsid w:val="00FC6FE1"/>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9305ADA"/>
    <w:rsid w:val="0E8013B7"/>
    <w:rsid w:val="10D604C6"/>
    <w:rsid w:val="11B515E0"/>
    <w:rsid w:val="13A53267"/>
    <w:rsid w:val="13F970D2"/>
    <w:rsid w:val="14AA4136"/>
    <w:rsid w:val="163A420B"/>
    <w:rsid w:val="19413B26"/>
    <w:rsid w:val="1C6D3688"/>
    <w:rsid w:val="1CC63D0A"/>
    <w:rsid w:val="1DC2081A"/>
    <w:rsid w:val="1DD94266"/>
    <w:rsid w:val="1F9D0947"/>
    <w:rsid w:val="1FFB29C6"/>
    <w:rsid w:val="22AF3620"/>
    <w:rsid w:val="22E70AD4"/>
    <w:rsid w:val="24F1508D"/>
    <w:rsid w:val="266F634F"/>
    <w:rsid w:val="291059EA"/>
    <w:rsid w:val="2BBF12EC"/>
    <w:rsid w:val="2BC649D9"/>
    <w:rsid w:val="3515160D"/>
    <w:rsid w:val="3C7D00D8"/>
    <w:rsid w:val="3CA06C0C"/>
    <w:rsid w:val="3EA25851"/>
    <w:rsid w:val="3F6C3757"/>
    <w:rsid w:val="405D6A10"/>
    <w:rsid w:val="41DA6594"/>
    <w:rsid w:val="444C1A75"/>
    <w:rsid w:val="44A3526F"/>
    <w:rsid w:val="44B032F4"/>
    <w:rsid w:val="457D25F7"/>
    <w:rsid w:val="468341CD"/>
    <w:rsid w:val="472C2589"/>
    <w:rsid w:val="4A760AEB"/>
    <w:rsid w:val="4F3162CA"/>
    <w:rsid w:val="4F6ECABD"/>
    <w:rsid w:val="50D95873"/>
    <w:rsid w:val="526102AF"/>
    <w:rsid w:val="528444DA"/>
    <w:rsid w:val="537745D5"/>
    <w:rsid w:val="552306F6"/>
    <w:rsid w:val="56E352D5"/>
    <w:rsid w:val="57E435FE"/>
    <w:rsid w:val="582D0655"/>
    <w:rsid w:val="5951205C"/>
    <w:rsid w:val="595423F5"/>
    <w:rsid w:val="59D079E8"/>
    <w:rsid w:val="59D40847"/>
    <w:rsid w:val="5AE37F25"/>
    <w:rsid w:val="5CB23D47"/>
    <w:rsid w:val="5DFFEB12"/>
    <w:rsid w:val="5EFFB80A"/>
    <w:rsid w:val="5FAF09C4"/>
    <w:rsid w:val="608C4642"/>
    <w:rsid w:val="62795572"/>
    <w:rsid w:val="64DD6417"/>
    <w:rsid w:val="66004745"/>
    <w:rsid w:val="6A567F20"/>
    <w:rsid w:val="6CD97953"/>
    <w:rsid w:val="6E2ABDF1"/>
    <w:rsid w:val="6ED30FD7"/>
    <w:rsid w:val="727D78FD"/>
    <w:rsid w:val="73CC655F"/>
    <w:rsid w:val="73FF94DD"/>
    <w:rsid w:val="75957445"/>
    <w:rsid w:val="75D01AE1"/>
    <w:rsid w:val="77524363"/>
    <w:rsid w:val="77B917B5"/>
    <w:rsid w:val="78703975"/>
    <w:rsid w:val="79976616"/>
    <w:rsid w:val="7BE420FD"/>
    <w:rsid w:val="7D0D296B"/>
    <w:rsid w:val="7D4E0B54"/>
    <w:rsid w:val="7D503E78"/>
    <w:rsid w:val="7E0160D4"/>
    <w:rsid w:val="ACD345D8"/>
    <w:rsid w:val="BDEF490B"/>
    <w:rsid w:val="E6FE1908"/>
    <w:rsid w:val="EFFF348D"/>
    <w:rsid w:val="FFF64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9"/>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9"/>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9"/>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9"/>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9"/>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9"/>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出段落 字符"/>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33B1F8FD-88F9-4DC9-BD87-3A6EC16255C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78</Pages>
  <Words>8544</Words>
  <Characters>48701</Characters>
  <Lines>405</Lines>
  <Paragraphs>114</Paragraphs>
  <TotalTime>126</TotalTime>
  <ScaleCrop>false</ScaleCrop>
  <LinksUpToDate>false</LinksUpToDate>
  <CharactersWithSpaces>57131</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2025-10-25T21:18:00Z</dcterms:created>
  <dc:creator>gtig_tzb</dc:creator>
  <cp:lastModifiedBy>董  晴</cp:lastModifiedBy>
  <cp:lastPrinted>2020-08-08T04:08:00Z</cp:lastPrinted>
  <dcterms:modified xsi:type="dcterms:W3CDTF">2025-12-30T14:50:23Z</dcterms:modified>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046FA55D25316492881F5369CC515ECE_43</vt:lpwstr>
  </property>
</Properties>
</file>