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rPr>
          <w:rFonts w:hint="eastAsia"/>
          <w:sz w:val="28"/>
          <w:szCs w:val="28"/>
        </w:rPr>
      </w:pPr>
      <w:r>
        <w:rPr>
          <w:rFonts w:hint="eastAsia"/>
          <w:sz w:val="28"/>
          <w:szCs w:val="28"/>
        </w:rPr>
        <w:t>一、设备技术需求</w:t>
      </w:r>
    </w:p>
    <w:p>
      <w:pPr>
        <w:spacing w:line="276" w:lineRule="auto"/>
        <w:rPr>
          <w:rFonts w:hint="eastAsia"/>
          <w:sz w:val="28"/>
          <w:szCs w:val="28"/>
        </w:rPr>
      </w:pPr>
      <w:r>
        <w:rPr>
          <w:sz w:val="28"/>
          <w:szCs w:val="28"/>
        </w:rPr>
        <w:t>1、技术指标</w:t>
      </w:r>
    </w:p>
    <w:p>
      <w:pPr>
        <w:spacing w:line="360" w:lineRule="auto"/>
        <w:rPr>
          <w:rFonts w:hint="eastAsia"/>
          <w:b/>
          <w:bCs/>
          <w:sz w:val="24"/>
          <w:szCs w:val="24"/>
        </w:rPr>
      </w:pPr>
      <w:r>
        <w:rPr>
          <w:rFonts w:hint="eastAsia"/>
          <w:b/>
          <w:bCs/>
          <w:sz w:val="24"/>
          <w:szCs w:val="24"/>
        </w:rPr>
        <w:t>（1）功能要求</w:t>
      </w:r>
    </w:p>
    <w:p>
      <w:pPr>
        <w:spacing w:line="360" w:lineRule="auto"/>
        <w:rPr>
          <w:rFonts w:hint="eastAsia"/>
          <w:bCs/>
          <w:sz w:val="24"/>
          <w:szCs w:val="24"/>
        </w:rPr>
      </w:pPr>
      <w:r>
        <w:rPr>
          <w:rFonts w:hint="eastAsia"/>
          <w:bCs/>
          <w:sz w:val="24"/>
          <w:szCs w:val="24"/>
        </w:rPr>
        <w:t>1）整体要求:</w:t>
      </w:r>
    </w:p>
    <w:p>
      <w:pPr>
        <w:spacing w:line="360" w:lineRule="auto"/>
        <w:rPr>
          <w:rFonts w:hint="eastAsia"/>
          <w:bCs/>
          <w:sz w:val="24"/>
          <w:szCs w:val="24"/>
        </w:rPr>
      </w:pPr>
      <w:r>
        <w:rPr>
          <w:rFonts w:hint="eastAsia"/>
          <w:bCs/>
          <w:sz w:val="24"/>
          <w:szCs w:val="24"/>
        </w:rPr>
        <w:t xml:space="preserve"> </w:t>
      </w:r>
      <w:r>
        <w:rPr>
          <w:bCs/>
          <w:sz w:val="24"/>
          <w:szCs w:val="24"/>
        </w:rPr>
        <w:t xml:space="preserve">   </w:t>
      </w:r>
      <w:r>
        <w:rPr>
          <w:rFonts w:hint="eastAsia"/>
          <w:bCs/>
          <w:sz w:val="24"/>
          <w:szCs w:val="24"/>
        </w:rPr>
        <w:t>本项目对190间公共教室的投影机进行改造，同步建设融合物联终端系统，集中接入并管理全部投影机，统一纳入学校现有智慧物联管理平台及AI智能巡检系统。要求注重教学体验提升与设备运行效能优化，全面完善教学环境与配套体系，优化使用体验，打造流畅舒适的授课环境，充分满足多样化教学场景需求。另一方面保障各类教学设备稳定、高效运转，兼顾使用感受与运行效率，持续稳定信息化教学基础，保证课堂教学质量稳步提升。本项目组织现场踏勘，投标方需进行现场勘察确保对项目需求有充分理解。因勘察不到位导致的任何偏差，投</w:t>
      </w:r>
    </w:p>
    <w:p>
      <w:pPr>
        <w:spacing w:line="360" w:lineRule="auto"/>
        <w:rPr>
          <w:rFonts w:hint="eastAsia"/>
          <w:bCs/>
          <w:sz w:val="24"/>
          <w:szCs w:val="24"/>
        </w:rPr>
      </w:pPr>
      <w:r>
        <w:rPr>
          <w:rFonts w:hint="eastAsia"/>
          <w:bCs/>
          <w:sz w:val="24"/>
          <w:szCs w:val="24"/>
        </w:rPr>
        <w:t>标方需自行承担后果。</w:t>
      </w:r>
    </w:p>
    <w:p>
      <w:pPr>
        <w:spacing w:line="360" w:lineRule="auto"/>
        <w:rPr>
          <w:rFonts w:hint="eastAsia"/>
          <w:bCs/>
          <w:sz w:val="24"/>
          <w:szCs w:val="24"/>
        </w:rPr>
      </w:pPr>
      <w:r>
        <w:rPr>
          <w:rFonts w:hint="eastAsia"/>
          <w:bCs/>
          <w:sz w:val="24"/>
          <w:szCs w:val="24"/>
        </w:rPr>
        <w:t>2）核心功能:</w:t>
      </w:r>
    </w:p>
    <w:p>
      <w:pPr>
        <w:spacing w:line="360" w:lineRule="auto"/>
        <w:rPr>
          <w:rFonts w:hint="eastAsia"/>
          <w:bCs/>
          <w:sz w:val="24"/>
          <w:szCs w:val="24"/>
        </w:rPr>
      </w:pPr>
      <w:r>
        <w:rPr>
          <w:bCs/>
          <w:sz w:val="24"/>
          <w:szCs w:val="24"/>
        </w:rPr>
        <w:t xml:space="preserve">    </w:t>
      </w:r>
      <w:r>
        <w:rPr>
          <w:rFonts w:hint="eastAsia"/>
          <w:bCs/>
          <w:sz w:val="24"/>
          <w:szCs w:val="24"/>
        </w:rPr>
        <w:t>优化视觉效果，全面提升课堂体验。全新投影机要求亮度充足、成像清晰、</w:t>
      </w:r>
    </w:p>
    <w:p>
      <w:pPr>
        <w:spacing w:line="360" w:lineRule="auto"/>
        <w:rPr>
          <w:rFonts w:hint="eastAsia"/>
          <w:bCs/>
          <w:sz w:val="24"/>
          <w:szCs w:val="24"/>
        </w:rPr>
      </w:pPr>
      <w:r>
        <w:rPr>
          <w:rFonts w:hint="eastAsia"/>
          <w:bCs/>
          <w:sz w:val="24"/>
          <w:szCs w:val="24"/>
        </w:rPr>
        <w:t>色彩还原度高，画面无模糊、偏色、残影等问题，教室各个位置的学生都能清晰观看课件、影音素材。彻底改善老旧设备画质差的问题，打造优质视觉环境，充分调动课堂学习氛围，提升师生整体上课感受。画质稳定可靠，保障教学高效开展。要求长时间使用下画面亮度稳定、色彩无衰减，具备良好的散热性能和光源寿命，可满足高频率、长课时教学场景的连续工作需求。大幅降低因灯泡衰减、过热保护等导致的画面变暗或停机故障，减少课堂上因设备问题中断教学的情况，为常态化教学秩序提供坚实保障。</w:t>
      </w:r>
    </w:p>
    <w:p>
      <w:pPr>
        <w:spacing w:line="360" w:lineRule="auto"/>
        <w:ind w:firstLine="480" w:firstLineChars="200"/>
        <w:rPr>
          <w:rFonts w:hint="eastAsia"/>
          <w:bCs/>
          <w:sz w:val="24"/>
          <w:szCs w:val="24"/>
        </w:rPr>
      </w:pPr>
      <w:r>
        <w:rPr>
          <w:rFonts w:hint="eastAsia"/>
          <w:bCs/>
          <w:sz w:val="24"/>
          <w:szCs w:val="24"/>
        </w:rPr>
        <w:t>可集中管控，提升运维效率。通过融合物联终端集中接入投影机，实现对所有投影机的远程开关机、信号源切换、状态监测及故障自动告警。终端需与学校现有智慧教室管理平台及AI智能巡检系统对接，支持平台对投影机进行远程控制和策略指令执行，同时主动推送设备运行状态数据，满足自动化巡检与故障预警的数据采集需求。</w:t>
      </w:r>
    </w:p>
    <w:p>
      <w:pPr>
        <w:spacing w:line="360" w:lineRule="auto"/>
        <w:rPr>
          <w:rFonts w:hint="eastAsia"/>
          <w:bCs/>
          <w:sz w:val="24"/>
          <w:szCs w:val="24"/>
        </w:rPr>
      </w:pPr>
      <w:r>
        <w:rPr>
          <w:rFonts w:hint="eastAsia"/>
          <w:bCs/>
          <w:sz w:val="24"/>
          <w:szCs w:val="24"/>
        </w:rPr>
        <w:t>3）平台概述：</w:t>
      </w:r>
    </w:p>
    <w:p>
      <w:pPr>
        <w:spacing w:line="360" w:lineRule="auto"/>
        <w:ind w:firstLine="480" w:firstLineChars="200"/>
        <w:rPr>
          <w:rFonts w:hint="eastAsia"/>
          <w:bCs/>
          <w:sz w:val="24"/>
          <w:szCs w:val="24"/>
        </w:rPr>
      </w:pPr>
      <w:r>
        <w:rPr>
          <w:rFonts w:hint="eastAsia"/>
          <w:bCs/>
          <w:sz w:val="24"/>
          <w:szCs w:val="24"/>
        </w:rPr>
        <w:t>学校现有智慧物联管理平台，平台提供全校教学空间物联感知设备与信息化终端的统一接入、集中管控与运行状态监测，支撑空间场景联动与设备全生命周期管理，采用B/S架构，具备基于HTTP/HTTPS的标准化API接口，支持第三方设备接入与集中管控。</w:t>
      </w:r>
    </w:p>
    <w:p>
      <w:pPr>
        <w:spacing w:line="360" w:lineRule="auto"/>
        <w:ind w:firstLine="480" w:firstLineChars="200"/>
        <w:rPr>
          <w:rFonts w:hint="eastAsia"/>
          <w:bCs/>
          <w:sz w:val="24"/>
          <w:szCs w:val="24"/>
        </w:rPr>
      </w:pPr>
      <w:r>
        <w:rPr>
          <w:rFonts w:hint="eastAsia"/>
          <w:bCs/>
          <w:sz w:val="24"/>
          <w:szCs w:val="24"/>
        </w:rPr>
        <w:t>学校现有AI智能巡检系统，系统具备对教室运行环境、显示设备、音频设备等关键设备的自动化巡检功能，用于实现设备故障的自动发现、智能预警与运维工单闭环管理，采用B/S架构，具备完整的本地化智能化运维分析算法能力，具备基于HTTP/HTTPS的标准化API接口，支持与智慧物联管理平台进行数据互通与工单联动。</w:t>
      </w:r>
    </w:p>
    <w:p>
      <w:pPr>
        <w:spacing w:line="360" w:lineRule="auto"/>
        <w:rPr>
          <w:rFonts w:hint="eastAsia"/>
          <w:bCs/>
          <w:sz w:val="24"/>
          <w:szCs w:val="24"/>
        </w:rPr>
      </w:pPr>
      <w:r>
        <w:rPr>
          <w:rFonts w:hint="eastAsia"/>
          <w:bCs/>
          <w:sz w:val="24"/>
          <w:szCs w:val="24"/>
        </w:rPr>
        <w:t>4）系统对接要求:</w:t>
      </w:r>
    </w:p>
    <w:p>
      <w:pPr>
        <w:spacing w:line="360" w:lineRule="auto"/>
        <w:ind w:firstLine="480" w:firstLineChars="200"/>
        <w:rPr>
          <w:rFonts w:hint="eastAsia"/>
          <w:bCs/>
          <w:sz w:val="24"/>
          <w:szCs w:val="24"/>
        </w:rPr>
      </w:pPr>
      <w:r>
        <w:rPr>
          <w:rFonts w:hint="eastAsia"/>
          <w:bCs/>
          <w:sz w:val="24"/>
          <w:szCs w:val="24"/>
        </w:rPr>
        <w:t>1.融合物联终端与学校现有智慧教室管理平台对接</w:t>
      </w:r>
    </w:p>
    <w:p>
      <w:pPr>
        <w:spacing w:line="360" w:lineRule="auto"/>
        <w:ind w:firstLine="480" w:firstLineChars="200"/>
        <w:rPr>
          <w:rFonts w:hint="eastAsia"/>
          <w:bCs/>
          <w:sz w:val="24"/>
          <w:szCs w:val="24"/>
        </w:rPr>
      </w:pPr>
      <w:r>
        <w:rPr>
          <w:rFonts w:hint="eastAsia"/>
          <w:bCs/>
          <w:sz w:val="24"/>
          <w:szCs w:val="24"/>
        </w:rPr>
        <w:t>融合物联终端需与学校现有智慧教室管理平台对接，通过标准网络协议实现平台对投影机进行远程开关机、信号源切换等操作，并能接收和执行平台下发的自动策略指令。</w:t>
      </w:r>
    </w:p>
    <w:p>
      <w:pPr>
        <w:spacing w:line="360" w:lineRule="auto"/>
        <w:ind w:firstLine="480" w:firstLineChars="200"/>
        <w:rPr>
          <w:rFonts w:hint="eastAsia"/>
          <w:bCs/>
          <w:sz w:val="24"/>
          <w:szCs w:val="24"/>
        </w:rPr>
      </w:pPr>
      <w:r>
        <w:rPr>
          <w:rFonts w:hint="eastAsia"/>
          <w:bCs/>
          <w:sz w:val="24"/>
          <w:szCs w:val="24"/>
        </w:rPr>
        <w:t>2.融合物联终端与学校现有AI智能巡检系统平台对接</w:t>
      </w:r>
    </w:p>
    <w:p>
      <w:pPr>
        <w:spacing w:line="360" w:lineRule="auto"/>
        <w:ind w:firstLine="480" w:firstLineChars="200"/>
        <w:rPr>
          <w:rFonts w:hint="eastAsia"/>
          <w:bCs/>
          <w:sz w:val="24"/>
          <w:szCs w:val="24"/>
        </w:rPr>
      </w:pPr>
      <w:r>
        <w:rPr>
          <w:rFonts w:hint="eastAsia"/>
          <w:bCs/>
          <w:sz w:val="24"/>
          <w:szCs w:val="24"/>
        </w:rPr>
        <w:t>融合物联终端需与学校现有AI智能巡检系统对接，通过标准网络协议向系统推送投影机的运行状态数据，包括但不限于：光源使用时长、当前输入信号、故障告警信息，并支持断线重连后缓存数据补发，满足自动化巡检与故障预警的数据采集需求。</w:t>
      </w:r>
    </w:p>
    <w:p>
      <w:pPr>
        <w:spacing w:line="360" w:lineRule="auto"/>
        <w:ind w:firstLine="480" w:firstLineChars="200"/>
        <w:rPr>
          <w:rFonts w:hint="eastAsia"/>
          <w:bCs/>
          <w:sz w:val="24"/>
          <w:szCs w:val="24"/>
        </w:rPr>
      </w:pPr>
      <w:r>
        <w:rPr>
          <w:rFonts w:hint="eastAsia"/>
          <w:bCs/>
          <w:sz w:val="24"/>
          <w:szCs w:val="24"/>
        </w:rPr>
        <w:t>注：所有对接工作需遵循学校数据安全规范与接口标准，实施阶段由学校提供相应接口文档，投标单位应在现场踏勘阶段充分了解现有系统环境，并在报价中综合考虑对接所需全部费用。</w:t>
      </w:r>
    </w:p>
    <w:p>
      <w:pPr>
        <w:spacing w:line="360" w:lineRule="auto"/>
        <w:rPr>
          <w:rFonts w:hint="eastAsia"/>
          <w:bCs/>
          <w:sz w:val="24"/>
          <w:szCs w:val="24"/>
        </w:rPr>
      </w:pPr>
      <w:r>
        <w:rPr>
          <w:rFonts w:hint="eastAsia"/>
          <w:bCs/>
          <w:sz w:val="24"/>
          <w:szCs w:val="24"/>
        </w:rPr>
        <w:t>5）视频演示要求</w:t>
      </w:r>
    </w:p>
    <w:p>
      <w:pPr>
        <w:spacing w:line="360" w:lineRule="auto"/>
        <w:ind w:firstLine="480" w:firstLineChars="200"/>
        <w:rPr>
          <w:rFonts w:hint="eastAsia"/>
          <w:bCs/>
          <w:sz w:val="24"/>
          <w:szCs w:val="24"/>
        </w:rPr>
      </w:pPr>
      <w:r>
        <w:rPr>
          <w:rFonts w:hint="eastAsia"/>
          <w:bCs/>
          <w:sz w:val="24"/>
          <w:szCs w:val="24"/>
        </w:rPr>
        <w:t>投标单位应将演示内容录制成视频，需在与本项目类似的案例现场真实环境中录制，对各项功能进行演示，标明每个功能演示项，视频内容应为真实操作过程的原始记录，只允许进行时长编辑，允许遮蔽敏感的个人信息、隐私信息和商业秘密的内容，但不允许进行实质性内容修改。视频总时长不超过 6 分钟。</w:t>
      </w:r>
    </w:p>
    <w:p>
      <w:pPr>
        <w:spacing w:line="360" w:lineRule="auto"/>
        <w:ind w:firstLine="480" w:firstLineChars="200"/>
        <w:rPr>
          <w:rFonts w:hint="eastAsia"/>
          <w:bCs/>
          <w:sz w:val="24"/>
          <w:szCs w:val="24"/>
        </w:rPr>
      </w:pPr>
      <w:r>
        <w:rPr>
          <w:rFonts w:hint="eastAsia"/>
          <w:bCs/>
          <w:sz w:val="24"/>
          <w:szCs w:val="24"/>
        </w:rPr>
        <w:t>注：仅要求投标人展示真实环境演示相关软件的前端界面，验证相产品的功能和操作便利性，拒绝采用PPT、截图、Demo原型等非真实系统方式演示。中标后，招标人有权要求中标人对视频内容与实际环境进行对照核实，如有实质性内容修改视为提供虚假材料。</w:t>
      </w:r>
    </w:p>
    <w:p>
      <w:pPr>
        <w:spacing w:line="360" w:lineRule="auto"/>
        <w:ind w:firstLine="480" w:firstLineChars="200"/>
        <w:rPr>
          <w:rFonts w:hint="eastAsia"/>
          <w:bCs/>
          <w:sz w:val="24"/>
          <w:szCs w:val="24"/>
        </w:rPr>
      </w:pPr>
      <w:r>
        <w:rPr>
          <w:rFonts w:hint="eastAsia"/>
          <w:bCs/>
          <w:sz w:val="24"/>
          <w:szCs w:val="24"/>
        </w:rPr>
        <w:t>演示融合物联终端的WEB管理功能，共计3项，具体如下：</w:t>
      </w:r>
    </w:p>
    <w:p>
      <w:pPr>
        <w:spacing w:line="360" w:lineRule="auto"/>
        <w:ind w:firstLine="480" w:firstLineChars="200"/>
        <w:rPr>
          <w:rFonts w:hint="eastAsia"/>
          <w:bCs/>
          <w:sz w:val="24"/>
          <w:szCs w:val="24"/>
        </w:rPr>
      </w:pPr>
      <w:r>
        <w:rPr>
          <w:rFonts w:hint="eastAsia"/>
          <w:bCs/>
          <w:sz w:val="24"/>
          <w:szCs w:val="24"/>
        </w:rPr>
        <w:t>1.设备总览：可查看教室多媒体设备，提供设备总览图，采用不同颜色图形界面展示包括但不限于全部设备数量、正常、离线、故障设备数；</w:t>
      </w:r>
    </w:p>
    <w:p>
      <w:pPr>
        <w:spacing w:line="360" w:lineRule="auto"/>
        <w:ind w:firstLine="480" w:firstLineChars="200"/>
        <w:rPr>
          <w:rFonts w:hint="eastAsia"/>
          <w:bCs/>
          <w:sz w:val="24"/>
          <w:szCs w:val="24"/>
        </w:rPr>
      </w:pPr>
      <w:r>
        <w:rPr>
          <w:rFonts w:hint="eastAsia"/>
          <w:bCs/>
          <w:sz w:val="24"/>
          <w:szCs w:val="24"/>
        </w:rPr>
        <w:t>2.资产信息查看：支持查看设备的基本信息，包含但不限于设备类型、品牌、型号、协议等，支持查看设备的状态；</w:t>
      </w:r>
    </w:p>
    <w:p>
      <w:pPr>
        <w:spacing w:line="360" w:lineRule="auto"/>
        <w:ind w:firstLine="480" w:firstLineChars="200"/>
        <w:rPr>
          <w:rFonts w:hint="eastAsia"/>
          <w:bCs/>
          <w:sz w:val="24"/>
          <w:szCs w:val="24"/>
        </w:rPr>
      </w:pPr>
      <w:r>
        <w:rPr>
          <w:rFonts w:hint="eastAsia"/>
          <w:bCs/>
          <w:sz w:val="24"/>
          <w:szCs w:val="24"/>
        </w:rPr>
        <w:t>3.设备使用记录：提供设备操作日志，包括但不限于操作者、操作时间、操作名称、设备名称、操作指令等。</w:t>
      </w:r>
    </w:p>
    <w:p>
      <w:pPr>
        <w:spacing w:line="360" w:lineRule="auto"/>
        <w:rPr>
          <w:rFonts w:hint="eastAsia"/>
          <w:bCs/>
          <w:sz w:val="24"/>
          <w:szCs w:val="24"/>
        </w:rPr>
      </w:pPr>
      <w:r>
        <w:rPr>
          <w:rFonts w:hint="eastAsia"/>
          <w:bCs/>
          <w:sz w:val="24"/>
          <w:szCs w:val="24"/>
        </w:rPr>
        <w:t>6）</w:t>
      </w:r>
      <w:r>
        <w:rPr>
          <w:rFonts w:hint="eastAsia"/>
          <w:bCs/>
          <w:sz w:val="24"/>
          <w:szCs w:val="24"/>
        </w:rPr>
        <w:tab/>
      </w:r>
      <w:r>
        <w:rPr>
          <w:rFonts w:hint="eastAsia"/>
          <w:bCs/>
          <w:sz w:val="24"/>
          <w:szCs w:val="24"/>
        </w:rPr>
        <w:t>技术指标及性能参数</w:t>
      </w:r>
    </w:p>
    <w:p>
      <w:pPr>
        <w:spacing w:line="360" w:lineRule="auto"/>
        <w:ind w:firstLine="480" w:firstLineChars="200"/>
        <w:rPr>
          <w:rFonts w:hint="eastAsia"/>
          <w:bCs/>
          <w:sz w:val="24"/>
          <w:szCs w:val="24"/>
        </w:rPr>
      </w:pPr>
    </w:p>
    <w:p>
      <w:pPr>
        <w:spacing w:line="360" w:lineRule="auto"/>
        <w:ind w:firstLine="480" w:firstLineChars="200"/>
        <w:rPr>
          <w:rFonts w:hint="eastAsia"/>
          <w:bCs/>
          <w:sz w:val="24"/>
          <w:szCs w:val="24"/>
        </w:rPr>
      </w:pPr>
      <w:r>
        <w:rPr>
          <w:rFonts w:hint="eastAsia"/>
          <w:bCs/>
          <w:sz w:val="24"/>
          <w:szCs w:val="24"/>
        </w:rPr>
        <w:t>6.1 技术规格及要求表：</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2"/>
        <w:gridCol w:w="6591"/>
        <w:gridCol w:w="10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35" w:type="pct"/>
            <w:vAlign w:val="center"/>
          </w:tcPr>
          <w:p>
            <w:pPr>
              <w:widowControl/>
              <w:jc w:val="center"/>
              <w:rPr>
                <w:rFonts w:hint="eastAsia" w:cs="宋体"/>
                <w:b/>
                <w:bCs/>
                <w:kern w:val="0"/>
                <w:sz w:val="24"/>
                <w:szCs w:val="24"/>
              </w:rPr>
            </w:pPr>
            <w:r>
              <w:rPr>
                <w:rFonts w:hint="eastAsia" w:cs="宋体"/>
                <w:b/>
                <w:bCs/>
                <w:kern w:val="0"/>
                <w:sz w:val="24"/>
                <w:szCs w:val="24"/>
              </w:rPr>
              <w:t>名称</w:t>
            </w:r>
          </w:p>
        </w:tc>
        <w:tc>
          <w:tcPr>
            <w:tcW w:w="3867" w:type="pct"/>
            <w:vAlign w:val="center"/>
          </w:tcPr>
          <w:p>
            <w:pPr>
              <w:widowControl/>
              <w:jc w:val="center"/>
              <w:rPr>
                <w:rFonts w:hint="eastAsia" w:cs="宋体"/>
                <w:b/>
                <w:bCs/>
                <w:kern w:val="0"/>
                <w:sz w:val="24"/>
                <w:szCs w:val="24"/>
              </w:rPr>
            </w:pPr>
            <w:r>
              <w:rPr>
                <w:rFonts w:hint="eastAsia" w:cs="宋体"/>
                <w:b/>
                <w:bCs/>
                <w:kern w:val="0"/>
                <w:sz w:val="24"/>
                <w:szCs w:val="24"/>
              </w:rPr>
              <w:t>各项指标要求</w:t>
            </w:r>
          </w:p>
        </w:tc>
        <w:tc>
          <w:tcPr>
            <w:tcW w:w="598" w:type="pct"/>
          </w:tcPr>
          <w:p>
            <w:pPr>
              <w:widowControl/>
              <w:jc w:val="center"/>
              <w:rPr>
                <w:rFonts w:hint="eastAsia" w:cs="宋体"/>
                <w:b/>
                <w:bCs/>
                <w:kern w:val="0"/>
                <w:sz w:val="24"/>
                <w:szCs w:val="24"/>
              </w:rPr>
            </w:pPr>
            <w:r>
              <w:rPr>
                <w:rFonts w:hint="eastAsia" w:cs="宋体"/>
                <w:b/>
                <w:bCs/>
                <w:kern w:val="0"/>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535" w:type="pct"/>
            <w:vAlign w:val="center"/>
          </w:tcPr>
          <w:p>
            <w:pPr>
              <w:widowControl/>
              <w:jc w:val="center"/>
              <w:rPr>
                <w:rFonts w:hint="eastAsia" w:eastAsia="宋体" w:cs="宋体"/>
                <w:b/>
                <w:bCs/>
                <w:kern w:val="0"/>
                <w:sz w:val="24"/>
                <w:szCs w:val="24"/>
                <w:lang w:eastAsia="zh-CN"/>
              </w:rPr>
            </w:pPr>
            <w:r>
              <w:rPr>
                <w:rFonts w:hint="eastAsia" w:cs="宋体"/>
                <w:b/>
                <w:bCs/>
                <w:color w:val="FF0000"/>
                <w:kern w:val="0"/>
                <w:sz w:val="24"/>
                <w:szCs w:val="24"/>
              </w:rPr>
              <w:t>投影机</w:t>
            </w:r>
            <w:r>
              <w:rPr>
                <w:rFonts w:hint="eastAsia" w:cs="宋体"/>
                <w:b/>
                <w:bCs/>
                <w:color w:val="FF0000"/>
                <w:kern w:val="0"/>
                <w:sz w:val="24"/>
                <w:szCs w:val="24"/>
                <w:lang w:eastAsia="zh-CN"/>
              </w:rPr>
              <w:t>（核心产品</w:t>
            </w:r>
            <w:bookmarkStart w:id="0" w:name="_GoBack"/>
            <w:bookmarkEnd w:id="0"/>
            <w:r>
              <w:rPr>
                <w:rFonts w:hint="eastAsia" w:cs="宋体"/>
                <w:b/>
                <w:bCs/>
                <w:color w:val="FF0000"/>
                <w:kern w:val="0"/>
                <w:sz w:val="24"/>
                <w:szCs w:val="24"/>
                <w:lang w:eastAsia="zh-CN"/>
              </w:rPr>
              <w:t>）</w:t>
            </w:r>
          </w:p>
        </w:tc>
        <w:tc>
          <w:tcPr>
            <w:tcW w:w="3867" w:type="pct"/>
            <w:vAlign w:val="center"/>
          </w:tcPr>
          <w:p>
            <w:pPr>
              <w:spacing w:line="360" w:lineRule="auto"/>
              <w:rPr>
                <w:rFonts w:hint="eastAsia" w:cs="宋体"/>
                <w:kern w:val="0"/>
                <w:sz w:val="24"/>
                <w:szCs w:val="24"/>
                <w:highlight w:val="none"/>
              </w:rPr>
            </w:pPr>
            <w:r>
              <w:rPr>
                <w:rFonts w:hint="eastAsia" w:cs="宋体"/>
                <w:kern w:val="0"/>
                <w:sz w:val="24"/>
                <w:szCs w:val="24"/>
                <w:highlight w:val="none"/>
              </w:rPr>
              <w:t xml:space="preserve">▲1.光源类型：激光二极管； </w:t>
            </w:r>
          </w:p>
          <w:p>
            <w:pPr>
              <w:spacing w:line="360" w:lineRule="auto"/>
              <w:rPr>
                <w:rFonts w:hint="eastAsia" w:cs="宋体"/>
                <w:kern w:val="0"/>
                <w:sz w:val="24"/>
                <w:szCs w:val="24"/>
                <w:highlight w:val="none"/>
              </w:rPr>
            </w:pPr>
            <w:r>
              <w:rPr>
                <w:rFonts w:hint="eastAsia" w:cs="宋体"/>
                <w:kern w:val="0"/>
                <w:sz w:val="24"/>
                <w:szCs w:val="24"/>
                <w:highlight w:val="none"/>
              </w:rPr>
              <w:t>★2.显示技术：3LCD；液晶面板尺寸：≥0.64英寸；</w:t>
            </w:r>
          </w:p>
          <w:p>
            <w:pPr>
              <w:spacing w:line="360" w:lineRule="auto"/>
              <w:rPr>
                <w:rFonts w:hint="eastAsia" w:cs="宋体"/>
                <w:kern w:val="0"/>
                <w:sz w:val="24"/>
                <w:szCs w:val="24"/>
                <w:highlight w:val="none"/>
              </w:rPr>
            </w:pPr>
            <w:r>
              <w:rPr>
                <w:rFonts w:hint="eastAsia" w:cs="宋体"/>
                <w:kern w:val="0"/>
                <w:sz w:val="24"/>
                <w:szCs w:val="24"/>
                <w:highlight w:val="none"/>
              </w:rPr>
              <w:t>★3.输出分辨率：≥1920x1200；</w:t>
            </w:r>
          </w:p>
          <w:p>
            <w:pPr>
              <w:spacing w:line="360" w:lineRule="auto"/>
              <w:rPr>
                <w:rFonts w:hint="eastAsia" w:cs="宋体"/>
                <w:kern w:val="0"/>
                <w:sz w:val="24"/>
                <w:szCs w:val="24"/>
                <w:highlight w:val="none"/>
              </w:rPr>
            </w:pPr>
            <w:r>
              <w:rPr>
                <w:rFonts w:hint="eastAsia" w:cs="宋体"/>
                <w:kern w:val="0"/>
                <w:sz w:val="24"/>
                <w:szCs w:val="24"/>
                <w:highlight w:val="none"/>
              </w:rPr>
              <w:t>★4.标称亮度：≥5500 ISO 流明；</w:t>
            </w:r>
          </w:p>
          <w:p>
            <w:pPr>
              <w:spacing w:line="360" w:lineRule="auto"/>
              <w:rPr>
                <w:rFonts w:hint="eastAsia" w:cs="宋体"/>
                <w:kern w:val="0"/>
                <w:sz w:val="24"/>
                <w:szCs w:val="24"/>
              </w:rPr>
            </w:pPr>
            <w:r>
              <w:rPr>
                <w:rFonts w:hint="eastAsia" w:cs="宋体"/>
                <w:kern w:val="0"/>
                <w:sz w:val="24"/>
                <w:szCs w:val="24"/>
              </w:rPr>
              <w:t>5.宽高比：16:10（需兼容4:3）；</w:t>
            </w:r>
          </w:p>
          <w:p>
            <w:pPr>
              <w:spacing w:line="360" w:lineRule="auto"/>
              <w:rPr>
                <w:rFonts w:hint="eastAsia" w:cs="宋体"/>
                <w:kern w:val="0"/>
                <w:sz w:val="24"/>
                <w:szCs w:val="24"/>
              </w:rPr>
            </w:pPr>
            <w:r>
              <w:rPr>
                <w:rFonts w:hint="eastAsia" w:cs="宋体"/>
                <w:kern w:val="0"/>
                <w:sz w:val="24"/>
                <w:szCs w:val="24"/>
              </w:rPr>
              <w:t>6.对比度：≥2000000:1；</w:t>
            </w:r>
          </w:p>
          <w:p>
            <w:pPr>
              <w:spacing w:line="360" w:lineRule="auto"/>
              <w:rPr>
                <w:rFonts w:hint="eastAsia" w:cs="宋体"/>
                <w:kern w:val="0"/>
                <w:sz w:val="24"/>
                <w:szCs w:val="24"/>
              </w:rPr>
            </w:pPr>
            <w:r>
              <w:rPr>
                <w:rFonts w:hint="eastAsia" w:cs="宋体"/>
                <w:kern w:val="0"/>
                <w:sz w:val="24"/>
                <w:szCs w:val="24"/>
              </w:rPr>
              <w:t>7.光源寿命：正常模式：≥20,000小时，经济模式：≥25000小时；</w:t>
            </w:r>
          </w:p>
          <w:p>
            <w:pPr>
              <w:spacing w:line="360" w:lineRule="auto"/>
              <w:rPr>
                <w:rFonts w:hint="eastAsia" w:cs="宋体"/>
                <w:kern w:val="0"/>
                <w:sz w:val="24"/>
                <w:szCs w:val="24"/>
              </w:rPr>
            </w:pPr>
            <w:r>
              <w:rPr>
                <w:rFonts w:hint="eastAsia" w:cs="宋体"/>
                <w:kern w:val="0"/>
                <w:sz w:val="24"/>
                <w:szCs w:val="24"/>
              </w:rPr>
              <w:t xml:space="preserve">▲8.镜头投射比：1.37~1.65:1； </w:t>
            </w:r>
          </w:p>
          <w:p>
            <w:pPr>
              <w:spacing w:line="360" w:lineRule="auto"/>
              <w:rPr>
                <w:rFonts w:hint="eastAsia" w:cs="宋体"/>
                <w:kern w:val="0"/>
                <w:sz w:val="24"/>
                <w:szCs w:val="24"/>
              </w:rPr>
            </w:pPr>
            <w:r>
              <w:rPr>
                <w:rFonts w:hint="eastAsia" w:cs="宋体"/>
                <w:kern w:val="0"/>
                <w:sz w:val="24"/>
                <w:szCs w:val="24"/>
              </w:rPr>
              <w:t xml:space="preserve">▲9.噪音水平：正常模式≤35db，节能模式：≤28db； </w:t>
            </w:r>
          </w:p>
          <w:p>
            <w:pPr>
              <w:spacing w:line="360" w:lineRule="auto"/>
              <w:rPr>
                <w:rFonts w:hint="eastAsia" w:cs="宋体"/>
                <w:kern w:val="0"/>
                <w:sz w:val="24"/>
                <w:szCs w:val="24"/>
              </w:rPr>
            </w:pPr>
            <w:r>
              <w:rPr>
                <w:rFonts w:hint="eastAsia" w:cs="宋体"/>
                <w:kern w:val="0"/>
                <w:sz w:val="24"/>
                <w:szCs w:val="24"/>
              </w:rPr>
              <w:t>10.输入接口不少于：HDMIx2,VGAx1,RCAx1,3.5mmx1；</w:t>
            </w:r>
          </w:p>
          <w:p>
            <w:pPr>
              <w:spacing w:line="360" w:lineRule="auto"/>
              <w:rPr>
                <w:rFonts w:hint="eastAsia" w:cs="宋体"/>
                <w:kern w:val="0"/>
                <w:sz w:val="24"/>
                <w:szCs w:val="24"/>
              </w:rPr>
            </w:pPr>
            <w:r>
              <w:rPr>
                <w:rFonts w:hint="eastAsia" w:cs="宋体"/>
                <w:kern w:val="0"/>
                <w:sz w:val="24"/>
                <w:szCs w:val="24"/>
              </w:rPr>
              <w:t>11.输出接口不少于：VGAx1，3.5mmx1；</w:t>
            </w:r>
          </w:p>
          <w:p>
            <w:pPr>
              <w:spacing w:line="360" w:lineRule="auto"/>
              <w:rPr>
                <w:rFonts w:hint="eastAsia" w:cs="宋体"/>
                <w:kern w:val="0"/>
                <w:sz w:val="24"/>
                <w:szCs w:val="24"/>
              </w:rPr>
            </w:pPr>
            <w:r>
              <w:rPr>
                <w:rFonts w:hint="eastAsia" w:cs="宋体"/>
                <w:kern w:val="0"/>
                <w:sz w:val="24"/>
                <w:szCs w:val="24"/>
              </w:rPr>
              <w:t>12.其他接口不少于：RS232x1,RJ45x1,Type-Ax2；</w:t>
            </w:r>
          </w:p>
          <w:p>
            <w:pPr>
              <w:spacing w:line="360" w:lineRule="auto"/>
              <w:rPr>
                <w:rFonts w:hint="eastAsia" w:cs="宋体"/>
                <w:kern w:val="0"/>
                <w:sz w:val="24"/>
                <w:szCs w:val="24"/>
              </w:rPr>
            </w:pPr>
            <w:r>
              <w:rPr>
                <w:rFonts w:hint="eastAsia" w:cs="宋体"/>
                <w:kern w:val="0"/>
                <w:sz w:val="24"/>
                <w:szCs w:val="24"/>
              </w:rPr>
              <w:t>▲13.具备垂直和水平梯形校正，</w:t>
            </w:r>
            <w:r>
              <w:rPr>
                <w:rFonts w:cs="宋体"/>
                <w:kern w:val="0"/>
                <w:sz w:val="24"/>
                <w:szCs w:val="24"/>
              </w:rPr>
              <w:t>满足或优于垂直±40°</w:t>
            </w:r>
            <w:r>
              <w:rPr>
                <w:rFonts w:hint="eastAsia" w:cs="宋体"/>
                <w:kern w:val="0"/>
                <w:sz w:val="24"/>
                <w:szCs w:val="24"/>
              </w:rPr>
              <w:t>、</w:t>
            </w:r>
            <w:r>
              <w:rPr>
                <w:rFonts w:cs="宋体"/>
                <w:kern w:val="0"/>
                <w:sz w:val="24"/>
                <w:szCs w:val="24"/>
              </w:rPr>
              <w:t>水平±15°</w:t>
            </w:r>
            <w:r>
              <w:rPr>
                <w:rFonts w:hint="eastAsia" w:cs="宋体"/>
                <w:kern w:val="0"/>
                <w:sz w:val="24"/>
                <w:szCs w:val="24"/>
              </w:rPr>
              <w:t>；</w:t>
            </w:r>
          </w:p>
          <w:p>
            <w:pPr>
              <w:spacing w:line="360" w:lineRule="auto"/>
              <w:rPr>
                <w:rFonts w:hint="eastAsia" w:cs="宋体"/>
                <w:kern w:val="0"/>
                <w:sz w:val="24"/>
                <w:szCs w:val="24"/>
              </w:rPr>
            </w:pPr>
            <w:r>
              <w:rPr>
                <w:rFonts w:hint="eastAsia" w:cs="宋体"/>
                <w:kern w:val="0"/>
                <w:sz w:val="24"/>
                <w:szCs w:val="24"/>
              </w:rPr>
              <w:t>14.需包含22幅150寸16：10幕布、78幅120寸16：10幕布；</w:t>
            </w:r>
          </w:p>
          <w:p>
            <w:pPr>
              <w:spacing w:line="360" w:lineRule="auto"/>
              <w:rPr>
                <w:rFonts w:hint="eastAsia" w:cs="宋体"/>
                <w:kern w:val="0"/>
                <w:sz w:val="24"/>
                <w:szCs w:val="24"/>
              </w:rPr>
            </w:pPr>
            <w:r>
              <w:rPr>
                <w:rFonts w:hint="eastAsia" w:cs="宋体"/>
                <w:kern w:val="0"/>
                <w:sz w:val="24"/>
                <w:szCs w:val="24"/>
              </w:rPr>
              <w:t>15.需具备标准网络管理协议（如PJLink等），支持远程开关机、信号源切换等远程控制操作；需开放设备运行状态数据，包括但不限于：光源使用时长、当前输入信号、故障告警信息等；</w:t>
            </w:r>
          </w:p>
          <w:p>
            <w:pPr>
              <w:spacing w:line="360" w:lineRule="auto"/>
              <w:rPr>
                <w:rFonts w:hint="eastAsia" w:cs="宋体"/>
                <w:kern w:val="0"/>
                <w:sz w:val="24"/>
                <w:szCs w:val="24"/>
              </w:rPr>
            </w:pPr>
            <w:r>
              <w:rPr>
                <w:rFonts w:hint="eastAsia" w:cs="宋体"/>
                <w:kern w:val="0"/>
                <w:sz w:val="24"/>
                <w:szCs w:val="24"/>
              </w:rPr>
              <w:t>16.配套所需的所有HDMI线、电源线、网线等线材、转接头等配件、安装辅件等。</w:t>
            </w:r>
          </w:p>
        </w:tc>
        <w:tc>
          <w:tcPr>
            <w:tcW w:w="598" w:type="pct"/>
          </w:tcPr>
          <w:p>
            <w:pPr>
              <w:spacing w:line="360" w:lineRule="auto"/>
              <w:rPr>
                <w:rFonts w:hint="eastAsia" w:cs="宋体"/>
                <w:kern w:val="0"/>
                <w:sz w:val="24"/>
                <w:szCs w:val="24"/>
              </w:rPr>
            </w:pPr>
            <w:r>
              <w:rPr>
                <w:rFonts w:hint="eastAsia" w:cs="宋体"/>
                <w:kern w:val="0"/>
                <w:sz w:val="24"/>
                <w:szCs w:val="24"/>
              </w:rPr>
              <w:t>190台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535" w:type="pct"/>
            <w:vAlign w:val="center"/>
          </w:tcPr>
          <w:p>
            <w:pPr>
              <w:widowControl/>
              <w:jc w:val="center"/>
              <w:rPr>
                <w:rFonts w:hint="eastAsia" w:cs="宋体"/>
                <w:b/>
                <w:bCs/>
                <w:color w:val="FF0000"/>
                <w:kern w:val="0"/>
                <w:sz w:val="24"/>
                <w:szCs w:val="24"/>
              </w:rPr>
            </w:pPr>
            <w:r>
              <w:rPr>
                <w:rFonts w:hint="eastAsia" w:cs="宋体"/>
                <w:b/>
                <w:bCs/>
                <w:color w:val="FF0000"/>
                <w:kern w:val="0"/>
                <w:sz w:val="24"/>
                <w:szCs w:val="24"/>
              </w:rPr>
              <w:t>融合物联终端</w:t>
            </w:r>
          </w:p>
        </w:tc>
        <w:tc>
          <w:tcPr>
            <w:tcW w:w="3867" w:type="pct"/>
            <w:vAlign w:val="center"/>
          </w:tcPr>
          <w:p>
            <w:pPr>
              <w:spacing w:line="360" w:lineRule="auto"/>
              <w:rPr>
                <w:rFonts w:hint="eastAsia" w:cs="宋体"/>
                <w:kern w:val="0"/>
                <w:sz w:val="24"/>
                <w:szCs w:val="24"/>
              </w:rPr>
            </w:pPr>
            <w:r>
              <w:rPr>
                <w:rFonts w:hint="eastAsia" w:cs="宋体"/>
                <w:kern w:val="0"/>
                <w:sz w:val="24"/>
                <w:szCs w:val="24"/>
              </w:rPr>
              <w:t>由1台融合物联终端及190个终端软件授权组成，需集中接入并管理本项目投影机，并统一纳入学校现有智慧物联管理平台及AI智能巡检系统管理进行统一管理。</w:t>
            </w:r>
          </w:p>
          <w:p>
            <w:pPr>
              <w:spacing w:line="360" w:lineRule="auto"/>
              <w:rPr>
                <w:rFonts w:hint="eastAsia" w:cs="宋体"/>
                <w:kern w:val="0"/>
                <w:sz w:val="24"/>
                <w:szCs w:val="24"/>
              </w:rPr>
            </w:pPr>
            <w:r>
              <w:rPr>
                <w:rFonts w:hint="eastAsia" w:cs="宋体"/>
                <w:kern w:val="0"/>
                <w:sz w:val="24"/>
                <w:szCs w:val="24"/>
              </w:rPr>
              <w:t>1.采用无风扇静音设计，需具备≥2个RJ45接口、≥2个USB接口、≥1路RS485端口；</w:t>
            </w:r>
          </w:p>
          <w:p>
            <w:pPr>
              <w:spacing w:line="360" w:lineRule="auto"/>
              <w:rPr>
                <w:rFonts w:hint="eastAsia" w:cs="宋体"/>
                <w:kern w:val="0"/>
                <w:sz w:val="24"/>
                <w:szCs w:val="24"/>
              </w:rPr>
            </w:pPr>
            <w:r>
              <w:rPr>
                <w:rFonts w:hint="eastAsia" w:cs="宋体"/>
                <w:kern w:val="0"/>
                <w:sz w:val="24"/>
                <w:szCs w:val="24"/>
              </w:rPr>
              <w:t xml:space="preserve">▲2.需支持标准的以太网管理、监视和控制音视频设备，支持音视频设备网、校园网隔离； </w:t>
            </w:r>
          </w:p>
          <w:p>
            <w:pPr>
              <w:spacing w:line="360" w:lineRule="auto"/>
              <w:rPr>
                <w:rFonts w:hint="eastAsia" w:cs="宋体"/>
                <w:kern w:val="0"/>
                <w:sz w:val="24"/>
                <w:szCs w:val="24"/>
              </w:rPr>
            </w:pPr>
            <w:r>
              <w:rPr>
                <w:rFonts w:hint="eastAsia" w:cs="宋体"/>
                <w:kern w:val="0"/>
                <w:sz w:val="24"/>
                <w:szCs w:val="24"/>
              </w:rPr>
              <w:t xml:space="preserve">▲3.需支持标准通讯协议，包括但不限于：HTTP、HTTPS、SSH、DHCP、DNS、IPv4、IPV6和MQTT等； </w:t>
            </w:r>
          </w:p>
          <w:p>
            <w:pPr>
              <w:spacing w:line="360" w:lineRule="auto"/>
              <w:rPr>
                <w:rFonts w:hint="eastAsia" w:cs="宋体"/>
                <w:kern w:val="0"/>
                <w:sz w:val="24"/>
                <w:szCs w:val="24"/>
              </w:rPr>
            </w:pPr>
            <w:r>
              <w:rPr>
                <w:rFonts w:hint="eastAsia" w:cs="宋体"/>
                <w:kern w:val="0"/>
                <w:sz w:val="24"/>
                <w:szCs w:val="24"/>
              </w:rPr>
              <w:t>4.需支持多级密码管理，可根据不同用户权限设置安全级别；</w:t>
            </w:r>
          </w:p>
          <w:p>
            <w:pPr>
              <w:spacing w:line="360" w:lineRule="auto"/>
              <w:rPr>
                <w:rFonts w:hint="eastAsia" w:cs="宋体"/>
                <w:kern w:val="0"/>
                <w:sz w:val="24"/>
                <w:szCs w:val="24"/>
              </w:rPr>
            </w:pPr>
            <w:r>
              <w:rPr>
                <w:rFonts w:hint="eastAsia" w:cs="宋体"/>
                <w:kern w:val="0"/>
                <w:sz w:val="24"/>
                <w:szCs w:val="24"/>
              </w:rPr>
              <w:t xml:space="preserve">▲5.需具备数据本地存储，支持设备参数信息、设备品牌、型号、序列号、状态、故障协议等数据存储，支持数据透传； </w:t>
            </w:r>
          </w:p>
          <w:p>
            <w:pPr>
              <w:spacing w:line="360" w:lineRule="auto"/>
              <w:rPr>
                <w:rFonts w:hint="eastAsia" w:cs="宋体"/>
                <w:kern w:val="0"/>
                <w:sz w:val="24"/>
                <w:szCs w:val="24"/>
              </w:rPr>
            </w:pPr>
            <w:r>
              <w:rPr>
                <w:rFonts w:hint="eastAsia" w:cs="宋体"/>
                <w:kern w:val="0"/>
                <w:sz w:val="24"/>
                <w:szCs w:val="24"/>
              </w:rPr>
              <w:t xml:space="preserve">▲6.需支持数据库，包括但不限于SQL，MySQL，Oracle等数据库，存储结构规范； </w:t>
            </w:r>
          </w:p>
          <w:p>
            <w:pPr>
              <w:spacing w:line="360" w:lineRule="auto"/>
              <w:rPr>
                <w:rFonts w:hint="eastAsia" w:cs="宋体"/>
                <w:kern w:val="0"/>
                <w:sz w:val="24"/>
                <w:szCs w:val="24"/>
              </w:rPr>
            </w:pPr>
            <w:r>
              <w:rPr>
                <w:rFonts w:hint="eastAsia" w:cs="宋体"/>
                <w:kern w:val="0"/>
                <w:sz w:val="24"/>
                <w:szCs w:val="24"/>
              </w:rPr>
              <w:t>7.需支持通过标准协议发现并对接投影机，包括开关机、信号源切换、状态查询等供上层智慧物联管理平台调用，实现远程开关机、信号源切换及策略联动指令的接收与执行，支持单台及批量控制；</w:t>
            </w:r>
          </w:p>
          <w:p>
            <w:pPr>
              <w:spacing w:line="360" w:lineRule="auto"/>
              <w:rPr>
                <w:rFonts w:hint="eastAsia" w:cs="宋体"/>
                <w:kern w:val="0"/>
                <w:sz w:val="24"/>
                <w:szCs w:val="24"/>
              </w:rPr>
            </w:pPr>
            <w:r>
              <w:rPr>
                <w:rFonts w:hint="eastAsia" w:cs="宋体"/>
                <w:kern w:val="0"/>
                <w:sz w:val="24"/>
                <w:szCs w:val="24"/>
              </w:rPr>
              <w:t>8.需支持通过标准协议接入投影机的运行状态数据，并向AI智能巡检系统主动推送，开放数据字段至少包括设备唯一标识、在线状态、电源状态、当前输入信号源、光源使用时长、故障告警信息等；</w:t>
            </w:r>
          </w:p>
          <w:p>
            <w:pPr>
              <w:spacing w:line="360" w:lineRule="auto"/>
              <w:rPr>
                <w:rFonts w:hint="eastAsia" w:cs="宋体"/>
                <w:kern w:val="0"/>
                <w:sz w:val="24"/>
                <w:szCs w:val="24"/>
              </w:rPr>
            </w:pPr>
            <w:r>
              <w:rPr>
                <w:rFonts w:hint="eastAsia" w:cs="宋体"/>
                <w:kern w:val="0"/>
                <w:sz w:val="24"/>
                <w:szCs w:val="24"/>
              </w:rPr>
              <w:t xml:space="preserve">9.需内置 Web 端，采用 B/S架构，以浏览器登录的管理方式，支持同一账号在多个终端同时登录，支持安卓、IOS、Windows等操作系统登录访问； </w:t>
            </w:r>
          </w:p>
          <w:p>
            <w:pPr>
              <w:spacing w:line="360" w:lineRule="auto"/>
              <w:rPr>
                <w:rFonts w:hint="eastAsia" w:cs="宋体"/>
                <w:kern w:val="0"/>
                <w:sz w:val="24"/>
                <w:szCs w:val="24"/>
              </w:rPr>
            </w:pPr>
            <w:r>
              <w:rPr>
                <w:rFonts w:hint="eastAsia" w:cs="宋体"/>
                <w:b/>
                <w:bCs/>
                <w:kern w:val="0"/>
                <w:sz w:val="24"/>
                <w:szCs w:val="24"/>
              </w:rPr>
              <w:t>#</w:t>
            </w:r>
            <w:r>
              <w:rPr>
                <w:rFonts w:hint="eastAsia" w:cs="宋体"/>
                <w:kern w:val="0"/>
                <w:sz w:val="24"/>
                <w:szCs w:val="24"/>
              </w:rPr>
              <w:t>10.需内置Web管理功能：包括但不限于①设备总览：可查看教室多媒体设备，提供设备总览图，采用不同颜色图形界面展示包括但不限于全部设备数量、正常、离线、故障设备数；②资产信息查看：支持查看设备的基本信息，包含但不限于设备类型、品牌、型号、协议等，支持查看设备的状态；③设备使用记录：提供设备操作日志，包括但不限于操作者、操作时间、操作名称、设备名称、操作指令等。</w:t>
            </w:r>
          </w:p>
          <w:p>
            <w:pPr>
              <w:spacing w:line="360" w:lineRule="auto"/>
              <w:rPr>
                <w:rFonts w:hint="eastAsia" w:cs="宋体"/>
                <w:kern w:val="0"/>
                <w:sz w:val="24"/>
                <w:szCs w:val="24"/>
              </w:rPr>
            </w:pPr>
            <w:r>
              <w:rPr>
                <w:rFonts w:hint="eastAsia" w:cs="宋体"/>
                <w:b/>
                <w:bCs/>
                <w:kern w:val="0"/>
                <w:sz w:val="24"/>
                <w:szCs w:val="24"/>
              </w:rPr>
              <w:t>#</w:t>
            </w:r>
            <w:r>
              <w:rPr>
                <w:rFonts w:hint="eastAsia" w:cs="宋体"/>
                <w:kern w:val="0"/>
                <w:sz w:val="24"/>
                <w:szCs w:val="24"/>
              </w:rPr>
              <w:t>11.需与学校现有智慧教室管理平台对接，通过标准网络管理协议（如PJLink等）支持平台对投影机进行远程开关机、信号源切换等操作，并能接收和执行平台下发的自动策略指令；</w:t>
            </w:r>
          </w:p>
          <w:p>
            <w:pPr>
              <w:spacing w:line="360" w:lineRule="auto"/>
              <w:rPr>
                <w:rFonts w:hint="eastAsia" w:cs="宋体"/>
                <w:kern w:val="0"/>
                <w:sz w:val="24"/>
                <w:szCs w:val="24"/>
              </w:rPr>
            </w:pPr>
            <w:r>
              <w:rPr>
                <w:rFonts w:hint="eastAsia" w:cs="宋体"/>
                <w:b/>
                <w:bCs/>
                <w:kern w:val="0"/>
                <w:sz w:val="24"/>
                <w:szCs w:val="24"/>
              </w:rPr>
              <w:t>#</w:t>
            </w:r>
            <w:r>
              <w:rPr>
                <w:rFonts w:hint="eastAsia" w:cs="宋体"/>
                <w:kern w:val="0"/>
                <w:sz w:val="24"/>
                <w:szCs w:val="24"/>
              </w:rPr>
              <w:t>12.需与学校现有AI智能巡检系统对接，通过标准协议向系统开放设备运行状态数据，包括但不限于：光源使用时长、当前输入信号、故障告警信息等，并支持数据推送到AI巡检系统，满足自动化巡检与故障预警的数据采集需求。</w:t>
            </w:r>
          </w:p>
        </w:tc>
        <w:tc>
          <w:tcPr>
            <w:tcW w:w="598" w:type="pct"/>
          </w:tcPr>
          <w:p>
            <w:pPr>
              <w:spacing w:line="360" w:lineRule="auto"/>
              <w:rPr>
                <w:rFonts w:hint="eastAsia" w:cs="宋体"/>
                <w:kern w:val="0"/>
                <w:sz w:val="24"/>
                <w:szCs w:val="24"/>
              </w:rPr>
            </w:pPr>
            <w:r>
              <w:rPr>
                <w:rFonts w:hint="eastAsia" w:cs="宋体"/>
                <w:kern w:val="0"/>
                <w:sz w:val="24"/>
                <w:szCs w:val="24"/>
              </w:rPr>
              <w:t>1套</w:t>
            </w:r>
          </w:p>
        </w:tc>
      </w:tr>
    </w:tbl>
    <w:p>
      <w:pPr>
        <w:rPr>
          <w:rFonts w:hint="eastAsia"/>
          <w:b/>
          <w:bCs/>
          <w:sz w:val="24"/>
          <w:szCs w:val="24"/>
        </w:rPr>
      </w:pPr>
    </w:p>
    <w:p>
      <w:pPr>
        <w:spacing w:line="276" w:lineRule="auto"/>
        <w:rPr>
          <w:rFonts w:hint="eastAsia"/>
          <w:sz w:val="28"/>
          <w:szCs w:val="28"/>
        </w:rPr>
      </w:pPr>
      <w:r>
        <w:rPr>
          <w:rFonts w:hint="eastAsia"/>
          <w:sz w:val="28"/>
          <w:szCs w:val="28"/>
        </w:rPr>
        <w:t>二、设备商务需求</w:t>
      </w:r>
    </w:p>
    <w:p>
      <w:pPr>
        <w:spacing w:line="276" w:lineRule="auto"/>
        <w:rPr>
          <w:rFonts w:hint="eastAsia"/>
          <w:sz w:val="28"/>
          <w:szCs w:val="28"/>
        </w:rPr>
      </w:pPr>
      <w:r>
        <w:rPr>
          <w:rFonts w:hint="eastAsia"/>
          <w:sz w:val="28"/>
          <w:szCs w:val="28"/>
        </w:rPr>
        <w:t>1</w:t>
      </w:r>
      <w:r>
        <w:rPr>
          <w:sz w:val="28"/>
          <w:szCs w:val="28"/>
        </w:rPr>
        <w:t>、验收条款（包括验收的指标、验收过程、特殊要求）</w:t>
      </w:r>
    </w:p>
    <w:p>
      <w:pPr>
        <w:spacing w:line="276" w:lineRule="auto"/>
        <w:rPr>
          <w:rFonts w:hint="eastAsia"/>
          <w:sz w:val="28"/>
          <w:szCs w:val="28"/>
        </w:rPr>
      </w:pPr>
      <w:r>
        <w:rPr>
          <w:rFonts w:hint="eastAsia"/>
          <w:sz w:val="28"/>
          <w:szCs w:val="28"/>
        </w:rPr>
        <w:t>a）货物要达到所有技术参数标准。若达不到，属于质量问题，根据采购人要求，免费更换新货物或全额赔偿。</w:t>
      </w:r>
    </w:p>
    <w:p>
      <w:pPr>
        <w:spacing w:line="276" w:lineRule="auto"/>
        <w:rPr>
          <w:rFonts w:hint="eastAsia"/>
          <w:sz w:val="28"/>
          <w:szCs w:val="28"/>
        </w:rPr>
      </w:pPr>
      <w:r>
        <w:rPr>
          <w:rFonts w:hint="eastAsia"/>
          <w:sz w:val="28"/>
          <w:szCs w:val="28"/>
        </w:rPr>
        <w:t>b) 货物到达使用现场后，由中标单位与采购人共同开箱验收后免费安装、调试、竣工验收等。</w:t>
      </w:r>
    </w:p>
    <w:p>
      <w:pPr>
        <w:spacing w:line="276" w:lineRule="auto"/>
        <w:rPr>
          <w:rFonts w:hint="eastAsia"/>
          <w:sz w:val="28"/>
          <w:szCs w:val="28"/>
        </w:rPr>
      </w:pPr>
      <w:r>
        <w:rPr>
          <w:rFonts w:hint="eastAsia"/>
          <w:sz w:val="28"/>
          <w:szCs w:val="28"/>
        </w:rPr>
        <w:t>c) 中标单位负责采购人现场安装、调试货物并交付使用，自带必要的工具，安装、调试及所派人员的一切费用由中标单位承担。</w:t>
      </w:r>
    </w:p>
    <w:p>
      <w:pPr>
        <w:spacing w:line="276" w:lineRule="auto"/>
        <w:rPr>
          <w:rFonts w:hint="eastAsia"/>
          <w:sz w:val="28"/>
          <w:szCs w:val="28"/>
        </w:rPr>
      </w:pPr>
      <w:r>
        <w:rPr>
          <w:rFonts w:hint="eastAsia"/>
          <w:sz w:val="28"/>
          <w:szCs w:val="28"/>
        </w:rPr>
        <w:t>d) 中标单位完成系统调试后，应提供技术文档及操作指南，包括但不限于设备配置文件、操作手册、维护指南等，同时提供系统集成文档、各类图纸。</w:t>
      </w:r>
    </w:p>
    <w:p>
      <w:pPr>
        <w:spacing w:line="276" w:lineRule="auto"/>
        <w:rPr>
          <w:rFonts w:hint="eastAsia"/>
          <w:sz w:val="28"/>
          <w:szCs w:val="28"/>
        </w:rPr>
      </w:pPr>
      <w:r>
        <w:rPr>
          <w:rFonts w:hint="eastAsia"/>
          <w:sz w:val="28"/>
          <w:szCs w:val="28"/>
        </w:rPr>
        <w:t>e) 中标单位需组织对本次项目提供的软件系统进行性能测试和压力测试，并向招标方提供测试报告。</w:t>
      </w:r>
    </w:p>
    <w:p>
      <w:pPr>
        <w:spacing w:line="276" w:lineRule="auto"/>
        <w:rPr>
          <w:rFonts w:hint="eastAsia"/>
          <w:sz w:val="28"/>
          <w:szCs w:val="28"/>
        </w:rPr>
      </w:pPr>
      <w:r>
        <w:rPr>
          <w:rFonts w:hint="eastAsia"/>
          <w:sz w:val="28"/>
          <w:szCs w:val="28"/>
        </w:rPr>
        <w:t>2</w:t>
      </w:r>
      <w:r>
        <w:rPr>
          <w:sz w:val="28"/>
          <w:szCs w:val="28"/>
        </w:rPr>
        <w:t>、培训</w:t>
      </w:r>
      <w:r>
        <w:rPr>
          <w:rFonts w:hint="eastAsia"/>
          <w:sz w:val="28"/>
          <w:szCs w:val="28"/>
        </w:rPr>
        <w:t>要求：应对本项目中的使用教师进行使用培训，应通过编制培训教材(以U盘保存)、现场操作讲解等方式，负责对使用方进行操作培训，直至使用方熟练掌握，并向每个培训老师提供一本培训手册。</w:t>
      </w:r>
    </w:p>
    <w:p>
      <w:pPr>
        <w:spacing w:line="276" w:lineRule="auto"/>
        <w:rPr>
          <w:rFonts w:hint="eastAsia"/>
          <w:sz w:val="28"/>
          <w:szCs w:val="28"/>
        </w:rPr>
      </w:pPr>
      <w:r>
        <w:rPr>
          <w:rFonts w:hint="eastAsia"/>
          <w:sz w:val="28"/>
          <w:szCs w:val="28"/>
        </w:rPr>
        <w:t>3</w:t>
      </w:r>
      <w:r>
        <w:rPr>
          <w:sz w:val="28"/>
          <w:szCs w:val="28"/>
        </w:rPr>
        <w:t>、付款方式</w:t>
      </w:r>
      <w:r>
        <w:rPr>
          <w:rFonts w:hint="eastAsia"/>
          <w:sz w:val="28"/>
          <w:szCs w:val="28"/>
        </w:rPr>
        <w:t>:合同签订后10个工作日内支付合同金额的50%，验收合格后10个工作日内支付合同金额的50%。</w:t>
      </w:r>
    </w:p>
    <w:p>
      <w:pPr>
        <w:spacing w:line="276" w:lineRule="auto"/>
        <w:rPr>
          <w:rFonts w:hint="eastAsia"/>
          <w:sz w:val="28"/>
          <w:szCs w:val="28"/>
        </w:rPr>
      </w:pPr>
      <w:r>
        <w:rPr>
          <w:rFonts w:hint="eastAsia"/>
          <w:sz w:val="28"/>
          <w:szCs w:val="28"/>
        </w:rPr>
        <w:t>4</w:t>
      </w:r>
      <w:r>
        <w:rPr>
          <w:sz w:val="28"/>
          <w:szCs w:val="28"/>
        </w:rPr>
        <w:t>、交货期</w:t>
      </w:r>
      <w:r>
        <w:rPr>
          <w:rFonts w:hint="eastAsia"/>
          <w:sz w:val="28"/>
          <w:szCs w:val="28"/>
        </w:rPr>
        <w:t>：合同签订后60天内完成整体系统安装、调试、验收。</w:t>
      </w:r>
    </w:p>
    <w:p>
      <w:pPr>
        <w:spacing w:line="276" w:lineRule="auto"/>
        <w:rPr>
          <w:rFonts w:hint="eastAsia"/>
          <w:sz w:val="28"/>
          <w:szCs w:val="28"/>
        </w:rPr>
      </w:pPr>
      <w:r>
        <w:rPr>
          <w:rFonts w:hint="eastAsia"/>
          <w:sz w:val="28"/>
          <w:szCs w:val="28"/>
        </w:rPr>
        <w:t>5</w:t>
      </w:r>
      <w:r>
        <w:rPr>
          <w:sz w:val="28"/>
          <w:szCs w:val="28"/>
        </w:rPr>
        <w:t>、质保期</w:t>
      </w:r>
      <w:r>
        <w:rPr>
          <w:rFonts w:hint="eastAsia"/>
          <w:sz w:val="28"/>
          <w:szCs w:val="28"/>
        </w:rPr>
        <w:t>：设备验收合格后提供不低于五年免费质保。</w:t>
      </w:r>
    </w:p>
    <w:p>
      <w:pPr>
        <w:spacing w:line="276" w:lineRule="auto"/>
        <w:rPr>
          <w:rFonts w:hint="eastAsia"/>
          <w:sz w:val="28"/>
          <w:szCs w:val="28"/>
        </w:rPr>
      </w:pPr>
      <w:r>
        <w:rPr>
          <w:rFonts w:hint="eastAsia"/>
          <w:sz w:val="28"/>
          <w:szCs w:val="28"/>
        </w:rPr>
        <w:t>6、售后服务：售后响应时间在接到报修后1小时内响应，4个小时内到达现场进行故障处理;一般故障在6个小时内修复，重大故障须在24小时内修复。如无法修复，应在24小时内提供备用设备直到原设备修复。在质保期或保修期内，凡正常使用出现故障，供应商应提供免费维修，并负担维修过程中的费用。若关键部件出现故障，须更换设备，一切费用由供应商承担。在质保期内，凡因设备质量问题，由中标人免费进行维修、保养、更换零配件。质保期满后，中标人免费负责维修与保养，更换零配件按生产厂家优惠价格收取。</w:t>
      </w:r>
    </w:p>
    <w:p>
      <w:pPr>
        <w:spacing w:line="276" w:lineRule="auto"/>
        <w:rPr>
          <w:rFonts w:hint="eastAsia"/>
          <w:color w:val="FF000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微软雅黑">
    <w:altName w:val="方正黑体_GBK"/>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E55"/>
    <w:rsid w:val="00011DC2"/>
    <w:rsid w:val="00067BF3"/>
    <w:rsid w:val="000732D6"/>
    <w:rsid w:val="000934BB"/>
    <w:rsid w:val="000A1E57"/>
    <w:rsid w:val="000A66D8"/>
    <w:rsid w:val="000C6740"/>
    <w:rsid w:val="000D0CA0"/>
    <w:rsid w:val="000F31D3"/>
    <w:rsid w:val="0010542B"/>
    <w:rsid w:val="00125CBF"/>
    <w:rsid w:val="001809CE"/>
    <w:rsid w:val="0020322C"/>
    <w:rsid w:val="002138B5"/>
    <w:rsid w:val="00242A8E"/>
    <w:rsid w:val="002563B3"/>
    <w:rsid w:val="00263AF8"/>
    <w:rsid w:val="002B4FC0"/>
    <w:rsid w:val="002C582B"/>
    <w:rsid w:val="00306E4B"/>
    <w:rsid w:val="003721F6"/>
    <w:rsid w:val="003B6EDA"/>
    <w:rsid w:val="003E6101"/>
    <w:rsid w:val="004A4F37"/>
    <w:rsid w:val="004A7F49"/>
    <w:rsid w:val="004D05DB"/>
    <w:rsid w:val="00502B6C"/>
    <w:rsid w:val="005551A2"/>
    <w:rsid w:val="00565E51"/>
    <w:rsid w:val="005A6D2E"/>
    <w:rsid w:val="005B7C9C"/>
    <w:rsid w:val="005F2CE9"/>
    <w:rsid w:val="00615B79"/>
    <w:rsid w:val="00655BB9"/>
    <w:rsid w:val="00677004"/>
    <w:rsid w:val="00687A17"/>
    <w:rsid w:val="00695F8C"/>
    <w:rsid w:val="006A3C57"/>
    <w:rsid w:val="006E5FA6"/>
    <w:rsid w:val="00727516"/>
    <w:rsid w:val="00765370"/>
    <w:rsid w:val="00780A7F"/>
    <w:rsid w:val="007E12F4"/>
    <w:rsid w:val="0080378B"/>
    <w:rsid w:val="00842B54"/>
    <w:rsid w:val="00873FBE"/>
    <w:rsid w:val="0089229A"/>
    <w:rsid w:val="008E721C"/>
    <w:rsid w:val="008F59F8"/>
    <w:rsid w:val="00925F0F"/>
    <w:rsid w:val="0094178A"/>
    <w:rsid w:val="00954D76"/>
    <w:rsid w:val="00965591"/>
    <w:rsid w:val="00972972"/>
    <w:rsid w:val="00996BC5"/>
    <w:rsid w:val="009C7E91"/>
    <w:rsid w:val="009D30DE"/>
    <w:rsid w:val="009E6E72"/>
    <w:rsid w:val="009F493B"/>
    <w:rsid w:val="00AC5DF1"/>
    <w:rsid w:val="00B06526"/>
    <w:rsid w:val="00B22826"/>
    <w:rsid w:val="00BA18A2"/>
    <w:rsid w:val="00BA1B46"/>
    <w:rsid w:val="00BB3A5A"/>
    <w:rsid w:val="00BB6FF5"/>
    <w:rsid w:val="00BB7194"/>
    <w:rsid w:val="00C367C7"/>
    <w:rsid w:val="00C60263"/>
    <w:rsid w:val="00C818F8"/>
    <w:rsid w:val="00C82AF6"/>
    <w:rsid w:val="00D16825"/>
    <w:rsid w:val="00D35DCB"/>
    <w:rsid w:val="00D835E5"/>
    <w:rsid w:val="00D90C3F"/>
    <w:rsid w:val="00D92D86"/>
    <w:rsid w:val="00DB40FE"/>
    <w:rsid w:val="00DE0CCB"/>
    <w:rsid w:val="00E208F8"/>
    <w:rsid w:val="00E2510E"/>
    <w:rsid w:val="00E765B0"/>
    <w:rsid w:val="00E9740A"/>
    <w:rsid w:val="00F02E55"/>
    <w:rsid w:val="00F85160"/>
    <w:rsid w:val="00FA7A3F"/>
    <w:rsid w:val="00FC538B"/>
    <w:rsid w:val="00FF4FE6"/>
    <w:rsid w:val="5DF701C2"/>
    <w:rsid w:val="73533342"/>
    <w:rsid w:val="9FAB2D5E"/>
    <w:rsid w:val="FCCF411A"/>
    <w:rsid w:val="FEFE78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heme="minorBidi"/>
      <w:color w:val="000000"/>
      <w:kern w:val="2"/>
      <w:sz w:val="21"/>
      <w:szCs w:val="21"/>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spacing w:beforeAutospacing="1" w:afterAutospacing="1"/>
      <w:jc w:val="left"/>
    </w:pPr>
    <w:rPr>
      <w:rFonts w:cs="Times New Roman"/>
      <w:kern w:val="0"/>
      <w:sz w:val="24"/>
    </w:rPr>
  </w:style>
  <w:style w:type="paragraph" w:styleId="6">
    <w:name w:val="annotation subject"/>
    <w:basedOn w:val="2"/>
    <w:next w:val="2"/>
    <w:link w:val="15"/>
    <w:semiHidden/>
    <w:unhideWhenUsed/>
    <w:qFormat/>
    <w:uiPriority w:val="99"/>
    <w:rPr>
      <w:b/>
      <w:bCs/>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semiHidden/>
    <w:unhideWhenUsed/>
    <w:qFormat/>
    <w:uiPriority w:val="99"/>
    <w:rPr>
      <w:sz w:val="21"/>
      <w:szCs w:val="21"/>
    </w:rPr>
  </w:style>
  <w:style w:type="character" w:customStyle="1" w:styleId="11">
    <w:name w:val="页眉 字符"/>
    <w:basedOn w:val="9"/>
    <w:link w:val="4"/>
    <w:qFormat/>
    <w:uiPriority w:val="99"/>
    <w:rPr>
      <w:rFonts w:ascii="宋体" w:hAnsi="宋体" w:eastAsia="宋体"/>
      <w:color w:val="000000"/>
      <w:sz w:val="18"/>
      <w:szCs w:val="18"/>
    </w:rPr>
  </w:style>
  <w:style w:type="character" w:customStyle="1" w:styleId="12">
    <w:name w:val="页脚 字符"/>
    <w:basedOn w:val="9"/>
    <w:link w:val="3"/>
    <w:qFormat/>
    <w:uiPriority w:val="99"/>
    <w:rPr>
      <w:rFonts w:ascii="宋体" w:hAnsi="宋体" w:eastAsia="宋体"/>
      <w:color w:val="000000"/>
      <w:sz w:val="18"/>
      <w:szCs w:val="18"/>
    </w:rPr>
  </w:style>
  <w:style w:type="paragraph" w:customStyle="1" w:styleId="13">
    <w:name w:val="Revision"/>
    <w:hidden/>
    <w:unhideWhenUsed/>
    <w:qFormat/>
    <w:uiPriority w:val="99"/>
    <w:rPr>
      <w:rFonts w:ascii="宋体" w:hAnsi="宋体" w:eastAsia="宋体" w:cstheme="minorBidi"/>
      <w:color w:val="000000"/>
      <w:kern w:val="2"/>
      <w:sz w:val="21"/>
      <w:szCs w:val="21"/>
      <w:lang w:val="en-US" w:eastAsia="zh-CN" w:bidi="ar-SA"/>
    </w:rPr>
  </w:style>
  <w:style w:type="character" w:customStyle="1" w:styleId="14">
    <w:name w:val="批注文字 字符"/>
    <w:basedOn w:val="9"/>
    <w:link w:val="2"/>
    <w:semiHidden/>
    <w:qFormat/>
    <w:uiPriority w:val="99"/>
    <w:rPr>
      <w:rFonts w:ascii="宋体" w:hAnsi="宋体" w:cstheme="minorBidi"/>
      <w:color w:val="000000"/>
      <w:kern w:val="2"/>
      <w:sz w:val="21"/>
      <w:szCs w:val="21"/>
    </w:rPr>
  </w:style>
  <w:style w:type="character" w:customStyle="1" w:styleId="15">
    <w:name w:val="批注主题 字符"/>
    <w:basedOn w:val="14"/>
    <w:link w:val="6"/>
    <w:semiHidden/>
    <w:qFormat/>
    <w:uiPriority w:val="99"/>
    <w:rPr>
      <w:rFonts w:ascii="宋体" w:hAnsi="宋体" w:cstheme="minorBidi"/>
      <w:b/>
      <w:bCs/>
      <w:color w:val="000000"/>
      <w:kern w:val="2"/>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741</Words>
  <Characters>4226</Characters>
  <Lines>35</Lines>
  <Paragraphs>9</Paragraphs>
  <TotalTime>33</TotalTime>
  <ScaleCrop>false</ScaleCrop>
  <LinksUpToDate>false</LinksUpToDate>
  <CharactersWithSpaces>4958</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2026-08-25T22:19:00Z</dcterms:created>
  <dc:creator>Administrator</dc:creator>
  <cp:lastModifiedBy>user</cp:lastModifiedBy>
  <dcterms:modified xsi:type="dcterms:W3CDTF">2026-08-28T14:16:43Z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387662331EC63AA15F24916A06A714BE_43</vt:lpwstr>
  </property>
</Properties>
</file>