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2C58A">
      <w:pPr>
        <w:ind w:firstLine="0" w:firstLineChars="0"/>
        <w:jc w:val="center"/>
        <w:rPr>
          <w:rFonts w:ascii="黑体" w:hAnsi="黑体" w:eastAsia="黑体"/>
          <w:sz w:val="48"/>
          <w:szCs w:val="48"/>
        </w:rPr>
      </w:pPr>
    </w:p>
    <w:p w14:paraId="175EF8C2">
      <w:pPr>
        <w:ind w:firstLine="0" w:firstLineChars="0"/>
        <w:jc w:val="center"/>
        <w:rPr>
          <w:rFonts w:ascii="黑体" w:hAnsi="黑体" w:eastAsia="黑体"/>
          <w:sz w:val="48"/>
          <w:szCs w:val="48"/>
        </w:rPr>
      </w:pPr>
    </w:p>
    <w:p w14:paraId="43142637">
      <w:pPr>
        <w:ind w:firstLine="0" w:firstLineChars="0"/>
        <w:jc w:val="center"/>
        <w:rPr>
          <w:rFonts w:ascii="黑体" w:hAnsi="黑体" w:eastAsia="黑体"/>
          <w:sz w:val="52"/>
          <w:szCs w:val="52"/>
        </w:rPr>
      </w:pPr>
      <w:r>
        <w:rPr>
          <w:rFonts w:hint="eastAsia" w:ascii="黑体" w:hAnsi="黑体" w:eastAsia="黑体"/>
          <w:sz w:val="52"/>
          <w:szCs w:val="52"/>
        </w:rPr>
        <w:t>监狱工作统一管理平台建设项目(2026年升级改造)</w:t>
      </w:r>
    </w:p>
    <w:p w14:paraId="7CFAB851">
      <w:pPr>
        <w:ind w:firstLine="0" w:firstLineChars="0"/>
        <w:jc w:val="center"/>
        <w:rPr>
          <w:rFonts w:ascii="黑体" w:hAnsi="黑体" w:eastAsia="黑体"/>
          <w:sz w:val="52"/>
          <w:szCs w:val="52"/>
        </w:rPr>
      </w:pPr>
      <w:r>
        <w:rPr>
          <w:rFonts w:hint="eastAsia" w:ascii="黑体" w:hAnsi="黑体" w:eastAsia="黑体"/>
          <w:sz w:val="52"/>
          <w:szCs w:val="52"/>
        </w:rPr>
        <w:t>采购需求</w:t>
      </w:r>
    </w:p>
    <w:p w14:paraId="07F52EE5">
      <w:pPr>
        <w:ind w:firstLine="0" w:firstLineChars="0"/>
        <w:jc w:val="center"/>
        <w:rPr>
          <w:rFonts w:ascii="黑体" w:hAnsi="黑体" w:eastAsia="黑体"/>
          <w:sz w:val="72"/>
          <w:szCs w:val="72"/>
        </w:rPr>
      </w:pPr>
    </w:p>
    <w:p w14:paraId="69E57D1B">
      <w:pPr>
        <w:ind w:firstLine="0" w:firstLineChars="0"/>
        <w:jc w:val="center"/>
        <w:rPr>
          <w:rFonts w:ascii="黑体" w:hAnsi="黑体" w:eastAsia="黑体"/>
          <w:sz w:val="48"/>
          <w:szCs w:val="48"/>
        </w:rPr>
      </w:pPr>
    </w:p>
    <w:p w14:paraId="596EC165">
      <w:pPr>
        <w:ind w:firstLine="0" w:firstLineChars="0"/>
        <w:jc w:val="center"/>
        <w:rPr>
          <w:rFonts w:ascii="黑体" w:hAnsi="黑体" w:eastAsia="黑体"/>
          <w:sz w:val="52"/>
          <w:szCs w:val="52"/>
        </w:rPr>
      </w:pPr>
    </w:p>
    <w:p w14:paraId="737B4C41">
      <w:pPr>
        <w:ind w:firstLine="1040"/>
        <w:rPr>
          <w:rFonts w:ascii="黑体" w:hAnsi="黑体" w:eastAsia="黑体"/>
          <w:sz w:val="52"/>
          <w:szCs w:val="52"/>
        </w:rPr>
      </w:pPr>
    </w:p>
    <w:p w14:paraId="476BC4FF"/>
    <w:p w14:paraId="6681E35F"/>
    <w:p w14:paraId="60C14DCD"/>
    <w:p w14:paraId="41E57150"/>
    <w:p w14:paraId="037908EB"/>
    <w:p w14:paraId="35CC1BAC">
      <w:pPr>
        <w:ind w:firstLine="1040"/>
        <w:rPr>
          <w:rFonts w:ascii="黑体" w:hAnsi="黑体" w:eastAsia="黑体"/>
          <w:sz w:val="52"/>
          <w:szCs w:val="52"/>
        </w:rPr>
      </w:pPr>
    </w:p>
    <w:p w14:paraId="5D174C9D">
      <w:pPr>
        <w:jc w:val="cente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14:paraId="243E56FC">
      <w:pPr>
        <w:pStyle w:val="2"/>
      </w:pPr>
      <w:bookmarkStart w:id="0" w:name="_Toc63785461"/>
      <w:r>
        <w:rPr>
          <w:rFonts w:hint="eastAsia"/>
        </w:rPr>
        <w:t>项目概况</w:t>
      </w:r>
      <w:bookmarkEnd w:id="0"/>
    </w:p>
    <w:p w14:paraId="3ADDE207">
      <w:pPr>
        <w:spacing w:line="560" w:lineRule="exact"/>
        <w:jc w:val="left"/>
      </w:pPr>
      <w:r>
        <w:rPr>
          <w:rFonts w:hint="eastAsia"/>
        </w:rPr>
        <w:t>项目背景&amp;现状：</w:t>
      </w:r>
    </w:p>
    <w:p w14:paraId="36D8C83C">
      <w:pPr>
        <w:spacing w:line="560" w:lineRule="exact"/>
        <w:jc w:val="left"/>
      </w:pPr>
      <w:r>
        <w:rPr>
          <w:rFonts w:hint="eastAsia"/>
        </w:rPr>
        <w:t>在全面推进依法治国的战略背景下，提升监狱工作智慧化水平，是推进监狱治理体系和治理能力现代化的必然要求，也是更好发挥监狱职能作用的必然要求。监狱作为国家机器的重要组成部分,国家治理体系现代化必然包含了监狱工作现代化,必须主动适应国家和社会发展要求,准确定位,科学谋划,分步实施,深入推进新时代智慧监狱建设，以信息技术的广泛深度应用助力推动监狱治理体系和治理能力现代化。</w:t>
      </w:r>
    </w:p>
    <w:p w14:paraId="799E761E">
      <w:pPr>
        <w:spacing w:line="560" w:lineRule="exact"/>
      </w:pPr>
      <w:r>
        <w:rPr>
          <w:rFonts w:hint="eastAsia"/>
        </w:rPr>
        <w:t>关于罪犯会见通讯系统，保障罪犯合法权益是法治监狱建设的重要内容，《中华人民共和国监狱法》明确规定，罪犯在服刑期间有权与亲属或者监护人通信，这是维护罪犯人格尊严、促进其改造自新的基本法律保障。当前，传统的会见通讯方式存在诸多局限：现场会见受时间、空间限制，亲属往返监狱成本较高；亲情电话功能单一，无法实现面对面交流；信件传递周期长，信息滞后。这些问题导致罪犯与外界联系不畅，亲情纽带作用难以充分发挥。为切实保障监狱罪犯狱内通讯权利，提升罪犯亲情支撑的力度，整合全局资源，提升监管执法水平，促进社会整体和谐稳定，落实监狱高质量发展的要求，依据《关于规范jyzf移动可视通话工作的意见》、《上海市监狱管理局罪犯会见通信实施细则》沪司狱规〔2022〕6号文等文件相关要求，且本项目已纳入局重点工作，局领导非常关注，本次旨在依托现有的狱政业务平台，建设一个全局统一稳定高效的罪犯会见通讯系统，包含罪犯移动可视通话、现场会见、亲情电话以及信件登记等工作。该系统应具有人脸识别、身份验证、实时网络通讯、实时监听监视、录音录像回放以及数据统计分析等基础功能，可扩展支持语音转文字、敏感词提示等智能化应用。实现有效保障罪犯狱内通讯权利，提升亲情支撑力度，提高监狱管理效率和信息化水平，为维护社会和谐稳定发挥积极作用。</w:t>
      </w:r>
    </w:p>
    <w:p w14:paraId="411AA7A7">
      <w:pPr>
        <w:spacing w:line="560" w:lineRule="exact"/>
      </w:pPr>
      <w:r>
        <w:rPr>
          <w:rFonts w:hint="eastAsia"/>
        </w:rPr>
        <w:t>关于劳动改造系统，为2013年建设的系统，目前每年新增约1500w条数据，由于当初功能设计未考虑到数据量较大的情况，大量的数据导致录入和查询非常缓慢，功能模块存在无法使用的情况。且目前数据录入后无需经过审批即可修改删除，存在数据安全风险。根据司法部下达的业务数据安全方面的相关通知，对业务系统的劳动改造工时、劳动薪酬等数据明确要求安全等级，并要求系统通过等保三级测评和XC改造，然而现有系统无法满足业务需求和安全方面的需要，并且没有进行XC改造，系统现有应用服务器也无法满足大量用户的并发使用，因此亟需进行升级改造，实现上云并进行负载均衡配置确保系统稳定运行。</w:t>
      </w:r>
    </w:p>
    <w:p w14:paraId="2B9150FB">
      <w:pPr>
        <w:spacing w:line="560" w:lineRule="exact"/>
      </w:pPr>
      <w:r>
        <w:rPr>
          <w:rFonts w:hint="eastAsia"/>
        </w:rPr>
        <w:t>关于综合治理系统，《上海市监狱管理局综合治理工作管理办法》对本市各监狱在押罪犯的刑释衔接、社会帮教、法律援助等方面工作提出了具体的工作要求。刑释衔接方面，要求做好新收罪犯信息衔接、重大情况通报、临释罪犯信息衔接工作；社会帮教方面，监狱应建立社会帮教工作网络，完善社会帮教工作机制，为开展帮教工作提供有力保障；法律援助方面，要求做好法援申请接收、申请转交、宣传教育等工作。现有综合治理系统自2002年建设以来，UI没有进行升级改造，导致现有系统无法适应目前的屏幕，系统界面易出现错乱，数据录入困难，工作量极大增加。同时现有系统功能不满足现有业务开展需要，缺少法律援助相关功能，且原有功能上报统计字段不全，无法匹配司法部上报的数据，工作流程无法全程留痕，罪犯管理全过程有缺失。为适应新形势、新任务、新要求，亟需对综合治理系统进行升级改造，以更好地落实相关政策法规，统筹利用好社会资源和社会力量，帮助罪犯提高回归社会适应性。</w:t>
      </w:r>
    </w:p>
    <w:p w14:paraId="3512944E">
      <w:pPr>
        <w:spacing w:line="560" w:lineRule="exact"/>
      </w:pPr>
      <w:r>
        <w:rPr>
          <w:rFonts w:hint="eastAsia"/>
        </w:rPr>
        <w:t>建设期限：自合同签订日起10个月内完成项目建设并通过验收（含30天试运行期）</w:t>
      </w:r>
    </w:p>
    <w:p w14:paraId="6856D010">
      <w:pPr>
        <w:spacing w:line="560" w:lineRule="exact"/>
      </w:pPr>
      <w:r>
        <w:rPr>
          <w:rFonts w:hint="eastAsia"/>
        </w:rPr>
        <w:t>建设地点：上海市监狱管理局</w:t>
      </w:r>
    </w:p>
    <w:p w14:paraId="7EF546C9">
      <w:pPr>
        <w:spacing w:line="560" w:lineRule="exact"/>
      </w:pPr>
      <w:r>
        <w:rPr>
          <w:rFonts w:hint="eastAsia"/>
        </w:rPr>
        <w:t>预算金额：2250000元</w:t>
      </w:r>
    </w:p>
    <w:p w14:paraId="657BAA55">
      <w:pPr>
        <w:spacing w:line="560" w:lineRule="exact"/>
      </w:pPr>
      <w:r>
        <w:rPr>
          <w:rFonts w:hint="eastAsia"/>
        </w:rPr>
        <w:t>采购金额（最高限价）：2250000元</w:t>
      </w:r>
    </w:p>
    <w:p w14:paraId="06DA35E0">
      <w:r>
        <w:rPr>
          <w:rFonts w:hint="eastAsia"/>
        </w:rPr>
        <w:t>组织形式：集中采购</w:t>
      </w:r>
    </w:p>
    <w:p w14:paraId="65B44145">
      <w:r>
        <w:rPr>
          <w:rFonts w:hint="eastAsia"/>
        </w:rPr>
        <w:t>采购方式：竞争性磋商</w:t>
      </w:r>
    </w:p>
    <w:p w14:paraId="6D4B06D7">
      <w:r>
        <w:rPr>
          <w:rFonts w:hint="eastAsia"/>
        </w:rPr>
        <w:t>是否接受联合体投标：否</w:t>
      </w:r>
    </w:p>
    <w:p w14:paraId="151EC869">
      <w:r>
        <w:t>是否按</w:t>
      </w:r>
      <w:r>
        <w:rPr>
          <w:rFonts w:hint="eastAsia"/>
        </w:rPr>
        <w:t>XC</w:t>
      </w:r>
      <w:r>
        <w:t>要求建设：是</w:t>
      </w:r>
    </w:p>
    <w:p w14:paraId="096D2BE0">
      <w:r>
        <w:rPr>
          <w:rFonts w:hint="eastAsia"/>
        </w:rPr>
        <w:t>运维后所属大系统：监狱工作统一管理平台</w:t>
      </w:r>
    </w:p>
    <w:p w14:paraId="3127B1E2">
      <w:pPr>
        <w:pStyle w:val="2"/>
      </w:pPr>
      <w:bookmarkStart w:id="1" w:name="_Toc47536644"/>
      <w:bookmarkEnd w:id="1"/>
      <w:bookmarkStart w:id="2" w:name="_Toc47536272"/>
      <w:bookmarkEnd w:id="2"/>
      <w:bookmarkStart w:id="3" w:name="_Toc47537134"/>
      <w:bookmarkEnd w:id="3"/>
      <w:bookmarkStart w:id="4" w:name="_Toc47539070"/>
      <w:bookmarkEnd w:id="4"/>
      <w:bookmarkStart w:id="5" w:name="_Toc47533256"/>
      <w:bookmarkEnd w:id="5"/>
      <w:bookmarkStart w:id="6" w:name="_Toc47532255"/>
      <w:bookmarkEnd w:id="6"/>
      <w:bookmarkStart w:id="7" w:name="_Toc47531634"/>
      <w:bookmarkEnd w:id="7"/>
      <w:bookmarkStart w:id="8" w:name="_Toc47532891"/>
      <w:bookmarkEnd w:id="8"/>
      <w:bookmarkStart w:id="9" w:name="_Toc48223882"/>
      <w:bookmarkStart w:id="10" w:name="_Toc63785463"/>
      <w:r>
        <w:rPr>
          <w:rFonts w:hint="eastAsia"/>
        </w:rPr>
        <w:t>建设目标</w:t>
      </w:r>
      <w:bookmarkEnd w:id="9"/>
      <w:bookmarkEnd w:id="10"/>
    </w:p>
    <w:p w14:paraId="3489B370">
      <w:pPr>
        <w:pStyle w:val="3"/>
      </w:pPr>
      <w:r>
        <w:rPr>
          <w:rFonts w:hint="eastAsia"/>
        </w:rPr>
        <w:t>总体建设目标</w:t>
      </w:r>
    </w:p>
    <w:p w14:paraId="6F7C69B5">
      <w:pPr>
        <w:spacing w:line="560" w:lineRule="exact"/>
        <w:rPr>
          <w:bCs/>
          <w:color w:val="000000"/>
        </w:rPr>
      </w:pPr>
      <w:r>
        <w:rPr>
          <w:rFonts w:hint="eastAsia"/>
          <w:bCs/>
          <w:color w:val="000000"/>
        </w:rPr>
        <w:t>本次项目建设目标旨在以数字化、协同化为核心，通过整合数据资源、优化业务流程、引入新技术，优化升级罪犯会见、劳动改造、综合治理等场景的智能管理平台，实现跨系统数据互通、业务流程自动化、风险预警实时化、资源调度精细化，全面提升监狱业务管理的运行效率、风险防控能力和决策支持水平，打造安全可靠、高效集约、规范透明的现代化监狱治理体系。</w:t>
      </w:r>
    </w:p>
    <w:p w14:paraId="11C889CD">
      <w:pPr>
        <w:pStyle w:val="3"/>
      </w:pPr>
      <w:r>
        <w:rPr>
          <w:rFonts w:hint="eastAsia"/>
        </w:rPr>
        <w:t>应用指标</w:t>
      </w:r>
    </w:p>
    <w:p w14:paraId="36003E48">
      <w:pPr>
        <w:spacing w:line="560" w:lineRule="exact"/>
        <w:rPr>
          <w:bCs/>
          <w:color w:val="000000"/>
        </w:rPr>
      </w:pPr>
      <w:r>
        <w:rPr>
          <w:rFonts w:hint="eastAsia"/>
          <w:bCs/>
          <w:color w:val="000000"/>
        </w:rPr>
        <w:t>（1）上海市监狱局罪犯会见通讯系统（新建）：</w:t>
      </w:r>
    </w:p>
    <w:p w14:paraId="47BF5137">
      <w:pPr>
        <w:spacing w:line="560" w:lineRule="exact"/>
        <w:rPr>
          <w:bCs/>
          <w:color w:val="000000"/>
        </w:rPr>
      </w:pPr>
      <w:r>
        <w:rPr>
          <w:rFonts w:hint="eastAsia"/>
          <w:bCs/>
          <w:color w:val="000000"/>
        </w:rPr>
        <w:t>对标司法部技术规范，构建覆盖移动可视通话、现场会见、亲情电话、信件登记的全业务应用体系，配套建设应用支撑、数据中台、安全保障等基础设施，实现与“智慧监狱统一管理平台”的数据互通与业务协同，满足《智慧监狱审核验收评分表》中“统一管理平台和业务系统”“数据分析研判”的考核要求。</w:t>
      </w:r>
    </w:p>
    <w:p w14:paraId="473FA920">
      <w:pPr>
        <w:spacing w:line="560" w:lineRule="exact"/>
        <w:rPr>
          <w:bCs/>
          <w:color w:val="000000"/>
        </w:rPr>
      </w:pPr>
      <w:r>
        <w:rPr>
          <w:rFonts w:hint="eastAsia"/>
          <w:bCs/>
          <w:color w:val="000000"/>
        </w:rPr>
        <w:t>（2）劳动改造系统应用软件开发（功能升级）：</w:t>
      </w:r>
    </w:p>
    <w:p w14:paraId="31991FE7">
      <w:pPr>
        <w:spacing w:line="560" w:lineRule="exact"/>
        <w:rPr>
          <w:bCs/>
          <w:color w:val="000000"/>
        </w:rPr>
      </w:pPr>
      <w:r>
        <w:rPr>
          <w:rFonts w:hint="eastAsia"/>
          <w:bCs/>
          <w:color w:val="000000"/>
        </w:rPr>
        <w:t>遵循司法部下达的业务数据安全方面的相关通知，适应新业务需求，对现有模块进行分库分表，优化录入和查询功能，并加强数据录入和审批安全规范保障。同时实现系统上云，并实现负载均衡，完成XC改造，通过等保三级测评。</w:t>
      </w:r>
    </w:p>
    <w:p w14:paraId="43760756">
      <w:pPr>
        <w:spacing w:line="560" w:lineRule="exact"/>
        <w:rPr>
          <w:bCs/>
          <w:color w:val="000000"/>
        </w:rPr>
      </w:pPr>
      <w:r>
        <w:rPr>
          <w:rFonts w:hint="eastAsia"/>
          <w:bCs/>
          <w:color w:val="000000"/>
        </w:rPr>
        <w:t>（3）上海监狱罪犯管理业务应用（功能升级）：</w:t>
      </w:r>
    </w:p>
    <w:p w14:paraId="7469E85C">
      <w:pPr>
        <w:spacing w:line="560" w:lineRule="exact"/>
        <w:rPr>
          <w:bCs/>
          <w:color w:val="000000"/>
        </w:rPr>
      </w:pPr>
      <w:r>
        <w:rPr>
          <w:rFonts w:hint="eastAsia"/>
          <w:bCs/>
          <w:color w:val="000000"/>
        </w:rPr>
        <w:t>顺应新形势、新任务、新要求，打造响应速度快、使用功能完善、运行稳定的综合治理系统，便于民警操作，减少人工工作，减少重复录入，减轻基层工作人员负担，提高工作效率。</w:t>
      </w:r>
    </w:p>
    <w:p w14:paraId="6A413E8B">
      <w:pPr>
        <w:pStyle w:val="3"/>
      </w:pPr>
      <w:r>
        <w:rPr>
          <w:rFonts w:hint="eastAsia"/>
        </w:rPr>
        <w:t>技术指标</w:t>
      </w:r>
    </w:p>
    <w:tbl>
      <w:tblPr>
        <w:tblStyle w:val="3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274"/>
        <w:gridCol w:w="1192"/>
        <w:gridCol w:w="1267"/>
        <w:gridCol w:w="2637"/>
        <w:gridCol w:w="1415"/>
      </w:tblGrid>
      <w:tr w14:paraId="72FE6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34" w:type="pct"/>
            <w:shd w:val="clear" w:color="auto" w:fill="auto"/>
            <w:vAlign w:val="center"/>
          </w:tcPr>
          <w:p w14:paraId="1F9D0BB3">
            <w:pPr>
              <w:widowControl/>
              <w:ind w:firstLine="0" w:firstLineChars="0"/>
              <w:jc w:val="center"/>
              <w:textAlignment w:val="center"/>
              <w:rPr>
                <w:rFonts w:cs="宋体"/>
                <w:b/>
                <w:bCs/>
                <w:color w:val="000000"/>
                <w:sz w:val="22"/>
                <w:szCs w:val="22"/>
              </w:rPr>
            </w:pPr>
            <w:r>
              <w:rPr>
                <w:rFonts w:hint="eastAsia" w:cs="宋体"/>
                <w:b/>
                <w:bCs/>
                <w:color w:val="000000"/>
                <w:kern w:val="0"/>
                <w:sz w:val="22"/>
                <w:szCs w:val="22"/>
              </w:rPr>
              <w:t>序号</w:t>
            </w:r>
          </w:p>
        </w:tc>
        <w:tc>
          <w:tcPr>
            <w:tcW w:w="747" w:type="pct"/>
            <w:shd w:val="clear" w:color="auto" w:fill="auto"/>
            <w:vAlign w:val="center"/>
          </w:tcPr>
          <w:p w14:paraId="44DF7681">
            <w:pPr>
              <w:widowControl/>
              <w:ind w:firstLine="0" w:firstLineChars="0"/>
              <w:jc w:val="center"/>
              <w:textAlignment w:val="center"/>
              <w:rPr>
                <w:rFonts w:cs="宋体"/>
                <w:b/>
                <w:bCs/>
                <w:color w:val="000000"/>
                <w:sz w:val="22"/>
                <w:szCs w:val="22"/>
              </w:rPr>
            </w:pPr>
            <w:r>
              <w:rPr>
                <w:rFonts w:hint="eastAsia" w:cs="宋体"/>
                <w:b/>
                <w:bCs/>
                <w:color w:val="000000"/>
                <w:kern w:val="0"/>
                <w:sz w:val="22"/>
                <w:szCs w:val="22"/>
              </w:rPr>
              <w:t>一级指标</w:t>
            </w:r>
          </w:p>
        </w:tc>
        <w:tc>
          <w:tcPr>
            <w:tcW w:w="699" w:type="pct"/>
            <w:shd w:val="clear" w:color="auto" w:fill="auto"/>
            <w:vAlign w:val="center"/>
          </w:tcPr>
          <w:p w14:paraId="5524173E">
            <w:pPr>
              <w:widowControl/>
              <w:ind w:firstLine="0" w:firstLineChars="0"/>
              <w:jc w:val="center"/>
              <w:textAlignment w:val="center"/>
              <w:rPr>
                <w:rFonts w:cs="宋体"/>
                <w:b/>
                <w:bCs/>
                <w:color w:val="000000"/>
                <w:sz w:val="22"/>
                <w:szCs w:val="22"/>
              </w:rPr>
            </w:pPr>
            <w:r>
              <w:rPr>
                <w:rFonts w:hint="eastAsia" w:cs="宋体"/>
                <w:b/>
                <w:bCs/>
                <w:color w:val="000000"/>
                <w:kern w:val="0"/>
                <w:sz w:val="22"/>
                <w:szCs w:val="22"/>
              </w:rPr>
              <w:t>二级指标</w:t>
            </w:r>
          </w:p>
        </w:tc>
        <w:tc>
          <w:tcPr>
            <w:tcW w:w="743" w:type="pct"/>
            <w:shd w:val="clear" w:color="auto" w:fill="auto"/>
            <w:vAlign w:val="center"/>
          </w:tcPr>
          <w:p w14:paraId="2BCD6A52">
            <w:pPr>
              <w:widowControl/>
              <w:ind w:firstLine="0" w:firstLineChars="0"/>
              <w:jc w:val="center"/>
              <w:textAlignment w:val="center"/>
              <w:rPr>
                <w:rFonts w:cs="宋体"/>
                <w:b/>
                <w:bCs/>
                <w:color w:val="000000"/>
                <w:sz w:val="22"/>
                <w:szCs w:val="22"/>
              </w:rPr>
            </w:pPr>
            <w:r>
              <w:rPr>
                <w:rFonts w:hint="eastAsia" w:cs="宋体"/>
                <w:b/>
                <w:bCs/>
                <w:color w:val="000000"/>
                <w:kern w:val="0"/>
                <w:sz w:val="22"/>
                <w:szCs w:val="22"/>
              </w:rPr>
              <w:t>三级指标</w:t>
            </w:r>
          </w:p>
        </w:tc>
        <w:tc>
          <w:tcPr>
            <w:tcW w:w="1546" w:type="pct"/>
            <w:shd w:val="clear" w:color="auto" w:fill="auto"/>
            <w:vAlign w:val="center"/>
          </w:tcPr>
          <w:p w14:paraId="7AB7DF0B">
            <w:pPr>
              <w:widowControl/>
              <w:ind w:firstLine="0" w:firstLineChars="0"/>
              <w:jc w:val="center"/>
              <w:textAlignment w:val="center"/>
              <w:rPr>
                <w:rFonts w:cs="宋体"/>
                <w:b/>
                <w:bCs/>
                <w:color w:val="000000"/>
                <w:sz w:val="22"/>
                <w:szCs w:val="22"/>
              </w:rPr>
            </w:pPr>
            <w:r>
              <w:rPr>
                <w:rFonts w:hint="eastAsia" w:cs="宋体"/>
                <w:b/>
                <w:bCs/>
                <w:color w:val="000000"/>
                <w:kern w:val="0"/>
                <w:sz w:val="22"/>
                <w:szCs w:val="22"/>
              </w:rPr>
              <w:t>四级指标</w:t>
            </w:r>
          </w:p>
        </w:tc>
        <w:tc>
          <w:tcPr>
            <w:tcW w:w="829" w:type="pct"/>
            <w:shd w:val="clear" w:color="auto" w:fill="auto"/>
            <w:vAlign w:val="center"/>
          </w:tcPr>
          <w:p w14:paraId="5C84FF32">
            <w:pPr>
              <w:widowControl/>
              <w:ind w:firstLine="0" w:firstLineChars="0"/>
              <w:jc w:val="center"/>
              <w:textAlignment w:val="center"/>
              <w:rPr>
                <w:rFonts w:cs="宋体"/>
                <w:b/>
                <w:bCs/>
                <w:color w:val="000000"/>
                <w:sz w:val="22"/>
                <w:szCs w:val="22"/>
              </w:rPr>
            </w:pPr>
            <w:r>
              <w:rPr>
                <w:rFonts w:hint="eastAsia" w:cs="宋体"/>
                <w:b/>
                <w:bCs/>
                <w:color w:val="000000"/>
                <w:kern w:val="0"/>
                <w:sz w:val="22"/>
                <w:szCs w:val="22"/>
              </w:rPr>
              <w:t>指标值</w:t>
            </w:r>
          </w:p>
        </w:tc>
      </w:tr>
      <w:tr w14:paraId="54F5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34" w:type="pct"/>
            <w:shd w:val="clear" w:color="auto" w:fill="auto"/>
            <w:vAlign w:val="center"/>
          </w:tcPr>
          <w:p w14:paraId="27D564DD">
            <w:pPr>
              <w:widowControl/>
              <w:ind w:firstLine="0" w:firstLineChars="0"/>
              <w:jc w:val="center"/>
              <w:textAlignment w:val="center"/>
              <w:rPr>
                <w:rFonts w:cs="宋体"/>
                <w:color w:val="000000"/>
                <w:sz w:val="22"/>
                <w:szCs w:val="22"/>
              </w:rPr>
            </w:pPr>
            <w:r>
              <w:rPr>
                <w:rFonts w:hint="eastAsia" w:cs="宋体"/>
                <w:color w:val="000000"/>
                <w:kern w:val="0"/>
                <w:sz w:val="22"/>
                <w:szCs w:val="22"/>
              </w:rPr>
              <w:t>1</w:t>
            </w:r>
          </w:p>
        </w:tc>
        <w:tc>
          <w:tcPr>
            <w:tcW w:w="747" w:type="pct"/>
            <w:shd w:val="clear" w:color="auto" w:fill="auto"/>
            <w:vAlign w:val="center"/>
          </w:tcPr>
          <w:p w14:paraId="15A6E6CF">
            <w:pPr>
              <w:widowControl/>
              <w:ind w:firstLine="0" w:firstLineChars="0"/>
              <w:jc w:val="center"/>
              <w:textAlignment w:val="center"/>
              <w:rPr>
                <w:rFonts w:cs="宋体"/>
                <w:color w:val="000000"/>
                <w:sz w:val="22"/>
                <w:szCs w:val="22"/>
              </w:rPr>
            </w:pPr>
            <w:r>
              <w:rPr>
                <w:rFonts w:hint="eastAsia" w:cs="宋体"/>
                <w:color w:val="000000"/>
                <w:kern w:val="0"/>
                <w:sz w:val="22"/>
                <w:szCs w:val="22"/>
              </w:rPr>
              <w:t>通用指标</w:t>
            </w:r>
          </w:p>
        </w:tc>
        <w:tc>
          <w:tcPr>
            <w:tcW w:w="699" w:type="pct"/>
            <w:shd w:val="clear" w:color="auto" w:fill="auto"/>
            <w:vAlign w:val="center"/>
          </w:tcPr>
          <w:p w14:paraId="7CB44F25">
            <w:pPr>
              <w:widowControl/>
              <w:ind w:firstLine="0" w:firstLineChars="0"/>
              <w:jc w:val="center"/>
              <w:textAlignment w:val="center"/>
              <w:rPr>
                <w:rFonts w:cs="宋体"/>
                <w:color w:val="000000"/>
                <w:sz w:val="22"/>
                <w:szCs w:val="22"/>
              </w:rPr>
            </w:pPr>
            <w:r>
              <w:rPr>
                <w:rFonts w:hint="eastAsia" w:cs="宋体"/>
                <w:color w:val="000000"/>
                <w:kern w:val="0"/>
                <w:sz w:val="22"/>
                <w:szCs w:val="22"/>
              </w:rPr>
              <w:t>产出指标</w:t>
            </w:r>
          </w:p>
        </w:tc>
        <w:tc>
          <w:tcPr>
            <w:tcW w:w="743" w:type="pct"/>
            <w:shd w:val="clear" w:color="auto" w:fill="auto"/>
            <w:vAlign w:val="center"/>
          </w:tcPr>
          <w:p w14:paraId="3EE56D06">
            <w:pPr>
              <w:widowControl/>
              <w:ind w:firstLine="0" w:firstLineChars="0"/>
              <w:jc w:val="center"/>
              <w:textAlignment w:val="center"/>
              <w:rPr>
                <w:rFonts w:cs="宋体"/>
                <w:color w:val="000000"/>
                <w:sz w:val="22"/>
                <w:szCs w:val="22"/>
              </w:rPr>
            </w:pPr>
            <w:r>
              <w:rPr>
                <w:rFonts w:hint="eastAsia" w:cs="宋体"/>
                <w:color w:val="000000"/>
                <w:kern w:val="0"/>
                <w:sz w:val="22"/>
                <w:szCs w:val="22"/>
              </w:rPr>
              <w:t>产出质量</w:t>
            </w:r>
          </w:p>
        </w:tc>
        <w:tc>
          <w:tcPr>
            <w:tcW w:w="1546" w:type="pct"/>
            <w:shd w:val="clear" w:color="auto" w:fill="auto"/>
            <w:vAlign w:val="center"/>
          </w:tcPr>
          <w:p w14:paraId="6927B46C">
            <w:pPr>
              <w:widowControl/>
              <w:ind w:firstLine="0" w:firstLineChars="0"/>
              <w:jc w:val="center"/>
              <w:textAlignment w:val="center"/>
              <w:rPr>
                <w:rFonts w:cs="宋体"/>
                <w:color w:val="000000"/>
                <w:sz w:val="22"/>
                <w:szCs w:val="22"/>
              </w:rPr>
            </w:pPr>
            <w:r>
              <w:rPr>
                <w:rFonts w:hint="eastAsia" w:cs="宋体"/>
                <w:color w:val="000000"/>
                <w:kern w:val="0"/>
                <w:sz w:val="22"/>
                <w:szCs w:val="22"/>
              </w:rPr>
              <w:t>系统稳定性</w:t>
            </w:r>
          </w:p>
        </w:tc>
        <w:tc>
          <w:tcPr>
            <w:tcW w:w="829" w:type="pct"/>
            <w:shd w:val="clear" w:color="auto" w:fill="auto"/>
            <w:vAlign w:val="center"/>
          </w:tcPr>
          <w:p w14:paraId="63793E3B">
            <w:pPr>
              <w:widowControl/>
              <w:ind w:firstLine="0" w:firstLineChars="0"/>
              <w:jc w:val="center"/>
              <w:textAlignment w:val="center"/>
              <w:rPr>
                <w:rFonts w:cs="宋体"/>
                <w:color w:val="000000"/>
                <w:sz w:val="22"/>
                <w:szCs w:val="22"/>
              </w:rPr>
            </w:pPr>
            <w:r>
              <w:rPr>
                <w:rFonts w:hint="eastAsia" w:cs="宋体"/>
                <w:color w:val="000000"/>
                <w:kern w:val="0"/>
                <w:sz w:val="22"/>
                <w:szCs w:val="22"/>
              </w:rPr>
              <w:t>≥99%</w:t>
            </w:r>
          </w:p>
        </w:tc>
      </w:tr>
      <w:tr w14:paraId="2DFC8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34" w:type="pct"/>
            <w:shd w:val="clear" w:color="auto" w:fill="auto"/>
            <w:vAlign w:val="center"/>
          </w:tcPr>
          <w:p w14:paraId="2FC906F3">
            <w:pPr>
              <w:widowControl/>
              <w:ind w:firstLine="0" w:firstLineChars="0"/>
              <w:jc w:val="center"/>
              <w:textAlignment w:val="center"/>
              <w:rPr>
                <w:rFonts w:cs="宋体"/>
                <w:color w:val="000000"/>
                <w:sz w:val="22"/>
                <w:szCs w:val="22"/>
              </w:rPr>
            </w:pPr>
            <w:r>
              <w:rPr>
                <w:rFonts w:hint="eastAsia" w:cs="宋体"/>
                <w:color w:val="000000"/>
                <w:kern w:val="0"/>
                <w:sz w:val="22"/>
                <w:szCs w:val="22"/>
              </w:rPr>
              <w:t>2</w:t>
            </w:r>
          </w:p>
        </w:tc>
        <w:tc>
          <w:tcPr>
            <w:tcW w:w="747" w:type="pct"/>
            <w:shd w:val="clear" w:color="auto" w:fill="auto"/>
            <w:vAlign w:val="center"/>
          </w:tcPr>
          <w:p w14:paraId="7EE583FE">
            <w:pPr>
              <w:widowControl/>
              <w:ind w:firstLine="0" w:firstLineChars="0"/>
              <w:jc w:val="center"/>
              <w:textAlignment w:val="center"/>
              <w:rPr>
                <w:rFonts w:cs="宋体"/>
                <w:color w:val="000000"/>
                <w:sz w:val="22"/>
                <w:szCs w:val="22"/>
              </w:rPr>
            </w:pPr>
            <w:r>
              <w:rPr>
                <w:rFonts w:hint="eastAsia" w:cs="宋体"/>
                <w:color w:val="000000"/>
                <w:kern w:val="0"/>
                <w:sz w:val="22"/>
                <w:szCs w:val="22"/>
              </w:rPr>
              <w:t>通用指标</w:t>
            </w:r>
          </w:p>
        </w:tc>
        <w:tc>
          <w:tcPr>
            <w:tcW w:w="699" w:type="pct"/>
            <w:shd w:val="clear" w:color="auto" w:fill="auto"/>
            <w:vAlign w:val="center"/>
          </w:tcPr>
          <w:p w14:paraId="488709A7">
            <w:pPr>
              <w:widowControl/>
              <w:ind w:firstLine="0" w:firstLineChars="0"/>
              <w:jc w:val="center"/>
              <w:textAlignment w:val="center"/>
              <w:rPr>
                <w:rFonts w:cs="宋体"/>
                <w:color w:val="000000"/>
                <w:sz w:val="22"/>
                <w:szCs w:val="22"/>
              </w:rPr>
            </w:pPr>
            <w:r>
              <w:rPr>
                <w:rFonts w:hint="eastAsia" w:cs="宋体"/>
                <w:color w:val="000000"/>
                <w:kern w:val="0"/>
                <w:sz w:val="22"/>
                <w:szCs w:val="22"/>
              </w:rPr>
              <w:t>效益指标</w:t>
            </w:r>
          </w:p>
        </w:tc>
        <w:tc>
          <w:tcPr>
            <w:tcW w:w="743" w:type="pct"/>
            <w:shd w:val="clear" w:color="auto" w:fill="auto"/>
            <w:vAlign w:val="center"/>
          </w:tcPr>
          <w:p w14:paraId="1BD032FB">
            <w:pPr>
              <w:widowControl/>
              <w:ind w:firstLine="0" w:firstLineChars="0"/>
              <w:jc w:val="center"/>
              <w:textAlignment w:val="center"/>
              <w:rPr>
                <w:rFonts w:cs="宋体"/>
                <w:color w:val="000000"/>
                <w:sz w:val="22"/>
                <w:szCs w:val="22"/>
              </w:rPr>
            </w:pPr>
            <w:r>
              <w:rPr>
                <w:rFonts w:hint="eastAsia" w:cs="宋体"/>
                <w:color w:val="000000"/>
                <w:kern w:val="0"/>
                <w:sz w:val="22"/>
                <w:szCs w:val="22"/>
              </w:rPr>
              <w:t>共性平台</w:t>
            </w:r>
          </w:p>
        </w:tc>
        <w:tc>
          <w:tcPr>
            <w:tcW w:w="1546" w:type="pct"/>
            <w:shd w:val="clear" w:color="auto" w:fill="auto"/>
            <w:vAlign w:val="center"/>
          </w:tcPr>
          <w:p w14:paraId="61D6EA54">
            <w:pPr>
              <w:widowControl/>
              <w:ind w:firstLine="0" w:firstLineChars="0"/>
              <w:jc w:val="center"/>
              <w:textAlignment w:val="center"/>
              <w:rPr>
                <w:rFonts w:cs="宋体"/>
                <w:color w:val="000000"/>
                <w:sz w:val="22"/>
                <w:szCs w:val="22"/>
              </w:rPr>
            </w:pPr>
            <w:r>
              <w:rPr>
                <w:rFonts w:hint="eastAsia" w:cs="宋体"/>
                <w:color w:val="000000"/>
                <w:kern w:val="0"/>
                <w:sz w:val="22"/>
                <w:szCs w:val="22"/>
              </w:rPr>
              <w:t>系统共享水平</w:t>
            </w:r>
          </w:p>
        </w:tc>
        <w:tc>
          <w:tcPr>
            <w:tcW w:w="829" w:type="pct"/>
            <w:shd w:val="clear" w:color="auto" w:fill="auto"/>
            <w:vAlign w:val="center"/>
          </w:tcPr>
          <w:p w14:paraId="577FB930">
            <w:pPr>
              <w:widowControl/>
              <w:ind w:firstLine="0" w:firstLineChars="0"/>
              <w:jc w:val="center"/>
              <w:textAlignment w:val="center"/>
              <w:rPr>
                <w:rFonts w:cs="宋体"/>
                <w:color w:val="000000"/>
                <w:sz w:val="22"/>
                <w:szCs w:val="22"/>
              </w:rPr>
            </w:pPr>
            <w:r>
              <w:rPr>
                <w:rFonts w:hint="eastAsia" w:cs="宋体"/>
                <w:color w:val="000000"/>
                <w:kern w:val="0"/>
                <w:sz w:val="22"/>
                <w:szCs w:val="22"/>
              </w:rPr>
              <w:t>全局使用</w:t>
            </w:r>
          </w:p>
        </w:tc>
      </w:tr>
      <w:tr w14:paraId="6281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34" w:type="pct"/>
            <w:shd w:val="clear" w:color="auto" w:fill="auto"/>
            <w:vAlign w:val="center"/>
          </w:tcPr>
          <w:p w14:paraId="7BCE69BD">
            <w:pPr>
              <w:widowControl/>
              <w:ind w:firstLine="0" w:firstLineChars="0"/>
              <w:jc w:val="center"/>
              <w:textAlignment w:val="center"/>
              <w:rPr>
                <w:rFonts w:cs="宋体"/>
                <w:color w:val="000000"/>
                <w:sz w:val="22"/>
                <w:szCs w:val="22"/>
              </w:rPr>
            </w:pPr>
            <w:r>
              <w:rPr>
                <w:rFonts w:hint="eastAsia" w:cs="宋体"/>
                <w:color w:val="000000"/>
                <w:kern w:val="0"/>
                <w:sz w:val="22"/>
                <w:szCs w:val="22"/>
              </w:rPr>
              <w:t>3</w:t>
            </w:r>
          </w:p>
        </w:tc>
        <w:tc>
          <w:tcPr>
            <w:tcW w:w="747" w:type="pct"/>
            <w:shd w:val="clear" w:color="auto" w:fill="auto"/>
            <w:vAlign w:val="center"/>
          </w:tcPr>
          <w:p w14:paraId="134186E2">
            <w:pPr>
              <w:widowControl/>
              <w:ind w:firstLine="0" w:firstLineChars="0"/>
              <w:jc w:val="center"/>
              <w:textAlignment w:val="center"/>
              <w:rPr>
                <w:rFonts w:cs="宋体"/>
                <w:color w:val="000000"/>
                <w:sz w:val="22"/>
                <w:szCs w:val="22"/>
              </w:rPr>
            </w:pPr>
            <w:r>
              <w:rPr>
                <w:rFonts w:hint="eastAsia" w:cs="宋体"/>
                <w:color w:val="000000"/>
                <w:kern w:val="0"/>
                <w:sz w:val="22"/>
                <w:szCs w:val="22"/>
              </w:rPr>
              <w:t>通用指标</w:t>
            </w:r>
          </w:p>
        </w:tc>
        <w:tc>
          <w:tcPr>
            <w:tcW w:w="699" w:type="pct"/>
            <w:shd w:val="clear" w:color="auto" w:fill="auto"/>
            <w:vAlign w:val="center"/>
          </w:tcPr>
          <w:p w14:paraId="43A2A842">
            <w:pPr>
              <w:widowControl/>
              <w:ind w:firstLine="0" w:firstLineChars="0"/>
              <w:jc w:val="center"/>
              <w:textAlignment w:val="center"/>
              <w:rPr>
                <w:rFonts w:cs="宋体"/>
                <w:color w:val="000000"/>
                <w:sz w:val="22"/>
                <w:szCs w:val="22"/>
              </w:rPr>
            </w:pPr>
            <w:r>
              <w:rPr>
                <w:rFonts w:hint="eastAsia" w:cs="宋体"/>
                <w:color w:val="000000"/>
                <w:kern w:val="0"/>
                <w:sz w:val="22"/>
                <w:szCs w:val="22"/>
              </w:rPr>
              <w:t>效益指标</w:t>
            </w:r>
          </w:p>
        </w:tc>
        <w:tc>
          <w:tcPr>
            <w:tcW w:w="743" w:type="pct"/>
            <w:shd w:val="clear" w:color="auto" w:fill="auto"/>
            <w:vAlign w:val="center"/>
          </w:tcPr>
          <w:p w14:paraId="2636FBCE">
            <w:pPr>
              <w:widowControl/>
              <w:ind w:firstLine="0" w:firstLineChars="0"/>
              <w:jc w:val="center"/>
              <w:textAlignment w:val="center"/>
              <w:rPr>
                <w:rFonts w:cs="宋体"/>
                <w:color w:val="000000"/>
                <w:sz w:val="22"/>
                <w:szCs w:val="22"/>
              </w:rPr>
            </w:pPr>
            <w:r>
              <w:rPr>
                <w:rFonts w:hint="eastAsia" w:cs="宋体"/>
                <w:color w:val="000000"/>
                <w:kern w:val="0"/>
                <w:sz w:val="22"/>
                <w:szCs w:val="22"/>
              </w:rPr>
              <w:t>共性平台</w:t>
            </w:r>
          </w:p>
        </w:tc>
        <w:tc>
          <w:tcPr>
            <w:tcW w:w="1546" w:type="pct"/>
            <w:shd w:val="clear" w:color="auto" w:fill="auto"/>
            <w:vAlign w:val="center"/>
          </w:tcPr>
          <w:p w14:paraId="5ABC7689">
            <w:pPr>
              <w:widowControl/>
              <w:ind w:firstLine="0" w:firstLineChars="0"/>
              <w:jc w:val="center"/>
              <w:textAlignment w:val="center"/>
              <w:rPr>
                <w:rFonts w:cs="宋体"/>
                <w:color w:val="000000"/>
                <w:sz w:val="22"/>
                <w:szCs w:val="22"/>
              </w:rPr>
            </w:pPr>
            <w:r>
              <w:rPr>
                <w:rFonts w:hint="eastAsia" w:cs="宋体"/>
                <w:color w:val="000000"/>
                <w:kern w:val="0"/>
                <w:sz w:val="22"/>
                <w:szCs w:val="22"/>
              </w:rPr>
              <w:t>数据质量水平-核心数据缺失率</w:t>
            </w:r>
          </w:p>
        </w:tc>
        <w:tc>
          <w:tcPr>
            <w:tcW w:w="829" w:type="pct"/>
            <w:shd w:val="clear" w:color="auto" w:fill="auto"/>
            <w:vAlign w:val="center"/>
          </w:tcPr>
          <w:p w14:paraId="4656B167">
            <w:pPr>
              <w:widowControl/>
              <w:ind w:firstLine="0" w:firstLineChars="0"/>
              <w:jc w:val="center"/>
              <w:textAlignment w:val="center"/>
              <w:rPr>
                <w:rFonts w:cs="宋体"/>
                <w:color w:val="000000"/>
                <w:sz w:val="22"/>
                <w:szCs w:val="22"/>
              </w:rPr>
            </w:pPr>
            <w:r>
              <w:rPr>
                <w:rFonts w:hint="eastAsia" w:cs="宋体"/>
                <w:color w:val="000000"/>
                <w:kern w:val="0"/>
                <w:sz w:val="22"/>
                <w:szCs w:val="22"/>
              </w:rPr>
              <w:t>0%</w:t>
            </w:r>
          </w:p>
        </w:tc>
      </w:tr>
      <w:tr w14:paraId="39A75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34" w:type="pct"/>
            <w:shd w:val="clear" w:color="auto" w:fill="auto"/>
            <w:vAlign w:val="center"/>
          </w:tcPr>
          <w:p w14:paraId="040FDB69">
            <w:pPr>
              <w:widowControl/>
              <w:ind w:firstLine="0" w:firstLineChars="0"/>
              <w:jc w:val="center"/>
              <w:textAlignment w:val="center"/>
              <w:rPr>
                <w:rFonts w:cs="宋体"/>
                <w:color w:val="000000"/>
                <w:sz w:val="22"/>
                <w:szCs w:val="22"/>
              </w:rPr>
            </w:pPr>
            <w:r>
              <w:rPr>
                <w:rFonts w:hint="eastAsia" w:cs="宋体"/>
                <w:color w:val="000000"/>
                <w:kern w:val="0"/>
                <w:sz w:val="22"/>
                <w:szCs w:val="22"/>
              </w:rPr>
              <w:t>4</w:t>
            </w:r>
          </w:p>
        </w:tc>
        <w:tc>
          <w:tcPr>
            <w:tcW w:w="747" w:type="pct"/>
            <w:shd w:val="clear" w:color="auto" w:fill="auto"/>
            <w:vAlign w:val="center"/>
          </w:tcPr>
          <w:p w14:paraId="58AC96B1">
            <w:pPr>
              <w:widowControl/>
              <w:ind w:firstLine="0" w:firstLineChars="0"/>
              <w:jc w:val="center"/>
              <w:textAlignment w:val="center"/>
              <w:rPr>
                <w:rFonts w:cs="宋体"/>
                <w:color w:val="000000"/>
                <w:sz w:val="22"/>
                <w:szCs w:val="22"/>
              </w:rPr>
            </w:pPr>
            <w:r>
              <w:rPr>
                <w:rFonts w:hint="eastAsia" w:cs="宋体"/>
                <w:color w:val="000000"/>
                <w:kern w:val="0"/>
                <w:sz w:val="22"/>
                <w:szCs w:val="22"/>
              </w:rPr>
              <w:t>通用指标</w:t>
            </w:r>
          </w:p>
        </w:tc>
        <w:tc>
          <w:tcPr>
            <w:tcW w:w="699" w:type="pct"/>
            <w:shd w:val="clear" w:color="auto" w:fill="auto"/>
            <w:vAlign w:val="center"/>
          </w:tcPr>
          <w:p w14:paraId="5D09F024">
            <w:pPr>
              <w:widowControl/>
              <w:ind w:firstLine="0" w:firstLineChars="0"/>
              <w:jc w:val="center"/>
              <w:textAlignment w:val="center"/>
              <w:rPr>
                <w:rFonts w:cs="宋体"/>
                <w:color w:val="000000"/>
                <w:sz w:val="22"/>
                <w:szCs w:val="22"/>
              </w:rPr>
            </w:pPr>
            <w:r>
              <w:rPr>
                <w:rFonts w:hint="eastAsia" w:cs="宋体"/>
                <w:color w:val="000000"/>
                <w:kern w:val="0"/>
                <w:sz w:val="22"/>
                <w:szCs w:val="22"/>
              </w:rPr>
              <w:t>效益指标</w:t>
            </w:r>
          </w:p>
        </w:tc>
        <w:tc>
          <w:tcPr>
            <w:tcW w:w="743" w:type="pct"/>
            <w:shd w:val="clear" w:color="auto" w:fill="auto"/>
            <w:vAlign w:val="center"/>
          </w:tcPr>
          <w:p w14:paraId="4208FDD8">
            <w:pPr>
              <w:widowControl/>
              <w:ind w:firstLine="0" w:firstLineChars="0"/>
              <w:jc w:val="center"/>
              <w:textAlignment w:val="center"/>
              <w:rPr>
                <w:rFonts w:cs="宋体"/>
                <w:color w:val="000000"/>
                <w:sz w:val="22"/>
                <w:szCs w:val="22"/>
              </w:rPr>
            </w:pPr>
            <w:r>
              <w:rPr>
                <w:rFonts w:hint="eastAsia" w:cs="宋体"/>
                <w:color w:val="000000"/>
                <w:kern w:val="0"/>
                <w:sz w:val="22"/>
                <w:szCs w:val="22"/>
              </w:rPr>
              <w:t>应用系统</w:t>
            </w:r>
          </w:p>
        </w:tc>
        <w:tc>
          <w:tcPr>
            <w:tcW w:w="1546" w:type="pct"/>
            <w:shd w:val="clear" w:color="auto" w:fill="auto"/>
            <w:vAlign w:val="center"/>
          </w:tcPr>
          <w:p w14:paraId="0A6CE9A3">
            <w:pPr>
              <w:widowControl/>
              <w:ind w:firstLine="0" w:firstLineChars="0"/>
              <w:jc w:val="center"/>
              <w:textAlignment w:val="center"/>
              <w:rPr>
                <w:rFonts w:cs="宋体"/>
                <w:color w:val="000000"/>
                <w:sz w:val="22"/>
                <w:szCs w:val="22"/>
              </w:rPr>
            </w:pPr>
            <w:r>
              <w:rPr>
                <w:rFonts w:hint="eastAsia" w:cs="宋体"/>
                <w:color w:val="000000"/>
                <w:kern w:val="0"/>
                <w:sz w:val="22"/>
                <w:szCs w:val="22"/>
              </w:rPr>
              <w:t>系统与业务融合能力</w:t>
            </w:r>
          </w:p>
        </w:tc>
        <w:tc>
          <w:tcPr>
            <w:tcW w:w="829" w:type="pct"/>
            <w:shd w:val="clear" w:color="auto" w:fill="auto"/>
            <w:vAlign w:val="center"/>
          </w:tcPr>
          <w:p w14:paraId="1F37183C">
            <w:pPr>
              <w:widowControl/>
              <w:ind w:firstLine="0" w:firstLineChars="0"/>
              <w:jc w:val="center"/>
              <w:textAlignment w:val="center"/>
              <w:rPr>
                <w:rFonts w:cs="宋体"/>
                <w:color w:val="000000"/>
                <w:sz w:val="22"/>
                <w:szCs w:val="22"/>
              </w:rPr>
            </w:pPr>
            <w:r>
              <w:rPr>
                <w:rFonts w:hint="eastAsia" w:cs="宋体"/>
                <w:color w:val="000000"/>
                <w:kern w:val="0"/>
                <w:sz w:val="22"/>
                <w:szCs w:val="22"/>
              </w:rPr>
              <w:t>全面融合</w:t>
            </w:r>
          </w:p>
        </w:tc>
      </w:tr>
      <w:tr w14:paraId="6B4A8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434" w:type="pct"/>
            <w:shd w:val="clear" w:color="auto" w:fill="auto"/>
            <w:vAlign w:val="center"/>
          </w:tcPr>
          <w:p w14:paraId="1A625450">
            <w:pPr>
              <w:widowControl/>
              <w:ind w:firstLine="0" w:firstLineChars="0"/>
              <w:jc w:val="center"/>
              <w:textAlignment w:val="center"/>
              <w:rPr>
                <w:rFonts w:cs="宋体"/>
                <w:color w:val="000000"/>
                <w:sz w:val="22"/>
                <w:szCs w:val="22"/>
              </w:rPr>
            </w:pPr>
            <w:r>
              <w:rPr>
                <w:rFonts w:hint="eastAsia" w:cs="宋体"/>
                <w:color w:val="000000"/>
                <w:kern w:val="0"/>
                <w:sz w:val="22"/>
                <w:szCs w:val="22"/>
              </w:rPr>
              <w:t>5</w:t>
            </w:r>
          </w:p>
        </w:tc>
        <w:tc>
          <w:tcPr>
            <w:tcW w:w="747" w:type="pct"/>
            <w:shd w:val="clear" w:color="auto" w:fill="auto"/>
            <w:vAlign w:val="center"/>
          </w:tcPr>
          <w:p w14:paraId="650A976C">
            <w:pPr>
              <w:widowControl/>
              <w:ind w:firstLine="0" w:firstLineChars="0"/>
              <w:jc w:val="center"/>
              <w:textAlignment w:val="center"/>
              <w:rPr>
                <w:rFonts w:cs="宋体"/>
                <w:color w:val="000000"/>
                <w:sz w:val="22"/>
                <w:szCs w:val="22"/>
              </w:rPr>
            </w:pPr>
            <w:r>
              <w:rPr>
                <w:rFonts w:hint="eastAsia" w:cs="宋体"/>
                <w:color w:val="000000"/>
                <w:kern w:val="0"/>
                <w:sz w:val="22"/>
                <w:szCs w:val="22"/>
              </w:rPr>
              <w:t>通用指标</w:t>
            </w:r>
          </w:p>
        </w:tc>
        <w:tc>
          <w:tcPr>
            <w:tcW w:w="699" w:type="pct"/>
            <w:shd w:val="clear" w:color="auto" w:fill="auto"/>
            <w:vAlign w:val="center"/>
          </w:tcPr>
          <w:p w14:paraId="7EB9C07D">
            <w:pPr>
              <w:widowControl/>
              <w:ind w:firstLine="0" w:firstLineChars="0"/>
              <w:jc w:val="center"/>
              <w:textAlignment w:val="center"/>
              <w:rPr>
                <w:rFonts w:cs="宋体"/>
                <w:color w:val="000000"/>
                <w:sz w:val="22"/>
                <w:szCs w:val="22"/>
              </w:rPr>
            </w:pPr>
            <w:r>
              <w:rPr>
                <w:rFonts w:hint="eastAsia" w:cs="宋体"/>
                <w:color w:val="000000"/>
                <w:kern w:val="0"/>
                <w:sz w:val="22"/>
                <w:szCs w:val="22"/>
              </w:rPr>
              <w:t>效益指标</w:t>
            </w:r>
          </w:p>
        </w:tc>
        <w:tc>
          <w:tcPr>
            <w:tcW w:w="743" w:type="pct"/>
            <w:shd w:val="clear" w:color="auto" w:fill="auto"/>
            <w:vAlign w:val="center"/>
          </w:tcPr>
          <w:p w14:paraId="1F47854A">
            <w:pPr>
              <w:widowControl/>
              <w:ind w:firstLine="0" w:firstLineChars="0"/>
              <w:jc w:val="center"/>
              <w:textAlignment w:val="center"/>
              <w:rPr>
                <w:rFonts w:cs="宋体"/>
                <w:color w:val="000000"/>
                <w:sz w:val="22"/>
                <w:szCs w:val="22"/>
              </w:rPr>
            </w:pPr>
            <w:r>
              <w:rPr>
                <w:rFonts w:hint="eastAsia" w:cs="宋体"/>
                <w:color w:val="000000"/>
                <w:kern w:val="0"/>
                <w:sz w:val="22"/>
                <w:szCs w:val="22"/>
              </w:rPr>
              <w:t>安全体系</w:t>
            </w:r>
          </w:p>
        </w:tc>
        <w:tc>
          <w:tcPr>
            <w:tcW w:w="1546" w:type="pct"/>
            <w:shd w:val="clear" w:color="auto" w:fill="auto"/>
            <w:vAlign w:val="center"/>
          </w:tcPr>
          <w:p w14:paraId="67EFC62F">
            <w:pPr>
              <w:widowControl/>
              <w:ind w:firstLine="0" w:firstLineChars="0"/>
              <w:jc w:val="center"/>
              <w:textAlignment w:val="center"/>
              <w:rPr>
                <w:rFonts w:cs="宋体"/>
                <w:color w:val="000000"/>
                <w:sz w:val="22"/>
                <w:szCs w:val="22"/>
              </w:rPr>
            </w:pPr>
            <w:r>
              <w:rPr>
                <w:rFonts w:hint="eastAsia" w:cs="宋体"/>
                <w:color w:val="000000"/>
                <w:kern w:val="0"/>
                <w:sz w:val="22"/>
                <w:szCs w:val="22"/>
              </w:rPr>
              <w:t>安全建设水平</w:t>
            </w:r>
          </w:p>
        </w:tc>
        <w:tc>
          <w:tcPr>
            <w:tcW w:w="829" w:type="pct"/>
            <w:shd w:val="clear" w:color="auto" w:fill="auto"/>
            <w:vAlign w:val="center"/>
          </w:tcPr>
          <w:p w14:paraId="602EFD6E">
            <w:pPr>
              <w:widowControl/>
              <w:ind w:firstLine="0" w:firstLineChars="0"/>
              <w:jc w:val="center"/>
              <w:textAlignment w:val="center"/>
              <w:rPr>
                <w:rFonts w:cs="宋体"/>
                <w:color w:val="000000"/>
                <w:sz w:val="22"/>
                <w:szCs w:val="22"/>
              </w:rPr>
            </w:pPr>
            <w:r>
              <w:rPr>
                <w:rFonts w:hint="eastAsia" w:cs="宋体"/>
                <w:color w:val="000000"/>
                <w:kern w:val="0"/>
                <w:sz w:val="22"/>
                <w:szCs w:val="22"/>
              </w:rPr>
              <w:t>数据、网络、系统安全措施到位</w:t>
            </w:r>
          </w:p>
        </w:tc>
      </w:tr>
      <w:tr w14:paraId="5EE32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34" w:type="pct"/>
            <w:shd w:val="clear" w:color="auto" w:fill="auto"/>
            <w:vAlign w:val="center"/>
          </w:tcPr>
          <w:p w14:paraId="429D9C57">
            <w:pPr>
              <w:widowControl/>
              <w:ind w:firstLine="0" w:firstLineChars="0"/>
              <w:jc w:val="center"/>
              <w:textAlignment w:val="center"/>
              <w:rPr>
                <w:rFonts w:cs="宋体"/>
                <w:color w:val="000000"/>
                <w:sz w:val="22"/>
                <w:szCs w:val="22"/>
              </w:rPr>
            </w:pPr>
            <w:r>
              <w:rPr>
                <w:rFonts w:hint="eastAsia" w:cs="宋体"/>
                <w:color w:val="000000"/>
                <w:kern w:val="0"/>
                <w:sz w:val="22"/>
                <w:szCs w:val="22"/>
              </w:rPr>
              <w:t>6</w:t>
            </w:r>
          </w:p>
        </w:tc>
        <w:tc>
          <w:tcPr>
            <w:tcW w:w="747" w:type="pct"/>
            <w:shd w:val="clear" w:color="auto" w:fill="auto"/>
            <w:vAlign w:val="center"/>
          </w:tcPr>
          <w:p w14:paraId="0C112791">
            <w:pPr>
              <w:widowControl/>
              <w:ind w:firstLine="0" w:firstLineChars="0"/>
              <w:jc w:val="center"/>
              <w:textAlignment w:val="center"/>
              <w:rPr>
                <w:rFonts w:cs="宋体"/>
                <w:color w:val="000000"/>
                <w:sz w:val="22"/>
                <w:szCs w:val="22"/>
              </w:rPr>
            </w:pPr>
            <w:r>
              <w:rPr>
                <w:rFonts w:hint="eastAsia" w:cs="宋体"/>
                <w:color w:val="000000"/>
                <w:kern w:val="0"/>
                <w:sz w:val="22"/>
                <w:szCs w:val="22"/>
              </w:rPr>
              <w:t>通用指标</w:t>
            </w:r>
          </w:p>
        </w:tc>
        <w:tc>
          <w:tcPr>
            <w:tcW w:w="699" w:type="pct"/>
            <w:shd w:val="clear" w:color="auto" w:fill="auto"/>
            <w:vAlign w:val="center"/>
          </w:tcPr>
          <w:p w14:paraId="14387E1A">
            <w:pPr>
              <w:widowControl/>
              <w:ind w:firstLine="0" w:firstLineChars="0"/>
              <w:jc w:val="center"/>
              <w:textAlignment w:val="center"/>
              <w:rPr>
                <w:rFonts w:cs="宋体"/>
                <w:color w:val="000000"/>
                <w:sz w:val="22"/>
                <w:szCs w:val="22"/>
              </w:rPr>
            </w:pPr>
            <w:r>
              <w:rPr>
                <w:rFonts w:hint="eastAsia" w:cs="宋体"/>
                <w:color w:val="000000"/>
                <w:kern w:val="0"/>
                <w:sz w:val="22"/>
                <w:szCs w:val="22"/>
              </w:rPr>
              <w:t>效益指标</w:t>
            </w:r>
          </w:p>
        </w:tc>
        <w:tc>
          <w:tcPr>
            <w:tcW w:w="743" w:type="pct"/>
            <w:shd w:val="clear" w:color="auto" w:fill="auto"/>
            <w:vAlign w:val="center"/>
          </w:tcPr>
          <w:p w14:paraId="4FA41C4A">
            <w:pPr>
              <w:widowControl/>
              <w:ind w:firstLine="0" w:firstLineChars="0"/>
              <w:jc w:val="center"/>
              <w:textAlignment w:val="center"/>
              <w:rPr>
                <w:rFonts w:cs="宋体"/>
                <w:color w:val="000000"/>
                <w:sz w:val="22"/>
                <w:szCs w:val="22"/>
              </w:rPr>
            </w:pPr>
            <w:r>
              <w:rPr>
                <w:rFonts w:hint="eastAsia" w:cs="宋体"/>
                <w:color w:val="000000"/>
                <w:kern w:val="0"/>
                <w:sz w:val="22"/>
                <w:szCs w:val="22"/>
              </w:rPr>
              <w:t>安全体系</w:t>
            </w:r>
          </w:p>
        </w:tc>
        <w:tc>
          <w:tcPr>
            <w:tcW w:w="1546" w:type="pct"/>
            <w:shd w:val="clear" w:color="auto" w:fill="auto"/>
            <w:vAlign w:val="center"/>
          </w:tcPr>
          <w:p w14:paraId="7465129E">
            <w:pPr>
              <w:widowControl/>
              <w:ind w:firstLine="0" w:firstLineChars="0"/>
              <w:jc w:val="center"/>
              <w:textAlignment w:val="center"/>
              <w:rPr>
                <w:rFonts w:cs="宋体"/>
                <w:color w:val="000000"/>
                <w:sz w:val="22"/>
                <w:szCs w:val="22"/>
              </w:rPr>
            </w:pPr>
            <w:r>
              <w:rPr>
                <w:rFonts w:hint="eastAsia" w:cs="宋体"/>
                <w:color w:val="000000"/>
                <w:kern w:val="0"/>
                <w:sz w:val="22"/>
                <w:szCs w:val="22"/>
              </w:rPr>
              <w:t>信息系统安全监管覆盖率</w:t>
            </w:r>
          </w:p>
        </w:tc>
        <w:tc>
          <w:tcPr>
            <w:tcW w:w="829" w:type="pct"/>
            <w:shd w:val="clear" w:color="auto" w:fill="auto"/>
            <w:vAlign w:val="center"/>
          </w:tcPr>
          <w:p w14:paraId="49A9150F">
            <w:pPr>
              <w:widowControl/>
              <w:ind w:firstLine="0" w:firstLineChars="0"/>
              <w:jc w:val="center"/>
              <w:textAlignment w:val="center"/>
              <w:rPr>
                <w:rFonts w:cs="宋体"/>
                <w:color w:val="000000"/>
                <w:sz w:val="22"/>
                <w:szCs w:val="22"/>
              </w:rPr>
            </w:pPr>
            <w:r>
              <w:rPr>
                <w:rFonts w:hint="eastAsia" w:cs="宋体"/>
                <w:color w:val="000000"/>
                <w:kern w:val="0"/>
                <w:sz w:val="22"/>
                <w:szCs w:val="22"/>
              </w:rPr>
              <w:t>100%</w:t>
            </w:r>
          </w:p>
        </w:tc>
      </w:tr>
      <w:tr w14:paraId="2F231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34" w:type="pct"/>
            <w:shd w:val="clear" w:color="auto" w:fill="auto"/>
            <w:vAlign w:val="center"/>
          </w:tcPr>
          <w:p w14:paraId="7A174471">
            <w:pPr>
              <w:widowControl/>
              <w:ind w:firstLine="0" w:firstLineChars="0"/>
              <w:jc w:val="center"/>
              <w:textAlignment w:val="center"/>
              <w:rPr>
                <w:rFonts w:cs="宋体"/>
                <w:color w:val="000000"/>
                <w:sz w:val="22"/>
                <w:szCs w:val="22"/>
              </w:rPr>
            </w:pPr>
            <w:r>
              <w:rPr>
                <w:rFonts w:hint="eastAsia" w:cs="宋体"/>
                <w:color w:val="000000"/>
                <w:kern w:val="0"/>
                <w:sz w:val="22"/>
                <w:szCs w:val="22"/>
              </w:rPr>
              <w:t>7</w:t>
            </w:r>
          </w:p>
        </w:tc>
        <w:tc>
          <w:tcPr>
            <w:tcW w:w="747" w:type="pct"/>
            <w:shd w:val="clear" w:color="auto" w:fill="auto"/>
            <w:vAlign w:val="center"/>
          </w:tcPr>
          <w:p w14:paraId="73399714">
            <w:pPr>
              <w:widowControl/>
              <w:ind w:firstLine="0" w:firstLineChars="0"/>
              <w:jc w:val="center"/>
              <w:textAlignment w:val="center"/>
              <w:rPr>
                <w:rFonts w:cs="宋体"/>
                <w:color w:val="000000"/>
                <w:sz w:val="22"/>
                <w:szCs w:val="22"/>
              </w:rPr>
            </w:pPr>
            <w:r>
              <w:rPr>
                <w:rFonts w:hint="eastAsia" w:cs="宋体"/>
                <w:color w:val="000000"/>
                <w:kern w:val="0"/>
                <w:sz w:val="22"/>
                <w:szCs w:val="22"/>
              </w:rPr>
              <w:t>通用指标</w:t>
            </w:r>
          </w:p>
        </w:tc>
        <w:tc>
          <w:tcPr>
            <w:tcW w:w="699" w:type="pct"/>
            <w:shd w:val="clear" w:color="auto" w:fill="auto"/>
            <w:vAlign w:val="center"/>
          </w:tcPr>
          <w:p w14:paraId="2D287B13">
            <w:pPr>
              <w:widowControl/>
              <w:ind w:firstLine="0" w:firstLineChars="0"/>
              <w:jc w:val="center"/>
              <w:textAlignment w:val="center"/>
              <w:rPr>
                <w:rFonts w:cs="宋体"/>
                <w:color w:val="000000"/>
                <w:sz w:val="22"/>
                <w:szCs w:val="22"/>
              </w:rPr>
            </w:pPr>
            <w:r>
              <w:rPr>
                <w:rFonts w:hint="eastAsia" w:cs="宋体"/>
                <w:color w:val="000000"/>
                <w:kern w:val="0"/>
                <w:sz w:val="22"/>
                <w:szCs w:val="22"/>
              </w:rPr>
              <w:t>效益指标</w:t>
            </w:r>
          </w:p>
        </w:tc>
        <w:tc>
          <w:tcPr>
            <w:tcW w:w="743" w:type="pct"/>
            <w:shd w:val="clear" w:color="auto" w:fill="auto"/>
            <w:vAlign w:val="center"/>
          </w:tcPr>
          <w:p w14:paraId="24280E44">
            <w:pPr>
              <w:widowControl/>
              <w:ind w:firstLine="0" w:firstLineChars="0"/>
              <w:jc w:val="center"/>
              <w:textAlignment w:val="center"/>
              <w:rPr>
                <w:rFonts w:cs="宋体"/>
                <w:color w:val="000000"/>
                <w:sz w:val="22"/>
                <w:szCs w:val="22"/>
              </w:rPr>
            </w:pPr>
            <w:r>
              <w:rPr>
                <w:rFonts w:hint="eastAsia" w:cs="宋体"/>
                <w:color w:val="000000"/>
                <w:kern w:val="0"/>
                <w:sz w:val="22"/>
                <w:szCs w:val="22"/>
              </w:rPr>
              <w:t>安全体系</w:t>
            </w:r>
          </w:p>
        </w:tc>
        <w:tc>
          <w:tcPr>
            <w:tcW w:w="1546" w:type="pct"/>
            <w:shd w:val="clear" w:color="auto" w:fill="auto"/>
            <w:vAlign w:val="center"/>
          </w:tcPr>
          <w:p w14:paraId="3F3D5B96">
            <w:pPr>
              <w:widowControl/>
              <w:ind w:firstLine="0" w:firstLineChars="0"/>
              <w:jc w:val="center"/>
              <w:textAlignment w:val="center"/>
              <w:rPr>
                <w:rFonts w:cs="宋体"/>
                <w:color w:val="000000"/>
                <w:sz w:val="22"/>
                <w:szCs w:val="22"/>
              </w:rPr>
            </w:pPr>
            <w:r>
              <w:rPr>
                <w:rFonts w:hint="eastAsia" w:cs="宋体"/>
                <w:color w:val="000000"/>
                <w:kern w:val="0"/>
                <w:sz w:val="22"/>
                <w:szCs w:val="22"/>
              </w:rPr>
              <w:t>数据风险监测覆盖率</w:t>
            </w:r>
          </w:p>
        </w:tc>
        <w:tc>
          <w:tcPr>
            <w:tcW w:w="829" w:type="pct"/>
            <w:shd w:val="clear" w:color="auto" w:fill="auto"/>
            <w:vAlign w:val="center"/>
          </w:tcPr>
          <w:p w14:paraId="1F92F732">
            <w:pPr>
              <w:widowControl/>
              <w:ind w:firstLine="0" w:firstLineChars="0"/>
              <w:jc w:val="center"/>
              <w:textAlignment w:val="center"/>
              <w:rPr>
                <w:rFonts w:cs="宋体"/>
                <w:color w:val="000000"/>
                <w:sz w:val="22"/>
                <w:szCs w:val="22"/>
              </w:rPr>
            </w:pPr>
            <w:r>
              <w:rPr>
                <w:rFonts w:hint="eastAsia" w:cs="宋体"/>
                <w:color w:val="000000"/>
                <w:kern w:val="0"/>
                <w:sz w:val="22"/>
                <w:szCs w:val="22"/>
              </w:rPr>
              <w:t>100%</w:t>
            </w:r>
          </w:p>
        </w:tc>
      </w:tr>
      <w:tr w14:paraId="4A67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34" w:type="pct"/>
            <w:shd w:val="clear" w:color="auto" w:fill="auto"/>
            <w:vAlign w:val="center"/>
          </w:tcPr>
          <w:p w14:paraId="5FAAE541">
            <w:pPr>
              <w:widowControl/>
              <w:ind w:firstLine="0" w:firstLineChars="0"/>
              <w:jc w:val="center"/>
              <w:textAlignment w:val="center"/>
              <w:rPr>
                <w:rFonts w:cs="宋体"/>
                <w:color w:val="000000"/>
                <w:sz w:val="22"/>
                <w:szCs w:val="22"/>
              </w:rPr>
            </w:pPr>
            <w:r>
              <w:rPr>
                <w:rFonts w:hint="eastAsia" w:cs="宋体"/>
                <w:color w:val="000000"/>
                <w:kern w:val="0"/>
                <w:sz w:val="22"/>
                <w:szCs w:val="22"/>
              </w:rPr>
              <w:t>8</w:t>
            </w:r>
          </w:p>
        </w:tc>
        <w:tc>
          <w:tcPr>
            <w:tcW w:w="747" w:type="pct"/>
            <w:shd w:val="clear" w:color="auto" w:fill="auto"/>
            <w:vAlign w:val="center"/>
          </w:tcPr>
          <w:p w14:paraId="3AE3C838">
            <w:pPr>
              <w:widowControl/>
              <w:ind w:firstLine="0" w:firstLineChars="0"/>
              <w:jc w:val="center"/>
              <w:textAlignment w:val="center"/>
              <w:rPr>
                <w:rFonts w:cs="宋体"/>
                <w:color w:val="000000"/>
                <w:sz w:val="22"/>
                <w:szCs w:val="22"/>
              </w:rPr>
            </w:pPr>
            <w:r>
              <w:rPr>
                <w:rFonts w:hint="eastAsia" w:cs="宋体"/>
                <w:color w:val="000000"/>
                <w:kern w:val="0"/>
                <w:sz w:val="22"/>
                <w:szCs w:val="22"/>
              </w:rPr>
              <w:t>通用指标</w:t>
            </w:r>
          </w:p>
        </w:tc>
        <w:tc>
          <w:tcPr>
            <w:tcW w:w="699" w:type="pct"/>
            <w:shd w:val="clear" w:color="auto" w:fill="auto"/>
            <w:vAlign w:val="center"/>
          </w:tcPr>
          <w:p w14:paraId="7F143819">
            <w:pPr>
              <w:widowControl/>
              <w:ind w:firstLine="0" w:firstLineChars="0"/>
              <w:jc w:val="center"/>
              <w:textAlignment w:val="center"/>
              <w:rPr>
                <w:rFonts w:cs="宋体"/>
                <w:color w:val="000000"/>
                <w:sz w:val="22"/>
                <w:szCs w:val="22"/>
              </w:rPr>
            </w:pPr>
            <w:r>
              <w:rPr>
                <w:rFonts w:hint="eastAsia" w:cs="宋体"/>
                <w:color w:val="000000"/>
                <w:kern w:val="0"/>
                <w:sz w:val="22"/>
                <w:szCs w:val="22"/>
              </w:rPr>
              <w:t>效益指标</w:t>
            </w:r>
          </w:p>
        </w:tc>
        <w:tc>
          <w:tcPr>
            <w:tcW w:w="743" w:type="pct"/>
            <w:shd w:val="clear" w:color="auto" w:fill="auto"/>
            <w:vAlign w:val="center"/>
          </w:tcPr>
          <w:p w14:paraId="42C26F77">
            <w:pPr>
              <w:widowControl/>
              <w:ind w:firstLine="0" w:firstLineChars="0"/>
              <w:jc w:val="center"/>
              <w:textAlignment w:val="center"/>
              <w:rPr>
                <w:rFonts w:cs="宋体"/>
                <w:color w:val="000000"/>
                <w:sz w:val="22"/>
                <w:szCs w:val="22"/>
              </w:rPr>
            </w:pPr>
            <w:r>
              <w:rPr>
                <w:rFonts w:hint="eastAsia" w:cs="宋体"/>
                <w:color w:val="000000"/>
                <w:kern w:val="0"/>
                <w:sz w:val="22"/>
                <w:szCs w:val="22"/>
              </w:rPr>
              <w:t>安全体系</w:t>
            </w:r>
          </w:p>
        </w:tc>
        <w:tc>
          <w:tcPr>
            <w:tcW w:w="1546" w:type="pct"/>
            <w:shd w:val="clear" w:color="auto" w:fill="auto"/>
            <w:vAlign w:val="center"/>
          </w:tcPr>
          <w:p w14:paraId="469B1A7D">
            <w:pPr>
              <w:widowControl/>
              <w:ind w:firstLine="0" w:firstLineChars="0"/>
              <w:jc w:val="center"/>
              <w:textAlignment w:val="center"/>
              <w:rPr>
                <w:rFonts w:cs="宋体"/>
                <w:color w:val="000000"/>
                <w:sz w:val="22"/>
                <w:szCs w:val="22"/>
              </w:rPr>
            </w:pPr>
            <w:r>
              <w:rPr>
                <w:rFonts w:hint="eastAsia" w:cs="宋体"/>
                <w:color w:val="000000"/>
                <w:kern w:val="0"/>
                <w:sz w:val="22"/>
                <w:szCs w:val="22"/>
              </w:rPr>
              <w:t>终端设备安全管理覆盖率</w:t>
            </w:r>
          </w:p>
        </w:tc>
        <w:tc>
          <w:tcPr>
            <w:tcW w:w="829" w:type="pct"/>
            <w:shd w:val="clear" w:color="auto" w:fill="auto"/>
            <w:vAlign w:val="center"/>
          </w:tcPr>
          <w:p w14:paraId="343C85A0">
            <w:pPr>
              <w:widowControl/>
              <w:ind w:firstLine="0" w:firstLineChars="0"/>
              <w:jc w:val="center"/>
              <w:textAlignment w:val="center"/>
              <w:rPr>
                <w:rFonts w:cs="宋体"/>
                <w:color w:val="000000"/>
                <w:sz w:val="22"/>
                <w:szCs w:val="22"/>
              </w:rPr>
            </w:pPr>
            <w:r>
              <w:rPr>
                <w:rFonts w:hint="eastAsia" w:cs="宋体"/>
                <w:color w:val="000000"/>
                <w:kern w:val="0"/>
                <w:sz w:val="22"/>
                <w:szCs w:val="22"/>
              </w:rPr>
              <w:t>100%</w:t>
            </w:r>
          </w:p>
        </w:tc>
      </w:tr>
      <w:tr w14:paraId="6D711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34" w:type="pct"/>
            <w:shd w:val="clear" w:color="auto" w:fill="auto"/>
            <w:vAlign w:val="center"/>
          </w:tcPr>
          <w:p w14:paraId="55DC77E4">
            <w:pPr>
              <w:widowControl/>
              <w:ind w:firstLine="0" w:firstLineChars="0"/>
              <w:jc w:val="center"/>
              <w:textAlignment w:val="center"/>
              <w:rPr>
                <w:rFonts w:cs="宋体"/>
                <w:color w:val="000000"/>
                <w:sz w:val="22"/>
                <w:szCs w:val="22"/>
              </w:rPr>
            </w:pPr>
            <w:r>
              <w:rPr>
                <w:rFonts w:hint="eastAsia" w:cs="宋体"/>
                <w:color w:val="000000"/>
                <w:kern w:val="0"/>
                <w:sz w:val="22"/>
                <w:szCs w:val="22"/>
              </w:rPr>
              <w:t>9</w:t>
            </w:r>
          </w:p>
        </w:tc>
        <w:tc>
          <w:tcPr>
            <w:tcW w:w="747" w:type="pct"/>
            <w:shd w:val="clear" w:color="auto" w:fill="auto"/>
            <w:vAlign w:val="center"/>
          </w:tcPr>
          <w:p w14:paraId="240CC07F">
            <w:pPr>
              <w:widowControl/>
              <w:ind w:firstLine="0" w:firstLineChars="0"/>
              <w:jc w:val="center"/>
              <w:textAlignment w:val="center"/>
              <w:rPr>
                <w:rFonts w:cs="宋体"/>
                <w:color w:val="000000"/>
                <w:sz w:val="22"/>
                <w:szCs w:val="22"/>
              </w:rPr>
            </w:pPr>
            <w:r>
              <w:rPr>
                <w:rFonts w:hint="eastAsia" w:cs="宋体"/>
                <w:color w:val="000000"/>
                <w:kern w:val="0"/>
                <w:sz w:val="22"/>
                <w:szCs w:val="22"/>
              </w:rPr>
              <w:t>业务指标</w:t>
            </w:r>
          </w:p>
        </w:tc>
        <w:tc>
          <w:tcPr>
            <w:tcW w:w="699" w:type="pct"/>
            <w:shd w:val="clear" w:color="auto" w:fill="auto"/>
            <w:vAlign w:val="center"/>
          </w:tcPr>
          <w:p w14:paraId="5CEDA9EC">
            <w:pPr>
              <w:widowControl/>
              <w:ind w:firstLine="0" w:firstLineChars="0"/>
              <w:jc w:val="center"/>
              <w:textAlignment w:val="center"/>
              <w:rPr>
                <w:rFonts w:cs="宋体"/>
                <w:color w:val="000000"/>
                <w:sz w:val="22"/>
                <w:szCs w:val="22"/>
              </w:rPr>
            </w:pPr>
            <w:r>
              <w:rPr>
                <w:rFonts w:hint="eastAsia" w:cs="宋体"/>
                <w:color w:val="000000"/>
                <w:kern w:val="0"/>
                <w:sz w:val="22"/>
                <w:szCs w:val="22"/>
              </w:rPr>
              <w:t>产出指标</w:t>
            </w:r>
          </w:p>
        </w:tc>
        <w:tc>
          <w:tcPr>
            <w:tcW w:w="743" w:type="pct"/>
            <w:shd w:val="clear" w:color="auto" w:fill="auto"/>
            <w:vAlign w:val="center"/>
          </w:tcPr>
          <w:p w14:paraId="5215CF64">
            <w:pPr>
              <w:widowControl/>
              <w:ind w:firstLine="0" w:firstLineChars="0"/>
              <w:jc w:val="center"/>
              <w:textAlignment w:val="center"/>
              <w:rPr>
                <w:rFonts w:cs="宋体"/>
                <w:color w:val="000000"/>
                <w:sz w:val="22"/>
                <w:szCs w:val="22"/>
              </w:rPr>
            </w:pPr>
            <w:r>
              <w:rPr>
                <w:rFonts w:hint="eastAsia" w:cs="宋体"/>
                <w:color w:val="000000"/>
                <w:kern w:val="0"/>
                <w:sz w:val="22"/>
                <w:szCs w:val="22"/>
              </w:rPr>
              <w:t>产出数量</w:t>
            </w:r>
          </w:p>
        </w:tc>
        <w:tc>
          <w:tcPr>
            <w:tcW w:w="1546" w:type="pct"/>
            <w:shd w:val="clear" w:color="auto" w:fill="auto"/>
            <w:vAlign w:val="center"/>
          </w:tcPr>
          <w:p w14:paraId="6F855227">
            <w:pPr>
              <w:widowControl/>
              <w:ind w:firstLine="0" w:firstLineChars="0"/>
              <w:jc w:val="center"/>
              <w:textAlignment w:val="center"/>
              <w:rPr>
                <w:rFonts w:cs="宋体"/>
                <w:color w:val="000000"/>
                <w:sz w:val="22"/>
                <w:szCs w:val="22"/>
              </w:rPr>
            </w:pPr>
            <w:r>
              <w:rPr>
                <w:rFonts w:hint="eastAsia" w:cs="宋体"/>
                <w:color w:val="000000"/>
                <w:kern w:val="0"/>
                <w:sz w:val="22"/>
                <w:szCs w:val="22"/>
              </w:rPr>
              <w:t>应用系统市、区单位覆盖率</w:t>
            </w:r>
          </w:p>
        </w:tc>
        <w:tc>
          <w:tcPr>
            <w:tcW w:w="829" w:type="pct"/>
            <w:shd w:val="clear" w:color="auto" w:fill="auto"/>
            <w:vAlign w:val="center"/>
          </w:tcPr>
          <w:p w14:paraId="1F9FADE5">
            <w:pPr>
              <w:widowControl/>
              <w:ind w:firstLine="0" w:firstLineChars="0"/>
              <w:jc w:val="center"/>
              <w:textAlignment w:val="center"/>
              <w:rPr>
                <w:rFonts w:cs="宋体"/>
                <w:color w:val="000000"/>
                <w:sz w:val="22"/>
                <w:szCs w:val="22"/>
              </w:rPr>
            </w:pPr>
            <w:r>
              <w:rPr>
                <w:rFonts w:hint="eastAsia" w:cs="宋体"/>
                <w:color w:val="000000"/>
                <w:kern w:val="0"/>
                <w:sz w:val="22"/>
                <w:szCs w:val="22"/>
              </w:rPr>
              <w:t>市局</w:t>
            </w:r>
          </w:p>
        </w:tc>
      </w:tr>
    </w:tbl>
    <w:p w14:paraId="1632539F">
      <w:pPr>
        <w:pStyle w:val="3"/>
      </w:pPr>
      <w:r>
        <w:rPr>
          <w:rFonts w:hint="eastAsia"/>
        </w:rPr>
        <w:t>绩效目标</w:t>
      </w:r>
    </w:p>
    <w:tbl>
      <w:tblPr>
        <w:tblStyle w:val="35"/>
        <w:tblW w:w="4998" w:type="pct"/>
        <w:jc w:val="center"/>
        <w:tblLayout w:type="autofit"/>
        <w:tblCellMar>
          <w:top w:w="0" w:type="dxa"/>
          <w:left w:w="108" w:type="dxa"/>
          <w:bottom w:w="0" w:type="dxa"/>
          <w:right w:w="108" w:type="dxa"/>
        </w:tblCellMar>
      </w:tblPr>
      <w:tblGrid>
        <w:gridCol w:w="739"/>
        <w:gridCol w:w="1284"/>
        <w:gridCol w:w="1206"/>
        <w:gridCol w:w="1243"/>
        <w:gridCol w:w="2651"/>
        <w:gridCol w:w="1402"/>
      </w:tblGrid>
      <w:tr w14:paraId="4F8EDE48">
        <w:tblPrEx>
          <w:tblCellMar>
            <w:top w:w="0" w:type="dxa"/>
            <w:left w:w="108" w:type="dxa"/>
            <w:bottom w:w="0" w:type="dxa"/>
            <w:right w:w="108" w:type="dxa"/>
          </w:tblCellMar>
        </w:tblPrEx>
        <w:trPr>
          <w:trHeight w:val="645" w:hRule="atLeast"/>
          <w:jc w:val="center"/>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14:paraId="4B0A8C49">
            <w:pPr>
              <w:widowControl/>
              <w:spacing w:line="240" w:lineRule="auto"/>
              <w:ind w:firstLine="0" w:firstLineChars="0"/>
              <w:jc w:val="center"/>
              <w:textAlignment w:val="center"/>
              <w:rPr>
                <w:rFonts w:cs="宋体"/>
                <w:b/>
                <w:bCs/>
                <w:color w:val="000000"/>
                <w:sz w:val="22"/>
                <w:szCs w:val="22"/>
              </w:rPr>
            </w:pPr>
            <w:r>
              <w:rPr>
                <w:rFonts w:hint="eastAsia" w:cs="宋体"/>
                <w:b/>
                <w:bCs/>
                <w:color w:val="000000"/>
                <w:kern w:val="0"/>
                <w:sz w:val="22"/>
                <w:szCs w:val="22"/>
              </w:rPr>
              <w:t>序号</w:t>
            </w:r>
          </w:p>
        </w:tc>
        <w:tc>
          <w:tcPr>
            <w:tcW w:w="753" w:type="pct"/>
            <w:tcBorders>
              <w:top w:val="single" w:color="auto" w:sz="4" w:space="0"/>
              <w:left w:val="single" w:color="auto" w:sz="4" w:space="0"/>
              <w:bottom w:val="single" w:color="auto" w:sz="4" w:space="0"/>
              <w:right w:val="single" w:color="auto" w:sz="4" w:space="0"/>
            </w:tcBorders>
            <w:shd w:val="clear" w:color="auto" w:fill="auto"/>
            <w:vAlign w:val="center"/>
          </w:tcPr>
          <w:p w14:paraId="4891EFFF">
            <w:pPr>
              <w:widowControl/>
              <w:spacing w:line="240" w:lineRule="auto"/>
              <w:ind w:firstLine="0" w:firstLineChars="0"/>
              <w:jc w:val="center"/>
              <w:textAlignment w:val="center"/>
              <w:rPr>
                <w:rFonts w:cs="宋体"/>
                <w:b/>
                <w:bCs/>
                <w:color w:val="000000"/>
                <w:sz w:val="22"/>
                <w:szCs w:val="22"/>
              </w:rPr>
            </w:pPr>
            <w:r>
              <w:rPr>
                <w:rFonts w:hint="eastAsia" w:cs="宋体"/>
                <w:b/>
                <w:bCs/>
                <w:color w:val="000000"/>
                <w:kern w:val="0"/>
                <w:sz w:val="22"/>
                <w:szCs w:val="22"/>
              </w:rPr>
              <w:t>一级指标</w:t>
            </w:r>
          </w:p>
        </w:tc>
        <w:tc>
          <w:tcPr>
            <w:tcW w:w="707" w:type="pct"/>
            <w:tcBorders>
              <w:top w:val="single" w:color="auto" w:sz="4" w:space="0"/>
              <w:left w:val="single" w:color="auto" w:sz="4" w:space="0"/>
              <w:bottom w:val="single" w:color="auto" w:sz="4" w:space="0"/>
              <w:right w:val="single" w:color="auto" w:sz="4" w:space="0"/>
            </w:tcBorders>
            <w:shd w:val="clear" w:color="auto" w:fill="auto"/>
            <w:vAlign w:val="center"/>
          </w:tcPr>
          <w:p w14:paraId="77601A4F">
            <w:pPr>
              <w:widowControl/>
              <w:spacing w:line="240" w:lineRule="auto"/>
              <w:ind w:firstLine="0" w:firstLineChars="0"/>
              <w:jc w:val="center"/>
              <w:textAlignment w:val="center"/>
              <w:rPr>
                <w:rFonts w:cs="宋体"/>
                <w:b/>
                <w:bCs/>
                <w:color w:val="000000"/>
                <w:sz w:val="22"/>
                <w:szCs w:val="22"/>
              </w:rPr>
            </w:pPr>
            <w:r>
              <w:rPr>
                <w:rFonts w:hint="eastAsia" w:cs="宋体"/>
                <w:b/>
                <w:bCs/>
                <w:color w:val="000000"/>
                <w:kern w:val="0"/>
                <w:sz w:val="22"/>
                <w:szCs w:val="22"/>
              </w:rPr>
              <w:t>二级指标</w:t>
            </w:r>
          </w:p>
        </w:tc>
        <w:tc>
          <w:tcPr>
            <w:tcW w:w="729" w:type="pct"/>
            <w:tcBorders>
              <w:top w:val="single" w:color="auto" w:sz="4" w:space="0"/>
              <w:left w:val="single" w:color="auto" w:sz="4" w:space="0"/>
              <w:bottom w:val="single" w:color="auto" w:sz="4" w:space="0"/>
              <w:right w:val="single" w:color="auto" w:sz="4" w:space="0"/>
            </w:tcBorders>
            <w:shd w:val="clear" w:color="auto" w:fill="auto"/>
            <w:vAlign w:val="center"/>
          </w:tcPr>
          <w:p w14:paraId="5FBCC96E">
            <w:pPr>
              <w:widowControl/>
              <w:spacing w:line="240" w:lineRule="auto"/>
              <w:ind w:firstLine="0" w:firstLineChars="0"/>
              <w:jc w:val="center"/>
              <w:textAlignment w:val="center"/>
              <w:rPr>
                <w:rFonts w:cs="宋体"/>
                <w:b/>
                <w:bCs/>
                <w:color w:val="000000"/>
                <w:sz w:val="22"/>
                <w:szCs w:val="22"/>
              </w:rPr>
            </w:pPr>
            <w:r>
              <w:rPr>
                <w:rFonts w:hint="eastAsia" w:cs="宋体"/>
                <w:b/>
                <w:bCs/>
                <w:color w:val="000000"/>
                <w:kern w:val="0"/>
                <w:sz w:val="22"/>
                <w:szCs w:val="22"/>
              </w:rPr>
              <w:t>三级指标</w:t>
            </w:r>
          </w:p>
        </w:tc>
        <w:tc>
          <w:tcPr>
            <w:tcW w:w="1554" w:type="pct"/>
            <w:tcBorders>
              <w:top w:val="single" w:color="auto" w:sz="4" w:space="0"/>
              <w:left w:val="single" w:color="auto" w:sz="4" w:space="0"/>
              <w:bottom w:val="single" w:color="auto" w:sz="4" w:space="0"/>
              <w:right w:val="single" w:color="auto" w:sz="4" w:space="0"/>
            </w:tcBorders>
            <w:shd w:val="clear" w:color="auto" w:fill="auto"/>
            <w:vAlign w:val="center"/>
          </w:tcPr>
          <w:p w14:paraId="0821DB25">
            <w:pPr>
              <w:widowControl/>
              <w:spacing w:line="240" w:lineRule="auto"/>
              <w:ind w:firstLine="0" w:firstLineChars="0"/>
              <w:jc w:val="center"/>
              <w:textAlignment w:val="center"/>
              <w:rPr>
                <w:rFonts w:cs="宋体"/>
                <w:b/>
                <w:bCs/>
                <w:color w:val="000000"/>
                <w:sz w:val="22"/>
                <w:szCs w:val="22"/>
              </w:rPr>
            </w:pPr>
            <w:r>
              <w:rPr>
                <w:rFonts w:hint="eastAsia" w:cs="宋体"/>
                <w:b/>
                <w:bCs/>
                <w:color w:val="000000"/>
                <w:kern w:val="0"/>
                <w:sz w:val="22"/>
                <w:szCs w:val="22"/>
              </w:rPr>
              <w:t>四级指标</w:t>
            </w:r>
          </w:p>
        </w:tc>
        <w:tc>
          <w:tcPr>
            <w:tcW w:w="822" w:type="pct"/>
            <w:tcBorders>
              <w:top w:val="single" w:color="auto" w:sz="4" w:space="0"/>
              <w:left w:val="single" w:color="auto" w:sz="4" w:space="0"/>
              <w:bottom w:val="single" w:color="auto" w:sz="4" w:space="0"/>
              <w:right w:val="single" w:color="auto" w:sz="4" w:space="0"/>
            </w:tcBorders>
            <w:shd w:val="clear" w:color="auto" w:fill="auto"/>
            <w:vAlign w:val="center"/>
          </w:tcPr>
          <w:p w14:paraId="6B06D2A7">
            <w:pPr>
              <w:widowControl/>
              <w:spacing w:line="240" w:lineRule="auto"/>
              <w:ind w:firstLine="0" w:firstLineChars="0"/>
              <w:jc w:val="center"/>
              <w:textAlignment w:val="center"/>
              <w:rPr>
                <w:rFonts w:cs="宋体"/>
                <w:b/>
                <w:bCs/>
                <w:color w:val="000000"/>
                <w:sz w:val="22"/>
                <w:szCs w:val="22"/>
              </w:rPr>
            </w:pPr>
            <w:r>
              <w:rPr>
                <w:rFonts w:hint="eastAsia" w:cs="宋体"/>
                <w:b/>
                <w:bCs/>
                <w:color w:val="000000"/>
                <w:kern w:val="0"/>
                <w:sz w:val="22"/>
                <w:szCs w:val="22"/>
              </w:rPr>
              <w:t>指标值</w:t>
            </w:r>
          </w:p>
        </w:tc>
      </w:tr>
      <w:tr w14:paraId="28AEE0B0">
        <w:tblPrEx>
          <w:tblCellMar>
            <w:top w:w="0" w:type="dxa"/>
            <w:left w:w="108" w:type="dxa"/>
            <w:bottom w:w="0" w:type="dxa"/>
            <w:right w:w="108" w:type="dxa"/>
          </w:tblCellMar>
        </w:tblPrEx>
        <w:trPr>
          <w:trHeight w:val="645" w:hRule="atLeast"/>
          <w:jc w:val="center"/>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14:paraId="0A80F63E">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1</w:t>
            </w:r>
          </w:p>
        </w:tc>
        <w:tc>
          <w:tcPr>
            <w:tcW w:w="753" w:type="pct"/>
            <w:tcBorders>
              <w:top w:val="single" w:color="auto" w:sz="4" w:space="0"/>
              <w:left w:val="single" w:color="auto" w:sz="4" w:space="0"/>
              <w:bottom w:val="single" w:color="auto" w:sz="4" w:space="0"/>
              <w:right w:val="single" w:color="auto" w:sz="4" w:space="0"/>
            </w:tcBorders>
            <w:shd w:val="clear" w:color="auto" w:fill="auto"/>
            <w:vAlign w:val="center"/>
          </w:tcPr>
          <w:p w14:paraId="02291B9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通用指标</w:t>
            </w:r>
          </w:p>
        </w:tc>
        <w:tc>
          <w:tcPr>
            <w:tcW w:w="707" w:type="pct"/>
            <w:tcBorders>
              <w:top w:val="single" w:color="auto" w:sz="4" w:space="0"/>
              <w:left w:val="single" w:color="auto" w:sz="4" w:space="0"/>
              <w:bottom w:val="single" w:color="auto" w:sz="4" w:space="0"/>
              <w:right w:val="single" w:color="auto" w:sz="4" w:space="0"/>
            </w:tcBorders>
            <w:shd w:val="clear" w:color="auto" w:fill="auto"/>
            <w:vAlign w:val="center"/>
          </w:tcPr>
          <w:p w14:paraId="312885E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产出指标</w:t>
            </w:r>
          </w:p>
        </w:tc>
        <w:tc>
          <w:tcPr>
            <w:tcW w:w="729" w:type="pct"/>
            <w:tcBorders>
              <w:top w:val="single" w:color="auto" w:sz="4" w:space="0"/>
              <w:left w:val="single" w:color="auto" w:sz="4" w:space="0"/>
              <w:bottom w:val="single" w:color="auto" w:sz="4" w:space="0"/>
              <w:right w:val="single" w:color="auto" w:sz="4" w:space="0"/>
            </w:tcBorders>
            <w:shd w:val="clear" w:color="auto" w:fill="auto"/>
            <w:vAlign w:val="center"/>
          </w:tcPr>
          <w:p w14:paraId="0BFC4AF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产出数量</w:t>
            </w:r>
          </w:p>
        </w:tc>
        <w:tc>
          <w:tcPr>
            <w:tcW w:w="1554" w:type="pct"/>
            <w:tcBorders>
              <w:top w:val="single" w:color="auto" w:sz="4" w:space="0"/>
              <w:left w:val="single" w:color="auto" w:sz="4" w:space="0"/>
              <w:bottom w:val="single" w:color="auto" w:sz="4" w:space="0"/>
              <w:right w:val="single" w:color="auto" w:sz="4" w:space="0"/>
            </w:tcBorders>
            <w:shd w:val="clear" w:color="auto" w:fill="auto"/>
            <w:vAlign w:val="center"/>
          </w:tcPr>
          <w:p w14:paraId="4D6E1A4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软件开发完成率</w:t>
            </w:r>
          </w:p>
        </w:tc>
        <w:tc>
          <w:tcPr>
            <w:tcW w:w="822" w:type="pct"/>
            <w:tcBorders>
              <w:top w:val="single" w:color="auto" w:sz="4" w:space="0"/>
              <w:left w:val="single" w:color="auto" w:sz="4" w:space="0"/>
              <w:bottom w:val="single" w:color="auto" w:sz="4" w:space="0"/>
              <w:right w:val="single" w:color="auto" w:sz="4" w:space="0"/>
            </w:tcBorders>
            <w:shd w:val="clear" w:color="auto" w:fill="auto"/>
            <w:vAlign w:val="center"/>
          </w:tcPr>
          <w:p w14:paraId="5EDC966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100%</w:t>
            </w:r>
          </w:p>
        </w:tc>
      </w:tr>
      <w:tr w14:paraId="24A62666">
        <w:tblPrEx>
          <w:tblCellMar>
            <w:top w:w="0" w:type="dxa"/>
            <w:left w:w="108" w:type="dxa"/>
            <w:bottom w:w="0" w:type="dxa"/>
            <w:right w:w="108" w:type="dxa"/>
          </w:tblCellMar>
        </w:tblPrEx>
        <w:trPr>
          <w:trHeight w:val="645" w:hRule="atLeast"/>
          <w:jc w:val="center"/>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14:paraId="4CC16BA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2</w:t>
            </w:r>
          </w:p>
        </w:tc>
        <w:tc>
          <w:tcPr>
            <w:tcW w:w="753" w:type="pct"/>
            <w:tcBorders>
              <w:top w:val="single" w:color="auto" w:sz="4" w:space="0"/>
              <w:left w:val="single" w:color="auto" w:sz="4" w:space="0"/>
              <w:bottom w:val="single" w:color="auto" w:sz="4" w:space="0"/>
              <w:right w:val="single" w:color="auto" w:sz="4" w:space="0"/>
            </w:tcBorders>
            <w:shd w:val="clear" w:color="auto" w:fill="auto"/>
            <w:vAlign w:val="center"/>
          </w:tcPr>
          <w:p w14:paraId="6E53CE9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通用指标</w:t>
            </w:r>
          </w:p>
        </w:tc>
        <w:tc>
          <w:tcPr>
            <w:tcW w:w="707" w:type="pct"/>
            <w:tcBorders>
              <w:top w:val="single" w:color="auto" w:sz="4" w:space="0"/>
              <w:left w:val="single" w:color="auto" w:sz="4" w:space="0"/>
              <w:bottom w:val="single" w:color="auto" w:sz="4" w:space="0"/>
              <w:right w:val="single" w:color="auto" w:sz="4" w:space="0"/>
            </w:tcBorders>
            <w:shd w:val="clear" w:color="auto" w:fill="auto"/>
            <w:vAlign w:val="center"/>
          </w:tcPr>
          <w:p w14:paraId="600062B0">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产出指标</w:t>
            </w:r>
          </w:p>
        </w:tc>
        <w:tc>
          <w:tcPr>
            <w:tcW w:w="729" w:type="pct"/>
            <w:tcBorders>
              <w:top w:val="single" w:color="auto" w:sz="4" w:space="0"/>
              <w:left w:val="single" w:color="auto" w:sz="4" w:space="0"/>
              <w:bottom w:val="single" w:color="auto" w:sz="4" w:space="0"/>
              <w:right w:val="single" w:color="auto" w:sz="4" w:space="0"/>
            </w:tcBorders>
            <w:shd w:val="clear" w:color="auto" w:fill="auto"/>
            <w:vAlign w:val="center"/>
          </w:tcPr>
          <w:p w14:paraId="1FE297C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产出质量</w:t>
            </w:r>
          </w:p>
        </w:tc>
        <w:tc>
          <w:tcPr>
            <w:tcW w:w="1554" w:type="pct"/>
            <w:tcBorders>
              <w:top w:val="single" w:color="auto" w:sz="4" w:space="0"/>
              <w:left w:val="single" w:color="auto" w:sz="4" w:space="0"/>
              <w:bottom w:val="single" w:color="auto" w:sz="4" w:space="0"/>
              <w:right w:val="single" w:color="auto" w:sz="4" w:space="0"/>
            </w:tcBorders>
            <w:shd w:val="clear" w:color="auto" w:fill="auto"/>
            <w:vAlign w:val="center"/>
          </w:tcPr>
          <w:p w14:paraId="68A89EC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一次性验收合格率</w:t>
            </w:r>
          </w:p>
        </w:tc>
        <w:tc>
          <w:tcPr>
            <w:tcW w:w="822" w:type="pct"/>
            <w:tcBorders>
              <w:top w:val="single" w:color="auto" w:sz="4" w:space="0"/>
              <w:left w:val="single" w:color="auto" w:sz="4" w:space="0"/>
              <w:bottom w:val="single" w:color="auto" w:sz="4" w:space="0"/>
              <w:right w:val="single" w:color="auto" w:sz="4" w:space="0"/>
            </w:tcBorders>
            <w:shd w:val="clear" w:color="auto" w:fill="auto"/>
            <w:vAlign w:val="center"/>
          </w:tcPr>
          <w:p w14:paraId="11FCD37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100%</w:t>
            </w:r>
          </w:p>
        </w:tc>
      </w:tr>
      <w:tr w14:paraId="33328EEB">
        <w:tblPrEx>
          <w:tblCellMar>
            <w:top w:w="0" w:type="dxa"/>
            <w:left w:w="108" w:type="dxa"/>
            <w:bottom w:w="0" w:type="dxa"/>
            <w:right w:w="108" w:type="dxa"/>
          </w:tblCellMar>
        </w:tblPrEx>
        <w:trPr>
          <w:trHeight w:val="630" w:hRule="atLeast"/>
          <w:jc w:val="center"/>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14:paraId="4B8991C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3</w:t>
            </w:r>
          </w:p>
        </w:tc>
        <w:tc>
          <w:tcPr>
            <w:tcW w:w="753" w:type="pct"/>
            <w:tcBorders>
              <w:top w:val="single" w:color="auto" w:sz="4" w:space="0"/>
              <w:left w:val="single" w:color="auto" w:sz="4" w:space="0"/>
              <w:bottom w:val="single" w:color="auto" w:sz="4" w:space="0"/>
              <w:right w:val="single" w:color="auto" w:sz="4" w:space="0"/>
            </w:tcBorders>
            <w:shd w:val="clear" w:color="auto" w:fill="auto"/>
            <w:vAlign w:val="center"/>
          </w:tcPr>
          <w:p w14:paraId="78125C3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通用指标</w:t>
            </w:r>
          </w:p>
        </w:tc>
        <w:tc>
          <w:tcPr>
            <w:tcW w:w="707" w:type="pct"/>
            <w:tcBorders>
              <w:top w:val="single" w:color="auto" w:sz="4" w:space="0"/>
              <w:left w:val="single" w:color="auto" w:sz="4" w:space="0"/>
              <w:bottom w:val="single" w:color="auto" w:sz="4" w:space="0"/>
              <w:right w:val="single" w:color="auto" w:sz="4" w:space="0"/>
            </w:tcBorders>
            <w:shd w:val="clear" w:color="auto" w:fill="auto"/>
            <w:vAlign w:val="center"/>
          </w:tcPr>
          <w:p w14:paraId="0D7698D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产出指标</w:t>
            </w:r>
          </w:p>
        </w:tc>
        <w:tc>
          <w:tcPr>
            <w:tcW w:w="729" w:type="pct"/>
            <w:tcBorders>
              <w:top w:val="single" w:color="auto" w:sz="4" w:space="0"/>
              <w:left w:val="single" w:color="auto" w:sz="4" w:space="0"/>
              <w:bottom w:val="single" w:color="auto" w:sz="4" w:space="0"/>
              <w:right w:val="single" w:color="auto" w:sz="4" w:space="0"/>
            </w:tcBorders>
            <w:shd w:val="clear" w:color="auto" w:fill="auto"/>
            <w:vAlign w:val="center"/>
          </w:tcPr>
          <w:p w14:paraId="2FBEC9B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产出质量</w:t>
            </w:r>
          </w:p>
        </w:tc>
        <w:tc>
          <w:tcPr>
            <w:tcW w:w="1554" w:type="pct"/>
            <w:tcBorders>
              <w:top w:val="single" w:color="auto" w:sz="4" w:space="0"/>
              <w:left w:val="single" w:color="auto" w:sz="4" w:space="0"/>
              <w:bottom w:val="single" w:color="auto" w:sz="4" w:space="0"/>
              <w:right w:val="single" w:color="auto" w:sz="4" w:space="0"/>
            </w:tcBorders>
            <w:shd w:val="clear" w:color="auto" w:fill="auto"/>
            <w:vAlign w:val="center"/>
          </w:tcPr>
          <w:p w14:paraId="60EFB4E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软件测试达标</w:t>
            </w:r>
          </w:p>
        </w:tc>
        <w:tc>
          <w:tcPr>
            <w:tcW w:w="822" w:type="pct"/>
            <w:tcBorders>
              <w:top w:val="single" w:color="auto" w:sz="4" w:space="0"/>
              <w:left w:val="single" w:color="auto" w:sz="4" w:space="0"/>
              <w:bottom w:val="single" w:color="auto" w:sz="4" w:space="0"/>
              <w:right w:val="single" w:color="auto" w:sz="4" w:space="0"/>
            </w:tcBorders>
            <w:shd w:val="clear" w:color="auto" w:fill="auto"/>
            <w:vAlign w:val="center"/>
          </w:tcPr>
          <w:p w14:paraId="36151C9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通过</w:t>
            </w:r>
          </w:p>
        </w:tc>
      </w:tr>
      <w:tr w14:paraId="6F085AE7">
        <w:tblPrEx>
          <w:tblCellMar>
            <w:top w:w="0" w:type="dxa"/>
            <w:left w:w="108" w:type="dxa"/>
            <w:bottom w:w="0" w:type="dxa"/>
            <w:right w:w="108" w:type="dxa"/>
          </w:tblCellMar>
        </w:tblPrEx>
        <w:trPr>
          <w:trHeight w:val="645" w:hRule="atLeast"/>
          <w:jc w:val="center"/>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14:paraId="2FEE184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4</w:t>
            </w:r>
          </w:p>
        </w:tc>
        <w:tc>
          <w:tcPr>
            <w:tcW w:w="753" w:type="pct"/>
            <w:tcBorders>
              <w:top w:val="single" w:color="auto" w:sz="4" w:space="0"/>
              <w:left w:val="single" w:color="auto" w:sz="4" w:space="0"/>
              <w:bottom w:val="single" w:color="auto" w:sz="4" w:space="0"/>
              <w:right w:val="single" w:color="auto" w:sz="4" w:space="0"/>
            </w:tcBorders>
            <w:shd w:val="clear" w:color="auto" w:fill="auto"/>
            <w:vAlign w:val="center"/>
          </w:tcPr>
          <w:p w14:paraId="139DC96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通用指标</w:t>
            </w:r>
          </w:p>
        </w:tc>
        <w:tc>
          <w:tcPr>
            <w:tcW w:w="707" w:type="pct"/>
            <w:tcBorders>
              <w:top w:val="single" w:color="auto" w:sz="4" w:space="0"/>
              <w:left w:val="single" w:color="auto" w:sz="4" w:space="0"/>
              <w:bottom w:val="single" w:color="auto" w:sz="4" w:space="0"/>
              <w:right w:val="single" w:color="auto" w:sz="4" w:space="0"/>
            </w:tcBorders>
            <w:shd w:val="clear" w:color="auto" w:fill="auto"/>
            <w:vAlign w:val="center"/>
          </w:tcPr>
          <w:p w14:paraId="13F374E1">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产出指标</w:t>
            </w:r>
          </w:p>
        </w:tc>
        <w:tc>
          <w:tcPr>
            <w:tcW w:w="729" w:type="pct"/>
            <w:tcBorders>
              <w:top w:val="single" w:color="auto" w:sz="4" w:space="0"/>
              <w:left w:val="single" w:color="auto" w:sz="4" w:space="0"/>
              <w:bottom w:val="single" w:color="auto" w:sz="4" w:space="0"/>
              <w:right w:val="single" w:color="auto" w:sz="4" w:space="0"/>
            </w:tcBorders>
            <w:shd w:val="clear" w:color="auto" w:fill="auto"/>
            <w:vAlign w:val="center"/>
          </w:tcPr>
          <w:p w14:paraId="63CC9AC0">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产出质量</w:t>
            </w:r>
          </w:p>
        </w:tc>
        <w:tc>
          <w:tcPr>
            <w:tcW w:w="1554" w:type="pct"/>
            <w:tcBorders>
              <w:top w:val="single" w:color="auto" w:sz="4" w:space="0"/>
              <w:left w:val="single" w:color="auto" w:sz="4" w:space="0"/>
              <w:bottom w:val="single" w:color="auto" w:sz="4" w:space="0"/>
              <w:right w:val="single" w:color="auto" w:sz="4" w:space="0"/>
            </w:tcBorders>
            <w:shd w:val="clear" w:color="auto" w:fill="auto"/>
            <w:vAlign w:val="center"/>
          </w:tcPr>
          <w:p w14:paraId="63D23757">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密码测试达标</w:t>
            </w:r>
          </w:p>
        </w:tc>
        <w:tc>
          <w:tcPr>
            <w:tcW w:w="822" w:type="pct"/>
            <w:tcBorders>
              <w:top w:val="single" w:color="auto" w:sz="4" w:space="0"/>
              <w:left w:val="single" w:color="auto" w:sz="4" w:space="0"/>
              <w:bottom w:val="single" w:color="auto" w:sz="4" w:space="0"/>
              <w:right w:val="single" w:color="auto" w:sz="4" w:space="0"/>
            </w:tcBorders>
            <w:shd w:val="clear" w:color="auto" w:fill="auto"/>
            <w:vAlign w:val="center"/>
          </w:tcPr>
          <w:p w14:paraId="4307F9D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通过</w:t>
            </w:r>
          </w:p>
        </w:tc>
      </w:tr>
      <w:tr w14:paraId="0C9100D4">
        <w:tblPrEx>
          <w:tblCellMar>
            <w:top w:w="0" w:type="dxa"/>
            <w:left w:w="108" w:type="dxa"/>
            <w:bottom w:w="0" w:type="dxa"/>
            <w:right w:w="108" w:type="dxa"/>
          </w:tblCellMar>
        </w:tblPrEx>
        <w:trPr>
          <w:trHeight w:val="645" w:hRule="atLeast"/>
          <w:jc w:val="center"/>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14:paraId="79B6F387">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5</w:t>
            </w:r>
          </w:p>
        </w:tc>
        <w:tc>
          <w:tcPr>
            <w:tcW w:w="753" w:type="pct"/>
            <w:tcBorders>
              <w:top w:val="single" w:color="auto" w:sz="4" w:space="0"/>
              <w:left w:val="single" w:color="auto" w:sz="4" w:space="0"/>
              <w:bottom w:val="single" w:color="auto" w:sz="4" w:space="0"/>
              <w:right w:val="single" w:color="auto" w:sz="4" w:space="0"/>
            </w:tcBorders>
            <w:shd w:val="clear" w:color="auto" w:fill="auto"/>
            <w:vAlign w:val="center"/>
          </w:tcPr>
          <w:p w14:paraId="2571C012">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通用指标</w:t>
            </w:r>
          </w:p>
        </w:tc>
        <w:tc>
          <w:tcPr>
            <w:tcW w:w="707" w:type="pct"/>
            <w:tcBorders>
              <w:top w:val="single" w:color="auto" w:sz="4" w:space="0"/>
              <w:left w:val="single" w:color="auto" w:sz="4" w:space="0"/>
              <w:bottom w:val="single" w:color="auto" w:sz="4" w:space="0"/>
              <w:right w:val="single" w:color="auto" w:sz="4" w:space="0"/>
            </w:tcBorders>
            <w:shd w:val="clear" w:color="auto" w:fill="auto"/>
            <w:vAlign w:val="center"/>
          </w:tcPr>
          <w:p w14:paraId="0C75DBC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产出指标</w:t>
            </w:r>
          </w:p>
        </w:tc>
        <w:tc>
          <w:tcPr>
            <w:tcW w:w="729" w:type="pct"/>
            <w:tcBorders>
              <w:top w:val="single" w:color="auto" w:sz="4" w:space="0"/>
              <w:left w:val="single" w:color="auto" w:sz="4" w:space="0"/>
              <w:bottom w:val="single" w:color="auto" w:sz="4" w:space="0"/>
              <w:right w:val="single" w:color="auto" w:sz="4" w:space="0"/>
            </w:tcBorders>
            <w:shd w:val="clear" w:color="auto" w:fill="auto"/>
            <w:vAlign w:val="center"/>
          </w:tcPr>
          <w:p w14:paraId="2BB16FD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产出质量</w:t>
            </w:r>
          </w:p>
        </w:tc>
        <w:tc>
          <w:tcPr>
            <w:tcW w:w="1554" w:type="pct"/>
            <w:tcBorders>
              <w:top w:val="single" w:color="auto" w:sz="4" w:space="0"/>
              <w:left w:val="single" w:color="auto" w:sz="4" w:space="0"/>
              <w:bottom w:val="single" w:color="auto" w:sz="4" w:space="0"/>
              <w:right w:val="single" w:color="auto" w:sz="4" w:space="0"/>
            </w:tcBorders>
            <w:shd w:val="clear" w:color="auto" w:fill="auto"/>
            <w:vAlign w:val="center"/>
          </w:tcPr>
          <w:p w14:paraId="037ABE4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网络安全等级达标</w:t>
            </w:r>
          </w:p>
        </w:tc>
        <w:tc>
          <w:tcPr>
            <w:tcW w:w="822" w:type="pct"/>
            <w:tcBorders>
              <w:top w:val="single" w:color="auto" w:sz="4" w:space="0"/>
              <w:left w:val="single" w:color="auto" w:sz="4" w:space="0"/>
              <w:bottom w:val="single" w:color="auto" w:sz="4" w:space="0"/>
              <w:right w:val="single" w:color="auto" w:sz="4" w:space="0"/>
            </w:tcBorders>
            <w:shd w:val="clear" w:color="auto" w:fill="auto"/>
            <w:vAlign w:val="center"/>
          </w:tcPr>
          <w:p w14:paraId="611E0DB1">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通过</w:t>
            </w:r>
          </w:p>
        </w:tc>
      </w:tr>
      <w:tr w14:paraId="4F8F881A">
        <w:tblPrEx>
          <w:tblCellMar>
            <w:top w:w="0" w:type="dxa"/>
            <w:left w:w="108" w:type="dxa"/>
            <w:bottom w:w="0" w:type="dxa"/>
            <w:right w:w="108" w:type="dxa"/>
          </w:tblCellMar>
        </w:tblPrEx>
        <w:trPr>
          <w:trHeight w:val="645" w:hRule="atLeast"/>
          <w:jc w:val="center"/>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14:paraId="132FF4A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6</w:t>
            </w:r>
          </w:p>
        </w:tc>
        <w:tc>
          <w:tcPr>
            <w:tcW w:w="753" w:type="pct"/>
            <w:tcBorders>
              <w:top w:val="single" w:color="auto" w:sz="4" w:space="0"/>
              <w:left w:val="single" w:color="auto" w:sz="4" w:space="0"/>
              <w:bottom w:val="single" w:color="auto" w:sz="4" w:space="0"/>
              <w:right w:val="single" w:color="auto" w:sz="4" w:space="0"/>
            </w:tcBorders>
            <w:shd w:val="clear" w:color="auto" w:fill="auto"/>
            <w:vAlign w:val="center"/>
          </w:tcPr>
          <w:p w14:paraId="465BDEF1">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通用指标</w:t>
            </w:r>
          </w:p>
        </w:tc>
        <w:tc>
          <w:tcPr>
            <w:tcW w:w="707" w:type="pct"/>
            <w:tcBorders>
              <w:top w:val="single" w:color="auto" w:sz="4" w:space="0"/>
              <w:left w:val="single" w:color="auto" w:sz="4" w:space="0"/>
              <w:bottom w:val="single" w:color="auto" w:sz="4" w:space="0"/>
              <w:right w:val="single" w:color="auto" w:sz="4" w:space="0"/>
            </w:tcBorders>
            <w:shd w:val="clear" w:color="auto" w:fill="auto"/>
            <w:vAlign w:val="center"/>
          </w:tcPr>
          <w:p w14:paraId="25D451F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产出指标</w:t>
            </w:r>
          </w:p>
        </w:tc>
        <w:tc>
          <w:tcPr>
            <w:tcW w:w="729" w:type="pct"/>
            <w:tcBorders>
              <w:top w:val="single" w:color="auto" w:sz="4" w:space="0"/>
              <w:left w:val="single" w:color="auto" w:sz="4" w:space="0"/>
              <w:bottom w:val="single" w:color="auto" w:sz="4" w:space="0"/>
              <w:right w:val="single" w:color="auto" w:sz="4" w:space="0"/>
            </w:tcBorders>
            <w:shd w:val="clear" w:color="auto" w:fill="auto"/>
            <w:vAlign w:val="center"/>
          </w:tcPr>
          <w:p w14:paraId="774B8F5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产出质量</w:t>
            </w:r>
          </w:p>
        </w:tc>
        <w:tc>
          <w:tcPr>
            <w:tcW w:w="1554" w:type="pct"/>
            <w:tcBorders>
              <w:top w:val="single" w:color="auto" w:sz="4" w:space="0"/>
              <w:left w:val="single" w:color="auto" w:sz="4" w:space="0"/>
              <w:bottom w:val="single" w:color="auto" w:sz="4" w:space="0"/>
              <w:right w:val="single" w:color="auto" w:sz="4" w:space="0"/>
            </w:tcBorders>
            <w:shd w:val="clear" w:color="auto" w:fill="auto"/>
            <w:vAlign w:val="center"/>
          </w:tcPr>
          <w:p w14:paraId="7D4FF74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安全测评达标</w:t>
            </w:r>
          </w:p>
        </w:tc>
        <w:tc>
          <w:tcPr>
            <w:tcW w:w="822" w:type="pct"/>
            <w:tcBorders>
              <w:top w:val="single" w:color="auto" w:sz="4" w:space="0"/>
              <w:left w:val="single" w:color="auto" w:sz="4" w:space="0"/>
              <w:bottom w:val="single" w:color="auto" w:sz="4" w:space="0"/>
              <w:right w:val="single" w:color="auto" w:sz="4" w:space="0"/>
            </w:tcBorders>
            <w:shd w:val="clear" w:color="auto" w:fill="auto"/>
            <w:vAlign w:val="center"/>
          </w:tcPr>
          <w:p w14:paraId="0FA36DB0">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通过</w:t>
            </w:r>
          </w:p>
        </w:tc>
      </w:tr>
      <w:tr w14:paraId="567FB24C">
        <w:tblPrEx>
          <w:tblCellMar>
            <w:top w:w="0" w:type="dxa"/>
            <w:left w:w="108" w:type="dxa"/>
            <w:bottom w:w="0" w:type="dxa"/>
            <w:right w:w="108" w:type="dxa"/>
          </w:tblCellMar>
        </w:tblPrEx>
        <w:trPr>
          <w:trHeight w:val="645" w:hRule="atLeast"/>
          <w:jc w:val="center"/>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14:paraId="3CB067D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7</w:t>
            </w:r>
          </w:p>
        </w:tc>
        <w:tc>
          <w:tcPr>
            <w:tcW w:w="753" w:type="pct"/>
            <w:tcBorders>
              <w:top w:val="single" w:color="auto" w:sz="4" w:space="0"/>
              <w:left w:val="single" w:color="auto" w:sz="4" w:space="0"/>
              <w:bottom w:val="single" w:color="auto" w:sz="4" w:space="0"/>
              <w:right w:val="single" w:color="auto" w:sz="4" w:space="0"/>
            </w:tcBorders>
            <w:shd w:val="clear" w:color="auto" w:fill="auto"/>
            <w:vAlign w:val="center"/>
          </w:tcPr>
          <w:p w14:paraId="3966775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通用指标</w:t>
            </w:r>
          </w:p>
        </w:tc>
        <w:tc>
          <w:tcPr>
            <w:tcW w:w="707" w:type="pct"/>
            <w:tcBorders>
              <w:top w:val="single" w:color="auto" w:sz="4" w:space="0"/>
              <w:left w:val="single" w:color="auto" w:sz="4" w:space="0"/>
              <w:bottom w:val="single" w:color="auto" w:sz="4" w:space="0"/>
              <w:right w:val="single" w:color="auto" w:sz="4" w:space="0"/>
            </w:tcBorders>
            <w:shd w:val="clear" w:color="auto" w:fill="auto"/>
            <w:vAlign w:val="center"/>
          </w:tcPr>
          <w:p w14:paraId="20D13AF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产出指标</w:t>
            </w:r>
          </w:p>
        </w:tc>
        <w:tc>
          <w:tcPr>
            <w:tcW w:w="729" w:type="pct"/>
            <w:tcBorders>
              <w:top w:val="single" w:color="auto" w:sz="4" w:space="0"/>
              <w:left w:val="single" w:color="auto" w:sz="4" w:space="0"/>
              <w:bottom w:val="single" w:color="auto" w:sz="4" w:space="0"/>
              <w:right w:val="single" w:color="auto" w:sz="4" w:space="0"/>
            </w:tcBorders>
            <w:shd w:val="clear" w:color="auto" w:fill="auto"/>
            <w:vAlign w:val="center"/>
          </w:tcPr>
          <w:p w14:paraId="33EE876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产出质量</w:t>
            </w:r>
          </w:p>
        </w:tc>
        <w:tc>
          <w:tcPr>
            <w:tcW w:w="1554" w:type="pct"/>
            <w:tcBorders>
              <w:top w:val="single" w:color="auto" w:sz="4" w:space="0"/>
              <w:left w:val="single" w:color="auto" w:sz="4" w:space="0"/>
              <w:bottom w:val="single" w:color="auto" w:sz="4" w:space="0"/>
              <w:right w:val="single" w:color="auto" w:sz="4" w:space="0"/>
            </w:tcBorders>
            <w:shd w:val="clear" w:color="auto" w:fill="auto"/>
            <w:vAlign w:val="center"/>
          </w:tcPr>
          <w:p w14:paraId="771C4D1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安全事件发生次数</w:t>
            </w:r>
          </w:p>
        </w:tc>
        <w:tc>
          <w:tcPr>
            <w:tcW w:w="822" w:type="pct"/>
            <w:tcBorders>
              <w:top w:val="single" w:color="auto" w:sz="4" w:space="0"/>
              <w:left w:val="single" w:color="auto" w:sz="4" w:space="0"/>
              <w:bottom w:val="single" w:color="auto" w:sz="4" w:space="0"/>
              <w:right w:val="single" w:color="auto" w:sz="4" w:space="0"/>
            </w:tcBorders>
            <w:shd w:val="clear" w:color="auto" w:fill="auto"/>
            <w:vAlign w:val="center"/>
          </w:tcPr>
          <w:p w14:paraId="3F47A60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0次</w:t>
            </w:r>
          </w:p>
        </w:tc>
      </w:tr>
      <w:tr w14:paraId="37655D8F">
        <w:tblPrEx>
          <w:tblCellMar>
            <w:top w:w="0" w:type="dxa"/>
            <w:left w:w="108" w:type="dxa"/>
            <w:bottom w:w="0" w:type="dxa"/>
            <w:right w:w="108" w:type="dxa"/>
          </w:tblCellMar>
        </w:tblPrEx>
        <w:trPr>
          <w:trHeight w:val="645" w:hRule="atLeast"/>
          <w:jc w:val="center"/>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14:paraId="1D859CE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8</w:t>
            </w:r>
          </w:p>
        </w:tc>
        <w:tc>
          <w:tcPr>
            <w:tcW w:w="753" w:type="pct"/>
            <w:tcBorders>
              <w:top w:val="single" w:color="auto" w:sz="4" w:space="0"/>
              <w:left w:val="single" w:color="auto" w:sz="4" w:space="0"/>
              <w:bottom w:val="single" w:color="auto" w:sz="4" w:space="0"/>
              <w:right w:val="single" w:color="auto" w:sz="4" w:space="0"/>
            </w:tcBorders>
            <w:shd w:val="clear" w:color="auto" w:fill="auto"/>
            <w:vAlign w:val="center"/>
          </w:tcPr>
          <w:p w14:paraId="0E966DB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通用指标</w:t>
            </w:r>
          </w:p>
        </w:tc>
        <w:tc>
          <w:tcPr>
            <w:tcW w:w="707" w:type="pct"/>
            <w:tcBorders>
              <w:top w:val="single" w:color="auto" w:sz="4" w:space="0"/>
              <w:left w:val="single" w:color="auto" w:sz="4" w:space="0"/>
              <w:bottom w:val="single" w:color="auto" w:sz="4" w:space="0"/>
              <w:right w:val="single" w:color="auto" w:sz="4" w:space="0"/>
            </w:tcBorders>
            <w:shd w:val="clear" w:color="auto" w:fill="auto"/>
            <w:vAlign w:val="center"/>
          </w:tcPr>
          <w:p w14:paraId="318ADBF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产出指标</w:t>
            </w:r>
          </w:p>
        </w:tc>
        <w:tc>
          <w:tcPr>
            <w:tcW w:w="729" w:type="pct"/>
            <w:tcBorders>
              <w:top w:val="single" w:color="auto" w:sz="4" w:space="0"/>
              <w:left w:val="single" w:color="auto" w:sz="4" w:space="0"/>
              <w:bottom w:val="single" w:color="auto" w:sz="4" w:space="0"/>
              <w:right w:val="single" w:color="auto" w:sz="4" w:space="0"/>
            </w:tcBorders>
            <w:shd w:val="clear" w:color="auto" w:fill="auto"/>
            <w:vAlign w:val="center"/>
          </w:tcPr>
          <w:p w14:paraId="5A7548B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产出时效</w:t>
            </w:r>
          </w:p>
        </w:tc>
        <w:tc>
          <w:tcPr>
            <w:tcW w:w="1554" w:type="pct"/>
            <w:tcBorders>
              <w:top w:val="single" w:color="auto" w:sz="4" w:space="0"/>
              <w:left w:val="single" w:color="auto" w:sz="4" w:space="0"/>
              <w:bottom w:val="single" w:color="auto" w:sz="4" w:space="0"/>
              <w:right w:val="single" w:color="auto" w:sz="4" w:space="0"/>
            </w:tcBorders>
            <w:shd w:val="clear" w:color="auto" w:fill="auto"/>
            <w:vAlign w:val="center"/>
          </w:tcPr>
          <w:p w14:paraId="644C6E0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项目实施进度</w:t>
            </w:r>
          </w:p>
        </w:tc>
        <w:tc>
          <w:tcPr>
            <w:tcW w:w="822" w:type="pct"/>
            <w:tcBorders>
              <w:top w:val="single" w:color="auto" w:sz="4" w:space="0"/>
              <w:left w:val="single" w:color="auto" w:sz="4" w:space="0"/>
              <w:bottom w:val="single" w:color="auto" w:sz="4" w:space="0"/>
              <w:right w:val="single" w:color="auto" w:sz="4" w:space="0"/>
            </w:tcBorders>
            <w:shd w:val="clear" w:color="auto" w:fill="auto"/>
            <w:vAlign w:val="center"/>
          </w:tcPr>
          <w:p w14:paraId="569BE96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10个月</w:t>
            </w:r>
          </w:p>
        </w:tc>
      </w:tr>
      <w:tr w14:paraId="11B5D889">
        <w:tblPrEx>
          <w:tblCellMar>
            <w:top w:w="0" w:type="dxa"/>
            <w:left w:w="108" w:type="dxa"/>
            <w:bottom w:w="0" w:type="dxa"/>
            <w:right w:w="108" w:type="dxa"/>
          </w:tblCellMar>
        </w:tblPrEx>
        <w:trPr>
          <w:trHeight w:val="630" w:hRule="atLeast"/>
          <w:jc w:val="center"/>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14:paraId="619EE421">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9</w:t>
            </w:r>
          </w:p>
        </w:tc>
        <w:tc>
          <w:tcPr>
            <w:tcW w:w="753" w:type="pct"/>
            <w:tcBorders>
              <w:top w:val="single" w:color="auto" w:sz="4" w:space="0"/>
              <w:left w:val="single" w:color="auto" w:sz="4" w:space="0"/>
              <w:bottom w:val="single" w:color="auto" w:sz="4" w:space="0"/>
              <w:right w:val="single" w:color="auto" w:sz="4" w:space="0"/>
            </w:tcBorders>
            <w:shd w:val="clear" w:color="auto" w:fill="auto"/>
            <w:vAlign w:val="center"/>
          </w:tcPr>
          <w:p w14:paraId="126195B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业务指标</w:t>
            </w:r>
          </w:p>
        </w:tc>
        <w:tc>
          <w:tcPr>
            <w:tcW w:w="707" w:type="pct"/>
            <w:tcBorders>
              <w:top w:val="single" w:color="auto" w:sz="4" w:space="0"/>
              <w:left w:val="single" w:color="auto" w:sz="4" w:space="0"/>
              <w:bottom w:val="single" w:color="auto" w:sz="4" w:space="0"/>
              <w:right w:val="single" w:color="auto" w:sz="4" w:space="0"/>
            </w:tcBorders>
            <w:shd w:val="clear" w:color="auto" w:fill="auto"/>
            <w:vAlign w:val="center"/>
          </w:tcPr>
          <w:p w14:paraId="5EBBCA17">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效益指标</w:t>
            </w:r>
          </w:p>
        </w:tc>
        <w:tc>
          <w:tcPr>
            <w:tcW w:w="729" w:type="pct"/>
            <w:tcBorders>
              <w:top w:val="single" w:color="auto" w:sz="4" w:space="0"/>
              <w:left w:val="single" w:color="auto" w:sz="4" w:space="0"/>
              <w:bottom w:val="single" w:color="auto" w:sz="4" w:space="0"/>
              <w:right w:val="single" w:color="auto" w:sz="4" w:space="0"/>
            </w:tcBorders>
            <w:shd w:val="clear" w:color="auto" w:fill="auto"/>
            <w:vAlign w:val="center"/>
          </w:tcPr>
          <w:p w14:paraId="241AC25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社会效益</w:t>
            </w:r>
          </w:p>
        </w:tc>
        <w:tc>
          <w:tcPr>
            <w:tcW w:w="1554" w:type="pct"/>
            <w:tcBorders>
              <w:top w:val="single" w:color="auto" w:sz="4" w:space="0"/>
              <w:left w:val="single" w:color="auto" w:sz="4" w:space="0"/>
              <w:bottom w:val="single" w:color="auto" w:sz="4" w:space="0"/>
              <w:right w:val="single" w:color="auto" w:sz="4" w:space="0"/>
            </w:tcBorders>
            <w:shd w:val="clear" w:color="auto" w:fill="auto"/>
            <w:vAlign w:val="center"/>
          </w:tcPr>
          <w:p w14:paraId="6F8C93B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用户体验满意度</w:t>
            </w:r>
          </w:p>
        </w:tc>
        <w:tc>
          <w:tcPr>
            <w:tcW w:w="822" w:type="pct"/>
            <w:tcBorders>
              <w:top w:val="single" w:color="auto" w:sz="4" w:space="0"/>
              <w:left w:val="single" w:color="auto" w:sz="4" w:space="0"/>
              <w:bottom w:val="single" w:color="auto" w:sz="4" w:space="0"/>
              <w:right w:val="single" w:color="auto" w:sz="4" w:space="0"/>
            </w:tcBorders>
            <w:shd w:val="clear" w:color="auto" w:fill="auto"/>
            <w:vAlign w:val="center"/>
          </w:tcPr>
          <w:p w14:paraId="519E118E">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≥95%</w:t>
            </w:r>
          </w:p>
        </w:tc>
      </w:tr>
      <w:tr w14:paraId="2D848455">
        <w:tblPrEx>
          <w:tblCellMar>
            <w:top w:w="0" w:type="dxa"/>
            <w:left w:w="108" w:type="dxa"/>
            <w:bottom w:w="0" w:type="dxa"/>
            <w:right w:w="108" w:type="dxa"/>
          </w:tblCellMar>
        </w:tblPrEx>
        <w:trPr>
          <w:trHeight w:val="645" w:hRule="atLeast"/>
          <w:jc w:val="center"/>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14:paraId="516FFD82">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10</w:t>
            </w:r>
          </w:p>
        </w:tc>
        <w:tc>
          <w:tcPr>
            <w:tcW w:w="753" w:type="pct"/>
            <w:tcBorders>
              <w:top w:val="single" w:color="auto" w:sz="4" w:space="0"/>
              <w:left w:val="single" w:color="auto" w:sz="4" w:space="0"/>
              <w:bottom w:val="single" w:color="auto" w:sz="4" w:space="0"/>
              <w:right w:val="single" w:color="auto" w:sz="4" w:space="0"/>
            </w:tcBorders>
            <w:shd w:val="clear" w:color="auto" w:fill="auto"/>
            <w:vAlign w:val="center"/>
          </w:tcPr>
          <w:p w14:paraId="0FC1381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业务指标</w:t>
            </w:r>
          </w:p>
        </w:tc>
        <w:tc>
          <w:tcPr>
            <w:tcW w:w="707" w:type="pct"/>
            <w:tcBorders>
              <w:top w:val="single" w:color="auto" w:sz="4" w:space="0"/>
              <w:left w:val="single" w:color="auto" w:sz="4" w:space="0"/>
              <w:bottom w:val="single" w:color="auto" w:sz="4" w:space="0"/>
              <w:right w:val="single" w:color="auto" w:sz="4" w:space="0"/>
            </w:tcBorders>
            <w:shd w:val="clear" w:color="auto" w:fill="auto"/>
            <w:vAlign w:val="center"/>
          </w:tcPr>
          <w:p w14:paraId="7964AEFE">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效益指标</w:t>
            </w:r>
          </w:p>
        </w:tc>
        <w:tc>
          <w:tcPr>
            <w:tcW w:w="729" w:type="pct"/>
            <w:tcBorders>
              <w:top w:val="single" w:color="auto" w:sz="4" w:space="0"/>
              <w:left w:val="single" w:color="auto" w:sz="4" w:space="0"/>
              <w:bottom w:val="single" w:color="auto" w:sz="4" w:space="0"/>
              <w:right w:val="single" w:color="auto" w:sz="4" w:space="0"/>
            </w:tcBorders>
            <w:shd w:val="clear" w:color="auto" w:fill="auto"/>
            <w:vAlign w:val="center"/>
          </w:tcPr>
          <w:p w14:paraId="6A53E2B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社会效益</w:t>
            </w:r>
          </w:p>
        </w:tc>
        <w:tc>
          <w:tcPr>
            <w:tcW w:w="1554" w:type="pct"/>
            <w:tcBorders>
              <w:top w:val="single" w:color="auto" w:sz="4" w:space="0"/>
              <w:left w:val="single" w:color="auto" w:sz="4" w:space="0"/>
              <w:bottom w:val="single" w:color="auto" w:sz="4" w:space="0"/>
              <w:right w:val="single" w:color="auto" w:sz="4" w:space="0"/>
            </w:tcBorders>
            <w:shd w:val="clear" w:color="auto" w:fill="auto"/>
            <w:vAlign w:val="center"/>
          </w:tcPr>
          <w:p w14:paraId="33C0C93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工作效率</w:t>
            </w:r>
          </w:p>
        </w:tc>
        <w:tc>
          <w:tcPr>
            <w:tcW w:w="822" w:type="pct"/>
            <w:tcBorders>
              <w:top w:val="single" w:color="auto" w:sz="4" w:space="0"/>
              <w:left w:val="single" w:color="auto" w:sz="4" w:space="0"/>
              <w:bottom w:val="single" w:color="auto" w:sz="4" w:space="0"/>
              <w:right w:val="single" w:color="auto" w:sz="4" w:space="0"/>
            </w:tcBorders>
            <w:shd w:val="clear" w:color="auto" w:fill="auto"/>
            <w:vAlign w:val="center"/>
          </w:tcPr>
          <w:p w14:paraId="2CFB953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提升</w:t>
            </w:r>
          </w:p>
        </w:tc>
      </w:tr>
      <w:tr w14:paraId="4B640F8E">
        <w:tblPrEx>
          <w:tblCellMar>
            <w:top w:w="0" w:type="dxa"/>
            <w:left w:w="108" w:type="dxa"/>
            <w:bottom w:w="0" w:type="dxa"/>
            <w:right w:w="108" w:type="dxa"/>
          </w:tblCellMar>
        </w:tblPrEx>
        <w:trPr>
          <w:trHeight w:val="645" w:hRule="atLeast"/>
          <w:jc w:val="center"/>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14:paraId="34C9067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11</w:t>
            </w:r>
          </w:p>
        </w:tc>
        <w:tc>
          <w:tcPr>
            <w:tcW w:w="753" w:type="pct"/>
            <w:tcBorders>
              <w:top w:val="single" w:color="auto" w:sz="4" w:space="0"/>
              <w:left w:val="single" w:color="auto" w:sz="4" w:space="0"/>
              <w:bottom w:val="single" w:color="auto" w:sz="4" w:space="0"/>
              <w:right w:val="single" w:color="auto" w:sz="4" w:space="0"/>
            </w:tcBorders>
            <w:shd w:val="clear" w:color="auto" w:fill="auto"/>
            <w:vAlign w:val="center"/>
          </w:tcPr>
          <w:p w14:paraId="5AA7A2C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业务指标</w:t>
            </w:r>
          </w:p>
        </w:tc>
        <w:tc>
          <w:tcPr>
            <w:tcW w:w="707" w:type="pct"/>
            <w:tcBorders>
              <w:top w:val="single" w:color="auto" w:sz="4" w:space="0"/>
              <w:left w:val="single" w:color="auto" w:sz="4" w:space="0"/>
              <w:bottom w:val="single" w:color="auto" w:sz="4" w:space="0"/>
              <w:right w:val="single" w:color="auto" w:sz="4" w:space="0"/>
            </w:tcBorders>
            <w:shd w:val="clear" w:color="auto" w:fill="auto"/>
            <w:vAlign w:val="center"/>
          </w:tcPr>
          <w:p w14:paraId="31CEFFC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效益指标</w:t>
            </w:r>
          </w:p>
        </w:tc>
        <w:tc>
          <w:tcPr>
            <w:tcW w:w="729" w:type="pct"/>
            <w:tcBorders>
              <w:top w:val="single" w:color="auto" w:sz="4" w:space="0"/>
              <w:left w:val="single" w:color="auto" w:sz="4" w:space="0"/>
              <w:bottom w:val="single" w:color="auto" w:sz="4" w:space="0"/>
              <w:right w:val="single" w:color="auto" w:sz="4" w:space="0"/>
            </w:tcBorders>
            <w:shd w:val="clear" w:color="auto" w:fill="auto"/>
            <w:vAlign w:val="center"/>
          </w:tcPr>
          <w:p w14:paraId="3F3A3B09">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生态效益</w:t>
            </w:r>
          </w:p>
        </w:tc>
        <w:tc>
          <w:tcPr>
            <w:tcW w:w="1554" w:type="pct"/>
            <w:tcBorders>
              <w:top w:val="single" w:color="auto" w:sz="4" w:space="0"/>
              <w:left w:val="single" w:color="auto" w:sz="4" w:space="0"/>
              <w:bottom w:val="single" w:color="auto" w:sz="4" w:space="0"/>
              <w:right w:val="single" w:color="auto" w:sz="4" w:space="0"/>
            </w:tcBorders>
            <w:shd w:val="clear" w:color="auto" w:fill="auto"/>
            <w:vAlign w:val="center"/>
          </w:tcPr>
          <w:p w14:paraId="679C7FC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环保达标率</w:t>
            </w:r>
          </w:p>
        </w:tc>
        <w:tc>
          <w:tcPr>
            <w:tcW w:w="822" w:type="pct"/>
            <w:tcBorders>
              <w:top w:val="single" w:color="auto" w:sz="4" w:space="0"/>
              <w:left w:val="single" w:color="auto" w:sz="4" w:space="0"/>
              <w:bottom w:val="single" w:color="auto" w:sz="4" w:space="0"/>
              <w:right w:val="single" w:color="auto" w:sz="4" w:space="0"/>
            </w:tcBorders>
            <w:shd w:val="clear" w:color="auto" w:fill="auto"/>
            <w:vAlign w:val="center"/>
          </w:tcPr>
          <w:p w14:paraId="4486CC9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100%</w:t>
            </w:r>
          </w:p>
        </w:tc>
      </w:tr>
    </w:tbl>
    <w:p w14:paraId="69BFAD33">
      <w:pPr>
        <w:pStyle w:val="2"/>
      </w:pPr>
      <w:bookmarkStart w:id="11" w:name="_Toc47537166"/>
      <w:bookmarkEnd w:id="11"/>
      <w:bookmarkStart w:id="12" w:name="_Toc47532923"/>
      <w:bookmarkEnd w:id="12"/>
      <w:bookmarkStart w:id="13" w:name="_Toc47536676"/>
      <w:bookmarkEnd w:id="13"/>
      <w:bookmarkStart w:id="14" w:name="_Toc47533288"/>
      <w:bookmarkEnd w:id="14"/>
      <w:bookmarkStart w:id="15" w:name="_Toc47539102"/>
      <w:bookmarkEnd w:id="15"/>
      <w:bookmarkStart w:id="16" w:name="_Toc47536304"/>
      <w:bookmarkEnd w:id="16"/>
      <w:r>
        <w:rPr>
          <w:rFonts w:hint="eastAsia"/>
        </w:rPr>
        <w:t>项目建设内容</w:t>
      </w:r>
    </w:p>
    <w:p w14:paraId="231CC7D8">
      <w:pPr>
        <w:pStyle w:val="3"/>
      </w:pPr>
      <w:r>
        <w:rPr>
          <w:rFonts w:hint="eastAsia"/>
        </w:rPr>
        <w:t>主要建设内容</w:t>
      </w:r>
    </w:p>
    <w:p w14:paraId="0A976C01">
      <w:r>
        <w:rPr>
          <w:rFonts w:hint="eastAsia"/>
        </w:rPr>
        <w:t>1、上海市监狱管局罪犯会见通讯系统（新建）：</w:t>
      </w:r>
    </w:p>
    <w:p w14:paraId="10AD9647">
      <w:pPr>
        <w:spacing w:line="560" w:lineRule="exact"/>
      </w:pPr>
      <w:r>
        <w:rPr>
          <w:rFonts w:hint="eastAsia"/>
        </w:rPr>
        <w:t>（1）建设会见通讯综合业务管理平台：实现对可视通话、信件登记等业务的集中部署，实现会见、亲情电话的数据上传和业务规则的统一管理应用。同时包含统一接口服务，实现与市局、监狱等其他业务系统对接，管理各项数据接口，集中对接语音转写引擎，人脸识别引擎，为各会见通讯业务功能提供底层能力。</w:t>
      </w:r>
    </w:p>
    <w:p w14:paraId="09E41E44">
      <w:pPr>
        <w:spacing w:line="560" w:lineRule="exact"/>
      </w:pPr>
      <w:r>
        <w:rPr>
          <w:rFonts w:hint="eastAsia"/>
        </w:rPr>
        <w:t>（2）建设便民服务子系统：面向家属提供监狱对外应用服务，主要实现家属注册服务，能够调用现有会见系统数据完成实名认证、人脸认证；支持家属预约登记，与政务网平台完成信息交互。</w:t>
      </w:r>
    </w:p>
    <w:p w14:paraId="1BBDB86E">
      <w:pPr>
        <w:spacing w:line="560" w:lineRule="exact"/>
      </w:pPr>
      <w:r>
        <w:rPr>
          <w:rFonts w:hint="eastAsia"/>
        </w:rPr>
        <w:t>（3）建设罪犯与家属移动可视通话系统：建设自主可控的手机端移动可视通话系统，实现技术架构、通讯协议、数据接口的完全自主可控，对接上海市监狱管理局狱政系统，实时调用罪犯基础信息、会见审批状态等数据，形成“申请-审批-通讯-监管”全流程闭环。</w:t>
      </w:r>
    </w:p>
    <w:p w14:paraId="2874C995">
      <w:pPr>
        <w:spacing w:line="560" w:lineRule="exact"/>
      </w:pPr>
      <w:r>
        <w:rPr>
          <w:rFonts w:hint="eastAsia"/>
        </w:rPr>
        <w:t>同时，提供智能化审批与安全管控功能，家属拨打视频电话后，提供审批流程，嵌入人脸识别模块自动核验亲属身份信息，采用加密算法对音视频流及传输数据加密。语音转文字与敏感词监管：采集通话语音并转换为文字，集成动态敏感词库，对涉及监管安全、违规信息等关键词实时标红预警并触发人工复核。并内置背景虚化算法，自动模糊罪犯所在环境画面，家属端画面保持原始场景，兼顾隐私保护与亲情交流需求。</w:t>
      </w:r>
    </w:p>
    <w:p w14:paraId="3283196C">
      <w:pPr>
        <w:spacing w:line="560" w:lineRule="exact"/>
      </w:pPr>
      <w:r>
        <w:rPr>
          <w:rFonts w:hint="eastAsia"/>
        </w:rPr>
        <w:t>（4）对接罪犯家属来监会见系统：对接现有15家监狱的会见系统，实现跨监狱数据同步上传。并提供语音转文字功能，可以提示敏感词、提示关键词。</w:t>
      </w:r>
    </w:p>
    <w:p w14:paraId="5642C383">
      <w:pPr>
        <w:spacing w:line="560" w:lineRule="exact"/>
      </w:pPr>
      <w:r>
        <w:rPr>
          <w:rFonts w:hint="eastAsia"/>
        </w:rPr>
        <w:t>（5）对接罪犯与家属亲情电话系统：对接现有15家监狱的亲情电话系统，实现家属信息线上审核、通话申请线上审批。并提供语音转文字功能，可以提示敏感词、提示关键词。</w:t>
      </w:r>
    </w:p>
    <w:p w14:paraId="32385DC2">
      <w:pPr>
        <w:spacing w:line="560" w:lineRule="exact"/>
      </w:pPr>
      <w:r>
        <w:rPr>
          <w:rFonts w:hint="eastAsia"/>
        </w:rPr>
        <w:t>（6）建设罪犯信件登记系统：利用扫描设备，扫描上传收寄信息和信件内容，实现信件全流程可控。</w:t>
      </w:r>
    </w:p>
    <w:p w14:paraId="23B5B58C">
      <w:pPr>
        <w:spacing w:line="560" w:lineRule="exact"/>
      </w:pPr>
      <w:r>
        <w:rPr>
          <w:rFonts w:hint="eastAsia"/>
        </w:rPr>
        <w:t>（7）建设辅助监管系统：对接可视通话、现场会见、亲情电话系统，实现会见（通话）复听的转写服务。当对话中出现敏感词时在转写内容中进行红色标记并进行预警提醒。</w:t>
      </w:r>
    </w:p>
    <w:p w14:paraId="3DD367AB">
      <w:pPr>
        <w:spacing w:line="560" w:lineRule="exact"/>
      </w:pPr>
      <w:r>
        <w:rPr>
          <w:rFonts w:hint="eastAsia"/>
        </w:rPr>
        <w:t>（8）建设数据驾驶舱：实现对全局会见、亲情电话、可视通话、便民服务、电子书信等会见通讯业务数据的综合展示，以市局角度对全市的数据进行汇总统计、以多维度视角对各类数据进行分析排序，为市局领导展示清晰、统筹的业务开展情况。</w:t>
      </w:r>
    </w:p>
    <w:p w14:paraId="2936635E">
      <w:pPr>
        <w:spacing w:line="560" w:lineRule="exact"/>
      </w:pPr>
      <w:r>
        <w:rPr>
          <w:rFonts w:hint="eastAsia"/>
        </w:rPr>
        <w:t>（9）完成公众平台对接适配：完成监狱局微信公众号小程序、随申办市民云平台的对接适配。</w:t>
      </w:r>
    </w:p>
    <w:p w14:paraId="0A3CC0D6">
      <w:r>
        <w:rPr>
          <w:rFonts w:hint="eastAsia"/>
        </w:rPr>
        <w:t>2、劳动改造系统应用软件开发（功能升级）：</w:t>
      </w:r>
    </w:p>
    <w:p w14:paraId="60F5C306">
      <w:r>
        <w:rPr>
          <w:rFonts w:hint="eastAsia"/>
        </w:rPr>
        <w:t>对现有系统进行升级改造，对现有模块进行分库分表，优化录入和查询功能，并根据司法部下达的业务数据安全方面的相关通知，新增数据审批环节，严格控制数据的修改和删除权限，使得数据录入和审批更加符合安全规范。增加与狱政的接口对接，能够及时获取狱政的人账信息，方便用户进行报表的统计和信息的录入。同时实现系统上云，并实现负载均衡，完成XC改造，通过等保三级测评。</w:t>
      </w:r>
    </w:p>
    <w:p w14:paraId="42AF9F02">
      <w:r>
        <w:rPr>
          <w:rFonts w:hint="eastAsia"/>
        </w:rPr>
        <w:t>3、上海监狱罪犯管理业务应用（功能升级）：</w:t>
      </w:r>
    </w:p>
    <w:p w14:paraId="038CCDB0">
      <w:r>
        <w:rPr>
          <w:rFonts w:hint="eastAsia"/>
        </w:rPr>
        <w:t>针对其中综合治理系统，对社会帮教、刑释衔接、规章制度、经典个案等功能模块进行优化，新增法律援助功能模块。</w:t>
      </w:r>
    </w:p>
    <w:p w14:paraId="41E00818">
      <w:pPr>
        <w:pStyle w:val="3"/>
      </w:pPr>
      <w:r>
        <w:rPr>
          <w:rFonts w:hint="eastAsia"/>
        </w:rPr>
        <w:t>软件开发清单</w:t>
      </w:r>
    </w:p>
    <w:tbl>
      <w:tblPr>
        <w:tblStyle w:val="35"/>
        <w:tblW w:w="4998" w:type="pct"/>
        <w:tblInd w:w="0" w:type="dxa"/>
        <w:tblLayout w:type="autofit"/>
        <w:tblCellMar>
          <w:top w:w="0" w:type="dxa"/>
          <w:left w:w="108" w:type="dxa"/>
          <w:bottom w:w="0" w:type="dxa"/>
          <w:right w:w="108" w:type="dxa"/>
        </w:tblCellMar>
      </w:tblPr>
      <w:tblGrid>
        <w:gridCol w:w="558"/>
        <w:gridCol w:w="1008"/>
        <w:gridCol w:w="923"/>
        <w:gridCol w:w="6036"/>
      </w:tblGrid>
      <w:tr w14:paraId="626EE1E5">
        <w:tblPrEx>
          <w:tblCellMar>
            <w:top w:w="0" w:type="dxa"/>
            <w:left w:w="108" w:type="dxa"/>
            <w:bottom w:w="0" w:type="dxa"/>
            <w:right w:w="108" w:type="dxa"/>
          </w:tblCellMar>
        </w:tblPrEx>
        <w:trPr>
          <w:trHeight w:val="2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95702">
            <w:pPr>
              <w:widowControl/>
              <w:spacing w:line="240" w:lineRule="auto"/>
              <w:ind w:firstLine="0" w:firstLineChars="0"/>
              <w:jc w:val="center"/>
              <w:textAlignment w:val="center"/>
              <w:rPr>
                <w:rFonts w:cs="宋体"/>
                <w:b/>
                <w:bCs/>
                <w:color w:val="000000"/>
                <w:sz w:val="22"/>
                <w:szCs w:val="22"/>
              </w:rPr>
            </w:pPr>
            <w:r>
              <w:rPr>
                <w:rFonts w:hint="eastAsia" w:cs="宋体"/>
                <w:b/>
                <w:bCs/>
                <w:color w:val="000000"/>
                <w:kern w:val="0"/>
                <w:sz w:val="22"/>
                <w:szCs w:val="22"/>
              </w:rPr>
              <w:t>序号</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A795F">
            <w:pPr>
              <w:widowControl/>
              <w:spacing w:line="240" w:lineRule="auto"/>
              <w:ind w:firstLine="0" w:firstLineChars="0"/>
              <w:jc w:val="center"/>
              <w:textAlignment w:val="center"/>
              <w:rPr>
                <w:rFonts w:cs="宋体"/>
                <w:b/>
                <w:bCs/>
                <w:color w:val="000000"/>
                <w:sz w:val="22"/>
                <w:szCs w:val="22"/>
              </w:rPr>
            </w:pPr>
            <w:r>
              <w:rPr>
                <w:rFonts w:hint="eastAsia" w:cs="宋体"/>
                <w:b/>
                <w:bCs/>
                <w:color w:val="000000"/>
                <w:kern w:val="0"/>
                <w:sz w:val="22"/>
                <w:szCs w:val="22"/>
              </w:rPr>
              <w:t>应用系统名称</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507D4">
            <w:pPr>
              <w:widowControl/>
              <w:spacing w:line="240" w:lineRule="auto"/>
              <w:ind w:firstLine="0" w:firstLineChars="0"/>
              <w:jc w:val="center"/>
              <w:textAlignment w:val="center"/>
              <w:rPr>
                <w:rFonts w:cs="宋体"/>
                <w:b/>
                <w:bCs/>
                <w:color w:val="000000"/>
                <w:sz w:val="22"/>
                <w:szCs w:val="22"/>
              </w:rPr>
            </w:pPr>
            <w:r>
              <w:rPr>
                <w:rFonts w:hint="eastAsia" w:cs="宋体"/>
                <w:b/>
                <w:bCs/>
                <w:color w:val="000000"/>
                <w:kern w:val="0"/>
                <w:sz w:val="22"/>
                <w:szCs w:val="22"/>
              </w:rPr>
              <w:t>模块名称</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E5B03">
            <w:pPr>
              <w:widowControl/>
              <w:spacing w:line="240" w:lineRule="auto"/>
              <w:ind w:firstLine="0" w:firstLineChars="0"/>
              <w:jc w:val="center"/>
              <w:textAlignment w:val="center"/>
              <w:rPr>
                <w:rFonts w:cs="宋体"/>
                <w:b/>
                <w:bCs/>
                <w:color w:val="000000"/>
                <w:sz w:val="22"/>
                <w:szCs w:val="22"/>
              </w:rPr>
            </w:pPr>
            <w:r>
              <w:rPr>
                <w:rFonts w:hint="eastAsia" w:cs="宋体"/>
                <w:b/>
                <w:bCs/>
                <w:color w:val="000000"/>
                <w:kern w:val="0"/>
                <w:sz w:val="22"/>
                <w:szCs w:val="22"/>
              </w:rPr>
              <w:t>模块描述</w:t>
            </w:r>
          </w:p>
        </w:tc>
      </w:tr>
      <w:tr w14:paraId="410B8BA5">
        <w:tblPrEx>
          <w:tblCellMar>
            <w:top w:w="0" w:type="dxa"/>
            <w:left w:w="108" w:type="dxa"/>
            <w:bottom w:w="0" w:type="dxa"/>
            <w:right w:w="108" w:type="dxa"/>
          </w:tblCellMar>
        </w:tblPrEx>
        <w:trPr>
          <w:trHeight w:val="216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5967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1</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865D7">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上海市监狱局罪犯会见通讯系统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4C01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综合业务管理平台-基础信息管理</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4059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1）基础数据管理：支持对民警基础信息、罪犯基础信息、家属基础信息、机构人员基础信息、帮教人员基础信息进行维护管理；支持对民警登录账号的信息维护以及数据导出导入与启停用、账号数据权限、账号操作权限进行管理；支持对家属信息进行维护管理；支持对罪犯基础信息进行管理以及导入导出，设置重控、罪犯处遇级别导入维护；支持对单位组织架构进行管理与维护并区分科室与监区类型</w:t>
            </w:r>
            <w:r>
              <w:rPr>
                <w:rFonts w:hint="eastAsia" w:cs="宋体"/>
                <w:color w:val="000000"/>
                <w:kern w:val="0"/>
                <w:sz w:val="22"/>
                <w:szCs w:val="22"/>
              </w:rPr>
              <w:br w:type="textWrapping"/>
            </w:r>
            <w:r>
              <w:rPr>
                <w:rFonts w:hint="eastAsia" w:cs="宋体"/>
                <w:color w:val="000000"/>
                <w:kern w:val="0"/>
                <w:sz w:val="22"/>
                <w:szCs w:val="22"/>
              </w:rPr>
              <w:t>（2）卡管理：支持对罪犯与民警卡进行管理；对卡管理支持读卡、发卡、挂失、解挂、加解密卡信息；卡支持用于拨打电话与卡金额管理</w:t>
            </w:r>
            <w:r>
              <w:rPr>
                <w:rFonts w:hint="eastAsia" w:cs="宋体"/>
                <w:color w:val="000000"/>
                <w:kern w:val="0"/>
                <w:sz w:val="22"/>
                <w:szCs w:val="22"/>
              </w:rPr>
              <w:br w:type="textWrapping"/>
            </w:r>
            <w:r>
              <w:rPr>
                <w:rFonts w:hint="eastAsia" w:cs="宋体"/>
                <w:color w:val="000000"/>
                <w:kern w:val="0"/>
                <w:sz w:val="22"/>
                <w:szCs w:val="22"/>
              </w:rPr>
              <w:t>（3）人脸特征库管理：支持罪犯人脸采集、上传、删除、查询，采集入口置于亲情电话APP，用于亲情电话APP罪犯人脸登录使用，同时也可用于会见及产品平台中其他子系统业务场景的人脸识别使用</w:t>
            </w:r>
          </w:p>
        </w:tc>
      </w:tr>
      <w:tr w14:paraId="2BAF9554">
        <w:tblPrEx>
          <w:tblCellMar>
            <w:top w:w="0" w:type="dxa"/>
            <w:left w:w="108" w:type="dxa"/>
            <w:bottom w:w="0" w:type="dxa"/>
            <w:right w:w="108" w:type="dxa"/>
          </w:tblCellMar>
        </w:tblPrEx>
        <w:trPr>
          <w:trHeight w:val="2418"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6B0C9">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2</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2F420">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上海市监狱局罪犯会见通讯系统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EB1B1">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综合业务管理平台-基础配置</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EA7F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（1）审批流程配置：包含流程类型、流程名称、流程状态、节点流程详情、操作时间，用于审批流程节点配置调整。支持针对不同监狱设置会见预约相关业务的审批流程，支持对公业务的审批流程配置</w:t>
            </w:r>
            <w:r>
              <w:rPr>
                <w:rFonts w:hint="eastAsia" w:cs="宋体"/>
                <w:color w:val="000000"/>
                <w:kern w:val="0"/>
                <w:sz w:val="22"/>
                <w:szCs w:val="22"/>
              </w:rPr>
              <w:br w:type="textWrapping"/>
            </w:r>
            <w:r>
              <w:rPr>
                <w:rFonts w:hint="eastAsia" w:cs="宋体"/>
                <w:color w:val="000000"/>
                <w:kern w:val="0"/>
                <w:sz w:val="22"/>
                <w:szCs w:val="22"/>
              </w:rPr>
              <w:t>（2）通话规则：支持可视通话与普通亲情电话通话规则统一配置，包含普通亲情电话通话次数和时长、可视通话通话次数和时长以及普通亲情电话与可视通话次数时长交叉；同时可对单个罪犯设置特殊的通话规则</w:t>
            </w:r>
            <w:r>
              <w:rPr>
                <w:rFonts w:hint="eastAsia" w:cs="宋体"/>
                <w:color w:val="000000"/>
                <w:kern w:val="0"/>
                <w:sz w:val="22"/>
                <w:szCs w:val="22"/>
              </w:rPr>
              <w:br w:type="textWrapping"/>
            </w:r>
            <w:r>
              <w:rPr>
                <w:rFonts w:hint="eastAsia" w:cs="宋体"/>
                <w:color w:val="000000"/>
                <w:kern w:val="0"/>
                <w:sz w:val="22"/>
                <w:szCs w:val="22"/>
              </w:rPr>
              <w:t>（3）能力开放：支持第三方接入方管理及维护，对系统内产生的业务记录可通过配置接入方以及接口授权的方式，让第三方厂家通过接口获取业务数据，同时支持接口方法调用日志记录与查看</w:t>
            </w:r>
            <w:r>
              <w:rPr>
                <w:rFonts w:hint="eastAsia" w:cs="宋体"/>
                <w:color w:val="000000"/>
                <w:kern w:val="0"/>
                <w:sz w:val="22"/>
                <w:szCs w:val="22"/>
              </w:rPr>
              <w:br w:type="textWrapping"/>
            </w:r>
            <w:r>
              <w:rPr>
                <w:rFonts w:hint="eastAsia" w:cs="宋体"/>
                <w:color w:val="000000"/>
                <w:kern w:val="0"/>
                <w:sz w:val="22"/>
                <w:szCs w:val="22"/>
              </w:rPr>
              <w:t>（4）任务管理：支持任务调度管理及任务明细管理，可对任务调度进行配置以及对任务进行维护管理以及对单个任务进行执行以及任务执行配置；并支持任务执行结果查看与任务执行日志下载查看</w:t>
            </w:r>
            <w:r>
              <w:rPr>
                <w:rFonts w:hint="eastAsia" w:cs="宋体"/>
                <w:color w:val="000000"/>
                <w:kern w:val="0"/>
                <w:sz w:val="22"/>
                <w:szCs w:val="22"/>
              </w:rPr>
              <w:br w:type="textWrapping"/>
            </w:r>
            <w:r>
              <w:rPr>
                <w:rFonts w:hint="eastAsia" w:cs="宋体"/>
                <w:color w:val="000000"/>
                <w:kern w:val="0"/>
                <w:sz w:val="22"/>
                <w:szCs w:val="22"/>
              </w:rPr>
              <w:t>（5）系统配置：支持系统数据字典维护与参数配置维护；各业务子系统的资源菜单支持统一配置；支持上传与下载系统工具安装包；支持系统导航栏与业务子系统入口及功能动态配置；支持业务子系统的接入与使用授权以及停用启用；支持语音转写的敏感词管理并可用于转写结果的预警</w:t>
            </w:r>
            <w:r>
              <w:rPr>
                <w:rFonts w:hint="eastAsia" w:cs="宋体"/>
                <w:color w:val="000000"/>
                <w:kern w:val="0"/>
                <w:sz w:val="22"/>
                <w:szCs w:val="22"/>
              </w:rPr>
              <w:br w:type="textWrapping"/>
            </w:r>
            <w:r>
              <w:rPr>
                <w:rFonts w:hint="eastAsia" w:cs="宋体"/>
                <w:color w:val="000000"/>
                <w:kern w:val="0"/>
                <w:sz w:val="22"/>
                <w:szCs w:val="22"/>
              </w:rPr>
              <w:t>（6）操作日志：支持记录和查询平台中各业务子系统的操作日志及用户登录日志与接口调用日志；各日志可查询明细</w:t>
            </w:r>
          </w:p>
        </w:tc>
      </w:tr>
      <w:tr w14:paraId="1B82288D">
        <w:tblPrEx>
          <w:tblCellMar>
            <w:top w:w="0" w:type="dxa"/>
            <w:left w:w="108" w:type="dxa"/>
            <w:bottom w:w="0" w:type="dxa"/>
            <w:right w:w="108" w:type="dxa"/>
          </w:tblCellMar>
        </w:tblPrEx>
        <w:trPr>
          <w:trHeight w:val="81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3C64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3</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477A7">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上海市监狱局罪犯会见通讯系统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33F3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综合业务管理平台-设备终端管理</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0C7E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支持通过终端管理后台对所有物联设备进行管控；展示所有设备、设备详情、编辑；远程操作、日志查看、内容篇日志，添加设备；对终端配置参数进行管理与下发；支持对一体机设备进行远程人脸激活与管控</w:t>
            </w:r>
          </w:p>
        </w:tc>
      </w:tr>
      <w:tr w14:paraId="2D827CEC">
        <w:tblPrEx>
          <w:tblCellMar>
            <w:top w:w="0" w:type="dxa"/>
            <w:left w:w="108" w:type="dxa"/>
            <w:bottom w:w="0" w:type="dxa"/>
            <w:right w:w="108" w:type="dxa"/>
          </w:tblCellMar>
        </w:tblPrEx>
        <w:trPr>
          <w:trHeight w:val="81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0AB9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4</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C8EE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上海市监狱局罪犯会见通讯系统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D653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综合业务管理平台-数据接口服务</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EFFA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由会见通讯系统统一对接监狱局各业务系统，实现数据的采集与同步。如对接狱政平台，调用罪犯数据，实现平台罪犯信息的实时更新。对接资金管理平台，实现亲情电话的实时账单生成与计费。同时，支持提供标准化数据接口，向第三方平台提供数据定制服务。</w:t>
            </w:r>
          </w:p>
        </w:tc>
      </w:tr>
      <w:tr w14:paraId="113ADB3A">
        <w:tblPrEx>
          <w:tblCellMar>
            <w:top w:w="0" w:type="dxa"/>
            <w:left w:w="108" w:type="dxa"/>
            <w:bottom w:w="0" w:type="dxa"/>
            <w:right w:w="108" w:type="dxa"/>
          </w:tblCellMar>
        </w:tblPrEx>
        <w:trPr>
          <w:trHeight w:val="29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AFAB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5</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9254E">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上海市监狱局罪犯会见通讯系统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0FD2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便民服务子系统-公众服务</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5078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（1）登录及注册：家属通过监狱局的微信公众号小程序、随申办市民云进行人脸识别的统一身份验证。支持授权自动获取手机，登录；支持上传家属身份证正反面，亲属关系证明，上传审核；支持公安实人认证</w:t>
            </w:r>
            <w:r>
              <w:rPr>
                <w:rFonts w:hint="eastAsia" w:cs="宋体"/>
                <w:color w:val="000000"/>
                <w:kern w:val="0"/>
                <w:sz w:val="22"/>
                <w:szCs w:val="22"/>
              </w:rPr>
              <w:br w:type="textWrapping"/>
            </w:r>
            <w:r>
              <w:rPr>
                <w:rFonts w:hint="eastAsia" w:cs="宋体"/>
                <w:color w:val="000000"/>
                <w:kern w:val="0"/>
                <w:sz w:val="22"/>
                <w:szCs w:val="22"/>
              </w:rPr>
              <w:t>（2）关联人员：支持家属绑定多个罪犯申请</w:t>
            </w:r>
            <w:r>
              <w:rPr>
                <w:rFonts w:hint="eastAsia" w:cs="宋体"/>
                <w:color w:val="000000"/>
                <w:kern w:val="0"/>
                <w:sz w:val="22"/>
                <w:szCs w:val="22"/>
              </w:rPr>
              <w:br w:type="textWrapping"/>
            </w:r>
            <w:r>
              <w:rPr>
                <w:rFonts w:hint="eastAsia" w:cs="宋体"/>
                <w:color w:val="000000"/>
                <w:kern w:val="0"/>
                <w:sz w:val="22"/>
                <w:szCs w:val="22"/>
              </w:rPr>
              <w:t>（3）陪同人员：支持认证陪同人员；支持陪同人员为非成年人的增加</w:t>
            </w:r>
            <w:r>
              <w:rPr>
                <w:rFonts w:hint="eastAsia" w:cs="宋体"/>
                <w:color w:val="000000"/>
                <w:kern w:val="0"/>
                <w:sz w:val="22"/>
                <w:szCs w:val="22"/>
              </w:rPr>
              <w:br w:type="textWrapping"/>
            </w:r>
            <w:r>
              <w:rPr>
                <w:rFonts w:hint="eastAsia" w:cs="宋体"/>
                <w:color w:val="000000"/>
                <w:kern w:val="0"/>
                <w:sz w:val="22"/>
                <w:szCs w:val="22"/>
              </w:rPr>
              <w:t>（4）我的消息：支持查询所有审核的结果</w:t>
            </w:r>
            <w:r>
              <w:rPr>
                <w:rFonts w:hint="eastAsia" w:cs="宋体"/>
                <w:color w:val="000000"/>
                <w:kern w:val="0"/>
                <w:sz w:val="22"/>
                <w:szCs w:val="22"/>
              </w:rPr>
              <w:br w:type="textWrapping"/>
            </w:r>
            <w:r>
              <w:rPr>
                <w:rFonts w:hint="eastAsia" w:cs="宋体"/>
                <w:color w:val="000000"/>
                <w:kern w:val="0"/>
                <w:sz w:val="22"/>
                <w:szCs w:val="22"/>
              </w:rPr>
              <w:t>（5）消息推送：通过微信服务向亲属的微信推送审核结果、通话通知</w:t>
            </w:r>
            <w:r>
              <w:rPr>
                <w:rFonts w:hint="eastAsia" w:cs="宋体"/>
                <w:color w:val="000000"/>
                <w:kern w:val="0"/>
                <w:sz w:val="22"/>
                <w:szCs w:val="22"/>
              </w:rPr>
              <w:br w:type="textWrapping"/>
            </w:r>
            <w:r>
              <w:rPr>
                <w:rFonts w:hint="eastAsia" w:cs="宋体"/>
                <w:color w:val="000000"/>
                <w:kern w:val="0"/>
                <w:sz w:val="22"/>
                <w:szCs w:val="22"/>
              </w:rPr>
              <w:t>（6）对外业务：支持填写业务表单并提交；查看提交的业务是否通过审核，未审核通过的支持重新修改提交</w:t>
            </w:r>
            <w:r>
              <w:rPr>
                <w:rFonts w:hint="eastAsia" w:cs="宋体"/>
                <w:color w:val="000000"/>
                <w:kern w:val="0"/>
                <w:sz w:val="22"/>
                <w:szCs w:val="22"/>
              </w:rPr>
              <w:br w:type="textWrapping"/>
            </w:r>
            <w:r>
              <w:rPr>
                <w:rFonts w:hint="eastAsia" w:cs="宋体"/>
                <w:color w:val="000000"/>
                <w:kern w:val="0"/>
                <w:sz w:val="22"/>
                <w:szCs w:val="22"/>
              </w:rPr>
              <w:t>（7）帮助中心：为社会公众提供业务咨询通道，实现各类信息的咨询和答复；支持问题新建，用户编辑信息内容提交给指定单位；支持已发送问题的状态查看；支持接收回复信息</w:t>
            </w:r>
          </w:p>
        </w:tc>
      </w:tr>
      <w:tr w14:paraId="7F1F93B5">
        <w:tblPrEx>
          <w:tblCellMar>
            <w:top w:w="0" w:type="dxa"/>
            <w:left w:w="108" w:type="dxa"/>
            <w:bottom w:w="0" w:type="dxa"/>
            <w:right w:w="108" w:type="dxa"/>
          </w:tblCellMar>
        </w:tblPrEx>
        <w:trPr>
          <w:trHeight w:val="81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B78D0">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6</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B92B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上海市监狱局罪犯会见通讯系统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361C2">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便民服务子系统-会见预约-会见预约审批</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DCDF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对接相应信息系统实现信息共享交换，提供现场会见与可视电话的线上预约服务。支持会见预约审批，导出数据包、导入数据包、详情、修改、审批、查询；通过数据导入导出的方式对接会见系统；同时支持通过接口自动对接会见系统。</w:t>
            </w:r>
          </w:p>
        </w:tc>
      </w:tr>
      <w:tr w14:paraId="2B137F4D">
        <w:tblPrEx>
          <w:tblCellMar>
            <w:top w:w="0" w:type="dxa"/>
            <w:left w:w="108" w:type="dxa"/>
            <w:bottom w:w="0" w:type="dxa"/>
            <w:right w:w="108" w:type="dxa"/>
          </w:tblCellMar>
        </w:tblPrEx>
        <w:trPr>
          <w:trHeight w:val="54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EC6C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7</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AEC1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上海市监狱局罪犯会见通讯系统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D9420">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便民服务子系统-会见预约-会见参数设置</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F5B2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支持通过周、月和自定义的方式设置可以会见的时间；支持设置可预约人数；支持设置可预约的日期</w:t>
            </w:r>
          </w:p>
        </w:tc>
      </w:tr>
      <w:tr w14:paraId="31A26919">
        <w:tblPrEx>
          <w:tblCellMar>
            <w:top w:w="0" w:type="dxa"/>
            <w:left w:w="108" w:type="dxa"/>
            <w:bottom w:w="0" w:type="dxa"/>
            <w:right w:w="108" w:type="dxa"/>
          </w:tblCellMar>
        </w:tblPrEx>
        <w:trPr>
          <w:trHeight w:val="54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BBDD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8</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09367">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上海市监狱局罪犯会见通讯系统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EBA7E">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便民服务子系统-会见预约-会见预审核</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C65AE">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支持通过设置处遇等级、六涉、重控以及会见次数进行系统自动预审核</w:t>
            </w:r>
          </w:p>
        </w:tc>
      </w:tr>
      <w:tr w14:paraId="6418F557">
        <w:tblPrEx>
          <w:tblCellMar>
            <w:top w:w="0" w:type="dxa"/>
            <w:left w:w="108" w:type="dxa"/>
            <w:bottom w:w="0" w:type="dxa"/>
            <w:right w:w="108" w:type="dxa"/>
          </w:tblCellMar>
        </w:tblPrEx>
        <w:trPr>
          <w:trHeight w:val="81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83BB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9</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E453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上海市监狱局罪犯会见通讯系统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0029E">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便民服务子系统-对公业务-公务预约</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ECA0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细分对公业务的办事种类，支持对接相应信息系统实现信息共享交换，支持如公安机关办理提审、监察纪委办案、法院开庭审判、检察机关办理申诉案件、公证机关办理公证、司法鉴定、委托公证等其他单位办理的多类型线上预约服务</w:t>
            </w:r>
          </w:p>
        </w:tc>
      </w:tr>
      <w:tr w14:paraId="1DD2E08A">
        <w:tblPrEx>
          <w:tblCellMar>
            <w:top w:w="0" w:type="dxa"/>
            <w:left w:w="108" w:type="dxa"/>
            <w:bottom w:w="0" w:type="dxa"/>
            <w:right w:w="108" w:type="dxa"/>
          </w:tblCellMar>
        </w:tblPrEx>
        <w:trPr>
          <w:trHeight w:val="81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FD2F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10</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1C5A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上海市监狱局罪犯会见通讯系统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3CD0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便民服务子系统-对公业务-公务预约记录查询</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18B4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实现对公务预约记录查询，展示记录列表，查看记录详情</w:t>
            </w:r>
            <w:r>
              <w:rPr>
                <w:rFonts w:hint="eastAsia" w:cs="宋体"/>
                <w:color w:val="000000"/>
                <w:kern w:val="0"/>
                <w:sz w:val="22"/>
                <w:szCs w:val="22"/>
              </w:rPr>
              <w:br w:type="textWrapping"/>
            </w:r>
            <w:r>
              <w:rPr>
                <w:rFonts w:hint="eastAsia" w:cs="宋体"/>
                <w:color w:val="000000"/>
                <w:kern w:val="0"/>
                <w:sz w:val="22"/>
                <w:szCs w:val="22"/>
              </w:rPr>
              <w:t>支持预约记录的状态显示，实时更新状态进度</w:t>
            </w:r>
            <w:r>
              <w:rPr>
                <w:rFonts w:hint="eastAsia" w:cs="宋体"/>
                <w:color w:val="000000"/>
                <w:kern w:val="0"/>
                <w:sz w:val="22"/>
                <w:szCs w:val="22"/>
              </w:rPr>
              <w:br w:type="textWrapping"/>
            </w:r>
            <w:r>
              <w:rPr>
                <w:rFonts w:hint="eastAsia" w:cs="宋体"/>
                <w:color w:val="000000"/>
                <w:kern w:val="0"/>
                <w:sz w:val="22"/>
                <w:szCs w:val="22"/>
              </w:rPr>
              <w:t>支持已完结状态时的办事情况查看，仅对公人员可以查看</w:t>
            </w:r>
          </w:p>
        </w:tc>
      </w:tr>
      <w:tr w14:paraId="25F5BAFB">
        <w:tblPrEx>
          <w:tblCellMar>
            <w:top w:w="0" w:type="dxa"/>
            <w:left w:w="108" w:type="dxa"/>
            <w:bottom w:w="0" w:type="dxa"/>
            <w:right w:w="108" w:type="dxa"/>
          </w:tblCellMar>
        </w:tblPrEx>
        <w:trPr>
          <w:trHeight w:val="54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AA511">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11</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128C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上海市监狱局罪犯会见通讯系统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EBEC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便民服务子系统-对公业务-规则配置</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768F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支持对公业务规则管理，查询，重置，新增，详情， 编辑，删除功能，查看规则数据，配置规则</w:t>
            </w:r>
          </w:p>
        </w:tc>
      </w:tr>
      <w:tr w14:paraId="472BB1C1">
        <w:tblPrEx>
          <w:tblCellMar>
            <w:top w:w="0" w:type="dxa"/>
            <w:left w:w="108" w:type="dxa"/>
            <w:bottom w:w="0" w:type="dxa"/>
            <w:right w:w="108" w:type="dxa"/>
          </w:tblCellMar>
        </w:tblPrEx>
        <w:trPr>
          <w:trHeight w:val="81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E27B0">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12</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483B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上海市监狱局罪犯会见通讯系统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3D5A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便民服务子系统-亲属号码申请</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2EF5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（1）亲属号码在线申请：亲属号码在线申请功能，通过小程序进行号码登记申请，提交对应部门进行审批</w:t>
            </w:r>
            <w:r>
              <w:rPr>
                <w:rFonts w:hint="eastAsia" w:cs="宋体"/>
                <w:color w:val="000000"/>
                <w:kern w:val="0"/>
                <w:sz w:val="22"/>
                <w:szCs w:val="22"/>
              </w:rPr>
              <w:br w:type="textWrapping"/>
            </w:r>
            <w:r>
              <w:rPr>
                <w:rFonts w:hint="eastAsia" w:cs="宋体"/>
                <w:color w:val="000000"/>
                <w:kern w:val="0"/>
                <w:sz w:val="22"/>
                <w:szCs w:val="22"/>
              </w:rPr>
              <w:t>（2）查询，重置，新增，编辑，删除功能，查看亲属申请的电话号码</w:t>
            </w:r>
          </w:p>
        </w:tc>
      </w:tr>
      <w:tr w14:paraId="493CC2EC">
        <w:tblPrEx>
          <w:tblCellMar>
            <w:top w:w="0" w:type="dxa"/>
            <w:left w:w="108" w:type="dxa"/>
            <w:bottom w:w="0" w:type="dxa"/>
            <w:right w:w="108" w:type="dxa"/>
          </w:tblCellMar>
        </w:tblPrEx>
        <w:trPr>
          <w:trHeight w:val="162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CAA91">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13</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6CE8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上海市监狱局罪犯会见通讯系统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B96D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便民服务子系统-可视通话亲属白名单</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EA03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（1）可视通话亲属白名单申请：可视通话亲属白名单在线申请功能，通过小程序进行白名单申请，提交对应部门进行审批</w:t>
            </w:r>
            <w:r>
              <w:rPr>
                <w:rFonts w:hint="eastAsia" w:cs="宋体"/>
                <w:color w:val="000000"/>
                <w:kern w:val="0"/>
                <w:sz w:val="22"/>
                <w:szCs w:val="22"/>
              </w:rPr>
              <w:br w:type="textWrapping"/>
            </w:r>
            <w:r>
              <w:rPr>
                <w:rFonts w:hint="eastAsia" w:cs="宋体"/>
                <w:color w:val="000000"/>
                <w:kern w:val="0"/>
                <w:sz w:val="22"/>
                <w:szCs w:val="22"/>
              </w:rPr>
              <w:t>（2）可视通话亲属白名单管理：支持白名单查询，重置，新增，编辑，删除功能，查看白名单内亲属的相关信息</w:t>
            </w:r>
            <w:r>
              <w:rPr>
                <w:rFonts w:hint="eastAsia" w:cs="宋体"/>
                <w:color w:val="000000"/>
                <w:kern w:val="0"/>
                <w:sz w:val="22"/>
                <w:szCs w:val="22"/>
              </w:rPr>
              <w:br w:type="textWrapping"/>
            </w:r>
            <w:r>
              <w:rPr>
                <w:rFonts w:hint="eastAsia" w:cs="宋体"/>
                <w:color w:val="000000"/>
                <w:kern w:val="0"/>
                <w:sz w:val="22"/>
                <w:szCs w:val="22"/>
              </w:rPr>
              <w:t>（3）可视通话亲属白名单人脸比对：支持亲属通过小程序登录时的人像与亲属白名单的人脸进行比对，进行家属身份及白名单资格审核</w:t>
            </w:r>
          </w:p>
        </w:tc>
      </w:tr>
      <w:tr w14:paraId="345A5C71">
        <w:tblPrEx>
          <w:tblCellMar>
            <w:top w:w="0" w:type="dxa"/>
            <w:left w:w="108" w:type="dxa"/>
            <w:bottom w:w="0" w:type="dxa"/>
            <w:right w:w="108" w:type="dxa"/>
          </w:tblCellMar>
        </w:tblPrEx>
        <w:trPr>
          <w:trHeight w:val="10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474A7">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14</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25B1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上海市监狱局罪犯会见通讯系统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8244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便民服务子系统-小程序配置</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5185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（1）模块管理：支持应用模块管理，查询，重置，新增，编辑，删除功能，新增应用管理模块数据</w:t>
            </w:r>
            <w:r>
              <w:rPr>
                <w:rFonts w:hint="eastAsia" w:cs="宋体"/>
                <w:color w:val="000000"/>
                <w:kern w:val="0"/>
                <w:sz w:val="22"/>
                <w:szCs w:val="22"/>
              </w:rPr>
              <w:br w:type="textWrapping"/>
            </w:r>
            <w:r>
              <w:rPr>
                <w:rFonts w:hint="eastAsia" w:cs="宋体"/>
                <w:color w:val="000000"/>
                <w:kern w:val="0"/>
                <w:sz w:val="22"/>
                <w:szCs w:val="22"/>
              </w:rPr>
              <w:t>（2）界面管理：配置亲属小程序上监狱首页的横幅、用户协议、公告、帮助中心和阅读手册</w:t>
            </w:r>
            <w:r>
              <w:rPr>
                <w:rFonts w:hint="eastAsia" w:cs="宋体"/>
                <w:color w:val="000000"/>
                <w:kern w:val="0"/>
                <w:sz w:val="22"/>
                <w:szCs w:val="22"/>
              </w:rPr>
              <w:br w:type="textWrapping"/>
            </w:r>
            <w:r>
              <w:rPr>
                <w:rFonts w:hint="eastAsia" w:cs="宋体"/>
                <w:color w:val="000000"/>
                <w:kern w:val="0"/>
                <w:sz w:val="22"/>
                <w:szCs w:val="22"/>
              </w:rPr>
              <w:t>（3）表单管理：支持自定义生成对公业务表单内容；支持文本、数字、身份证、手机号、图片、单选、多选等表单格式；基于动态表单制作出各类业务表单提供给公众进行预约办理</w:t>
            </w:r>
          </w:p>
        </w:tc>
      </w:tr>
      <w:tr w14:paraId="7A965BAF">
        <w:tblPrEx>
          <w:tblCellMar>
            <w:top w:w="0" w:type="dxa"/>
            <w:left w:w="108" w:type="dxa"/>
            <w:bottom w:w="0" w:type="dxa"/>
            <w:right w:w="108" w:type="dxa"/>
          </w:tblCellMar>
        </w:tblPrEx>
        <w:trPr>
          <w:trHeight w:val="54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11EE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15</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05A40">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上海市监狱局罪犯会见通讯系统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FAAF1">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便民服务子系统-审批记录</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DC52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查询，重置，审批，详情功能，对公众服务提交的业务（如会见预约、亲情号码、可视通话亲属白名单、对公业务等）的审核/驳回操作记录，查看审核的业务</w:t>
            </w:r>
          </w:p>
        </w:tc>
      </w:tr>
      <w:tr w14:paraId="7EE6C261">
        <w:tblPrEx>
          <w:tblCellMar>
            <w:top w:w="0" w:type="dxa"/>
            <w:left w:w="108" w:type="dxa"/>
            <w:bottom w:w="0" w:type="dxa"/>
            <w:right w:w="108" w:type="dxa"/>
          </w:tblCellMar>
        </w:tblPrEx>
        <w:trPr>
          <w:trHeight w:val="10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7617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16</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E462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上海市监狱局罪犯会见通讯系统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67EC7">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可视通话子系统-家属端应用</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7C13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（1）可视通话预约：家属通过微信小程序或随申办市民云进行统一身份验证，与会见家属的黑白名单进行人脸识别认证管理。支持可视通话预约；支持查看通话预约记录；支持查看通话记录列表</w:t>
            </w:r>
            <w:r>
              <w:rPr>
                <w:rFonts w:hint="eastAsia" w:cs="宋体"/>
                <w:color w:val="000000"/>
                <w:kern w:val="0"/>
                <w:sz w:val="22"/>
                <w:szCs w:val="22"/>
              </w:rPr>
              <w:br w:type="textWrapping"/>
            </w:r>
            <w:r>
              <w:rPr>
                <w:rFonts w:hint="eastAsia" w:cs="宋体"/>
                <w:color w:val="000000"/>
                <w:kern w:val="0"/>
                <w:sz w:val="22"/>
                <w:szCs w:val="22"/>
              </w:rPr>
              <w:t>（2）关联人员绑定：支持绑定多个罪犯</w:t>
            </w:r>
            <w:r>
              <w:rPr>
                <w:rFonts w:hint="eastAsia" w:cs="宋体"/>
                <w:color w:val="000000"/>
                <w:kern w:val="0"/>
                <w:sz w:val="22"/>
                <w:szCs w:val="22"/>
              </w:rPr>
              <w:br w:type="textWrapping"/>
            </w:r>
            <w:r>
              <w:rPr>
                <w:rFonts w:hint="eastAsia" w:cs="宋体"/>
                <w:color w:val="000000"/>
                <w:kern w:val="0"/>
                <w:sz w:val="22"/>
                <w:szCs w:val="22"/>
              </w:rPr>
              <w:t>（3）可视通话：支持展示双方通话画面，支持通话过程中展示预警内容及告警告知</w:t>
            </w:r>
          </w:p>
        </w:tc>
      </w:tr>
      <w:tr w14:paraId="0DA5CE04">
        <w:tblPrEx>
          <w:tblCellMar>
            <w:top w:w="0" w:type="dxa"/>
            <w:left w:w="108" w:type="dxa"/>
            <w:bottom w:w="0" w:type="dxa"/>
            <w:right w:w="108" w:type="dxa"/>
          </w:tblCellMar>
        </w:tblPrEx>
        <w:trPr>
          <w:trHeight w:val="162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AEA9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17</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9498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上海市监狱局罪犯会见通讯系统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794F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可视通话子系统-罪犯端应用</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53FB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（1）登录认证：支持罪犯编号/人脸登录；支持罪犯输入编号后可以进行人脸采集，采集成功后可以通过人脸登录到app</w:t>
            </w:r>
            <w:r>
              <w:rPr>
                <w:rFonts w:hint="eastAsia" w:cs="宋体"/>
                <w:color w:val="000000"/>
                <w:kern w:val="0"/>
                <w:sz w:val="22"/>
                <w:szCs w:val="22"/>
              </w:rPr>
              <w:br w:type="textWrapping"/>
            </w:r>
            <w:r>
              <w:rPr>
                <w:rFonts w:hint="eastAsia" w:cs="宋体"/>
                <w:color w:val="000000"/>
                <w:kern w:val="0"/>
                <w:sz w:val="22"/>
                <w:szCs w:val="22"/>
              </w:rPr>
              <w:t>（2）可视通话预约：民警可以协助犯人预约可视通话的时间，预约成功后系统自动呼叫家属电话进行告知</w:t>
            </w:r>
            <w:r>
              <w:rPr>
                <w:rFonts w:hint="eastAsia" w:cs="宋体"/>
                <w:color w:val="000000"/>
                <w:kern w:val="0"/>
                <w:sz w:val="22"/>
                <w:szCs w:val="22"/>
              </w:rPr>
              <w:br w:type="textWrapping"/>
            </w:r>
            <w:r>
              <w:rPr>
                <w:rFonts w:hint="eastAsia" w:cs="宋体"/>
                <w:color w:val="000000"/>
                <w:kern w:val="0"/>
                <w:sz w:val="22"/>
                <w:szCs w:val="22"/>
              </w:rPr>
              <w:t>（3）可视通话：规定时间内犯人和亲属双方接入，可以进行视频电话</w:t>
            </w:r>
            <w:r>
              <w:rPr>
                <w:rFonts w:hint="eastAsia" w:cs="宋体"/>
                <w:color w:val="000000"/>
                <w:kern w:val="0"/>
                <w:sz w:val="22"/>
                <w:szCs w:val="22"/>
              </w:rPr>
              <w:br w:type="textWrapping"/>
            </w:r>
            <w:r>
              <w:rPr>
                <w:rFonts w:hint="eastAsia" w:cs="宋体"/>
                <w:color w:val="000000"/>
                <w:kern w:val="0"/>
                <w:sz w:val="22"/>
                <w:szCs w:val="22"/>
              </w:rPr>
              <w:t>（4）通话记录：展示所有时间段内的可视通话通话记录</w:t>
            </w:r>
          </w:p>
        </w:tc>
      </w:tr>
      <w:tr w14:paraId="6A9E9787">
        <w:tblPrEx>
          <w:tblCellMar>
            <w:top w:w="0" w:type="dxa"/>
            <w:left w:w="108" w:type="dxa"/>
            <w:bottom w:w="0" w:type="dxa"/>
            <w:right w:w="108" w:type="dxa"/>
          </w:tblCellMar>
        </w:tblPrEx>
        <w:trPr>
          <w:trHeight w:val="10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AEFA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18</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46CE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上海市监狱局罪犯会见通讯系统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467F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可视通话子系统-民警监听应用</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C4E9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（1）可视通话监听：支持监听亲属和罪犯的通话过程，支持拆线、插话、修改时长、评价等操作</w:t>
            </w:r>
            <w:r>
              <w:rPr>
                <w:rFonts w:hint="eastAsia" w:cs="宋体"/>
                <w:color w:val="000000"/>
                <w:kern w:val="0"/>
                <w:sz w:val="22"/>
                <w:szCs w:val="22"/>
              </w:rPr>
              <w:br w:type="textWrapping"/>
            </w:r>
            <w:r>
              <w:rPr>
                <w:rFonts w:hint="eastAsia" w:cs="宋体"/>
                <w:color w:val="000000"/>
                <w:kern w:val="0"/>
                <w:sz w:val="22"/>
                <w:szCs w:val="22"/>
              </w:rPr>
              <w:t>（2）通话过程监测：通话过程实施监测家属人脸，未经许可人员进入画面时，发送的警告/通知可以在可视通话视频画面上面显示告警内容</w:t>
            </w:r>
            <w:r>
              <w:rPr>
                <w:rFonts w:hint="eastAsia" w:cs="宋体"/>
                <w:color w:val="000000"/>
                <w:kern w:val="0"/>
                <w:sz w:val="22"/>
                <w:szCs w:val="22"/>
              </w:rPr>
              <w:br w:type="textWrapping"/>
            </w:r>
            <w:r>
              <w:rPr>
                <w:rFonts w:hint="eastAsia" w:cs="宋体"/>
                <w:color w:val="000000"/>
                <w:kern w:val="0"/>
                <w:sz w:val="22"/>
                <w:szCs w:val="22"/>
              </w:rPr>
              <w:t>（3）通话背景遮罩：在通话时对罪犯背景环境进行遮罩，防止信息泄露</w:t>
            </w:r>
          </w:p>
        </w:tc>
      </w:tr>
      <w:tr w14:paraId="533DF3F4">
        <w:tblPrEx>
          <w:tblCellMar>
            <w:top w:w="0" w:type="dxa"/>
            <w:left w:w="108" w:type="dxa"/>
            <w:bottom w:w="0" w:type="dxa"/>
            <w:right w:w="108" w:type="dxa"/>
          </w:tblCellMar>
        </w:tblPrEx>
        <w:trPr>
          <w:trHeight w:val="81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1DE6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19</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B053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上海市监狱局罪犯会见通讯系统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00E52">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可视通话子系统-可视通话管理-审批管理及流程管控</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787C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（1）审批管理：额外通话次申请模块，对当月没有通话次数的罪犯申请通话次数，并记录申请的记录数据；小程序预约后进行审批、查看、数据导出</w:t>
            </w:r>
            <w:r>
              <w:rPr>
                <w:rFonts w:hint="eastAsia" w:cs="宋体"/>
                <w:color w:val="000000"/>
                <w:kern w:val="0"/>
                <w:sz w:val="22"/>
                <w:szCs w:val="22"/>
              </w:rPr>
              <w:br w:type="textWrapping"/>
            </w:r>
            <w:r>
              <w:rPr>
                <w:rFonts w:hint="eastAsia" w:cs="宋体"/>
                <w:color w:val="000000"/>
                <w:kern w:val="0"/>
                <w:sz w:val="22"/>
                <w:szCs w:val="22"/>
              </w:rPr>
              <w:t>（2）流程管控：罪犯信息录入罪犯黑名单，该罪犯就不能预约可视通话</w:t>
            </w:r>
          </w:p>
        </w:tc>
      </w:tr>
      <w:tr w14:paraId="78BF8995">
        <w:tblPrEx>
          <w:tblCellMar>
            <w:top w:w="0" w:type="dxa"/>
            <w:left w:w="108" w:type="dxa"/>
            <w:bottom w:w="0" w:type="dxa"/>
            <w:right w:w="108" w:type="dxa"/>
          </w:tblCellMar>
        </w:tblPrEx>
        <w:trPr>
          <w:trHeight w:val="626"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99611">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20</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A92F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上海市监狱局罪犯会见通讯系统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AA1A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可视通话子系统-可视通话管理-数据查看</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D8B6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支持通话记录管理查看，罪犯和亲属之间的通话记录，监区筛选，单个字段名字筛选功能，数据导出功能</w:t>
            </w:r>
            <w:r>
              <w:rPr>
                <w:rFonts w:hint="eastAsia" w:cs="宋体"/>
                <w:color w:val="000000"/>
                <w:kern w:val="0"/>
                <w:sz w:val="22"/>
                <w:szCs w:val="22"/>
              </w:rPr>
              <w:br w:type="textWrapping"/>
            </w:r>
            <w:r>
              <w:rPr>
                <w:rFonts w:hint="eastAsia" w:cs="宋体"/>
                <w:color w:val="000000"/>
                <w:kern w:val="0"/>
                <w:sz w:val="22"/>
                <w:szCs w:val="22"/>
              </w:rPr>
              <w:t>查询，重置功能操作，记录亲属在通话过程中，进行了截屏操作</w:t>
            </w:r>
            <w:r>
              <w:rPr>
                <w:rFonts w:hint="eastAsia" w:cs="宋体"/>
                <w:color w:val="000000"/>
                <w:kern w:val="0"/>
                <w:sz w:val="22"/>
                <w:szCs w:val="22"/>
              </w:rPr>
              <w:br w:type="textWrapping"/>
            </w:r>
            <w:r>
              <w:rPr>
                <w:rFonts w:hint="eastAsia" w:cs="宋体"/>
                <w:color w:val="000000"/>
                <w:kern w:val="0"/>
                <w:sz w:val="22"/>
                <w:szCs w:val="22"/>
              </w:rPr>
              <w:t>显示罪犯，亲属，会见时间的具体信息，复听监听服刑人和亲属之间的通话，并进行评价，监区筛选，单个字段名字筛选功能</w:t>
            </w:r>
            <w:r>
              <w:rPr>
                <w:rFonts w:hint="eastAsia" w:cs="宋体"/>
                <w:color w:val="000000"/>
                <w:kern w:val="0"/>
                <w:sz w:val="22"/>
                <w:szCs w:val="22"/>
              </w:rPr>
              <w:br w:type="textWrapping"/>
            </w:r>
            <w:r>
              <w:rPr>
                <w:rFonts w:hint="eastAsia" w:cs="宋体"/>
                <w:color w:val="000000"/>
                <w:kern w:val="0"/>
                <w:sz w:val="22"/>
                <w:szCs w:val="22"/>
              </w:rPr>
              <w:t>罪犯拨打可视通话次数记录，包括额外次数和特殊通话日次数</w:t>
            </w:r>
          </w:p>
        </w:tc>
      </w:tr>
      <w:tr w14:paraId="3A79B828">
        <w:tblPrEx>
          <w:tblCellMar>
            <w:top w:w="0" w:type="dxa"/>
            <w:left w:w="108" w:type="dxa"/>
            <w:bottom w:w="0" w:type="dxa"/>
            <w:right w:w="108" w:type="dxa"/>
          </w:tblCellMar>
        </w:tblPrEx>
        <w:trPr>
          <w:trHeight w:val="54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7660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21</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B0FD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上海市监狱局罪犯会见通讯系统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4ED9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可视通话子系统-可视通话管理-统计报表</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6C86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可视通话次数统计，日期筛选功能</w:t>
            </w:r>
          </w:p>
        </w:tc>
      </w:tr>
      <w:tr w14:paraId="7A405E85">
        <w:tblPrEx>
          <w:tblCellMar>
            <w:top w:w="0" w:type="dxa"/>
            <w:left w:w="108" w:type="dxa"/>
            <w:bottom w:w="0" w:type="dxa"/>
            <w:right w:w="108" w:type="dxa"/>
          </w:tblCellMar>
        </w:tblPrEx>
        <w:trPr>
          <w:trHeight w:val="10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9EFB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22</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5F29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上海市监狱局罪犯会见通讯系统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139F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可视通话子系统-可视通话管理-会场管理</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73AC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可视化预约会场：支持根据当天的可视通话预约情况，统一安排可视通话会场，实时在线查看各会场占用状态</w:t>
            </w:r>
            <w:r>
              <w:rPr>
                <w:rFonts w:hint="eastAsia" w:cs="宋体"/>
                <w:color w:val="000000"/>
                <w:kern w:val="0"/>
                <w:sz w:val="22"/>
                <w:szCs w:val="22"/>
              </w:rPr>
              <w:br w:type="textWrapping"/>
            </w:r>
            <w:r>
              <w:rPr>
                <w:rFonts w:hint="eastAsia" w:cs="宋体"/>
                <w:color w:val="000000"/>
                <w:kern w:val="0"/>
                <w:sz w:val="22"/>
                <w:szCs w:val="22"/>
              </w:rPr>
              <w:t>会场资源动态分配：可视通话结束后，自动释放会场资源，提升资源利用效率</w:t>
            </w:r>
            <w:r>
              <w:rPr>
                <w:rFonts w:hint="eastAsia" w:cs="宋体"/>
                <w:color w:val="000000"/>
                <w:kern w:val="0"/>
                <w:sz w:val="22"/>
                <w:szCs w:val="22"/>
              </w:rPr>
              <w:br w:type="textWrapping"/>
            </w:r>
            <w:r>
              <w:rPr>
                <w:rFonts w:hint="eastAsia" w:cs="宋体"/>
                <w:color w:val="000000"/>
                <w:kern w:val="0"/>
                <w:sz w:val="22"/>
                <w:szCs w:val="22"/>
              </w:rPr>
              <w:t>预约会场手动调整：支持根据实际情况，手动调整会场的预约时间</w:t>
            </w:r>
          </w:p>
        </w:tc>
      </w:tr>
      <w:tr w14:paraId="35C20860">
        <w:tblPrEx>
          <w:tblCellMar>
            <w:top w:w="0" w:type="dxa"/>
            <w:left w:w="108" w:type="dxa"/>
            <w:bottom w:w="0" w:type="dxa"/>
            <w:right w:w="108" w:type="dxa"/>
          </w:tblCellMar>
        </w:tblPrEx>
        <w:trPr>
          <w:trHeight w:val="54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E337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23</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6517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上海市监狱局罪犯会见通讯系统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0DAB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可视通话子系统-可视通话管理-录像管理</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D77F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通过视频平台实现对可视通话的通话录像进行管理，实时获取全程通话音视频文件，并进行音频视频切割分离，对视频文件进行转存处理</w:t>
            </w:r>
          </w:p>
        </w:tc>
      </w:tr>
      <w:tr w14:paraId="5315CE14">
        <w:tblPrEx>
          <w:tblCellMar>
            <w:top w:w="0" w:type="dxa"/>
            <w:left w:w="108" w:type="dxa"/>
            <w:bottom w:w="0" w:type="dxa"/>
            <w:right w:w="108" w:type="dxa"/>
          </w:tblCellMar>
        </w:tblPrEx>
        <w:trPr>
          <w:trHeight w:val="54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450E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24</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BDC62">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上海市监狱局罪犯会见通讯系统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4CD9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可视通话子系统-可视通话管理-录音管理</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CE5E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通过视频平台实现对可视通话的通话录音进行管理，实时获取全程通话音视频文件，并进行音频视频切割分离，对录音文件进行转存处理，可根据需要和空间进行存储时长设定</w:t>
            </w:r>
          </w:p>
        </w:tc>
      </w:tr>
      <w:tr w14:paraId="3FF7C2EB">
        <w:tblPrEx>
          <w:tblCellMar>
            <w:top w:w="0" w:type="dxa"/>
            <w:left w:w="108" w:type="dxa"/>
            <w:bottom w:w="0" w:type="dxa"/>
            <w:right w:w="108" w:type="dxa"/>
          </w:tblCellMar>
        </w:tblPrEx>
        <w:trPr>
          <w:trHeight w:val="10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CF48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25</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960F1">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上海市监狱局罪犯会见通讯系统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B689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可视通话子系统-音视频引擎对接-服务端API对接</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B795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对接服务端API，通过服务端API基于云平台能力提供会议室管理、录制、直播、会议控制、会议统计等一系列以音视频业务为基础的后台服务,并结合服务端 API 完成特定的应用场景的开发。对接内容包含可视通话过程的音视频处理；音视频通讯网络优化、多路并发时的流处理；可视通话信令控制、罪犯与家属会话房间建立与状态管理；音视频通话的质量监控、音画同步控制管理等。</w:t>
            </w:r>
          </w:p>
        </w:tc>
      </w:tr>
      <w:tr w14:paraId="5BBFF752">
        <w:tblPrEx>
          <w:tblCellMar>
            <w:top w:w="0" w:type="dxa"/>
            <w:left w:w="108" w:type="dxa"/>
            <w:bottom w:w="0" w:type="dxa"/>
            <w:right w:w="108" w:type="dxa"/>
          </w:tblCellMar>
        </w:tblPrEx>
        <w:trPr>
          <w:trHeight w:val="1015"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FC471">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26</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35CB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上海市监狱局罪犯会见通讯系统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B3B8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可视通话子系统-音视频引擎对接-终端SDK对接</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74A2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对接终端 SDK，通过微信小程序、web网页使用平台提供的音视频服务。除音视频通话、内容共享、设备管理等基础功能外，还可对接白板、标注、音视频质量检测等高级功能，可服务于更广泛的音视频业务场景，并结合终端SDK 完成特定的应用场景的开发。对接内容包含可视通话过程的音视频采集处理、视频编码、硬件渲染；音视频通讯网络优化、多路并发时的流处理；可视通话信令控制、罪犯与家属会话房间建立与状态管理；音视频通话的质量监控、音画同步控制管理等。</w:t>
            </w:r>
          </w:p>
        </w:tc>
      </w:tr>
      <w:tr w14:paraId="6E63C6F6">
        <w:tblPrEx>
          <w:tblCellMar>
            <w:top w:w="0" w:type="dxa"/>
            <w:left w:w="108" w:type="dxa"/>
            <w:bottom w:w="0" w:type="dxa"/>
            <w:right w:w="108" w:type="dxa"/>
          </w:tblCellMar>
        </w:tblPrEx>
        <w:trPr>
          <w:trHeight w:val="405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043D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27</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65441">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上海市监狱局罪犯会见通讯系统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B0152">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现场会见系统对接-数据查看</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AF489">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（1）会见登记记录查询：支持家属会见登记记录查询，展示登记会见的记录，可进行查询、删除、导出、打印登记信息操作</w:t>
            </w:r>
            <w:r>
              <w:rPr>
                <w:rFonts w:hint="eastAsia" w:cs="宋体"/>
                <w:color w:val="000000"/>
                <w:kern w:val="0"/>
                <w:sz w:val="22"/>
                <w:szCs w:val="22"/>
              </w:rPr>
              <w:br w:type="textWrapping"/>
            </w:r>
            <w:r>
              <w:rPr>
                <w:rFonts w:hint="eastAsia" w:cs="宋体"/>
                <w:color w:val="000000"/>
                <w:kern w:val="0"/>
                <w:sz w:val="22"/>
                <w:szCs w:val="22"/>
              </w:rPr>
              <w:t>（2）审批记录查询：支持家属审批会见记录查询，展示需审批的会见记录，可进行查询、导出、详情操作</w:t>
            </w:r>
            <w:r>
              <w:rPr>
                <w:rFonts w:hint="eastAsia" w:cs="宋体"/>
                <w:color w:val="000000"/>
                <w:kern w:val="0"/>
                <w:sz w:val="22"/>
                <w:szCs w:val="22"/>
              </w:rPr>
              <w:br w:type="textWrapping"/>
            </w:r>
            <w:r>
              <w:rPr>
                <w:rFonts w:hint="eastAsia" w:cs="宋体"/>
                <w:color w:val="000000"/>
                <w:kern w:val="0"/>
                <w:sz w:val="22"/>
                <w:szCs w:val="22"/>
              </w:rPr>
              <w:t>（3）会见记录查询：支持家属会见记录查询，展示已会见的记录，可进行查询、导出、详情操作</w:t>
            </w:r>
            <w:r>
              <w:rPr>
                <w:rFonts w:hint="eastAsia" w:cs="宋体"/>
                <w:color w:val="000000"/>
                <w:kern w:val="0"/>
                <w:sz w:val="22"/>
                <w:szCs w:val="22"/>
              </w:rPr>
              <w:br w:type="textWrapping"/>
            </w:r>
            <w:r>
              <w:rPr>
                <w:rFonts w:hint="eastAsia" w:cs="宋体"/>
                <w:color w:val="000000"/>
                <w:kern w:val="0"/>
                <w:sz w:val="22"/>
                <w:szCs w:val="22"/>
              </w:rPr>
              <w:t>（4）监听记录查询：支持家属会见监听记录查询，展示会见时进行监听评价的记录，可进行查询和导出、详情操作</w:t>
            </w:r>
            <w:r>
              <w:rPr>
                <w:rFonts w:hint="eastAsia" w:cs="宋体"/>
                <w:color w:val="000000"/>
                <w:kern w:val="0"/>
                <w:sz w:val="22"/>
                <w:szCs w:val="22"/>
              </w:rPr>
              <w:br w:type="textWrapping"/>
            </w:r>
            <w:r>
              <w:rPr>
                <w:rFonts w:hint="eastAsia" w:cs="宋体"/>
                <w:color w:val="000000"/>
                <w:kern w:val="0"/>
                <w:sz w:val="22"/>
                <w:szCs w:val="22"/>
              </w:rPr>
              <w:t>（5）复听记录查询：支持家属会见复听记录查询，各类条件查询录音，支持录音文件下载，导出，播放时可快进、暂停，可填写谈话摘要，标注是否有异常；也支持视频回放；系统支持离线录音转写，复听时支持录音播放及语音转文字内容关联展示</w:t>
            </w:r>
            <w:r>
              <w:rPr>
                <w:rFonts w:hint="eastAsia" w:cs="宋体"/>
                <w:color w:val="000000"/>
                <w:kern w:val="0"/>
                <w:sz w:val="22"/>
                <w:szCs w:val="22"/>
              </w:rPr>
              <w:br w:type="textWrapping"/>
            </w:r>
            <w:r>
              <w:rPr>
                <w:rFonts w:hint="eastAsia" w:cs="宋体"/>
                <w:color w:val="000000"/>
                <w:kern w:val="0"/>
                <w:sz w:val="22"/>
                <w:szCs w:val="22"/>
              </w:rPr>
              <w:t>（6）录音记录查询：支持家属录音记录查询，汇总干警复听工作情况，支持查询、导表和复听详情查看</w:t>
            </w:r>
            <w:r>
              <w:rPr>
                <w:rFonts w:hint="eastAsia" w:cs="宋体"/>
                <w:color w:val="000000"/>
                <w:kern w:val="0"/>
                <w:sz w:val="22"/>
                <w:szCs w:val="22"/>
              </w:rPr>
              <w:br w:type="textWrapping"/>
            </w:r>
            <w:r>
              <w:rPr>
                <w:rFonts w:hint="eastAsia" w:cs="宋体"/>
                <w:color w:val="000000"/>
                <w:kern w:val="0"/>
                <w:sz w:val="22"/>
                <w:szCs w:val="22"/>
              </w:rPr>
              <w:t>（7）家属记录查询：支持来监家属记录查询与统计</w:t>
            </w:r>
            <w:r>
              <w:rPr>
                <w:rFonts w:hint="eastAsia" w:cs="宋体"/>
                <w:color w:val="000000"/>
                <w:kern w:val="0"/>
                <w:sz w:val="22"/>
                <w:szCs w:val="22"/>
              </w:rPr>
              <w:br w:type="textWrapping"/>
            </w:r>
            <w:r>
              <w:rPr>
                <w:rFonts w:hint="eastAsia" w:cs="宋体"/>
                <w:color w:val="000000"/>
                <w:kern w:val="0"/>
                <w:sz w:val="22"/>
                <w:szCs w:val="22"/>
              </w:rPr>
              <w:t>（8）带犯记录查询：支持民警带犯记录查询与导出</w:t>
            </w:r>
            <w:r>
              <w:rPr>
                <w:rFonts w:hint="eastAsia" w:cs="宋体"/>
                <w:color w:val="000000"/>
                <w:kern w:val="0"/>
                <w:sz w:val="22"/>
                <w:szCs w:val="22"/>
              </w:rPr>
              <w:br w:type="textWrapping"/>
            </w:r>
            <w:r>
              <w:rPr>
                <w:rFonts w:hint="eastAsia" w:cs="宋体"/>
                <w:color w:val="000000"/>
                <w:kern w:val="0"/>
                <w:sz w:val="22"/>
                <w:szCs w:val="22"/>
              </w:rPr>
              <w:t>（9）预约记录查询：支持会见预约记录查询，展示会见预约的记录，可进行查询、详情操作</w:t>
            </w:r>
            <w:r>
              <w:rPr>
                <w:rFonts w:hint="eastAsia" w:cs="宋体"/>
                <w:color w:val="000000"/>
                <w:kern w:val="0"/>
                <w:sz w:val="22"/>
                <w:szCs w:val="22"/>
              </w:rPr>
              <w:br w:type="textWrapping"/>
            </w:r>
            <w:r>
              <w:rPr>
                <w:rFonts w:hint="eastAsia" w:cs="宋体"/>
                <w:color w:val="000000"/>
                <w:kern w:val="0"/>
                <w:sz w:val="22"/>
                <w:szCs w:val="22"/>
              </w:rPr>
              <w:t>（10）评价记录查询：支持统计家属评价记录查询，展示家属对窗口业务的评价信息</w:t>
            </w:r>
          </w:p>
        </w:tc>
      </w:tr>
      <w:tr w14:paraId="798D3BB4">
        <w:tblPrEx>
          <w:tblCellMar>
            <w:top w:w="0" w:type="dxa"/>
            <w:left w:w="108" w:type="dxa"/>
            <w:bottom w:w="0" w:type="dxa"/>
            <w:right w:w="108" w:type="dxa"/>
          </w:tblCellMar>
        </w:tblPrEx>
        <w:trPr>
          <w:trHeight w:val="216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E40D9">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28</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E3ED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上海市监狱局罪犯会见通讯系统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5D32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现场会见系统对接-统计报表</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0B26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1）会见数据统计：支持会见情况统计，可根据时间维度统计会见罪犯、来监家属、来监提审人员数据；根据时间维度统计会见罪犯的处遇级别分类及重点关注罪犯统计；根据时间维度统计宽见、普见、视频会见各类型次数分布；根据时间维度统计各监区、人员的会见的汇总数据与明细数据</w:t>
            </w:r>
            <w:r>
              <w:rPr>
                <w:rFonts w:hint="eastAsia" w:cs="宋体"/>
                <w:color w:val="000000"/>
                <w:kern w:val="0"/>
                <w:sz w:val="22"/>
                <w:szCs w:val="22"/>
              </w:rPr>
              <w:br w:type="textWrapping"/>
            </w:r>
            <w:r>
              <w:rPr>
                <w:rFonts w:hint="eastAsia" w:cs="宋体"/>
                <w:color w:val="000000"/>
                <w:kern w:val="0"/>
                <w:sz w:val="22"/>
                <w:szCs w:val="22"/>
              </w:rPr>
              <w:t>（2）未会见数据统计：支持长期未会见统计，可根据时间与单位部门维度统计各下属部门层级的长期未会见人数与未会见人数占比比例与监区总人数</w:t>
            </w:r>
            <w:r>
              <w:rPr>
                <w:rFonts w:hint="eastAsia" w:cs="宋体"/>
                <w:color w:val="000000"/>
                <w:kern w:val="0"/>
                <w:sz w:val="22"/>
                <w:szCs w:val="22"/>
              </w:rPr>
              <w:br w:type="textWrapping"/>
            </w:r>
            <w:r>
              <w:rPr>
                <w:rFonts w:hint="eastAsia" w:cs="宋体"/>
                <w:color w:val="000000"/>
                <w:kern w:val="0"/>
                <w:sz w:val="22"/>
                <w:szCs w:val="22"/>
              </w:rPr>
              <w:t>（3）复听数据统计：支持复听情况统计，可根据时间与单位部门维度以及会见类型统计会见总记录数、待复听记录数、已复听记录数、超时未复听记录数；根据时间维度统计复听率及复听异常率；根据时间维度统计各监区、人员的复听与未复听以及复听率复听异常率汇总数据与明细数据</w:t>
            </w:r>
          </w:p>
        </w:tc>
      </w:tr>
      <w:tr w14:paraId="56414BBA">
        <w:tblPrEx>
          <w:tblCellMar>
            <w:top w:w="0" w:type="dxa"/>
            <w:left w:w="108" w:type="dxa"/>
            <w:bottom w:w="0" w:type="dxa"/>
            <w:right w:w="108" w:type="dxa"/>
          </w:tblCellMar>
        </w:tblPrEx>
        <w:trPr>
          <w:trHeight w:val="81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A94C2">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29</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76D0E">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上海市监狱局罪犯会见通讯系统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3484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现场会见系统对接-监狱会见系统对接</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9E91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（1）数据采集：对接15家监狱现有会见系统，实现各类业务的数据记录的采集上传汇总</w:t>
            </w:r>
            <w:r>
              <w:rPr>
                <w:rFonts w:hint="eastAsia" w:cs="宋体"/>
                <w:color w:val="000000"/>
                <w:kern w:val="0"/>
                <w:sz w:val="22"/>
                <w:szCs w:val="22"/>
              </w:rPr>
              <w:br w:type="textWrapping"/>
            </w:r>
            <w:r>
              <w:rPr>
                <w:rFonts w:hint="eastAsia" w:cs="宋体"/>
                <w:color w:val="000000"/>
                <w:kern w:val="0"/>
                <w:sz w:val="22"/>
                <w:szCs w:val="22"/>
              </w:rPr>
              <w:t>（2）预约业务数据推送：将便民服务子系统内的家属网上预约信息推送至15家监狱会见系统，支持数据同步机制配置</w:t>
            </w:r>
          </w:p>
        </w:tc>
      </w:tr>
      <w:tr w14:paraId="64F7B83D">
        <w:tblPrEx>
          <w:tblCellMar>
            <w:top w:w="0" w:type="dxa"/>
            <w:left w:w="108" w:type="dxa"/>
            <w:bottom w:w="0" w:type="dxa"/>
            <w:right w:w="108" w:type="dxa"/>
          </w:tblCellMar>
        </w:tblPrEx>
        <w:trPr>
          <w:trHeight w:val="243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FC280">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30</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561E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上海市监狱局罪犯会见通讯系统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D8712">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亲情电话系统对接-数据查询</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728B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（1）通话记录：支持通话记录查看，可查看到人员拨打的开始时间及结束时间，以及通话授权人和授权时间，支持民警对通话记录进行复听，并支持对通话记录进行导出到excel</w:t>
            </w:r>
            <w:r>
              <w:rPr>
                <w:rFonts w:hint="eastAsia" w:cs="宋体"/>
                <w:color w:val="000000"/>
                <w:kern w:val="0"/>
                <w:sz w:val="22"/>
                <w:szCs w:val="22"/>
              </w:rPr>
              <w:br w:type="textWrapping"/>
            </w:r>
            <w:r>
              <w:rPr>
                <w:rFonts w:hint="eastAsia" w:cs="宋体"/>
                <w:color w:val="000000"/>
                <w:kern w:val="0"/>
                <w:sz w:val="22"/>
                <w:szCs w:val="22"/>
              </w:rPr>
              <w:t>（2）复听记录查询：支持复听记录查看，可按时间、人员、处遇等维度进行筛选，可现实通话人及复听人和复听评估，记录支持导出到excel</w:t>
            </w:r>
            <w:r>
              <w:rPr>
                <w:rFonts w:hint="eastAsia" w:cs="宋体"/>
                <w:color w:val="000000"/>
                <w:kern w:val="0"/>
                <w:sz w:val="22"/>
                <w:szCs w:val="22"/>
              </w:rPr>
              <w:br w:type="textWrapping"/>
            </w:r>
            <w:r>
              <w:rPr>
                <w:rFonts w:hint="eastAsia" w:cs="宋体"/>
                <w:color w:val="000000"/>
                <w:kern w:val="0"/>
                <w:sz w:val="22"/>
                <w:szCs w:val="22"/>
              </w:rPr>
              <w:t>（3）通话次数查看：支持通话次数查询，可根据人员、监区、罪名、处遇等条件进行检索，显示人员的通话总次数及剩余通话次数</w:t>
            </w:r>
            <w:r>
              <w:rPr>
                <w:rFonts w:hint="eastAsia" w:cs="宋体"/>
                <w:color w:val="000000"/>
                <w:kern w:val="0"/>
                <w:sz w:val="22"/>
                <w:szCs w:val="22"/>
              </w:rPr>
              <w:br w:type="textWrapping"/>
            </w:r>
            <w:r>
              <w:rPr>
                <w:rFonts w:hint="eastAsia" w:cs="宋体"/>
                <w:color w:val="000000"/>
                <w:kern w:val="0"/>
                <w:sz w:val="22"/>
                <w:szCs w:val="22"/>
              </w:rPr>
              <w:t>（4）话单数据查询：支持话单数据查询，可根据人员、监区、时间等维度查询话单数据，显示通话人、通话家属及关系、通话时间及所产生的话费。并且支持话单与人员账务系统进行对接，实现亲情电话自动计费结算</w:t>
            </w:r>
          </w:p>
        </w:tc>
      </w:tr>
      <w:tr w14:paraId="422E9E05">
        <w:tblPrEx>
          <w:tblCellMar>
            <w:top w:w="0" w:type="dxa"/>
            <w:left w:w="108" w:type="dxa"/>
            <w:bottom w:w="0" w:type="dxa"/>
            <w:right w:w="108" w:type="dxa"/>
          </w:tblCellMar>
        </w:tblPrEx>
        <w:trPr>
          <w:trHeight w:val="27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639A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31</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07B09">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上海市监狱局罪犯会见通讯系统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B41E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亲情电话系统对接-统计报表</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ECD0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1）通话统计：具有通话情况统计功能，根据时间周期及单位监区统计总拨打次数、拨打人数、正常及未接通通话次数、额外通话人数，人员通话TOP5、周期内少于指定次数的拨打人数，并按监区和人员显示详细的表格数据</w:t>
            </w:r>
            <w:r>
              <w:rPr>
                <w:rFonts w:hint="eastAsia" w:cs="宋体"/>
                <w:color w:val="000000"/>
                <w:kern w:val="0"/>
                <w:sz w:val="22"/>
                <w:szCs w:val="22"/>
              </w:rPr>
              <w:br w:type="textWrapping"/>
            </w:r>
            <w:r>
              <w:rPr>
                <w:rFonts w:hint="eastAsia" w:cs="宋体"/>
                <w:color w:val="000000"/>
                <w:kern w:val="0"/>
                <w:sz w:val="22"/>
                <w:szCs w:val="22"/>
              </w:rPr>
              <w:t>（2）通话时长统计：具有通话时长统计功能，根据时间周期及单位监区统计通话总时长、市内通话时长、市外通话时长、国际长途通话时长，并显示通话时长趋势图表及按单位显示详细的表格数据</w:t>
            </w:r>
            <w:r>
              <w:rPr>
                <w:rFonts w:hint="eastAsia" w:cs="宋体"/>
                <w:color w:val="000000"/>
                <w:kern w:val="0"/>
                <w:sz w:val="22"/>
                <w:szCs w:val="22"/>
              </w:rPr>
              <w:br w:type="textWrapping"/>
            </w:r>
            <w:r>
              <w:rPr>
                <w:rFonts w:hint="eastAsia" w:cs="宋体"/>
                <w:color w:val="000000"/>
                <w:kern w:val="0"/>
                <w:sz w:val="22"/>
                <w:szCs w:val="22"/>
              </w:rPr>
              <w:t>（3）号码统计：具有单号码绑多人统计功能，根据单位监区统计单个号码绑定多名人员的数据统计，显示重复号码出现的总次数、号码所涉及人员及家属人数。同时展示通话的明细表格数据</w:t>
            </w:r>
            <w:r>
              <w:rPr>
                <w:rFonts w:hint="eastAsia" w:cs="宋体"/>
                <w:color w:val="000000"/>
                <w:kern w:val="0"/>
                <w:sz w:val="22"/>
                <w:szCs w:val="22"/>
              </w:rPr>
              <w:br w:type="textWrapping"/>
            </w:r>
            <w:r>
              <w:rPr>
                <w:rFonts w:hint="eastAsia" w:cs="宋体"/>
                <w:color w:val="000000"/>
                <w:kern w:val="0"/>
                <w:sz w:val="22"/>
                <w:szCs w:val="22"/>
              </w:rPr>
              <w:t>（4）未通话统计：具有长期未通话统计，根据时间及单位监区维度统计未通话情况，按照监狱及监区区分各单元的总人数及长期未通话人数与未通话人数占比，同时按部门和人员显示明细通话数据与距离上次通话的间隔天数</w:t>
            </w:r>
          </w:p>
        </w:tc>
      </w:tr>
      <w:tr w14:paraId="1770F3DE">
        <w:tblPrEx>
          <w:tblCellMar>
            <w:top w:w="0" w:type="dxa"/>
            <w:left w:w="108" w:type="dxa"/>
            <w:bottom w:w="0" w:type="dxa"/>
            <w:right w:w="108" w:type="dxa"/>
          </w:tblCellMar>
        </w:tblPrEx>
        <w:trPr>
          <w:trHeight w:val="81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4F7F7">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32</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D440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上海市监狱局罪犯会见通讯系统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E839E">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亲情电话系统对接-监狱亲情电话系统对接-数据采集</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17B1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对接15家监狱现有亲情电话系统，实现各类亲情电话业务的数据记录的采集上传汇总。</w:t>
            </w:r>
          </w:p>
        </w:tc>
      </w:tr>
      <w:tr w14:paraId="7CCAF908">
        <w:tblPrEx>
          <w:tblCellMar>
            <w:top w:w="0" w:type="dxa"/>
            <w:left w:w="108" w:type="dxa"/>
            <w:bottom w:w="0" w:type="dxa"/>
            <w:right w:w="108" w:type="dxa"/>
          </w:tblCellMar>
        </w:tblPrEx>
        <w:trPr>
          <w:trHeight w:val="189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6D5C1">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33</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BA39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上海市监狱局罪犯会见通讯系统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C1C4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信件登记子系统-家属信件登记</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8269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（1）家属信件登记：过扫描仪、高拍仪、手机等设备对家属邮寄的纸质信件进行扫描登记，生成电子文件，民警对信件内容进行评估确认，审核通过后形成系统记录</w:t>
            </w:r>
            <w:r>
              <w:rPr>
                <w:rFonts w:hint="eastAsia" w:cs="宋体"/>
                <w:color w:val="000000"/>
                <w:kern w:val="0"/>
                <w:sz w:val="22"/>
                <w:szCs w:val="22"/>
              </w:rPr>
              <w:br w:type="textWrapping"/>
            </w:r>
            <w:r>
              <w:rPr>
                <w:rFonts w:hint="eastAsia" w:cs="宋体"/>
                <w:color w:val="000000"/>
                <w:kern w:val="0"/>
                <w:sz w:val="22"/>
                <w:szCs w:val="22"/>
              </w:rPr>
              <w:t>（2）家属书信审核：对家属的书信进行内容确认与审核，根据审核结果进行后续流程</w:t>
            </w:r>
            <w:r>
              <w:rPr>
                <w:rFonts w:hint="eastAsia" w:cs="宋体"/>
                <w:color w:val="000000"/>
                <w:kern w:val="0"/>
                <w:sz w:val="22"/>
                <w:szCs w:val="22"/>
              </w:rPr>
              <w:br w:type="textWrapping"/>
            </w:r>
            <w:r>
              <w:rPr>
                <w:rFonts w:hint="eastAsia" w:cs="宋体"/>
                <w:color w:val="000000"/>
                <w:kern w:val="0"/>
                <w:sz w:val="22"/>
                <w:szCs w:val="22"/>
              </w:rPr>
              <w:t>（3）罪犯书信扫描：通过扫描仪、高拍仪、手机等设备对罪犯手写信件进行扫描上传，对信件进行重命名（需绑定罪犯编号已便于批量发送到家属信箱）扫描完成</w:t>
            </w:r>
            <w:r>
              <w:rPr>
                <w:rFonts w:hint="eastAsia" w:cs="宋体"/>
                <w:color w:val="000000"/>
                <w:kern w:val="0"/>
                <w:sz w:val="22"/>
                <w:szCs w:val="22"/>
              </w:rPr>
              <w:br w:type="textWrapping"/>
            </w:r>
            <w:r>
              <w:rPr>
                <w:rFonts w:hint="eastAsia" w:cs="宋体"/>
                <w:color w:val="000000"/>
                <w:kern w:val="0"/>
                <w:sz w:val="22"/>
                <w:szCs w:val="22"/>
              </w:rPr>
              <w:t>（4）罪犯书信审核：对罪犯手写的书信进行转文字及敏感词识别，并针对结果进行审核</w:t>
            </w:r>
            <w:r>
              <w:rPr>
                <w:rFonts w:hint="eastAsia" w:cs="宋体"/>
                <w:color w:val="000000"/>
                <w:kern w:val="0"/>
                <w:sz w:val="22"/>
                <w:szCs w:val="22"/>
              </w:rPr>
              <w:br w:type="textWrapping"/>
            </w:r>
            <w:r>
              <w:rPr>
                <w:rFonts w:hint="eastAsia" w:cs="宋体"/>
                <w:color w:val="000000"/>
                <w:kern w:val="0"/>
                <w:sz w:val="22"/>
                <w:szCs w:val="22"/>
              </w:rPr>
              <w:t>（5）数据统计：对家属和罪犯的书信记录进行数据汇总与统计，以图表形式进行多维展示</w:t>
            </w:r>
          </w:p>
        </w:tc>
      </w:tr>
      <w:tr w14:paraId="08B587AB">
        <w:tblPrEx>
          <w:tblCellMar>
            <w:top w:w="0" w:type="dxa"/>
            <w:left w:w="108" w:type="dxa"/>
            <w:bottom w:w="0" w:type="dxa"/>
            <w:right w:w="108" w:type="dxa"/>
          </w:tblCellMar>
        </w:tblPrEx>
        <w:trPr>
          <w:trHeight w:val="54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317A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34</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6F5D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上海市监狱局罪犯会见通讯系统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70CC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辅助监管子系统-语音监管服务-复听转写</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828F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提供会见（通话）的转写服务。创建语音转写的任务调度机制，配置多级任务队列，完成不同转写需求</w:t>
            </w:r>
            <w:r>
              <w:rPr>
                <w:rFonts w:hint="eastAsia" w:cs="宋体"/>
                <w:color w:val="000000"/>
                <w:kern w:val="0"/>
                <w:sz w:val="22"/>
                <w:szCs w:val="22"/>
              </w:rPr>
              <w:br w:type="textWrapping"/>
            </w:r>
            <w:r>
              <w:rPr>
                <w:rFonts w:hint="eastAsia" w:cs="宋体"/>
                <w:color w:val="000000"/>
                <w:kern w:val="0"/>
                <w:sz w:val="22"/>
                <w:szCs w:val="22"/>
              </w:rPr>
              <w:t>对会见（通话）进行监测，当对话中出现敏感词时在转写内容中进行红色标记并进行预警提醒</w:t>
            </w:r>
          </w:p>
        </w:tc>
      </w:tr>
      <w:tr w14:paraId="7F37936B">
        <w:tblPrEx>
          <w:tblCellMar>
            <w:top w:w="0" w:type="dxa"/>
            <w:left w:w="108" w:type="dxa"/>
            <w:bottom w:w="0" w:type="dxa"/>
            <w:right w:w="108" w:type="dxa"/>
          </w:tblCellMar>
        </w:tblPrEx>
        <w:trPr>
          <w:trHeight w:val="10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43940">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35</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ED99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上海市监狱局罪犯会见通讯系统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4841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辅助监管子系统-语音监管服务-智能复听</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A0B8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提供会见（通话）记录列表功能展示会见（通话）人、会见（通话）家属、开始及结束等业务字段，支持多条件检索</w:t>
            </w:r>
            <w:r>
              <w:rPr>
                <w:rFonts w:hint="eastAsia" w:cs="宋体"/>
                <w:color w:val="000000"/>
                <w:kern w:val="0"/>
                <w:sz w:val="22"/>
                <w:szCs w:val="22"/>
              </w:rPr>
              <w:br w:type="textWrapping"/>
            </w:r>
            <w:r>
              <w:rPr>
                <w:rFonts w:hint="eastAsia" w:cs="宋体"/>
                <w:color w:val="000000"/>
                <w:kern w:val="0"/>
                <w:sz w:val="22"/>
                <w:szCs w:val="22"/>
              </w:rPr>
              <w:t>提供复听功能入口，点击后进入复听详情，详情展示录音文件、录音转写内容、敏感词及会见家属等详细信息</w:t>
            </w:r>
          </w:p>
        </w:tc>
      </w:tr>
      <w:tr w14:paraId="5FDF0FBB">
        <w:tblPrEx>
          <w:tblCellMar>
            <w:top w:w="0" w:type="dxa"/>
            <w:left w:w="108" w:type="dxa"/>
            <w:bottom w:w="0" w:type="dxa"/>
            <w:right w:w="108" w:type="dxa"/>
          </w:tblCellMar>
        </w:tblPrEx>
        <w:trPr>
          <w:trHeight w:val="81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B01C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36</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9C2B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上海市监狱局罪犯会见通讯系统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0014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辅助监管子系统-语音监管服务-通话记录标记</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1A65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当会见（通话）录音中经过语音语义分析后存在敏感信息时，系统自动将内容归档至需关注会见（通话）记录</w:t>
            </w:r>
          </w:p>
        </w:tc>
      </w:tr>
      <w:tr w14:paraId="05BF04CD">
        <w:tblPrEx>
          <w:tblCellMar>
            <w:top w:w="0" w:type="dxa"/>
            <w:left w:w="108" w:type="dxa"/>
            <w:bottom w:w="0" w:type="dxa"/>
            <w:right w:w="108" w:type="dxa"/>
          </w:tblCellMar>
        </w:tblPrEx>
        <w:trPr>
          <w:trHeight w:val="54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D4E2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37</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D54B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上海市监狱局罪犯会见通讯系统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C2450">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辅助监管子系统-语音监管服务-敏感词统计</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6608B">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提供按时间、人员、敏感词、监区单位维度进行敏感词统计</w:t>
            </w:r>
            <w:r>
              <w:rPr>
                <w:rFonts w:hint="eastAsia" w:cs="宋体"/>
                <w:color w:val="000000"/>
                <w:kern w:val="0"/>
                <w:sz w:val="22"/>
                <w:szCs w:val="22"/>
              </w:rPr>
              <w:br w:type="textWrapping"/>
            </w:r>
            <w:r>
              <w:rPr>
                <w:rFonts w:hint="eastAsia" w:cs="宋体"/>
                <w:color w:val="000000"/>
                <w:kern w:val="0"/>
                <w:sz w:val="22"/>
                <w:szCs w:val="22"/>
              </w:rPr>
              <w:t>提供涉及敏感词记录数、涉敏感词人数、敏感词触发总数统计分析</w:t>
            </w:r>
          </w:p>
        </w:tc>
      </w:tr>
      <w:tr w14:paraId="142E6573">
        <w:tblPrEx>
          <w:tblCellMar>
            <w:top w:w="0" w:type="dxa"/>
            <w:left w:w="108" w:type="dxa"/>
            <w:bottom w:w="0" w:type="dxa"/>
            <w:right w:w="108" w:type="dxa"/>
          </w:tblCellMar>
        </w:tblPrEx>
        <w:trPr>
          <w:trHeight w:val="54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F559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38</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681E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上海市监狱局罪犯会见通讯系统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34FC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辅助监管子系统-语音监管服务-敏感词配置</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A1D3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感词支持多级配置，提供分类维护与敏感词及敏感词释义维护</w:t>
            </w:r>
          </w:p>
        </w:tc>
      </w:tr>
      <w:tr w14:paraId="04D65565">
        <w:tblPrEx>
          <w:tblCellMar>
            <w:top w:w="0" w:type="dxa"/>
            <w:left w:w="108" w:type="dxa"/>
            <w:bottom w:w="0" w:type="dxa"/>
            <w:right w:w="108" w:type="dxa"/>
          </w:tblCellMar>
        </w:tblPrEx>
        <w:trPr>
          <w:trHeight w:val="81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859D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39</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22161">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上海市监狱局罪犯会见通讯系统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17EB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辅助监管子系统-系统对接-会见系统对接接口</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2535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对接会见系统，实现会见语音的抽取与应用</w:t>
            </w:r>
          </w:p>
        </w:tc>
      </w:tr>
      <w:tr w14:paraId="32AE748A">
        <w:tblPrEx>
          <w:tblCellMar>
            <w:top w:w="0" w:type="dxa"/>
            <w:left w:w="108" w:type="dxa"/>
            <w:bottom w:w="0" w:type="dxa"/>
            <w:right w:w="108" w:type="dxa"/>
          </w:tblCellMar>
        </w:tblPrEx>
        <w:trPr>
          <w:trHeight w:val="81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CB801">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40</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6D2D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上海市监狱局罪犯会见通讯系统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3C6E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辅助监管子系统-系统对接-亲情电话对接接口</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B00D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对接亲情电话系统，实现电话语音的抽取与应用</w:t>
            </w:r>
          </w:p>
        </w:tc>
      </w:tr>
      <w:tr w14:paraId="7196B6D8">
        <w:tblPrEx>
          <w:tblCellMar>
            <w:top w:w="0" w:type="dxa"/>
            <w:left w:w="108" w:type="dxa"/>
            <w:bottom w:w="0" w:type="dxa"/>
            <w:right w:w="108" w:type="dxa"/>
          </w:tblCellMar>
        </w:tblPrEx>
        <w:trPr>
          <w:trHeight w:val="81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156DE">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41</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22B1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上海市监狱局罪犯会见通讯系统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B846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辅助监管子系统-系统对接-可视通话对接接口</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BFFE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对接可视通话系统，实现电话语音的抽取与应用</w:t>
            </w:r>
          </w:p>
        </w:tc>
      </w:tr>
      <w:tr w14:paraId="495BED0C">
        <w:tblPrEx>
          <w:tblCellMar>
            <w:top w:w="0" w:type="dxa"/>
            <w:left w:w="108" w:type="dxa"/>
            <w:bottom w:w="0" w:type="dxa"/>
            <w:right w:w="108" w:type="dxa"/>
          </w:tblCellMar>
        </w:tblPrEx>
        <w:trPr>
          <w:trHeight w:val="81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8884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42</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DA392">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上海市监狱局罪犯会见通讯系统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5FF40">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辅助监管子系统-系统对接-语音识别引擎对接</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9F17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对接语音识别引擎，实现会见、亲情电话、可视电话语音数据的实时、离线转写等服务</w:t>
            </w:r>
          </w:p>
        </w:tc>
      </w:tr>
      <w:tr w14:paraId="281852DC">
        <w:tblPrEx>
          <w:tblCellMar>
            <w:top w:w="0" w:type="dxa"/>
            <w:left w:w="108" w:type="dxa"/>
            <w:bottom w:w="0" w:type="dxa"/>
            <w:right w:w="108" w:type="dxa"/>
          </w:tblCellMar>
        </w:tblPrEx>
        <w:trPr>
          <w:trHeight w:val="54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0ACC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43</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1018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上海市监狱局罪犯会见通讯系统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1925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全局数据驾驶舱-数据底座</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5D641">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对全局会见、电话、可视通话数据进行汇总分析处理，为各类驾驶舱应用提供数据支撑；包含各类业务的数据主题的汇总与数据应用管理。</w:t>
            </w:r>
          </w:p>
        </w:tc>
      </w:tr>
      <w:tr w14:paraId="2CEC2201">
        <w:tblPrEx>
          <w:tblCellMar>
            <w:top w:w="0" w:type="dxa"/>
            <w:left w:w="108" w:type="dxa"/>
            <w:bottom w:w="0" w:type="dxa"/>
            <w:right w:w="108" w:type="dxa"/>
          </w:tblCellMar>
        </w:tblPrEx>
        <w:trPr>
          <w:trHeight w:val="135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3DA2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44</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695A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上海市监狱局罪犯会见通讯系统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027E0">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全局数据驾驶舱-数据驾驶舱-会见数据驾驶舱</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6389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支持展示全局各类会见人数、会见数、会见异常数；展示在押犯人数、超过三个月未会见、未通话人数；展示普通电话/可视通话通话人数、时长、异常通话数；展示会见预约数、新增家属数、电子书信、对公业务；通过锥形图展示罪犯的处遇级别分布；支持根据罪犯信息显示罪犯亲情相关信息，如罪犯基础信息、会见信息、电话信息、书信往来信息、可视通话信息等。以及近期的亲情关怀行为；支持重控、涉黑、涉恶人数重点关注人员指标展示</w:t>
            </w:r>
          </w:p>
        </w:tc>
      </w:tr>
      <w:tr w14:paraId="5475EACF">
        <w:tblPrEx>
          <w:tblCellMar>
            <w:top w:w="0" w:type="dxa"/>
            <w:left w:w="108" w:type="dxa"/>
            <w:bottom w:w="0" w:type="dxa"/>
            <w:right w:w="108" w:type="dxa"/>
          </w:tblCellMar>
        </w:tblPrEx>
        <w:trPr>
          <w:trHeight w:val="10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7DC4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45</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8F52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上海市监狱局罪犯会见通讯系统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696C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全局数据驾驶舱-数据驾驶舱-电话数据驾驶舱</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E94F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提供全局整体电话拨打情况、拨打时长、拨打次数、拨打未接通、单号码绑多人情况、长期未拨打、复听情况、额外通话申请数、特批号码申请数、亲情号码申请数、多涉申请通话数、亲属黑名单人数、罪犯黑名单人数、当前通话概览、周期内拨打超处遇次数预警、磁盘存储空间不够预警、超实现未复听预警的大屏展示</w:t>
            </w:r>
          </w:p>
        </w:tc>
      </w:tr>
      <w:tr w14:paraId="0D82117C">
        <w:tblPrEx>
          <w:tblCellMar>
            <w:top w:w="0" w:type="dxa"/>
            <w:left w:w="108" w:type="dxa"/>
            <w:bottom w:w="0" w:type="dxa"/>
            <w:right w:w="108" w:type="dxa"/>
          </w:tblCellMar>
        </w:tblPrEx>
        <w:trPr>
          <w:trHeight w:val="162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A5CD9">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46</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1F12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上海市监狱局罪犯会见通讯系统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04BF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全局数据驾驶舱-数据驾驶舱-可视通话数据驾驶舱</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5668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支持可视通话的次数汇总统计与图表展示，按市局和监狱呈现对应的统计数据</w:t>
            </w:r>
            <w:r>
              <w:rPr>
                <w:rFonts w:hint="eastAsia" w:cs="宋体"/>
                <w:color w:val="000000"/>
                <w:kern w:val="0"/>
                <w:sz w:val="22"/>
                <w:szCs w:val="22"/>
              </w:rPr>
              <w:br w:type="textWrapping"/>
            </w:r>
            <w:r>
              <w:rPr>
                <w:rFonts w:hint="eastAsia" w:cs="宋体"/>
                <w:color w:val="000000"/>
                <w:kern w:val="0"/>
                <w:sz w:val="22"/>
                <w:szCs w:val="22"/>
              </w:rPr>
              <w:t>支持可视通话预约数据的汇总展示，按市局和监狱展示对应的数据量</w:t>
            </w:r>
            <w:r>
              <w:rPr>
                <w:rFonts w:hint="eastAsia" w:cs="宋体"/>
                <w:color w:val="000000"/>
                <w:kern w:val="0"/>
                <w:sz w:val="22"/>
                <w:szCs w:val="22"/>
              </w:rPr>
              <w:br w:type="textWrapping"/>
            </w:r>
            <w:r>
              <w:rPr>
                <w:rFonts w:hint="eastAsia" w:cs="宋体"/>
                <w:color w:val="000000"/>
                <w:kern w:val="0"/>
                <w:sz w:val="22"/>
                <w:szCs w:val="22"/>
              </w:rPr>
              <w:t>支持可视通话的录音录像数据、复听数据的汇总展示，按市局和监狱展示对应数据</w:t>
            </w:r>
            <w:r>
              <w:rPr>
                <w:rFonts w:hint="eastAsia" w:cs="宋体"/>
                <w:color w:val="000000"/>
                <w:kern w:val="0"/>
                <w:sz w:val="22"/>
                <w:szCs w:val="22"/>
              </w:rPr>
              <w:br w:type="textWrapping"/>
            </w:r>
            <w:r>
              <w:rPr>
                <w:rFonts w:hint="eastAsia" w:cs="宋体"/>
                <w:color w:val="000000"/>
                <w:kern w:val="0"/>
                <w:sz w:val="22"/>
                <w:szCs w:val="22"/>
              </w:rPr>
              <w:t>支持按时间、部门等维度进行数据图表统计展示</w:t>
            </w:r>
            <w:r>
              <w:rPr>
                <w:rFonts w:hint="eastAsia" w:cs="宋体"/>
                <w:color w:val="000000"/>
                <w:kern w:val="0"/>
                <w:sz w:val="22"/>
                <w:szCs w:val="22"/>
              </w:rPr>
              <w:br w:type="textWrapping"/>
            </w:r>
            <w:r>
              <w:rPr>
                <w:rFonts w:hint="eastAsia" w:cs="宋体"/>
                <w:color w:val="000000"/>
                <w:kern w:val="0"/>
                <w:sz w:val="22"/>
                <w:szCs w:val="22"/>
              </w:rPr>
              <w:t>支持对可视通话业务数据进行趋势分析，图表呈现业务发展情况</w:t>
            </w:r>
            <w:r>
              <w:rPr>
                <w:rFonts w:hint="eastAsia" w:cs="宋体"/>
                <w:color w:val="000000"/>
                <w:kern w:val="0"/>
                <w:sz w:val="22"/>
                <w:szCs w:val="22"/>
              </w:rPr>
              <w:br w:type="textWrapping"/>
            </w:r>
            <w:r>
              <w:rPr>
                <w:rFonts w:hint="eastAsia" w:cs="宋体"/>
                <w:color w:val="000000"/>
                <w:kern w:val="0"/>
                <w:sz w:val="22"/>
                <w:szCs w:val="22"/>
              </w:rPr>
              <w:t>支持不同监狱间的业务数据横向对比与统计，图表展示</w:t>
            </w:r>
          </w:p>
        </w:tc>
      </w:tr>
      <w:tr w14:paraId="13D89A98">
        <w:tblPrEx>
          <w:tblCellMar>
            <w:top w:w="0" w:type="dxa"/>
            <w:left w:w="108" w:type="dxa"/>
            <w:bottom w:w="0" w:type="dxa"/>
            <w:right w:w="108" w:type="dxa"/>
          </w:tblCellMar>
        </w:tblPrEx>
        <w:trPr>
          <w:trHeight w:val="54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0C7B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47</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1C439">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上海市监狱局罪犯会见通讯系统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F113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全局数据驾驶舱-亲情档卡</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4C8B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展示罪犯综合数据画像，包含罪犯基础身份信息、罪犯社会信息、罪犯刑事信息、罪犯会见电话等各类业务信息，对各项数据进行汇总统计、实时更新，通过人员检索调出罪犯档卡面板</w:t>
            </w:r>
          </w:p>
        </w:tc>
      </w:tr>
      <w:tr w14:paraId="3C5E6BE5">
        <w:tblPrEx>
          <w:tblCellMar>
            <w:top w:w="0" w:type="dxa"/>
            <w:left w:w="108" w:type="dxa"/>
            <w:bottom w:w="0" w:type="dxa"/>
            <w:right w:w="108" w:type="dxa"/>
          </w:tblCellMar>
        </w:tblPrEx>
        <w:trPr>
          <w:trHeight w:val="216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F80B0">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48</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A2E6E">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上海市监狱局罪犯会见通讯系统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C3A6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公众平台对接适配-随申办市民云平台对接适配</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15AF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公众使用的便民服务子系统和可视通话子系统家属端应用对接上海市随申办市民云平台，实现便民服务程序在随申办市民云的开发部署，实现家属登记、会见预约、对公业务以及可视通话等各项应用的完美运行与功能实现。对接工作包括：开发框架及规范适配，基于随申办自有平台框架进行开发，符合统一设计标准，包括风格样式、页面布局以及可能涉及的定制化组件开发，遵循数据结构格式、保持与平台对齐；接口对接与权限管理，需调用随申办开放平台提供的各类API，包括用户认证、身份核验、公共服务数据获取等，需要向平台申请接口权限，需要集成平台的部分认证机制，如单点登录等；进行程序与联调，基于随申办平台环境编写测试用例，覆盖接口的稳定性、多端的适配性等工作；遵循平台的部署规范进行代码包提交和应用发布、运行环境监控等</w:t>
            </w:r>
          </w:p>
        </w:tc>
      </w:tr>
      <w:tr w14:paraId="4F4989F3">
        <w:tblPrEx>
          <w:tblCellMar>
            <w:top w:w="0" w:type="dxa"/>
            <w:left w:w="108" w:type="dxa"/>
            <w:bottom w:w="0" w:type="dxa"/>
            <w:right w:w="108" w:type="dxa"/>
          </w:tblCellMar>
        </w:tblPrEx>
        <w:trPr>
          <w:trHeight w:val="2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179F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49</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62FE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劳动改造系统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42FD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劳动生产管理</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5E02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包括劳动工时管理、劳动工时统计、审批管理</w:t>
            </w:r>
          </w:p>
        </w:tc>
      </w:tr>
      <w:tr w14:paraId="0C0AE681">
        <w:tblPrEx>
          <w:tblCellMar>
            <w:top w:w="0" w:type="dxa"/>
            <w:left w:w="108" w:type="dxa"/>
            <w:bottom w:w="0" w:type="dxa"/>
            <w:right w:w="108" w:type="dxa"/>
          </w:tblCellMar>
        </w:tblPrEx>
        <w:trPr>
          <w:trHeight w:val="54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23AA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50</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296EF">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劳动改造系统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F66C2">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劳动报酬管理</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50B6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对报酬模块重新设计，进行分库分表，支持监狱民警录入、上报劳动报酬，将老数据根据单位进行切分，同时增加审批功能，已上报数据经审批后才能修改删除</w:t>
            </w:r>
          </w:p>
        </w:tc>
      </w:tr>
      <w:tr w14:paraId="41A5905E">
        <w:tblPrEx>
          <w:tblCellMar>
            <w:top w:w="0" w:type="dxa"/>
            <w:left w:w="108" w:type="dxa"/>
            <w:bottom w:w="0" w:type="dxa"/>
            <w:right w:w="108" w:type="dxa"/>
          </w:tblCellMar>
        </w:tblPrEx>
        <w:trPr>
          <w:trHeight w:val="81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E1DA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51</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F180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劳动改造系统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3ED4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报表管理</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6B250">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支持对各个监所的生产情况月度统计审批、劳动报酬月度统计审批，实现报表的可维护，可以维护报表的行列，对报表录入和生成进行优化，可以关联已经录入系统的数据比如工时数据和报酬数据，实现修改功能</w:t>
            </w:r>
          </w:p>
        </w:tc>
      </w:tr>
      <w:tr w14:paraId="58FEF291">
        <w:tblPrEx>
          <w:tblCellMar>
            <w:top w:w="0" w:type="dxa"/>
            <w:left w:w="108" w:type="dxa"/>
            <w:bottom w:w="0" w:type="dxa"/>
            <w:right w:w="108" w:type="dxa"/>
          </w:tblCellMar>
        </w:tblPrEx>
        <w:trPr>
          <w:trHeight w:val="54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61210">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52</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48B59">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劳动改造系统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1EFDE">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接口管理</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CF204">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开发与狱政系统接口，实时同步狱政人账数据，实现数据及时同步，并新建罪犯查询功能，可以查询罪犯基本信息</w:t>
            </w:r>
          </w:p>
        </w:tc>
      </w:tr>
      <w:tr w14:paraId="5D57F0CB">
        <w:tblPrEx>
          <w:tblCellMar>
            <w:top w:w="0" w:type="dxa"/>
            <w:left w:w="108" w:type="dxa"/>
            <w:bottom w:w="0" w:type="dxa"/>
            <w:right w:w="108" w:type="dxa"/>
          </w:tblCellMar>
        </w:tblPrEx>
        <w:trPr>
          <w:trHeight w:val="54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7124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53</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1B5AE">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劳动改造系统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07FC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XC改造</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DDBB7">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对系统进行上云部署，并完成XC改造工作，需要XC的模块：数据图形分析、企业经营类报表、项目分类产值报表、合同管理、劳动岗位管理、劳动时间管理</w:t>
            </w:r>
          </w:p>
        </w:tc>
      </w:tr>
      <w:tr w14:paraId="7CEC7F9E">
        <w:tblPrEx>
          <w:tblCellMar>
            <w:top w:w="0" w:type="dxa"/>
            <w:left w:w="108" w:type="dxa"/>
            <w:bottom w:w="0" w:type="dxa"/>
            <w:right w:w="108" w:type="dxa"/>
          </w:tblCellMar>
        </w:tblPrEx>
        <w:trPr>
          <w:trHeight w:val="54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470A0">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54</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8068B">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劳动改造系统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56B8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辅助支撑</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20F7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支持添加安全生产、法律法规、劳动操作、劳动规范等相关文档功能，需要分为管理和发布，设置专门维护角色，可以对模块内容进行审核发布</w:t>
            </w:r>
          </w:p>
        </w:tc>
      </w:tr>
      <w:tr w14:paraId="39FE96D4">
        <w:tblPrEx>
          <w:tblCellMar>
            <w:top w:w="0" w:type="dxa"/>
            <w:left w:w="108" w:type="dxa"/>
            <w:bottom w:w="0" w:type="dxa"/>
            <w:right w:w="108" w:type="dxa"/>
          </w:tblCellMar>
        </w:tblPrEx>
        <w:trPr>
          <w:trHeight w:val="54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6A17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55</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4223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劳动改造系统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A91A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等级工管理</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F6C5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根据司法部最新文件，对劳动者进行等级工设置，设置每个劳动者等级并与劳动工时、劳动报酬模块进行关联，不同等级劳动时长和薪酬都不同</w:t>
            </w:r>
          </w:p>
        </w:tc>
      </w:tr>
      <w:tr w14:paraId="2A1E009F">
        <w:tblPrEx>
          <w:tblCellMar>
            <w:top w:w="0" w:type="dxa"/>
            <w:left w:w="108" w:type="dxa"/>
            <w:bottom w:w="0" w:type="dxa"/>
            <w:right w:w="108" w:type="dxa"/>
          </w:tblCellMar>
        </w:tblPrEx>
        <w:trPr>
          <w:trHeight w:val="54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40D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56</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2A2F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劳动改造系统</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029F1">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密码应用改造</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E4A3F">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结合《国家政务信息化项目建设管理办法》、《政务信息系统政府采购管理暂行办法》，对系统进行密码应用改造。</w:t>
            </w:r>
          </w:p>
        </w:tc>
      </w:tr>
      <w:tr w14:paraId="2D3C9AB8">
        <w:tblPrEx>
          <w:tblCellMar>
            <w:top w:w="0" w:type="dxa"/>
            <w:left w:w="108" w:type="dxa"/>
            <w:bottom w:w="0" w:type="dxa"/>
            <w:right w:w="108" w:type="dxa"/>
          </w:tblCellMar>
        </w:tblPrEx>
        <w:trPr>
          <w:trHeight w:val="54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5F781">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57</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9B27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上海监狱罪犯管理业务应用</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6FF1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志愿者管理</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7224D">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对帮教志愿者管理，志愿者名册表，走访文书模块进行升级改造，根据业务需要增加相应字段，并增加导出功能。与帮教工作能够进行关联</w:t>
            </w:r>
          </w:p>
        </w:tc>
      </w:tr>
      <w:tr w14:paraId="65B0DF2C">
        <w:tblPrEx>
          <w:tblCellMar>
            <w:top w:w="0" w:type="dxa"/>
            <w:left w:w="108" w:type="dxa"/>
            <w:bottom w:w="0" w:type="dxa"/>
            <w:right w:w="108" w:type="dxa"/>
          </w:tblCellMar>
        </w:tblPrEx>
        <w:trPr>
          <w:trHeight w:val="54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C2538">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58</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9F463">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上海监狱罪犯管理业务应用</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D266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帮教工作管理</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AE61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对帮教联系单、组织类型管理功能进行升级，将帮教联系单从审批制变为备案制，模块根据需求重新开发，并能从狱政系统获取数据，避免人工录入错误和大量人工工作</w:t>
            </w:r>
          </w:p>
        </w:tc>
      </w:tr>
      <w:tr w14:paraId="1E1C69F8">
        <w:tblPrEx>
          <w:tblCellMar>
            <w:top w:w="0" w:type="dxa"/>
            <w:left w:w="108" w:type="dxa"/>
            <w:bottom w:w="0" w:type="dxa"/>
            <w:right w:w="108" w:type="dxa"/>
          </w:tblCellMar>
        </w:tblPrEx>
        <w:trPr>
          <w:trHeight w:val="81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5183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59</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C2370">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上海监狱罪犯管理业务应用</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02485">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菜单式帮教</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98402">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根据新规则，对罪犯在监的收押类型进行排摸，自动筛选需要帮教的对象，结合志愿者对帮教对象签约邀约，并能生成统计汇总表，本次对需求排摸、签约管理、帮教邀约书、统计汇总表、需求汇总表等模块进行改造</w:t>
            </w:r>
          </w:p>
        </w:tc>
      </w:tr>
      <w:tr w14:paraId="30DF71E6">
        <w:tblPrEx>
          <w:tblCellMar>
            <w:top w:w="0" w:type="dxa"/>
            <w:left w:w="108" w:type="dxa"/>
            <w:bottom w:w="0" w:type="dxa"/>
            <w:right w:w="108" w:type="dxa"/>
          </w:tblCellMar>
        </w:tblPrEx>
        <w:trPr>
          <w:trHeight w:val="54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D5AA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60</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75129">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上海监狱罪犯管理业务应用</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C87A">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关爱行动</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1E8E8">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针对关爱行动、爱心圆梦助学金模块，分别对界面功能进行升级，同时增加权限管控</w:t>
            </w:r>
          </w:p>
        </w:tc>
      </w:tr>
      <w:tr w14:paraId="38A073B1">
        <w:tblPrEx>
          <w:tblCellMar>
            <w:top w:w="0" w:type="dxa"/>
            <w:left w:w="108" w:type="dxa"/>
            <w:bottom w:w="0" w:type="dxa"/>
            <w:right w:w="108" w:type="dxa"/>
          </w:tblCellMar>
        </w:tblPrEx>
        <w:trPr>
          <w:trHeight w:val="54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A437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61</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DE121">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上海监狱罪犯管理业务应用</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EEF69">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法律援助</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24BFC">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与上海市司法局法律援助系统进行对接，罪犯可以向带教民警申请法律援助，经过监狱、局机关审核通过后，通过接口发送给对应的法援中心，法援中心审核后，需要反馈结果让民警进行后续操作</w:t>
            </w:r>
          </w:p>
        </w:tc>
      </w:tr>
      <w:tr w14:paraId="2E1C26F3">
        <w:tblPrEx>
          <w:tblCellMar>
            <w:top w:w="0" w:type="dxa"/>
            <w:left w:w="108" w:type="dxa"/>
            <w:bottom w:w="0" w:type="dxa"/>
            <w:right w:w="108" w:type="dxa"/>
          </w:tblCellMar>
        </w:tblPrEx>
        <w:trPr>
          <w:trHeight w:val="54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B6B4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62</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6768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上海监狱罪犯管理业务应用</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30B9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规章制度</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94FAA">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分为规章制度和经典个案，设置专人对内容进行发布和撤回</w:t>
            </w:r>
          </w:p>
        </w:tc>
      </w:tr>
      <w:tr w14:paraId="0EA8E796">
        <w:tblPrEx>
          <w:tblCellMar>
            <w:top w:w="0" w:type="dxa"/>
            <w:left w:w="108" w:type="dxa"/>
            <w:bottom w:w="0" w:type="dxa"/>
            <w:right w:w="108" w:type="dxa"/>
          </w:tblCellMar>
        </w:tblPrEx>
        <w:trPr>
          <w:trHeight w:val="54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BB1E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63</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1A696">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上海监狱罪犯管理业务应用</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0573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刑释衔接</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8AE25">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新增委托调查函、刑释衔接审核、刑释衔接评估、综合查询功能，对接教改系统获取评估信息，针对犯人释放前做一个完整评估</w:t>
            </w:r>
          </w:p>
        </w:tc>
      </w:tr>
      <w:tr w14:paraId="7CA89D93">
        <w:tblPrEx>
          <w:tblCellMar>
            <w:top w:w="0" w:type="dxa"/>
            <w:left w:w="108" w:type="dxa"/>
            <w:bottom w:w="0" w:type="dxa"/>
            <w:right w:w="108" w:type="dxa"/>
          </w:tblCellMar>
        </w:tblPrEx>
        <w:trPr>
          <w:trHeight w:val="54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1A2BD">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64</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CD311">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上海监狱罪犯管理业务应用</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5246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接口管理</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2EB66">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与狱政系统对接，获取犯人基本信息，与教改系统对接获取犯人评估信息，与法援系统对接，发送法援申请、获取法援中心意见</w:t>
            </w:r>
          </w:p>
        </w:tc>
      </w:tr>
      <w:tr w14:paraId="14BF213E">
        <w:tblPrEx>
          <w:tblCellMar>
            <w:top w:w="0" w:type="dxa"/>
            <w:left w:w="108" w:type="dxa"/>
            <w:bottom w:w="0" w:type="dxa"/>
            <w:right w:w="108" w:type="dxa"/>
          </w:tblCellMar>
        </w:tblPrEx>
        <w:trPr>
          <w:trHeight w:val="54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91534">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65</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330DC">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上海监狱罪犯管理业务应用</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A8A59">
            <w:pPr>
              <w:widowControl/>
              <w:spacing w:line="240" w:lineRule="auto"/>
              <w:ind w:firstLine="0" w:firstLineChars="0"/>
              <w:jc w:val="center"/>
              <w:textAlignment w:val="center"/>
              <w:rPr>
                <w:rFonts w:cs="宋体"/>
                <w:color w:val="000000"/>
                <w:sz w:val="22"/>
                <w:szCs w:val="22"/>
              </w:rPr>
            </w:pPr>
            <w:r>
              <w:rPr>
                <w:rFonts w:hint="eastAsia" w:cs="宋体"/>
                <w:color w:val="000000"/>
                <w:kern w:val="0"/>
                <w:sz w:val="22"/>
                <w:szCs w:val="22"/>
              </w:rPr>
              <w:t>数字字典维护</w:t>
            </w:r>
          </w:p>
        </w:tc>
        <w:tc>
          <w:tcPr>
            <w:tcW w:w="3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EDDF3">
            <w:pPr>
              <w:widowControl/>
              <w:spacing w:line="240" w:lineRule="auto"/>
              <w:ind w:firstLine="0" w:firstLineChars="0"/>
              <w:jc w:val="left"/>
              <w:textAlignment w:val="center"/>
              <w:rPr>
                <w:rFonts w:cs="宋体"/>
                <w:color w:val="000000"/>
                <w:sz w:val="22"/>
                <w:szCs w:val="22"/>
              </w:rPr>
            </w:pPr>
            <w:r>
              <w:rPr>
                <w:rFonts w:hint="eastAsia" w:cs="宋体"/>
                <w:color w:val="000000"/>
                <w:kern w:val="0"/>
                <w:sz w:val="22"/>
                <w:szCs w:val="22"/>
              </w:rPr>
              <w:t>统一管理系统中的字典信息，导出报表的配置信息、自定义查询项，流程默认人，工作组人员等</w:t>
            </w:r>
          </w:p>
        </w:tc>
      </w:tr>
    </w:tbl>
    <w:p w14:paraId="553C8E5B">
      <w:pPr>
        <w:pStyle w:val="3"/>
      </w:pPr>
      <w:r>
        <w:rPr>
          <w:rFonts w:hint="eastAsia"/>
        </w:rPr>
        <w:t>总体架构图</w:t>
      </w:r>
    </w:p>
    <w:p w14:paraId="28DAFE2D">
      <w:pPr>
        <w:ind w:firstLine="0" w:firstLineChars="0"/>
      </w:pPr>
      <w:r>
        <w:drawing>
          <wp:inline distT="0" distB="0" distL="114300" distR="114300">
            <wp:extent cx="5269230" cy="2964180"/>
            <wp:effectExtent l="0" t="0" r="7620" b="762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pic:cNvPicPr>
                  </pic:nvPicPr>
                  <pic:blipFill>
                    <a:blip r:embed="rId13"/>
                    <a:stretch>
                      <a:fillRect/>
                    </a:stretch>
                  </pic:blipFill>
                  <pic:spPr>
                    <a:xfrm>
                      <a:off x="0" y="0"/>
                      <a:ext cx="5269230" cy="2964180"/>
                    </a:xfrm>
                    <a:prstGeom prst="rect">
                      <a:avLst/>
                    </a:prstGeom>
                    <a:noFill/>
                    <a:ln>
                      <a:noFill/>
                    </a:ln>
                  </pic:spPr>
                </pic:pic>
              </a:graphicData>
            </a:graphic>
          </wp:inline>
        </w:drawing>
      </w:r>
    </w:p>
    <w:p w14:paraId="74D21E87"/>
    <w:p w14:paraId="1757D600">
      <w:pPr>
        <w:pStyle w:val="3"/>
      </w:pPr>
      <w:r>
        <w:rPr>
          <w:rFonts w:hint="eastAsia"/>
        </w:rPr>
        <w:t>技术路线</w:t>
      </w:r>
    </w:p>
    <w:p w14:paraId="05699D6A">
      <w:pPr>
        <w:pStyle w:val="63"/>
        <w:ind w:firstLine="480"/>
        <w:rPr>
          <w:rFonts w:ascii="宋体" w:hAnsi="宋体" w:cs="宋体"/>
          <w:sz w:val="24"/>
        </w:rPr>
      </w:pPr>
      <w:r>
        <w:rPr>
          <w:rFonts w:hint="eastAsia" w:ascii="宋体" w:hAnsi="宋体" w:cs="宋体"/>
          <w:sz w:val="24"/>
        </w:rPr>
        <w:t>上海市监狱管理局罪犯会见通讯系统，平台采用当前主流的MVC模式体系结构，基于Java 运行环境，平台服务网关采用Spring Cloud Gateway，采用服务调用、服务监控、链路追踪、熔断和降级等技术，支持跨平台、跨数据库应用。平台数据层采用SQL、NoSQL、索引、查询优化等数据查询技术，数据复制、增量同步、实时同步、ETL等数据同步技术数据挖掘技术等，支持数据应用开发。</w:t>
      </w:r>
    </w:p>
    <w:p w14:paraId="768A45C1">
      <w:pPr>
        <w:pStyle w:val="63"/>
        <w:ind w:firstLine="480"/>
        <w:rPr>
          <w:rFonts w:ascii="宋体" w:hAnsi="宋体" w:cs="宋体"/>
          <w:sz w:val="24"/>
        </w:rPr>
      </w:pPr>
      <w:r>
        <w:rPr>
          <w:rFonts w:hint="eastAsia" w:ascii="宋体" w:hAnsi="宋体" w:cs="宋体"/>
          <w:sz w:val="24"/>
        </w:rPr>
        <w:t>劳动改造系统采用当前主流的MVC模式体系结构，支持跨平台、跨数据库应用。数据库采用国产达梦数据库系统作为数据库服务。</w:t>
      </w:r>
    </w:p>
    <w:p w14:paraId="7A816B06">
      <w:pPr>
        <w:pStyle w:val="63"/>
        <w:ind w:firstLine="480"/>
        <w:rPr>
          <w:rFonts w:ascii="仿宋_GB2312" w:hAnsi="黑体" w:eastAsia="仿宋_GB2312"/>
          <w:sz w:val="32"/>
          <w:szCs w:val="32"/>
        </w:rPr>
      </w:pPr>
      <w:r>
        <w:rPr>
          <w:rFonts w:hint="eastAsia" w:ascii="宋体" w:hAnsi="宋体" w:cs="宋体"/>
          <w:sz w:val="24"/>
        </w:rPr>
        <w:t>综合治理系统也是采用当前主流的MVC模式体系结构，支持跨平台、跨数据库应用。数据库采用国产达梦数据库系统作为数据库服务。</w:t>
      </w:r>
    </w:p>
    <w:p w14:paraId="7EE1BE5F">
      <w:pPr>
        <w:pStyle w:val="3"/>
      </w:pPr>
      <w:r>
        <w:rPr>
          <w:rFonts w:hint="eastAsia"/>
        </w:rPr>
        <w:t>部署环境</w:t>
      </w:r>
    </w:p>
    <w:p w14:paraId="6C771A26">
      <w:pPr>
        <w:pStyle w:val="63"/>
        <w:ind w:firstLine="480"/>
        <w:rPr>
          <w:rFonts w:ascii="宋体" w:hAnsi="宋体" w:cs="宋体"/>
          <w:sz w:val="24"/>
        </w:rPr>
      </w:pPr>
      <w:r>
        <w:rPr>
          <w:rFonts w:hint="eastAsia" w:ascii="宋体" w:hAnsi="宋体" w:cs="宋体"/>
          <w:sz w:val="24"/>
        </w:rPr>
        <w:t>本项目在上海市电子政务云政务外网区域和互联网区域进行部署。</w:t>
      </w:r>
    </w:p>
    <w:p w14:paraId="36E340AC">
      <w:pPr>
        <w:pStyle w:val="2"/>
      </w:pPr>
      <w:bookmarkStart w:id="17" w:name="_Toc63785502"/>
      <w:r>
        <w:rPr>
          <w:rFonts w:hint="eastAsia"/>
        </w:rPr>
        <w:t>电子政务云资源需求</w:t>
      </w:r>
      <w:bookmarkEnd w:id="17"/>
      <w:r>
        <w:rPr>
          <w:rFonts w:hint="eastAsia"/>
        </w:rPr>
        <w:t>（仅针对上云项目）</w:t>
      </w:r>
    </w:p>
    <w:p w14:paraId="12DD4157">
      <w:r>
        <w:rPr>
          <w:rFonts w:hint="eastAsia"/>
        </w:rPr>
        <w:t>根据项目前期资源现状，本次建设根据估算拟向电子政务云申请68台服务器资源CPU1080 核 、内存2672 GB、存储95900 GB ，其中虚拟机68台。拟申请中间件-东方通、普元、金蝶5套*年、操作系统服务-统信UOS、麒麟68套*年、数据库服务-达梦、人大金仓6套*年、安全防病毒(服务器端)68套*年、实时语音转写60路*年、安全认证网关服务3套*年、签名验签服务3套*年、可信密码服务3应用*年、数字证书服务 - 公务人员证书（key）3张*年、数字证书服务 - 证书介质（key）10个、数字证书服务 - SSL证书-单域名3张*年。</w:t>
      </w:r>
    </w:p>
    <w:p w14:paraId="04965CC6">
      <w:pPr>
        <w:pStyle w:val="2"/>
      </w:pPr>
      <w:bookmarkStart w:id="18" w:name="_Toc63785503"/>
      <w:r>
        <w:rPr>
          <w:rFonts w:hint="eastAsia"/>
        </w:rPr>
        <w:t>其他工作要求</w:t>
      </w:r>
      <w:bookmarkEnd w:id="18"/>
    </w:p>
    <w:p w14:paraId="72FDB5AB">
      <w:pPr>
        <w:keepNext/>
        <w:keepLines/>
        <w:numPr>
          <w:ilvl w:val="1"/>
          <w:numId w:val="3"/>
        </w:numPr>
        <w:tabs>
          <w:tab w:val="left" w:pos="360"/>
        </w:tabs>
        <w:spacing w:before="120" w:line="240" w:lineRule="auto"/>
        <w:ind w:left="0" w:firstLine="0" w:firstLineChars="0"/>
        <w:outlineLvl w:val="1"/>
        <w:rPr>
          <w:rFonts w:ascii="仿宋" w:hAnsi="仿宋" w:eastAsia="仿宋"/>
          <w:b/>
          <w:vanish/>
          <w:color w:val="000000"/>
          <w:szCs w:val="20"/>
        </w:rPr>
      </w:pPr>
      <w:bookmarkStart w:id="19" w:name="_Toc62209488"/>
      <w:bookmarkEnd w:id="19"/>
      <w:bookmarkStart w:id="20" w:name="_Toc63785439"/>
      <w:bookmarkEnd w:id="20"/>
      <w:bookmarkStart w:id="21" w:name="_Toc62219358"/>
      <w:bookmarkEnd w:id="21"/>
      <w:bookmarkStart w:id="22" w:name="_Toc63151871"/>
      <w:bookmarkEnd w:id="22"/>
      <w:bookmarkStart w:id="23" w:name="_Toc63785504"/>
      <w:bookmarkEnd w:id="23"/>
      <w:bookmarkStart w:id="24" w:name="_Toc63762370"/>
      <w:bookmarkEnd w:id="24"/>
      <w:bookmarkStart w:id="25" w:name="_Toc63585480"/>
      <w:bookmarkEnd w:id="25"/>
      <w:bookmarkStart w:id="26" w:name="_Toc61968111"/>
      <w:bookmarkEnd w:id="26"/>
    </w:p>
    <w:p w14:paraId="7EE2C9AD">
      <w:pPr>
        <w:pStyle w:val="3"/>
      </w:pPr>
      <w:bookmarkStart w:id="27" w:name="_Toc63785505"/>
      <w:r>
        <w:rPr>
          <w:rFonts w:hint="eastAsia"/>
        </w:rPr>
        <w:t>售后服务要求</w:t>
      </w:r>
      <w:bookmarkEnd w:id="27"/>
    </w:p>
    <w:p w14:paraId="41A3B160">
      <w:pPr>
        <w:pStyle w:val="106"/>
        <w:snapToGrid w:val="0"/>
        <w:spacing w:line="360" w:lineRule="auto"/>
        <w:ind w:firstLine="480"/>
        <w:rPr>
          <w:rFonts w:ascii="宋体" w:hAnsi="宋体"/>
          <w:sz w:val="24"/>
          <w:szCs w:val="24"/>
        </w:rPr>
      </w:pPr>
      <w:r>
        <w:rPr>
          <w:rFonts w:hint="eastAsia" w:ascii="宋体" w:hAnsi="宋体"/>
          <w:sz w:val="24"/>
          <w:szCs w:val="24"/>
        </w:rPr>
        <w:t>本项目从系统验收通过之日起1年内提供</w:t>
      </w:r>
      <w:r>
        <w:rPr>
          <w:rFonts w:ascii="宋体" w:hAnsi="宋体"/>
          <w:sz w:val="24"/>
          <w:szCs w:val="24"/>
        </w:rPr>
        <w:t>7*24小时免费技术支持</w:t>
      </w:r>
      <w:r>
        <w:rPr>
          <w:rFonts w:hint="eastAsia" w:ascii="宋体" w:hAnsi="宋体"/>
          <w:sz w:val="24"/>
          <w:szCs w:val="24"/>
        </w:rPr>
        <w:t>和售后服务，1年后进入有偿维护期。</w:t>
      </w:r>
    </w:p>
    <w:p w14:paraId="367A3D3B">
      <w:pPr>
        <w:pStyle w:val="106"/>
        <w:snapToGrid w:val="0"/>
        <w:spacing w:line="360" w:lineRule="auto"/>
        <w:ind w:firstLine="480"/>
        <w:rPr>
          <w:rFonts w:ascii="宋体" w:hAnsi="宋体"/>
          <w:sz w:val="24"/>
          <w:szCs w:val="24"/>
        </w:rPr>
      </w:pPr>
      <w:r>
        <w:rPr>
          <w:rFonts w:hint="eastAsia" w:ascii="宋体" w:hAnsi="宋体"/>
          <w:sz w:val="24"/>
          <w:szCs w:val="24"/>
        </w:rPr>
        <w:t>在质量保证期内，供应商将按照售后服务的承诺提供保修和运行维护服务，如果厂商对信息系统中软、硬件设备等产品中的部分保修期超过上述期限的，则按照厂商的规定进行免费保修。</w:t>
      </w:r>
    </w:p>
    <w:p w14:paraId="28924F8D">
      <w:pPr>
        <w:pStyle w:val="106"/>
        <w:snapToGrid w:val="0"/>
        <w:spacing w:line="360" w:lineRule="auto"/>
        <w:ind w:firstLine="480"/>
        <w:rPr>
          <w:rFonts w:ascii="宋体" w:hAnsi="宋体"/>
          <w:sz w:val="24"/>
          <w:szCs w:val="24"/>
        </w:rPr>
      </w:pPr>
      <w:r>
        <w:rPr>
          <w:rFonts w:hint="eastAsia" w:ascii="宋体" w:hAnsi="宋体"/>
          <w:sz w:val="24"/>
          <w:szCs w:val="24"/>
        </w:rPr>
        <w:t>在质量保证期内，供应商负责信息系统的运行维护工作，确保信息系统安全、稳定、可靠地运行。本项目涉及的运行维护工作范围为：软件功能模块（本次项目建设内容）的运行保障，按照大数据中心和甲方的要求进行的系统升级（操作系统、中间件、数据库等的安全漏洞、应用漏洞的修复，支持性系统和软件的重要安全补丁升级等），按照甲方要求进行应急预案演练，根据甲方的具体要求，在重大节假日提供远程或者现场的保障服务。。</w:t>
      </w:r>
    </w:p>
    <w:p w14:paraId="7A69021A">
      <w:pPr>
        <w:pStyle w:val="3"/>
      </w:pPr>
      <w:bookmarkStart w:id="28" w:name="_Toc63785506"/>
      <w:r>
        <w:rPr>
          <w:rFonts w:hint="eastAsia"/>
        </w:rPr>
        <w:t>应急响应要求</w:t>
      </w:r>
      <w:bookmarkEnd w:id="28"/>
    </w:p>
    <w:p w14:paraId="10584395">
      <w:pPr>
        <w:pStyle w:val="106"/>
        <w:snapToGrid w:val="0"/>
        <w:spacing w:line="360" w:lineRule="auto"/>
        <w:ind w:firstLine="480"/>
        <w:rPr>
          <w:rFonts w:ascii="宋体" w:hAnsi="宋体"/>
          <w:sz w:val="24"/>
          <w:szCs w:val="24"/>
        </w:rPr>
      </w:pPr>
      <w:r>
        <w:rPr>
          <w:rFonts w:hint="eastAsia" w:ascii="宋体" w:hAnsi="宋体"/>
          <w:sz w:val="24"/>
          <w:szCs w:val="24"/>
        </w:rPr>
        <w:t>供应商对系统故障应能够实时响应，若系统发生故障，接到通知后</w:t>
      </w:r>
      <w:r>
        <w:rPr>
          <w:rFonts w:ascii="宋体" w:hAnsi="宋体"/>
          <w:sz w:val="24"/>
          <w:szCs w:val="24"/>
        </w:rPr>
        <w:t>30分钟之内响应，专业工程师2小时内到达现场</w:t>
      </w:r>
      <w:r>
        <w:rPr>
          <w:rFonts w:hint="eastAsia" w:ascii="宋体" w:hAnsi="宋体"/>
          <w:sz w:val="24"/>
          <w:szCs w:val="24"/>
        </w:rPr>
        <w:t>。特殊故障与客户沟通协商后，按照协商的方式制定解决方案并进行处理。</w:t>
      </w:r>
    </w:p>
    <w:p w14:paraId="77B8B99B">
      <w:pPr>
        <w:pStyle w:val="106"/>
        <w:snapToGrid w:val="0"/>
        <w:spacing w:line="360" w:lineRule="auto"/>
        <w:ind w:firstLine="480"/>
        <w:rPr>
          <w:rFonts w:ascii="宋体" w:hAnsi="宋体"/>
          <w:sz w:val="24"/>
          <w:szCs w:val="24"/>
        </w:rPr>
      </w:pPr>
      <w:r>
        <w:rPr>
          <w:rFonts w:hint="eastAsia" w:ascii="宋体" w:hAnsi="宋体"/>
          <w:sz w:val="24"/>
          <w:szCs w:val="24"/>
        </w:rPr>
        <w:t>具体故障级别及对应的应急响应要求如下：</w:t>
      </w:r>
    </w:p>
    <w:p w14:paraId="3AE1FB1A">
      <w:pPr>
        <w:pStyle w:val="106"/>
        <w:snapToGrid w:val="0"/>
        <w:spacing w:line="360" w:lineRule="auto"/>
        <w:ind w:firstLine="480"/>
        <w:rPr>
          <w:rFonts w:ascii="宋体" w:hAnsi="宋体"/>
          <w:sz w:val="24"/>
          <w:szCs w:val="24"/>
        </w:rPr>
      </w:pPr>
      <w:r>
        <w:rPr>
          <w:rFonts w:hint="eastAsia" w:ascii="宋体" w:hAnsi="宋体"/>
          <w:sz w:val="24"/>
          <w:szCs w:val="24"/>
        </w:rPr>
        <w:t>一级故障：在</w:t>
      </w:r>
      <w:r>
        <w:rPr>
          <w:rFonts w:ascii="宋体" w:hAnsi="宋体"/>
          <w:sz w:val="24"/>
          <w:szCs w:val="24"/>
        </w:rPr>
        <w:t>1小时内确诊，总故障解决时间不超过4小时。</w:t>
      </w:r>
    </w:p>
    <w:p w14:paraId="0A954FD5">
      <w:pPr>
        <w:pStyle w:val="106"/>
        <w:snapToGrid w:val="0"/>
        <w:spacing w:line="360" w:lineRule="auto"/>
        <w:ind w:firstLine="480"/>
        <w:rPr>
          <w:rFonts w:ascii="宋体" w:hAnsi="宋体"/>
          <w:sz w:val="24"/>
          <w:szCs w:val="24"/>
        </w:rPr>
      </w:pPr>
      <w:r>
        <w:rPr>
          <w:rFonts w:hint="eastAsia" w:ascii="宋体" w:hAnsi="宋体"/>
          <w:sz w:val="24"/>
          <w:szCs w:val="24"/>
        </w:rPr>
        <w:t>二级故障：在</w:t>
      </w:r>
      <w:r>
        <w:rPr>
          <w:rFonts w:ascii="宋体" w:hAnsi="宋体"/>
          <w:sz w:val="24"/>
          <w:szCs w:val="24"/>
        </w:rPr>
        <w:t>2小时内确诊，并在4小时内由专家到达现场确诊并解决，总故障解决时间不超过8小时；</w:t>
      </w:r>
    </w:p>
    <w:p w14:paraId="0EC634E2">
      <w:pPr>
        <w:pStyle w:val="106"/>
        <w:snapToGrid w:val="0"/>
        <w:spacing w:line="360" w:lineRule="auto"/>
        <w:ind w:firstLine="480"/>
        <w:rPr>
          <w:rFonts w:ascii="宋体" w:hAnsi="宋体"/>
          <w:sz w:val="24"/>
          <w:szCs w:val="24"/>
        </w:rPr>
      </w:pPr>
      <w:r>
        <w:rPr>
          <w:rFonts w:hint="eastAsia" w:ascii="宋体" w:hAnsi="宋体"/>
          <w:sz w:val="24"/>
          <w:szCs w:val="24"/>
        </w:rPr>
        <w:t>三、四级故障：在</w:t>
      </w:r>
      <w:r>
        <w:rPr>
          <w:rFonts w:ascii="宋体" w:hAnsi="宋体"/>
          <w:sz w:val="24"/>
          <w:szCs w:val="24"/>
        </w:rPr>
        <w:t>4小时内确诊故障，总故障解决时间不超过16小时。</w:t>
      </w:r>
    </w:p>
    <w:p w14:paraId="19A9C6AC">
      <w:pPr>
        <w:pStyle w:val="3"/>
      </w:pPr>
      <w:bookmarkStart w:id="29" w:name="_Toc63785507"/>
      <w:r>
        <w:rPr>
          <w:rFonts w:hint="eastAsia"/>
        </w:rPr>
        <w:t>培训要求</w:t>
      </w:r>
      <w:bookmarkEnd w:id="29"/>
    </w:p>
    <w:p w14:paraId="3F900DA9">
      <w:r>
        <w:rPr>
          <w:rFonts w:hint="eastAsia"/>
        </w:rPr>
        <w:t>对系统使用单位提供业务操作培训，应提供详细培训方案。</w:t>
      </w:r>
    </w:p>
    <w:p w14:paraId="5FC43A41">
      <w:r>
        <w:rPr>
          <w:rFonts w:hint="eastAsia"/>
        </w:rPr>
        <w:t>(1)在12个月的质量保证期内，提供2次与项目相关的必要培训。</w:t>
      </w:r>
    </w:p>
    <w:p w14:paraId="68C1F4A5">
      <w:r>
        <w:rPr>
          <w:rFonts w:hint="eastAsia"/>
        </w:rPr>
        <w:t>(2)供应商需要开展分层次的人员培训工作，每次培训后应对参加培训人员进行测试，评估培训成果。培训应具有培训教材、培训环境和高水平的培训讲师。</w:t>
      </w:r>
    </w:p>
    <w:p w14:paraId="681F2BBE">
      <w:r>
        <w:rPr>
          <w:rFonts w:hint="eastAsia"/>
        </w:rPr>
        <w:t>(3)供应商应提供一般用户的基础操作培训和部门信息管理员的日常应用维护的培训，确保用户对象能够掌握对应的操作技能。</w:t>
      </w:r>
    </w:p>
    <w:p w14:paraId="7228C8F5">
      <w:pPr>
        <w:pStyle w:val="3"/>
      </w:pPr>
      <w:bookmarkStart w:id="30" w:name="_Toc63785508"/>
      <w:r>
        <w:rPr>
          <w:rFonts w:hint="eastAsia"/>
        </w:rPr>
        <w:t>验收要求</w:t>
      </w:r>
      <w:bookmarkEnd w:id="30"/>
    </w:p>
    <w:p w14:paraId="43E8CA7B">
      <w:pPr>
        <w:rPr>
          <w:szCs w:val="21"/>
        </w:rPr>
      </w:pPr>
      <w:r>
        <w:rPr>
          <w:rFonts w:hint="eastAsia"/>
          <w:szCs w:val="21"/>
        </w:rPr>
        <w:t>本项目按下述方式开展验收。</w:t>
      </w:r>
    </w:p>
    <w:p w14:paraId="1DD96779">
      <w:pPr>
        <w:rPr>
          <w:szCs w:val="21"/>
        </w:rPr>
      </w:pPr>
      <w:r>
        <w:rPr>
          <w:rFonts w:hint="eastAsia"/>
          <w:szCs w:val="21"/>
        </w:rPr>
        <w:t>（</w:t>
      </w:r>
      <w:r>
        <w:rPr>
          <w:szCs w:val="21"/>
        </w:rPr>
        <w:t>1）验收分初验和终验。</w:t>
      </w:r>
    </w:p>
    <w:p w14:paraId="0BF3DD93">
      <w:pPr>
        <w:rPr>
          <w:szCs w:val="21"/>
        </w:rPr>
      </w:pPr>
      <w:r>
        <w:rPr>
          <w:rFonts w:hint="eastAsia"/>
          <w:szCs w:val="21"/>
        </w:rPr>
        <w:t>（</w:t>
      </w:r>
      <w:r>
        <w:rPr>
          <w:szCs w:val="21"/>
        </w:rPr>
        <w:t>2）初验前，供应商须完成软件开发、软硬件安装和信息系统的调试等，并对本项目进行功能和运行检测，确保所有信息系统功能模块能够正常运行且已达到本项目约定的各类标准要求。供应商应以书面形式向</w:t>
      </w:r>
      <w:r>
        <w:rPr>
          <w:rFonts w:hint="eastAsia"/>
          <w:szCs w:val="21"/>
        </w:rPr>
        <w:t>采购人</w:t>
      </w:r>
      <w:r>
        <w:rPr>
          <w:szCs w:val="21"/>
        </w:rPr>
        <w:t>递交初验通知书。</w:t>
      </w:r>
      <w:r>
        <w:rPr>
          <w:rFonts w:hint="eastAsia"/>
          <w:szCs w:val="21"/>
        </w:rPr>
        <w:t>采购人</w:t>
      </w:r>
      <w:r>
        <w:rPr>
          <w:szCs w:val="21"/>
        </w:rPr>
        <w:t>应当在接到通知后的5个工作日内确定初验的具体日期，由双方按照本项目的约定完成本项目的初验。</w:t>
      </w:r>
      <w:r>
        <w:rPr>
          <w:rFonts w:hint="eastAsia"/>
          <w:szCs w:val="21"/>
        </w:rPr>
        <w:t>采购人</w:t>
      </w:r>
      <w:r>
        <w:rPr>
          <w:szCs w:val="21"/>
        </w:rPr>
        <w:t>有权委托第三方检测机构进行验收，对此供应商应当配合。</w:t>
      </w:r>
    </w:p>
    <w:p w14:paraId="3D778240">
      <w:pPr>
        <w:rPr>
          <w:szCs w:val="21"/>
        </w:rPr>
      </w:pPr>
      <w:r>
        <w:rPr>
          <w:rFonts w:hint="eastAsia"/>
          <w:szCs w:val="21"/>
        </w:rPr>
        <w:t>（</w:t>
      </w:r>
      <w:r>
        <w:rPr>
          <w:szCs w:val="21"/>
        </w:rPr>
        <w:t>3）初验时，供应商须提供软件文档包括《用户需求说明书》、《系统概要设计说明书》、《系统详细设计说明书》、</w:t>
      </w:r>
      <w:r>
        <w:rPr>
          <w:rFonts w:hint="eastAsia"/>
          <w:szCs w:val="21"/>
        </w:rPr>
        <w:t>《三方功能需求确认单》、</w:t>
      </w:r>
      <w:r>
        <w:rPr>
          <w:szCs w:val="21"/>
        </w:rPr>
        <w:t>《测试报告》、《用户使用手册》、《系统部署文档》等）及可安装的程序运行文件。所交付的文档与文件应当是可供自然人阅读的书面和电子文档。软件文档及可安装的程序运行文件验收通过后，视为初验通过。如有缺陷，</w:t>
      </w:r>
      <w:r>
        <w:rPr>
          <w:rFonts w:hint="eastAsia"/>
          <w:szCs w:val="21"/>
        </w:rPr>
        <w:t>采购人</w:t>
      </w:r>
      <w:r>
        <w:rPr>
          <w:szCs w:val="21"/>
        </w:rPr>
        <w:t>应向供应商出具书面报告，陈述需要改进的缺陷。供应商应立即严格依照</w:t>
      </w:r>
      <w:r>
        <w:rPr>
          <w:rFonts w:hint="eastAsia"/>
          <w:szCs w:val="21"/>
        </w:rPr>
        <w:t>采购人</w:t>
      </w:r>
      <w:r>
        <w:rPr>
          <w:szCs w:val="21"/>
        </w:rPr>
        <w:t>的书面报告中的要求改进缺陷，并再次进行初验。</w:t>
      </w:r>
    </w:p>
    <w:p w14:paraId="525ECE43">
      <w:pPr>
        <w:rPr>
          <w:szCs w:val="21"/>
        </w:rPr>
      </w:pPr>
      <w:r>
        <w:rPr>
          <w:rFonts w:hint="eastAsia"/>
          <w:szCs w:val="21"/>
        </w:rPr>
        <w:t>（</w:t>
      </w:r>
      <w:r>
        <w:rPr>
          <w:szCs w:val="21"/>
        </w:rPr>
        <w:t>4）自初验通过之日起，</w:t>
      </w:r>
      <w:r>
        <w:rPr>
          <w:rFonts w:hint="eastAsia"/>
          <w:szCs w:val="21"/>
        </w:rPr>
        <w:t>采购人</w:t>
      </w:r>
      <w:r>
        <w:rPr>
          <w:szCs w:val="21"/>
        </w:rPr>
        <w:t>享有供应商免费提供的</w:t>
      </w:r>
      <w:r>
        <w:rPr>
          <w:rFonts w:hint="eastAsia"/>
          <w:szCs w:val="21"/>
          <w:highlight w:val="none"/>
          <w:lang w:val="en-US" w:eastAsia="zh-CN"/>
        </w:rPr>
        <w:t>3</w:t>
      </w:r>
      <w:r>
        <w:rPr>
          <w:rFonts w:hint="eastAsia"/>
          <w:szCs w:val="21"/>
          <w:highlight w:val="none"/>
        </w:rPr>
        <w:t>0</w:t>
      </w:r>
      <w:r>
        <w:rPr>
          <w:szCs w:val="21"/>
          <w:highlight w:val="none"/>
        </w:rPr>
        <w:t>天</w:t>
      </w:r>
      <w:r>
        <w:rPr>
          <w:szCs w:val="21"/>
        </w:rPr>
        <w:t>的信息系统试运行现场驻场服务期。该期间内，供应商应当按照</w:t>
      </w:r>
      <w:r>
        <w:rPr>
          <w:rFonts w:hint="eastAsia"/>
          <w:szCs w:val="21"/>
        </w:rPr>
        <w:t>采购人</w:t>
      </w:r>
      <w:r>
        <w:rPr>
          <w:szCs w:val="21"/>
        </w:rPr>
        <w:t>的要求提供现场技术支持服务，解决信息系统试运行期间可能出现的各</w:t>
      </w:r>
      <w:bookmarkStart w:id="38" w:name="_GoBack"/>
      <w:bookmarkEnd w:id="38"/>
      <w:r>
        <w:rPr>
          <w:szCs w:val="21"/>
        </w:rPr>
        <w:t>类问题，或进一步提高与完善信息系统运行水平。</w:t>
      </w:r>
    </w:p>
    <w:p w14:paraId="1F5F258F">
      <w:pPr>
        <w:rPr>
          <w:szCs w:val="21"/>
        </w:rPr>
      </w:pPr>
      <w:r>
        <w:rPr>
          <w:rFonts w:hint="eastAsia"/>
          <w:szCs w:val="21"/>
        </w:rPr>
        <w:t>（</w:t>
      </w:r>
      <w:r>
        <w:rPr>
          <w:szCs w:val="21"/>
        </w:rPr>
        <w:t>5）初验通过且信息系统试运行期已经达到本项目约定的时间，经供应商确认信息系统具备正常运行条件，且信息系统通过运行测试，供应商应以书面形式通知</w:t>
      </w:r>
      <w:r>
        <w:rPr>
          <w:rFonts w:hint="eastAsia"/>
          <w:szCs w:val="21"/>
        </w:rPr>
        <w:t>采购人</w:t>
      </w:r>
      <w:r>
        <w:rPr>
          <w:szCs w:val="21"/>
        </w:rPr>
        <w:t>信息系统已准备就绪等待终验。</w:t>
      </w:r>
      <w:r>
        <w:rPr>
          <w:rFonts w:hint="eastAsia"/>
          <w:szCs w:val="21"/>
        </w:rPr>
        <w:t>采购人</w:t>
      </w:r>
      <w:r>
        <w:rPr>
          <w:szCs w:val="21"/>
        </w:rPr>
        <w:t>在收到终验通知后的</w:t>
      </w:r>
      <w:r>
        <w:rPr>
          <w:rFonts w:hint="eastAsia"/>
          <w:szCs w:val="21"/>
        </w:rPr>
        <w:t>10</w:t>
      </w:r>
      <w:r>
        <w:rPr>
          <w:szCs w:val="21"/>
        </w:rPr>
        <w:t>个工作日内发起组织专家验收会。</w:t>
      </w:r>
    </w:p>
    <w:p w14:paraId="5DEF5EB4">
      <w:pPr>
        <w:rPr>
          <w:szCs w:val="21"/>
        </w:rPr>
      </w:pPr>
      <w:r>
        <w:rPr>
          <w:rFonts w:hint="eastAsia"/>
          <w:szCs w:val="21"/>
        </w:rPr>
        <w:t>（6</w:t>
      </w:r>
      <w:r>
        <w:rPr>
          <w:szCs w:val="21"/>
        </w:rPr>
        <w:t>）如果属于供应商原因致使本项目未能通过终验，供应商应当排除缺陷，直至本项目完全符合验收标准，由上述情形而产生的相关费用应由供应商自行承担。</w:t>
      </w:r>
    </w:p>
    <w:p w14:paraId="310A0827">
      <w:pPr>
        <w:rPr>
          <w:szCs w:val="21"/>
        </w:rPr>
      </w:pPr>
      <w:r>
        <w:rPr>
          <w:rFonts w:hint="eastAsia"/>
          <w:szCs w:val="21"/>
        </w:rPr>
        <w:t>（7</w:t>
      </w:r>
      <w:r>
        <w:rPr>
          <w:szCs w:val="21"/>
        </w:rPr>
        <w:t>）如果由于</w:t>
      </w:r>
      <w:r>
        <w:rPr>
          <w:rFonts w:hint="eastAsia"/>
          <w:szCs w:val="21"/>
        </w:rPr>
        <w:t>采购人</w:t>
      </w:r>
      <w:r>
        <w:rPr>
          <w:szCs w:val="21"/>
        </w:rPr>
        <w:t>原因导致本项目在终验通过前出现故障或问题，供应商应及时配合排除该方面的故障或问题。</w:t>
      </w:r>
    </w:p>
    <w:p w14:paraId="38A2E36B">
      <w:pPr>
        <w:rPr>
          <w:szCs w:val="21"/>
        </w:rPr>
      </w:pPr>
      <w:r>
        <w:rPr>
          <w:rFonts w:hint="eastAsia"/>
          <w:szCs w:val="21"/>
        </w:rPr>
        <w:t>（8</w:t>
      </w:r>
      <w:r>
        <w:rPr>
          <w:szCs w:val="21"/>
        </w:rPr>
        <w:t>）如本项目连续3次验收未通过（含初验未通过或终验未通过），</w:t>
      </w:r>
      <w:r>
        <w:rPr>
          <w:rFonts w:hint="eastAsia"/>
          <w:szCs w:val="21"/>
        </w:rPr>
        <w:t>采购人</w:t>
      </w:r>
      <w:r>
        <w:rPr>
          <w:szCs w:val="21"/>
        </w:rPr>
        <w:t>有权解除项目，并有权依照本项目约定的违约条款追究供应商的违约责任。</w:t>
      </w:r>
    </w:p>
    <w:p w14:paraId="1D0E3AB6">
      <w:pPr>
        <w:pStyle w:val="3"/>
      </w:pPr>
      <w:bookmarkStart w:id="31" w:name="_Toc63785509"/>
      <w:r>
        <w:rPr>
          <w:rFonts w:hint="eastAsia"/>
        </w:rPr>
        <w:t>进度要求</w:t>
      </w:r>
      <w:bookmarkEnd w:id="31"/>
    </w:p>
    <w:p w14:paraId="113231A0">
      <w:r>
        <w:rPr>
          <w:rFonts w:hint="eastAsia"/>
        </w:rPr>
        <w:t>投标人应根据建设内容，分阶段制定合理的时间进度，并且应根据采购人要求进行调整和细化。</w:t>
      </w:r>
    </w:p>
    <w:p w14:paraId="77E975F7">
      <w:r>
        <w:rPr>
          <w:rFonts w:hint="eastAsia"/>
        </w:rPr>
        <w:t>总建设周期大致为10个月，分为四个阶段。</w:t>
      </w:r>
    </w:p>
    <w:p w14:paraId="2FCCFF59">
      <w:r>
        <w:rPr>
          <w:rFonts w:hint="eastAsia"/>
        </w:rPr>
        <w:t>第一阶段为3个月，完成系统设计、设备选型。</w:t>
      </w:r>
    </w:p>
    <w:p w14:paraId="2577A36A">
      <w:r>
        <w:rPr>
          <w:rFonts w:hint="eastAsia"/>
        </w:rPr>
        <w:t>第二阶段为5个月，完成系统开发、系统测试及系统初验。</w:t>
      </w:r>
    </w:p>
    <w:p w14:paraId="497EBD4B">
      <w:r>
        <w:rPr>
          <w:rFonts w:hint="eastAsia"/>
        </w:rPr>
        <w:t>第三阶段为1个月，完成系统试运行。</w:t>
      </w:r>
    </w:p>
    <w:p w14:paraId="2EC762F1">
      <w:r>
        <w:rPr>
          <w:rFonts w:hint="eastAsia"/>
        </w:rPr>
        <w:t>第四阶段为1个月，完成系统验收。</w:t>
      </w:r>
    </w:p>
    <w:p w14:paraId="4890D3AE">
      <w:pPr>
        <w:pStyle w:val="3"/>
      </w:pPr>
      <w:bookmarkStart w:id="32" w:name="_Toc63785510"/>
      <w:r>
        <w:rPr>
          <w:rFonts w:hint="eastAsia"/>
        </w:rPr>
        <w:t>项目团队及驻场人员要求</w:t>
      </w:r>
      <w:bookmarkEnd w:id="32"/>
    </w:p>
    <w:p w14:paraId="607C731E">
      <w:pPr>
        <w:numPr>
          <w:ilvl w:val="0"/>
          <w:numId w:val="4"/>
        </w:numPr>
      </w:pPr>
      <w:r>
        <w:t>投标人须具有稳定的在职技术保障力量，能够提供及时的技术支援或服务，应针对本项目提供不少于</w:t>
      </w:r>
      <w:r>
        <w:rPr>
          <w:rFonts w:hint="eastAsia"/>
        </w:rPr>
        <w:t>10</w:t>
      </w:r>
      <w:r>
        <w:t>人的项目服务团队（包括项目经理、产品经理、技术负责人、研发等），投标单位的相关服务人员需具备相应的服务能力，需提供相关证明。</w:t>
      </w:r>
    </w:p>
    <w:tbl>
      <w:tblPr>
        <w:tblStyle w:val="3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557"/>
        <w:gridCol w:w="1175"/>
        <w:gridCol w:w="2662"/>
        <w:gridCol w:w="958"/>
      </w:tblGrid>
      <w:tr w14:paraId="0EEFB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noWrap/>
            <w:vAlign w:val="center"/>
          </w:tcPr>
          <w:p w14:paraId="536CC74D">
            <w:pPr>
              <w:widowControl/>
              <w:spacing w:line="240" w:lineRule="auto"/>
              <w:ind w:firstLine="0" w:firstLineChars="0"/>
              <w:jc w:val="center"/>
              <w:rPr>
                <w:rFonts w:cs="宋体"/>
                <w:b/>
                <w:sz w:val="22"/>
                <w:szCs w:val="22"/>
              </w:rPr>
            </w:pPr>
            <w:r>
              <w:rPr>
                <w:rFonts w:hint="eastAsia" w:cs="宋体"/>
                <w:b/>
                <w:sz w:val="22"/>
                <w:szCs w:val="22"/>
              </w:rPr>
              <w:t>角色</w:t>
            </w:r>
          </w:p>
        </w:tc>
        <w:tc>
          <w:tcPr>
            <w:tcW w:w="2557" w:type="dxa"/>
            <w:noWrap/>
            <w:vAlign w:val="center"/>
          </w:tcPr>
          <w:p w14:paraId="3FFB3A01">
            <w:pPr>
              <w:widowControl/>
              <w:spacing w:line="240" w:lineRule="auto"/>
              <w:ind w:firstLine="0" w:firstLineChars="0"/>
              <w:jc w:val="center"/>
              <w:rPr>
                <w:rFonts w:cs="宋体"/>
                <w:b/>
                <w:sz w:val="22"/>
                <w:szCs w:val="22"/>
              </w:rPr>
            </w:pPr>
            <w:r>
              <w:rPr>
                <w:rFonts w:hint="eastAsia" w:cs="宋体"/>
                <w:b/>
                <w:sz w:val="22"/>
                <w:szCs w:val="22"/>
              </w:rPr>
              <w:t>主要职责</w:t>
            </w:r>
          </w:p>
        </w:tc>
        <w:tc>
          <w:tcPr>
            <w:tcW w:w="1175" w:type="dxa"/>
            <w:noWrap/>
            <w:vAlign w:val="center"/>
          </w:tcPr>
          <w:p w14:paraId="607DA7E7">
            <w:pPr>
              <w:widowControl/>
              <w:spacing w:line="240" w:lineRule="auto"/>
              <w:ind w:firstLine="0" w:firstLineChars="0"/>
              <w:jc w:val="center"/>
              <w:rPr>
                <w:rFonts w:cs="宋体"/>
                <w:b/>
                <w:sz w:val="22"/>
                <w:szCs w:val="22"/>
              </w:rPr>
            </w:pPr>
            <w:r>
              <w:rPr>
                <w:rFonts w:hint="eastAsia" w:cs="宋体"/>
                <w:b/>
                <w:sz w:val="22"/>
                <w:szCs w:val="22"/>
              </w:rPr>
              <w:t>人员数量</w:t>
            </w:r>
          </w:p>
        </w:tc>
        <w:tc>
          <w:tcPr>
            <w:tcW w:w="2662" w:type="dxa"/>
            <w:vAlign w:val="center"/>
          </w:tcPr>
          <w:p w14:paraId="1063592D">
            <w:pPr>
              <w:widowControl/>
              <w:spacing w:line="240" w:lineRule="auto"/>
              <w:ind w:firstLine="0" w:firstLineChars="0"/>
              <w:jc w:val="center"/>
              <w:rPr>
                <w:rFonts w:cs="宋体"/>
                <w:b/>
                <w:sz w:val="22"/>
                <w:szCs w:val="22"/>
              </w:rPr>
            </w:pPr>
            <w:r>
              <w:rPr>
                <w:rFonts w:hint="eastAsia" w:cs="宋体"/>
                <w:b/>
                <w:sz w:val="22"/>
                <w:szCs w:val="22"/>
              </w:rPr>
              <w:t>人员要求</w:t>
            </w:r>
          </w:p>
        </w:tc>
        <w:tc>
          <w:tcPr>
            <w:tcW w:w="958" w:type="dxa"/>
            <w:noWrap/>
            <w:vAlign w:val="center"/>
          </w:tcPr>
          <w:p w14:paraId="2DF666AA">
            <w:pPr>
              <w:widowControl/>
              <w:spacing w:line="240" w:lineRule="auto"/>
              <w:ind w:firstLine="0" w:firstLineChars="0"/>
              <w:jc w:val="center"/>
              <w:rPr>
                <w:rFonts w:cs="宋体"/>
                <w:b/>
                <w:sz w:val="22"/>
                <w:szCs w:val="22"/>
              </w:rPr>
            </w:pPr>
            <w:r>
              <w:rPr>
                <w:rFonts w:hint="eastAsia" w:cs="宋体"/>
                <w:b/>
                <w:sz w:val="22"/>
                <w:szCs w:val="22"/>
              </w:rPr>
              <w:t>驻场</w:t>
            </w:r>
          </w:p>
          <w:p w14:paraId="7DF42A84">
            <w:pPr>
              <w:widowControl/>
              <w:spacing w:line="240" w:lineRule="auto"/>
              <w:ind w:firstLine="0" w:firstLineChars="0"/>
              <w:jc w:val="center"/>
              <w:rPr>
                <w:rFonts w:cs="宋体"/>
                <w:b/>
                <w:sz w:val="22"/>
                <w:szCs w:val="22"/>
              </w:rPr>
            </w:pPr>
            <w:r>
              <w:rPr>
                <w:rFonts w:hint="eastAsia" w:cs="宋体"/>
                <w:b/>
                <w:sz w:val="22"/>
                <w:szCs w:val="22"/>
              </w:rPr>
              <w:t>要求</w:t>
            </w:r>
          </w:p>
        </w:tc>
      </w:tr>
      <w:tr w14:paraId="429CF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noWrap/>
            <w:vAlign w:val="center"/>
          </w:tcPr>
          <w:p w14:paraId="36A6B11A">
            <w:pPr>
              <w:widowControl/>
              <w:spacing w:line="240" w:lineRule="auto"/>
              <w:ind w:firstLine="0" w:firstLineChars="0"/>
              <w:jc w:val="center"/>
              <w:rPr>
                <w:rFonts w:cs="宋体"/>
                <w:sz w:val="22"/>
                <w:szCs w:val="22"/>
              </w:rPr>
            </w:pPr>
            <w:r>
              <w:rPr>
                <w:rFonts w:hint="eastAsia" w:cs="宋体"/>
                <w:sz w:val="22"/>
                <w:szCs w:val="22"/>
              </w:rPr>
              <w:t>项目经理</w:t>
            </w:r>
          </w:p>
        </w:tc>
        <w:tc>
          <w:tcPr>
            <w:tcW w:w="2557" w:type="dxa"/>
            <w:vAlign w:val="center"/>
          </w:tcPr>
          <w:p w14:paraId="3CE2B4AF">
            <w:pPr>
              <w:widowControl/>
              <w:spacing w:line="240" w:lineRule="auto"/>
              <w:ind w:firstLine="0" w:firstLineChars="0"/>
              <w:jc w:val="center"/>
              <w:rPr>
                <w:rFonts w:cs="宋体"/>
                <w:sz w:val="22"/>
                <w:szCs w:val="22"/>
              </w:rPr>
            </w:pPr>
            <w:r>
              <w:rPr>
                <w:rFonts w:hint="eastAsia" w:cs="宋体"/>
                <w:sz w:val="22"/>
                <w:szCs w:val="22"/>
              </w:rPr>
              <w:t>负责项目质量和进度控制</w:t>
            </w:r>
          </w:p>
        </w:tc>
        <w:tc>
          <w:tcPr>
            <w:tcW w:w="1175" w:type="dxa"/>
            <w:noWrap/>
            <w:vAlign w:val="center"/>
          </w:tcPr>
          <w:p w14:paraId="0AF201BC">
            <w:pPr>
              <w:widowControl/>
              <w:spacing w:line="240" w:lineRule="auto"/>
              <w:ind w:firstLine="0" w:firstLineChars="0"/>
              <w:jc w:val="center"/>
              <w:rPr>
                <w:rFonts w:cs="宋体"/>
                <w:sz w:val="22"/>
                <w:szCs w:val="22"/>
              </w:rPr>
            </w:pPr>
            <w:r>
              <w:rPr>
                <w:rFonts w:hint="eastAsia" w:cs="宋体"/>
                <w:sz w:val="22"/>
                <w:szCs w:val="22"/>
              </w:rPr>
              <w:t>1人</w:t>
            </w:r>
          </w:p>
        </w:tc>
        <w:tc>
          <w:tcPr>
            <w:tcW w:w="2662" w:type="dxa"/>
            <w:vAlign w:val="center"/>
          </w:tcPr>
          <w:p w14:paraId="0E1A133E">
            <w:pPr>
              <w:widowControl/>
              <w:spacing w:line="240" w:lineRule="auto"/>
              <w:ind w:firstLine="0" w:firstLineChars="0"/>
              <w:jc w:val="center"/>
              <w:rPr>
                <w:rFonts w:cs="宋体"/>
                <w:sz w:val="22"/>
                <w:szCs w:val="22"/>
              </w:rPr>
            </w:pPr>
            <w:r>
              <w:rPr>
                <w:rFonts w:hint="eastAsia" w:cs="宋体"/>
                <w:sz w:val="22"/>
                <w:szCs w:val="22"/>
              </w:rPr>
              <w:t>研究生及以上学历，</w:t>
            </w:r>
            <w:r>
              <w:rPr>
                <w:rFonts w:hint="eastAsia" w:cs="宋体"/>
                <w:color w:val="000000"/>
                <w:kern w:val="0"/>
                <w:sz w:val="22"/>
                <w:szCs w:val="22"/>
              </w:rPr>
              <w:t>具有3年</w:t>
            </w:r>
            <w:r>
              <w:rPr>
                <w:rFonts w:hint="eastAsia" w:cs="宋体"/>
                <w:color w:val="000000"/>
                <w:kern w:val="0"/>
                <w:sz w:val="22"/>
                <w:szCs w:val="22"/>
                <w:lang w:eastAsia="zh-CN"/>
              </w:rPr>
              <w:t>及</w:t>
            </w:r>
            <w:r>
              <w:rPr>
                <w:rFonts w:hint="eastAsia" w:cs="宋体"/>
                <w:color w:val="000000"/>
                <w:kern w:val="0"/>
                <w:sz w:val="22"/>
                <w:szCs w:val="22"/>
              </w:rPr>
              <w:t>以上政务信息系统软件项目管理服务经验，</w:t>
            </w:r>
            <w:r>
              <w:rPr>
                <w:rFonts w:hint="eastAsia" w:cs="宋体"/>
                <w:iCs w:val="0"/>
                <w:color w:val="000000"/>
                <w:kern w:val="0"/>
                <w:sz w:val="22"/>
                <w:szCs w:val="22"/>
              </w:rPr>
              <w:t>具备信息系统项目管理师资质证书</w:t>
            </w:r>
            <w:r>
              <w:rPr>
                <w:rFonts w:hint="eastAsia" w:cs="宋体"/>
                <w:color w:val="000000"/>
                <w:kern w:val="0"/>
                <w:sz w:val="22"/>
                <w:szCs w:val="22"/>
              </w:rPr>
              <w:t>的，承担过类似信息化项目经理职务的优先考虑</w:t>
            </w:r>
          </w:p>
        </w:tc>
        <w:tc>
          <w:tcPr>
            <w:tcW w:w="958" w:type="dxa"/>
            <w:noWrap/>
            <w:vAlign w:val="center"/>
          </w:tcPr>
          <w:p w14:paraId="3324CBE8">
            <w:pPr>
              <w:widowControl/>
              <w:spacing w:line="240" w:lineRule="auto"/>
              <w:ind w:firstLine="0" w:firstLineChars="0"/>
              <w:jc w:val="center"/>
              <w:rPr>
                <w:rFonts w:cs="宋体"/>
                <w:sz w:val="22"/>
                <w:szCs w:val="22"/>
              </w:rPr>
            </w:pPr>
            <w:r>
              <w:rPr>
                <w:rFonts w:hint="eastAsia" w:cs="宋体"/>
                <w:sz w:val="22"/>
                <w:szCs w:val="22"/>
              </w:rPr>
              <w:t>驻场</w:t>
            </w:r>
          </w:p>
        </w:tc>
      </w:tr>
      <w:tr w14:paraId="1DC3A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noWrap/>
            <w:vAlign w:val="center"/>
          </w:tcPr>
          <w:p w14:paraId="57A37D48">
            <w:pPr>
              <w:widowControl/>
              <w:spacing w:line="240" w:lineRule="auto"/>
              <w:ind w:firstLine="0" w:firstLineChars="0"/>
              <w:jc w:val="center"/>
              <w:rPr>
                <w:rFonts w:cs="宋体"/>
                <w:sz w:val="22"/>
                <w:szCs w:val="22"/>
              </w:rPr>
            </w:pPr>
            <w:r>
              <w:rPr>
                <w:rFonts w:hint="eastAsia" w:cs="宋体"/>
                <w:sz w:val="22"/>
                <w:szCs w:val="22"/>
              </w:rPr>
              <w:t>产品经理</w:t>
            </w:r>
          </w:p>
        </w:tc>
        <w:tc>
          <w:tcPr>
            <w:tcW w:w="2557" w:type="dxa"/>
            <w:vAlign w:val="center"/>
          </w:tcPr>
          <w:p w14:paraId="0C9BB067">
            <w:pPr>
              <w:widowControl/>
              <w:spacing w:line="240" w:lineRule="auto"/>
              <w:ind w:firstLine="0" w:firstLineChars="0"/>
              <w:jc w:val="center"/>
              <w:rPr>
                <w:rFonts w:cs="宋体"/>
                <w:sz w:val="22"/>
                <w:szCs w:val="22"/>
              </w:rPr>
            </w:pPr>
            <w:r>
              <w:rPr>
                <w:rFonts w:hint="eastAsia" w:cs="宋体"/>
                <w:sz w:val="22"/>
                <w:szCs w:val="22"/>
              </w:rPr>
              <w:t>负责项目需求评估与产品设计</w:t>
            </w:r>
          </w:p>
        </w:tc>
        <w:tc>
          <w:tcPr>
            <w:tcW w:w="1175" w:type="dxa"/>
            <w:noWrap/>
            <w:vAlign w:val="center"/>
          </w:tcPr>
          <w:p w14:paraId="0B7C8986">
            <w:pPr>
              <w:widowControl/>
              <w:spacing w:line="240" w:lineRule="auto"/>
              <w:ind w:firstLine="0" w:firstLineChars="0"/>
              <w:jc w:val="center"/>
              <w:rPr>
                <w:rFonts w:cs="宋体"/>
                <w:sz w:val="22"/>
                <w:szCs w:val="22"/>
              </w:rPr>
            </w:pPr>
            <w:r>
              <w:rPr>
                <w:rFonts w:hint="eastAsia" w:cs="宋体"/>
                <w:sz w:val="22"/>
                <w:szCs w:val="22"/>
              </w:rPr>
              <w:t>1人</w:t>
            </w:r>
          </w:p>
        </w:tc>
        <w:tc>
          <w:tcPr>
            <w:tcW w:w="2662" w:type="dxa"/>
            <w:vAlign w:val="center"/>
          </w:tcPr>
          <w:p w14:paraId="20711C0B">
            <w:pPr>
              <w:pStyle w:val="70"/>
              <w:widowControl/>
              <w:jc w:val="left"/>
              <w:rPr>
                <w:rFonts w:ascii="宋体" w:hAnsi="宋体" w:cs="宋体"/>
                <w:sz w:val="22"/>
                <w:szCs w:val="22"/>
              </w:rPr>
            </w:pPr>
            <w:r>
              <w:rPr>
                <w:rFonts w:hint="eastAsia" w:ascii="宋体" w:hAnsi="宋体" w:cs="宋体"/>
                <w:sz w:val="22"/>
                <w:szCs w:val="22"/>
              </w:rPr>
              <w:t>本科及以上学历，具有3年以上政务信息系统软件</w:t>
            </w:r>
            <w:r>
              <w:rPr>
                <w:rFonts w:hint="eastAsia" w:cs="宋体"/>
                <w:color w:val="000000"/>
                <w:kern w:val="0"/>
                <w:sz w:val="22"/>
                <w:szCs w:val="22"/>
              </w:rPr>
              <w:t>需求分析经验的优先考虑</w:t>
            </w:r>
          </w:p>
        </w:tc>
        <w:tc>
          <w:tcPr>
            <w:tcW w:w="958" w:type="dxa"/>
            <w:noWrap/>
            <w:vAlign w:val="center"/>
          </w:tcPr>
          <w:p w14:paraId="25671A47">
            <w:pPr>
              <w:widowControl/>
              <w:spacing w:line="240" w:lineRule="auto"/>
              <w:ind w:firstLine="0" w:firstLineChars="0"/>
              <w:jc w:val="center"/>
              <w:rPr>
                <w:rFonts w:cs="宋体"/>
                <w:sz w:val="22"/>
                <w:szCs w:val="22"/>
              </w:rPr>
            </w:pPr>
            <w:r>
              <w:rPr>
                <w:rFonts w:hint="eastAsia" w:cs="宋体"/>
                <w:sz w:val="22"/>
                <w:szCs w:val="22"/>
              </w:rPr>
              <w:t>驻场</w:t>
            </w:r>
          </w:p>
        </w:tc>
      </w:tr>
      <w:tr w14:paraId="535B9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noWrap/>
            <w:vAlign w:val="center"/>
          </w:tcPr>
          <w:p w14:paraId="21F3D395">
            <w:pPr>
              <w:widowControl/>
              <w:spacing w:line="240" w:lineRule="auto"/>
              <w:ind w:firstLine="0" w:firstLineChars="0"/>
              <w:jc w:val="center"/>
              <w:rPr>
                <w:rFonts w:cs="宋体"/>
                <w:sz w:val="22"/>
                <w:szCs w:val="22"/>
              </w:rPr>
            </w:pPr>
            <w:r>
              <w:rPr>
                <w:rFonts w:hint="eastAsia" w:cs="宋体"/>
                <w:sz w:val="22"/>
                <w:szCs w:val="22"/>
              </w:rPr>
              <w:t>研发</w:t>
            </w:r>
          </w:p>
        </w:tc>
        <w:tc>
          <w:tcPr>
            <w:tcW w:w="2557" w:type="dxa"/>
            <w:noWrap/>
            <w:vAlign w:val="center"/>
          </w:tcPr>
          <w:p w14:paraId="239D0285">
            <w:pPr>
              <w:widowControl/>
              <w:spacing w:line="240" w:lineRule="auto"/>
              <w:ind w:firstLine="0" w:firstLineChars="0"/>
              <w:jc w:val="center"/>
              <w:rPr>
                <w:rFonts w:cs="宋体"/>
                <w:sz w:val="22"/>
                <w:szCs w:val="22"/>
              </w:rPr>
            </w:pPr>
            <w:r>
              <w:rPr>
                <w:rFonts w:hint="eastAsia" w:cs="宋体"/>
                <w:sz w:val="22"/>
                <w:szCs w:val="22"/>
              </w:rPr>
              <w:t>负责项目具体开发与实施</w:t>
            </w:r>
          </w:p>
        </w:tc>
        <w:tc>
          <w:tcPr>
            <w:tcW w:w="1175" w:type="dxa"/>
            <w:noWrap/>
            <w:vAlign w:val="center"/>
          </w:tcPr>
          <w:p w14:paraId="0FC0EE3A">
            <w:pPr>
              <w:widowControl/>
              <w:spacing w:line="240" w:lineRule="auto"/>
              <w:ind w:firstLine="0" w:firstLineChars="0"/>
              <w:jc w:val="center"/>
              <w:rPr>
                <w:rFonts w:cs="宋体"/>
                <w:sz w:val="22"/>
                <w:szCs w:val="22"/>
              </w:rPr>
            </w:pPr>
            <w:r>
              <w:rPr>
                <w:rFonts w:hint="eastAsia" w:cs="宋体"/>
                <w:sz w:val="22"/>
                <w:szCs w:val="22"/>
              </w:rPr>
              <w:t>6人</w:t>
            </w:r>
          </w:p>
        </w:tc>
        <w:tc>
          <w:tcPr>
            <w:tcW w:w="2662" w:type="dxa"/>
            <w:vAlign w:val="center"/>
          </w:tcPr>
          <w:p w14:paraId="7848560D">
            <w:pPr>
              <w:widowControl/>
              <w:spacing w:line="240" w:lineRule="auto"/>
              <w:ind w:firstLine="0" w:firstLineChars="0"/>
              <w:jc w:val="center"/>
              <w:rPr>
                <w:rFonts w:cs="宋体"/>
                <w:sz w:val="22"/>
                <w:szCs w:val="22"/>
              </w:rPr>
            </w:pPr>
            <w:r>
              <w:rPr>
                <w:rFonts w:hint="eastAsia" w:cs="宋体"/>
                <w:sz w:val="22"/>
                <w:szCs w:val="22"/>
              </w:rPr>
              <w:t>本科及以上学历，具备软件开发相关工作经验</w:t>
            </w:r>
            <w:r>
              <w:rPr>
                <w:rFonts w:hint="eastAsia" w:cs="宋体"/>
                <w:color w:val="000000"/>
                <w:kern w:val="0"/>
                <w:sz w:val="22"/>
                <w:szCs w:val="22"/>
              </w:rPr>
              <w:t>的优先考虑</w:t>
            </w:r>
          </w:p>
        </w:tc>
        <w:tc>
          <w:tcPr>
            <w:tcW w:w="958" w:type="dxa"/>
            <w:noWrap/>
            <w:vAlign w:val="center"/>
          </w:tcPr>
          <w:p w14:paraId="4197DEE0">
            <w:pPr>
              <w:widowControl/>
              <w:spacing w:line="240" w:lineRule="auto"/>
              <w:ind w:firstLine="0" w:firstLineChars="0"/>
              <w:jc w:val="center"/>
              <w:rPr>
                <w:rFonts w:cs="宋体"/>
                <w:sz w:val="22"/>
                <w:szCs w:val="22"/>
              </w:rPr>
            </w:pPr>
            <w:r>
              <w:rPr>
                <w:rFonts w:hint="eastAsia" w:cs="宋体"/>
                <w:sz w:val="22"/>
                <w:szCs w:val="22"/>
              </w:rPr>
              <w:t>不驻场</w:t>
            </w:r>
          </w:p>
        </w:tc>
      </w:tr>
      <w:tr w14:paraId="20839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noWrap/>
            <w:vAlign w:val="center"/>
          </w:tcPr>
          <w:p w14:paraId="100541E3">
            <w:pPr>
              <w:widowControl/>
              <w:spacing w:line="240" w:lineRule="auto"/>
              <w:ind w:firstLine="0" w:firstLineChars="0"/>
              <w:jc w:val="center"/>
              <w:rPr>
                <w:rFonts w:cs="宋体"/>
                <w:sz w:val="22"/>
                <w:szCs w:val="22"/>
              </w:rPr>
            </w:pPr>
            <w:r>
              <w:rPr>
                <w:rFonts w:hint="eastAsia" w:cs="宋体"/>
                <w:sz w:val="22"/>
                <w:szCs w:val="22"/>
              </w:rPr>
              <w:t>功能测试</w:t>
            </w:r>
          </w:p>
        </w:tc>
        <w:tc>
          <w:tcPr>
            <w:tcW w:w="2557" w:type="dxa"/>
            <w:noWrap/>
            <w:vAlign w:val="center"/>
          </w:tcPr>
          <w:p w14:paraId="38631C7A">
            <w:pPr>
              <w:widowControl/>
              <w:spacing w:line="240" w:lineRule="auto"/>
              <w:ind w:firstLine="0" w:firstLineChars="0"/>
              <w:jc w:val="center"/>
              <w:rPr>
                <w:rFonts w:cs="宋体"/>
                <w:sz w:val="22"/>
                <w:szCs w:val="22"/>
              </w:rPr>
            </w:pPr>
            <w:r>
              <w:rPr>
                <w:rFonts w:hint="eastAsia" w:cs="宋体"/>
                <w:sz w:val="22"/>
                <w:szCs w:val="22"/>
              </w:rPr>
              <w:t>负责项目的功能测试</w:t>
            </w:r>
          </w:p>
        </w:tc>
        <w:tc>
          <w:tcPr>
            <w:tcW w:w="1175" w:type="dxa"/>
            <w:noWrap/>
            <w:vAlign w:val="center"/>
          </w:tcPr>
          <w:p w14:paraId="0542F9FA">
            <w:pPr>
              <w:widowControl/>
              <w:spacing w:line="240" w:lineRule="auto"/>
              <w:ind w:firstLine="0" w:firstLineChars="0"/>
              <w:jc w:val="center"/>
              <w:rPr>
                <w:rFonts w:cs="宋体"/>
                <w:sz w:val="22"/>
                <w:szCs w:val="22"/>
              </w:rPr>
            </w:pPr>
            <w:r>
              <w:rPr>
                <w:rFonts w:hint="eastAsia" w:cs="宋体"/>
                <w:sz w:val="22"/>
                <w:szCs w:val="22"/>
              </w:rPr>
              <w:t>1</w:t>
            </w:r>
          </w:p>
        </w:tc>
        <w:tc>
          <w:tcPr>
            <w:tcW w:w="2662" w:type="dxa"/>
            <w:vAlign w:val="center"/>
          </w:tcPr>
          <w:p w14:paraId="7BF32923">
            <w:pPr>
              <w:widowControl/>
              <w:spacing w:line="240" w:lineRule="auto"/>
              <w:ind w:firstLine="0" w:firstLineChars="0"/>
              <w:jc w:val="center"/>
              <w:rPr>
                <w:rFonts w:cs="宋体"/>
                <w:sz w:val="22"/>
                <w:szCs w:val="22"/>
              </w:rPr>
            </w:pPr>
            <w:r>
              <w:rPr>
                <w:rFonts w:hint="eastAsia" w:cs="宋体"/>
                <w:sz w:val="22"/>
                <w:szCs w:val="22"/>
              </w:rPr>
              <w:t>本科及以上学历，具备软件开发及测试相关工作经验</w:t>
            </w:r>
            <w:r>
              <w:rPr>
                <w:rFonts w:hint="eastAsia" w:cs="宋体"/>
                <w:color w:val="000000"/>
                <w:kern w:val="0"/>
                <w:sz w:val="22"/>
                <w:szCs w:val="22"/>
              </w:rPr>
              <w:t>的优先考虑</w:t>
            </w:r>
          </w:p>
        </w:tc>
        <w:tc>
          <w:tcPr>
            <w:tcW w:w="958" w:type="dxa"/>
            <w:noWrap/>
            <w:vAlign w:val="center"/>
          </w:tcPr>
          <w:p w14:paraId="4F6261CE">
            <w:pPr>
              <w:widowControl/>
              <w:spacing w:line="240" w:lineRule="auto"/>
              <w:ind w:firstLine="0" w:firstLineChars="0"/>
              <w:jc w:val="center"/>
              <w:rPr>
                <w:rFonts w:cs="宋体"/>
                <w:sz w:val="22"/>
                <w:szCs w:val="22"/>
              </w:rPr>
            </w:pPr>
            <w:r>
              <w:rPr>
                <w:rFonts w:hint="eastAsia" w:cs="宋体"/>
                <w:sz w:val="22"/>
                <w:szCs w:val="22"/>
              </w:rPr>
              <w:t>不驻场</w:t>
            </w:r>
          </w:p>
        </w:tc>
      </w:tr>
      <w:tr w14:paraId="6A1F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noWrap/>
            <w:vAlign w:val="center"/>
          </w:tcPr>
          <w:p w14:paraId="39C3CB9A">
            <w:pPr>
              <w:widowControl/>
              <w:spacing w:line="240" w:lineRule="auto"/>
              <w:ind w:firstLine="0" w:firstLineChars="0"/>
              <w:jc w:val="center"/>
              <w:rPr>
                <w:rFonts w:cs="宋体"/>
                <w:sz w:val="22"/>
                <w:szCs w:val="22"/>
              </w:rPr>
            </w:pPr>
            <w:r>
              <w:rPr>
                <w:rFonts w:hint="eastAsia" w:cs="宋体"/>
                <w:sz w:val="22"/>
                <w:szCs w:val="22"/>
              </w:rPr>
              <w:t>安全测试</w:t>
            </w:r>
          </w:p>
        </w:tc>
        <w:tc>
          <w:tcPr>
            <w:tcW w:w="2557" w:type="dxa"/>
            <w:noWrap/>
            <w:vAlign w:val="center"/>
          </w:tcPr>
          <w:p w14:paraId="0F404C0C">
            <w:pPr>
              <w:widowControl/>
              <w:spacing w:line="240" w:lineRule="auto"/>
              <w:ind w:firstLine="0" w:firstLineChars="0"/>
              <w:jc w:val="center"/>
              <w:rPr>
                <w:rFonts w:cs="宋体"/>
                <w:sz w:val="22"/>
                <w:szCs w:val="22"/>
              </w:rPr>
            </w:pPr>
            <w:r>
              <w:rPr>
                <w:rFonts w:hint="eastAsia" w:cs="宋体"/>
                <w:sz w:val="22"/>
                <w:szCs w:val="22"/>
              </w:rPr>
              <w:t>负责项目的安全测试</w:t>
            </w:r>
          </w:p>
        </w:tc>
        <w:tc>
          <w:tcPr>
            <w:tcW w:w="1175" w:type="dxa"/>
            <w:noWrap/>
            <w:vAlign w:val="center"/>
          </w:tcPr>
          <w:p w14:paraId="318E0B5F">
            <w:pPr>
              <w:widowControl/>
              <w:spacing w:line="240" w:lineRule="auto"/>
              <w:ind w:firstLine="0" w:firstLineChars="0"/>
              <w:jc w:val="center"/>
              <w:rPr>
                <w:rFonts w:cs="宋体"/>
                <w:sz w:val="22"/>
                <w:szCs w:val="22"/>
              </w:rPr>
            </w:pPr>
            <w:r>
              <w:rPr>
                <w:rFonts w:hint="eastAsia" w:cs="宋体"/>
                <w:sz w:val="22"/>
                <w:szCs w:val="22"/>
              </w:rPr>
              <w:t>1</w:t>
            </w:r>
          </w:p>
        </w:tc>
        <w:tc>
          <w:tcPr>
            <w:tcW w:w="2662" w:type="dxa"/>
            <w:vAlign w:val="center"/>
          </w:tcPr>
          <w:p w14:paraId="34FA3584">
            <w:pPr>
              <w:widowControl/>
              <w:spacing w:line="240" w:lineRule="auto"/>
              <w:ind w:firstLine="0" w:firstLineChars="0"/>
              <w:jc w:val="center"/>
              <w:rPr>
                <w:rFonts w:cs="宋体"/>
                <w:sz w:val="22"/>
                <w:szCs w:val="22"/>
              </w:rPr>
            </w:pPr>
            <w:r>
              <w:rPr>
                <w:rFonts w:hint="eastAsia" w:cs="宋体"/>
                <w:sz w:val="22"/>
                <w:szCs w:val="22"/>
              </w:rPr>
              <w:t>本科及以上学历，具备安全测试相关工作经验</w:t>
            </w:r>
            <w:r>
              <w:rPr>
                <w:rFonts w:hint="eastAsia" w:cs="宋体"/>
                <w:color w:val="000000"/>
                <w:kern w:val="0"/>
                <w:sz w:val="22"/>
                <w:szCs w:val="22"/>
              </w:rPr>
              <w:t>的优先考虑</w:t>
            </w:r>
          </w:p>
        </w:tc>
        <w:tc>
          <w:tcPr>
            <w:tcW w:w="958" w:type="dxa"/>
            <w:noWrap/>
            <w:vAlign w:val="center"/>
          </w:tcPr>
          <w:p w14:paraId="3B823A5E">
            <w:pPr>
              <w:widowControl/>
              <w:spacing w:line="240" w:lineRule="auto"/>
              <w:ind w:firstLine="0" w:firstLineChars="0"/>
              <w:jc w:val="center"/>
              <w:rPr>
                <w:rFonts w:cs="宋体"/>
                <w:sz w:val="22"/>
                <w:szCs w:val="22"/>
              </w:rPr>
            </w:pPr>
            <w:r>
              <w:rPr>
                <w:rFonts w:hint="eastAsia" w:cs="宋体"/>
                <w:sz w:val="22"/>
                <w:szCs w:val="22"/>
              </w:rPr>
              <w:t>不驻场</w:t>
            </w:r>
          </w:p>
        </w:tc>
      </w:tr>
    </w:tbl>
    <w:p w14:paraId="6505D5C8">
      <w:pPr>
        <w:ind w:firstLine="0" w:firstLineChars="0"/>
      </w:pPr>
    </w:p>
    <w:p w14:paraId="10F00CB8">
      <w:pPr>
        <w:numPr>
          <w:ilvl w:val="0"/>
          <w:numId w:val="4"/>
        </w:numPr>
      </w:pPr>
      <w:r>
        <w:t>投标人应针对本项目提供不少于</w:t>
      </w:r>
      <w:r>
        <w:rPr>
          <w:rFonts w:hint="eastAsia"/>
        </w:rPr>
        <w:t>3</w:t>
      </w:r>
      <w:r>
        <w:t>人的质保期间支撑团队（其中技术</w:t>
      </w:r>
      <w:r>
        <w:rPr>
          <w:rFonts w:hint="eastAsia"/>
        </w:rPr>
        <w:t>运维组长1</w:t>
      </w:r>
      <w:r>
        <w:t>人，</w:t>
      </w:r>
      <w:r>
        <w:rPr>
          <w:rFonts w:hint="eastAsia"/>
        </w:rPr>
        <w:t>运维主管1</w:t>
      </w:r>
      <w:r>
        <w:t>人，技术工程师不少于</w:t>
      </w:r>
      <w:r>
        <w:rPr>
          <w:rFonts w:hint="eastAsia"/>
        </w:rPr>
        <w:t>1</w:t>
      </w:r>
      <w:r>
        <w:t>人）；投标</w:t>
      </w:r>
      <w:r>
        <w:rPr>
          <w:rFonts w:hint="eastAsia"/>
        </w:rPr>
        <w:t>单位</w:t>
      </w:r>
      <w:r>
        <w:t>的相关服务人员需具备相应的服务能力，需提供相关证明。</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2553"/>
        <w:gridCol w:w="1189"/>
        <w:gridCol w:w="2648"/>
        <w:gridCol w:w="958"/>
      </w:tblGrid>
      <w:tr w14:paraId="39C9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80" w:type="dxa"/>
            <w:noWrap/>
            <w:vAlign w:val="center"/>
          </w:tcPr>
          <w:p w14:paraId="4F567FF7">
            <w:pPr>
              <w:widowControl/>
              <w:spacing w:line="240" w:lineRule="auto"/>
              <w:ind w:firstLine="0" w:firstLineChars="0"/>
              <w:jc w:val="center"/>
              <w:rPr>
                <w:rFonts w:cs="宋体"/>
                <w:b/>
                <w:sz w:val="22"/>
                <w:szCs w:val="22"/>
              </w:rPr>
            </w:pPr>
            <w:r>
              <w:rPr>
                <w:rFonts w:hint="eastAsia" w:cs="宋体"/>
                <w:b/>
                <w:sz w:val="22"/>
                <w:szCs w:val="22"/>
              </w:rPr>
              <w:t>角色</w:t>
            </w:r>
          </w:p>
        </w:tc>
        <w:tc>
          <w:tcPr>
            <w:tcW w:w="2553" w:type="dxa"/>
            <w:noWrap/>
            <w:vAlign w:val="center"/>
          </w:tcPr>
          <w:p w14:paraId="0F5FDD94">
            <w:pPr>
              <w:widowControl/>
              <w:spacing w:line="240" w:lineRule="auto"/>
              <w:ind w:firstLine="0" w:firstLineChars="0"/>
              <w:jc w:val="center"/>
              <w:rPr>
                <w:rFonts w:cs="宋体"/>
                <w:b/>
                <w:sz w:val="22"/>
                <w:szCs w:val="22"/>
              </w:rPr>
            </w:pPr>
            <w:r>
              <w:rPr>
                <w:rFonts w:hint="eastAsia" w:cs="宋体"/>
                <w:b/>
                <w:sz w:val="22"/>
                <w:szCs w:val="22"/>
              </w:rPr>
              <w:t>主要职责</w:t>
            </w:r>
          </w:p>
        </w:tc>
        <w:tc>
          <w:tcPr>
            <w:tcW w:w="1189" w:type="dxa"/>
            <w:noWrap/>
            <w:vAlign w:val="center"/>
          </w:tcPr>
          <w:p w14:paraId="3E814A5F">
            <w:pPr>
              <w:widowControl/>
              <w:spacing w:line="240" w:lineRule="auto"/>
              <w:ind w:firstLine="0" w:firstLineChars="0"/>
              <w:jc w:val="center"/>
              <w:rPr>
                <w:rFonts w:cs="宋体"/>
                <w:b/>
                <w:sz w:val="22"/>
                <w:szCs w:val="22"/>
              </w:rPr>
            </w:pPr>
            <w:r>
              <w:rPr>
                <w:rFonts w:hint="eastAsia" w:cs="宋体"/>
                <w:b/>
                <w:sz w:val="22"/>
                <w:szCs w:val="22"/>
              </w:rPr>
              <w:t>人员数量</w:t>
            </w:r>
          </w:p>
        </w:tc>
        <w:tc>
          <w:tcPr>
            <w:tcW w:w="2648" w:type="dxa"/>
            <w:vAlign w:val="center"/>
          </w:tcPr>
          <w:p w14:paraId="66E4A2C8">
            <w:pPr>
              <w:widowControl/>
              <w:spacing w:line="240" w:lineRule="auto"/>
              <w:ind w:firstLine="0" w:firstLineChars="0"/>
              <w:jc w:val="center"/>
              <w:rPr>
                <w:rFonts w:cs="宋体"/>
                <w:b/>
                <w:sz w:val="22"/>
                <w:szCs w:val="22"/>
              </w:rPr>
            </w:pPr>
            <w:r>
              <w:rPr>
                <w:rFonts w:hint="eastAsia" w:cs="宋体"/>
                <w:b/>
                <w:sz w:val="22"/>
                <w:szCs w:val="22"/>
              </w:rPr>
              <w:t>人员要求</w:t>
            </w:r>
          </w:p>
        </w:tc>
        <w:tc>
          <w:tcPr>
            <w:tcW w:w="958" w:type="dxa"/>
            <w:noWrap/>
            <w:vAlign w:val="center"/>
          </w:tcPr>
          <w:p w14:paraId="24441DDA">
            <w:pPr>
              <w:widowControl/>
              <w:spacing w:line="240" w:lineRule="auto"/>
              <w:ind w:firstLine="0" w:firstLineChars="0"/>
              <w:jc w:val="center"/>
              <w:rPr>
                <w:rFonts w:cs="宋体"/>
                <w:b/>
                <w:sz w:val="22"/>
                <w:szCs w:val="22"/>
              </w:rPr>
            </w:pPr>
            <w:r>
              <w:rPr>
                <w:rFonts w:hint="eastAsia" w:cs="宋体"/>
                <w:b/>
                <w:sz w:val="22"/>
                <w:szCs w:val="22"/>
              </w:rPr>
              <w:t>驻场</w:t>
            </w:r>
          </w:p>
          <w:p w14:paraId="0E2888E8">
            <w:pPr>
              <w:widowControl/>
              <w:spacing w:line="240" w:lineRule="auto"/>
              <w:ind w:firstLine="0" w:firstLineChars="0"/>
              <w:jc w:val="center"/>
              <w:rPr>
                <w:rFonts w:cs="宋体"/>
                <w:b/>
                <w:sz w:val="22"/>
                <w:szCs w:val="22"/>
              </w:rPr>
            </w:pPr>
            <w:r>
              <w:rPr>
                <w:rFonts w:hint="eastAsia" w:cs="宋体"/>
                <w:b/>
                <w:sz w:val="22"/>
                <w:szCs w:val="22"/>
              </w:rPr>
              <w:t>要求</w:t>
            </w:r>
          </w:p>
        </w:tc>
      </w:tr>
      <w:tr w14:paraId="46C6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80" w:type="dxa"/>
            <w:noWrap/>
            <w:vAlign w:val="center"/>
          </w:tcPr>
          <w:p w14:paraId="704ADE19">
            <w:pPr>
              <w:widowControl/>
              <w:spacing w:line="240" w:lineRule="auto"/>
              <w:ind w:firstLine="0" w:firstLineChars="0"/>
              <w:jc w:val="center"/>
              <w:rPr>
                <w:rFonts w:cs="宋体"/>
                <w:sz w:val="22"/>
                <w:szCs w:val="22"/>
              </w:rPr>
            </w:pPr>
            <w:r>
              <w:rPr>
                <w:rFonts w:hint="eastAsia" w:cs="宋体"/>
                <w:sz w:val="22"/>
                <w:szCs w:val="22"/>
              </w:rPr>
              <w:t>运维组长</w:t>
            </w:r>
          </w:p>
        </w:tc>
        <w:tc>
          <w:tcPr>
            <w:tcW w:w="2553" w:type="dxa"/>
            <w:vAlign w:val="center"/>
          </w:tcPr>
          <w:p w14:paraId="5E792543">
            <w:pPr>
              <w:widowControl/>
              <w:spacing w:line="240" w:lineRule="auto"/>
              <w:ind w:firstLine="0" w:firstLineChars="0"/>
              <w:jc w:val="center"/>
              <w:rPr>
                <w:rFonts w:cs="宋体"/>
                <w:sz w:val="22"/>
                <w:szCs w:val="22"/>
              </w:rPr>
            </w:pPr>
            <w:r>
              <w:rPr>
                <w:rFonts w:hint="eastAsia" w:cs="宋体"/>
                <w:sz w:val="22"/>
                <w:szCs w:val="22"/>
              </w:rPr>
              <w:t>负责项目运维质量和安全控制</w:t>
            </w:r>
          </w:p>
        </w:tc>
        <w:tc>
          <w:tcPr>
            <w:tcW w:w="1189" w:type="dxa"/>
            <w:noWrap/>
            <w:vAlign w:val="center"/>
          </w:tcPr>
          <w:p w14:paraId="6F2847E4">
            <w:pPr>
              <w:widowControl/>
              <w:spacing w:line="240" w:lineRule="auto"/>
              <w:ind w:firstLine="0" w:firstLineChars="0"/>
              <w:jc w:val="center"/>
              <w:rPr>
                <w:rFonts w:cs="宋体"/>
                <w:sz w:val="22"/>
                <w:szCs w:val="22"/>
              </w:rPr>
            </w:pPr>
            <w:r>
              <w:rPr>
                <w:rFonts w:hint="eastAsia" w:cs="宋体"/>
                <w:sz w:val="22"/>
                <w:szCs w:val="22"/>
              </w:rPr>
              <w:t>1人</w:t>
            </w:r>
          </w:p>
        </w:tc>
        <w:tc>
          <w:tcPr>
            <w:tcW w:w="2648" w:type="dxa"/>
            <w:vAlign w:val="center"/>
          </w:tcPr>
          <w:p w14:paraId="6D062F31">
            <w:pPr>
              <w:widowControl/>
              <w:spacing w:line="240" w:lineRule="auto"/>
              <w:ind w:firstLine="0" w:firstLineChars="0"/>
              <w:jc w:val="center"/>
              <w:rPr>
                <w:rFonts w:cs="宋体"/>
                <w:sz w:val="22"/>
                <w:szCs w:val="22"/>
              </w:rPr>
            </w:pPr>
            <w:r>
              <w:rPr>
                <w:rFonts w:hint="eastAsia" w:cs="宋体"/>
                <w:sz w:val="22"/>
                <w:szCs w:val="22"/>
              </w:rPr>
              <w:t>本科及以上学历，</w:t>
            </w:r>
            <w:r>
              <w:rPr>
                <w:rFonts w:hint="eastAsia" w:cs="宋体"/>
                <w:color w:val="000000"/>
                <w:kern w:val="0"/>
                <w:sz w:val="22"/>
                <w:szCs w:val="22"/>
              </w:rPr>
              <w:t>具有3年以上政务信息系统软件服务经验，</w:t>
            </w:r>
            <w:r>
              <w:rPr>
                <w:rFonts w:hint="eastAsia" w:cs="宋体"/>
                <w:sz w:val="22"/>
                <w:szCs w:val="22"/>
              </w:rPr>
              <w:t>具备</w:t>
            </w:r>
            <w:r>
              <w:rPr>
                <w:rFonts w:hint="eastAsia" w:cs="宋体"/>
                <w:color w:val="000000"/>
                <w:kern w:val="0"/>
                <w:sz w:val="22"/>
                <w:szCs w:val="22"/>
              </w:rPr>
              <w:t>系统集成项目管理工程师的优先考虑</w:t>
            </w:r>
          </w:p>
        </w:tc>
        <w:tc>
          <w:tcPr>
            <w:tcW w:w="958" w:type="dxa"/>
            <w:noWrap/>
            <w:vAlign w:val="center"/>
          </w:tcPr>
          <w:p w14:paraId="2DBFF750">
            <w:pPr>
              <w:widowControl/>
              <w:spacing w:line="240" w:lineRule="auto"/>
              <w:ind w:firstLine="0" w:firstLineChars="0"/>
              <w:jc w:val="center"/>
              <w:rPr>
                <w:rFonts w:cs="宋体"/>
                <w:sz w:val="22"/>
                <w:szCs w:val="22"/>
              </w:rPr>
            </w:pPr>
            <w:r>
              <w:rPr>
                <w:rFonts w:hint="eastAsia" w:cs="宋体"/>
                <w:sz w:val="22"/>
                <w:szCs w:val="22"/>
              </w:rPr>
              <w:t>驻场</w:t>
            </w:r>
          </w:p>
        </w:tc>
      </w:tr>
      <w:tr w14:paraId="2E91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80" w:type="dxa"/>
            <w:noWrap/>
            <w:vAlign w:val="center"/>
          </w:tcPr>
          <w:p w14:paraId="6AD4510E">
            <w:pPr>
              <w:widowControl/>
              <w:spacing w:line="240" w:lineRule="auto"/>
              <w:ind w:firstLine="0" w:firstLineChars="0"/>
              <w:jc w:val="center"/>
              <w:rPr>
                <w:rFonts w:cs="宋体"/>
                <w:sz w:val="22"/>
                <w:szCs w:val="22"/>
              </w:rPr>
            </w:pPr>
            <w:r>
              <w:rPr>
                <w:rFonts w:hint="eastAsia" w:cs="宋体"/>
                <w:sz w:val="22"/>
                <w:szCs w:val="22"/>
              </w:rPr>
              <w:t>运维主管</w:t>
            </w:r>
          </w:p>
        </w:tc>
        <w:tc>
          <w:tcPr>
            <w:tcW w:w="2553" w:type="dxa"/>
            <w:vAlign w:val="center"/>
          </w:tcPr>
          <w:p w14:paraId="1451131E">
            <w:pPr>
              <w:widowControl/>
              <w:spacing w:line="240" w:lineRule="auto"/>
              <w:ind w:firstLine="0" w:firstLineChars="0"/>
              <w:jc w:val="center"/>
              <w:rPr>
                <w:rFonts w:cs="宋体"/>
                <w:sz w:val="22"/>
                <w:szCs w:val="22"/>
              </w:rPr>
            </w:pPr>
            <w:r>
              <w:rPr>
                <w:rFonts w:hint="eastAsia" w:cs="宋体"/>
                <w:sz w:val="22"/>
                <w:szCs w:val="22"/>
              </w:rPr>
              <w:t>负责项目安全运行</w:t>
            </w:r>
          </w:p>
        </w:tc>
        <w:tc>
          <w:tcPr>
            <w:tcW w:w="1189" w:type="dxa"/>
            <w:noWrap/>
            <w:vAlign w:val="center"/>
          </w:tcPr>
          <w:p w14:paraId="52D7222C">
            <w:pPr>
              <w:widowControl/>
              <w:spacing w:line="240" w:lineRule="auto"/>
              <w:ind w:firstLine="0" w:firstLineChars="0"/>
              <w:jc w:val="center"/>
              <w:rPr>
                <w:rFonts w:cs="宋体"/>
                <w:sz w:val="22"/>
                <w:szCs w:val="22"/>
              </w:rPr>
            </w:pPr>
            <w:r>
              <w:rPr>
                <w:rFonts w:hint="eastAsia" w:cs="宋体"/>
                <w:sz w:val="22"/>
                <w:szCs w:val="22"/>
              </w:rPr>
              <w:t>1人</w:t>
            </w:r>
          </w:p>
        </w:tc>
        <w:tc>
          <w:tcPr>
            <w:tcW w:w="2648" w:type="dxa"/>
            <w:vAlign w:val="center"/>
          </w:tcPr>
          <w:p w14:paraId="6138BF40">
            <w:pPr>
              <w:widowControl/>
              <w:spacing w:line="240" w:lineRule="auto"/>
              <w:ind w:firstLine="0" w:firstLineChars="0"/>
              <w:jc w:val="center"/>
              <w:rPr>
                <w:rFonts w:cs="宋体"/>
                <w:sz w:val="22"/>
                <w:szCs w:val="22"/>
              </w:rPr>
            </w:pPr>
            <w:r>
              <w:rPr>
                <w:rFonts w:hint="eastAsia" w:cs="宋体"/>
                <w:sz w:val="22"/>
                <w:szCs w:val="22"/>
              </w:rPr>
              <w:t>本科及以上学历，</w:t>
            </w:r>
            <w:r>
              <w:rPr>
                <w:rFonts w:hint="eastAsia" w:cs="宋体"/>
                <w:color w:val="000000"/>
                <w:kern w:val="0"/>
                <w:sz w:val="22"/>
                <w:szCs w:val="22"/>
              </w:rPr>
              <w:t>具有3年以上政务信息系统软件实施经验的优先考虑</w:t>
            </w:r>
          </w:p>
        </w:tc>
        <w:tc>
          <w:tcPr>
            <w:tcW w:w="958" w:type="dxa"/>
            <w:noWrap/>
            <w:vAlign w:val="center"/>
          </w:tcPr>
          <w:p w14:paraId="302289C8">
            <w:pPr>
              <w:widowControl/>
              <w:spacing w:line="240" w:lineRule="auto"/>
              <w:ind w:firstLine="0" w:firstLineChars="0"/>
              <w:jc w:val="center"/>
              <w:rPr>
                <w:rFonts w:cs="宋体"/>
                <w:sz w:val="22"/>
                <w:szCs w:val="22"/>
              </w:rPr>
            </w:pPr>
            <w:r>
              <w:rPr>
                <w:rFonts w:hint="eastAsia" w:cs="宋体"/>
                <w:sz w:val="22"/>
                <w:szCs w:val="22"/>
              </w:rPr>
              <w:t>驻场</w:t>
            </w:r>
          </w:p>
        </w:tc>
      </w:tr>
      <w:tr w14:paraId="48FF5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80" w:type="dxa"/>
            <w:noWrap/>
            <w:vAlign w:val="center"/>
          </w:tcPr>
          <w:p w14:paraId="510C964C">
            <w:pPr>
              <w:widowControl/>
              <w:spacing w:line="240" w:lineRule="auto"/>
              <w:ind w:firstLine="0" w:firstLineChars="0"/>
              <w:jc w:val="center"/>
              <w:rPr>
                <w:rFonts w:cs="宋体"/>
                <w:sz w:val="22"/>
                <w:szCs w:val="22"/>
              </w:rPr>
            </w:pPr>
            <w:r>
              <w:rPr>
                <w:rFonts w:hint="eastAsia" w:cs="宋体"/>
                <w:sz w:val="22"/>
                <w:szCs w:val="22"/>
              </w:rPr>
              <w:t>技术工程师</w:t>
            </w:r>
          </w:p>
        </w:tc>
        <w:tc>
          <w:tcPr>
            <w:tcW w:w="2553" w:type="dxa"/>
            <w:noWrap/>
            <w:vAlign w:val="center"/>
          </w:tcPr>
          <w:p w14:paraId="78771BB6">
            <w:pPr>
              <w:widowControl/>
              <w:spacing w:line="240" w:lineRule="auto"/>
              <w:ind w:firstLine="0" w:firstLineChars="0"/>
              <w:jc w:val="center"/>
              <w:rPr>
                <w:rFonts w:cs="宋体"/>
                <w:sz w:val="22"/>
                <w:szCs w:val="22"/>
              </w:rPr>
            </w:pPr>
            <w:r>
              <w:rPr>
                <w:rFonts w:hint="eastAsia" w:cs="宋体"/>
                <w:sz w:val="22"/>
                <w:szCs w:val="22"/>
              </w:rPr>
              <w:t>负责项目运行维护</w:t>
            </w:r>
          </w:p>
        </w:tc>
        <w:tc>
          <w:tcPr>
            <w:tcW w:w="1189" w:type="dxa"/>
            <w:noWrap/>
            <w:vAlign w:val="center"/>
          </w:tcPr>
          <w:p w14:paraId="0F32F506">
            <w:pPr>
              <w:widowControl/>
              <w:spacing w:line="240" w:lineRule="auto"/>
              <w:ind w:firstLine="0" w:firstLineChars="0"/>
              <w:jc w:val="center"/>
              <w:rPr>
                <w:rFonts w:cs="宋体"/>
                <w:sz w:val="22"/>
                <w:szCs w:val="22"/>
              </w:rPr>
            </w:pPr>
            <w:r>
              <w:rPr>
                <w:rFonts w:hint="eastAsia" w:cs="宋体"/>
                <w:sz w:val="22"/>
                <w:szCs w:val="22"/>
              </w:rPr>
              <w:t>1人</w:t>
            </w:r>
          </w:p>
        </w:tc>
        <w:tc>
          <w:tcPr>
            <w:tcW w:w="2648" w:type="dxa"/>
            <w:vAlign w:val="center"/>
          </w:tcPr>
          <w:p w14:paraId="00B5F606">
            <w:pPr>
              <w:widowControl/>
              <w:spacing w:line="240" w:lineRule="auto"/>
              <w:ind w:firstLine="0" w:firstLineChars="0"/>
              <w:jc w:val="center"/>
              <w:rPr>
                <w:rFonts w:cs="宋体"/>
                <w:sz w:val="22"/>
                <w:szCs w:val="22"/>
              </w:rPr>
            </w:pPr>
            <w:r>
              <w:rPr>
                <w:rFonts w:hint="eastAsia" w:cs="宋体"/>
                <w:sz w:val="22"/>
                <w:szCs w:val="22"/>
              </w:rPr>
              <w:t>专科及以上学历，具备软件开发相关工作经验</w:t>
            </w:r>
            <w:r>
              <w:rPr>
                <w:rFonts w:hint="eastAsia" w:cs="宋体"/>
                <w:color w:val="000000"/>
                <w:kern w:val="0"/>
                <w:sz w:val="22"/>
                <w:szCs w:val="22"/>
              </w:rPr>
              <w:t>的优先考虑</w:t>
            </w:r>
          </w:p>
        </w:tc>
        <w:tc>
          <w:tcPr>
            <w:tcW w:w="958" w:type="dxa"/>
            <w:noWrap/>
            <w:vAlign w:val="center"/>
          </w:tcPr>
          <w:p w14:paraId="3FACD34A">
            <w:pPr>
              <w:widowControl/>
              <w:spacing w:line="240" w:lineRule="auto"/>
              <w:ind w:firstLine="0" w:firstLineChars="0"/>
              <w:jc w:val="center"/>
              <w:rPr>
                <w:rFonts w:cs="宋体"/>
                <w:sz w:val="22"/>
                <w:szCs w:val="22"/>
              </w:rPr>
            </w:pPr>
            <w:r>
              <w:rPr>
                <w:rFonts w:hint="eastAsia" w:cs="宋体"/>
                <w:sz w:val="22"/>
                <w:szCs w:val="22"/>
              </w:rPr>
              <w:t>驻场</w:t>
            </w:r>
          </w:p>
        </w:tc>
      </w:tr>
    </w:tbl>
    <w:p w14:paraId="26B8C381">
      <w:pPr>
        <w:numPr>
          <w:ilvl w:val="255"/>
          <w:numId w:val="0"/>
        </w:numPr>
      </w:pPr>
    </w:p>
    <w:p w14:paraId="7B5F44CC">
      <w:pPr>
        <w:pStyle w:val="3"/>
      </w:pPr>
      <w:bookmarkStart w:id="33" w:name="_Toc63785511"/>
      <w:r>
        <w:t>等级保护要求</w:t>
      </w:r>
      <w:bookmarkEnd w:id="33"/>
    </w:p>
    <w:p w14:paraId="01C492D4">
      <w:r>
        <w:t>本项目等级保护要求：</w:t>
      </w:r>
      <w:r>
        <w:rPr>
          <w:rFonts w:hint="eastAsia"/>
        </w:rPr>
        <w:t>符合等保三级要求。</w:t>
      </w:r>
    </w:p>
    <w:p w14:paraId="1C3D1DA7">
      <w:pPr>
        <w:pStyle w:val="3"/>
      </w:pPr>
      <w:r>
        <w:rPr>
          <w:rFonts w:hint="eastAsia"/>
        </w:rPr>
        <w:t>商业密码应用需求</w:t>
      </w:r>
    </w:p>
    <w:tbl>
      <w:tblPr>
        <w:tblStyle w:val="3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213"/>
        <w:gridCol w:w="5138"/>
        <w:gridCol w:w="1525"/>
      </w:tblGrid>
      <w:tr w14:paraId="7617F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364" w:type="pct"/>
            <w:vMerge w:val="restart"/>
            <w:shd w:val="clear" w:color="auto" w:fill="FFFFFF"/>
            <w:noWrap/>
            <w:vAlign w:val="center"/>
          </w:tcPr>
          <w:p w14:paraId="4C46E135">
            <w:pPr>
              <w:widowControl/>
              <w:wordWrap w:val="0"/>
              <w:autoSpaceDE w:val="0"/>
              <w:autoSpaceDN w:val="0"/>
              <w:adjustRightInd w:val="0"/>
              <w:snapToGrid w:val="0"/>
              <w:spacing w:line="240" w:lineRule="auto"/>
              <w:ind w:firstLine="0" w:firstLineChars="0"/>
              <w:jc w:val="center"/>
              <w:textAlignment w:val="center"/>
              <w:rPr>
                <w:rFonts w:cs="宋体"/>
                <w:b/>
                <w:bCs/>
                <w:snapToGrid w:val="0"/>
                <w:color w:val="000000"/>
                <w:kern w:val="0"/>
              </w:rPr>
            </w:pPr>
            <w:r>
              <w:rPr>
                <w:rFonts w:hint="eastAsia" w:cs="宋体"/>
                <w:b/>
                <w:bCs/>
                <w:snapToGrid w:val="0"/>
                <w:color w:val="000000"/>
                <w:kern w:val="0"/>
              </w:rPr>
              <w:t>安全层面</w:t>
            </w:r>
          </w:p>
        </w:tc>
        <w:tc>
          <w:tcPr>
            <w:tcW w:w="1295" w:type="pct"/>
            <w:vMerge w:val="restart"/>
            <w:shd w:val="clear" w:color="auto" w:fill="FFFFFF"/>
            <w:noWrap/>
            <w:vAlign w:val="center"/>
          </w:tcPr>
          <w:p w14:paraId="59A4CBE1">
            <w:pPr>
              <w:widowControl/>
              <w:wordWrap w:val="0"/>
              <w:autoSpaceDE w:val="0"/>
              <w:autoSpaceDN w:val="0"/>
              <w:adjustRightInd w:val="0"/>
              <w:snapToGrid w:val="0"/>
              <w:spacing w:line="240" w:lineRule="auto"/>
              <w:ind w:firstLine="0" w:firstLineChars="0"/>
              <w:jc w:val="center"/>
              <w:textAlignment w:val="center"/>
              <w:rPr>
                <w:rFonts w:cs="宋体"/>
                <w:b/>
                <w:bCs/>
                <w:snapToGrid w:val="0"/>
                <w:color w:val="000000"/>
                <w:kern w:val="0"/>
              </w:rPr>
            </w:pPr>
            <w:r>
              <w:rPr>
                <w:rFonts w:hint="eastAsia" w:cs="宋体"/>
                <w:b/>
                <w:bCs/>
                <w:snapToGrid w:val="0"/>
                <w:color w:val="000000"/>
                <w:kern w:val="0"/>
              </w:rPr>
              <w:t>指标要求</w:t>
            </w:r>
          </w:p>
        </w:tc>
        <w:tc>
          <w:tcPr>
            <w:tcW w:w="2472" w:type="pct"/>
            <w:vMerge w:val="restart"/>
            <w:shd w:val="clear" w:color="auto" w:fill="FFFFFF"/>
            <w:noWrap/>
            <w:vAlign w:val="center"/>
          </w:tcPr>
          <w:p w14:paraId="3E13A83B">
            <w:pPr>
              <w:widowControl/>
              <w:wordWrap w:val="0"/>
              <w:autoSpaceDE w:val="0"/>
              <w:autoSpaceDN w:val="0"/>
              <w:adjustRightInd w:val="0"/>
              <w:snapToGrid w:val="0"/>
              <w:spacing w:line="240" w:lineRule="auto"/>
              <w:ind w:firstLine="0" w:firstLineChars="0"/>
              <w:jc w:val="center"/>
              <w:textAlignment w:val="center"/>
              <w:rPr>
                <w:rFonts w:cs="宋体"/>
                <w:b/>
                <w:bCs/>
                <w:snapToGrid w:val="0"/>
                <w:color w:val="000000"/>
                <w:kern w:val="0"/>
              </w:rPr>
            </w:pPr>
            <w:r>
              <w:rPr>
                <w:rFonts w:hint="eastAsia" w:cs="宋体"/>
                <w:b/>
                <w:bCs/>
                <w:snapToGrid w:val="0"/>
                <w:color w:val="000000"/>
                <w:kern w:val="0"/>
              </w:rPr>
              <w:t>系统密码应用需求</w:t>
            </w:r>
          </w:p>
        </w:tc>
        <w:tc>
          <w:tcPr>
            <w:tcW w:w="868" w:type="pct"/>
            <w:vMerge w:val="restart"/>
            <w:shd w:val="clear" w:color="auto" w:fill="FFFFFF"/>
            <w:noWrap/>
            <w:vAlign w:val="center"/>
          </w:tcPr>
          <w:p w14:paraId="0C8CFE13">
            <w:pPr>
              <w:widowControl/>
              <w:wordWrap w:val="0"/>
              <w:autoSpaceDE w:val="0"/>
              <w:autoSpaceDN w:val="0"/>
              <w:adjustRightInd w:val="0"/>
              <w:snapToGrid w:val="0"/>
              <w:spacing w:line="240" w:lineRule="auto"/>
              <w:ind w:firstLine="0" w:firstLineChars="0"/>
              <w:jc w:val="center"/>
              <w:textAlignment w:val="center"/>
              <w:rPr>
                <w:rFonts w:cs="宋体"/>
                <w:b/>
                <w:bCs/>
                <w:snapToGrid w:val="0"/>
                <w:color w:val="000000"/>
                <w:kern w:val="0"/>
              </w:rPr>
            </w:pPr>
            <w:r>
              <w:rPr>
                <w:rFonts w:hint="eastAsia" w:cs="宋体"/>
                <w:b/>
                <w:bCs/>
                <w:snapToGrid w:val="0"/>
                <w:color w:val="000000"/>
                <w:kern w:val="0"/>
              </w:rPr>
              <w:t>不适用说明</w:t>
            </w:r>
          </w:p>
        </w:tc>
      </w:tr>
      <w:tr w14:paraId="216DC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blHeader/>
        </w:trPr>
        <w:tc>
          <w:tcPr>
            <w:tcW w:w="364" w:type="pct"/>
            <w:vMerge w:val="continue"/>
            <w:shd w:val="clear" w:color="auto" w:fill="FFFFFF"/>
            <w:noWrap/>
            <w:vAlign w:val="center"/>
          </w:tcPr>
          <w:p w14:paraId="7452F290">
            <w:pPr>
              <w:widowControl/>
              <w:wordWrap w:val="0"/>
              <w:autoSpaceDE w:val="0"/>
              <w:autoSpaceDN w:val="0"/>
              <w:adjustRightInd w:val="0"/>
              <w:snapToGrid w:val="0"/>
              <w:spacing w:line="240" w:lineRule="auto"/>
              <w:ind w:firstLine="0" w:firstLineChars="0"/>
              <w:textAlignment w:val="baseline"/>
              <w:rPr>
                <w:rFonts w:cs="宋体"/>
                <w:b/>
                <w:bCs/>
                <w:snapToGrid w:val="0"/>
                <w:color w:val="000000"/>
                <w:kern w:val="0"/>
              </w:rPr>
            </w:pPr>
          </w:p>
        </w:tc>
        <w:tc>
          <w:tcPr>
            <w:tcW w:w="1295" w:type="pct"/>
            <w:vMerge w:val="continue"/>
            <w:shd w:val="clear" w:color="auto" w:fill="FFFFFF"/>
            <w:noWrap/>
            <w:vAlign w:val="center"/>
          </w:tcPr>
          <w:p w14:paraId="1242FA1D">
            <w:pPr>
              <w:widowControl/>
              <w:wordWrap w:val="0"/>
              <w:autoSpaceDE w:val="0"/>
              <w:autoSpaceDN w:val="0"/>
              <w:adjustRightInd w:val="0"/>
              <w:snapToGrid w:val="0"/>
              <w:spacing w:line="240" w:lineRule="auto"/>
              <w:ind w:firstLine="0" w:firstLineChars="0"/>
              <w:jc w:val="center"/>
              <w:textAlignment w:val="baseline"/>
              <w:rPr>
                <w:rFonts w:cs="宋体"/>
                <w:b/>
                <w:bCs/>
                <w:snapToGrid w:val="0"/>
                <w:color w:val="000000"/>
                <w:kern w:val="0"/>
              </w:rPr>
            </w:pPr>
          </w:p>
        </w:tc>
        <w:tc>
          <w:tcPr>
            <w:tcW w:w="2472" w:type="pct"/>
            <w:vMerge w:val="continue"/>
            <w:shd w:val="clear" w:color="auto" w:fill="FFFFFF"/>
            <w:noWrap/>
            <w:vAlign w:val="center"/>
          </w:tcPr>
          <w:p w14:paraId="1E3CFDB6">
            <w:pPr>
              <w:widowControl/>
              <w:wordWrap w:val="0"/>
              <w:autoSpaceDE w:val="0"/>
              <w:autoSpaceDN w:val="0"/>
              <w:adjustRightInd w:val="0"/>
              <w:snapToGrid w:val="0"/>
              <w:spacing w:line="240" w:lineRule="auto"/>
              <w:ind w:firstLine="0" w:firstLineChars="0"/>
              <w:jc w:val="center"/>
              <w:textAlignment w:val="baseline"/>
              <w:rPr>
                <w:rFonts w:cs="宋体"/>
                <w:b/>
                <w:bCs/>
                <w:snapToGrid w:val="0"/>
                <w:color w:val="000000"/>
                <w:kern w:val="0"/>
              </w:rPr>
            </w:pPr>
          </w:p>
        </w:tc>
        <w:tc>
          <w:tcPr>
            <w:tcW w:w="868" w:type="pct"/>
            <w:vMerge w:val="continue"/>
            <w:shd w:val="clear" w:color="auto" w:fill="FFFFFF"/>
            <w:noWrap/>
            <w:vAlign w:val="center"/>
          </w:tcPr>
          <w:p w14:paraId="6DC46C53">
            <w:pPr>
              <w:widowControl/>
              <w:wordWrap w:val="0"/>
              <w:autoSpaceDE w:val="0"/>
              <w:autoSpaceDN w:val="0"/>
              <w:adjustRightInd w:val="0"/>
              <w:snapToGrid w:val="0"/>
              <w:spacing w:line="240" w:lineRule="auto"/>
              <w:ind w:firstLine="0" w:firstLineChars="0"/>
              <w:jc w:val="center"/>
              <w:textAlignment w:val="baseline"/>
              <w:rPr>
                <w:rFonts w:cs="宋体"/>
                <w:b/>
                <w:bCs/>
                <w:snapToGrid w:val="0"/>
                <w:color w:val="000000"/>
                <w:kern w:val="0"/>
              </w:rPr>
            </w:pPr>
          </w:p>
        </w:tc>
      </w:tr>
      <w:tr w14:paraId="775DC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restart"/>
            <w:shd w:val="clear" w:color="auto" w:fill="FFFFFF"/>
            <w:noWrap/>
            <w:vAlign w:val="center"/>
          </w:tcPr>
          <w:p w14:paraId="17A72AAE">
            <w:pPr>
              <w:widowControl/>
              <w:wordWrap w:val="0"/>
              <w:autoSpaceDE w:val="0"/>
              <w:autoSpaceDN w:val="0"/>
              <w:adjustRightInd w:val="0"/>
              <w:snapToGrid w:val="0"/>
              <w:spacing w:line="240" w:lineRule="auto"/>
              <w:ind w:firstLine="0" w:firstLineChars="0"/>
              <w:jc w:val="center"/>
              <w:textAlignment w:val="center"/>
              <w:rPr>
                <w:rFonts w:cs="宋体"/>
                <w:snapToGrid w:val="0"/>
                <w:color w:val="000000"/>
                <w:kern w:val="0"/>
              </w:rPr>
            </w:pPr>
            <w:r>
              <w:rPr>
                <w:rFonts w:hint="eastAsia" w:cs="宋体"/>
                <w:snapToGrid w:val="0"/>
                <w:color w:val="000000"/>
                <w:kern w:val="0"/>
              </w:rPr>
              <w:t>物理和环境安全</w:t>
            </w:r>
          </w:p>
        </w:tc>
        <w:tc>
          <w:tcPr>
            <w:tcW w:w="1295" w:type="pct"/>
            <w:shd w:val="clear" w:color="auto" w:fill="FFFFFF"/>
            <w:noWrap/>
            <w:vAlign w:val="center"/>
          </w:tcPr>
          <w:p w14:paraId="2458F852">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身份鉴别</w:t>
            </w:r>
          </w:p>
        </w:tc>
        <w:tc>
          <w:tcPr>
            <w:tcW w:w="2472" w:type="pct"/>
            <w:shd w:val="clear" w:color="auto" w:fill="FFFFFF"/>
            <w:noWrap/>
            <w:vAlign w:val="center"/>
          </w:tcPr>
          <w:p w14:paraId="14AB9C95">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spacing w:val="21"/>
                <w:kern w:val="0"/>
              </w:rPr>
              <w:t>确</w:t>
            </w:r>
            <w:r>
              <w:rPr>
                <w:rFonts w:hint="eastAsia" w:cs="宋体"/>
                <w:snapToGrid w:val="0"/>
                <w:color w:val="000000"/>
                <w:spacing w:val="17"/>
                <w:kern w:val="0"/>
              </w:rPr>
              <w:t>认进入机房人员身份的真实</w:t>
            </w:r>
            <w:r>
              <w:rPr>
                <w:rFonts w:hint="eastAsia" w:cs="宋体"/>
                <w:snapToGrid w:val="0"/>
                <w:color w:val="000000"/>
                <w:spacing w:val="10"/>
                <w:kern w:val="0"/>
              </w:rPr>
              <w:t>性</w:t>
            </w:r>
            <w:r>
              <w:rPr>
                <w:rFonts w:hint="eastAsia" w:cs="宋体"/>
                <w:snapToGrid w:val="0"/>
                <w:color w:val="000000"/>
                <w:spacing w:val="7"/>
                <w:kern w:val="0"/>
              </w:rPr>
              <w:t>，防止假冒人员进入。</w:t>
            </w:r>
          </w:p>
        </w:tc>
        <w:tc>
          <w:tcPr>
            <w:tcW w:w="868" w:type="pct"/>
            <w:vMerge w:val="restart"/>
            <w:shd w:val="clear" w:color="auto" w:fill="FFFFFF"/>
            <w:noWrap/>
            <w:vAlign w:val="center"/>
          </w:tcPr>
          <w:p w14:paraId="6364A945">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系统的物理和环境安全由云平台提供安全保障。</w:t>
            </w:r>
          </w:p>
        </w:tc>
      </w:tr>
      <w:tr w14:paraId="0082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64" w:type="pct"/>
            <w:vMerge w:val="continue"/>
            <w:shd w:val="clear" w:color="auto" w:fill="FFFFFF"/>
            <w:noWrap/>
            <w:vAlign w:val="center"/>
          </w:tcPr>
          <w:p w14:paraId="5083F75F">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shd w:val="clear" w:color="auto" w:fill="FFFFFF"/>
            <w:noWrap/>
            <w:vAlign w:val="center"/>
          </w:tcPr>
          <w:p w14:paraId="1B0000FF">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电子门禁记录数据完整性</w:t>
            </w:r>
          </w:p>
        </w:tc>
        <w:tc>
          <w:tcPr>
            <w:tcW w:w="2472" w:type="pct"/>
            <w:shd w:val="clear" w:color="auto" w:fill="FFFFFF"/>
            <w:noWrap/>
            <w:vAlign w:val="center"/>
          </w:tcPr>
          <w:p w14:paraId="7543FD96">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spacing w:val="21"/>
                <w:kern w:val="0"/>
              </w:rPr>
              <w:t>保</w:t>
            </w:r>
            <w:r>
              <w:rPr>
                <w:rFonts w:hint="eastAsia" w:cs="宋体"/>
                <w:snapToGrid w:val="0"/>
                <w:color w:val="000000"/>
                <w:spacing w:val="17"/>
                <w:kern w:val="0"/>
              </w:rPr>
              <w:t>护电子门禁系统进出记录的完整性，</w:t>
            </w:r>
            <w:r>
              <w:rPr>
                <w:rFonts w:hint="eastAsia" w:cs="宋体"/>
                <w:snapToGrid w:val="0"/>
                <w:color w:val="000000"/>
                <w:spacing w:val="9"/>
                <w:kern w:val="0"/>
              </w:rPr>
              <w:t>防</w:t>
            </w:r>
            <w:r>
              <w:rPr>
                <w:rFonts w:hint="eastAsia" w:cs="宋体"/>
                <w:snapToGrid w:val="0"/>
                <w:color w:val="000000"/>
                <w:spacing w:val="7"/>
                <w:kern w:val="0"/>
              </w:rPr>
              <w:t>止被非授权篡改。</w:t>
            </w:r>
          </w:p>
        </w:tc>
        <w:tc>
          <w:tcPr>
            <w:tcW w:w="868" w:type="pct"/>
            <w:vMerge w:val="continue"/>
            <w:shd w:val="clear" w:color="auto" w:fill="FFFFFF"/>
            <w:noWrap/>
            <w:vAlign w:val="center"/>
          </w:tcPr>
          <w:p w14:paraId="3741FE69">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r>
      <w:tr w14:paraId="3109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64" w:type="pct"/>
            <w:vMerge w:val="continue"/>
            <w:shd w:val="clear" w:color="auto" w:fill="FFFFFF"/>
            <w:noWrap/>
            <w:vAlign w:val="center"/>
          </w:tcPr>
          <w:p w14:paraId="37DF55F9">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shd w:val="clear" w:color="auto" w:fill="FFFFFF"/>
            <w:noWrap/>
            <w:vAlign w:val="center"/>
          </w:tcPr>
          <w:p w14:paraId="3E01AC59">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视频监控记录数</w:t>
            </w:r>
          </w:p>
          <w:p w14:paraId="5A9F35D8">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据完整性</w:t>
            </w:r>
          </w:p>
        </w:tc>
        <w:tc>
          <w:tcPr>
            <w:tcW w:w="2472" w:type="pct"/>
            <w:shd w:val="clear" w:color="auto" w:fill="FFFFFF"/>
            <w:noWrap/>
            <w:vAlign w:val="center"/>
          </w:tcPr>
          <w:p w14:paraId="483DB30D">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spacing w:val="21"/>
                <w:kern w:val="0"/>
              </w:rPr>
              <w:t>保</w:t>
            </w:r>
            <w:r>
              <w:rPr>
                <w:rFonts w:hint="eastAsia" w:cs="宋体"/>
                <w:snapToGrid w:val="0"/>
                <w:color w:val="000000"/>
                <w:spacing w:val="17"/>
                <w:kern w:val="0"/>
              </w:rPr>
              <w:t>护</w:t>
            </w:r>
            <w:r>
              <w:rPr>
                <w:rFonts w:hint="eastAsia" w:cs="宋体"/>
                <w:snapToGrid w:val="0"/>
                <w:color w:val="000000"/>
                <w:spacing w:val="24"/>
                <w:kern w:val="0"/>
              </w:rPr>
              <w:t>视</w:t>
            </w:r>
            <w:r>
              <w:rPr>
                <w:rFonts w:hint="eastAsia" w:cs="宋体"/>
                <w:snapToGrid w:val="0"/>
                <w:color w:val="000000"/>
                <w:spacing w:val="17"/>
                <w:kern w:val="0"/>
              </w:rPr>
              <w:t>频监控音像记录的完整性，</w:t>
            </w:r>
            <w:r>
              <w:rPr>
                <w:rFonts w:hint="eastAsia" w:cs="宋体"/>
                <w:snapToGrid w:val="0"/>
                <w:color w:val="000000"/>
                <w:spacing w:val="9"/>
                <w:kern w:val="0"/>
              </w:rPr>
              <w:t>防</w:t>
            </w:r>
            <w:r>
              <w:rPr>
                <w:rFonts w:hint="eastAsia" w:cs="宋体"/>
                <w:snapToGrid w:val="0"/>
                <w:color w:val="000000"/>
                <w:spacing w:val="7"/>
                <w:kern w:val="0"/>
              </w:rPr>
              <w:t>止被非授权篡改。</w:t>
            </w:r>
          </w:p>
        </w:tc>
        <w:tc>
          <w:tcPr>
            <w:tcW w:w="868" w:type="pct"/>
            <w:vMerge w:val="continue"/>
            <w:shd w:val="clear" w:color="auto" w:fill="FFFFFF"/>
            <w:noWrap/>
            <w:vAlign w:val="center"/>
          </w:tcPr>
          <w:p w14:paraId="75DA7074">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r>
      <w:tr w14:paraId="28B2F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52FEC22A">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shd w:val="clear" w:color="auto" w:fill="FFFFFF"/>
            <w:noWrap/>
            <w:vAlign w:val="center"/>
          </w:tcPr>
          <w:p w14:paraId="429A80B0">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密码服务</w:t>
            </w:r>
          </w:p>
        </w:tc>
        <w:tc>
          <w:tcPr>
            <w:tcW w:w="2472" w:type="pct"/>
            <w:shd w:val="clear" w:color="auto" w:fill="FFFFFF"/>
            <w:noWrap/>
            <w:vAlign w:val="center"/>
          </w:tcPr>
          <w:p w14:paraId="46CEE9A5">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不适用</w:t>
            </w:r>
          </w:p>
        </w:tc>
        <w:tc>
          <w:tcPr>
            <w:tcW w:w="868" w:type="pct"/>
            <w:vMerge w:val="continue"/>
            <w:shd w:val="clear" w:color="auto" w:fill="FFFFFF"/>
            <w:noWrap/>
            <w:vAlign w:val="center"/>
          </w:tcPr>
          <w:p w14:paraId="7EA0D3FA">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r>
      <w:tr w14:paraId="7DDC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15781170">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shd w:val="clear" w:color="auto" w:fill="FFFFFF"/>
            <w:noWrap/>
            <w:vAlign w:val="center"/>
          </w:tcPr>
          <w:p w14:paraId="1A494EE7">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密码产品</w:t>
            </w:r>
          </w:p>
        </w:tc>
        <w:tc>
          <w:tcPr>
            <w:tcW w:w="2472" w:type="pct"/>
            <w:shd w:val="clear" w:color="auto" w:fill="FFFFFF"/>
            <w:noWrap/>
            <w:vAlign w:val="center"/>
          </w:tcPr>
          <w:p w14:paraId="75A66627">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采用的密码产品应达到GB/T 37092二级及以上安全要求。</w:t>
            </w:r>
          </w:p>
        </w:tc>
        <w:tc>
          <w:tcPr>
            <w:tcW w:w="868" w:type="pct"/>
            <w:vMerge w:val="continue"/>
            <w:shd w:val="clear" w:color="auto" w:fill="FFFFFF"/>
            <w:noWrap/>
            <w:vAlign w:val="center"/>
          </w:tcPr>
          <w:p w14:paraId="1BE5854E">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r>
      <w:tr w14:paraId="6FA30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64" w:type="pct"/>
            <w:vMerge w:val="restart"/>
            <w:shd w:val="clear" w:color="auto" w:fill="FFFFFF"/>
            <w:noWrap/>
            <w:vAlign w:val="center"/>
          </w:tcPr>
          <w:p w14:paraId="1528F7F7">
            <w:pPr>
              <w:widowControl/>
              <w:wordWrap w:val="0"/>
              <w:autoSpaceDE w:val="0"/>
              <w:autoSpaceDN w:val="0"/>
              <w:adjustRightInd w:val="0"/>
              <w:snapToGrid w:val="0"/>
              <w:spacing w:line="240" w:lineRule="auto"/>
              <w:ind w:firstLine="0" w:firstLineChars="0"/>
              <w:jc w:val="center"/>
              <w:textAlignment w:val="center"/>
              <w:rPr>
                <w:rFonts w:cs="宋体"/>
                <w:snapToGrid w:val="0"/>
                <w:color w:val="000000"/>
                <w:kern w:val="0"/>
              </w:rPr>
            </w:pPr>
            <w:r>
              <w:rPr>
                <w:rFonts w:hint="eastAsia" w:cs="宋体"/>
                <w:snapToGrid w:val="0"/>
                <w:color w:val="000000"/>
                <w:kern w:val="0"/>
              </w:rPr>
              <w:t>网络和通信安全</w:t>
            </w:r>
          </w:p>
        </w:tc>
        <w:tc>
          <w:tcPr>
            <w:tcW w:w="1295" w:type="pct"/>
            <w:vMerge w:val="restart"/>
            <w:shd w:val="clear" w:color="auto" w:fill="FFFFFF"/>
            <w:noWrap/>
            <w:vAlign w:val="center"/>
          </w:tcPr>
          <w:p w14:paraId="6F356E72">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身份鉴别</w:t>
            </w:r>
          </w:p>
        </w:tc>
        <w:tc>
          <w:tcPr>
            <w:tcW w:w="2472" w:type="pct"/>
            <w:vMerge w:val="restart"/>
            <w:shd w:val="clear" w:color="auto" w:fill="FFFFFF"/>
            <w:noWrap/>
            <w:vAlign w:val="center"/>
          </w:tcPr>
          <w:p w14:paraId="79125F00">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确保</w:t>
            </w:r>
            <w:r>
              <w:rPr>
                <w:rFonts w:hint="eastAsia" w:cs="宋体"/>
                <w:snapToGrid w:val="0"/>
                <w:kern w:val="0"/>
              </w:rPr>
              <w:t>通信实体身份的真实性，防止与假冒实体进行通信。</w:t>
            </w:r>
          </w:p>
        </w:tc>
        <w:tc>
          <w:tcPr>
            <w:tcW w:w="868" w:type="pct"/>
            <w:vMerge w:val="restart"/>
            <w:shd w:val="clear" w:color="auto" w:fill="FFFFFF"/>
            <w:noWrap/>
            <w:vAlign w:val="center"/>
          </w:tcPr>
          <w:p w14:paraId="39FA5148">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无</w:t>
            </w:r>
          </w:p>
        </w:tc>
      </w:tr>
      <w:tr w14:paraId="3BCF4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7309955F">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371791EC">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624CD329">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868" w:type="pct"/>
            <w:vMerge w:val="continue"/>
            <w:shd w:val="clear" w:color="auto" w:fill="FFFFFF"/>
            <w:noWrap/>
            <w:vAlign w:val="center"/>
          </w:tcPr>
          <w:p w14:paraId="59D3BF0F">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r>
      <w:tr w14:paraId="12A28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28769E1D">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0F236776">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restart"/>
            <w:shd w:val="clear" w:color="auto" w:fill="FFFFFF"/>
            <w:noWrap/>
            <w:vAlign w:val="center"/>
          </w:tcPr>
          <w:p w14:paraId="6C6A0985">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管理端的身份鉴别由云平台提供安全保障。</w:t>
            </w:r>
          </w:p>
        </w:tc>
        <w:tc>
          <w:tcPr>
            <w:tcW w:w="868" w:type="pct"/>
            <w:vMerge w:val="restart"/>
            <w:shd w:val="clear" w:color="auto" w:fill="FFFFFF"/>
            <w:noWrap/>
            <w:vAlign w:val="center"/>
          </w:tcPr>
          <w:p w14:paraId="3525562D">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云平台通过密评，已被完全评估。</w:t>
            </w:r>
          </w:p>
        </w:tc>
      </w:tr>
      <w:tr w14:paraId="2C2EC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27471F0B">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28A0E40A">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4CDFFC45">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868" w:type="pct"/>
            <w:vMerge w:val="continue"/>
            <w:shd w:val="clear" w:color="auto" w:fill="FFFFFF"/>
            <w:noWrap/>
            <w:vAlign w:val="center"/>
          </w:tcPr>
          <w:p w14:paraId="155208AB">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r>
      <w:tr w14:paraId="070C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691CAB52">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0C78C771">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1952DAF0">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868" w:type="pct"/>
            <w:vMerge w:val="continue"/>
            <w:shd w:val="clear" w:color="auto" w:fill="FFFFFF"/>
            <w:noWrap/>
            <w:vAlign w:val="center"/>
          </w:tcPr>
          <w:p w14:paraId="0CC92B51">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r>
      <w:tr w14:paraId="430C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64" w:type="pct"/>
            <w:vMerge w:val="continue"/>
            <w:shd w:val="clear" w:color="auto" w:fill="FFFFFF"/>
            <w:noWrap/>
            <w:vAlign w:val="center"/>
          </w:tcPr>
          <w:p w14:paraId="1A4C5364">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restart"/>
            <w:shd w:val="clear" w:color="auto" w:fill="FFFFFF"/>
            <w:noWrap/>
            <w:vAlign w:val="center"/>
          </w:tcPr>
          <w:p w14:paraId="57BE5805">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通信数据完整性</w:t>
            </w:r>
          </w:p>
        </w:tc>
        <w:tc>
          <w:tcPr>
            <w:tcW w:w="2472" w:type="pct"/>
            <w:vMerge w:val="restart"/>
            <w:shd w:val="clear" w:color="auto" w:fill="FFFFFF"/>
            <w:noWrap/>
            <w:vAlign w:val="center"/>
          </w:tcPr>
          <w:p w14:paraId="68A21D01">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保</w:t>
            </w:r>
            <w:r>
              <w:rPr>
                <w:rFonts w:hint="eastAsia" w:cs="宋体"/>
                <w:snapToGrid w:val="0"/>
                <w:kern w:val="0"/>
              </w:rPr>
              <w:t>护通信过程中业务数据的完整性，防止数据被非授权篡改。</w:t>
            </w:r>
          </w:p>
        </w:tc>
        <w:tc>
          <w:tcPr>
            <w:tcW w:w="868" w:type="pct"/>
            <w:vMerge w:val="restart"/>
            <w:shd w:val="clear" w:color="auto" w:fill="FFFFFF"/>
            <w:noWrap/>
            <w:vAlign w:val="center"/>
          </w:tcPr>
          <w:p w14:paraId="21771978">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无</w:t>
            </w:r>
          </w:p>
        </w:tc>
      </w:tr>
      <w:tr w14:paraId="12B8E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15E945E0">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6033D485">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3570F8F0">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868" w:type="pct"/>
            <w:vMerge w:val="continue"/>
            <w:shd w:val="clear" w:color="auto" w:fill="FFFFFF"/>
            <w:noWrap/>
            <w:vAlign w:val="center"/>
          </w:tcPr>
          <w:p w14:paraId="522AD83C">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r>
      <w:tr w14:paraId="6AD29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5D3176A2">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3D0396C8">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restart"/>
            <w:shd w:val="clear" w:color="auto" w:fill="FFFFFF"/>
            <w:noWrap/>
            <w:vAlign w:val="center"/>
          </w:tcPr>
          <w:p w14:paraId="293545AB">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管理端进行远程运维管理时的运维通信数据完整性由云平台提供安全保障。</w:t>
            </w:r>
          </w:p>
        </w:tc>
        <w:tc>
          <w:tcPr>
            <w:tcW w:w="868" w:type="pct"/>
            <w:vMerge w:val="restart"/>
            <w:shd w:val="clear" w:color="auto" w:fill="FFFFFF"/>
            <w:noWrap/>
            <w:vAlign w:val="center"/>
          </w:tcPr>
          <w:p w14:paraId="2E0C882B">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云平台通过密评，已被完全评估。</w:t>
            </w:r>
          </w:p>
        </w:tc>
      </w:tr>
      <w:tr w14:paraId="7E61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3D1EFE12">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6B5E6183">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5C4985F1">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868" w:type="pct"/>
            <w:vMerge w:val="continue"/>
            <w:shd w:val="clear" w:color="auto" w:fill="FFFFFF"/>
            <w:noWrap/>
            <w:vAlign w:val="center"/>
          </w:tcPr>
          <w:p w14:paraId="35B0701A">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r>
      <w:tr w14:paraId="38C9C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15420AAA">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14750F87">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62636BD7">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868" w:type="pct"/>
            <w:vMerge w:val="continue"/>
            <w:shd w:val="clear" w:color="auto" w:fill="FFFFFF"/>
            <w:noWrap/>
            <w:vAlign w:val="center"/>
          </w:tcPr>
          <w:p w14:paraId="1439DBCF">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r>
      <w:tr w14:paraId="53019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64" w:type="pct"/>
            <w:vMerge w:val="continue"/>
            <w:shd w:val="clear" w:color="auto" w:fill="FFFFFF"/>
            <w:noWrap/>
            <w:vAlign w:val="center"/>
          </w:tcPr>
          <w:p w14:paraId="51228AA4">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restart"/>
            <w:shd w:val="clear" w:color="auto" w:fill="FFFFFF"/>
            <w:noWrap/>
            <w:vAlign w:val="center"/>
          </w:tcPr>
          <w:p w14:paraId="3092D5D8">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通信过程中重要数据的机密性</w:t>
            </w:r>
          </w:p>
        </w:tc>
        <w:tc>
          <w:tcPr>
            <w:tcW w:w="2472" w:type="pct"/>
            <w:vMerge w:val="restart"/>
            <w:shd w:val="clear" w:color="auto" w:fill="FFFFFF"/>
            <w:noWrap/>
            <w:vAlign w:val="center"/>
          </w:tcPr>
          <w:p w14:paraId="1CC8FA9C">
            <w:pPr>
              <w:widowControl/>
              <w:wordWrap w:val="0"/>
              <w:autoSpaceDE w:val="0"/>
              <w:autoSpaceDN w:val="0"/>
              <w:adjustRightInd w:val="0"/>
              <w:snapToGrid w:val="0"/>
              <w:spacing w:line="240" w:lineRule="auto"/>
              <w:ind w:firstLine="0" w:firstLineChars="0"/>
              <w:textAlignment w:val="center"/>
              <w:rPr>
                <w:rFonts w:cs="宋体"/>
                <w:snapToGrid w:val="0"/>
                <w:kern w:val="0"/>
              </w:rPr>
            </w:pPr>
            <w:r>
              <w:rPr>
                <w:rFonts w:hint="eastAsia" w:cs="宋体"/>
                <w:snapToGrid w:val="0"/>
                <w:kern w:val="0"/>
              </w:rPr>
              <w:t>保护通信过程中业务数据的机密性，防止敏感数据泄露。</w:t>
            </w:r>
          </w:p>
        </w:tc>
        <w:tc>
          <w:tcPr>
            <w:tcW w:w="868" w:type="pct"/>
            <w:vMerge w:val="restart"/>
            <w:shd w:val="clear" w:color="auto" w:fill="FFFFFF"/>
            <w:noWrap/>
            <w:vAlign w:val="center"/>
          </w:tcPr>
          <w:p w14:paraId="1B23B13B">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无</w:t>
            </w:r>
          </w:p>
        </w:tc>
      </w:tr>
      <w:tr w14:paraId="12515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7C2E0C60">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r>
              <w:rPr>
                <w:rFonts w:hint="eastAsia" w:cs="宋体"/>
                <w:snapToGrid w:val="0"/>
                <w:color w:val="000000"/>
                <w:kern w:val="0"/>
              </w:rPr>
              <w:t>无</w:t>
            </w:r>
          </w:p>
        </w:tc>
        <w:tc>
          <w:tcPr>
            <w:tcW w:w="1295" w:type="pct"/>
            <w:vMerge w:val="continue"/>
            <w:shd w:val="clear" w:color="auto" w:fill="FFFFFF"/>
            <w:noWrap/>
            <w:vAlign w:val="center"/>
          </w:tcPr>
          <w:p w14:paraId="37CE505C">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1FE4504A">
            <w:pPr>
              <w:widowControl/>
              <w:wordWrap w:val="0"/>
              <w:autoSpaceDE w:val="0"/>
              <w:autoSpaceDN w:val="0"/>
              <w:adjustRightInd w:val="0"/>
              <w:snapToGrid w:val="0"/>
              <w:spacing w:line="240" w:lineRule="auto"/>
              <w:ind w:firstLine="0" w:firstLineChars="0"/>
              <w:textAlignment w:val="baseline"/>
              <w:rPr>
                <w:rFonts w:cs="宋体"/>
                <w:snapToGrid w:val="0"/>
                <w:kern w:val="0"/>
              </w:rPr>
            </w:pPr>
          </w:p>
        </w:tc>
        <w:tc>
          <w:tcPr>
            <w:tcW w:w="868" w:type="pct"/>
            <w:vMerge w:val="continue"/>
            <w:shd w:val="clear" w:color="auto" w:fill="FFFFFF"/>
            <w:noWrap/>
            <w:vAlign w:val="center"/>
          </w:tcPr>
          <w:p w14:paraId="375173EF">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r>
      <w:tr w14:paraId="3B025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617EAE77">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118FEA32">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restart"/>
            <w:shd w:val="clear" w:color="auto" w:fill="FFFFFF"/>
            <w:noWrap/>
            <w:vAlign w:val="center"/>
          </w:tcPr>
          <w:p w14:paraId="3ED2A794">
            <w:pPr>
              <w:widowControl/>
              <w:wordWrap w:val="0"/>
              <w:autoSpaceDE w:val="0"/>
              <w:autoSpaceDN w:val="0"/>
              <w:adjustRightInd w:val="0"/>
              <w:snapToGrid w:val="0"/>
              <w:spacing w:line="240" w:lineRule="auto"/>
              <w:ind w:firstLine="0" w:firstLineChars="0"/>
              <w:textAlignment w:val="center"/>
              <w:rPr>
                <w:rFonts w:cs="宋体"/>
                <w:snapToGrid w:val="0"/>
                <w:kern w:val="0"/>
              </w:rPr>
            </w:pPr>
            <w:r>
              <w:rPr>
                <w:rFonts w:hint="eastAsia" w:cs="宋体"/>
                <w:snapToGrid w:val="0"/>
                <w:kern w:val="0"/>
              </w:rPr>
              <w:t>管理端进行远程运维管理时的运维通信数据机密性由云平台提供安全保障。</w:t>
            </w:r>
          </w:p>
        </w:tc>
        <w:tc>
          <w:tcPr>
            <w:tcW w:w="868" w:type="pct"/>
            <w:vMerge w:val="restart"/>
            <w:shd w:val="clear" w:color="auto" w:fill="FFFFFF"/>
            <w:noWrap/>
            <w:vAlign w:val="center"/>
          </w:tcPr>
          <w:p w14:paraId="636ED3EE">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云平台通过密评，已被完全评估。</w:t>
            </w:r>
          </w:p>
        </w:tc>
      </w:tr>
      <w:tr w14:paraId="22651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58206019">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39E9EAFE">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4C92F1EC">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868" w:type="pct"/>
            <w:vMerge w:val="continue"/>
            <w:shd w:val="clear" w:color="auto" w:fill="FFFFFF"/>
            <w:noWrap/>
            <w:vAlign w:val="center"/>
          </w:tcPr>
          <w:p w14:paraId="077479AD">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r>
      <w:tr w14:paraId="5B884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0719F2E3">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263A532B">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52DA2781">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868" w:type="pct"/>
            <w:vMerge w:val="continue"/>
            <w:shd w:val="clear" w:color="auto" w:fill="FFFFFF"/>
            <w:noWrap/>
            <w:vAlign w:val="center"/>
          </w:tcPr>
          <w:p w14:paraId="2DDA0689">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r>
      <w:tr w14:paraId="3DFC1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364" w:type="pct"/>
            <w:vMerge w:val="continue"/>
            <w:shd w:val="clear" w:color="auto" w:fill="FFFFFF"/>
            <w:noWrap/>
            <w:vAlign w:val="center"/>
          </w:tcPr>
          <w:p w14:paraId="6F9E27A4">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restart"/>
            <w:shd w:val="clear" w:color="auto" w:fill="FFFFFF"/>
            <w:noWrap/>
            <w:vAlign w:val="center"/>
          </w:tcPr>
          <w:p w14:paraId="39312744">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网络边界访问控制信息的完整性</w:t>
            </w:r>
          </w:p>
        </w:tc>
        <w:tc>
          <w:tcPr>
            <w:tcW w:w="2472" w:type="pct"/>
            <w:shd w:val="clear" w:color="auto" w:fill="FFFFFF"/>
            <w:noWrap/>
            <w:vAlign w:val="center"/>
          </w:tcPr>
          <w:p w14:paraId="5DEAE7DF">
            <w:pPr>
              <w:widowControl/>
              <w:wordWrap w:val="0"/>
              <w:autoSpaceDE w:val="0"/>
              <w:autoSpaceDN w:val="0"/>
              <w:adjustRightInd w:val="0"/>
              <w:snapToGrid w:val="0"/>
              <w:spacing w:line="240" w:lineRule="auto"/>
              <w:ind w:firstLine="0" w:firstLineChars="0"/>
              <w:textAlignment w:val="center"/>
              <w:rPr>
                <w:rFonts w:cs="宋体"/>
                <w:snapToGrid w:val="0"/>
                <w:kern w:val="0"/>
              </w:rPr>
            </w:pPr>
            <w:r>
              <w:rPr>
                <w:rFonts w:hint="eastAsia" w:cs="宋体"/>
                <w:snapToGrid w:val="0"/>
                <w:kern w:val="0"/>
              </w:rPr>
              <w:t>保护移通信过程中网络边界访问控制信息的完整性，防止被非授权篡改。</w:t>
            </w:r>
          </w:p>
        </w:tc>
        <w:tc>
          <w:tcPr>
            <w:tcW w:w="868" w:type="pct"/>
            <w:shd w:val="clear" w:color="auto" w:fill="FFFFFF"/>
            <w:noWrap/>
            <w:vAlign w:val="center"/>
          </w:tcPr>
          <w:p w14:paraId="5C5BF3BC">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无</w:t>
            </w:r>
          </w:p>
        </w:tc>
      </w:tr>
      <w:tr w14:paraId="4402B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5DC954E5">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30D4936A">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c>
          <w:tcPr>
            <w:tcW w:w="2472" w:type="pct"/>
            <w:vMerge w:val="restart"/>
            <w:shd w:val="clear" w:color="auto" w:fill="FFFFFF"/>
            <w:noWrap/>
            <w:vAlign w:val="center"/>
          </w:tcPr>
          <w:p w14:paraId="5253F55D">
            <w:pPr>
              <w:widowControl/>
              <w:wordWrap w:val="0"/>
              <w:autoSpaceDE w:val="0"/>
              <w:autoSpaceDN w:val="0"/>
              <w:adjustRightInd w:val="0"/>
              <w:snapToGrid w:val="0"/>
              <w:spacing w:line="240" w:lineRule="auto"/>
              <w:ind w:firstLine="0" w:firstLineChars="0"/>
              <w:textAlignment w:val="center"/>
              <w:rPr>
                <w:rFonts w:cs="宋体"/>
                <w:snapToGrid w:val="0"/>
                <w:kern w:val="0"/>
              </w:rPr>
            </w:pPr>
            <w:r>
              <w:rPr>
                <w:rFonts w:hint="eastAsia" w:cs="宋体"/>
                <w:snapToGrid w:val="0"/>
                <w:kern w:val="0"/>
              </w:rPr>
              <w:t>系统网络拓扑中不同区域网络边界访问控制信息的完整性保护由云平台提供。</w:t>
            </w:r>
          </w:p>
        </w:tc>
        <w:tc>
          <w:tcPr>
            <w:tcW w:w="868" w:type="pct"/>
            <w:vMerge w:val="restart"/>
            <w:shd w:val="clear" w:color="auto" w:fill="FFFFFF"/>
            <w:noWrap/>
            <w:vAlign w:val="center"/>
          </w:tcPr>
          <w:p w14:paraId="22A8CB57">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云平台通过密评，已被完全评估。</w:t>
            </w:r>
          </w:p>
        </w:tc>
      </w:tr>
      <w:tr w14:paraId="37878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5984D38E">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3A5C20F3">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7A8E2282">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868" w:type="pct"/>
            <w:vMerge w:val="continue"/>
            <w:shd w:val="clear" w:color="auto" w:fill="FFFFFF"/>
            <w:noWrap/>
            <w:vAlign w:val="center"/>
          </w:tcPr>
          <w:p w14:paraId="2047EC26">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r>
      <w:tr w14:paraId="42DCD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35E6EB51">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5BAAC09D">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15391D71">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868" w:type="pct"/>
            <w:vMerge w:val="continue"/>
            <w:shd w:val="clear" w:color="auto" w:fill="FFFFFF"/>
            <w:noWrap/>
            <w:vAlign w:val="center"/>
          </w:tcPr>
          <w:p w14:paraId="1E48FBC1">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r>
      <w:tr w14:paraId="0562A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64" w:type="pct"/>
            <w:vMerge w:val="continue"/>
            <w:shd w:val="clear" w:color="auto" w:fill="FFFFFF"/>
            <w:noWrap/>
            <w:vAlign w:val="center"/>
          </w:tcPr>
          <w:p w14:paraId="1CF434CB">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restart"/>
            <w:shd w:val="clear" w:color="auto" w:fill="FFFFFF"/>
            <w:noWrap/>
            <w:vAlign w:val="center"/>
          </w:tcPr>
          <w:p w14:paraId="0122D0A0">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安全接入认证</w:t>
            </w:r>
          </w:p>
        </w:tc>
        <w:tc>
          <w:tcPr>
            <w:tcW w:w="2472" w:type="pct"/>
            <w:vMerge w:val="restart"/>
            <w:shd w:val="clear" w:color="auto" w:fill="FFFFFF"/>
            <w:noWrap/>
            <w:vAlign w:val="center"/>
          </w:tcPr>
          <w:p w14:paraId="3B744DA2">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不适用。</w:t>
            </w:r>
          </w:p>
        </w:tc>
        <w:tc>
          <w:tcPr>
            <w:tcW w:w="868" w:type="pct"/>
            <w:vMerge w:val="restart"/>
            <w:shd w:val="clear" w:color="auto" w:fill="FFFFFF"/>
            <w:noWrap/>
            <w:vAlign w:val="center"/>
          </w:tcPr>
          <w:p w14:paraId="619CC22B">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无外部设备接入本系统的需求。</w:t>
            </w:r>
          </w:p>
        </w:tc>
      </w:tr>
      <w:tr w14:paraId="0EA29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4C61D47C">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4F72B24F">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542245A2">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868" w:type="pct"/>
            <w:vMerge w:val="continue"/>
            <w:shd w:val="clear" w:color="auto" w:fill="FFFFFF"/>
            <w:noWrap/>
            <w:vAlign w:val="center"/>
          </w:tcPr>
          <w:p w14:paraId="10080640">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r>
      <w:tr w14:paraId="735E3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32D4926D">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19122423">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1E1CD984">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868" w:type="pct"/>
            <w:vMerge w:val="continue"/>
            <w:shd w:val="clear" w:color="auto" w:fill="FFFFFF"/>
            <w:noWrap/>
            <w:vAlign w:val="center"/>
          </w:tcPr>
          <w:p w14:paraId="6842458F">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r>
      <w:tr w14:paraId="7401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64" w:type="pct"/>
            <w:vMerge w:val="continue"/>
            <w:shd w:val="clear" w:color="auto" w:fill="FFFFFF"/>
            <w:noWrap/>
            <w:vAlign w:val="center"/>
          </w:tcPr>
          <w:p w14:paraId="0E7F83ED">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restart"/>
            <w:shd w:val="clear" w:color="auto" w:fill="FFFFFF"/>
            <w:noWrap/>
            <w:vAlign w:val="center"/>
          </w:tcPr>
          <w:p w14:paraId="018EA254">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密码服务</w:t>
            </w:r>
          </w:p>
        </w:tc>
        <w:tc>
          <w:tcPr>
            <w:tcW w:w="2472" w:type="pct"/>
            <w:vMerge w:val="restart"/>
            <w:shd w:val="clear" w:color="auto" w:fill="FFFFFF"/>
            <w:noWrap/>
            <w:vAlign w:val="center"/>
          </w:tcPr>
          <w:p w14:paraId="17E5443D">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采用的数字证书由具备资质的电子认证服务机构签发。</w:t>
            </w:r>
          </w:p>
        </w:tc>
        <w:tc>
          <w:tcPr>
            <w:tcW w:w="868" w:type="pct"/>
            <w:vMerge w:val="restart"/>
            <w:shd w:val="clear" w:color="auto" w:fill="FFFFFF"/>
            <w:noWrap/>
            <w:vAlign w:val="center"/>
          </w:tcPr>
          <w:p w14:paraId="463DB35C">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无</w:t>
            </w:r>
          </w:p>
        </w:tc>
      </w:tr>
      <w:tr w14:paraId="28BC7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5D8DB0ED">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04EACC53">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360E6355">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868" w:type="pct"/>
            <w:vMerge w:val="continue"/>
            <w:shd w:val="clear" w:color="auto" w:fill="FFFFFF"/>
            <w:noWrap/>
            <w:vAlign w:val="center"/>
          </w:tcPr>
          <w:p w14:paraId="4BAEA9CA">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r>
      <w:tr w14:paraId="2DEE1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364" w:type="pct"/>
            <w:vMerge w:val="continue"/>
            <w:shd w:val="clear" w:color="auto" w:fill="FFFFFF"/>
            <w:noWrap/>
            <w:vAlign w:val="center"/>
          </w:tcPr>
          <w:p w14:paraId="11272CDF">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3C9C7109">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shd w:val="clear" w:color="auto" w:fill="FFFFFF"/>
            <w:noWrap/>
            <w:vAlign w:val="center"/>
          </w:tcPr>
          <w:p w14:paraId="7FF468A4">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采用的云密码服务由云平台提供。</w:t>
            </w:r>
          </w:p>
        </w:tc>
        <w:tc>
          <w:tcPr>
            <w:tcW w:w="868" w:type="pct"/>
            <w:shd w:val="clear" w:color="auto" w:fill="FFFFFF"/>
            <w:noWrap/>
            <w:vAlign w:val="center"/>
          </w:tcPr>
          <w:p w14:paraId="5B637454">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云平台通过密评，已被完全评估。</w:t>
            </w:r>
          </w:p>
        </w:tc>
      </w:tr>
      <w:tr w14:paraId="1FDBF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7E904D74">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restart"/>
            <w:shd w:val="clear" w:color="auto" w:fill="FFFFFF"/>
            <w:noWrap/>
            <w:vAlign w:val="center"/>
          </w:tcPr>
          <w:p w14:paraId="3C4FFF46">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密码产品</w:t>
            </w:r>
          </w:p>
        </w:tc>
        <w:tc>
          <w:tcPr>
            <w:tcW w:w="2472" w:type="pct"/>
            <w:vMerge w:val="restart"/>
            <w:shd w:val="clear" w:color="auto" w:fill="FFFFFF"/>
            <w:noWrap/>
            <w:vAlign w:val="center"/>
          </w:tcPr>
          <w:p w14:paraId="1AB8FC97">
            <w:pPr>
              <w:widowControl/>
              <w:wordWrap w:val="0"/>
              <w:autoSpaceDE w:val="0"/>
              <w:autoSpaceDN w:val="0"/>
              <w:adjustRightInd w:val="0"/>
              <w:snapToGrid w:val="0"/>
              <w:spacing w:line="240" w:lineRule="auto"/>
              <w:ind w:firstLine="0" w:firstLineChars="0"/>
              <w:textAlignment w:val="baseline"/>
              <w:rPr>
                <w:rFonts w:cs="宋体"/>
                <w:i/>
                <w:iCs/>
                <w:snapToGrid w:val="0"/>
                <w:color w:val="FF0000"/>
                <w:kern w:val="0"/>
              </w:rPr>
            </w:pPr>
            <w:r>
              <w:rPr>
                <w:rFonts w:hint="eastAsia" w:cs="宋体"/>
                <w:snapToGrid w:val="0"/>
                <w:color w:val="000000"/>
                <w:kern w:val="0"/>
              </w:rPr>
              <w:t>客户端采用的安全浏览器、密码模块（二级）、USBKey达到GB/T 37092二级安全要求。</w:t>
            </w:r>
          </w:p>
        </w:tc>
        <w:tc>
          <w:tcPr>
            <w:tcW w:w="868" w:type="pct"/>
            <w:vMerge w:val="restart"/>
            <w:shd w:val="clear" w:color="auto" w:fill="FFFFFF"/>
            <w:noWrap/>
            <w:vAlign w:val="center"/>
          </w:tcPr>
          <w:p w14:paraId="4BFA5133">
            <w:pPr>
              <w:widowControl/>
              <w:wordWrap w:val="0"/>
              <w:autoSpaceDE w:val="0"/>
              <w:autoSpaceDN w:val="0"/>
              <w:adjustRightInd w:val="0"/>
              <w:snapToGrid w:val="0"/>
              <w:spacing w:line="240" w:lineRule="auto"/>
              <w:ind w:firstLine="0" w:firstLineChars="0"/>
              <w:textAlignment w:val="baseline"/>
              <w:rPr>
                <w:rFonts w:cs="宋体"/>
                <w:i/>
                <w:iCs/>
                <w:snapToGrid w:val="0"/>
                <w:color w:val="FF0000"/>
                <w:kern w:val="0"/>
              </w:rPr>
            </w:pPr>
            <w:r>
              <w:rPr>
                <w:rFonts w:hint="eastAsia" w:cs="宋体"/>
                <w:snapToGrid w:val="0"/>
                <w:color w:val="000000"/>
                <w:kern w:val="0"/>
              </w:rPr>
              <w:t>无</w:t>
            </w:r>
          </w:p>
        </w:tc>
      </w:tr>
      <w:tr w14:paraId="5DCE5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14DF0633">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13D162BC">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16F69A43">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c>
          <w:tcPr>
            <w:tcW w:w="868" w:type="pct"/>
            <w:vMerge w:val="continue"/>
            <w:shd w:val="clear" w:color="auto" w:fill="FFFFFF"/>
            <w:noWrap/>
            <w:vAlign w:val="center"/>
          </w:tcPr>
          <w:p w14:paraId="04912CFA">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r>
      <w:tr w14:paraId="7076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6A82A290">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7B7F5A97">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shd w:val="clear" w:color="auto" w:fill="FFFFFF"/>
            <w:noWrap/>
            <w:vAlign w:val="center"/>
          </w:tcPr>
          <w:p w14:paraId="4503559D">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服务端相关的密码产品由云平台提供安全保障。</w:t>
            </w:r>
          </w:p>
        </w:tc>
        <w:tc>
          <w:tcPr>
            <w:tcW w:w="868" w:type="pct"/>
            <w:shd w:val="clear" w:color="auto" w:fill="FFFFFF"/>
            <w:noWrap/>
            <w:vAlign w:val="center"/>
          </w:tcPr>
          <w:p w14:paraId="2C6E06B8">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云平台通过密评，已被完全评估。</w:t>
            </w:r>
          </w:p>
        </w:tc>
      </w:tr>
      <w:tr w14:paraId="4211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660A358E">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55F58D85">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restart"/>
            <w:shd w:val="clear" w:color="auto" w:fill="FFFFFF"/>
            <w:noWrap/>
            <w:vAlign w:val="center"/>
          </w:tcPr>
          <w:p w14:paraId="2874D8A0">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对服务器虚拟机等设备的远程运维管理员身份真实性进行识别和确认，防止假冒人员登录。</w:t>
            </w:r>
          </w:p>
        </w:tc>
        <w:tc>
          <w:tcPr>
            <w:tcW w:w="868" w:type="pct"/>
            <w:vMerge w:val="restart"/>
            <w:shd w:val="clear" w:color="auto" w:fill="FFFFFF"/>
            <w:noWrap/>
            <w:vAlign w:val="center"/>
          </w:tcPr>
          <w:p w14:paraId="3B56D459">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无</w:t>
            </w:r>
          </w:p>
        </w:tc>
      </w:tr>
      <w:tr w14:paraId="083D7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6924937B">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5E9E9BAA">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31233A2D">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868" w:type="pct"/>
            <w:vMerge w:val="continue"/>
            <w:shd w:val="clear" w:color="auto" w:fill="FFFFFF"/>
            <w:noWrap/>
            <w:vAlign w:val="center"/>
          </w:tcPr>
          <w:p w14:paraId="4C45FE35">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r>
      <w:tr w14:paraId="25EA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63B6E8B9">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7DAE7BD7">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0B2F54A3">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c>
          <w:tcPr>
            <w:tcW w:w="868" w:type="pct"/>
            <w:vMerge w:val="continue"/>
            <w:shd w:val="clear" w:color="auto" w:fill="FFFFFF"/>
            <w:noWrap/>
            <w:vAlign w:val="center"/>
          </w:tcPr>
          <w:p w14:paraId="243CE0EC">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r>
      <w:tr w14:paraId="280CC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restart"/>
            <w:shd w:val="clear" w:color="auto" w:fill="FFFFFF"/>
            <w:noWrap/>
            <w:vAlign w:val="center"/>
          </w:tcPr>
          <w:p w14:paraId="2BE95362">
            <w:pPr>
              <w:widowControl/>
              <w:wordWrap w:val="0"/>
              <w:autoSpaceDE w:val="0"/>
              <w:autoSpaceDN w:val="0"/>
              <w:adjustRightInd w:val="0"/>
              <w:snapToGrid w:val="0"/>
              <w:spacing w:line="240" w:lineRule="auto"/>
              <w:ind w:firstLine="0" w:firstLineChars="0"/>
              <w:jc w:val="center"/>
              <w:textAlignment w:val="center"/>
              <w:rPr>
                <w:rFonts w:cs="宋体"/>
                <w:snapToGrid w:val="0"/>
                <w:color w:val="000000"/>
                <w:kern w:val="0"/>
              </w:rPr>
            </w:pPr>
            <w:r>
              <w:rPr>
                <w:rFonts w:hint="eastAsia" w:cs="宋体"/>
                <w:snapToGrid w:val="0"/>
                <w:color w:val="000000"/>
                <w:kern w:val="0"/>
              </w:rPr>
              <w:t>设备和计算安全</w:t>
            </w:r>
          </w:p>
        </w:tc>
        <w:tc>
          <w:tcPr>
            <w:tcW w:w="1295" w:type="pct"/>
            <w:vMerge w:val="restart"/>
            <w:shd w:val="clear" w:color="auto" w:fill="FFFFFF"/>
            <w:noWrap/>
            <w:vAlign w:val="center"/>
          </w:tcPr>
          <w:p w14:paraId="4145A5B6">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身份鉴别</w:t>
            </w:r>
          </w:p>
        </w:tc>
        <w:tc>
          <w:tcPr>
            <w:tcW w:w="2472" w:type="pct"/>
            <w:vMerge w:val="restart"/>
            <w:shd w:val="clear" w:color="auto" w:fill="FFFFFF"/>
            <w:noWrap/>
            <w:vAlign w:val="center"/>
          </w:tcPr>
          <w:p w14:paraId="6563026B">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对服务器虚拟机等设备的远程运维管理通道进行保护，防止鉴别信息泄漏。</w:t>
            </w:r>
          </w:p>
        </w:tc>
        <w:tc>
          <w:tcPr>
            <w:tcW w:w="868" w:type="pct"/>
            <w:vMerge w:val="restart"/>
            <w:shd w:val="clear" w:color="auto" w:fill="FFFFFF"/>
            <w:noWrap/>
            <w:vAlign w:val="center"/>
          </w:tcPr>
          <w:p w14:paraId="66C576EF">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无</w:t>
            </w:r>
          </w:p>
        </w:tc>
      </w:tr>
      <w:tr w14:paraId="517B0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733EBAEB">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7DFEB1E2">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5B8216A3">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868" w:type="pct"/>
            <w:vMerge w:val="continue"/>
            <w:shd w:val="clear" w:color="auto" w:fill="FFFFFF"/>
            <w:noWrap/>
            <w:vAlign w:val="center"/>
          </w:tcPr>
          <w:p w14:paraId="366AABC3">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r>
      <w:tr w14:paraId="181B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585CE61E">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71716F26">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45733A71">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c>
          <w:tcPr>
            <w:tcW w:w="868" w:type="pct"/>
            <w:vMerge w:val="continue"/>
            <w:shd w:val="clear" w:color="auto" w:fill="FFFFFF"/>
            <w:noWrap/>
            <w:vAlign w:val="center"/>
          </w:tcPr>
          <w:p w14:paraId="2FE804AD">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r>
      <w:tr w14:paraId="2EFE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75B76718">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restart"/>
            <w:shd w:val="clear" w:color="auto" w:fill="FFFFFF"/>
            <w:noWrap/>
            <w:vAlign w:val="center"/>
          </w:tcPr>
          <w:p w14:paraId="4AC890F6">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远程管理通道安全</w:t>
            </w:r>
          </w:p>
        </w:tc>
        <w:tc>
          <w:tcPr>
            <w:tcW w:w="2472" w:type="pct"/>
            <w:vMerge w:val="restart"/>
            <w:shd w:val="clear" w:color="auto" w:fill="FFFFFF"/>
            <w:noWrap/>
            <w:vAlign w:val="center"/>
          </w:tcPr>
          <w:p w14:paraId="28FAB833">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保护服务器虚拟机、数据库等设备访问控制信息的完整性，防止被非授权篡改。</w:t>
            </w:r>
          </w:p>
        </w:tc>
        <w:tc>
          <w:tcPr>
            <w:tcW w:w="868" w:type="pct"/>
            <w:vMerge w:val="restart"/>
            <w:shd w:val="clear" w:color="auto" w:fill="FFFFFF"/>
            <w:noWrap/>
            <w:vAlign w:val="center"/>
          </w:tcPr>
          <w:p w14:paraId="3A2C3EB0">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无</w:t>
            </w:r>
          </w:p>
        </w:tc>
      </w:tr>
      <w:tr w14:paraId="3CE8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578D8883">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22C7CFE6">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1BBCB1B0">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c>
          <w:tcPr>
            <w:tcW w:w="868" w:type="pct"/>
            <w:vMerge w:val="continue"/>
            <w:shd w:val="clear" w:color="auto" w:fill="FFFFFF"/>
            <w:noWrap/>
            <w:vAlign w:val="center"/>
          </w:tcPr>
          <w:p w14:paraId="6E168205">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r>
      <w:tr w14:paraId="6E49F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6C3DC39E">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restart"/>
            <w:shd w:val="clear" w:color="auto" w:fill="FFFFFF"/>
            <w:noWrap/>
            <w:vAlign w:val="center"/>
          </w:tcPr>
          <w:p w14:paraId="02461EDD">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系统资源访问控制信息完整性</w:t>
            </w:r>
          </w:p>
        </w:tc>
        <w:tc>
          <w:tcPr>
            <w:tcW w:w="2472" w:type="pct"/>
            <w:vMerge w:val="restart"/>
            <w:shd w:val="clear" w:color="auto" w:fill="FFFFFF"/>
            <w:noWrap/>
            <w:vAlign w:val="center"/>
          </w:tcPr>
          <w:p w14:paraId="31A6A7BC">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不适用。</w:t>
            </w:r>
          </w:p>
        </w:tc>
        <w:tc>
          <w:tcPr>
            <w:tcW w:w="868" w:type="pct"/>
            <w:vMerge w:val="restart"/>
            <w:shd w:val="clear" w:color="auto" w:fill="FFFFFF"/>
            <w:noWrap/>
            <w:vAlign w:val="center"/>
          </w:tcPr>
          <w:p w14:paraId="1CCCBF83">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设备没有安全标记。</w:t>
            </w:r>
          </w:p>
        </w:tc>
      </w:tr>
      <w:tr w14:paraId="23A4C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30C9B9FC">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7624ECAE">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23D0232B">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c>
          <w:tcPr>
            <w:tcW w:w="868" w:type="pct"/>
            <w:vMerge w:val="continue"/>
            <w:shd w:val="clear" w:color="auto" w:fill="FFFFFF"/>
            <w:noWrap/>
            <w:vAlign w:val="center"/>
          </w:tcPr>
          <w:p w14:paraId="1FB053F6">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r>
      <w:tr w14:paraId="1E398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61C5EAC9">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restart"/>
            <w:shd w:val="clear" w:color="auto" w:fill="FFFFFF"/>
            <w:noWrap/>
            <w:vAlign w:val="center"/>
          </w:tcPr>
          <w:p w14:paraId="7A0E2DD2">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重要信息资源安全标记完整性</w:t>
            </w:r>
          </w:p>
        </w:tc>
        <w:tc>
          <w:tcPr>
            <w:tcW w:w="2472" w:type="pct"/>
            <w:vMerge w:val="restart"/>
            <w:shd w:val="clear" w:color="auto" w:fill="FFFFFF"/>
            <w:noWrap/>
            <w:vAlign w:val="center"/>
          </w:tcPr>
          <w:p w14:paraId="67079B80">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保护服务器虚拟机、数据库等设备中日志记录的完整性，防止被非授权篡改。</w:t>
            </w:r>
          </w:p>
        </w:tc>
        <w:tc>
          <w:tcPr>
            <w:tcW w:w="868" w:type="pct"/>
            <w:vMerge w:val="restart"/>
            <w:shd w:val="clear" w:color="auto" w:fill="FFFFFF"/>
            <w:noWrap/>
            <w:vAlign w:val="center"/>
          </w:tcPr>
          <w:p w14:paraId="02C7377D">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无</w:t>
            </w:r>
          </w:p>
        </w:tc>
      </w:tr>
      <w:tr w14:paraId="20F1E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2628C4F0">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51ED84C7">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27E905F6">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c>
          <w:tcPr>
            <w:tcW w:w="868" w:type="pct"/>
            <w:vMerge w:val="continue"/>
            <w:shd w:val="clear" w:color="auto" w:fill="FFFFFF"/>
            <w:noWrap/>
            <w:vAlign w:val="center"/>
          </w:tcPr>
          <w:p w14:paraId="31104CF3">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r>
      <w:tr w14:paraId="60AD1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3BC58115">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restart"/>
            <w:shd w:val="clear" w:color="auto" w:fill="FFFFFF"/>
            <w:noWrap/>
            <w:vAlign w:val="center"/>
          </w:tcPr>
          <w:p w14:paraId="132E3806">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日志记录完整性</w:t>
            </w:r>
          </w:p>
        </w:tc>
        <w:tc>
          <w:tcPr>
            <w:tcW w:w="2472" w:type="pct"/>
            <w:vMerge w:val="restart"/>
            <w:shd w:val="clear" w:color="auto" w:fill="FFFFFF"/>
            <w:noWrap/>
            <w:vAlign w:val="center"/>
          </w:tcPr>
          <w:p w14:paraId="3B254297">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保护应用服务器虚拟机等设备中重要可执行程序的完整性和来源真实性，防止被非授权篡改。</w:t>
            </w:r>
          </w:p>
        </w:tc>
        <w:tc>
          <w:tcPr>
            <w:tcW w:w="868" w:type="pct"/>
            <w:vMerge w:val="restart"/>
            <w:shd w:val="clear" w:color="auto" w:fill="FFFFFF"/>
            <w:noWrap/>
            <w:vAlign w:val="center"/>
          </w:tcPr>
          <w:p w14:paraId="44130FB8">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无</w:t>
            </w:r>
          </w:p>
        </w:tc>
      </w:tr>
      <w:tr w14:paraId="7CB63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6C8C2BE6">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55A38836">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28A7FB6A">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c>
          <w:tcPr>
            <w:tcW w:w="868" w:type="pct"/>
            <w:vMerge w:val="continue"/>
            <w:shd w:val="clear" w:color="auto" w:fill="FFFFFF"/>
            <w:noWrap/>
            <w:vAlign w:val="center"/>
          </w:tcPr>
          <w:p w14:paraId="46122C8D">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r>
      <w:tr w14:paraId="2492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2BEC792C">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restart"/>
            <w:shd w:val="clear" w:color="auto" w:fill="FFFFFF"/>
            <w:noWrap/>
            <w:vAlign w:val="center"/>
          </w:tcPr>
          <w:p w14:paraId="2977C97C">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重要可执行程序完整性、来源真实性</w:t>
            </w:r>
          </w:p>
        </w:tc>
        <w:tc>
          <w:tcPr>
            <w:tcW w:w="2472" w:type="pct"/>
            <w:vMerge w:val="restart"/>
            <w:shd w:val="clear" w:color="auto" w:fill="FFFFFF"/>
            <w:noWrap/>
            <w:vAlign w:val="center"/>
          </w:tcPr>
          <w:p w14:paraId="32B6C557">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采用的云密码服务由云平台提供。</w:t>
            </w:r>
          </w:p>
        </w:tc>
        <w:tc>
          <w:tcPr>
            <w:tcW w:w="868" w:type="pct"/>
            <w:vMerge w:val="restart"/>
            <w:shd w:val="clear" w:color="auto" w:fill="FFFFFF"/>
            <w:noWrap/>
            <w:vAlign w:val="center"/>
          </w:tcPr>
          <w:p w14:paraId="76B267B6">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云平台通过密评，已被完全评估。</w:t>
            </w:r>
          </w:p>
        </w:tc>
      </w:tr>
      <w:tr w14:paraId="32A00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04F1F9BD">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1925E124">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54AB1F17">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868" w:type="pct"/>
            <w:vMerge w:val="continue"/>
            <w:shd w:val="clear" w:color="auto" w:fill="FFFFFF"/>
            <w:noWrap/>
            <w:vAlign w:val="center"/>
          </w:tcPr>
          <w:p w14:paraId="6D4623A5">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r>
      <w:tr w14:paraId="5739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625EABC7">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5AB5D5C6">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090DE148">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c>
          <w:tcPr>
            <w:tcW w:w="868" w:type="pct"/>
            <w:vMerge w:val="continue"/>
            <w:shd w:val="clear" w:color="auto" w:fill="FFFFFF"/>
            <w:noWrap/>
            <w:vAlign w:val="center"/>
          </w:tcPr>
          <w:p w14:paraId="706CC271">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r>
      <w:tr w14:paraId="4D501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7DCEBE70">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restart"/>
            <w:shd w:val="clear" w:color="auto" w:fill="FFFFFF"/>
            <w:noWrap/>
            <w:vAlign w:val="center"/>
          </w:tcPr>
          <w:p w14:paraId="76605213">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密码服务</w:t>
            </w:r>
          </w:p>
        </w:tc>
        <w:tc>
          <w:tcPr>
            <w:tcW w:w="2472" w:type="pct"/>
            <w:vMerge w:val="restart"/>
            <w:shd w:val="clear" w:color="auto" w:fill="FFFFFF"/>
            <w:noWrap/>
            <w:vAlign w:val="center"/>
          </w:tcPr>
          <w:p w14:paraId="1D6EB84C">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采用的密码产品应达到GB/T 37092二级及以上安全要求。</w:t>
            </w:r>
          </w:p>
        </w:tc>
        <w:tc>
          <w:tcPr>
            <w:tcW w:w="868" w:type="pct"/>
            <w:vMerge w:val="restart"/>
            <w:shd w:val="clear" w:color="auto" w:fill="FFFFFF"/>
            <w:noWrap/>
            <w:vAlign w:val="center"/>
          </w:tcPr>
          <w:p w14:paraId="30E30E2B">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无</w:t>
            </w:r>
          </w:p>
        </w:tc>
      </w:tr>
      <w:tr w14:paraId="452D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0507D36E">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5CF4482C">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030175F8">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868" w:type="pct"/>
            <w:vMerge w:val="continue"/>
            <w:shd w:val="clear" w:color="auto" w:fill="FFFFFF"/>
            <w:noWrap/>
            <w:vAlign w:val="center"/>
          </w:tcPr>
          <w:p w14:paraId="3F9661A0">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r>
      <w:tr w14:paraId="2EF5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43787F01">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204DAEAE">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43B2BC5F">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c>
          <w:tcPr>
            <w:tcW w:w="868" w:type="pct"/>
            <w:vMerge w:val="continue"/>
            <w:shd w:val="clear" w:color="auto" w:fill="FFFFFF"/>
            <w:noWrap/>
            <w:vAlign w:val="center"/>
          </w:tcPr>
          <w:p w14:paraId="321C50F0">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r>
      <w:tr w14:paraId="3F44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16C4313A">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restart"/>
            <w:shd w:val="clear" w:color="auto" w:fill="FFFFFF"/>
            <w:noWrap/>
            <w:vAlign w:val="center"/>
          </w:tcPr>
          <w:p w14:paraId="0D052889">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密码产品</w:t>
            </w:r>
          </w:p>
        </w:tc>
        <w:tc>
          <w:tcPr>
            <w:tcW w:w="2472" w:type="pct"/>
            <w:shd w:val="clear" w:color="auto" w:fill="FFFFFF"/>
            <w:noWrap/>
            <w:vAlign w:val="center"/>
          </w:tcPr>
          <w:p w14:paraId="4CF3279F">
            <w:pPr>
              <w:widowControl/>
              <w:wordWrap w:val="0"/>
              <w:autoSpaceDE w:val="0"/>
              <w:autoSpaceDN w:val="0"/>
              <w:adjustRightInd w:val="0"/>
              <w:snapToGrid w:val="0"/>
              <w:spacing w:line="240" w:lineRule="auto"/>
              <w:ind w:firstLine="0" w:firstLineChars="0"/>
              <w:textAlignment w:val="center"/>
              <w:rPr>
                <w:rFonts w:cs="宋体"/>
                <w:snapToGrid w:val="0"/>
                <w:color w:val="000000"/>
                <w:kern w:val="0"/>
                <w:highlight w:val="yellow"/>
              </w:rPr>
            </w:pPr>
            <w:r>
              <w:rPr>
                <w:rFonts w:hint="eastAsia" w:cs="宋体"/>
                <w:snapToGrid w:val="0"/>
                <w:color w:val="000000"/>
                <w:kern w:val="0"/>
              </w:rPr>
              <w:t>服务端相关的密码产品由云平台提供安全保障。</w:t>
            </w:r>
          </w:p>
        </w:tc>
        <w:tc>
          <w:tcPr>
            <w:tcW w:w="868" w:type="pct"/>
            <w:shd w:val="clear" w:color="auto" w:fill="FFFFFF"/>
            <w:noWrap/>
            <w:vAlign w:val="center"/>
          </w:tcPr>
          <w:p w14:paraId="49CF0426">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云平台通过密评，已被完全评估。</w:t>
            </w:r>
          </w:p>
        </w:tc>
      </w:tr>
      <w:tr w14:paraId="596CA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09B046EB">
            <w:pPr>
              <w:widowControl/>
              <w:wordWrap w:val="0"/>
              <w:autoSpaceDE w:val="0"/>
              <w:autoSpaceDN w:val="0"/>
              <w:adjustRightInd w:val="0"/>
              <w:snapToGrid w:val="0"/>
              <w:spacing w:line="240" w:lineRule="auto"/>
              <w:ind w:firstLine="0" w:firstLineChars="0"/>
              <w:jc w:val="center"/>
              <w:textAlignment w:val="baseline"/>
              <w:rPr>
                <w:rFonts w:cs="宋体"/>
                <w:snapToGrid w:val="0"/>
                <w:color w:val="000000"/>
                <w:kern w:val="0"/>
              </w:rPr>
            </w:pPr>
          </w:p>
        </w:tc>
        <w:tc>
          <w:tcPr>
            <w:tcW w:w="1295" w:type="pct"/>
            <w:vMerge w:val="continue"/>
            <w:shd w:val="clear" w:color="auto" w:fill="FFFFFF"/>
            <w:noWrap/>
            <w:vAlign w:val="center"/>
          </w:tcPr>
          <w:p w14:paraId="3945B4FE">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c>
          <w:tcPr>
            <w:tcW w:w="2472" w:type="pct"/>
            <w:vMerge w:val="restart"/>
            <w:shd w:val="clear" w:color="auto" w:fill="FFFFFF"/>
            <w:noWrap/>
            <w:vAlign w:val="center"/>
          </w:tcPr>
          <w:p w14:paraId="741E491B">
            <w:pPr>
              <w:widowControl/>
              <w:wordWrap w:val="0"/>
              <w:autoSpaceDE w:val="0"/>
              <w:autoSpaceDN w:val="0"/>
              <w:adjustRightInd w:val="0"/>
              <w:snapToGrid w:val="0"/>
              <w:spacing w:line="240" w:lineRule="auto"/>
              <w:ind w:firstLine="0" w:firstLineChars="0"/>
              <w:textAlignment w:val="center"/>
              <w:rPr>
                <w:rFonts w:cs="宋体"/>
                <w:i/>
                <w:iCs/>
                <w:snapToGrid w:val="0"/>
                <w:color w:val="FF0000"/>
                <w:kern w:val="0"/>
              </w:rPr>
            </w:pPr>
            <w:r>
              <w:rPr>
                <w:rFonts w:hint="eastAsia" w:cs="宋体"/>
                <w:snapToGrid w:val="0"/>
                <w:kern w:val="0"/>
              </w:rPr>
              <w:t>确认用户的身份真实性，防止假冒人员登录。</w:t>
            </w:r>
          </w:p>
        </w:tc>
        <w:tc>
          <w:tcPr>
            <w:tcW w:w="868" w:type="pct"/>
            <w:vMerge w:val="restart"/>
            <w:shd w:val="clear" w:color="auto" w:fill="FFFFFF"/>
            <w:noWrap/>
            <w:vAlign w:val="center"/>
          </w:tcPr>
          <w:p w14:paraId="09B30A01">
            <w:pPr>
              <w:widowControl/>
              <w:wordWrap w:val="0"/>
              <w:autoSpaceDE w:val="0"/>
              <w:autoSpaceDN w:val="0"/>
              <w:adjustRightInd w:val="0"/>
              <w:snapToGrid w:val="0"/>
              <w:spacing w:line="240" w:lineRule="auto"/>
              <w:ind w:firstLine="0" w:firstLineChars="0"/>
              <w:textAlignment w:val="center"/>
              <w:rPr>
                <w:rFonts w:cs="宋体"/>
                <w:i/>
                <w:iCs/>
                <w:snapToGrid w:val="0"/>
                <w:color w:val="FF0000"/>
                <w:kern w:val="0"/>
              </w:rPr>
            </w:pPr>
            <w:r>
              <w:rPr>
                <w:rFonts w:hint="eastAsia" w:cs="宋体"/>
                <w:snapToGrid w:val="0"/>
                <w:color w:val="000000"/>
                <w:kern w:val="0"/>
              </w:rPr>
              <w:t>无</w:t>
            </w:r>
          </w:p>
        </w:tc>
      </w:tr>
      <w:tr w14:paraId="4D552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restart"/>
            <w:shd w:val="clear" w:color="auto" w:fill="FFFFFF"/>
            <w:noWrap/>
            <w:vAlign w:val="center"/>
          </w:tcPr>
          <w:p w14:paraId="0D49B7A7">
            <w:pPr>
              <w:widowControl/>
              <w:wordWrap w:val="0"/>
              <w:autoSpaceDE w:val="0"/>
              <w:autoSpaceDN w:val="0"/>
              <w:adjustRightInd w:val="0"/>
              <w:snapToGrid w:val="0"/>
              <w:spacing w:line="240" w:lineRule="auto"/>
              <w:ind w:firstLine="0" w:firstLineChars="0"/>
              <w:jc w:val="center"/>
              <w:textAlignment w:val="center"/>
              <w:rPr>
                <w:rFonts w:cs="宋体"/>
                <w:snapToGrid w:val="0"/>
                <w:color w:val="000000"/>
                <w:kern w:val="0"/>
              </w:rPr>
            </w:pPr>
            <w:r>
              <w:rPr>
                <w:rFonts w:hint="eastAsia" w:cs="宋体"/>
                <w:snapToGrid w:val="0"/>
                <w:color w:val="000000"/>
                <w:kern w:val="0"/>
              </w:rPr>
              <w:t>应用和数据安全</w:t>
            </w:r>
          </w:p>
        </w:tc>
        <w:tc>
          <w:tcPr>
            <w:tcW w:w="1295" w:type="pct"/>
            <w:vMerge w:val="restart"/>
            <w:shd w:val="clear" w:color="auto" w:fill="FFFFFF"/>
            <w:noWrap/>
            <w:vAlign w:val="center"/>
          </w:tcPr>
          <w:p w14:paraId="424E528B">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身份鉴别</w:t>
            </w:r>
          </w:p>
        </w:tc>
        <w:tc>
          <w:tcPr>
            <w:tcW w:w="2472" w:type="pct"/>
            <w:vMerge w:val="restart"/>
            <w:shd w:val="clear" w:color="auto" w:fill="FFFFFF"/>
            <w:noWrap/>
            <w:vAlign w:val="center"/>
          </w:tcPr>
          <w:p w14:paraId="1610EEF9">
            <w:pPr>
              <w:widowControl/>
              <w:wordWrap w:val="0"/>
              <w:autoSpaceDE w:val="0"/>
              <w:autoSpaceDN w:val="0"/>
              <w:adjustRightInd w:val="0"/>
              <w:snapToGrid w:val="0"/>
              <w:spacing w:line="240" w:lineRule="auto"/>
              <w:ind w:firstLine="0" w:firstLineChars="0"/>
              <w:textAlignment w:val="baseline"/>
              <w:rPr>
                <w:rFonts w:cs="宋体"/>
                <w:snapToGrid w:val="0"/>
                <w:kern w:val="0"/>
              </w:rPr>
            </w:pPr>
            <w:r>
              <w:rPr>
                <w:rFonts w:hint="eastAsia" w:cs="宋体"/>
                <w:snapToGrid w:val="0"/>
                <w:kern w:val="0"/>
              </w:rPr>
              <w:t>对应用系统的访问权限控制列表进行完整性保护，防止被非授权篡改。</w:t>
            </w:r>
          </w:p>
        </w:tc>
        <w:tc>
          <w:tcPr>
            <w:tcW w:w="868" w:type="pct"/>
            <w:vMerge w:val="restart"/>
            <w:shd w:val="clear" w:color="auto" w:fill="FFFFFF"/>
            <w:noWrap/>
            <w:vAlign w:val="center"/>
          </w:tcPr>
          <w:p w14:paraId="1094B4F0">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无</w:t>
            </w:r>
          </w:p>
        </w:tc>
      </w:tr>
      <w:tr w14:paraId="0249D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2E3DBBB1">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1295" w:type="pct"/>
            <w:vMerge w:val="continue"/>
            <w:shd w:val="clear" w:color="auto" w:fill="FFFFFF"/>
            <w:noWrap/>
            <w:vAlign w:val="center"/>
          </w:tcPr>
          <w:p w14:paraId="4974B4E9">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6BD88BD5">
            <w:pPr>
              <w:widowControl/>
              <w:wordWrap w:val="0"/>
              <w:autoSpaceDE w:val="0"/>
              <w:autoSpaceDN w:val="0"/>
              <w:adjustRightInd w:val="0"/>
              <w:snapToGrid w:val="0"/>
              <w:spacing w:line="240" w:lineRule="auto"/>
              <w:ind w:firstLine="0" w:firstLineChars="0"/>
              <w:textAlignment w:val="center"/>
              <w:rPr>
                <w:rFonts w:cs="宋体"/>
                <w:snapToGrid w:val="0"/>
                <w:kern w:val="0"/>
              </w:rPr>
            </w:pPr>
          </w:p>
        </w:tc>
        <w:tc>
          <w:tcPr>
            <w:tcW w:w="868" w:type="pct"/>
            <w:vMerge w:val="continue"/>
            <w:shd w:val="clear" w:color="auto" w:fill="FFFFFF"/>
            <w:noWrap/>
            <w:vAlign w:val="center"/>
          </w:tcPr>
          <w:p w14:paraId="548EC22E">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r>
      <w:tr w14:paraId="415EE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7DD2033F">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1295" w:type="pct"/>
            <w:vMerge w:val="restart"/>
            <w:shd w:val="clear" w:color="auto" w:fill="FFFFFF"/>
            <w:noWrap/>
            <w:vAlign w:val="center"/>
          </w:tcPr>
          <w:p w14:paraId="6E7FD98F">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访问控制信息完整性</w:t>
            </w:r>
          </w:p>
        </w:tc>
        <w:tc>
          <w:tcPr>
            <w:tcW w:w="2472" w:type="pct"/>
            <w:vMerge w:val="restart"/>
            <w:shd w:val="clear" w:color="auto" w:fill="FFFFFF"/>
            <w:noWrap/>
            <w:vAlign w:val="center"/>
          </w:tcPr>
          <w:p w14:paraId="2AA93DE6">
            <w:pPr>
              <w:widowControl/>
              <w:wordWrap w:val="0"/>
              <w:autoSpaceDE w:val="0"/>
              <w:autoSpaceDN w:val="0"/>
              <w:adjustRightInd w:val="0"/>
              <w:snapToGrid w:val="0"/>
              <w:spacing w:line="240" w:lineRule="auto"/>
              <w:ind w:firstLine="0" w:firstLineChars="0"/>
              <w:textAlignment w:val="baseline"/>
              <w:rPr>
                <w:rFonts w:cs="宋体"/>
                <w:snapToGrid w:val="0"/>
                <w:kern w:val="0"/>
              </w:rPr>
            </w:pPr>
            <w:r>
              <w:rPr>
                <w:rFonts w:hint="eastAsia" w:cs="宋体"/>
                <w:snapToGrid w:val="0"/>
                <w:kern w:val="0"/>
              </w:rPr>
              <w:t>不适用。</w:t>
            </w:r>
          </w:p>
        </w:tc>
        <w:tc>
          <w:tcPr>
            <w:tcW w:w="868" w:type="pct"/>
            <w:vMerge w:val="restart"/>
            <w:shd w:val="clear" w:color="auto" w:fill="FFFFFF"/>
            <w:noWrap/>
            <w:vAlign w:val="center"/>
          </w:tcPr>
          <w:p w14:paraId="30027FE7">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应用没有安全标记。</w:t>
            </w:r>
          </w:p>
        </w:tc>
      </w:tr>
      <w:tr w14:paraId="0243D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2259C020">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1295" w:type="pct"/>
            <w:vMerge w:val="continue"/>
            <w:shd w:val="clear" w:color="auto" w:fill="FFFFFF"/>
            <w:noWrap/>
            <w:vAlign w:val="center"/>
          </w:tcPr>
          <w:p w14:paraId="0E3D8B0B">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72FDD332">
            <w:pPr>
              <w:widowControl/>
              <w:wordWrap w:val="0"/>
              <w:autoSpaceDE w:val="0"/>
              <w:autoSpaceDN w:val="0"/>
              <w:adjustRightInd w:val="0"/>
              <w:snapToGrid w:val="0"/>
              <w:spacing w:line="240" w:lineRule="auto"/>
              <w:ind w:firstLine="0" w:firstLineChars="0"/>
              <w:textAlignment w:val="center"/>
              <w:rPr>
                <w:rFonts w:cs="宋体"/>
                <w:snapToGrid w:val="0"/>
                <w:kern w:val="0"/>
              </w:rPr>
            </w:pPr>
          </w:p>
        </w:tc>
        <w:tc>
          <w:tcPr>
            <w:tcW w:w="868" w:type="pct"/>
            <w:vMerge w:val="continue"/>
            <w:shd w:val="clear" w:color="auto" w:fill="FFFFFF"/>
            <w:noWrap/>
            <w:vAlign w:val="center"/>
          </w:tcPr>
          <w:p w14:paraId="068A0A2D">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r>
      <w:tr w14:paraId="6223C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4FEB05F4">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1295" w:type="pct"/>
            <w:vMerge w:val="restart"/>
            <w:shd w:val="clear" w:color="auto" w:fill="FFFFFF"/>
            <w:noWrap/>
            <w:vAlign w:val="center"/>
          </w:tcPr>
          <w:p w14:paraId="10659B14">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重要信息资源安全标记完整性</w:t>
            </w:r>
          </w:p>
        </w:tc>
        <w:tc>
          <w:tcPr>
            <w:tcW w:w="2472" w:type="pct"/>
            <w:vMerge w:val="restart"/>
            <w:shd w:val="clear" w:color="auto" w:fill="FFFFFF"/>
            <w:noWrap/>
            <w:vAlign w:val="center"/>
          </w:tcPr>
          <w:p w14:paraId="392B2FCB">
            <w:pPr>
              <w:widowControl/>
              <w:wordWrap w:val="0"/>
              <w:autoSpaceDE w:val="0"/>
              <w:autoSpaceDN w:val="0"/>
              <w:adjustRightInd w:val="0"/>
              <w:snapToGrid w:val="0"/>
              <w:spacing w:line="240" w:lineRule="auto"/>
              <w:ind w:firstLine="0" w:firstLineChars="0"/>
              <w:textAlignment w:val="baseline"/>
              <w:rPr>
                <w:rFonts w:cs="宋体"/>
                <w:snapToGrid w:val="0"/>
                <w:kern w:val="0"/>
              </w:rPr>
            </w:pPr>
            <w:r>
              <w:rPr>
                <w:rFonts w:hint="eastAsia" w:cs="宋体"/>
                <w:snapToGrid w:val="0"/>
                <w:kern w:val="0"/>
              </w:rPr>
              <w:t>保护各端之间传输和存储的用户身份鉴别信息等重要数据的机密性和完整性，防止数据泄露给非授权的个人、进程等。保护系统业务日志数据的完整性，防止该数据被非授权篡改。</w:t>
            </w:r>
          </w:p>
        </w:tc>
        <w:tc>
          <w:tcPr>
            <w:tcW w:w="868" w:type="pct"/>
            <w:vMerge w:val="restart"/>
            <w:shd w:val="clear" w:color="auto" w:fill="FFFFFF"/>
            <w:noWrap/>
            <w:vAlign w:val="center"/>
          </w:tcPr>
          <w:p w14:paraId="268E76E1">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无</w:t>
            </w:r>
          </w:p>
        </w:tc>
      </w:tr>
      <w:tr w14:paraId="03477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738D559D">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1295" w:type="pct"/>
            <w:vMerge w:val="continue"/>
            <w:shd w:val="clear" w:color="auto" w:fill="FFFFFF"/>
            <w:noWrap/>
            <w:vAlign w:val="center"/>
          </w:tcPr>
          <w:p w14:paraId="1D30921B">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3CD49C6F">
            <w:pPr>
              <w:widowControl/>
              <w:wordWrap w:val="0"/>
              <w:autoSpaceDE w:val="0"/>
              <w:autoSpaceDN w:val="0"/>
              <w:adjustRightInd w:val="0"/>
              <w:snapToGrid w:val="0"/>
              <w:spacing w:line="240" w:lineRule="auto"/>
              <w:ind w:firstLine="0" w:firstLineChars="0"/>
              <w:textAlignment w:val="center"/>
              <w:rPr>
                <w:rFonts w:cs="宋体"/>
                <w:snapToGrid w:val="0"/>
                <w:kern w:val="0"/>
              </w:rPr>
            </w:pPr>
          </w:p>
        </w:tc>
        <w:tc>
          <w:tcPr>
            <w:tcW w:w="868" w:type="pct"/>
            <w:vMerge w:val="continue"/>
            <w:shd w:val="clear" w:color="auto" w:fill="FFFFFF"/>
            <w:noWrap/>
            <w:vAlign w:val="center"/>
          </w:tcPr>
          <w:p w14:paraId="2B6C3867">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r>
      <w:tr w14:paraId="5373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64" w:type="pct"/>
            <w:vMerge w:val="continue"/>
            <w:shd w:val="clear" w:color="auto" w:fill="FFFFFF"/>
            <w:noWrap/>
            <w:vAlign w:val="center"/>
          </w:tcPr>
          <w:p w14:paraId="2CA0AD71">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1295" w:type="pct"/>
            <w:shd w:val="clear" w:color="auto" w:fill="FFFFFF"/>
            <w:noWrap/>
            <w:vAlign w:val="center"/>
          </w:tcPr>
          <w:p w14:paraId="119A5A5C">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kern w:val="0"/>
              </w:rPr>
              <w:t>重要</w:t>
            </w:r>
            <w:r>
              <w:rPr>
                <w:rFonts w:hint="eastAsia" w:cs="宋体"/>
                <w:snapToGrid w:val="0"/>
                <w:color w:val="000000"/>
                <w:kern w:val="0"/>
              </w:rPr>
              <w:t>数据传输机密性</w:t>
            </w:r>
          </w:p>
        </w:tc>
        <w:tc>
          <w:tcPr>
            <w:tcW w:w="2472" w:type="pct"/>
            <w:vMerge w:val="restart"/>
            <w:shd w:val="clear" w:color="auto" w:fill="FFFFFF"/>
            <w:noWrap/>
            <w:vAlign w:val="center"/>
          </w:tcPr>
          <w:p w14:paraId="42272531">
            <w:pPr>
              <w:widowControl/>
              <w:wordWrap w:val="0"/>
              <w:autoSpaceDE w:val="0"/>
              <w:autoSpaceDN w:val="0"/>
              <w:adjustRightInd w:val="0"/>
              <w:snapToGrid w:val="0"/>
              <w:spacing w:line="240" w:lineRule="auto"/>
              <w:ind w:firstLine="0" w:firstLineChars="0"/>
              <w:textAlignment w:val="baseline"/>
              <w:rPr>
                <w:rFonts w:cs="宋体"/>
                <w:snapToGrid w:val="0"/>
                <w:kern w:val="0"/>
              </w:rPr>
            </w:pPr>
            <w:r>
              <w:rPr>
                <w:rFonts w:hint="eastAsia" w:cs="宋体"/>
                <w:snapToGrid w:val="0"/>
                <w:color w:val="000000"/>
                <w:kern w:val="0"/>
              </w:rPr>
              <w:t>不适用</w:t>
            </w:r>
          </w:p>
        </w:tc>
        <w:tc>
          <w:tcPr>
            <w:tcW w:w="868" w:type="pct"/>
            <w:vMerge w:val="restart"/>
            <w:shd w:val="clear" w:color="auto" w:fill="FFFFFF"/>
            <w:noWrap/>
            <w:vAlign w:val="center"/>
          </w:tcPr>
          <w:p w14:paraId="62FD3AF3">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无</w:t>
            </w:r>
          </w:p>
        </w:tc>
      </w:tr>
      <w:tr w14:paraId="3AE2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4" w:type="pct"/>
            <w:vMerge w:val="continue"/>
            <w:shd w:val="clear" w:color="auto" w:fill="FFFFFF"/>
            <w:noWrap/>
            <w:vAlign w:val="center"/>
          </w:tcPr>
          <w:p w14:paraId="56FE1820">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1295" w:type="pct"/>
            <w:shd w:val="clear" w:color="auto" w:fill="FFFFFF"/>
            <w:noWrap/>
            <w:vAlign w:val="center"/>
          </w:tcPr>
          <w:p w14:paraId="71442C04">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kern w:val="0"/>
              </w:rPr>
              <w:t>重要</w:t>
            </w:r>
            <w:r>
              <w:rPr>
                <w:rFonts w:hint="eastAsia" w:cs="宋体"/>
                <w:snapToGrid w:val="0"/>
                <w:color w:val="000000"/>
                <w:kern w:val="0"/>
              </w:rPr>
              <w:t>数据存储机密性</w:t>
            </w:r>
          </w:p>
        </w:tc>
        <w:tc>
          <w:tcPr>
            <w:tcW w:w="2472" w:type="pct"/>
            <w:vMerge w:val="continue"/>
            <w:shd w:val="clear" w:color="auto" w:fill="FFFFFF"/>
            <w:noWrap/>
            <w:vAlign w:val="center"/>
          </w:tcPr>
          <w:p w14:paraId="4A5F16AC">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868" w:type="pct"/>
            <w:vMerge w:val="continue"/>
            <w:shd w:val="clear" w:color="auto" w:fill="FFFFFF"/>
            <w:noWrap/>
            <w:vAlign w:val="center"/>
          </w:tcPr>
          <w:p w14:paraId="0DD5D956">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r>
      <w:tr w14:paraId="75825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364" w:type="pct"/>
            <w:vMerge w:val="continue"/>
            <w:shd w:val="clear" w:color="auto" w:fill="FFFFFF"/>
            <w:noWrap/>
            <w:vAlign w:val="center"/>
          </w:tcPr>
          <w:p w14:paraId="092AD73A">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1295" w:type="pct"/>
            <w:shd w:val="clear" w:color="auto" w:fill="FFFFFF"/>
            <w:noWrap/>
            <w:vAlign w:val="center"/>
          </w:tcPr>
          <w:p w14:paraId="2FF152E1">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kern w:val="0"/>
              </w:rPr>
              <w:t>重要</w:t>
            </w:r>
            <w:r>
              <w:rPr>
                <w:rFonts w:hint="eastAsia" w:cs="宋体"/>
                <w:snapToGrid w:val="0"/>
                <w:color w:val="000000"/>
                <w:kern w:val="0"/>
              </w:rPr>
              <w:t>数据传输完整性</w:t>
            </w:r>
          </w:p>
        </w:tc>
        <w:tc>
          <w:tcPr>
            <w:tcW w:w="2472" w:type="pct"/>
            <w:vMerge w:val="continue"/>
            <w:shd w:val="clear" w:color="auto" w:fill="FFFFFF"/>
            <w:noWrap/>
            <w:vAlign w:val="center"/>
          </w:tcPr>
          <w:p w14:paraId="4379A617">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868" w:type="pct"/>
            <w:vMerge w:val="continue"/>
            <w:shd w:val="clear" w:color="auto" w:fill="FFFFFF"/>
            <w:noWrap/>
            <w:vAlign w:val="center"/>
          </w:tcPr>
          <w:p w14:paraId="2CFCC186">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r>
      <w:tr w14:paraId="005AA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64" w:type="pct"/>
            <w:vMerge w:val="continue"/>
            <w:shd w:val="clear" w:color="auto" w:fill="FFFFFF"/>
            <w:noWrap/>
            <w:vAlign w:val="center"/>
          </w:tcPr>
          <w:p w14:paraId="19B76ADB">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1295" w:type="pct"/>
            <w:shd w:val="clear" w:color="auto" w:fill="FFFFFF"/>
            <w:noWrap/>
            <w:vAlign w:val="center"/>
          </w:tcPr>
          <w:p w14:paraId="4D58B781">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kern w:val="0"/>
              </w:rPr>
              <w:t>重要</w:t>
            </w:r>
            <w:r>
              <w:rPr>
                <w:rFonts w:hint="eastAsia" w:cs="宋体"/>
                <w:snapToGrid w:val="0"/>
                <w:color w:val="000000"/>
                <w:kern w:val="0"/>
              </w:rPr>
              <w:t>数据存储完整性</w:t>
            </w:r>
          </w:p>
        </w:tc>
        <w:tc>
          <w:tcPr>
            <w:tcW w:w="2472" w:type="pct"/>
            <w:vMerge w:val="continue"/>
            <w:shd w:val="clear" w:color="auto" w:fill="FFFFFF"/>
            <w:noWrap/>
            <w:vAlign w:val="center"/>
          </w:tcPr>
          <w:p w14:paraId="211A95CD">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c>
          <w:tcPr>
            <w:tcW w:w="868" w:type="pct"/>
            <w:vMerge w:val="continue"/>
            <w:shd w:val="clear" w:color="auto" w:fill="FFFFFF"/>
            <w:noWrap/>
            <w:vAlign w:val="center"/>
          </w:tcPr>
          <w:p w14:paraId="5BB492CF">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r>
      <w:tr w14:paraId="2206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228ACB14">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1295" w:type="pct"/>
            <w:vMerge w:val="restart"/>
            <w:shd w:val="clear" w:color="auto" w:fill="FFFFFF"/>
            <w:noWrap/>
            <w:vAlign w:val="center"/>
          </w:tcPr>
          <w:p w14:paraId="4436DB76">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不可否认性</w:t>
            </w:r>
          </w:p>
        </w:tc>
        <w:tc>
          <w:tcPr>
            <w:tcW w:w="2472" w:type="pct"/>
            <w:vMerge w:val="restart"/>
            <w:shd w:val="clear" w:color="auto" w:fill="FFFFFF"/>
            <w:noWrap/>
            <w:vAlign w:val="center"/>
          </w:tcPr>
          <w:p w14:paraId="660D491F">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采用的数字证书由具备资质的电子认证服务机构签发。</w:t>
            </w:r>
          </w:p>
        </w:tc>
        <w:tc>
          <w:tcPr>
            <w:tcW w:w="868" w:type="pct"/>
            <w:vMerge w:val="restart"/>
            <w:shd w:val="clear" w:color="auto" w:fill="FFFFFF"/>
            <w:noWrap/>
            <w:vAlign w:val="center"/>
          </w:tcPr>
          <w:p w14:paraId="3AE6114D">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无</w:t>
            </w:r>
          </w:p>
        </w:tc>
      </w:tr>
      <w:tr w14:paraId="4DBE3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46D232D5">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1295" w:type="pct"/>
            <w:vMerge w:val="continue"/>
            <w:shd w:val="clear" w:color="auto" w:fill="FFFFFF"/>
            <w:noWrap/>
            <w:vAlign w:val="center"/>
          </w:tcPr>
          <w:p w14:paraId="30123C68">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45E0C7BE">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868" w:type="pct"/>
            <w:vMerge w:val="continue"/>
            <w:shd w:val="clear" w:color="auto" w:fill="FFFFFF"/>
            <w:noWrap/>
            <w:vAlign w:val="center"/>
          </w:tcPr>
          <w:p w14:paraId="10027C5A">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r>
      <w:tr w14:paraId="2619D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7EE68066">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1295" w:type="pct"/>
            <w:vMerge w:val="continue"/>
            <w:shd w:val="clear" w:color="auto" w:fill="FFFFFF"/>
            <w:noWrap/>
            <w:vAlign w:val="center"/>
          </w:tcPr>
          <w:p w14:paraId="4F124C93">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350A29E4">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c>
          <w:tcPr>
            <w:tcW w:w="868" w:type="pct"/>
            <w:vMerge w:val="continue"/>
            <w:shd w:val="clear" w:color="auto" w:fill="FFFFFF"/>
            <w:noWrap/>
            <w:vAlign w:val="center"/>
          </w:tcPr>
          <w:p w14:paraId="521EB8BE">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r>
      <w:tr w14:paraId="5D6BE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67CE2C0C">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1295" w:type="pct"/>
            <w:vMerge w:val="restart"/>
            <w:shd w:val="clear" w:color="auto" w:fill="FFFFFF"/>
            <w:noWrap/>
            <w:vAlign w:val="center"/>
          </w:tcPr>
          <w:p w14:paraId="58954E7A">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密码服务</w:t>
            </w:r>
          </w:p>
        </w:tc>
        <w:tc>
          <w:tcPr>
            <w:tcW w:w="2472" w:type="pct"/>
            <w:vMerge w:val="restart"/>
            <w:shd w:val="clear" w:color="auto" w:fill="FFFFFF"/>
            <w:noWrap/>
            <w:vAlign w:val="center"/>
          </w:tcPr>
          <w:p w14:paraId="70F7432F">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采用的云密码服务由云平台提供。</w:t>
            </w:r>
          </w:p>
        </w:tc>
        <w:tc>
          <w:tcPr>
            <w:tcW w:w="868" w:type="pct"/>
            <w:vMerge w:val="restart"/>
            <w:shd w:val="clear" w:color="auto" w:fill="FFFFFF"/>
            <w:noWrap/>
            <w:vAlign w:val="center"/>
          </w:tcPr>
          <w:p w14:paraId="4B10962F">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云平台通过密评，已被完全评估。</w:t>
            </w:r>
          </w:p>
        </w:tc>
      </w:tr>
      <w:tr w14:paraId="7DB8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7E1EBCCE">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1295" w:type="pct"/>
            <w:vMerge w:val="continue"/>
            <w:shd w:val="clear" w:color="auto" w:fill="FFFFFF"/>
            <w:noWrap/>
            <w:vAlign w:val="center"/>
          </w:tcPr>
          <w:p w14:paraId="51CC8D95">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31FEEFF9">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c>
          <w:tcPr>
            <w:tcW w:w="868" w:type="pct"/>
            <w:vMerge w:val="continue"/>
            <w:shd w:val="clear" w:color="auto" w:fill="FFFFFF"/>
            <w:noWrap/>
            <w:vAlign w:val="center"/>
          </w:tcPr>
          <w:p w14:paraId="78505BE2">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r>
      <w:tr w14:paraId="3AC6C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31B23682">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1295" w:type="pct"/>
            <w:vMerge w:val="continue"/>
            <w:shd w:val="clear" w:color="auto" w:fill="FFFFFF"/>
            <w:noWrap/>
            <w:vAlign w:val="center"/>
          </w:tcPr>
          <w:p w14:paraId="22385F58">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restart"/>
            <w:shd w:val="clear" w:color="auto" w:fill="FFFFFF"/>
            <w:noWrap/>
            <w:vAlign w:val="center"/>
          </w:tcPr>
          <w:p w14:paraId="45343EC3">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采用的密码产品应达到GB/T 37092二级及以上安全要求。</w:t>
            </w:r>
          </w:p>
        </w:tc>
        <w:tc>
          <w:tcPr>
            <w:tcW w:w="868" w:type="pct"/>
            <w:vMerge w:val="restart"/>
            <w:shd w:val="clear" w:color="auto" w:fill="FFFFFF"/>
            <w:noWrap/>
            <w:vAlign w:val="center"/>
          </w:tcPr>
          <w:p w14:paraId="08CE08EC">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r>
              <w:rPr>
                <w:rFonts w:hint="eastAsia" w:cs="宋体"/>
                <w:snapToGrid w:val="0"/>
                <w:color w:val="000000"/>
                <w:kern w:val="0"/>
              </w:rPr>
              <w:t>无</w:t>
            </w:r>
          </w:p>
        </w:tc>
      </w:tr>
      <w:tr w14:paraId="75E9D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48180C3D">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1295" w:type="pct"/>
            <w:vMerge w:val="continue"/>
            <w:shd w:val="clear" w:color="auto" w:fill="FFFFFF"/>
            <w:noWrap/>
            <w:vAlign w:val="center"/>
          </w:tcPr>
          <w:p w14:paraId="27F41AA3">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4B72B7A8">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868" w:type="pct"/>
            <w:vMerge w:val="continue"/>
            <w:shd w:val="clear" w:color="auto" w:fill="FFFFFF"/>
            <w:noWrap/>
            <w:vAlign w:val="center"/>
          </w:tcPr>
          <w:p w14:paraId="0C321FC2">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r>
      <w:tr w14:paraId="21BC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12B0567A">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1295" w:type="pct"/>
            <w:vMerge w:val="continue"/>
            <w:shd w:val="clear" w:color="auto" w:fill="FFFFFF"/>
            <w:noWrap/>
            <w:vAlign w:val="center"/>
          </w:tcPr>
          <w:p w14:paraId="298CF525">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2472" w:type="pct"/>
            <w:vMerge w:val="continue"/>
            <w:shd w:val="clear" w:color="auto" w:fill="FFFFFF"/>
            <w:noWrap/>
            <w:vAlign w:val="center"/>
          </w:tcPr>
          <w:p w14:paraId="2A32830A">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c>
          <w:tcPr>
            <w:tcW w:w="868" w:type="pct"/>
            <w:vMerge w:val="continue"/>
            <w:shd w:val="clear" w:color="auto" w:fill="FFFFFF"/>
            <w:noWrap/>
            <w:vAlign w:val="center"/>
          </w:tcPr>
          <w:p w14:paraId="10FFCA15">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r>
      <w:tr w14:paraId="6022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2625F7C0">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1295" w:type="pct"/>
            <w:vMerge w:val="restart"/>
            <w:shd w:val="clear" w:color="auto" w:fill="FFFFFF"/>
            <w:noWrap/>
            <w:vAlign w:val="center"/>
          </w:tcPr>
          <w:p w14:paraId="3DF12B2E">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密码产品</w:t>
            </w:r>
          </w:p>
        </w:tc>
        <w:tc>
          <w:tcPr>
            <w:tcW w:w="2472" w:type="pct"/>
            <w:shd w:val="clear" w:color="auto" w:fill="FFFFFF"/>
            <w:noWrap/>
            <w:vAlign w:val="center"/>
          </w:tcPr>
          <w:p w14:paraId="5C486C3E">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服务端相关的密码产品由云平台提供安全保障。</w:t>
            </w:r>
          </w:p>
        </w:tc>
        <w:tc>
          <w:tcPr>
            <w:tcW w:w="868" w:type="pct"/>
            <w:shd w:val="clear" w:color="auto" w:fill="FFFFFF"/>
            <w:noWrap/>
            <w:vAlign w:val="center"/>
          </w:tcPr>
          <w:p w14:paraId="21C0797A">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r>
              <w:rPr>
                <w:rFonts w:hint="eastAsia" w:cs="宋体"/>
                <w:snapToGrid w:val="0"/>
                <w:color w:val="000000"/>
                <w:kern w:val="0"/>
              </w:rPr>
              <w:t>云平台通过密评，已被完全评估。</w:t>
            </w:r>
          </w:p>
        </w:tc>
      </w:tr>
      <w:tr w14:paraId="4EFC3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4" w:type="pct"/>
            <w:vMerge w:val="continue"/>
            <w:shd w:val="clear" w:color="auto" w:fill="FFFFFF"/>
            <w:noWrap/>
            <w:vAlign w:val="center"/>
          </w:tcPr>
          <w:p w14:paraId="375F146C">
            <w:pPr>
              <w:widowControl/>
              <w:wordWrap w:val="0"/>
              <w:autoSpaceDE w:val="0"/>
              <w:autoSpaceDN w:val="0"/>
              <w:adjustRightInd w:val="0"/>
              <w:snapToGrid w:val="0"/>
              <w:spacing w:line="240" w:lineRule="auto"/>
              <w:ind w:firstLine="0" w:firstLineChars="0"/>
              <w:textAlignment w:val="baseline"/>
              <w:rPr>
                <w:rFonts w:cs="宋体"/>
                <w:snapToGrid w:val="0"/>
                <w:color w:val="000000"/>
                <w:kern w:val="0"/>
              </w:rPr>
            </w:pPr>
          </w:p>
        </w:tc>
        <w:tc>
          <w:tcPr>
            <w:tcW w:w="1295" w:type="pct"/>
            <w:vMerge w:val="continue"/>
            <w:shd w:val="clear" w:color="auto" w:fill="FFFFFF"/>
            <w:noWrap/>
            <w:vAlign w:val="center"/>
          </w:tcPr>
          <w:p w14:paraId="14DA14E2">
            <w:pPr>
              <w:widowControl/>
              <w:wordWrap w:val="0"/>
              <w:autoSpaceDE w:val="0"/>
              <w:autoSpaceDN w:val="0"/>
              <w:adjustRightInd w:val="0"/>
              <w:snapToGrid w:val="0"/>
              <w:spacing w:line="240" w:lineRule="auto"/>
              <w:ind w:firstLine="0" w:firstLineChars="0"/>
              <w:textAlignment w:val="center"/>
              <w:rPr>
                <w:rFonts w:cs="宋体"/>
                <w:snapToGrid w:val="0"/>
                <w:color w:val="000000"/>
                <w:kern w:val="0"/>
              </w:rPr>
            </w:pPr>
          </w:p>
        </w:tc>
        <w:tc>
          <w:tcPr>
            <w:tcW w:w="2472" w:type="pct"/>
            <w:shd w:val="clear" w:color="auto" w:fill="FFFFFF"/>
            <w:noWrap/>
            <w:vAlign w:val="center"/>
          </w:tcPr>
          <w:p w14:paraId="4231D13E">
            <w:pPr>
              <w:widowControl/>
              <w:wordWrap w:val="0"/>
              <w:autoSpaceDE w:val="0"/>
              <w:autoSpaceDN w:val="0"/>
              <w:adjustRightInd w:val="0"/>
              <w:snapToGrid w:val="0"/>
              <w:spacing w:line="240" w:lineRule="auto"/>
              <w:ind w:firstLine="0" w:firstLineChars="0"/>
              <w:textAlignment w:val="center"/>
              <w:rPr>
                <w:rFonts w:cs="宋体"/>
                <w:i/>
                <w:iCs/>
                <w:snapToGrid w:val="0"/>
                <w:color w:val="FF0000"/>
                <w:kern w:val="0"/>
              </w:rPr>
            </w:pPr>
          </w:p>
        </w:tc>
        <w:tc>
          <w:tcPr>
            <w:tcW w:w="868" w:type="pct"/>
            <w:shd w:val="clear" w:color="auto" w:fill="FFFFFF"/>
            <w:noWrap/>
            <w:vAlign w:val="center"/>
          </w:tcPr>
          <w:p w14:paraId="144CDE3A">
            <w:pPr>
              <w:widowControl/>
              <w:wordWrap w:val="0"/>
              <w:autoSpaceDE w:val="0"/>
              <w:autoSpaceDN w:val="0"/>
              <w:adjustRightInd w:val="0"/>
              <w:snapToGrid w:val="0"/>
              <w:spacing w:line="240" w:lineRule="auto"/>
              <w:ind w:firstLine="0" w:firstLineChars="0"/>
              <w:textAlignment w:val="center"/>
              <w:rPr>
                <w:rFonts w:cs="宋体"/>
                <w:i/>
                <w:iCs/>
                <w:snapToGrid w:val="0"/>
                <w:color w:val="FF0000"/>
                <w:kern w:val="0"/>
              </w:rPr>
            </w:pPr>
          </w:p>
        </w:tc>
      </w:tr>
    </w:tbl>
    <w:p w14:paraId="611CA60B"/>
    <w:p w14:paraId="4B04211D">
      <w:pPr>
        <w:ind w:firstLine="480"/>
      </w:pPr>
      <w:r>
        <w:rPr>
          <w:rFonts w:hint="eastAsia"/>
        </w:rPr>
        <w:t>本项目验收前应通过密码应用测评，报告关键要素应符合上海市大数据中心相关要求。</w:t>
      </w:r>
    </w:p>
    <w:p w14:paraId="67A31AA6">
      <w:pPr>
        <w:pStyle w:val="3"/>
      </w:pPr>
      <w:bookmarkStart w:id="34" w:name="_Toc63785512"/>
      <w:r>
        <w:rPr>
          <w:rFonts w:hint="eastAsia"/>
        </w:rPr>
        <w:t>技术文件要求</w:t>
      </w:r>
    </w:p>
    <w:p w14:paraId="5339F78B">
      <w:r>
        <w:rPr>
          <w:rFonts w:hint="eastAsia"/>
        </w:rPr>
        <w:t>投标人提供的书面技术资料应能确保系统正常运行所需的管理、运营及维护有关的全套文件。技术文件应该全面、完整、详细。投标人提供的技术文件至少应包括：</w:t>
      </w:r>
    </w:p>
    <w:p w14:paraId="1C357DD1">
      <w:r>
        <w:rPr>
          <w:rFonts w:hint="eastAsia"/>
        </w:rPr>
        <w:t>－</w:t>
      </w:r>
      <w:r>
        <w:t xml:space="preserve"> 系统说明文件； </w:t>
      </w:r>
    </w:p>
    <w:p w14:paraId="18345370">
      <w:r>
        <w:rPr>
          <w:rFonts w:hint="eastAsia"/>
        </w:rPr>
        <w:t>－</w:t>
      </w:r>
      <w:r>
        <w:t xml:space="preserve"> 技术手册(安装、测试、操作、维护、故障排除等)； </w:t>
      </w:r>
    </w:p>
    <w:p w14:paraId="4E3CB7F5">
      <w:r>
        <w:rPr>
          <w:rFonts w:hint="eastAsia"/>
        </w:rPr>
        <w:t>－</w:t>
      </w:r>
      <w:r>
        <w:t xml:space="preserve"> 项目文档，应该包括：</w:t>
      </w:r>
    </w:p>
    <w:p w14:paraId="04C719B8">
      <w:pPr>
        <w:ind w:left="360"/>
      </w:pPr>
      <w:r>
        <w:t>(1)软件需求说明书</w:t>
      </w:r>
    </w:p>
    <w:p w14:paraId="338DCD60">
      <w:pPr>
        <w:ind w:left="360"/>
      </w:pPr>
      <w:r>
        <w:t>(2)</w:t>
      </w:r>
      <w:r>
        <w:tab/>
      </w:r>
      <w:r>
        <w:t>系统总体设计说明书</w:t>
      </w:r>
    </w:p>
    <w:p w14:paraId="08BB3C64">
      <w:pPr>
        <w:ind w:left="360"/>
      </w:pPr>
      <w:r>
        <w:t>(3)</w:t>
      </w:r>
      <w:r>
        <w:tab/>
      </w:r>
      <w:r>
        <w:t>应用软件功能清单</w:t>
      </w:r>
    </w:p>
    <w:p w14:paraId="7B84A606">
      <w:r>
        <w:rPr>
          <w:rFonts w:hint="eastAsia"/>
        </w:rPr>
        <w:t>提供全套技术文件纸介质</w:t>
      </w:r>
      <w:r>
        <w:t>3套以及电子文件1套。</w:t>
      </w:r>
    </w:p>
    <w:p w14:paraId="181F0333">
      <w:pPr>
        <w:pStyle w:val="2"/>
      </w:pPr>
      <w:r>
        <w:rPr>
          <w:rFonts w:hint="eastAsia"/>
        </w:rPr>
        <w:t>供应商资质要求</w:t>
      </w:r>
    </w:p>
    <w:p w14:paraId="490968DC">
      <w:r>
        <w:t>1、符合《中华人民共和国政府采购法》第二十二条规定的供应商。</w:t>
      </w:r>
    </w:p>
    <w:p w14:paraId="7864A1A9">
      <w:r>
        <w:t>2、根据《上海市政府采购供应商登记及诚信管理办法》已登记入库的供应商。</w:t>
      </w:r>
    </w:p>
    <w:p w14:paraId="1857DEE5">
      <w:r>
        <w:t>3、其他资格要求：</w:t>
      </w:r>
    </w:p>
    <w:p w14:paraId="1CC2B2CC">
      <w:r>
        <w:t>3.</w:t>
      </w:r>
      <w:r>
        <w:rPr>
          <w:rFonts w:hint="eastAsia"/>
        </w:rPr>
        <w:t>1</w:t>
      </w:r>
      <w:r>
        <w:t>本项目面向大、中、小、微型等各类供应商采购。</w:t>
      </w:r>
    </w:p>
    <w:p w14:paraId="34456D3D">
      <w:r>
        <w:t>3.</w:t>
      </w:r>
      <w:r>
        <w:rPr>
          <w:rFonts w:hint="eastAsia"/>
        </w:rPr>
        <w:t>2</w:t>
      </w:r>
      <w:r>
        <w:t>未被列入“信用中国”网站(www.creditchina.gov.cn)失信被执行人名单、重大税收违法案件当事人名单和中国政府采购网(www.ccgp.gov.cn)政府采购严重违法失信行为记录名单。</w:t>
      </w:r>
    </w:p>
    <w:p w14:paraId="7DB1ABB5">
      <w:pPr>
        <w:pStyle w:val="2"/>
      </w:pPr>
      <w:r>
        <w:rPr>
          <w:rFonts w:hint="eastAsia"/>
        </w:rPr>
        <w:t>供应商管理要求</w:t>
      </w:r>
      <w:bookmarkEnd w:id="34"/>
    </w:p>
    <w:p w14:paraId="752A5D89">
      <w:pPr>
        <w:pStyle w:val="81"/>
        <w:ind w:firstLine="480"/>
        <w:rPr>
          <w:sz w:val="24"/>
          <w:szCs w:val="24"/>
        </w:rPr>
      </w:pPr>
      <w:r>
        <w:rPr>
          <w:rFonts w:hint="eastAsia"/>
          <w:sz w:val="24"/>
          <w:szCs w:val="24"/>
        </w:rPr>
        <w:t>1、在项目实施期间，成交供应商应严格执行国家、地方、行业有关本项目业务管理和安全作业的法律、法规和制度并按规定承担相应的费用。成交供应商因违反规定等原因造成的一切损失和责任由成交供应商自行承担。</w:t>
      </w:r>
    </w:p>
    <w:p w14:paraId="38DF5562">
      <w:pPr>
        <w:pStyle w:val="81"/>
        <w:ind w:firstLine="480"/>
        <w:rPr>
          <w:sz w:val="24"/>
          <w:szCs w:val="24"/>
        </w:rPr>
      </w:pPr>
      <w:r>
        <w:rPr>
          <w:rFonts w:hint="eastAsia"/>
          <w:sz w:val="24"/>
          <w:szCs w:val="24"/>
        </w:rPr>
        <w:t>2、成交供应商在投标书中承诺并经采购人认定的项目负责人及专业技术人员必须是本单位职工（在本单位缴纳社会保障金）和该项目实施现场的实际操作者，应具有类似本项目的实施经验，并应在软件应用调研、安装、试运行等期间常驻项目现场。未经采购人同意，成交供应商不得调换或撤离上述人员。如采购人认为有必要，可要求成交供应商对上述人员中的部分人员作出更好的调整。</w:t>
      </w:r>
    </w:p>
    <w:p w14:paraId="0DF3C2E2">
      <w:pPr>
        <w:pStyle w:val="81"/>
        <w:ind w:firstLine="480"/>
        <w:rPr>
          <w:sz w:val="24"/>
          <w:szCs w:val="24"/>
        </w:rPr>
      </w:pPr>
      <w:r>
        <w:rPr>
          <w:rFonts w:hint="eastAsia"/>
          <w:sz w:val="24"/>
          <w:szCs w:val="24"/>
        </w:rPr>
        <w:t>3、成交供应商在项目实施期间，应按项目实际进度与环节落实所对应项目整体及各环节管理工作，按照规范做好项目实施期间相关管理与实施记录。</w:t>
      </w:r>
    </w:p>
    <w:p w14:paraId="6D938DB3">
      <w:pPr>
        <w:pStyle w:val="81"/>
        <w:ind w:firstLine="480"/>
        <w:rPr>
          <w:sz w:val="24"/>
          <w:szCs w:val="24"/>
        </w:rPr>
      </w:pPr>
      <w:r>
        <w:rPr>
          <w:rFonts w:hint="eastAsia"/>
          <w:sz w:val="24"/>
          <w:szCs w:val="24"/>
        </w:rPr>
        <w:t>4、参与本项目的工作人员应严格遵循采购人的安全制度，保障采购人资料和设备的安全。成交供应商如需进入采购人机房工作，只能在采购人规定的工作区域内对项目涉及的设备进行操作，严禁触动与项目无关的任何设备（包括任何操作行为），如需跨区操作必须得到采购人项目联系人确认。</w:t>
      </w:r>
    </w:p>
    <w:p w14:paraId="7EF4E840">
      <w:pPr>
        <w:pStyle w:val="81"/>
        <w:ind w:firstLine="480"/>
        <w:rPr>
          <w:sz w:val="24"/>
          <w:szCs w:val="24"/>
        </w:rPr>
      </w:pPr>
      <w:r>
        <w:rPr>
          <w:rFonts w:hint="eastAsia"/>
          <w:sz w:val="24"/>
          <w:szCs w:val="24"/>
        </w:rPr>
        <w:t>5、成交供应商在项目实施期间必须遵守采购人的规章制度并提供实施人员名单。</w:t>
      </w:r>
    </w:p>
    <w:p w14:paraId="04CE8C07">
      <w:pPr>
        <w:pStyle w:val="81"/>
        <w:ind w:firstLine="480"/>
        <w:rPr>
          <w:sz w:val="24"/>
          <w:szCs w:val="24"/>
        </w:rPr>
      </w:pPr>
      <w:r>
        <w:rPr>
          <w:rFonts w:hint="eastAsia"/>
          <w:sz w:val="24"/>
          <w:szCs w:val="24"/>
        </w:rPr>
        <w:t>6、各投标人在投标文件中要结合本项目的特点和采购人上述的具体要求制定相应的管理措施，并在报价中列支相应的费用清单，投标人报价中未列支上述费用清单的，上述费用视为已包含在投标人的投标总报价中。</w:t>
      </w:r>
    </w:p>
    <w:p w14:paraId="0A324AC9">
      <w:pPr>
        <w:pStyle w:val="81"/>
        <w:ind w:firstLine="480"/>
        <w:rPr>
          <w:sz w:val="24"/>
          <w:szCs w:val="24"/>
        </w:rPr>
      </w:pPr>
      <w:r>
        <w:rPr>
          <w:rFonts w:hint="eastAsia"/>
          <w:sz w:val="24"/>
          <w:szCs w:val="24"/>
        </w:rPr>
        <w:t>7、本项目软件开发及调试将纳入采购人的管理范围，成交供应商在此过程中须服从上述单位的管理协调。</w:t>
      </w:r>
    </w:p>
    <w:p w14:paraId="5EE05AED">
      <w:pPr>
        <w:pStyle w:val="2"/>
        <w:rPr>
          <w:rFonts w:hint="eastAsia"/>
          <w:sz w:val="32"/>
          <w:szCs w:val="28"/>
        </w:rPr>
      </w:pPr>
      <w:r>
        <w:rPr>
          <w:rFonts w:hint="eastAsia"/>
          <w:b/>
          <w:bCs/>
          <w:sz w:val="32"/>
          <w:szCs w:val="28"/>
        </w:rPr>
        <w:t>企业综合实力</w:t>
      </w:r>
    </w:p>
    <w:p w14:paraId="1EF35C0E">
      <w:pPr>
        <w:pStyle w:val="81"/>
        <w:ind w:firstLine="480"/>
        <w:rPr>
          <w:sz w:val="24"/>
          <w:szCs w:val="24"/>
        </w:rPr>
      </w:pPr>
      <w:r>
        <w:rPr>
          <w:rFonts w:hint="eastAsia"/>
          <w:sz w:val="24"/>
          <w:szCs w:val="24"/>
        </w:rPr>
        <w:t>投标人具有</w:t>
      </w:r>
      <w:r>
        <w:rPr>
          <w:sz w:val="24"/>
          <w:szCs w:val="24"/>
        </w:rPr>
        <w:t>ISO20000信息技术服务管理体系认证证书、CCRC信息安全服务资质认证证书、CS信息系统建设和服务能力等级证书、ITSS信息技术服务运行维护标准符合性证书的</w:t>
      </w:r>
      <w:r>
        <w:rPr>
          <w:rFonts w:hint="eastAsia"/>
          <w:sz w:val="24"/>
          <w:szCs w:val="24"/>
        </w:rPr>
        <w:t>优先考虑。</w:t>
      </w:r>
    </w:p>
    <w:p w14:paraId="764CEF5D">
      <w:pPr>
        <w:pStyle w:val="2"/>
      </w:pPr>
      <w:bookmarkStart w:id="35" w:name="_Toc63785513"/>
      <w:r>
        <w:rPr>
          <w:rFonts w:hint="eastAsia"/>
        </w:rPr>
        <w:t>关于转让和分包的规定</w:t>
      </w:r>
    </w:p>
    <w:p w14:paraId="5E3594C5">
      <w:r>
        <w:rPr>
          <w:rFonts w:hint="eastAsia"/>
        </w:rPr>
        <w:t>本项目不得转让、不得分包。</w:t>
      </w:r>
    </w:p>
    <w:p w14:paraId="12FDB7B3">
      <w:pPr>
        <w:pStyle w:val="2"/>
      </w:pPr>
      <w:r>
        <w:rPr>
          <w:rFonts w:hint="eastAsia"/>
        </w:rPr>
        <w:t>知识产权及保密要求</w:t>
      </w:r>
      <w:bookmarkEnd w:id="35"/>
    </w:p>
    <w:p w14:paraId="501DFF2C">
      <w:pPr>
        <w:ind w:firstLine="482"/>
        <w:rPr>
          <w:b/>
        </w:rPr>
      </w:pPr>
      <w:r>
        <w:rPr>
          <w:b/>
        </w:rPr>
        <w:t>1、</w:t>
      </w:r>
      <w:r>
        <w:rPr>
          <w:rFonts w:hint="eastAsia"/>
          <w:b/>
        </w:rPr>
        <w:t>成交供应商</w:t>
      </w:r>
      <w:r>
        <w:rPr>
          <w:b/>
        </w:rPr>
        <w:t>数据、文件、资料知识产权</w:t>
      </w:r>
    </w:p>
    <w:p w14:paraId="69F61CE3">
      <w:r>
        <w:rPr>
          <w:rFonts w:hint="eastAsia"/>
        </w:rPr>
        <w:t>成交供应商保证其所提供的服务和交付的成果以及在履行本项目义务中使用到的所有数据、文件、信息不会引起任何第三方在专利权、著作权、商标权等知识产权方面向采购人或采购人的关联方及合作方（包括但不限于采购人的主管单位和采购人的合作单位等）发出侵权指控或提出索赔。若有，成交供应商应负责与第三方解决纠纷，若因此导致采购人损失的，采购人有权要求成交供应商赔偿采购人因此遭受的全部损失，包括但不限于直接损失、间接损失、诉讼费／仲裁费、律师费、公证费、鉴定费等。</w:t>
      </w:r>
    </w:p>
    <w:p w14:paraId="4384468D">
      <w:r>
        <w:rPr>
          <w:rFonts w:hint="eastAsia"/>
        </w:rPr>
        <w:t>成交供应商因履行本项目而产生的所有成果的知识产权等权利均归采购人所有，成交供应商应配合采购人进行相关权利登记或申请。未经采购人书面同意，成交供应商不得以任何形式使用或许可他人使用本项目成果的相关内容，不得擅自对外公开发表或向任何第三方透露。</w:t>
      </w:r>
    </w:p>
    <w:p w14:paraId="71FD253A">
      <w:r>
        <w:rPr>
          <w:rFonts w:hint="eastAsia"/>
        </w:rPr>
        <w:t>在不影响上述条款规定的由采购人取得所有成果的知识产权的前提下，双方因履行本项目而被授权接触或使用对方之知识产权（包括但不限于商标、专利、著作权等），和/或任何其他相关资料、数据等涉及的任何权利，均不视为向另一方转让上述权利或在本项目范围外授权许可另一方使用上述权利，上述权利仍应属于提供方，并仅可使用于本项目，被授权接触或使用方未经提供方书面同意，不得擅自挪作他用。</w:t>
      </w:r>
    </w:p>
    <w:p w14:paraId="2244C455">
      <w:pPr>
        <w:ind w:firstLine="482"/>
        <w:rPr>
          <w:b/>
        </w:rPr>
      </w:pPr>
      <w:r>
        <w:rPr>
          <w:b/>
        </w:rPr>
        <w:t>2、项目保密要求</w:t>
      </w:r>
    </w:p>
    <w:p w14:paraId="182A417F">
      <w:r>
        <w:rPr>
          <w:rFonts w:hint="eastAsia"/>
        </w:rPr>
        <w:t>成交供应商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成交供应商不得对外泄露采购人要求保密的信息，不得用于其他用途，否则成交供应商需承担由此引起的法律责任和经济责任，包括但不限于直接损失、间接损失、律师费、诉讼费/仲裁费、调查费、公证费等。</w:t>
      </w:r>
    </w:p>
    <w:p w14:paraId="7EC6E64A">
      <w:r>
        <w:rPr>
          <w:rFonts w:hint="eastAsia"/>
        </w:rPr>
        <w:t>成交供应商应采取必要的有效措施保证其参与本项目的人员（包括成交供应商聘用的人员、借调的人员、实习的人员）无论是在职或离职后，以及成交供应商的合作方无论是合作中或合作终止后，都能够履行本项目约定的保密义务。若成交供应商人员或成交供应商合作方违反保密规定，成交供应商应承担连带责任。</w:t>
      </w:r>
    </w:p>
    <w:p w14:paraId="2F61A2EA">
      <w:r>
        <w:rPr>
          <w:rFonts w:hint="eastAsia"/>
        </w:rPr>
        <w:t>成交供应商（含成交供应商参与本项目的人员以及其合作方）未经采购方书面许可，不得以任何形式自行使用或以任何方式向第三方披露、转让、授权、出售与本项目有关的技术成果、计算机软件、源代码、策划文档、技术诀窍、秘密信息、技术资料和其他文件。</w:t>
      </w:r>
    </w:p>
    <w:p w14:paraId="3E0E8E30">
      <w:r>
        <w:rPr>
          <w:rFonts w:hint="eastAsia"/>
        </w:rPr>
        <w:t>以上内容的保密期限自成交供应商知悉保密信息起始至保密信息被合法公开之日止。</w:t>
      </w:r>
    </w:p>
    <w:p w14:paraId="47662E2A">
      <w:pPr>
        <w:ind w:firstLine="482"/>
        <w:rPr>
          <w:b/>
        </w:rPr>
      </w:pPr>
      <w:r>
        <w:rPr>
          <w:b/>
        </w:rPr>
        <w:t>3、临时账号等使用要求</w:t>
      </w:r>
    </w:p>
    <w:p w14:paraId="14323462">
      <w:r>
        <w:rPr>
          <w:rFonts w:hint="eastAsia"/>
        </w:rPr>
        <w:t>成交供应商对采购人提拱的临时使用账号要保密，不得公开，对组件开发的账号密码需进行加密，避免信息安全的泄露。未经采购人的同意不得利用采购人的网络及平台进行短信、彩信、微信发送</w:t>
      </w:r>
      <w:r>
        <w:t>,造成的一切后果由</w:t>
      </w:r>
      <w:r>
        <w:rPr>
          <w:rFonts w:hint="eastAsia"/>
        </w:rPr>
        <w:t>成交供应商</w:t>
      </w:r>
      <w:r>
        <w:t>负责。</w:t>
      </w:r>
    </w:p>
    <w:p w14:paraId="015865EA">
      <w:pPr>
        <w:pStyle w:val="2"/>
      </w:pPr>
      <w:bookmarkStart w:id="36" w:name="_Toc65170093"/>
      <w:r>
        <w:t>项目的变更、解除和终止</w:t>
      </w:r>
    </w:p>
    <w:p w14:paraId="12DBDEFB">
      <w:r>
        <w:rPr>
          <w:rFonts w:hint="eastAsia"/>
        </w:rPr>
        <w:t>如果成交供应商丧失履约能力、发生资不抵债或进入破产程序，采购人可在任何时候以书面形式通知成交供应商终止本项目的执行而不给予成交供应商补偿。该终止本项目将不损害或影响采购人已经采取或将要采取任何行动或补救措施的权利。</w:t>
      </w:r>
    </w:p>
    <w:p w14:paraId="7D19E11F">
      <w:r>
        <w:rPr>
          <w:rFonts w:hint="eastAsia"/>
        </w:rPr>
        <w:t>如遇国家、行业管理部门等机构的有关标准和规定调整的，导致本项目内容须做相应调整时，双方应按照公平、合理的原则共同协商修改本项目对应的合同的相关条款。</w:t>
      </w:r>
    </w:p>
    <w:bookmarkEnd w:id="36"/>
    <w:p w14:paraId="559E8422">
      <w:pPr>
        <w:pStyle w:val="2"/>
      </w:pPr>
      <w:bookmarkStart w:id="37" w:name="_Toc63785514"/>
      <w:r>
        <w:rPr>
          <w:rFonts w:hint="eastAsia"/>
        </w:rPr>
        <w:t>付款</w:t>
      </w:r>
      <w:bookmarkEnd w:id="37"/>
      <w:r>
        <w:rPr>
          <w:rFonts w:hint="eastAsia"/>
        </w:rPr>
        <w:t>方式</w:t>
      </w:r>
    </w:p>
    <w:p w14:paraId="1BF56A8A">
      <w:r>
        <w:rPr>
          <w:rFonts w:hint="eastAsia"/>
        </w:rPr>
        <w:t>本项目拟采用二期分期付款方式付款</w:t>
      </w:r>
    </w:p>
    <w:p w14:paraId="173E202A">
      <w:r>
        <w:rPr>
          <w:rFonts w:hint="eastAsia"/>
        </w:rPr>
        <w:t>a.合同签订生效且收到发票后10个工作日内，支付合同总价款的 70 %；</w:t>
      </w:r>
    </w:p>
    <w:p w14:paraId="4F7C317B">
      <w:r>
        <w:rPr>
          <w:rFonts w:hint="eastAsia"/>
        </w:rPr>
        <w:t>b.本项目通过最终验收且收到发票后10个工作日内，支付合同总价款的尾款。</w:t>
      </w:r>
    </w:p>
    <w:p w14:paraId="578AC1C7">
      <w:r>
        <w:rPr>
          <w:rFonts w:hint="eastAsia"/>
        </w:rPr>
        <w:t>付款条件备注：服务提供方应当在采购方每次付款前提前至少10个工作日向采购方提供有效发票。</w:t>
      </w:r>
    </w:p>
    <w:p w14:paraId="6035F451">
      <w:pPr>
        <w:ind w:firstLine="0" w:firstLineChars="0"/>
        <w:jc w:val="left"/>
        <w:rPr>
          <w:b/>
          <w:bCs/>
        </w:rPr>
      </w:pPr>
    </w:p>
    <w:sectPr>
      <w:footerReference r:id="rId11"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等线">
    <w:altName w:val="Noto Sans CJK SC"/>
    <w:panose1 w:val="00000000000000000000"/>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0000019F" w:csb1="00000000"/>
  </w:font>
  <w:font w:name="Arial Unicode MS">
    <w:altName w:val="DejaVu Sans"/>
    <w:panose1 w:val="020B0604020202020204"/>
    <w:charset w:val="86"/>
    <w:family w:val="swiss"/>
    <w:pitch w:val="default"/>
    <w:sig w:usb0="00000000" w:usb1="00000000" w:usb2="0000003F" w:usb3="00000000" w:csb0="003F01FF" w:csb1="00000000"/>
  </w:font>
  <w:font w:name="等线 Light">
    <w:altName w:val="仿宋_GB2312"/>
    <w:panose1 w:val="00000000000000000000"/>
    <w:charset w:val="86"/>
    <w:family w:val="auto"/>
    <w:pitch w:val="default"/>
    <w:sig w:usb0="00000000" w:usb1="00000000" w:usb2="00000016" w:usb3="00000000" w:csb0="0004000F" w:csb1="00000000"/>
  </w:font>
  <w:font w:name="time">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Microsoft YaHei UI">
    <w:altName w:val="文泉驿微米黑"/>
    <w:panose1 w:val="00000000000000000000"/>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Microsoft Sans Serif">
    <w:altName w:val="Liberation Sans"/>
    <w:panose1 w:val="020B0604020202020204"/>
    <w:charset w:val="00"/>
    <w:family w:val="swiss"/>
    <w:pitch w:val="default"/>
    <w:sig w:usb0="00000000" w:usb1="00000000" w:usb2="00000008" w:usb3="00000000" w:csb0="000101FF" w:csb1="00000000"/>
  </w:font>
  <w:font w:name="Liberation Sans">
    <w:panose1 w:val="020B0604020202020204"/>
    <w:charset w:val="00"/>
    <w:family w:val="auto"/>
    <w:pitch w:val="default"/>
    <w:sig w:usb0="A00002AF" w:usb1="5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350">
    <w:pPr>
      <w:ind w:firstLine="0" w:firstLineChars="0"/>
      <w:jc w:val="center"/>
    </w:pPr>
    <w:r>
      <w:fldChar w:fldCharType="begin"/>
    </w:r>
    <w:r>
      <w:instrText xml:space="preserve">PAGE   \* MERGEFORMAT</w:instrText>
    </w:r>
    <w:r>
      <w:fldChar w:fldCharType="separate"/>
    </w:r>
    <w:r>
      <w:rPr>
        <w:lang w:val="zh-CN"/>
      </w:rPr>
      <w:t>3</w:t>
    </w:r>
    <w:r>
      <w:rPr>
        <w:lang w:val="zh-CN"/>
      </w:rPr>
      <w:fldChar w:fldCharType="end"/>
    </w:r>
  </w:p>
  <w:p w14:paraId="165C422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1CF46"/>
  <w:p w14:paraId="669749E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757EC">
    <w:pPr>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884FB">
    <w:pPr>
      <w:ind w:firstLine="0" w:firstLineChars="0"/>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72116B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BDABA">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AAE31"/>
  <w:p w14:paraId="34BD8AC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4DD17">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CC7CA"/>
    <w:multiLevelType w:val="singleLevel"/>
    <w:tmpl w:val="8ABCC7CA"/>
    <w:lvl w:ilvl="0" w:tentative="0">
      <w:start w:val="1"/>
      <w:numFmt w:val="decimal"/>
      <w:lvlText w:val="%1)"/>
      <w:lvlJc w:val="left"/>
      <w:pPr>
        <w:ind w:left="425" w:hanging="425"/>
      </w:pPr>
      <w:rPr>
        <w:rFonts w:hint="default"/>
      </w:rPr>
    </w:lvl>
  </w:abstractNum>
  <w:abstractNum w:abstractNumId="1">
    <w:nsid w:val="387A0B16"/>
    <w:multiLevelType w:val="singleLevel"/>
    <w:tmpl w:val="387A0B16"/>
    <w:lvl w:ilvl="0" w:tentative="0">
      <w:start w:val="1"/>
      <w:numFmt w:val="decimal"/>
      <w:suff w:val="nothing"/>
      <w:lvlText w:val="%1）"/>
      <w:lvlJc w:val="left"/>
    </w:lvl>
  </w:abstractNum>
  <w:abstractNum w:abstractNumId="2">
    <w:nsid w:val="551DBDC3"/>
    <w:multiLevelType w:val="multilevel"/>
    <w:tmpl w:val="551DBDC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tabs>
          <w:tab w:val="left" w:pos="0"/>
        </w:tabs>
        <w:ind w:left="0" w:firstLine="0"/>
      </w:pPr>
      <w:rPr>
        <w:rFonts w:hint="eastAsia"/>
      </w:rPr>
    </w:lvl>
    <w:lvl w:ilvl="2" w:tentative="0">
      <w:start w:val="1"/>
      <w:numFmt w:val="decimal"/>
      <w:pStyle w:val="4"/>
      <w:isLgl/>
      <w:suff w:val="nothing"/>
      <w:lvlText w:val="%1.%2.%3、"/>
      <w:lvlJc w:val="left"/>
      <w:pPr>
        <w:ind w:left="1069" w:hanging="1069"/>
      </w:pPr>
      <w:rPr>
        <w:rFonts w:hint="eastAsia" w:ascii="宋体" w:hAnsi="宋体" w:eastAsia="宋体" w:cs="Arial"/>
      </w:rPr>
    </w:lvl>
    <w:lvl w:ilvl="3" w:tentative="0">
      <w:start w:val="1"/>
      <w:numFmt w:val="decimal"/>
      <w:pStyle w:val="5"/>
      <w:isLgl/>
      <w:suff w:val="nothing"/>
      <w:lvlText w:val="%1.%2.%3.%4、"/>
      <w:lvlJc w:val="left"/>
      <w:pPr>
        <w:ind w:left="3403" w:hanging="851"/>
      </w:pPr>
      <w:rPr>
        <w:rFonts w:hint="eastAsia"/>
      </w:r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3">
    <w:nsid w:val="6350366A"/>
    <w:multiLevelType w:val="multilevel"/>
    <w:tmpl w:val="6350366A"/>
    <w:lvl w:ilvl="0" w:tentative="0">
      <w:start w:val="1"/>
      <w:numFmt w:val="none"/>
      <w:pStyle w:val="112"/>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1"/>
  <w:bordersDoNotSurroundFooter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6910C0"/>
    <w:rsid w:val="0000005A"/>
    <w:rsid w:val="00000AED"/>
    <w:rsid w:val="00002DBA"/>
    <w:rsid w:val="00003516"/>
    <w:rsid w:val="0000380E"/>
    <w:rsid w:val="000039A4"/>
    <w:rsid w:val="00005AFD"/>
    <w:rsid w:val="00006563"/>
    <w:rsid w:val="000074F1"/>
    <w:rsid w:val="00007A41"/>
    <w:rsid w:val="00007DA7"/>
    <w:rsid w:val="00012EF0"/>
    <w:rsid w:val="000156DE"/>
    <w:rsid w:val="000165AD"/>
    <w:rsid w:val="00017642"/>
    <w:rsid w:val="000179E9"/>
    <w:rsid w:val="00017A63"/>
    <w:rsid w:val="00020C18"/>
    <w:rsid w:val="00021EE6"/>
    <w:rsid w:val="0002280E"/>
    <w:rsid w:val="00022C74"/>
    <w:rsid w:val="00025122"/>
    <w:rsid w:val="000252D5"/>
    <w:rsid w:val="00026997"/>
    <w:rsid w:val="00027A64"/>
    <w:rsid w:val="00032D27"/>
    <w:rsid w:val="00035325"/>
    <w:rsid w:val="00035D5B"/>
    <w:rsid w:val="000378D0"/>
    <w:rsid w:val="00037F2C"/>
    <w:rsid w:val="00042C2A"/>
    <w:rsid w:val="000430EC"/>
    <w:rsid w:val="000447CB"/>
    <w:rsid w:val="00047915"/>
    <w:rsid w:val="00047D06"/>
    <w:rsid w:val="00050FBD"/>
    <w:rsid w:val="0005107A"/>
    <w:rsid w:val="0005192C"/>
    <w:rsid w:val="00052929"/>
    <w:rsid w:val="0005299F"/>
    <w:rsid w:val="000541D7"/>
    <w:rsid w:val="000545C0"/>
    <w:rsid w:val="0005586D"/>
    <w:rsid w:val="00056C0E"/>
    <w:rsid w:val="000571F1"/>
    <w:rsid w:val="000574A8"/>
    <w:rsid w:val="000574F8"/>
    <w:rsid w:val="00057A49"/>
    <w:rsid w:val="00061BE3"/>
    <w:rsid w:val="0006231F"/>
    <w:rsid w:val="00062A05"/>
    <w:rsid w:val="00062EE6"/>
    <w:rsid w:val="0006344E"/>
    <w:rsid w:val="000649E6"/>
    <w:rsid w:val="0006794B"/>
    <w:rsid w:val="00067DCA"/>
    <w:rsid w:val="00070063"/>
    <w:rsid w:val="0007087A"/>
    <w:rsid w:val="000710EC"/>
    <w:rsid w:val="00072237"/>
    <w:rsid w:val="00072ABE"/>
    <w:rsid w:val="00073486"/>
    <w:rsid w:val="00080B39"/>
    <w:rsid w:val="00083950"/>
    <w:rsid w:val="0008452F"/>
    <w:rsid w:val="00084E8E"/>
    <w:rsid w:val="00085A68"/>
    <w:rsid w:val="00090625"/>
    <w:rsid w:val="00090948"/>
    <w:rsid w:val="00091CD1"/>
    <w:rsid w:val="0009460E"/>
    <w:rsid w:val="000951D4"/>
    <w:rsid w:val="000A2146"/>
    <w:rsid w:val="000A2930"/>
    <w:rsid w:val="000A3276"/>
    <w:rsid w:val="000A3C35"/>
    <w:rsid w:val="000A3E30"/>
    <w:rsid w:val="000A5876"/>
    <w:rsid w:val="000A61D0"/>
    <w:rsid w:val="000A6C67"/>
    <w:rsid w:val="000A6DB8"/>
    <w:rsid w:val="000A7596"/>
    <w:rsid w:val="000B11A8"/>
    <w:rsid w:val="000B1959"/>
    <w:rsid w:val="000B2E1C"/>
    <w:rsid w:val="000B4459"/>
    <w:rsid w:val="000B4B46"/>
    <w:rsid w:val="000B5363"/>
    <w:rsid w:val="000B53BA"/>
    <w:rsid w:val="000B642F"/>
    <w:rsid w:val="000B6C99"/>
    <w:rsid w:val="000C3F3C"/>
    <w:rsid w:val="000C5A75"/>
    <w:rsid w:val="000C75E9"/>
    <w:rsid w:val="000C75F7"/>
    <w:rsid w:val="000D0AB2"/>
    <w:rsid w:val="000D225C"/>
    <w:rsid w:val="000D36F2"/>
    <w:rsid w:val="000D4B26"/>
    <w:rsid w:val="000D74DB"/>
    <w:rsid w:val="000E24D6"/>
    <w:rsid w:val="000E5415"/>
    <w:rsid w:val="000E6072"/>
    <w:rsid w:val="000E6D61"/>
    <w:rsid w:val="000E7A23"/>
    <w:rsid w:val="000F1C29"/>
    <w:rsid w:val="000F1E9E"/>
    <w:rsid w:val="000F2B10"/>
    <w:rsid w:val="000F3F72"/>
    <w:rsid w:val="001055B2"/>
    <w:rsid w:val="001068F0"/>
    <w:rsid w:val="00106AB8"/>
    <w:rsid w:val="00106C9E"/>
    <w:rsid w:val="00106E16"/>
    <w:rsid w:val="0010768B"/>
    <w:rsid w:val="00111701"/>
    <w:rsid w:val="00112A29"/>
    <w:rsid w:val="0011669D"/>
    <w:rsid w:val="001167F6"/>
    <w:rsid w:val="00116C86"/>
    <w:rsid w:val="00121ACF"/>
    <w:rsid w:val="00121D8F"/>
    <w:rsid w:val="00122037"/>
    <w:rsid w:val="0012210C"/>
    <w:rsid w:val="00122A7F"/>
    <w:rsid w:val="00123F98"/>
    <w:rsid w:val="001242A5"/>
    <w:rsid w:val="00124531"/>
    <w:rsid w:val="00126EDF"/>
    <w:rsid w:val="00127BBE"/>
    <w:rsid w:val="00131D52"/>
    <w:rsid w:val="001329C1"/>
    <w:rsid w:val="00132C16"/>
    <w:rsid w:val="00136320"/>
    <w:rsid w:val="00136FFA"/>
    <w:rsid w:val="00137AC6"/>
    <w:rsid w:val="00145512"/>
    <w:rsid w:val="001465BD"/>
    <w:rsid w:val="00147B45"/>
    <w:rsid w:val="00150803"/>
    <w:rsid w:val="00151D83"/>
    <w:rsid w:val="001546C9"/>
    <w:rsid w:val="00154FAE"/>
    <w:rsid w:val="00155E77"/>
    <w:rsid w:val="00156A70"/>
    <w:rsid w:val="00160A61"/>
    <w:rsid w:val="00160FC0"/>
    <w:rsid w:val="0016429B"/>
    <w:rsid w:val="00164525"/>
    <w:rsid w:val="00164C50"/>
    <w:rsid w:val="00165CB2"/>
    <w:rsid w:val="00166203"/>
    <w:rsid w:val="00166767"/>
    <w:rsid w:val="001707CB"/>
    <w:rsid w:val="00170C54"/>
    <w:rsid w:val="00171477"/>
    <w:rsid w:val="00172A1A"/>
    <w:rsid w:val="00173251"/>
    <w:rsid w:val="00176BED"/>
    <w:rsid w:val="0017759D"/>
    <w:rsid w:val="001804A5"/>
    <w:rsid w:val="00181C94"/>
    <w:rsid w:val="00182C84"/>
    <w:rsid w:val="00187031"/>
    <w:rsid w:val="00191EA4"/>
    <w:rsid w:val="00192B6C"/>
    <w:rsid w:val="00192C30"/>
    <w:rsid w:val="0019381E"/>
    <w:rsid w:val="00194CF5"/>
    <w:rsid w:val="0019503C"/>
    <w:rsid w:val="00195D94"/>
    <w:rsid w:val="00196F7B"/>
    <w:rsid w:val="001971CB"/>
    <w:rsid w:val="0019795C"/>
    <w:rsid w:val="001A053A"/>
    <w:rsid w:val="001A22A2"/>
    <w:rsid w:val="001A2971"/>
    <w:rsid w:val="001A3D52"/>
    <w:rsid w:val="001A460A"/>
    <w:rsid w:val="001A4A4C"/>
    <w:rsid w:val="001B0230"/>
    <w:rsid w:val="001B13AB"/>
    <w:rsid w:val="001B3907"/>
    <w:rsid w:val="001B3B49"/>
    <w:rsid w:val="001B4907"/>
    <w:rsid w:val="001B4DC5"/>
    <w:rsid w:val="001B5505"/>
    <w:rsid w:val="001C2180"/>
    <w:rsid w:val="001C29CC"/>
    <w:rsid w:val="001C3217"/>
    <w:rsid w:val="001C3B98"/>
    <w:rsid w:val="001C4C22"/>
    <w:rsid w:val="001C6028"/>
    <w:rsid w:val="001C6365"/>
    <w:rsid w:val="001C7F57"/>
    <w:rsid w:val="001D0E79"/>
    <w:rsid w:val="001D6049"/>
    <w:rsid w:val="001D7339"/>
    <w:rsid w:val="001E2750"/>
    <w:rsid w:val="001E4343"/>
    <w:rsid w:val="001E52BB"/>
    <w:rsid w:val="001E660A"/>
    <w:rsid w:val="001F05D6"/>
    <w:rsid w:val="001F5B0A"/>
    <w:rsid w:val="001F640F"/>
    <w:rsid w:val="001F6794"/>
    <w:rsid w:val="001F6F65"/>
    <w:rsid w:val="002002DF"/>
    <w:rsid w:val="00203A6F"/>
    <w:rsid w:val="00205646"/>
    <w:rsid w:val="002063F7"/>
    <w:rsid w:val="002129E5"/>
    <w:rsid w:val="00212AA4"/>
    <w:rsid w:val="00212E13"/>
    <w:rsid w:val="002163C8"/>
    <w:rsid w:val="002179FE"/>
    <w:rsid w:val="00220CC0"/>
    <w:rsid w:val="00221A36"/>
    <w:rsid w:val="00223296"/>
    <w:rsid w:val="0022329B"/>
    <w:rsid w:val="002240F7"/>
    <w:rsid w:val="0022486F"/>
    <w:rsid w:val="00225314"/>
    <w:rsid w:val="00225DF4"/>
    <w:rsid w:val="00226C70"/>
    <w:rsid w:val="00230C8A"/>
    <w:rsid w:val="00231F98"/>
    <w:rsid w:val="002324F8"/>
    <w:rsid w:val="002348B0"/>
    <w:rsid w:val="00235CDC"/>
    <w:rsid w:val="00237E76"/>
    <w:rsid w:val="00240BBE"/>
    <w:rsid w:val="00241525"/>
    <w:rsid w:val="00241D87"/>
    <w:rsid w:val="00243C55"/>
    <w:rsid w:val="00243D5E"/>
    <w:rsid w:val="002451EC"/>
    <w:rsid w:val="00245ED4"/>
    <w:rsid w:val="00246B41"/>
    <w:rsid w:val="0025002B"/>
    <w:rsid w:val="002500DE"/>
    <w:rsid w:val="00252457"/>
    <w:rsid w:val="00252581"/>
    <w:rsid w:val="002535B5"/>
    <w:rsid w:val="002538CB"/>
    <w:rsid w:val="002542BD"/>
    <w:rsid w:val="00256064"/>
    <w:rsid w:val="0025774E"/>
    <w:rsid w:val="00257D64"/>
    <w:rsid w:val="0026340A"/>
    <w:rsid w:val="002654EA"/>
    <w:rsid w:val="002704EA"/>
    <w:rsid w:val="0027061A"/>
    <w:rsid w:val="002719CC"/>
    <w:rsid w:val="002730C5"/>
    <w:rsid w:val="0027337C"/>
    <w:rsid w:val="0027602B"/>
    <w:rsid w:val="00277F5E"/>
    <w:rsid w:val="00280084"/>
    <w:rsid w:val="00280490"/>
    <w:rsid w:val="002860B8"/>
    <w:rsid w:val="0029206E"/>
    <w:rsid w:val="00293382"/>
    <w:rsid w:val="00294F51"/>
    <w:rsid w:val="002A2342"/>
    <w:rsid w:val="002A279E"/>
    <w:rsid w:val="002A311E"/>
    <w:rsid w:val="002A4FA3"/>
    <w:rsid w:val="002B3606"/>
    <w:rsid w:val="002B3D80"/>
    <w:rsid w:val="002B4402"/>
    <w:rsid w:val="002B4946"/>
    <w:rsid w:val="002B4C41"/>
    <w:rsid w:val="002B588D"/>
    <w:rsid w:val="002C1839"/>
    <w:rsid w:val="002C214A"/>
    <w:rsid w:val="002C28E8"/>
    <w:rsid w:val="002C3027"/>
    <w:rsid w:val="002C674D"/>
    <w:rsid w:val="002C7648"/>
    <w:rsid w:val="002C7DC4"/>
    <w:rsid w:val="002D0821"/>
    <w:rsid w:val="002D1929"/>
    <w:rsid w:val="002D1B73"/>
    <w:rsid w:val="002D3CB0"/>
    <w:rsid w:val="002D4800"/>
    <w:rsid w:val="002D5B21"/>
    <w:rsid w:val="002D6F6D"/>
    <w:rsid w:val="002E1FE6"/>
    <w:rsid w:val="002E2EA7"/>
    <w:rsid w:val="002E36D2"/>
    <w:rsid w:val="002E40C5"/>
    <w:rsid w:val="002E748B"/>
    <w:rsid w:val="002F2002"/>
    <w:rsid w:val="002F335D"/>
    <w:rsid w:val="002F4E32"/>
    <w:rsid w:val="002F503F"/>
    <w:rsid w:val="002F51DD"/>
    <w:rsid w:val="002F5D08"/>
    <w:rsid w:val="002F6895"/>
    <w:rsid w:val="002F6D13"/>
    <w:rsid w:val="003038D3"/>
    <w:rsid w:val="003049C7"/>
    <w:rsid w:val="00305F0E"/>
    <w:rsid w:val="0030667A"/>
    <w:rsid w:val="003106DE"/>
    <w:rsid w:val="00311530"/>
    <w:rsid w:val="00312D31"/>
    <w:rsid w:val="00315216"/>
    <w:rsid w:val="0031691C"/>
    <w:rsid w:val="00317AEF"/>
    <w:rsid w:val="00317F49"/>
    <w:rsid w:val="0032089B"/>
    <w:rsid w:val="00323450"/>
    <w:rsid w:val="00323D93"/>
    <w:rsid w:val="0032489B"/>
    <w:rsid w:val="0032525B"/>
    <w:rsid w:val="00326A7A"/>
    <w:rsid w:val="00326FEE"/>
    <w:rsid w:val="003315D7"/>
    <w:rsid w:val="00334DE6"/>
    <w:rsid w:val="0033536D"/>
    <w:rsid w:val="003353FF"/>
    <w:rsid w:val="003366D2"/>
    <w:rsid w:val="00337C79"/>
    <w:rsid w:val="00337FEF"/>
    <w:rsid w:val="0034084C"/>
    <w:rsid w:val="00340D5E"/>
    <w:rsid w:val="003420B5"/>
    <w:rsid w:val="00343646"/>
    <w:rsid w:val="00344CCB"/>
    <w:rsid w:val="00345897"/>
    <w:rsid w:val="00351BFC"/>
    <w:rsid w:val="0035575E"/>
    <w:rsid w:val="003565B4"/>
    <w:rsid w:val="00362E75"/>
    <w:rsid w:val="003631AA"/>
    <w:rsid w:val="003632D5"/>
    <w:rsid w:val="0036335A"/>
    <w:rsid w:val="00363575"/>
    <w:rsid w:val="00364EF9"/>
    <w:rsid w:val="00367579"/>
    <w:rsid w:val="0036795B"/>
    <w:rsid w:val="00370A29"/>
    <w:rsid w:val="003722F9"/>
    <w:rsid w:val="00372349"/>
    <w:rsid w:val="00372CBC"/>
    <w:rsid w:val="00373A61"/>
    <w:rsid w:val="00374BDE"/>
    <w:rsid w:val="00376B39"/>
    <w:rsid w:val="003772C0"/>
    <w:rsid w:val="00377BAC"/>
    <w:rsid w:val="00380142"/>
    <w:rsid w:val="00380558"/>
    <w:rsid w:val="00381D3C"/>
    <w:rsid w:val="0038223E"/>
    <w:rsid w:val="00382D92"/>
    <w:rsid w:val="00385AEF"/>
    <w:rsid w:val="003860EA"/>
    <w:rsid w:val="0038781A"/>
    <w:rsid w:val="0039080B"/>
    <w:rsid w:val="0039326E"/>
    <w:rsid w:val="00394E22"/>
    <w:rsid w:val="003967A4"/>
    <w:rsid w:val="00397FA3"/>
    <w:rsid w:val="003A1596"/>
    <w:rsid w:val="003A317E"/>
    <w:rsid w:val="003A345B"/>
    <w:rsid w:val="003A49EE"/>
    <w:rsid w:val="003A674D"/>
    <w:rsid w:val="003A7123"/>
    <w:rsid w:val="003B102E"/>
    <w:rsid w:val="003B2167"/>
    <w:rsid w:val="003B5F5D"/>
    <w:rsid w:val="003B62C8"/>
    <w:rsid w:val="003C0C62"/>
    <w:rsid w:val="003C12DC"/>
    <w:rsid w:val="003C2CDA"/>
    <w:rsid w:val="003D000A"/>
    <w:rsid w:val="003D1DFC"/>
    <w:rsid w:val="003D31E9"/>
    <w:rsid w:val="003D544E"/>
    <w:rsid w:val="003D5980"/>
    <w:rsid w:val="003E0842"/>
    <w:rsid w:val="003E13B0"/>
    <w:rsid w:val="003E2580"/>
    <w:rsid w:val="003E3DEE"/>
    <w:rsid w:val="003E3EBB"/>
    <w:rsid w:val="003E4A4C"/>
    <w:rsid w:val="003E4CBA"/>
    <w:rsid w:val="003E4D2F"/>
    <w:rsid w:val="003E4EDC"/>
    <w:rsid w:val="003E599D"/>
    <w:rsid w:val="003E5C81"/>
    <w:rsid w:val="003E6965"/>
    <w:rsid w:val="003F00E8"/>
    <w:rsid w:val="003F1936"/>
    <w:rsid w:val="003F1BDD"/>
    <w:rsid w:val="003F3BA3"/>
    <w:rsid w:val="003F3BD5"/>
    <w:rsid w:val="003F400E"/>
    <w:rsid w:val="003F6F35"/>
    <w:rsid w:val="003F7768"/>
    <w:rsid w:val="00400E8C"/>
    <w:rsid w:val="004017DC"/>
    <w:rsid w:val="00401B53"/>
    <w:rsid w:val="00402668"/>
    <w:rsid w:val="00404FEC"/>
    <w:rsid w:val="0040534D"/>
    <w:rsid w:val="00405FAD"/>
    <w:rsid w:val="004117AB"/>
    <w:rsid w:val="00412B2F"/>
    <w:rsid w:val="00415281"/>
    <w:rsid w:val="00415716"/>
    <w:rsid w:val="0041604D"/>
    <w:rsid w:val="00417842"/>
    <w:rsid w:val="00417A6E"/>
    <w:rsid w:val="00420CDF"/>
    <w:rsid w:val="0042285D"/>
    <w:rsid w:val="00427D2B"/>
    <w:rsid w:val="00430B13"/>
    <w:rsid w:val="00430CE5"/>
    <w:rsid w:val="0043153C"/>
    <w:rsid w:val="00431D0F"/>
    <w:rsid w:val="0043481C"/>
    <w:rsid w:val="00444307"/>
    <w:rsid w:val="0044436F"/>
    <w:rsid w:val="004443EB"/>
    <w:rsid w:val="00444432"/>
    <w:rsid w:val="00444673"/>
    <w:rsid w:val="0044621E"/>
    <w:rsid w:val="00447BF1"/>
    <w:rsid w:val="00450BA4"/>
    <w:rsid w:val="004511FC"/>
    <w:rsid w:val="00456784"/>
    <w:rsid w:val="00456DCA"/>
    <w:rsid w:val="00461140"/>
    <w:rsid w:val="004611DB"/>
    <w:rsid w:val="004658B0"/>
    <w:rsid w:val="0046605F"/>
    <w:rsid w:val="0046614B"/>
    <w:rsid w:val="00467FD7"/>
    <w:rsid w:val="00470073"/>
    <w:rsid w:val="004730F8"/>
    <w:rsid w:val="00474353"/>
    <w:rsid w:val="00474555"/>
    <w:rsid w:val="004750F4"/>
    <w:rsid w:val="00476CB1"/>
    <w:rsid w:val="00480A48"/>
    <w:rsid w:val="00482501"/>
    <w:rsid w:val="00482E7D"/>
    <w:rsid w:val="00484395"/>
    <w:rsid w:val="004865FB"/>
    <w:rsid w:val="00486C03"/>
    <w:rsid w:val="00491AB3"/>
    <w:rsid w:val="00497A33"/>
    <w:rsid w:val="004A1112"/>
    <w:rsid w:val="004A1DA0"/>
    <w:rsid w:val="004A1F20"/>
    <w:rsid w:val="004A2393"/>
    <w:rsid w:val="004A3569"/>
    <w:rsid w:val="004A452A"/>
    <w:rsid w:val="004A5F2C"/>
    <w:rsid w:val="004A6E4F"/>
    <w:rsid w:val="004A720D"/>
    <w:rsid w:val="004B00D0"/>
    <w:rsid w:val="004B6084"/>
    <w:rsid w:val="004B7AE0"/>
    <w:rsid w:val="004C0BC4"/>
    <w:rsid w:val="004C260D"/>
    <w:rsid w:val="004C2D47"/>
    <w:rsid w:val="004C4357"/>
    <w:rsid w:val="004C4477"/>
    <w:rsid w:val="004C5730"/>
    <w:rsid w:val="004C6397"/>
    <w:rsid w:val="004C668F"/>
    <w:rsid w:val="004C682B"/>
    <w:rsid w:val="004D142C"/>
    <w:rsid w:val="004D29F7"/>
    <w:rsid w:val="004D36D8"/>
    <w:rsid w:val="004D4C5C"/>
    <w:rsid w:val="004D5AB0"/>
    <w:rsid w:val="004D5EAE"/>
    <w:rsid w:val="004D7A0E"/>
    <w:rsid w:val="004E06E7"/>
    <w:rsid w:val="004E0AE3"/>
    <w:rsid w:val="004E20D3"/>
    <w:rsid w:val="004E2C82"/>
    <w:rsid w:val="004E4FAE"/>
    <w:rsid w:val="004E62C7"/>
    <w:rsid w:val="004E68FF"/>
    <w:rsid w:val="004E7A1B"/>
    <w:rsid w:val="004F0B7F"/>
    <w:rsid w:val="004F1193"/>
    <w:rsid w:val="004F11DC"/>
    <w:rsid w:val="004F2124"/>
    <w:rsid w:val="004F271B"/>
    <w:rsid w:val="004F3A52"/>
    <w:rsid w:val="004F449F"/>
    <w:rsid w:val="004F4E7E"/>
    <w:rsid w:val="004F63AB"/>
    <w:rsid w:val="004F6B76"/>
    <w:rsid w:val="004F6C7C"/>
    <w:rsid w:val="004F7F1A"/>
    <w:rsid w:val="004F7FBB"/>
    <w:rsid w:val="005042B3"/>
    <w:rsid w:val="005045AB"/>
    <w:rsid w:val="00507D43"/>
    <w:rsid w:val="005103F2"/>
    <w:rsid w:val="00510E2C"/>
    <w:rsid w:val="00511FDC"/>
    <w:rsid w:val="005124C6"/>
    <w:rsid w:val="00513EBC"/>
    <w:rsid w:val="00514CE1"/>
    <w:rsid w:val="00517155"/>
    <w:rsid w:val="00517DB3"/>
    <w:rsid w:val="005200DC"/>
    <w:rsid w:val="005200F2"/>
    <w:rsid w:val="0052369D"/>
    <w:rsid w:val="005271DB"/>
    <w:rsid w:val="00530D2F"/>
    <w:rsid w:val="00532C6E"/>
    <w:rsid w:val="0053487C"/>
    <w:rsid w:val="005356E1"/>
    <w:rsid w:val="00536A8B"/>
    <w:rsid w:val="00540418"/>
    <w:rsid w:val="00541A96"/>
    <w:rsid w:val="00541C6A"/>
    <w:rsid w:val="00542C54"/>
    <w:rsid w:val="00546A43"/>
    <w:rsid w:val="00546C70"/>
    <w:rsid w:val="00547258"/>
    <w:rsid w:val="00550CF0"/>
    <w:rsid w:val="005559FE"/>
    <w:rsid w:val="005560D6"/>
    <w:rsid w:val="00556D07"/>
    <w:rsid w:val="005611F2"/>
    <w:rsid w:val="00561734"/>
    <w:rsid w:val="00561952"/>
    <w:rsid w:val="00564B9A"/>
    <w:rsid w:val="00565694"/>
    <w:rsid w:val="00566DD6"/>
    <w:rsid w:val="005714EF"/>
    <w:rsid w:val="005717D9"/>
    <w:rsid w:val="00571CEC"/>
    <w:rsid w:val="00572FCE"/>
    <w:rsid w:val="005750DB"/>
    <w:rsid w:val="005759FC"/>
    <w:rsid w:val="00575B85"/>
    <w:rsid w:val="00576DB9"/>
    <w:rsid w:val="0057738F"/>
    <w:rsid w:val="005805E4"/>
    <w:rsid w:val="0058202F"/>
    <w:rsid w:val="00584221"/>
    <w:rsid w:val="00584EB6"/>
    <w:rsid w:val="00586B68"/>
    <w:rsid w:val="0058774E"/>
    <w:rsid w:val="005878CF"/>
    <w:rsid w:val="00590CA0"/>
    <w:rsid w:val="00595B01"/>
    <w:rsid w:val="00596D98"/>
    <w:rsid w:val="005979A5"/>
    <w:rsid w:val="005A0021"/>
    <w:rsid w:val="005A017B"/>
    <w:rsid w:val="005A2AEC"/>
    <w:rsid w:val="005A412D"/>
    <w:rsid w:val="005A5212"/>
    <w:rsid w:val="005B002D"/>
    <w:rsid w:val="005B0FFF"/>
    <w:rsid w:val="005B19AF"/>
    <w:rsid w:val="005B258C"/>
    <w:rsid w:val="005B61DD"/>
    <w:rsid w:val="005B6735"/>
    <w:rsid w:val="005B7831"/>
    <w:rsid w:val="005C0CD6"/>
    <w:rsid w:val="005C12D9"/>
    <w:rsid w:val="005C2146"/>
    <w:rsid w:val="005C309D"/>
    <w:rsid w:val="005C544B"/>
    <w:rsid w:val="005C5916"/>
    <w:rsid w:val="005C5AEE"/>
    <w:rsid w:val="005C774A"/>
    <w:rsid w:val="005D032E"/>
    <w:rsid w:val="005D3734"/>
    <w:rsid w:val="005D4F16"/>
    <w:rsid w:val="005D5A53"/>
    <w:rsid w:val="005D5DA0"/>
    <w:rsid w:val="005D7FBD"/>
    <w:rsid w:val="005E19B4"/>
    <w:rsid w:val="005E1D6B"/>
    <w:rsid w:val="005E227A"/>
    <w:rsid w:val="005E2CF8"/>
    <w:rsid w:val="005E3126"/>
    <w:rsid w:val="005E7075"/>
    <w:rsid w:val="005E75A7"/>
    <w:rsid w:val="005F38E2"/>
    <w:rsid w:val="005F3EE6"/>
    <w:rsid w:val="005F6736"/>
    <w:rsid w:val="00602C10"/>
    <w:rsid w:val="00602EBD"/>
    <w:rsid w:val="00604CF2"/>
    <w:rsid w:val="00606DFF"/>
    <w:rsid w:val="00606FB7"/>
    <w:rsid w:val="00610533"/>
    <w:rsid w:val="006110F6"/>
    <w:rsid w:val="00611168"/>
    <w:rsid w:val="00611FA1"/>
    <w:rsid w:val="00612522"/>
    <w:rsid w:val="00612DA6"/>
    <w:rsid w:val="0061365B"/>
    <w:rsid w:val="006138B6"/>
    <w:rsid w:val="00614BC6"/>
    <w:rsid w:val="00614E33"/>
    <w:rsid w:val="006158B8"/>
    <w:rsid w:val="0061706D"/>
    <w:rsid w:val="006173DA"/>
    <w:rsid w:val="00617EF9"/>
    <w:rsid w:val="00620295"/>
    <w:rsid w:val="00622F8E"/>
    <w:rsid w:val="00626AC8"/>
    <w:rsid w:val="00627912"/>
    <w:rsid w:val="0063195F"/>
    <w:rsid w:val="00636C0A"/>
    <w:rsid w:val="00637EC6"/>
    <w:rsid w:val="0064240C"/>
    <w:rsid w:val="00642FF5"/>
    <w:rsid w:val="006430FB"/>
    <w:rsid w:val="00643992"/>
    <w:rsid w:val="00644DBC"/>
    <w:rsid w:val="00646FE6"/>
    <w:rsid w:val="006474CD"/>
    <w:rsid w:val="00647744"/>
    <w:rsid w:val="006479A0"/>
    <w:rsid w:val="006500D9"/>
    <w:rsid w:val="00653B54"/>
    <w:rsid w:val="006541A3"/>
    <w:rsid w:val="00654FAD"/>
    <w:rsid w:val="00655C9F"/>
    <w:rsid w:val="006567FF"/>
    <w:rsid w:val="00656867"/>
    <w:rsid w:val="0066109F"/>
    <w:rsid w:val="00664B26"/>
    <w:rsid w:val="0066596B"/>
    <w:rsid w:val="00670295"/>
    <w:rsid w:val="006704F5"/>
    <w:rsid w:val="00672894"/>
    <w:rsid w:val="00674B47"/>
    <w:rsid w:val="0067609E"/>
    <w:rsid w:val="00676BE1"/>
    <w:rsid w:val="00677749"/>
    <w:rsid w:val="00680E07"/>
    <w:rsid w:val="00682B9D"/>
    <w:rsid w:val="00683806"/>
    <w:rsid w:val="00686AF9"/>
    <w:rsid w:val="006910C0"/>
    <w:rsid w:val="00691954"/>
    <w:rsid w:val="0069320E"/>
    <w:rsid w:val="00693D13"/>
    <w:rsid w:val="00694F58"/>
    <w:rsid w:val="006955BC"/>
    <w:rsid w:val="006959E2"/>
    <w:rsid w:val="00696920"/>
    <w:rsid w:val="00697EB9"/>
    <w:rsid w:val="006A20D4"/>
    <w:rsid w:val="006A268D"/>
    <w:rsid w:val="006A350F"/>
    <w:rsid w:val="006A3957"/>
    <w:rsid w:val="006A39A4"/>
    <w:rsid w:val="006A41D6"/>
    <w:rsid w:val="006A669D"/>
    <w:rsid w:val="006A6E41"/>
    <w:rsid w:val="006B012F"/>
    <w:rsid w:val="006B27CF"/>
    <w:rsid w:val="006B41BD"/>
    <w:rsid w:val="006B5678"/>
    <w:rsid w:val="006B62B2"/>
    <w:rsid w:val="006C1C57"/>
    <w:rsid w:val="006C5760"/>
    <w:rsid w:val="006C6D6F"/>
    <w:rsid w:val="006D0D78"/>
    <w:rsid w:val="006D1128"/>
    <w:rsid w:val="006D2848"/>
    <w:rsid w:val="006D30E0"/>
    <w:rsid w:val="006D5521"/>
    <w:rsid w:val="006D5FE9"/>
    <w:rsid w:val="006D6CBB"/>
    <w:rsid w:val="006D76A9"/>
    <w:rsid w:val="006D77F4"/>
    <w:rsid w:val="006E0898"/>
    <w:rsid w:val="006E41CD"/>
    <w:rsid w:val="006F3BEC"/>
    <w:rsid w:val="00703C00"/>
    <w:rsid w:val="007057CC"/>
    <w:rsid w:val="007066F2"/>
    <w:rsid w:val="00706AE5"/>
    <w:rsid w:val="0070740A"/>
    <w:rsid w:val="00711F93"/>
    <w:rsid w:val="00712940"/>
    <w:rsid w:val="0071428C"/>
    <w:rsid w:val="00715A16"/>
    <w:rsid w:val="007164B0"/>
    <w:rsid w:val="007166FF"/>
    <w:rsid w:val="007260CC"/>
    <w:rsid w:val="00726543"/>
    <w:rsid w:val="0073353E"/>
    <w:rsid w:val="00736633"/>
    <w:rsid w:val="00741EE7"/>
    <w:rsid w:val="00743A79"/>
    <w:rsid w:val="007444D4"/>
    <w:rsid w:val="0074594D"/>
    <w:rsid w:val="007459F3"/>
    <w:rsid w:val="00746E35"/>
    <w:rsid w:val="007470E2"/>
    <w:rsid w:val="0075232F"/>
    <w:rsid w:val="00753132"/>
    <w:rsid w:val="007550B3"/>
    <w:rsid w:val="00760451"/>
    <w:rsid w:val="0077182A"/>
    <w:rsid w:val="00771913"/>
    <w:rsid w:val="00772718"/>
    <w:rsid w:val="00775BCF"/>
    <w:rsid w:val="007818AA"/>
    <w:rsid w:val="00783140"/>
    <w:rsid w:val="007838B6"/>
    <w:rsid w:val="00783E77"/>
    <w:rsid w:val="007844E2"/>
    <w:rsid w:val="007906F1"/>
    <w:rsid w:val="0079243D"/>
    <w:rsid w:val="00794A9B"/>
    <w:rsid w:val="0079583B"/>
    <w:rsid w:val="00796602"/>
    <w:rsid w:val="00797185"/>
    <w:rsid w:val="007976B7"/>
    <w:rsid w:val="00797A7E"/>
    <w:rsid w:val="00797D6F"/>
    <w:rsid w:val="007B014B"/>
    <w:rsid w:val="007B0D88"/>
    <w:rsid w:val="007B306F"/>
    <w:rsid w:val="007B4714"/>
    <w:rsid w:val="007B4E82"/>
    <w:rsid w:val="007C1996"/>
    <w:rsid w:val="007C3773"/>
    <w:rsid w:val="007C3F1F"/>
    <w:rsid w:val="007D2D0D"/>
    <w:rsid w:val="007D3325"/>
    <w:rsid w:val="007D3818"/>
    <w:rsid w:val="007D6DC5"/>
    <w:rsid w:val="007D7425"/>
    <w:rsid w:val="007E320E"/>
    <w:rsid w:val="007E3280"/>
    <w:rsid w:val="007E4A02"/>
    <w:rsid w:val="007E595C"/>
    <w:rsid w:val="007E59A5"/>
    <w:rsid w:val="007F3B8C"/>
    <w:rsid w:val="007F41D0"/>
    <w:rsid w:val="007F4B8B"/>
    <w:rsid w:val="007F5957"/>
    <w:rsid w:val="007F70B6"/>
    <w:rsid w:val="007F74CA"/>
    <w:rsid w:val="00800F1E"/>
    <w:rsid w:val="0080195A"/>
    <w:rsid w:val="0080239C"/>
    <w:rsid w:val="00802841"/>
    <w:rsid w:val="008037D5"/>
    <w:rsid w:val="00805447"/>
    <w:rsid w:val="008054FA"/>
    <w:rsid w:val="0080717A"/>
    <w:rsid w:val="00807DFA"/>
    <w:rsid w:val="0081009F"/>
    <w:rsid w:val="00810152"/>
    <w:rsid w:val="008115AB"/>
    <w:rsid w:val="00812D2C"/>
    <w:rsid w:val="008159F4"/>
    <w:rsid w:val="008167C1"/>
    <w:rsid w:val="008167C6"/>
    <w:rsid w:val="00816B8F"/>
    <w:rsid w:val="00820331"/>
    <w:rsid w:val="00820BF5"/>
    <w:rsid w:val="008212B1"/>
    <w:rsid w:val="008213B3"/>
    <w:rsid w:val="0082155A"/>
    <w:rsid w:val="0082209F"/>
    <w:rsid w:val="008223C2"/>
    <w:rsid w:val="008250A2"/>
    <w:rsid w:val="00825D64"/>
    <w:rsid w:val="0082650B"/>
    <w:rsid w:val="008301CE"/>
    <w:rsid w:val="008312E3"/>
    <w:rsid w:val="00831D5B"/>
    <w:rsid w:val="00832DD6"/>
    <w:rsid w:val="00832F0C"/>
    <w:rsid w:val="008336F2"/>
    <w:rsid w:val="008345D9"/>
    <w:rsid w:val="008347CB"/>
    <w:rsid w:val="00835647"/>
    <w:rsid w:val="00837A2E"/>
    <w:rsid w:val="00841558"/>
    <w:rsid w:val="00842A68"/>
    <w:rsid w:val="008435BA"/>
    <w:rsid w:val="0084558B"/>
    <w:rsid w:val="0084654A"/>
    <w:rsid w:val="00847654"/>
    <w:rsid w:val="00851064"/>
    <w:rsid w:val="00855543"/>
    <w:rsid w:val="008566B3"/>
    <w:rsid w:val="008576B7"/>
    <w:rsid w:val="00857F7B"/>
    <w:rsid w:val="00863DA1"/>
    <w:rsid w:val="008654A6"/>
    <w:rsid w:val="00865D86"/>
    <w:rsid w:val="00870495"/>
    <w:rsid w:val="00870EA1"/>
    <w:rsid w:val="008710C5"/>
    <w:rsid w:val="00874438"/>
    <w:rsid w:val="00874E75"/>
    <w:rsid w:val="008767F3"/>
    <w:rsid w:val="00876CEF"/>
    <w:rsid w:val="00877342"/>
    <w:rsid w:val="008803C3"/>
    <w:rsid w:val="00881450"/>
    <w:rsid w:val="008817C7"/>
    <w:rsid w:val="00881875"/>
    <w:rsid w:val="008848A3"/>
    <w:rsid w:val="00884AF1"/>
    <w:rsid w:val="00885690"/>
    <w:rsid w:val="00885F7A"/>
    <w:rsid w:val="00890712"/>
    <w:rsid w:val="00890D81"/>
    <w:rsid w:val="00892955"/>
    <w:rsid w:val="00893628"/>
    <w:rsid w:val="008941EB"/>
    <w:rsid w:val="0089545A"/>
    <w:rsid w:val="00895A02"/>
    <w:rsid w:val="008A01EE"/>
    <w:rsid w:val="008A0DAC"/>
    <w:rsid w:val="008A3B78"/>
    <w:rsid w:val="008A4166"/>
    <w:rsid w:val="008A7DBF"/>
    <w:rsid w:val="008B136C"/>
    <w:rsid w:val="008B55EF"/>
    <w:rsid w:val="008B6910"/>
    <w:rsid w:val="008C0B5C"/>
    <w:rsid w:val="008C1343"/>
    <w:rsid w:val="008C3912"/>
    <w:rsid w:val="008C5598"/>
    <w:rsid w:val="008C69EA"/>
    <w:rsid w:val="008C6F8B"/>
    <w:rsid w:val="008C7AB7"/>
    <w:rsid w:val="008C7FB4"/>
    <w:rsid w:val="008D2C8C"/>
    <w:rsid w:val="008D3040"/>
    <w:rsid w:val="008D3ECD"/>
    <w:rsid w:val="008D5C03"/>
    <w:rsid w:val="008D7580"/>
    <w:rsid w:val="008D7C35"/>
    <w:rsid w:val="008E5698"/>
    <w:rsid w:val="008E5733"/>
    <w:rsid w:val="008E77D2"/>
    <w:rsid w:val="008E78FD"/>
    <w:rsid w:val="008F199D"/>
    <w:rsid w:val="008F38A0"/>
    <w:rsid w:val="008F39C9"/>
    <w:rsid w:val="008F5EB5"/>
    <w:rsid w:val="008F678C"/>
    <w:rsid w:val="008F75A7"/>
    <w:rsid w:val="008F7E5A"/>
    <w:rsid w:val="00900A7F"/>
    <w:rsid w:val="009019D5"/>
    <w:rsid w:val="009036EE"/>
    <w:rsid w:val="00905815"/>
    <w:rsid w:val="00905D1D"/>
    <w:rsid w:val="0091016D"/>
    <w:rsid w:val="009108A7"/>
    <w:rsid w:val="00910C98"/>
    <w:rsid w:val="00911910"/>
    <w:rsid w:val="00912A58"/>
    <w:rsid w:val="00913908"/>
    <w:rsid w:val="00913D26"/>
    <w:rsid w:val="0091438B"/>
    <w:rsid w:val="009147E3"/>
    <w:rsid w:val="00920FD2"/>
    <w:rsid w:val="009224FE"/>
    <w:rsid w:val="00923A43"/>
    <w:rsid w:val="0092439C"/>
    <w:rsid w:val="0092498E"/>
    <w:rsid w:val="00925B91"/>
    <w:rsid w:val="00934461"/>
    <w:rsid w:val="00934F7E"/>
    <w:rsid w:val="00936A1C"/>
    <w:rsid w:val="00943E35"/>
    <w:rsid w:val="00945278"/>
    <w:rsid w:val="0094658D"/>
    <w:rsid w:val="00947678"/>
    <w:rsid w:val="00947878"/>
    <w:rsid w:val="009504C2"/>
    <w:rsid w:val="0095254A"/>
    <w:rsid w:val="0095273B"/>
    <w:rsid w:val="009559E1"/>
    <w:rsid w:val="009568D5"/>
    <w:rsid w:val="00957CD3"/>
    <w:rsid w:val="0096269B"/>
    <w:rsid w:val="00963FB0"/>
    <w:rsid w:val="00964C86"/>
    <w:rsid w:val="00965E82"/>
    <w:rsid w:val="009664BB"/>
    <w:rsid w:val="009669F8"/>
    <w:rsid w:val="00966F89"/>
    <w:rsid w:val="00973B5D"/>
    <w:rsid w:val="0097755E"/>
    <w:rsid w:val="00981467"/>
    <w:rsid w:val="00981C24"/>
    <w:rsid w:val="00984569"/>
    <w:rsid w:val="009852F6"/>
    <w:rsid w:val="00985DE5"/>
    <w:rsid w:val="00986254"/>
    <w:rsid w:val="0098729E"/>
    <w:rsid w:val="00990067"/>
    <w:rsid w:val="00992977"/>
    <w:rsid w:val="009937D4"/>
    <w:rsid w:val="00993C78"/>
    <w:rsid w:val="009948C7"/>
    <w:rsid w:val="00995850"/>
    <w:rsid w:val="0099796C"/>
    <w:rsid w:val="009A194E"/>
    <w:rsid w:val="009A1EA2"/>
    <w:rsid w:val="009A209E"/>
    <w:rsid w:val="009A3FD7"/>
    <w:rsid w:val="009A6652"/>
    <w:rsid w:val="009A74FD"/>
    <w:rsid w:val="009B25D8"/>
    <w:rsid w:val="009B42E3"/>
    <w:rsid w:val="009B5859"/>
    <w:rsid w:val="009C6D07"/>
    <w:rsid w:val="009C6ED0"/>
    <w:rsid w:val="009C7CEC"/>
    <w:rsid w:val="009D154D"/>
    <w:rsid w:val="009D18EF"/>
    <w:rsid w:val="009D3BE8"/>
    <w:rsid w:val="009D44E0"/>
    <w:rsid w:val="009D573B"/>
    <w:rsid w:val="009D59A0"/>
    <w:rsid w:val="009D5D70"/>
    <w:rsid w:val="009D716A"/>
    <w:rsid w:val="009E1AC4"/>
    <w:rsid w:val="009E20B8"/>
    <w:rsid w:val="009E29A0"/>
    <w:rsid w:val="009E41B5"/>
    <w:rsid w:val="009E55D7"/>
    <w:rsid w:val="009E627C"/>
    <w:rsid w:val="009F110B"/>
    <w:rsid w:val="009F1498"/>
    <w:rsid w:val="009F1E9F"/>
    <w:rsid w:val="009F3793"/>
    <w:rsid w:val="009F4F81"/>
    <w:rsid w:val="009F54F2"/>
    <w:rsid w:val="00A0056B"/>
    <w:rsid w:val="00A01657"/>
    <w:rsid w:val="00A01C65"/>
    <w:rsid w:val="00A0213D"/>
    <w:rsid w:val="00A04C73"/>
    <w:rsid w:val="00A0679A"/>
    <w:rsid w:val="00A07A2B"/>
    <w:rsid w:val="00A12375"/>
    <w:rsid w:val="00A125B8"/>
    <w:rsid w:val="00A13124"/>
    <w:rsid w:val="00A15370"/>
    <w:rsid w:val="00A156AB"/>
    <w:rsid w:val="00A16B8D"/>
    <w:rsid w:val="00A21293"/>
    <w:rsid w:val="00A2134B"/>
    <w:rsid w:val="00A21623"/>
    <w:rsid w:val="00A220EB"/>
    <w:rsid w:val="00A22302"/>
    <w:rsid w:val="00A25F1B"/>
    <w:rsid w:val="00A325F3"/>
    <w:rsid w:val="00A33103"/>
    <w:rsid w:val="00A33294"/>
    <w:rsid w:val="00A35DCB"/>
    <w:rsid w:val="00A3690E"/>
    <w:rsid w:val="00A37751"/>
    <w:rsid w:val="00A406B1"/>
    <w:rsid w:val="00A4113E"/>
    <w:rsid w:val="00A42435"/>
    <w:rsid w:val="00A438BA"/>
    <w:rsid w:val="00A43B21"/>
    <w:rsid w:val="00A446FD"/>
    <w:rsid w:val="00A46F46"/>
    <w:rsid w:val="00A52CB6"/>
    <w:rsid w:val="00A52F99"/>
    <w:rsid w:val="00A538BB"/>
    <w:rsid w:val="00A54164"/>
    <w:rsid w:val="00A56737"/>
    <w:rsid w:val="00A60002"/>
    <w:rsid w:val="00A603D8"/>
    <w:rsid w:val="00A60AE2"/>
    <w:rsid w:val="00A61834"/>
    <w:rsid w:val="00A618B0"/>
    <w:rsid w:val="00A62790"/>
    <w:rsid w:val="00A6291F"/>
    <w:rsid w:val="00A63F53"/>
    <w:rsid w:val="00A7111E"/>
    <w:rsid w:val="00A755B6"/>
    <w:rsid w:val="00A75B1A"/>
    <w:rsid w:val="00A75CD8"/>
    <w:rsid w:val="00A80ED4"/>
    <w:rsid w:val="00A816C4"/>
    <w:rsid w:val="00A82981"/>
    <w:rsid w:val="00A86F10"/>
    <w:rsid w:val="00A87AF2"/>
    <w:rsid w:val="00A90B23"/>
    <w:rsid w:val="00A93193"/>
    <w:rsid w:val="00A93C2B"/>
    <w:rsid w:val="00A94556"/>
    <w:rsid w:val="00A974CB"/>
    <w:rsid w:val="00AA1EAC"/>
    <w:rsid w:val="00AA45E2"/>
    <w:rsid w:val="00AA7AC1"/>
    <w:rsid w:val="00AB6327"/>
    <w:rsid w:val="00AB6B8F"/>
    <w:rsid w:val="00AC0C65"/>
    <w:rsid w:val="00AC0FB2"/>
    <w:rsid w:val="00AC3721"/>
    <w:rsid w:val="00AC41C6"/>
    <w:rsid w:val="00AC70C7"/>
    <w:rsid w:val="00AC76B7"/>
    <w:rsid w:val="00AD0223"/>
    <w:rsid w:val="00AD123A"/>
    <w:rsid w:val="00AD15FF"/>
    <w:rsid w:val="00AD1AA5"/>
    <w:rsid w:val="00AD2920"/>
    <w:rsid w:val="00AD2CD5"/>
    <w:rsid w:val="00AD2DFC"/>
    <w:rsid w:val="00AD38C4"/>
    <w:rsid w:val="00AD5A4A"/>
    <w:rsid w:val="00AD60EE"/>
    <w:rsid w:val="00AD6A2B"/>
    <w:rsid w:val="00AD73D4"/>
    <w:rsid w:val="00AE1EA2"/>
    <w:rsid w:val="00AE2874"/>
    <w:rsid w:val="00AE2BA2"/>
    <w:rsid w:val="00AE2F98"/>
    <w:rsid w:val="00AE3602"/>
    <w:rsid w:val="00AE5342"/>
    <w:rsid w:val="00AE5987"/>
    <w:rsid w:val="00AE6472"/>
    <w:rsid w:val="00AF1345"/>
    <w:rsid w:val="00AF38A8"/>
    <w:rsid w:val="00AF63EB"/>
    <w:rsid w:val="00B016D2"/>
    <w:rsid w:val="00B018EC"/>
    <w:rsid w:val="00B060C7"/>
    <w:rsid w:val="00B11AB7"/>
    <w:rsid w:val="00B12213"/>
    <w:rsid w:val="00B13710"/>
    <w:rsid w:val="00B22881"/>
    <w:rsid w:val="00B23EFC"/>
    <w:rsid w:val="00B24B72"/>
    <w:rsid w:val="00B25DB8"/>
    <w:rsid w:val="00B2656C"/>
    <w:rsid w:val="00B266E6"/>
    <w:rsid w:val="00B3094D"/>
    <w:rsid w:val="00B30B04"/>
    <w:rsid w:val="00B311BC"/>
    <w:rsid w:val="00B31810"/>
    <w:rsid w:val="00B31C10"/>
    <w:rsid w:val="00B3446D"/>
    <w:rsid w:val="00B34652"/>
    <w:rsid w:val="00B34F89"/>
    <w:rsid w:val="00B358C8"/>
    <w:rsid w:val="00B36185"/>
    <w:rsid w:val="00B3662F"/>
    <w:rsid w:val="00B373CD"/>
    <w:rsid w:val="00B377C8"/>
    <w:rsid w:val="00B400B8"/>
    <w:rsid w:val="00B404DE"/>
    <w:rsid w:val="00B40765"/>
    <w:rsid w:val="00B4232D"/>
    <w:rsid w:val="00B42682"/>
    <w:rsid w:val="00B43065"/>
    <w:rsid w:val="00B44784"/>
    <w:rsid w:val="00B449D0"/>
    <w:rsid w:val="00B456AB"/>
    <w:rsid w:val="00B46C2A"/>
    <w:rsid w:val="00B47E8B"/>
    <w:rsid w:val="00B51C67"/>
    <w:rsid w:val="00B53F86"/>
    <w:rsid w:val="00B53FDC"/>
    <w:rsid w:val="00B55431"/>
    <w:rsid w:val="00B55CAE"/>
    <w:rsid w:val="00B576C6"/>
    <w:rsid w:val="00B615F2"/>
    <w:rsid w:val="00B61A28"/>
    <w:rsid w:val="00B65C6D"/>
    <w:rsid w:val="00B66B06"/>
    <w:rsid w:val="00B67862"/>
    <w:rsid w:val="00B70634"/>
    <w:rsid w:val="00B70BE4"/>
    <w:rsid w:val="00B73880"/>
    <w:rsid w:val="00B73CF1"/>
    <w:rsid w:val="00B745B3"/>
    <w:rsid w:val="00B7543A"/>
    <w:rsid w:val="00B7599D"/>
    <w:rsid w:val="00B7648F"/>
    <w:rsid w:val="00B76E13"/>
    <w:rsid w:val="00B771EE"/>
    <w:rsid w:val="00B7765B"/>
    <w:rsid w:val="00B77B4B"/>
    <w:rsid w:val="00B80ABC"/>
    <w:rsid w:val="00B814C2"/>
    <w:rsid w:val="00B900FE"/>
    <w:rsid w:val="00B9064C"/>
    <w:rsid w:val="00BA0A14"/>
    <w:rsid w:val="00BA228D"/>
    <w:rsid w:val="00BA398D"/>
    <w:rsid w:val="00BA39D3"/>
    <w:rsid w:val="00BA5C56"/>
    <w:rsid w:val="00BA776F"/>
    <w:rsid w:val="00BB0C0D"/>
    <w:rsid w:val="00BB0D69"/>
    <w:rsid w:val="00BB0E1E"/>
    <w:rsid w:val="00BB366E"/>
    <w:rsid w:val="00BB3AF0"/>
    <w:rsid w:val="00BB4F70"/>
    <w:rsid w:val="00BB67FF"/>
    <w:rsid w:val="00BC11B9"/>
    <w:rsid w:val="00BC138C"/>
    <w:rsid w:val="00BC14CF"/>
    <w:rsid w:val="00BC1659"/>
    <w:rsid w:val="00BC2C91"/>
    <w:rsid w:val="00BC3A9C"/>
    <w:rsid w:val="00BC5288"/>
    <w:rsid w:val="00BC6A71"/>
    <w:rsid w:val="00BC6B2F"/>
    <w:rsid w:val="00BD0637"/>
    <w:rsid w:val="00BD08A8"/>
    <w:rsid w:val="00BD1BAC"/>
    <w:rsid w:val="00BD1FA8"/>
    <w:rsid w:val="00BD25A6"/>
    <w:rsid w:val="00BD4C95"/>
    <w:rsid w:val="00BD65FC"/>
    <w:rsid w:val="00BD7660"/>
    <w:rsid w:val="00BE0666"/>
    <w:rsid w:val="00BE24B9"/>
    <w:rsid w:val="00BE2AE8"/>
    <w:rsid w:val="00BE2D55"/>
    <w:rsid w:val="00BE38DD"/>
    <w:rsid w:val="00BE4AB1"/>
    <w:rsid w:val="00BF16C3"/>
    <w:rsid w:val="00BF38E0"/>
    <w:rsid w:val="00BF44FA"/>
    <w:rsid w:val="00BF57E1"/>
    <w:rsid w:val="00C003B4"/>
    <w:rsid w:val="00C00A5F"/>
    <w:rsid w:val="00C042E0"/>
    <w:rsid w:val="00C051D9"/>
    <w:rsid w:val="00C06333"/>
    <w:rsid w:val="00C06F68"/>
    <w:rsid w:val="00C075BA"/>
    <w:rsid w:val="00C10A3A"/>
    <w:rsid w:val="00C11E20"/>
    <w:rsid w:val="00C15D16"/>
    <w:rsid w:val="00C16659"/>
    <w:rsid w:val="00C20015"/>
    <w:rsid w:val="00C23D99"/>
    <w:rsid w:val="00C247DD"/>
    <w:rsid w:val="00C25B43"/>
    <w:rsid w:val="00C26A54"/>
    <w:rsid w:val="00C3261C"/>
    <w:rsid w:val="00C3318B"/>
    <w:rsid w:val="00C33C20"/>
    <w:rsid w:val="00C35362"/>
    <w:rsid w:val="00C357EA"/>
    <w:rsid w:val="00C379F8"/>
    <w:rsid w:val="00C37A1C"/>
    <w:rsid w:val="00C413A1"/>
    <w:rsid w:val="00C42323"/>
    <w:rsid w:val="00C4316E"/>
    <w:rsid w:val="00C453A9"/>
    <w:rsid w:val="00C465D5"/>
    <w:rsid w:val="00C4708C"/>
    <w:rsid w:val="00C4756A"/>
    <w:rsid w:val="00C47C39"/>
    <w:rsid w:val="00C50649"/>
    <w:rsid w:val="00C50E1F"/>
    <w:rsid w:val="00C51C09"/>
    <w:rsid w:val="00C52BB6"/>
    <w:rsid w:val="00C53471"/>
    <w:rsid w:val="00C55143"/>
    <w:rsid w:val="00C5611B"/>
    <w:rsid w:val="00C5695E"/>
    <w:rsid w:val="00C61528"/>
    <w:rsid w:val="00C63457"/>
    <w:rsid w:val="00C64964"/>
    <w:rsid w:val="00C6631E"/>
    <w:rsid w:val="00C67473"/>
    <w:rsid w:val="00C67AA4"/>
    <w:rsid w:val="00C7148C"/>
    <w:rsid w:val="00C72192"/>
    <w:rsid w:val="00C732E5"/>
    <w:rsid w:val="00C73D0B"/>
    <w:rsid w:val="00C75017"/>
    <w:rsid w:val="00C765B4"/>
    <w:rsid w:val="00C813EA"/>
    <w:rsid w:val="00C81496"/>
    <w:rsid w:val="00C82CE6"/>
    <w:rsid w:val="00C82E22"/>
    <w:rsid w:val="00C85144"/>
    <w:rsid w:val="00C86738"/>
    <w:rsid w:val="00C86A27"/>
    <w:rsid w:val="00C91517"/>
    <w:rsid w:val="00C929BD"/>
    <w:rsid w:val="00C931A2"/>
    <w:rsid w:val="00CA02E1"/>
    <w:rsid w:val="00CA15DA"/>
    <w:rsid w:val="00CA224E"/>
    <w:rsid w:val="00CA41C5"/>
    <w:rsid w:val="00CA42B7"/>
    <w:rsid w:val="00CA4A53"/>
    <w:rsid w:val="00CA51F5"/>
    <w:rsid w:val="00CB218A"/>
    <w:rsid w:val="00CB225A"/>
    <w:rsid w:val="00CB69E6"/>
    <w:rsid w:val="00CB761B"/>
    <w:rsid w:val="00CB7E33"/>
    <w:rsid w:val="00CC13DF"/>
    <w:rsid w:val="00CC1EEE"/>
    <w:rsid w:val="00CC562B"/>
    <w:rsid w:val="00CC6C15"/>
    <w:rsid w:val="00CC7FCF"/>
    <w:rsid w:val="00CD2749"/>
    <w:rsid w:val="00CD2A60"/>
    <w:rsid w:val="00CD306F"/>
    <w:rsid w:val="00CD3971"/>
    <w:rsid w:val="00CD3DAB"/>
    <w:rsid w:val="00CE0DF1"/>
    <w:rsid w:val="00CE3786"/>
    <w:rsid w:val="00CE4027"/>
    <w:rsid w:val="00CE47CC"/>
    <w:rsid w:val="00CE68F6"/>
    <w:rsid w:val="00CE7E27"/>
    <w:rsid w:val="00CF22AC"/>
    <w:rsid w:val="00CF2F0A"/>
    <w:rsid w:val="00CF79E8"/>
    <w:rsid w:val="00D015AA"/>
    <w:rsid w:val="00D021B8"/>
    <w:rsid w:val="00D03D90"/>
    <w:rsid w:val="00D04024"/>
    <w:rsid w:val="00D043EB"/>
    <w:rsid w:val="00D06705"/>
    <w:rsid w:val="00D06A9B"/>
    <w:rsid w:val="00D06AD3"/>
    <w:rsid w:val="00D0750D"/>
    <w:rsid w:val="00D07DD8"/>
    <w:rsid w:val="00D1038F"/>
    <w:rsid w:val="00D10BF7"/>
    <w:rsid w:val="00D10FEB"/>
    <w:rsid w:val="00D136F5"/>
    <w:rsid w:val="00D140A0"/>
    <w:rsid w:val="00D159C9"/>
    <w:rsid w:val="00D203D1"/>
    <w:rsid w:val="00D2057A"/>
    <w:rsid w:val="00D21D98"/>
    <w:rsid w:val="00D2317F"/>
    <w:rsid w:val="00D231A9"/>
    <w:rsid w:val="00D24391"/>
    <w:rsid w:val="00D2472B"/>
    <w:rsid w:val="00D24835"/>
    <w:rsid w:val="00D253DD"/>
    <w:rsid w:val="00D26FFA"/>
    <w:rsid w:val="00D3215D"/>
    <w:rsid w:val="00D33352"/>
    <w:rsid w:val="00D347D9"/>
    <w:rsid w:val="00D35565"/>
    <w:rsid w:val="00D36A19"/>
    <w:rsid w:val="00D40DCF"/>
    <w:rsid w:val="00D41075"/>
    <w:rsid w:val="00D41C76"/>
    <w:rsid w:val="00D41DD8"/>
    <w:rsid w:val="00D4222C"/>
    <w:rsid w:val="00D425CE"/>
    <w:rsid w:val="00D42F40"/>
    <w:rsid w:val="00D4396C"/>
    <w:rsid w:val="00D4446F"/>
    <w:rsid w:val="00D44B55"/>
    <w:rsid w:val="00D45490"/>
    <w:rsid w:val="00D457B8"/>
    <w:rsid w:val="00D457E1"/>
    <w:rsid w:val="00D47BEB"/>
    <w:rsid w:val="00D50487"/>
    <w:rsid w:val="00D50563"/>
    <w:rsid w:val="00D50F50"/>
    <w:rsid w:val="00D5235F"/>
    <w:rsid w:val="00D52F50"/>
    <w:rsid w:val="00D55A98"/>
    <w:rsid w:val="00D56B49"/>
    <w:rsid w:val="00D6053F"/>
    <w:rsid w:val="00D6073D"/>
    <w:rsid w:val="00D618D6"/>
    <w:rsid w:val="00D62426"/>
    <w:rsid w:val="00D62804"/>
    <w:rsid w:val="00D70F55"/>
    <w:rsid w:val="00D70FA5"/>
    <w:rsid w:val="00D74171"/>
    <w:rsid w:val="00D7474C"/>
    <w:rsid w:val="00D8032C"/>
    <w:rsid w:val="00D80CE2"/>
    <w:rsid w:val="00D83080"/>
    <w:rsid w:val="00D83E66"/>
    <w:rsid w:val="00D84D5F"/>
    <w:rsid w:val="00D851E2"/>
    <w:rsid w:val="00D87FFA"/>
    <w:rsid w:val="00D91419"/>
    <w:rsid w:val="00D92A09"/>
    <w:rsid w:val="00D92D2A"/>
    <w:rsid w:val="00D92EEC"/>
    <w:rsid w:val="00D93470"/>
    <w:rsid w:val="00D9395F"/>
    <w:rsid w:val="00D93D55"/>
    <w:rsid w:val="00D941FA"/>
    <w:rsid w:val="00D94B59"/>
    <w:rsid w:val="00D95315"/>
    <w:rsid w:val="00D95EAB"/>
    <w:rsid w:val="00DA0B39"/>
    <w:rsid w:val="00DA1203"/>
    <w:rsid w:val="00DA2316"/>
    <w:rsid w:val="00DA25E0"/>
    <w:rsid w:val="00DA2700"/>
    <w:rsid w:val="00DA3001"/>
    <w:rsid w:val="00DA3C5D"/>
    <w:rsid w:val="00DA3EFF"/>
    <w:rsid w:val="00DA7769"/>
    <w:rsid w:val="00DB08C6"/>
    <w:rsid w:val="00DB1BC2"/>
    <w:rsid w:val="00DB1CBB"/>
    <w:rsid w:val="00DB31ED"/>
    <w:rsid w:val="00DB4124"/>
    <w:rsid w:val="00DB4511"/>
    <w:rsid w:val="00DB4F0C"/>
    <w:rsid w:val="00DC0176"/>
    <w:rsid w:val="00DC043F"/>
    <w:rsid w:val="00DC093E"/>
    <w:rsid w:val="00DC0E29"/>
    <w:rsid w:val="00DC0E7A"/>
    <w:rsid w:val="00DC2A65"/>
    <w:rsid w:val="00DC2A86"/>
    <w:rsid w:val="00DC3631"/>
    <w:rsid w:val="00DC37F7"/>
    <w:rsid w:val="00DC6F54"/>
    <w:rsid w:val="00DD0C00"/>
    <w:rsid w:val="00DD0F8C"/>
    <w:rsid w:val="00DD116C"/>
    <w:rsid w:val="00DD23D5"/>
    <w:rsid w:val="00DD2AF1"/>
    <w:rsid w:val="00DD46DA"/>
    <w:rsid w:val="00DD6072"/>
    <w:rsid w:val="00DD62BE"/>
    <w:rsid w:val="00DD77D9"/>
    <w:rsid w:val="00DD7CA4"/>
    <w:rsid w:val="00DE167C"/>
    <w:rsid w:val="00DE3B70"/>
    <w:rsid w:val="00DE5813"/>
    <w:rsid w:val="00DE7F8A"/>
    <w:rsid w:val="00DF10B1"/>
    <w:rsid w:val="00DF1FDA"/>
    <w:rsid w:val="00DF3DD0"/>
    <w:rsid w:val="00DF4D50"/>
    <w:rsid w:val="00DF4E5E"/>
    <w:rsid w:val="00DF538C"/>
    <w:rsid w:val="00E021C2"/>
    <w:rsid w:val="00E024A3"/>
    <w:rsid w:val="00E0423D"/>
    <w:rsid w:val="00E057B5"/>
    <w:rsid w:val="00E0581E"/>
    <w:rsid w:val="00E079C5"/>
    <w:rsid w:val="00E07CBD"/>
    <w:rsid w:val="00E07F56"/>
    <w:rsid w:val="00E10A16"/>
    <w:rsid w:val="00E1112F"/>
    <w:rsid w:val="00E1318F"/>
    <w:rsid w:val="00E13B3B"/>
    <w:rsid w:val="00E13E29"/>
    <w:rsid w:val="00E16857"/>
    <w:rsid w:val="00E16C3A"/>
    <w:rsid w:val="00E20651"/>
    <w:rsid w:val="00E2107C"/>
    <w:rsid w:val="00E21E70"/>
    <w:rsid w:val="00E224DE"/>
    <w:rsid w:val="00E23DCE"/>
    <w:rsid w:val="00E26363"/>
    <w:rsid w:val="00E272A4"/>
    <w:rsid w:val="00E305F9"/>
    <w:rsid w:val="00E306AC"/>
    <w:rsid w:val="00E34446"/>
    <w:rsid w:val="00E3633B"/>
    <w:rsid w:val="00E36870"/>
    <w:rsid w:val="00E374E1"/>
    <w:rsid w:val="00E417AB"/>
    <w:rsid w:val="00E42283"/>
    <w:rsid w:val="00E43D48"/>
    <w:rsid w:val="00E4542D"/>
    <w:rsid w:val="00E45BE0"/>
    <w:rsid w:val="00E46CAD"/>
    <w:rsid w:val="00E47521"/>
    <w:rsid w:val="00E4760C"/>
    <w:rsid w:val="00E507A6"/>
    <w:rsid w:val="00E5375C"/>
    <w:rsid w:val="00E561AD"/>
    <w:rsid w:val="00E57FAF"/>
    <w:rsid w:val="00E60BA9"/>
    <w:rsid w:val="00E63510"/>
    <w:rsid w:val="00E635EA"/>
    <w:rsid w:val="00E655E5"/>
    <w:rsid w:val="00E65F4E"/>
    <w:rsid w:val="00E662E0"/>
    <w:rsid w:val="00E67D5D"/>
    <w:rsid w:val="00E71C7A"/>
    <w:rsid w:val="00E73119"/>
    <w:rsid w:val="00E73E1E"/>
    <w:rsid w:val="00E749D2"/>
    <w:rsid w:val="00E767FF"/>
    <w:rsid w:val="00E84C91"/>
    <w:rsid w:val="00E84E60"/>
    <w:rsid w:val="00E8556E"/>
    <w:rsid w:val="00E86B2D"/>
    <w:rsid w:val="00E86F4D"/>
    <w:rsid w:val="00E87D08"/>
    <w:rsid w:val="00E90D0E"/>
    <w:rsid w:val="00E91B2D"/>
    <w:rsid w:val="00E92FCA"/>
    <w:rsid w:val="00E95CAA"/>
    <w:rsid w:val="00EA0A39"/>
    <w:rsid w:val="00EA0EB2"/>
    <w:rsid w:val="00EA236F"/>
    <w:rsid w:val="00EA3023"/>
    <w:rsid w:val="00EA3E49"/>
    <w:rsid w:val="00EA3FC8"/>
    <w:rsid w:val="00EA5B8C"/>
    <w:rsid w:val="00EB0DC9"/>
    <w:rsid w:val="00EB1383"/>
    <w:rsid w:val="00EB252D"/>
    <w:rsid w:val="00EB29FA"/>
    <w:rsid w:val="00EB2CCE"/>
    <w:rsid w:val="00EB385F"/>
    <w:rsid w:val="00EB3E49"/>
    <w:rsid w:val="00EB5FC3"/>
    <w:rsid w:val="00EB6DA9"/>
    <w:rsid w:val="00EC1561"/>
    <w:rsid w:val="00EC462E"/>
    <w:rsid w:val="00EC6CD8"/>
    <w:rsid w:val="00EC786F"/>
    <w:rsid w:val="00ED1866"/>
    <w:rsid w:val="00ED3134"/>
    <w:rsid w:val="00ED38E2"/>
    <w:rsid w:val="00ED5C44"/>
    <w:rsid w:val="00ED635B"/>
    <w:rsid w:val="00EE742D"/>
    <w:rsid w:val="00EF0A22"/>
    <w:rsid w:val="00EF1267"/>
    <w:rsid w:val="00EF180C"/>
    <w:rsid w:val="00EF3B6B"/>
    <w:rsid w:val="00EF4B43"/>
    <w:rsid w:val="00EF6750"/>
    <w:rsid w:val="00EF770B"/>
    <w:rsid w:val="00F02836"/>
    <w:rsid w:val="00F02FB5"/>
    <w:rsid w:val="00F0319D"/>
    <w:rsid w:val="00F0534E"/>
    <w:rsid w:val="00F05C30"/>
    <w:rsid w:val="00F10F1B"/>
    <w:rsid w:val="00F14179"/>
    <w:rsid w:val="00F15786"/>
    <w:rsid w:val="00F167C5"/>
    <w:rsid w:val="00F17A98"/>
    <w:rsid w:val="00F20B5A"/>
    <w:rsid w:val="00F21F0B"/>
    <w:rsid w:val="00F236AB"/>
    <w:rsid w:val="00F24EA4"/>
    <w:rsid w:val="00F27087"/>
    <w:rsid w:val="00F2773C"/>
    <w:rsid w:val="00F300B3"/>
    <w:rsid w:val="00F30DB9"/>
    <w:rsid w:val="00F30FB8"/>
    <w:rsid w:val="00F31D68"/>
    <w:rsid w:val="00F33152"/>
    <w:rsid w:val="00F338F2"/>
    <w:rsid w:val="00F349D3"/>
    <w:rsid w:val="00F3533E"/>
    <w:rsid w:val="00F35B84"/>
    <w:rsid w:val="00F402B5"/>
    <w:rsid w:val="00F4072F"/>
    <w:rsid w:val="00F42839"/>
    <w:rsid w:val="00F44CC0"/>
    <w:rsid w:val="00F450BA"/>
    <w:rsid w:val="00F4684B"/>
    <w:rsid w:val="00F46BE9"/>
    <w:rsid w:val="00F47C3B"/>
    <w:rsid w:val="00F506CA"/>
    <w:rsid w:val="00F53A7A"/>
    <w:rsid w:val="00F54FCD"/>
    <w:rsid w:val="00F5785C"/>
    <w:rsid w:val="00F65E3C"/>
    <w:rsid w:val="00F67076"/>
    <w:rsid w:val="00F677FA"/>
    <w:rsid w:val="00F7115A"/>
    <w:rsid w:val="00F717AA"/>
    <w:rsid w:val="00F72714"/>
    <w:rsid w:val="00F744C3"/>
    <w:rsid w:val="00F75EE2"/>
    <w:rsid w:val="00F75F69"/>
    <w:rsid w:val="00F76014"/>
    <w:rsid w:val="00F802D3"/>
    <w:rsid w:val="00F80F94"/>
    <w:rsid w:val="00F81BA2"/>
    <w:rsid w:val="00F823A4"/>
    <w:rsid w:val="00F8412F"/>
    <w:rsid w:val="00F84791"/>
    <w:rsid w:val="00F85995"/>
    <w:rsid w:val="00F85FC5"/>
    <w:rsid w:val="00F86C22"/>
    <w:rsid w:val="00F90CB3"/>
    <w:rsid w:val="00F912A2"/>
    <w:rsid w:val="00F913A3"/>
    <w:rsid w:val="00F925C3"/>
    <w:rsid w:val="00FA0109"/>
    <w:rsid w:val="00FA458B"/>
    <w:rsid w:val="00FA5EC5"/>
    <w:rsid w:val="00FA7016"/>
    <w:rsid w:val="00FA7174"/>
    <w:rsid w:val="00FA793D"/>
    <w:rsid w:val="00FB020E"/>
    <w:rsid w:val="00FB0F17"/>
    <w:rsid w:val="00FB4B9D"/>
    <w:rsid w:val="00FB50ED"/>
    <w:rsid w:val="00FB6E18"/>
    <w:rsid w:val="00FC144B"/>
    <w:rsid w:val="00FC2169"/>
    <w:rsid w:val="00FC28E2"/>
    <w:rsid w:val="00FC3BF6"/>
    <w:rsid w:val="00FC3D22"/>
    <w:rsid w:val="00FC6FE1"/>
    <w:rsid w:val="00FD0C3D"/>
    <w:rsid w:val="00FD2F6B"/>
    <w:rsid w:val="00FE064A"/>
    <w:rsid w:val="00FE0B55"/>
    <w:rsid w:val="00FE1E98"/>
    <w:rsid w:val="00FE2452"/>
    <w:rsid w:val="00FE5469"/>
    <w:rsid w:val="00FE66C2"/>
    <w:rsid w:val="00FE684A"/>
    <w:rsid w:val="00FE6F23"/>
    <w:rsid w:val="00FF0F8C"/>
    <w:rsid w:val="00FF408B"/>
    <w:rsid w:val="00FF43E1"/>
    <w:rsid w:val="01172A03"/>
    <w:rsid w:val="01BB3CD7"/>
    <w:rsid w:val="03430854"/>
    <w:rsid w:val="039F5FA6"/>
    <w:rsid w:val="05C72732"/>
    <w:rsid w:val="073562D9"/>
    <w:rsid w:val="09305ADA"/>
    <w:rsid w:val="0AEF4D54"/>
    <w:rsid w:val="0C0A1AE2"/>
    <w:rsid w:val="0E3E23E1"/>
    <w:rsid w:val="0E8013B7"/>
    <w:rsid w:val="0ED636D6"/>
    <w:rsid w:val="0F503CB0"/>
    <w:rsid w:val="105D7A14"/>
    <w:rsid w:val="10D604C6"/>
    <w:rsid w:val="11B515E0"/>
    <w:rsid w:val="139F7DC9"/>
    <w:rsid w:val="13A50343"/>
    <w:rsid w:val="13A53267"/>
    <w:rsid w:val="13F970D2"/>
    <w:rsid w:val="14AA4136"/>
    <w:rsid w:val="161D5FB0"/>
    <w:rsid w:val="163A420B"/>
    <w:rsid w:val="17312619"/>
    <w:rsid w:val="18185587"/>
    <w:rsid w:val="19413B26"/>
    <w:rsid w:val="1A0C111B"/>
    <w:rsid w:val="1AB10FBD"/>
    <w:rsid w:val="1B6D1746"/>
    <w:rsid w:val="1C6D3688"/>
    <w:rsid w:val="1C974DF7"/>
    <w:rsid w:val="1CC63D0A"/>
    <w:rsid w:val="1DC2081A"/>
    <w:rsid w:val="1DD94266"/>
    <w:rsid w:val="1DFF9915"/>
    <w:rsid w:val="1E694075"/>
    <w:rsid w:val="1ED33FB6"/>
    <w:rsid w:val="1EDC730E"/>
    <w:rsid w:val="1EF1268E"/>
    <w:rsid w:val="1EF19C63"/>
    <w:rsid w:val="1F674C61"/>
    <w:rsid w:val="1F97CEEC"/>
    <w:rsid w:val="1F9D0947"/>
    <w:rsid w:val="1FDE7891"/>
    <w:rsid w:val="1FFB29C6"/>
    <w:rsid w:val="1FFB9881"/>
    <w:rsid w:val="22AF3620"/>
    <w:rsid w:val="22E70AD4"/>
    <w:rsid w:val="24DE36B4"/>
    <w:rsid w:val="24F1508D"/>
    <w:rsid w:val="257DE596"/>
    <w:rsid w:val="25CE197B"/>
    <w:rsid w:val="2624159B"/>
    <w:rsid w:val="266F634F"/>
    <w:rsid w:val="26802C75"/>
    <w:rsid w:val="27B30E28"/>
    <w:rsid w:val="291059EA"/>
    <w:rsid w:val="29E74DB9"/>
    <w:rsid w:val="29F55728"/>
    <w:rsid w:val="2A5561C7"/>
    <w:rsid w:val="2B312790"/>
    <w:rsid w:val="2BBF12EC"/>
    <w:rsid w:val="2BC649D9"/>
    <w:rsid w:val="2C146DB9"/>
    <w:rsid w:val="2C4E7372"/>
    <w:rsid w:val="2CCA2E9C"/>
    <w:rsid w:val="2CDADFDC"/>
    <w:rsid w:val="2D102879"/>
    <w:rsid w:val="2EB23BE8"/>
    <w:rsid w:val="2FBFC7AA"/>
    <w:rsid w:val="2FD452A6"/>
    <w:rsid w:val="3036471D"/>
    <w:rsid w:val="30F06C49"/>
    <w:rsid w:val="33A04292"/>
    <w:rsid w:val="33BA9CA9"/>
    <w:rsid w:val="3515160D"/>
    <w:rsid w:val="36FD8EDF"/>
    <w:rsid w:val="374E46CA"/>
    <w:rsid w:val="37BFC128"/>
    <w:rsid w:val="37FBD47F"/>
    <w:rsid w:val="37FFCC0D"/>
    <w:rsid w:val="389B393F"/>
    <w:rsid w:val="39EFEA9E"/>
    <w:rsid w:val="3AFBB1B0"/>
    <w:rsid w:val="3B1672AC"/>
    <w:rsid w:val="3B253993"/>
    <w:rsid w:val="3B3C5167"/>
    <w:rsid w:val="3BFFD875"/>
    <w:rsid w:val="3C7D00D8"/>
    <w:rsid w:val="3CA06C0C"/>
    <w:rsid w:val="3DFE70B2"/>
    <w:rsid w:val="3E2D5039"/>
    <w:rsid w:val="3E96EE39"/>
    <w:rsid w:val="3EA25851"/>
    <w:rsid w:val="3EEF47A1"/>
    <w:rsid w:val="3EF75A6F"/>
    <w:rsid w:val="3F6C3757"/>
    <w:rsid w:val="3FB502F3"/>
    <w:rsid w:val="3FDDAFC0"/>
    <w:rsid w:val="3FDF4A2E"/>
    <w:rsid w:val="3FDFDECC"/>
    <w:rsid w:val="3FEB0AF0"/>
    <w:rsid w:val="3FEB1290"/>
    <w:rsid w:val="3FEFDF00"/>
    <w:rsid w:val="3FFB3A7D"/>
    <w:rsid w:val="405D6A10"/>
    <w:rsid w:val="40B57568"/>
    <w:rsid w:val="41DA6594"/>
    <w:rsid w:val="421A58D4"/>
    <w:rsid w:val="444C1A75"/>
    <w:rsid w:val="44A3526F"/>
    <w:rsid w:val="44B032F4"/>
    <w:rsid w:val="457D25F7"/>
    <w:rsid w:val="468341CD"/>
    <w:rsid w:val="47060B1D"/>
    <w:rsid w:val="471E7C15"/>
    <w:rsid w:val="472C2589"/>
    <w:rsid w:val="48AE1552"/>
    <w:rsid w:val="498126DD"/>
    <w:rsid w:val="4A6F69D9"/>
    <w:rsid w:val="4A760AEB"/>
    <w:rsid w:val="4A791606"/>
    <w:rsid w:val="4ABE526B"/>
    <w:rsid w:val="4AC705C3"/>
    <w:rsid w:val="4AE42F23"/>
    <w:rsid w:val="4AF9A941"/>
    <w:rsid w:val="4B3528AF"/>
    <w:rsid w:val="4B726781"/>
    <w:rsid w:val="4BB7C0C1"/>
    <w:rsid w:val="4D153868"/>
    <w:rsid w:val="4DB50BA7"/>
    <w:rsid w:val="4E791834"/>
    <w:rsid w:val="4F3162CA"/>
    <w:rsid w:val="4FFB8266"/>
    <w:rsid w:val="50C03AEB"/>
    <w:rsid w:val="50D95873"/>
    <w:rsid w:val="51316796"/>
    <w:rsid w:val="51E72AE7"/>
    <w:rsid w:val="52285DEB"/>
    <w:rsid w:val="526102AF"/>
    <w:rsid w:val="528444DA"/>
    <w:rsid w:val="533B1B4E"/>
    <w:rsid w:val="537745D5"/>
    <w:rsid w:val="54B41BB8"/>
    <w:rsid w:val="552306F6"/>
    <w:rsid w:val="55EB1191"/>
    <w:rsid w:val="55F10BEA"/>
    <w:rsid w:val="55F70E88"/>
    <w:rsid w:val="567FA161"/>
    <w:rsid w:val="56E352D5"/>
    <w:rsid w:val="56E6B7AB"/>
    <w:rsid w:val="56EBA137"/>
    <w:rsid w:val="577C44E3"/>
    <w:rsid w:val="57E435FE"/>
    <w:rsid w:val="58207565"/>
    <w:rsid w:val="582D0655"/>
    <w:rsid w:val="58845D45"/>
    <w:rsid w:val="5951205C"/>
    <w:rsid w:val="59D079E8"/>
    <w:rsid w:val="59D40847"/>
    <w:rsid w:val="5AE37F25"/>
    <w:rsid w:val="5AE56E32"/>
    <w:rsid w:val="5AFD4537"/>
    <w:rsid w:val="5AFE86C8"/>
    <w:rsid w:val="5CB23D47"/>
    <w:rsid w:val="5CFFCCBA"/>
    <w:rsid w:val="5ED70319"/>
    <w:rsid w:val="5EFF48C9"/>
    <w:rsid w:val="5F6E0B73"/>
    <w:rsid w:val="5F774FEA"/>
    <w:rsid w:val="5F9FFAA2"/>
    <w:rsid w:val="5FAA6092"/>
    <w:rsid w:val="5FAF09C4"/>
    <w:rsid w:val="5FFDCA21"/>
    <w:rsid w:val="608C4642"/>
    <w:rsid w:val="608E7761"/>
    <w:rsid w:val="61B76420"/>
    <w:rsid w:val="61E84C4F"/>
    <w:rsid w:val="62795572"/>
    <w:rsid w:val="64B42EE2"/>
    <w:rsid w:val="64DD6417"/>
    <w:rsid w:val="65C14135"/>
    <w:rsid w:val="65DF280D"/>
    <w:rsid w:val="65FBAFE4"/>
    <w:rsid w:val="66004745"/>
    <w:rsid w:val="66BBDACB"/>
    <w:rsid w:val="69BB70ED"/>
    <w:rsid w:val="6A567F20"/>
    <w:rsid w:val="6AF6CC14"/>
    <w:rsid w:val="6B526F2D"/>
    <w:rsid w:val="6B685053"/>
    <w:rsid w:val="6B8F0831"/>
    <w:rsid w:val="6C8E2F5A"/>
    <w:rsid w:val="6CD97953"/>
    <w:rsid w:val="6CE72FE5"/>
    <w:rsid w:val="6CEA7316"/>
    <w:rsid w:val="6D7FB7AA"/>
    <w:rsid w:val="6DA02882"/>
    <w:rsid w:val="6ED30FD7"/>
    <w:rsid w:val="6EEA7AB8"/>
    <w:rsid w:val="6F1F6B55"/>
    <w:rsid w:val="6F3F25D6"/>
    <w:rsid w:val="6FE9E64F"/>
    <w:rsid w:val="6FFC4ABF"/>
    <w:rsid w:val="6FFD71E8"/>
    <w:rsid w:val="720026BA"/>
    <w:rsid w:val="727663A2"/>
    <w:rsid w:val="727D78FD"/>
    <w:rsid w:val="728F70E8"/>
    <w:rsid w:val="72FD2162"/>
    <w:rsid w:val="739FCFB1"/>
    <w:rsid w:val="73CB2D80"/>
    <w:rsid w:val="73CBC828"/>
    <w:rsid w:val="73CC655F"/>
    <w:rsid w:val="748C1DB2"/>
    <w:rsid w:val="74FF7FD3"/>
    <w:rsid w:val="75263A42"/>
    <w:rsid w:val="7537C790"/>
    <w:rsid w:val="753F619F"/>
    <w:rsid w:val="757FF770"/>
    <w:rsid w:val="75957445"/>
    <w:rsid w:val="75D01AE1"/>
    <w:rsid w:val="75E7D8DA"/>
    <w:rsid w:val="76805946"/>
    <w:rsid w:val="77524363"/>
    <w:rsid w:val="776E1C43"/>
    <w:rsid w:val="777F43E0"/>
    <w:rsid w:val="77B917B5"/>
    <w:rsid w:val="77CCC931"/>
    <w:rsid w:val="77F3FD75"/>
    <w:rsid w:val="78520C1D"/>
    <w:rsid w:val="78703975"/>
    <w:rsid w:val="796230E1"/>
    <w:rsid w:val="79BE8B1B"/>
    <w:rsid w:val="79FFCD65"/>
    <w:rsid w:val="7A7D515C"/>
    <w:rsid w:val="7A8FA163"/>
    <w:rsid w:val="7AFF5D6F"/>
    <w:rsid w:val="7AFF6A38"/>
    <w:rsid w:val="7BDA7103"/>
    <w:rsid w:val="7BE420FD"/>
    <w:rsid w:val="7BF727D9"/>
    <w:rsid w:val="7BF9ECFD"/>
    <w:rsid w:val="7BFB1618"/>
    <w:rsid w:val="7BFFF53C"/>
    <w:rsid w:val="7C772FD0"/>
    <w:rsid w:val="7D0D296B"/>
    <w:rsid w:val="7D3FC4E0"/>
    <w:rsid w:val="7D4E0B54"/>
    <w:rsid w:val="7D503E78"/>
    <w:rsid w:val="7D75BA22"/>
    <w:rsid w:val="7DBA792B"/>
    <w:rsid w:val="7DBD0180"/>
    <w:rsid w:val="7DF3BD03"/>
    <w:rsid w:val="7DF836B4"/>
    <w:rsid w:val="7E0160D4"/>
    <w:rsid w:val="7E1D1CCD"/>
    <w:rsid w:val="7E7DBC4E"/>
    <w:rsid w:val="7EAEA023"/>
    <w:rsid w:val="7EDC8423"/>
    <w:rsid w:val="7EFD4D47"/>
    <w:rsid w:val="7EFF15BE"/>
    <w:rsid w:val="7EFFAD11"/>
    <w:rsid w:val="7F3C1721"/>
    <w:rsid w:val="7F3F2AF7"/>
    <w:rsid w:val="7F57DA7F"/>
    <w:rsid w:val="7F660F20"/>
    <w:rsid w:val="7F6FCFC6"/>
    <w:rsid w:val="7F71C8E9"/>
    <w:rsid w:val="7F7742C0"/>
    <w:rsid w:val="7F7F0E20"/>
    <w:rsid w:val="7F9B261C"/>
    <w:rsid w:val="7FAD759F"/>
    <w:rsid w:val="7FB9BFA8"/>
    <w:rsid w:val="7FBA1765"/>
    <w:rsid w:val="7FBD82E2"/>
    <w:rsid w:val="7FBF8AB4"/>
    <w:rsid w:val="7FCFA611"/>
    <w:rsid w:val="7FDF4E1A"/>
    <w:rsid w:val="7FDF80DC"/>
    <w:rsid w:val="7FEC0E57"/>
    <w:rsid w:val="7FF76789"/>
    <w:rsid w:val="7FF9EE0A"/>
    <w:rsid w:val="7FFF004E"/>
    <w:rsid w:val="8EFFA269"/>
    <w:rsid w:val="8FD6B92B"/>
    <w:rsid w:val="96F9A285"/>
    <w:rsid w:val="9DF57FDF"/>
    <w:rsid w:val="9FBFE91F"/>
    <w:rsid w:val="9FCD59FF"/>
    <w:rsid w:val="9FF77D3A"/>
    <w:rsid w:val="9FFD4BC8"/>
    <w:rsid w:val="A37D6DF2"/>
    <w:rsid w:val="A5F57D73"/>
    <w:rsid w:val="A6FEA795"/>
    <w:rsid w:val="A7BE57C1"/>
    <w:rsid w:val="ABBF2BC9"/>
    <w:rsid w:val="AC3DEE65"/>
    <w:rsid w:val="AD99229D"/>
    <w:rsid w:val="AF7467E2"/>
    <w:rsid w:val="B0F9EA9A"/>
    <w:rsid w:val="B3FEA5AA"/>
    <w:rsid w:val="B5589962"/>
    <w:rsid w:val="B73F542B"/>
    <w:rsid w:val="BABF0A29"/>
    <w:rsid w:val="BABFDD3F"/>
    <w:rsid w:val="BBBFEC43"/>
    <w:rsid w:val="BBDFC718"/>
    <w:rsid w:val="BCB714D8"/>
    <w:rsid w:val="BDFBFEDC"/>
    <w:rsid w:val="BF59BDA9"/>
    <w:rsid w:val="BF6D9058"/>
    <w:rsid w:val="BF97D865"/>
    <w:rsid w:val="BFAF012C"/>
    <w:rsid w:val="BFEFA0A1"/>
    <w:rsid w:val="BFFE3EBE"/>
    <w:rsid w:val="C7BF8FE9"/>
    <w:rsid w:val="C7D15EF9"/>
    <w:rsid w:val="CBDF1557"/>
    <w:rsid w:val="CF9B8AB2"/>
    <w:rsid w:val="CFF76F7F"/>
    <w:rsid w:val="CFF82B7E"/>
    <w:rsid w:val="D5541288"/>
    <w:rsid w:val="D9FBAC2E"/>
    <w:rsid w:val="DAF53248"/>
    <w:rsid w:val="DBD7B9C6"/>
    <w:rsid w:val="DBF70D2F"/>
    <w:rsid w:val="DDBD38AA"/>
    <w:rsid w:val="DDBEE7B9"/>
    <w:rsid w:val="DF356F07"/>
    <w:rsid w:val="DF36CFBE"/>
    <w:rsid w:val="DF6FC180"/>
    <w:rsid w:val="DF79C573"/>
    <w:rsid w:val="DFD416B5"/>
    <w:rsid w:val="DFD63EA9"/>
    <w:rsid w:val="DFEBAE7D"/>
    <w:rsid w:val="DFF51DC5"/>
    <w:rsid w:val="DFFB1BFB"/>
    <w:rsid w:val="DFFB3BD4"/>
    <w:rsid w:val="DFFD6932"/>
    <w:rsid w:val="E3DA2EF6"/>
    <w:rsid w:val="E47F12A6"/>
    <w:rsid w:val="E4F754AA"/>
    <w:rsid w:val="E4FD534A"/>
    <w:rsid w:val="E677511E"/>
    <w:rsid w:val="E76EB2DB"/>
    <w:rsid w:val="E77D17CA"/>
    <w:rsid w:val="E7FEBB67"/>
    <w:rsid w:val="E8EB38D3"/>
    <w:rsid w:val="E957A10A"/>
    <w:rsid w:val="E95F501F"/>
    <w:rsid w:val="EA7D0F0A"/>
    <w:rsid w:val="EB50F611"/>
    <w:rsid w:val="EB5636F0"/>
    <w:rsid w:val="ED7F8248"/>
    <w:rsid w:val="EDEFB2C9"/>
    <w:rsid w:val="EED36A29"/>
    <w:rsid w:val="EEFD826E"/>
    <w:rsid w:val="EF753DBC"/>
    <w:rsid w:val="EF7B5472"/>
    <w:rsid w:val="EFB726B3"/>
    <w:rsid w:val="EFB90CF3"/>
    <w:rsid w:val="EFE9E715"/>
    <w:rsid w:val="EFFB4371"/>
    <w:rsid w:val="EFFB5E31"/>
    <w:rsid w:val="EFFFF560"/>
    <w:rsid w:val="F57CABFD"/>
    <w:rsid w:val="F67F1708"/>
    <w:rsid w:val="F784EF55"/>
    <w:rsid w:val="F7B942FF"/>
    <w:rsid w:val="F7DBE7AD"/>
    <w:rsid w:val="F7DC23BD"/>
    <w:rsid w:val="F7E76063"/>
    <w:rsid w:val="F7FB6C55"/>
    <w:rsid w:val="F8ABE95D"/>
    <w:rsid w:val="F9FDDFD5"/>
    <w:rsid w:val="FAFD0B5C"/>
    <w:rsid w:val="FB7DC9BD"/>
    <w:rsid w:val="FBEFBD6B"/>
    <w:rsid w:val="FCBAA0D1"/>
    <w:rsid w:val="FD9F4E40"/>
    <w:rsid w:val="FDB75BF5"/>
    <w:rsid w:val="FDC6EEA9"/>
    <w:rsid w:val="FDF9E2DC"/>
    <w:rsid w:val="FDFA6A01"/>
    <w:rsid w:val="FDFA783D"/>
    <w:rsid w:val="FE6F1A89"/>
    <w:rsid w:val="FE9D8FBB"/>
    <w:rsid w:val="FEBEAEC0"/>
    <w:rsid w:val="FEE6D7CA"/>
    <w:rsid w:val="FEE7DCED"/>
    <w:rsid w:val="FEF74C4F"/>
    <w:rsid w:val="FEFE1F26"/>
    <w:rsid w:val="FF3F3560"/>
    <w:rsid w:val="FF59B38C"/>
    <w:rsid w:val="FF7A5CC4"/>
    <w:rsid w:val="FFAF2D98"/>
    <w:rsid w:val="FFBAA497"/>
    <w:rsid w:val="FFBED454"/>
    <w:rsid w:val="FFBEFE9F"/>
    <w:rsid w:val="FFEE872E"/>
    <w:rsid w:val="FFEF8DE4"/>
    <w:rsid w:val="FFF456A6"/>
    <w:rsid w:val="FFF52FDE"/>
    <w:rsid w:val="FFFD71E2"/>
    <w:rsid w:val="FFFF56F0"/>
    <w:rsid w:val="FFFF950D"/>
    <w:rsid w:val="FFFFE347"/>
    <w:rsid w:val="FFFFE9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77"/>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link w:val="88"/>
    <w:qFormat/>
    <w:uiPriority w:val="9"/>
    <w:pPr>
      <w:keepNext/>
      <w:keepLines/>
      <w:numPr>
        <w:ilvl w:val="1"/>
        <w:numId w:val="1"/>
      </w:numPr>
      <w:spacing w:before="120" w:after="120"/>
      <w:ind w:firstLineChars="0"/>
      <w:outlineLvl w:val="1"/>
    </w:pPr>
    <w:rPr>
      <w:b/>
      <w:bCs/>
      <w:sz w:val="30"/>
      <w:szCs w:val="32"/>
    </w:rPr>
  </w:style>
  <w:style w:type="paragraph" w:styleId="4">
    <w:name w:val="heading 3"/>
    <w:basedOn w:val="1"/>
    <w:next w:val="1"/>
    <w:link w:val="82"/>
    <w:qFormat/>
    <w:uiPriority w:val="0"/>
    <w:pPr>
      <w:keepNext/>
      <w:keepLines/>
      <w:numPr>
        <w:ilvl w:val="2"/>
        <w:numId w:val="1"/>
      </w:numPr>
      <w:spacing w:before="120" w:after="120"/>
      <w:ind w:firstLine="0" w:firstLineChars="0"/>
      <w:outlineLvl w:val="2"/>
    </w:pPr>
    <w:rPr>
      <w:b/>
      <w:bCs/>
      <w:sz w:val="28"/>
      <w:szCs w:val="28"/>
    </w:rPr>
  </w:style>
  <w:style w:type="paragraph" w:styleId="5">
    <w:name w:val="heading 4"/>
    <w:basedOn w:val="1"/>
    <w:next w:val="1"/>
    <w:link w:val="60"/>
    <w:qFormat/>
    <w:uiPriority w:val="0"/>
    <w:pPr>
      <w:keepNext/>
      <w:keepLines/>
      <w:numPr>
        <w:ilvl w:val="3"/>
        <w:numId w:val="1"/>
      </w:numPr>
      <w:spacing w:before="120" w:after="120"/>
      <w:ind w:firstLine="0" w:firstLineChars="0"/>
      <w:outlineLvl w:val="3"/>
    </w:pPr>
    <w:rPr>
      <w:b/>
      <w:bCs/>
      <w:sz w:val="30"/>
      <w:szCs w:val="30"/>
    </w:rPr>
  </w:style>
  <w:style w:type="paragraph" w:styleId="6">
    <w:name w:val="heading 5"/>
    <w:basedOn w:val="1"/>
    <w:next w:val="1"/>
    <w:link w:val="86"/>
    <w:qFormat/>
    <w:uiPriority w:val="0"/>
    <w:pPr>
      <w:keepNext/>
      <w:keepLines/>
      <w:numPr>
        <w:ilvl w:val="4"/>
        <w:numId w:val="1"/>
      </w:numPr>
      <w:spacing w:before="120" w:after="120"/>
      <w:ind w:firstLine="0" w:firstLineChars="0"/>
      <w:outlineLvl w:val="4"/>
    </w:pPr>
    <w:rPr>
      <w:b/>
      <w:bCs/>
      <w:szCs w:val="28"/>
    </w:rPr>
  </w:style>
  <w:style w:type="paragraph" w:styleId="7">
    <w:name w:val="heading 6"/>
    <w:basedOn w:val="1"/>
    <w:next w:val="1"/>
    <w:link w:val="99"/>
    <w:qFormat/>
    <w:uiPriority w:val="0"/>
    <w:pPr>
      <w:keepNext/>
      <w:keepLines/>
      <w:numPr>
        <w:ilvl w:val="5"/>
        <w:numId w:val="1"/>
      </w:numPr>
      <w:spacing w:before="120" w:after="120"/>
      <w:ind w:firstLine="0" w:firstLineChars="0"/>
      <w:outlineLvl w:val="5"/>
    </w:pPr>
    <w:rPr>
      <w:rFonts w:ascii="Cambria" w:hAnsi="Cambria"/>
      <w:b/>
      <w:bCs/>
    </w:rPr>
  </w:style>
  <w:style w:type="paragraph" w:styleId="8">
    <w:name w:val="heading 7"/>
    <w:basedOn w:val="1"/>
    <w:next w:val="1"/>
    <w:link w:val="74"/>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98"/>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52"/>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等线" w:hAnsi="等线" w:eastAsia="等线"/>
      <w:szCs w:val="22"/>
    </w:rPr>
  </w:style>
  <w:style w:type="paragraph" w:styleId="12">
    <w:name w:val="Normal Indent"/>
    <w:basedOn w:val="1"/>
    <w:unhideWhenUsed/>
    <w:qFormat/>
    <w:uiPriority w:val="99"/>
    <w:pPr>
      <w:spacing w:line="240" w:lineRule="auto"/>
      <w:ind w:firstLine="420"/>
    </w:pPr>
    <w:rPr>
      <w:rFonts w:ascii="Calibri" w:hAnsi="Calibri"/>
      <w:sz w:val="21"/>
    </w:rPr>
  </w:style>
  <w:style w:type="paragraph" w:styleId="13">
    <w:name w:val="caption"/>
    <w:basedOn w:val="1"/>
    <w:next w:val="1"/>
    <w:link w:val="56"/>
    <w:qFormat/>
    <w:uiPriority w:val="0"/>
    <w:pPr>
      <w:spacing w:afterLines="50"/>
      <w:ind w:firstLine="200"/>
    </w:pPr>
    <w:rPr>
      <w:rFonts w:ascii="Arial" w:hAnsi="Arial" w:eastAsia="黑体"/>
      <w:sz w:val="20"/>
      <w:szCs w:val="20"/>
    </w:rPr>
  </w:style>
  <w:style w:type="paragraph" w:styleId="14">
    <w:name w:val="Document Map"/>
    <w:basedOn w:val="1"/>
    <w:link w:val="91"/>
    <w:qFormat/>
    <w:uiPriority w:val="0"/>
    <w:rPr>
      <w:rFonts w:hAnsi="Times New Roman"/>
      <w:sz w:val="18"/>
      <w:szCs w:val="18"/>
    </w:rPr>
  </w:style>
  <w:style w:type="paragraph" w:styleId="15">
    <w:name w:val="annotation text"/>
    <w:basedOn w:val="1"/>
    <w:link w:val="49"/>
    <w:qFormat/>
    <w:uiPriority w:val="99"/>
    <w:pPr>
      <w:jc w:val="left"/>
    </w:pPr>
    <w:rPr>
      <w:rFonts w:ascii="Times New Roman" w:hAnsi="Times New Roman" w:eastAsia="仿宋"/>
      <w:sz w:val="28"/>
    </w:rPr>
  </w:style>
  <w:style w:type="paragraph" w:styleId="16">
    <w:name w:val="Body Text"/>
    <w:basedOn w:val="1"/>
    <w:link w:val="61"/>
    <w:unhideWhenUsed/>
    <w:qFormat/>
    <w:uiPriority w:val="0"/>
    <w:pPr>
      <w:spacing w:after="120" w:line="240" w:lineRule="auto"/>
      <w:ind w:firstLine="0" w:firstLineChars="0"/>
    </w:pPr>
    <w:rPr>
      <w:rFonts w:ascii="Times New Roman" w:hAnsi="Times New Roman"/>
      <w:sz w:val="21"/>
    </w:rPr>
  </w:style>
  <w:style w:type="paragraph" w:styleId="17">
    <w:name w:val="Body Text Indent"/>
    <w:basedOn w:val="1"/>
    <w:link w:val="85"/>
    <w:qFormat/>
    <w:uiPriority w:val="0"/>
    <w:pPr>
      <w:spacing w:after="120"/>
      <w:ind w:firstLine="200"/>
    </w:pPr>
    <w:rPr>
      <w:rFonts w:ascii="Times New Roman" w:hAnsi="Times New Roman"/>
      <w:sz w:val="21"/>
      <w:szCs w:val="20"/>
    </w:rPr>
  </w:style>
  <w:style w:type="paragraph" w:styleId="18">
    <w:name w:val="toc 5"/>
    <w:basedOn w:val="1"/>
    <w:next w:val="1"/>
    <w:unhideWhenUsed/>
    <w:qFormat/>
    <w:uiPriority w:val="39"/>
    <w:pPr>
      <w:ind w:left="1680" w:leftChars="800"/>
    </w:pPr>
    <w:rPr>
      <w:rFonts w:ascii="等线" w:hAnsi="等线" w:eastAsia="等线"/>
      <w:szCs w:val="22"/>
    </w:rPr>
  </w:style>
  <w:style w:type="paragraph" w:styleId="19">
    <w:name w:val="toc 3"/>
    <w:basedOn w:val="1"/>
    <w:next w:val="1"/>
    <w:qFormat/>
    <w:uiPriority w:val="39"/>
    <w:pPr>
      <w:tabs>
        <w:tab w:val="right" w:leader="dot" w:pos="8302"/>
      </w:tabs>
      <w:ind w:left="840" w:leftChars="400"/>
    </w:pPr>
  </w:style>
  <w:style w:type="paragraph" w:styleId="20">
    <w:name w:val="Plain Text"/>
    <w:basedOn w:val="1"/>
    <w:link w:val="68"/>
    <w:qFormat/>
    <w:uiPriority w:val="0"/>
    <w:pPr>
      <w:spacing w:line="240" w:lineRule="auto"/>
      <w:ind w:firstLine="0" w:firstLineChars="0"/>
    </w:pPr>
    <w:rPr>
      <w:rFonts w:hAnsi="Courier New"/>
      <w:sz w:val="21"/>
      <w:szCs w:val="20"/>
    </w:rPr>
  </w:style>
  <w:style w:type="paragraph" w:styleId="21">
    <w:name w:val="toc 8"/>
    <w:basedOn w:val="1"/>
    <w:next w:val="1"/>
    <w:unhideWhenUsed/>
    <w:qFormat/>
    <w:uiPriority w:val="39"/>
    <w:pPr>
      <w:ind w:left="2940" w:leftChars="1400"/>
    </w:pPr>
    <w:rPr>
      <w:rFonts w:ascii="等线" w:hAnsi="等线" w:eastAsia="等线"/>
      <w:szCs w:val="22"/>
    </w:rPr>
  </w:style>
  <w:style w:type="paragraph" w:styleId="22">
    <w:name w:val="Date"/>
    <w:basedOn w:val="1"/>
    <w:next w:val="1"/>
    <w:link w:val="51"/>
    <w:qFormat/>
    <w:uiPriority w:val="0"/>
    <w:pPr>
      <w:ind w:left="100" w:leftChars="2500"/>
    </w:pPr>
    <w:rPr>
      <w:rFonts w:ascii="Times New Roman" w:hAnsi="Times New Roman"/>
      <w:sz w:val="21"/>
    </w:rPr>
  </w:style>
  <w:style w:type="paragraph" w:styleId="23">
    <w:name w:val="Balloon Text"/>
    <w:basedOn w:val="1"/>
    <w:link w:val="96"/>
    <w:qFormat/>
    <w:uiPriority w:val="0"/>
    <w:rPr>
      <w:rFonts w:ascii="Times New Roman" w:hAnsi="Times New Roman"/>
      <w:sz w:val="18"/>
      <w:szCs w:val="18"/>
    </w:rPr>
  </w:style>
  <w:style w:type="paragraph" w:styleId="24">
    <w:name w:val="footer"/>
    <w:basedOn w:val="1"/>
    <w:link w:val="89"/>
    <w:qFormat/>
    <w:uiPriority w:val="99"/>
    <w:pPr>
      <w:tabs>
        <w:tab w:val="center" w:pos="4153"/>
        <w:tab w:val="right" w:pos="8306"/>
      </w:tabs>
      <w:snapToGrid w:val="0"/>
      <w:jc w:val="center"/>
    </w:pPr>
    <w:rPr>
      <w:rFonts w:ascii="Times New Roman" w:hAnsi="Times New Roman"/>
      <w:sz w:val="18"/>
      <w:szCs w:val="18"/>
    </w:rPr>
  </w:style>
  <w:style w:type="paragraph" w:styleId="25">
    <w:name w:val="header"/>
    <w:basedOn w:val="1"/>
    <w:link w:val="97"/>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6">
    <w:name w:val="toc 1"/>
    <w:basedOn w:val="1"/>
    <w:next w:val="1"/>
    <w:qFormat/>
    <w:uiPriority w:val="39"/>
  </w:style>
  <w:style w:type="paragraph" w:styleId="27">
    <w:name w:val="toc 4"/>
    <w:basedOn w:val="1"/>
    <w:next w:val="1"/>
    <w:unhideWhenUsed/>
    <w:qFormat/>
    <w:uiPriority w:val="39"/>
    <w:pPr>
      <w:ind w:left="1260" w:leftChars="600"/>
    </w:pPr>
    <w:rPr>
      <w:rFonts w:ascii="等线" w:hAnsi="等线" w:eastAsia="等线"/>
      <w:szCs w:val="22"/>
    </w:rPr>
  </w:style>
  <w:style w:type="paragraph" w:styleId="28">
    <w:name w:val="Subtitle"/>
    <w:basedOn w:val="1"/>
    <w:next w:val="1"/>
    <w:link w:val="87"/>
    <w:qFormat/>
    <w:uiPriority w:val="0"/>
    <w:pPr>
      <w:spacing w:before="240" w:after="60" w:line="312" w:lineRule="auto"/>
      <w:jc w:val="center"/>
      <w:outlineLvl w:val="1"/>
    </w:pPr>
    <w:rPr>
      <w:rFonts w:ascii="Calibri Light" w:hAnsi="Calibri Light"/>
      <w:b/>
      <w:bCs/>
      <w:kern w:val="28"/>
      <w:sz w:val="32"/>
      <w:szCs w:val="32"/>
    </w:rPr>
  </w:style>
  <w:style w:type="paragraph" w:styleId="29">
    <w:name w:val="toc 6"/>
    <w:basedOn w:val="1"/>
    <w:next w:val="1"/>
    <w:unhideWhenUsed/>
    <w:qFormat/>
    <w:uiPriority w:val="39"/>
    <w:pPr>
      <w:ind w:left="2100" w:leftChars="1000"/>
    </w:pPr>
    <w:rPr>
      <w:rFonts w:ascii="等线" w:hAnsi="等线" w:eastAsia="等线"/>
      <w:szCs w:val="22"/>
    </w:rPr>
  </w:style>
  <w:style w:type="paragraph" w:styleId="30">
    <w:name w:val="toc 2"/>
    <w:basedOn w:val="1"/>
    <w:next w:val="1"/>
    <w:qFormat/>
    <w:uiPriority w:val="39"/>
    <w:pPr>
      <w:tabs>
        <w:tab w:val="right" w:leader="dot" w:pos="8302"/>
      </w:tabs>
      <w:ind w:left="420" w:leftChars="200"/>
    </w:pPr>
  </w:style>
  <w:style w:type="paragraph" w:styleId="31">
    <w:name w:val="toc 9"/>
    <w:basedOn w:val="1"/>
    <w:next w:val="1"/>
    <w:unhideWhenUsed/>
    <w:qFormat/>
    <w:uiPriority w:val="39"/>
    <w:pPr>
      <w:ind w:left="3360" w:leftChars="1600"/>
    </w:pPr>
    <w:rPr>
      <w:rFonts w:ascii="等线" w:hAnsi="等线" w:eastAsia="等线"/>
      <w:szCs w:val="22"/>
    </w:rPr>
  </w:style>
  <w:style w:type="paragraph" w:styleId="32">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3">
    <w:name w:val="Title"/>
    <w:basedOn w:val="1"/>
    <w:next w:val="1"/>
    <w:link w:val="95"/>
    <w:qFormat/>
    <w:uiPriority w:val="0"/>
    <w:pPr>
      <w:spacing w:before="240" w:after="60" w:line="960" w:lineRule="auto"/>
      <w:jc w:val="center"/>
    </w:pPr>
    <w:rPr>
      <w:rFonts w:ascii="Cambria" w:hAnsi="Cambria" w:eastAsia="黑体"/>
      <w:b/>
      <w:bCs/>
      <w:sz w:val="52"/>
      <w:szCs w:val="32"/>
    </w:rPr>
  </w:style>
  <w:style w:type="paragraph" w:styleId="34">
    <w:name w:val="annotation subject"/>
    <w:basedOn w:val="15"/>
    <w:next w:val="15"/>
    <w:link w:val="83"/>
    <w:qFormat/>
    <w:uiPriority w:val="0"/>
    <w:rPr>
      <w:b/>
      <w:bCs/>
      <w:sz w:val="21"/>
    </w:rPr>
  </w:style>
  <w:style w:type="table" w:styleId="36">
    <w:name w:val="Table Grid"/>
    <w:basedOn w:val="35"/>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customStyle="1" w:styleId="42">
    <w:name w:val="标题 4 字符"/>
    <w:semiHidden/>
    <w:qFormat/>
    <w:uiPriority w:val="9"/>
    <w:rPr>
      <w:rFonts w:ascii="等线 Light" w:hAnsi="等线 Light" w:eastAsia="等线 Light" w:cs="Times New Roman"/>
      <w:b/>
      <w:bCs/>
      <w:kern w:val="2"/>
      <w:sz w:val="28"/>
      <w:szCs w:val="28"/>
    </w:rPr>
  </w:style>
  <w:style w:type="character" w:customStyle="1" w:styleId="43">
    <w:name w:val="标题 3 字符"/>
    <w:semiHidden/>
    <w:qFormat/>
    <w:uiPriority w:val="9"/>
    <w:rPr>
      <w:rFonts w:ascii="宋体" w:hAnsi="宋体"/>
      <w:b/>
      <w:bCs/>
      <w:kern w:val="2"/>
      <w:sz w:val="32"/>
      <w:szCs w:val="32"/>
    </w:rPr>
  </w:style>
  <w:style w:type="character" w:customStyle="1" w:styleId="44">
    <w:name w:val="标题 6 字符"/>
    <w:semiHidden/>
    <w:qFormat/>
    <w:uiPriority w:val="9"/>
    <w:rPr>
      <w:rFonts w:ascii="等线 Light" w:hAnsi="等线 Light" w:eastAsia="等线 Light" w:cs="Times New Roman"/>
      <w:b/>
      <w:bCs/>
      <w:kern w:val="2"/>
      <w:sz w:val="24"/>
      <w:szCs w:val="24"/>
    </w:rPr>
  </w:style>
  <w:style w:type="character" w:customStyle="1" w:styleId="45">
    <w:name w:val="标题 5 字符"/>
    <w:semiHidden/>
    <w:qFormat/>
    <w:uiPriority w:val="9"/>
    <w:rPr>
      <w:rFonts w:ascii="宋体" w:hAnsi="宋体"/>
      <w:b/>
      <w:bCs/>
      <w:kern w:val="2"/>
      <w:sz w:val="28"/>
      <w:szCs w:val="28"/>
    </w:rPr>
  </w:style>
  <w:style w:type="character" w:customStyle="1" w:styleId="46">
    <w:name w:val="标题 3 字符1"/>
    <w:qFormat/>
    <w:uiPriority w:val="0"/>
    <w:rPr>
      <w:rFonts w:ascii="宋体" w:hAnsi="宋体"/>
      <w:b/>
      <w:bCs/>
      <w:kern w:val="2"/>
      <w:sz w:val="28"/>
      <w:szCs w:val="28"/>
    </w:rPr>
  </w:style>
  <w:style w:type="character" w:customStyle="1" w:styleId="47">
    <w:name w:val="首行缩进正文 Char"/>
    <w:link w:val="48"/>
    <w:qFormat/>
    <w:uiPriority w:val="0"/>
    <w:rPr>
      <w:kern w:val="2"/>
      <w:sz w:val="24"/>
    </w:rPr>
  </w:style>
  <w:style w:type="paragraph" w:customStyle="1" w:styleId="48">
    <w:name w:val="首行缩进正文"/>
    <w:basedOn w:val="1"/>
    <w:link w:val="47"/>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49">
    <w:name w:val="批注文字 Char"/>
    <w:link w:val="15"/>
    <w:qFormat/>
    <w:uiPriority w:val="99"/>
    <w:rPr>
      <w:rFonts w:eastAsia="仿宋"/>
      <w:kern w:val="2"/>
      <w:sz w:val="28"/>
      <w:szCs w:val="24"/>
    </w:rPr>
  </w:style>
  <w:style w:type="character" w:customStyle="1" w:styleId="50">
    <w:name w:val="日期 字符"/>
    <w:semiHidden/>
    <w:qFormat/>
    <w:uiPriority w:val="99"/>
    <w:rPr>
      <w:rFonts w:ascii="宋体" w:hAnsi="宋体"/>
      <w:kern w:val="2"/>
      <w:sz w:val="24"/>
      <w:szCs w:val="24"/>
    </w:rPr>
  </w:style>
  <w:style w:type="character" w:customStyle="1" w:styleId="51">
    <w:name w:val="日期 Char"/>
    <w:link w:val="22"/>
    <w:qFormat/>
    <w:uiPriority w:val="0"/>
    <w:rPr>
      <w:kern w:val="2"/>
      <w:sz w:val="21"/>
      <w:szCs w:val="24"/>
    </w:rPr>
  </w:style>
  <w:style w:type="character" w:customStyle="1" w:styleId="52">
    <w:name w:val="标题 9 Char"/>
    <w:link w:val="10"/>
    <w:qFormat/>
    <w:uiPriority w:val="9"/>
    <w:rPr>
      <w:rFonts w:ascii="Cambria" w:hAnsi="Cambria"/>
      <w:kern w:val="2"/>
      <w:sz w:val="21"/>
      <w:szCs w:val="21"/>
    </w:rPr>
  </w:style>
  <w:style w:type="character" w:customStyle="1" w:styleId="53">
    <w:name w:val="未处理的提及1"/>
    <w:unhideWhenUsed/>
    <w:qFormat/>
    <w:uiPriority w:val="99"/>
    <w:rPr>
      <w:color w:val="605E5C"/>
      <w:shd w:val="clear" w:color="auto" w:fill="E1DFDD"/>
    </w:rPr>
  </w:style>
  <w:style w:type="character" w:customStyle="1" w:styleId="54">
    <w:name w:val="标题 1 字符"/>
    <w:qFormat/>
    <w:uiPriority w:val="9"/>
    <w:rPr>
      <w:rFonts w:ascii="宋体" w:hAnsi="宋体"/>
      <w:b/>
      <w:bCs/>
      <w:kern w:val="44"/>
      <w:sz w:val="44"/>
      <w:szCs w:val="44"/>
    </w:rPr>
  </w:style>
  <w:style w:type="character" w:customStyle="1" w:styleId="55">
    <w:name w:val="页脚 字符"/>
    <w:qFormat/>
    <w:uiPriority w:val="99"/>
  </w:style>
  <w:style w:type="character" w:customStyle="1" w:styleId="56">
    <w:name w:val="题注 Char"/>
    <w:link w:val="13"/>
    <w:qFormat/>
    <w:locked/>
    <w:uiPriority w:val="0"/>
    <w:rPr>
      <w:rFonts w:ascii="Arial" w:hAnsi="Arial" w:eastAsia="黑体"/>
      <w:kern w:val="2"/>
    </w:rPr>
  </w:style>
  <w:style w:type="character" w:customStyle="1" w:styleId="57">
    <w:name w:val="标题 2 字符"/>
    <w:semiHidden/>
    <w:qFormat/>
    <w:uiPriority w:val="9"/>
    <w:rPr>
      <w:rFonts w:ascii="等线 Light" w:hAnsi="等线 Light" w:eastAsia="等线 Light" w:cs="Times New Roman"/>
      <w:b/>
      <w:bCs/>
      <w:kern w:val="2"/>
      <w:sz w:val="32"/>
      <w:szCs w:val="32"/>
    </w:rPr>
  </w:style>
  <w:style w:type="character" w:customStyle="1" w:styleId="58">
    <w:name w:val="纯文本 字符"/>
    <w:qFormat/>
    <w:uiPriority w:val="0"/>
    <w:rPr>
      <w:rFonts w:ascii="宋体" w:hAnsi="Courier New" w:cs="Courier New"/>
      <w:kern w:val="2"/>
      <w:sz w:val="21"/>
      <w:szCs w:val="21"/>
    </w:rPr>
  </w:style>
  <w:style w:type="character" w:customStyle="1" w:styleId="59">
    <w:name w:val="列表段落 字符"/>
    <w:qFormat/>
    <w:uiPriority w:val="34"/>
    <w:rPr>
      <w:kern w:val="2"/>
      <w:sz w:val="21"/>
      <w:szCs w:val="22"/>
    </w:rPr>
  </w:style>
  <w:style w:type="character" w:customStyle="1" w:styleId="60">
    <w:name w:val="标题 4 Char"/>
    <w:link w:val="5"/>
    <w:qFormat/>
    <w:uiPriority w:val="0"/>
    <w:rPr>
      <w:rFonts w:ascii="宋体" w:hAnsi="宋体"/>
      <w:b/>
      <w:bCs/>
      <w:kern w:val="2"/>
      <w:sz w:val="30"/>
      <w:szCs w:val="30"/>
    </w:rPr>
  </w:style>
  <w:style w:type="character" w:customStyle="1" w:styleId="61">
    <w:name w:val="正文文本 Char"/>
    <w:link w:val="16"/>
    <w:qFormat/>
    <w:uiPriority w:val="0"/>
    <w:rPr>
      <w:kern w:val="2"/>
      <w:sz w:val="21"/>
      <w:szCs w:val="24"/>
    </w:rPr>
  </w:style>
  <w:style w:type="character" w:customStyle="1" w:styleId="62">
    <w:name w:val="列出段落 Char"/>
    <w:link w:val="63"/>
    <w:qFormat/>
    <w:uiPriority w:val="34"/>
    <w:rPr>
      <w:kern w:val="2"/>
      <w:sz w:val="21"/>
      <w:szCs w:val="24"/>
    </w:rPr>
  </w:style>
  <w:style w:type="paragraph" w:styleId="63">
    <w:name w:val="List Paragraph"/>
    <w:basedOn w:val="1"/>
    <w:link w:val="62"/>
    <w:qFormat/>
    <w:uiPriority w:val="34"/>
    <w:pPr>
      <w:ind w:firstLine="420"/>
    </w:pPr>
    <w:rPr>
      <w:rFonts w:ascii="Times New Roman" w:hAnsi="Times New Roman"/>
      <w:sz w:val="21"/>
    </w:rPr>
  </w:style>
  <w:style w:type="character" w:customStyle="1" w:styleId="64">
    <w:name w:val="font21"/>
    <w:qFormat/>
    <w:uiPriority w:val="0"/>
    <w:rPr>
      <w:rFonts w:ascii="Calibri" w:hAnsi="Calibri" w:cs="Calibri"/>
      <w:color w:val="000000"/>
      <w:sz w:val="21"/>
      <w:szCs w:val="21"/>
      <w:u w:val="none"/>
    </w:rPr>
  </w:style>
  <w:style w:type="character" w:customStyle="1" w:styleId="65">
    <w:name w:val="*正文 Char"/>
    <w:link w:val="66"/>
    <w:qFormat/>
    <w:uiPriority w:val="0"/>
    <w:rPr>
      <w:rFonts w:ascii="time" w:hAnsi="time"/>
      <w:sz w:val="24"/>
      <w:szCs w:val="24"/>
      <w:lang w:bidi="en-US"/>
    </w:rPr>
  </w:style>
  <w:style w:type="paragraph" w:customStyle="1" w:styleId="66">
    <w:name w:val="*正文"/>
    <w:basedOn w:val="1"/>
    <w:link w:val="65"/>
    <w:qFormat/>
    <w:uiPriority w:val="0"/>
    <w:pPr>
      <w:widowControl/>
      <w:ind w:firstLine="200"/>
      <w:contextualSpacing/>
    </w:pPr>
    <w:rPr>
      <w:rFonts w:ascii="time" w:hAnsi="time"/>
      <w:kern w:val="0"/>
      <w:lang w:bidi="en-US"/>
    </w:rPr>
  </w:style>
  <w:style w:type="character" w:customStyle="1" w:styleId="67">
    <w:name w:val="正文文本缩进 字符"/>
    <w:semiHidden/>
    <w:qFormat/>
    <w:uiPriority w:val="99"/>
    <w:rPr>
      <w:rFonts w:ascii="宋体" w:hAnsi="宋体"/>
      <w:kern w:val="2"/>
      <w:sz w:val="24"/>
      <w:szCs w:val="24"/>
    </w:rPr>
  </w:style>
  <w:style w:type="character" w:customStyle="1" w:styleId="68">
    <w:name w:val="纯文本 Char"/>
    <w:link w:val="20"/>
    <w:qFormat/>
    <w:locked/>
    <w:uiPriority w:val="0"/>
    <w:rPr>
      <w:rFonts w:ascii="宋体" w:hAnsi="Courier New"/>
      <w:kern w:val="2"/>
      <w:sz w:val="21"/>
    </w:rPr>
  </w:style>
  <w:style w:type="character" w:customStyle="1" w:styleId="69">
    <w:name w:val="my正文 Char"/>
    <w:link w:val="70"/>
    <w:qFormat/>
    <w:uiPriority w:val="0"/>
    <w:rPr>
      <w:kern w:val="2"/>
      <w:sz w:val="21"/>
      <w:szCs w:val="24"/>
    </w:rPr>
  </w:style>
  <w:style w:type="paragraph" w:customStyle="1" w:styleId="70">
    <w:name w:val="my正文"/>
    <w:basedOn w:val="1"/>
    <w:link w:val="69"/>
    <w:qFormat/>
    <w:uiPriority w:val="0"/>
    <w:pPr>
      <w:spacing w:line="240" w:lineRule="auto"/>
      <w:ind w:firstLine="0" w:firstLineChars="0"/>
    </w:pPr>
    <w:rPr>
      <w:rFonts w:ascii="Times New Roman" w:hAnsi="Times New Roman"/>
      <w:sz w:val="21"/>
    </w:rPr>
  </w:style>
  <w:style w:type="character" w:customStyle="1" w:styleId="71">
    <w:name w:val="正文2 字符"/>
    <w:link w:val="72"/>
    <w:qFormat/>
    <w:uiPriority w:val="0"/>
    <w:rPr>
      <w:kern w:val="2"/>
      <w:sz w:val="21"/>
      <w:szCs w:val="24"/>
    </w:rPr>
  </w:style>
  <w:style w:type="paragraph" w:customStyle="1" w:styleId="72">
    <w:name w:val="正文2"/>
    <w:basedOn w:val="1"/>
    <w:link w:val="71"/>
    <w:qFormat/>
    <w:uiPriority w:val="0"/>
    <w:pPr>
      <w:ind w:firstLine="420"/>
    </w:pPr>
    <w:rPr>
      <w:rFonts w:ascii="Times New Roman" w:hAnsi="Times New Roman"/>
      <w:sz w:val="21"/>
    </w:rPr>
  </w:style>
  <w:style w:type="character" w:customStyle="1" w:styleId="73">
    <w:name w:val="font41"/>
    <w:qFormat/>
    <w:uiPriority w:val="0"/>
    <w:rPr>
      <w:rFonts w:hint="eastAsia" w:ascii="宋体" w:hAnsi="宋体" w:eastAsia="宋体" w:cs="宋体"/>
      <w:color w:val="000000"/>
      <w:sz w:val="21"/>
      <w:szCs w:val="21"/>
      <w:u w:val="none"/>
    </w:rPr>
  </w:style>
  <w:style w:type="character" w:customStyle="1" w:styleId="74">
    <w:name w:val="标题 7 Char"/>
    <w:link w:val="8"/>
    <w:qFormat/>
    <w:uiPriority w:val="9"/>
    <w:rPr>
      <w:b/>
      <w:bCs/>
      <w:kern w:val="2"/>
      <w:sz w:val="21"/>
      <w:szCs w:val="24"/>
    </w:rPr>
  </w:style>
  <w:style w:type="character" w:customStyle="1" w:styleId="75">
    <w:name w:val="批注框文本 字符"/>
    <w:semiHidden/>
    <w:qFormat/>
    <w:uiPriority w:val="99"/>
    <w:rPr>
      <w:rFonts w:ascii="宋体" w:hAnsi="宋体"/>
      <w:kern w:val="2"/>
      <w:sz w:val="18"/>
      <w:szCs w:val="18"/>
    </w:rPr>
  </w:style>
  <w:style w:type="character" w:customStyle="1" w:styleId="76">
    <w:name w:val="副标题 Char1"/>
    <w:qFormat/>
    <w:uiPriority w:val="0"/>
    <w:rPr>
      <w:rFonts w:ascii="Calibri Light" w:hAnsi="Calibri Light" w:cs="Times New Roman"/>
      <w:b/>
      <w:bCs/>
      <w:kern w:val="28"/>
      <w:sz w:val="32"/>
      <w:szCs w:val="32"/>
    </w:rPr>
  </w:style>
  <w:style w:type="character" w:customStyle="1" w:styleId="77">
    <w:name w:val="标题 1 Char1"/>
    <w:link w:val="2"/>
    <w:qFormat/>
    <w:uiPriority w:val="0"/>
    <w:rPr>
      <w:rFonts w:ascii="宋体" w:hAnsi="宋体" w:eastAsia="黑体"/>
      <w:b/>
      <w:bCs/>
      <w:kern w:val="44"/>
      <w:sz w:val="32"/>
      <w:szCs w:val="28"/>
    </w:rPr>
  </w:style>
  <w:style w:type="character" w:customStyle="1" w:styleId="78">
    <w:name w:val="批注文字 字符"/>
    <w:qFormat/>
    <w:uiPriority w:val="99"/>
    <w:rPr>
      <w:rFonts w:ascii="宋体" w:hAnsi="宋体"/>
      <w:kern w:val="2"/>
      <w:sz w:val="24"/>
      <w:szCs w:val="24"/>
    </w:rPr>
  </w:style>
  <w:style w:type="character" w:customStyle="1" w:styleId="79">
    <w:name w:val="文档结构图 字符"/>
    <w:semiHidden/>
    <w:qFormat/>
    <w:uiPriority w:val="99"/>
    <w:rPr>
      <w:rFonts w:ascii="Microsoft YaHei UI" w:hAnsi="宋体" w:eastAsia="Microsoft YaHei UI"/>
      <w:kern w:val="2"/>
      <w:sz w:val="18"/>
      <w:szCs w:val="18"/>
    </w:rPr>
  </w:style>
  <w:style w:type="character" w:customStyle="1" w:styleId="80">
    <w:name w:val="正文正文2 Char"/>
    <w:link w:val="81"/>
    <w:qFormat/>
    <w:uiPriority w:val="0"/>
    <w:rPr>
      <w:rFonts w:ascii="宋体" w:hAnsi="宋体"/>
      <w:kern w:val="2"/>
      <w:sz w:val="21"/>
      <w:szCs w:val="21"/>
    </w:rPr>
  </w:style>
  <w:style w:type="paragraph" w:customStyle="1" w:styleId="81">
    <w:name w:val="正文正文2"/>
    <w:basedOn w:val="1"/>
    <w:link w:val="80"/>
    <w:qFormat/>
    <w:uiPriority w:val="0"/>
    <w:pPr>
      <w:ind w:firstLine="460"/>
    </w:pPr>
    <w:rPr>
      <w:sz w:val="21"/>
      <w:szCs w:val="21"/>
    </w:rPr>
  </w:style>
  <w:style w:type="character" w:customStyle="1" w:styleId="82">
    <w:name w:val="标题 3 Char"/>
    <w:link w:val="4"/>
    <w:qFormat/>
    <w:uiPriority w:val="0"/>
    <w:rPr>
      <w:rFonts w:ascii="宋体" w:hAnsi="宋体"/>
      <w:b/>
      <w:bCs/>
      <w:kern w:val="2"/>
      <w:sz w:val="28"/>
      <w:szCs w:val="28"/>
    </w:rPr>
  </w:style>
  <w:style w:type="character" w:customStyle="1" w:styleId="83">
    <w:name w:val="批注主题 Char"/>
    <w:link w:val="34"/>
    <w:qFormat/>
    <w:uiPriority w:val="0"/>
    <w:rPr>
      <w:rFonts w:eastAsia="仿宋"/>
      <w:b/>
      <w:bCs/>
      <w:kern w:val="2"/>
      <w:sz w:val="21"/>
      <w:szCs w:val="24"/>
    </w:rPr>
  </w:style>
  <w:style w:type="character" w:customStyle="1" w:styleId="84">
    <w:name w:val="页眉 字符"/>
    <w:semiHidden/>
    <w:qFormat/>
    <w:uiPriority w:val="99"/>
    <w:rPr>
      <w:rFonts w:ascii="宋体" w:hAnsi="宋体"/>
      <w:kern w:val="2"/>
      <w:sz w:val="18"/>
      <w:szCs w:val="18"/>
    </w:rPr>
  </w:style>
  <w:style w:type="character" w:customStyle="1" w:styleId="85">
    <w:name w:val="正文文本缩进 Char"/>
    <w:link w:val="17"/>
    <w:qFormat/>
    <w:uiPriority w:val="0"/>
    <w:rPr>
      <w:kern w:val="2"/>
      <w:sz w:val="21"/>
    </w:rPr>
  </w:style>
  <w:style w:type="character" w:customStyle="1" w:styleId="86">
    <w:name w:val="标题 5 Char"/>
    <w:link w:val="6"/>
    <w:qFormat/>
    <w:uiPriority w:val="0"/>
    <w:rPr>
      <w:rFonts w:ascii="宋体" w:hAnsi="宋体"/>
      <w:b/>
      <w:bCs/>
      <w:kern w:val="2"/>
      <w:sz w:val="24"/>
      <w:szCs w:val="28"/>
    </w:rPr>
  </w:style>
  <w:style w:type="character" w:customStyle="1" w:styleId="87">
    <w:name w:val="副标题 Char"/>
    <w:link w:val="28"/>
    <w:qFormat/>
    <w:uiPriority w:val="0"/>
    <w:rPr>
      <w:rFonts w:ascii="Calibri Light" w:hAnsi="Calibri Light"/>
      <w:b/>
      <w:bCs/>
      <w:kern w:val="28"/>
      <w:sz w:val="32"/>
      <w:szCs w:val="32"/>
    </w:rPr>
  </w:style>
  <w:style w:type="character" w:customStyle="1" w:styleId="88">
    <w:name w:val="标题 2 Char"/>
    <w:link w:val="3"/>
    <w:qFormat/>
    <w:uiPriority w:val="9"/>
    <w:rPr>
      <w:rFonts w:ascii="宋体" w:hAnsi="宋体"/>
      <w:b/>
      <w:bCs/>
      <w:kern w:val="2"/>
      <w:sz w:val="30"/>
      <w:szCs w:val="32"/>
    </w:rPr>
  </w:style>
  <w:style w:type="character" w:customStyle="1" w:styleId="89">
    <w:name w:val="页脚 Char"/>
    <w:link w:val="24"/>
    <w:qFormat/>
    <w:uiPriority w:val="99"/>
    <w:rPr>
      <w:kern w:val="2"/>
      <w:sz w:val="18"/>
      <w:szCs w:val="18"/>
    </w:rPr>
  </w:style>
  <w:style w:type="character" w:customStyle="1" w:styleId="90">
    <w:name w:val="批注主题 字符"/>
    <w:semiHidden/>
    <w:qFormat/>
    <w:uiPriority w:val="99"/>
    <w:rPr>
      <w:rFonts w:ascii="宋体" w:hAnsi="宋体"/>
      <w:b/>
      <w:bCs/>
      <w:kern w:val="2"/>
      <w:sz w:val="24"/>
      <w:szCs w:val="24"/>
    </w:rPr>
  </w:style>
  <w:style w:type="character" w:customStyle="1" w:styleId="91">
    <w:name w:val="文档结构图 Char"/>
    <w:link w:val="14"/>
    <w:qFormat/>
    <w:uiPriority w:val="0"/>
    <w:rPr>
      <w:rFonts w:ascii="宋体"/>
      <w:kern w:val="2"/>
      <w:sz w:val="18"/>
      <w:szCs w:val="18"/>
    </w:rPr>
  </w:style>
  <w:style w:type="character" w:customStyle="1" w:styleId="92">
    <w:name w:val="font31"/>
    <w:qFormat/>
    <w:uiPriority w:val="0"/>
    <w:rPr>
      <w:rFonts w:hint="eastAsia" w:ascii="宋体" w:hAnsi="宋体" w:eastAsia="宋体" w:cs="宋体"/>
      <w:color w:val="000000"/>
      <w:sz w:val="21"/>
      <w:szCs w:val="21"/>
      <w:u w:val="none"/>
    </w:rPr>
  </w:style>
  <w:style w:type="character" w:customStyle="1" w:styleId="93">
    <w:name w:val="标准正文 Char"/>
    <w:link w:val="94"/>
    <w:qFormat/>
    <w:uiPriority w:val="0"/>
    <w:rPr>
      <w:rFonts w:ascii="Arial" w:hAnsi="Arial"/>
      <w:kern w:val="2"/>
      <w:sz w:val="24"/>
    </w:rPr>
  </w:style>
  <w:style w:type="paragraph" w:customStyle="1" w:styleId="94">
    <w:name w:val="标准正文"/>
    <w:basedOn w:val="17"/>
    <w:link w:val="93"/>
    <w:qFormat/>
    <w:uiPriority w:val="0"/>
    <w:pPr>
      <w:spacing w:before="60" w:after="60"/>
      <w:ind w:firstLine="482" w:firstLineChars="0"/>
    </w:pPr>
    <w:rPr>
      <w:rFonts w:ascii="Arial" w:hAnsi="Arial"/>
      <w:sz w:val="24"/>
    </w:rPr>
  </w:style>
  <w:style w:type="character" w:customStyle="1" w:styleId="95">
    <w:name w:val="标题 Char"/>
    <w:link w:val="33"/>
    <w:qFormat/>
    <w:uiPriority w:val="0"/>
    <w:rPr>
      <w:rFonts w:ascii="Cambria" w:hAnsi="Cambria" w:eastAsia="黑体"/>
      <w:b/>
      <w:bCs/>
      <w:kern w:val="2"/>
      <w:sz w:val="52"/>
      <w:szCs w:val="32"/>
    </w:rPr>
  </w:style>
  <w:style w:type="character" w:customStyle="1" w:styleId="96">
    <w:name w:val="批注框文本 Char"/>
    <w:link w:val="23"/>
    <w:qFormat/>
    <w:uiPriority w:val="0"/>
    <w:rPr>
      <w:kern w:val="2"/>
      <w:sz w:val="18"/>
      <w:szCs w:val="18"/>
    </w:rPr>
  </w:style>
  <w:style w:type="character" w:customStyle="1" w:styleId="97">
    <w:name w:val="页眉 Char"/>
    <w:link w:val="25"/>
    <w:qFormat/>
    <w:uiPriority w:val="99"/>
    <w:rPr>
      <w:kern w:val="2"/>
      <w:sz w:val="18"/>
      <w:szCs w:val="18"/>
    </w:rPr>
  </w:style>
  <w:style w:type="character" w:customStyle="1" w:styleId="98">
    <w:name w:val="标题 8 Char"/>
    <w:link w:val="9"/>
    <w:qFormat/>
    <w:uiPriority w:val="9"/>
    <w:rPr>
      <w:rFonts w:ascii="Cambria" w:hAnsi="Cambria"/>
      <w:kern w:val="2"/>
      <w:sz w:val="21"/>
      <w:szCs w:val="24"/>
    </w:rPr>
  </w:style>
  <w:style w:type="character" w:customStyle="1" w:styleId="99">
    <w:name w:val="标题 6 Char"/>
    <w:link w:val="7"/>
    <w:qFormat/>
    <w:uiPriority w:val="0"/>
    <w:rPr>
      <w:rFonts w:ascii="Cambria" w:hAnsi="Cambria"/>
      <w:b/>
      <w:bCs/>
      <w:kern w:val="2"/>
      <w:sz w:val="24"/>
      <w:szCs w:val="24"/>
    </w:rPr>
  </w:style>
  <w:style w:type="character" w:customStyle="1" w:styleId="100">
    <w:name w:val="标题 字符"/>
    <w:qFormat/>
    <w:uiPriority w:val="10"/>
    <w:rPr>
      <w:rFonts w:ascii="等线 Light" w:hAnsi="等线 Light" w:eastAsia="等线 Light" w:cs="Times New Roman"/>
      <w:b/>
      <w:bCs/>
      <w:kern w:val="2"/>
      <w:sz w:val="32"/>
      <w:szCs w:val="32"/>
    </w:rPr>
  </w:style>
  <w:style w:type="character" w:customStyle="1" w:styleId="101">
    <w:name w:val="副标题 字符"/>
    <w:qFormat/>
    <w:uiPriority w:val="11"/>
    <w:rPr>
      <w:rFonts w:ascii="等线" w:hAnsi="等线" w:eastAsia="等线" w:cs="Times New Roman"/>
      <w:b/>
      <w:bCs/>
      <w:kern w:val="28"/>
      <w:sz w:val="32"/>
      <w:szCs w:val="32"/>
    </w:rPr>
  </w:style>
  <w:style w:type="paragraph" w:customStyle="1" w:styleId="102">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3">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4">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5">
    <w:name w:val="_Style 2"/>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6">
    <w:name w:val="正文缩进1"/>
    <w:basedOn w:val="1"/>
    <w:qFormat/>
    <w:uiPriority w:val="0"/>
    <w:pPr>
      <w:spacing w:line="240" w:lineRule="auto"/>
      <w:ind w:firstLine="420"/>
    </w:pPr>
    <w:rPr>
      <w:rFonts w:ascii="Times New Roman" w:hAnsi="Times New Roman"/>
      <w:sz w:val="21"/>
      <w:szCs w:val="20"/>
    </w:rPr>
  </w:style>
  <w:style w:type="paragraph" w:customStyle="1" w:styleId="107">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08">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09">
    <w:name w:val="Indent Normal"/>
    <w:basedOn w:val="1"/>
    <w:qFormat/>
    <w:uiPriority w:val="0"/>
    <w:pPr>
      <w:ind w:firstLine="150" w:firstLineChars="150"/>
    </w:pPr>
  </w:style>
  <w:style w:type="paragraph" w:customStyle="1" w:styleId="110">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1">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12">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3">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4">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5">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7">
    <w:name w:val="Char Char Char Char Char Char1 Char"/>
    <w:basedOn w:val="1"/>
    <w:qFormat/>
    <w:uiPriority w:val="0"/>
    <w:pPr>
      <w:widowControl/>
      <w:spacing w:after="160" w:line="240" w:lineRule="exact"/>
      <w:jc w:val="left"/>
    </w:pPr>
  </w:style>
  <w:style w:type="paragraph" w:customStyle="1" w:styleId="118">
    <w:name w:val="PM_Body"/>
    <w:basedOn w:val="1"/>
    <w:qFormat/>
    <w:locked/>
    <w:uiPriority w:val="0"/>
    <w:rPr>
      <w:szCs w:val="21"/>
    </w:rPr>
  </w:style>
  <w:style w:type="paragraph" w:customStyle="1" w:styleId="119">
    <w:name w:val="Char Char1"/>
    <w:basedOn w:val="1"/>
    <w:qFormat/>
    <w:uiPriority w:val="0"/>
    <w:pPr>
      <w:widowControl/>
      <w:spacing w:before="120" w:after="120"/>
    </w:pPr>
    <w:rPr>
      <w:rFonts w:ascii="Times New Roman" w:hAnsi="Times New Roman" w:cs="宋体"/>
    </w:rPr>
  </w:style>
  <w:style w:type="paragraph" w:customStyle="1" w:styleId="120">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1">
    <w:name w:val="修订1"/>
    <w:unhideWhenUsed/>
    <w:qFormat/>
    <w:uiPriority w:val="99"/>
    <w:rPr>
      <w:rFonts w:ascii="宋体" w:hAnsi="宋体" w:eastAsia="宋体" w:cs="Times New Roman"/>
      <w:kern w:val="2"/>
      <w:sz w:val="24"/>
      <w:szCs w:val="24"/>
      <w:lang w:val="en-US" w:eastAsia="zh-CN" w:bidi="ar-SA"/>
    </w:rPr>
  </w:style>
  <w:style w:type="paragraph" w:customStyle="1" w:styleId="122">
    <w:name w:val="列出段落2"/>
    <w:basedOn w:val="1"/>
    <w:qFormat/>
    <w:uiPriority w:val="0"/>
    <w:pPr>
      <w:spacing w:line="240" w:lineRule="auto"/>
      <w:ind w:firstLine="420"/>
    </w:pPr>
    <w:rPr>
      <w:rFonts w:ascii="等线" w:hAnsi="等线" w:eastAsia="等线" w:cs="等线"/>
      <w:sz w:val="21"/>
      <w:szCs w:val="21"/>
    </w:rPr>
  </w:style>
  <w:style w:type="paragraph" w:customStyle="1" w:styleId="123">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5">
    <w:name w:val="文档正文文本（中安网脉）"/>
    <w:basedOn w:val="1"/>
    <w:qFormat/>
    <w:uiPriority w:val="0"/>
    <w:pPr>
      <w:ind w:firstLine="200"/>
    </w:pPr>
    <w:rPr>
      <w:rFonts w:ascii="Times New Roman" w:hAnsi="Times New Roman" w:eastAsia="仿宋_GB2312"/>
      <w:color w:val="000000"/>
      <w:szCs w:val="28"/>
    </w:rPr>
  </w:style>
  <w:style w:type="paragraph" w:customStyle="1" w:styleId="126">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7">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8">
    <w:name w:val="样式 行距: 1.5 倍行距 首行缩进:  2 字符"/>
    <w:basedOn w:val="1"/>
    <w:qFormat/>
    <w:uiPriority w:val="0"/>
    <w:pPr>
      <w:ind w:firstLine="560"/>
      <w:jc w:val="left"/>
    </w:pPr>
    <w:rPr>
      <w:rFonts w:ascii="仿宋" w:hAnsi="仿宋" w:eastAsia="仿宋" w:cs="宋体"/>
      <w:sz w:val="28"/>
      <w:szCs w:val="20"/>
    </w:rPr>
  </w:style>
  <w:style w:type="paragraph" w:customStyle="1" w:styleId="129">
    <w:name w:val="TOC 标题1"/>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0">
    <w:name w:val="!我的表格1"/>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1">
    <w:name w:val="网格型1"/>
    <w:basedOn w:val="35"/>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2">
    <w:name w:val="标题 1 Char"/>
    <w:qFormat/>
    <w:uiPriority w:val="0"/>
    <w:rPr>
      <w:rFonts w:ascii="宋体" w:hAnsi="宋体" w:eastAsia="黑体"/>
      <w:b/>
      <w:bCs/>
      <w:kern w:val="44"/>
      <w:sz w:val="32"/>
      <w:szCs w:val="28"/>
    </w:rPr>
  </w:style>
  <w:style w:type="character" w:customStyle="1" w:styleId="133">
    <w:name w:val="纯文本 Char2"/>
    <w:qFormat/>
    <w:uiPriority w:val="0"/>
    <w:rPr>
      <w:rFonts w:ascii="宋体" w:hAnsi="宋体" w:eastAsia="宋体" w:cs="Times New Roman"/>
      <w:color w:val="000000"/>
      <w:kern w:val="0"/>
      <w:sz w:val="24"/>
      <w:szCs w:val="24"/>
    </w:rPr>
  </w:style>
  <w:style w:type="paragraph" w:customStyle="1" w:styleId="134">
    <w:name w:val="列出段落1"/>
    <w:basedOn w:val="1"/>
    <w:autoRedefine/>
    <w:qFormat/>
    <w:uiPriority w:val="34"/>
    <w:pPr>
      <w:spacing w:line="240" w:lineRule="auto"/>
      <w:ind w:firstLine="420"/>
    </w:pPr>
    <w:rPr>
      <w:rFonts w:ascii="Calibri" w:hAnsi="Calibri"/>
      <w:sz w:val="21"/>
      <w:szCs w:val="22"/>
    </w:rPr>
  </w:style>
  <w:style w:type="paragraph" w:customStyle="1" w:styleId="135">
    <w:name w:val="样式2"/>
    <w:basedOn w:val="1"/>
    <w:qFormat/>
    <w:uiPriority w:val="0"/>
    <w:rPr>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1D9AD641-0B16-48B9-B81A-C11DF304B1BF}">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3711</Words>
  <Characters>21159</Characters>
  <Lines>176</Lines>
  <Paragraphs>49</Paragraphs>
  <TotalTime>3999</TotalTime>
  <ScaleCrop>false</ScaleCrop>
  <LinksUpToDate>false</LinksUpToDate>
  <CharactersWithSpaces>24821</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2022-12-25T01:54:00Z</dcterms:created>
  <dc:creator>gtig_tzb</dc:creator>
  <cp:lastModifiedBy>王婉婷</cp:lastModifiedBy>
  <cp:lastPrinted>2020-08-08T12:08:00Z</cp:lastPrinted>
  <dcterms:modified xsi:type="dcterms:W3CDTF">2026-01-14T13:46:31Z</dcterms:modified>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99078E94B8EC48E3A26F0151BF8A7C14_13</vt:lpwstr>
  </property>
  <property fmtid="{D5CDD505-2E9C-101B-9397-08002B2CF9AE}" pid="4" name="KSOTemplateDocerSaveRecord">
    <vt:lpwstr>eyJoZGlkIjoiY2U2ZjliNDdiOTk0MmY5NDBhMWEwYWQwOWExNjRhNWUiLCJ1c2VySWQiOiI2NjQyMTk2NDEifQ==</vt:lpwstr>
  </property>
</Properties>
</file>