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D3FF">
      <w:pPr>
        <w:ind w:firstLine="0" w:firstLineChars="0"/>
        <w:jc w:val="center"/>
        <w:rPr>
          <w:rFonts w:hint="eastAsia" w:ascii="黑体" w:hAnsi="黑体" w:eastAsia="黑体"/>
          <w:sz w:val="48"/>
          <w:szCs w:val="48"/>
        </w:rPr>
      </w:pPr>
    </w:p>
    <w:p w14:paraId="59A05F49">
      <w:pPr>
        <w:ind w:firstLine="0" w:firstLineChars="0"/>
        <w:jc w:val="center"/>
        <w:rPr>
          <w:rFonts w:hint="eastAsia" w:ascii="黑体" w:hAnsi="黑体" w:eastAsia="黑体"/>
          <w:sz w:val="48"/>
          <w:szCs w:val="48"/>
        </w:rPr>
      </w:pPr>
    </w:p>
    <w:p w14:paraId="3A508F32">
      <w:pPr>
        <w:ind w:firstLine="0" w:firstLineChars="0"/>
        <w:jc w:val="center"/>
        <w:rPr>
          <w:rFonts w:hint="eastAsia" w:ascii="黑体" w:hAnsi="黑体" w:eastAsia="黑体"/>
          <w:sz w:val="48"/>
          <w:szCs w:val="48"/>
        </w:rPr>
      </w:pPr>
    </w:p>
    <w:p w14:paraId="7588597E">
      <w:pPr>
        <w:ind w:firstLine="0" w:firstLineChars="0"/>
        <w:jc w:val="center"/>
        <w:rPr>
          <w:rFonts w:hint="eastAsia" w:ascii="黑体" w:hAnsi="黑体" w:eastAsia="黑体"/>
          <w:sz w:val="48"/>
          <w:szCs w:val="48"/>
        </w:rPr>
      </w:pPr>
    </w:p>
    <w:p w14:paraId="27900A89">
      <w:pPr>
        <w:ind w:firstLine="0" w:firstLineChars="0"/>
        <w:jc w:val="center"/>
        <w:rPr>
          <w:rFonts w:hint="eastAsia" w:ascii="黑体" w:hAnsi="黑体" w:eastAsia="黑体"/>
          <w:sz w:val="48"/>
          <w:szCs w:val="48"/>
        </w:rPr>
      </w:pPr>
      <w:r>
        <w:rPr>
          <w:rFonts w:hint="eastAsia" w:ascii="黑体" w:hAnsi="黑体" w:eastAsia="黑体"/>
          <w:sz w:val="48"/>
          <w:szCs w:val="48"/>
        </w:rPr>
        <w:t>上海市交通行业热线信息管理系统（2026年升级改造）</w:t>
      </w:r>
    </w:p>
    <w:p w14:paraId="07AC253C">
      <w:pPr>
        <w:ind w:firstLine="0" w:firstLineChars="0"/>
        <w:jc w:val="center"/>
        <w:rPr>
          <w:rFonts w:hint="eastAsia" w:ascii="黑体" w:hAnsi="黑体" w:eastAsia="黑体"/>
          <w:sz w:val="48"/>
          <w:szCs w:val="48"/>
        </w:rPr>
      </w:pPr>
    </w:p>
    <w:p w14:paraId="49B3E73F">
      <w:pPr>
        <w:ind w:firstLine="0" w:firstLineChars="0"/>
        <w:jc w:val="center"/>
        <w:rPr>
          <w:rFonts w:hint="eastAsia" w:ascii="黑体" w:hAnsi="黑体" w:eastAsia="黑体"/>
          <w:sz w:val="48"/>
          <w:szCs w:val="48"/>
        </w:rPr>
      </w:pPr>
    </w:p>
    <w:p w14:paraId="4D6328F8">
      <w:pPr>
        <w:ind w:firstLine="0" w:firstLineChars="0"/>
        <w:jc w:val="center"/>
        <w:rPr>
          <w:rFonts w:hint="eastAsia" w:ascii="黑体" w:hAnsi="黑体" w:eastAsia="黑体"/>
          <w:sz w:val="48"/>
          <w:szCs w:val="48"/>
        </w:rPr>
      </w:pPr>
      <w:r>
        <w:rPr>
          <w:rFonts w:hint="eastAsia" w:ascii="黑体" w:hAnsi="黑体" w:eastAsia="黑体"/>
          <w:sz w:val="48"/>
          <w:szCs w:val="48"/>
        </w:rPr>
        <w:t>采购需求</w:t>
      </w:r>
    </w:p>
    <w:p w14:paraId="01E78B5C">
      <w:pPr>
        <w:ind w:firstLine="0" w:firstLineChars="0"/>
        <w:jc w:val="center"/>
        <w:rPr>
          <w:rFonts w:hint="eastAsia" w:ascii="黑体" w:hAnsi="黑体" w:eastAsia="黑体"/>
          <w:sz w:val="48"/>
          <w:szCs w:val="48"/>
        </w:rPr>
      </w:pPr>
    </w:p>
    <w:p w14:paraId="6683BEF3">
      <w:pPr>
        <w:ind w:firstLine="0" w:firstLineChars="0"/>
        <w:jc w:val="center"/>
        <w:rPr>
          <w:rFonts w:hint="eastAsia" w:ascii="黑体" w:hAnsi="黑体" w:eastAsia="黑体"/>
          <w:sz w:val="48"/>
          <w:szCs w:val="48"/>
        </w:rPr>
      </w:pPr>
    </w:p>
    <w:p w14:paraId="2D8657EB">
      <w:pPr>
        <w:ind w:firstLine="0" w:firstLineChars="0"/>
        <w:jc w:val="center"/>
        <w:rPr>
          <w:rFonts w:hint="eastAsia" w:ascii="黑体" w:hAnsi="黑体" w:eastAsia="黑体"/>
          <w:sz w:val="48"/>
          <w:szCs w:val="48"/>
        </w:rPr>
      </w:pPr>
    </w:p>
    <w:p w14:paraId="08616D9E">
      <w:pPr>
        <w:ind w:firstLine="0" w:firstLineChars="0"/>
        <w:jc w:val="center"/>
        <w:rPr>
          <w:rFonts w:hint="eastAsia" w:ascii="黑体" w:hAnsi="黑体" w:eastAsia="黑体"/>
          <w:sz w:val="48"/>
          <w:szCs w:val="48"/>
        </w:rPr>
      </w:pPr>
    </w:p>
    <w:p w14:paraId="027A6778">
      <w:pPr>
        <w:ind w:firstLine="0" w:firstLineChars="0"/>
        <w:jc w:val="center"/>
        <w:rPr>
          <w:rFonts w:hint="eastAsia" w:ascii="黑体" w:hAnsi="黑体" w:eastAsia="黑体"/>
          <w:sz w:val="48"/>
          <w:szCs w:val="48"/>
        </w:rPr>
      </w:pPr>
    </w:p>
    <w:p w14:paraId="402A088A">
      <w:pPr>
        <w:ind w:firstLine="0" w:firstLineChars="0"/>
        <w:jc w:val="center"/>
        <w:rPr>
          <w:rFonts w:hint="eastAsia" w:ascii="黑体" w:hAnsi="黑体" w:eastAsia="黑体"/>
          <w:sz w:val="48"/>
          <w:szCs w:val="48"/>
        </w:rPr>
      </w:pPr>
    </w:p>
    <w:p w14:paraId="5FAF7858">
      <w:pPr>
        <w:ind w:firstLine="0" w:firstLineChars="0"/>
        <w:jc w:val="center"/>
        <w:rPr>
          <w:rFonts w:hint="eastAsia" w:ascii="黑体" w:hAnsi="黑体" w:eastAsia="黑体"/>
          <w:sz w:val="48"/>
          <w:szCs w:val="48"/>
        </w:rPr>
      </w:pPr>
    </w:p>
    <w:p w14:paraId="09AE6184">
      <w:pPr>
        <w:ind w:firstLine="0" w:firstLineChars="0"/>
        <w:jc w:val="center"/>
        <w:rPr>
          <w:rFonts w:hint="eastAsia" w:ascii="黑体" w:hAnsi="黑体" w:eastAsia="黑体"/>
          <w:sz w:val="48"/>
          <w:szCs w:val="48"/>
        </w:rPr>
      </w:pPr>
    </w:p>
    <w:p w14:paraId="1F871EB3">
      <w:pPr>
        <w:ind w:firstLine="480"/>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318471CD">
      <w:pPr>
        <w:pStyle w:val="2"/>
        <w:rPr>
          <w:rFonts w:hint="eastAsia"/>
        </w:rPr>
      </w:pPr>
      <w:bookmarkStart w:id="0" w:name="_Toc63785461"/>
      <w:r>
        <w:rPr>
          <w:rFonts w:hint="eastAsia"/>
        </w:rPr>
        <w:t>项目概况</w:t>
      </w:r>
      <w:bookmarkEnd w:id="0"/>
    </w:p>
    <w:p w14:paraId="216E1512">
      <w:pPr>
        <w:pStyle w:val="137"/>
        <w:spacing w:line="500" w:lineRule="exact"/>
        <w:rPr>
          <w:rFonts w:hint="eastAsia"/>
          <w:lang w:eastAsia="zh-CN"/>
        </w:rPr>
      </w:pPr>
      <w:r>
        <w:rPr>
          <w:rFonts w:hint="eastAsia"/>
          <w:lang w:eastAsia="zh-CN"/>
        </w:rPr>
        <w:t>项目背景与现状：上海市交通行业热线信息管理系统作为连接市民与交通管理部门的重要桥梁，承担着需求受理、工单派发、处置跟踪、数据分析等核心职能。近年来，国家和上海市相继出台了一系列政策文件，明确了交通行业热线系统升级改造的方向和要求，要求加强热线系统的信息化建设，提升服务效率和管理水平，实现工单数据的实时交换共享。同时提出基于热线数据的民生感知能力建设，要求优化热线系统，提升数据质量，加强数据融合与应用。随着市民对交通服务需求的不断增长，热线系统需进一步优化业务流程，提升智能化水平。本期项目建设聚焦提升热线系统的业务支撑能力提升及技术迭代优化，进一步增强交通行业热线业务赋能。</w:t>
      </w:r>
    </w:p>
    <w:p w14:paraId="1E44D4EA">
      <w:pPr>
        <w:pStyle w:val="2"/>
        <w:rPr>
          <w:rFonts w:hint="eastAsia"/>
        </w:rPr>
      </w:pPr>
      <w:bookmarkStart w:id="1" w:name="_Toc47536272"/>
      <w:bookmarkEnd w:id="1"/>
      <w:bookmarkStart w:id="2" w:name="_Toc47533256"/>
      <w:bookmarkEnd w:id="2"/>
      <w:bookmarkStart w:id="3" w:name="_Toc47537134"/>
      <w:bookmarkEnd w:id="3"/>
      <w:bookmarkStart w:id="4" w:name="_Toc47539070"/>
      <w:bookmarkEnd w:id="4"/>
      <w:bookmarkStart w:id="5" w:name="_Toc47531634"/>
      <w:bookmarkEnd w:id="5"/>
      <w:bookmarkStart w:id="6" w:name="_Toc47532255"/>
      <w:bookmarkEnd w:id="6"/>
      <w:bookmarkStart w:id="7" w:name="_Toc47536644"/>
      <w:bookmarkEnd w:id="7"/>
      <w:bookmarkStart w:id="8" w:name="_Toc47532891"/>
      <w:bookmarkEnd w:id="8"/>
      <w:bookmarkStart w:id="9" w:name="_Toc48223882"/>
      <w:bookmarkStart w:id="10" w:name="_Toc63785463"/>
      <w:r>
        <w:rPr>
          <w:rFonts w:hint="eastAsia"/>
        </w:rPr>
        <w:t>建设目标</w:t>
      </w:r>
      <w:bookmarkEnd w:id="9"/>
      <w:bookmarkEnd w:id="10"/>
    </w:p>
    <w:p w14:paraId="0A9165C4">
      <w:pPr>
        <w:pStyle w:val="137"/>
        <w:spacing w:line="500" w:lineRule="exact"/>
        <w:rPr>
          <w:rFonts w:hint="eastAsia"/>
          <w:lang w:eastAsia="zh-CN"/>
        </w:rPr>
      </w:pPr>
      <w:r>
        <w:rPr>
          <w:rFonts w:hint="eastAsia"/>
          <w:lang w:eastAsia="zh-CN"/>
        </w:rPr>
        <w:t>近年来，国家和上海市相继出台了一系列政策文件，明确了交通行业热线系统升级改造的方向和要求。国家层面，《12328交通运输服务监督热线管理办法》及其相关通知，要求加强热线系统的信息化建设，提升服务效率和管理水平，实现工单数据的实时交换共享。上海市层面，《上海交通数字化转型实施意见（2024-2026年）》提出基于热线数据的民生感知能力建设，要求优化热线系统，提升数据质量，加强数据融合与应用。相关政策为本项目的实施提供了明确的政策依据和技术指导。上海市交通行业热线信息管理系统作为连接市民与交通管理部门的重要桥梁，承担着需求受理、工单派发、处置跟踪、数据分析等核心职能。随着市民对交通服务需求的不断增长，热线系统需进一步优化业务流程，提升智能化水平。</w:t>
      </w:r>
      <w:r>
        <w:rPr>
          <w:lang w:eastAsia="zh-CN"/>
        </w:rPr>
        <w:t>本期项目建设以落实</w:t>
      </w:r>
      <w:r>
        <w:rPr>
          <w:rFonts w:hint="eastAsia"/>
          <w:lang w:eastAsia="zh-CN"/>
        </w:rPr>
        <w:t>相关</w:t>
      </w:r>
      <w:r>
        <w:rPr>
          <w:lang w:eastAsia="zh-CN"/>
        </w:rPr>
        <w:t>政策要求</w:t>
      </w:r>
      <w:r>
        <w:rPr>
          <w:rFonts w:hint="eastAsia"/>
          <w:lang w:eastAsia="zh-CN"/>
        </w:rPr>
        <w:t>、满足业务实际需求</w:t>
      </w:r>
      <w:r>
        <w:rPr>
          <w:lang w:eastAsia="zh-CN"/>
        </w:rPr>
        <w:t>为核心背景，聚焦提升热线系统的</w:t>
      </w:r>
      <w:r>
        <w:rPr>
          <w:rFonts w:hint="eastAsia"/>
          <w:lang w:eastAsia="zh-CN"/>
        </w:rPr>
        <w:t>业务支撑能力提升及技术迭代优化，进一步增强交通行业热线业务赋能，现需对上海市交通行业热线信息管理系统进行升级改造。</w:t>
      </w:r>
    </w:p>
    <w:p w14:paraId="341DDE6A">
      <w:pPr>
        <w:pStyle w:val="137"/>
        <w:spacing w:line="500" w:lineRule="exact"/>
        <w:rPr>
          <w:rFonts w:hint="eastAsia"/>
          <w:lang w:eastAsia="zh-CN"/>
        </w:rPr>
      </w:pPr>
      <w:r>
        <w:rPr>
          <w:rFonts w:hint="eastAsia"/>
          <w:lang w:eastAsia="zh-CN"/>
        </w:rPr>
        <w:t>本次建设目标如下：</w:t>
      </w:r>
    </w:p>
    <w:p w14:paraId="4E0C2366">
      <w:pPr>
        <w:pStyle w:val="137"/>
        <w:spacing w:line="500" w:lineRule="exact"/>
        <w:rPr>
          <w:rFonts w:hint="eastAsia"/>
          <w:lang w:eastAsia="zh-CN"/>
        </w:rPr>
      </w:pPr>
      <w:r>
        <w:rPr>
          <w:rFonts w:hint="eastAsia"/>
          <w:lang w:eastAsia="zh-CN"/>
        </w:rPr>
        <w:t>（1）升级改造数据接口及管理子系统，</w:t>
      </w:r>
      <w:r>
        <w:rPr>
          <w:lang w:eastAsia="zh-CN"/>
        </w:rPr>
        <w:t>改造12328/12345平台接口，</w:t>
      </w:r>
      <w:r>
        <w:rPr>
          <w:rFonts w:hint="eastAsia"/>
          <w:lang w:eastAsia="zh-CN"/>
        </w:rPr>
        <w:t>根据最新的接口规范持续优化升级</w:t>
      </w:r>
      <w:r>
        <w:rPr>
          <w:lang w:eastAsia="zh-CN"/>
        </w:rPr>
        <w:t>，实现需求受理-派发-处置-反馈的全链路闭环管理。</w:t>
      </w:r>
    </w:p>
    <w:p w14:paraId="1177130E">
      <w:pPr>
        <w:pStyle w:val="137"/>
        <w:spacing w:line="500" w:lineRule="exact"/>
        <w:rPr>
          <w:rFonts w:hint="eastAsia"/>
          <w:lang w:eastAsia="zh-CN"/>
        </w:rPr>
      </w:pPr>
      <w:r>
        <w:rPr>
          <w:rFonts w:hint="eastAsia"/>
          <w:lang w:eastAsia="zh-CN"/>
        </w:rPr>
        <w:t>（2）升级改造办理辅助模块，</w:t>
      </w:r>
      <w:r>
        <w:rPr>
          <w:lang w:eastAsia="zh-CN"/>
        </w:rPr>
        <w:t>提升派单准确率与处置效率</w:t>
      </w:r>
      <w:r>
        <w:rPr>
          <w:rFonts w:hint="eastAsia"/>
          <w:lang w:eastAsia="zh-CN"/>
        </w:rPr>
        <w:t>，</w:t>
      </w:r>
      <w:r>
        <w:rPr>
          <w:lang w:eastAsia="zh-CN"/>
        </w:rPr>
        <w:t>通过技术赋能与制度约束双轮驱动，推动业务办理向标准化、智能化、精细化方向升级。</w:t>
      </w:r>
    </w:p>
    <w:p w14:paraId="44D746E3">
      <w:pPr>
        <w:pStyle w:val="137"/>
        <w:spacing w:line="500" w:lineRule="exact"/>
        <w:rPr>
          <w:rFonts w:hint="eastAsia"/>
          <w:lang w:eastAsia="zh-CN"/>
        </w:rPr>
      </w:pPr>
      <w:r>
        <w:rPr>
          <w:rFonts w:hint="eastAsia"/>
          <w:lang w:eastAsia="zh-CN"/>
        </w:rPr>
        <w:t>（3）新建民生需求敏捷感知模块，</w:t>
      </w:r>
      <w:r>
        <w:rPr>
          <w:lang w:eastAsia="zh-CN"/>
        </w:rPr>
        <w:t>通过构建交通业态需求动态监测、重点人群/区域/时段多维度感知、风险预警智能研判体系，强化对市民需求的精准识别与前瞻预判</w:t>
      </w:r>
      <w:r>
        <w:rPr>
          <w:rFonts w:hint="eastAsia"/>
          <w:lang w:eastAsia="zh-CN"/>
        </w:rPr>
        <w:t>。</w:t>
      </w:r>
      <w:r>
        <w:rPr>
          <w:lang w:eastAsia="zh-CN"/>
        </w:rPr>
        <w:t>同步对接交通运输部和市热线办</w:t>
      </w:r>
      <w:r>
        <w:rPr>
          <w:rFonts w:hint="eastAsia"/>
          <w:lang w:eastAsia="zh-CN"/>
        </w:rPr>
        <w:t>提质增效要求。</w:t>
      </w:r>
    </w:p>
    <w:p w14:paraId="33E3C89C">
      <w:pPr>
        <w:pStyle w:val="137"/>
        <w:spacing w:line="500" w:lineRule="exact"/>
        <w:rPr>
          <w:rFonts w:hint="eastAsia"/>
          <w:lang w:eastAsia="zh-CN"/>
        </w:rPr>
      </w:pPr>
      <w:r>
        <w:rPr>
          <w:rFonts w:hint="eastAsia"/>
          <w:lang w:eastAsia="zh-CN"/>
        </w:rPr>
        <w:t>（4）完成系统XC改造，完成对诉求管理子系统、诉求处置流程可视化管理子系统、诉求统计分析子系统、绩效评估子系统部分进行XC改造。</w:t>
      </w:r>
    </w:p>
    <w:p w14:paraId="7DC60CE7">
      <w:pPr>
        <w:pStyle w:val="137"/>
        <w:spacing w:line="500" w:lineRule="exact"/>
        <w:rPr>
          <w:rFonts w:hint="eastAsia"/>
          <w:lang w:eastAsia="zh-CN"/>
        </w:rPr>
      </w:pPr>
      <w:r>
        <w:rPr>
          <w:rFonts w:hint="eastAsia"/>
          <w:lang w:eastAsia="zh-CN"/>
        </w:rPr>
        <w:t>（5）完成大模型相关数据预处理及接口，主要赋能办理辅助模块中所使用的大模型能力，完成对应的数据预处理及接口开发。</w:t>
      </w:r>
    </w:p>
    <w:p w14:paraId="27E8B35A">
      <w:pPr>
        <w:pStyle w:val="2"/>
        <w:rPr>
          <w:rFonts w:hint="eastAsia"/>
        </w:rPr>
      </w:pPr>
      <w:bookmarkStart w:id="11" w:name="_Toc47537166"/>
      <w:bookmarkEnd w:id="11"/>
      <w:bookmarkStart w:id="12" w:name="_Toc47533288"/>
      <w:bookmarkEnd w:id="12"/>
      <w:bookmarkStart w:id="13" w:name="_Toc47532923"/>
      <w:bookmarkEnd w:id="13"/>
      <w:bookmarkStart w:id="14" w:name="_Toc47536304"/>
      <w:bookmarkEnd w:id="14"/>
      <w:bookmarkStart w:id="15" w:name="_Toc47536676"/>
      <w:bookmarkEnd w:id="15"/>
      <w:bookmarkStart w:id="16" w:name="_Toc47539102"/>
      <w:bookmarkEnd w:id="16"/>
      <w:r>
        <w:rPr>
          <w:rFonts w:hint="eastAsia"/>
        </w:rPr>
        <w:t>项目建设内容</w:t>
      </w:r>
    </w:p>
    <w:p w14:paraId="03A70F6B">
      <w:pPr>
        <w:ind w:firstLine="0" w:firstLineChars="0"/>
        <w:rPr>
          <w:rFonts w:hint="eastAsia"/>
          <w:bCs/>
        </w:rPr>
      </w:pPr>
      <w:r>
        <w:rPr>
          <w:rFonts w:hint="eastAsia"/>
          <w:bCs/>
        </w:rPr>
        <w:t>软件开发清单：</w:t>
      </w:r>
    </w:p>
    <w:tbl>
      <w:tblPr>
        <w:tblStyle w:val="3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7"/>
        <w:gridCol w:w="873"/>
        <w:gridCol w:w="2331"/>
        <w:gridCol w:w="4744"/>
      </w:tblGrid>
      <w:tr w14:paraId="5A15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shd w:val="clear" w:color="auto" w:fill="F1F1F1" w:themeFill="background1" w:themeFillShade="F2"/>
            <w:vAlign w:val="center"/>
          </w:tcPr>
          <w:p w14:paraId="48E2F3AD">
            <w:pPr>
              <w:spacing w:line="240" w:lineRule="auto"/>
              <w:ind w:firstLine="0" w:firstLineChars="0"/>
              <w:jc w:val="center"/>
              <w:textAlignment w:val="center"/>
              <w:rPr>
                <w:rFonts w:hint="eastAsia" w:cs="宋体"/>
                <w:b/>
                <w:bCs/>
                <w:color w:val="000000"/>
                <w:sz w:val="21"/>
                <w:szCs w:val="21"/>
                <w:lang w:bidi="ar"/>
              </w:rPr>
            </w:pPr>
            <w:r>
              <w:rPr>
                <w:rFonts w:hint="eastAsia" w:cs="宋体"/>
                <w:b/>
                <w:bCs/>
                <w:color w:val="000000"/>
                <w:sz w:val="21"/>
                <w:szCs w:val="21"/>
                <w:lang w:bidi="ar"/>
              </w:rPr>
              <w:t>序号</w:t>
            </w:r>
          </w:p>
        </w:tc>
        <w:tc>
          <w:tcPr>
            <w:tcW w:w="850" w:type="dxa"/>
            <w:shd w:val="clear" w:color="auto" w:fill="F1F1F1" w:themeFill="background1" w:themeFillShade="F2"/>
            <w:noWrap/>
            <w:vAlign w:val="center"/>
          </w:tcPr>
          <w:p w14:paraId="7066F0EA">
            <w:pPr>
              <w:spacing w:line="240" w:lineRule="auto"/>
              <w:ind w:firstLine="0" w:firstLineChars="0"/>
              <w:textAlignment w:val="center"/>
              <w:rPr>
                <w:rFonts w:hint="eastAsia" w:cs="宋体"/>
                <w:b/>
                <w:bCs/>
                <w:color w:val="000000"/>
                <w:sz w:val="21"/>
                <w:szCs w:val="21"/>
                <w:lang w:bidi="ar"/>
              </w:rPr>
            </w:pPr>
            <w:r>
              <w:rPr>
                <w:rFonts w:hint="eastAsia" w:cs="宋体"/>
                <w:b/>
                <w:bCs/>
                <w:color w:val="000000"/>
                <w:sz w:val="21"/>
                <w:szCs w:val="21"/>
                <w:lang w:bidi="ar"/>
              </w:rPr>
              <w:t>应用系统名称</w:t>
            </w:r>
          </w:p>
        </w:tc>
        <w:tc>
          <w:tcPr>
            <w:tcW w:w="2269" w:type="dxa"/>
            <w:shd w:val="clear" w:color="auto" w:fill="F1F1F1" w:themeFill="background1" w:themeFillShade="F2"/>
            <w:noWrap/>
            <w:vAlign w:val="center"/>
          </w:tcPr>
          <w:p w14:paraId="6B095BF6">
            <w:pPr>
              <w:spacing w:line="240" w:lineRule="auto"/>
              <w:ind w:firstLine="0" w:firstLineChars="0"/>
              <w:jc w:val="center"/>
              <w:textAlignment w:val="center"/>
              <w:rPr>
                <w:rFonts w:hint="eastAsia" w:cs="宋体"/>
                <w:b/>
                <w:bCs/>
                <w:color w:val="000000"/>
                <w:sz w:val="21"/>
                <w:szCs w:val="21"/>
                <w:lang w:bidi="ar"/>
              </w:rPr>
            </w:pPr>
            <w:r>
              <w:rPr>
                <w:rFonts w:hint="eastAsia" w:cs="宋体"/>
                <w:b/>
                <w:bCs/>
                <w:color w:val="000000"/>
                <w:sz w:val="21"/>
                <w:szCs w:val="21"/>
                <w:lang w:bidi="ar"/>
              </w:rPr>
              <w:t>模块名称</w:t>
            </w:r>
          </w:p>
        </w:tc>
        <w:tc>
          <w:tcPr>
            <w:tcW w:w="4618" w:type="dxa"/>
            <w:shd w:val="clear" w:color="auto" w:fill="F1F1F1" w:themeFill="background1" w:themeFillShade="F2"/>
            <w:vAlign w:val="center"/>
          </w:tcPr>
          <w:p w14:paraId="23DA1981">
            <w:pPr>
              <w:spacing w:line="240" w:lineRule="auto"/>
              <w:ind w:firstLine="0" w:firstLineChars="0"/>
              <w:jc w:val="center"/>
              <w:textAlignment w:val="center"/>
              <w:rPr>
                <w:rFonts w:hint="eastAsia" w:cs="宋体"/>
                <w:b/>
                <w:bCs/>
                <w:color w:val="000000"/>
                <w:sz w:val="21"/>
                <w:szCs w:val="21"/>
                <w:lang w:bidi="ar"/>
              </w:rPr>
            </w:pPr>
            <w:r>
              <w:rPr>
                <w:rFonts w:hint="eastAsia" w:cs="宋体"/>
                <w:b/>
                <w:bCs/>
                <w:color w:val="000000"/>
                <w:sz w:val="21"/>
                <w:szCs w:val="21"/>
                <w:lang w:bidi="ar"/>
              </w:rPr>
              <w:t>模块描述</w:t>
            </w:r>
          </w:p>
        </w:tc>
      </w:tr>
      <w:tr w14:paraId="5930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459E56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w:t>
            </w:r>
          </w:p>
        </w:tc>
        <w:tc>
          <w:tcPr>
            <w:tcW w:w="850" w:type="dxa"/>
            <w:vMerge w:val="restart"/>
            <w:noWrap/>
            <w:vAlign w:val="center"/>
          </w:tcPr>
          <w:p w14:paraId="3AC2EE46">
            <w:pPr>
              <w:spacing w:line="240" w:lineRule="auto"/>
              <w:ind w:firstLine="0" w:firstLineChars="0"/>
              <w:textAlignment w:val="center"/>
              <w:rPr>
                <w:rFonts w:hint="eastAsia" w:cs="宋体"/>
                <w:color w:val="000000"/>
                <w:sz w:val="21"/>
                <w:szCs w:val="21"/>
                <w:lang w:bidi="ar"/>
              </w:rPr>
            </w:pPr>
            <w:r>
              <w:rPr>
                <w:rFonts w:hint="eastAsia" w:cs="宋体"/>
                <w:color w:val="000000"/>
                <w:sz w:val="21"/>
                <w:szCs w:val="21"/>
                <w:lang w:bidi="ar"/>
              </w:rPr>
              <w:t>数据接口及管理子系统（升级改造）</w:t>
            </w:r>
          </w:p>
        </w:tc>
        <w:tc>
          <w:tcPr>
            <w:tcW w:w="2269" w:type="dxa"/>
            <w:noWrap/>
            <w:vAlign w:val="center"/>
          </w:tcPr>
          <w:p w14:paraId="08CFCBF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12328数据接口改造-新建身份验证类接口（1个）</w:t>
            </w:r>
          </w:p>
        </w:tc>
        <w:tc>
          <w:tcPr>
            <w:tcW w:w="4618" w:type="dxa"/>
            <w:vAlign w:val="center"/>
          </w:tcPr>
          <w:p w14:paraId="25C49A9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新建身份验证类接口，用户通过身份验证获取令牌，用于后续接口调用，支持多服务共享令牌。</w:t>
            </w:r>
          </w:p>
        </w:tc>
      </w:tr>
      <w:tr w14:paraId="6CDE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0A3893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w:t>
            </w:r>
          </w:p>
        </w:tc>
        <w:tc>
          <w:tcPr>
            <w:tcW w:w="850" w:type="dxa"/>
            <w:vMerge w:val="continue"/>
            <w:noWrap/>
            <w:vAlign w:val="center"/>
          </w:tcPr>
          <w:p w14:paraId="37E4B1E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3AABFF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12328数据接口改造-新建平台企业直达办理类接口（8个）</w:t>
            </w:r>
          </w:p>
        </w:tc>
        <w:tc>
          <w:tcPr>
            <w:tcW w:w="4618" w:type="dxa"/>
            <w:vAlign w:val="center"/>
          </w:tcPr>
          <w:p w14:paraId="0400645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实现平台企业与12328热线系统之间的工单直达办理功能，包括工单派单、附件交换、办理进度反馈、办理结果反馈、催办及解释、整改工单派单与结果反馈等，提升工单处理效率和协同能力。</w:t>
            </w:r>
          </w:p>
        </w:tc>
      </w:tr>
      <w:tr w14:paraId="4AB6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62" w:type="dxa"/>
            <w:vAlign w:val="center"/>
          </w:tcPr>
          <w:p w14:paraId="6430D93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w:t>
            </w:r>
          </w:p>
        </w:tc>
        <w:tc>
          <w:tcPr>
            <w:tcW w:w="850" w:type="dxa"/>
            <w:vMerge w:val="continue"/>
            <w:noWrap/>
            <w:vAlign w:val="center"/>
          </w:tcPr>
          <w:p w14:paraId="67E41B8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C37972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12328数据接口改造-新建业务管理类接口（5个）</w:t>
            </w:r>
          </w:p>
        </w:tc>
        <w:tc>
          <w:tcPr>
            <w:tcW w:w="4618" w:type="dxa"/>
            <w:vAlign w:val="center"/>
          </w:tcPr>
          <w:p w14:paraId="03920B1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支持12328热线系统内部的业务管理功能，包括心跳检测、工单模板推送、业务领域事项推送、附件交换以及平台企业编码推送等，增强系统间的信息同步和管理能力。</w:t>
            </w:r>
          </w:p>
        </w:tc>
      </w:tr>
      <w:tr w14:paraId="5A07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CA1999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w:t>
            </w:r>
          </w:p>
        </w:tc>
        <w:tc>
          <w:tcPr>
            <w:tcW w:w="850" w:type="dxa"/>
            <w:vMerge w:val="continue"/>
            <w:noWrap/>
            <w:vAlign w:val="center"/>
          </w:tcPr>
          <w:p w14:paraId="7565CBE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25B01C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12328数据接口改造-全流程跟踪数据报送类接口改造（14个）</w:t>
            </w:r>
          </w:p>
        </w:tc>
        <w:tc>
          <w:tcPr>
            <w:tcW w:w="4618" w:type="dxa"/>
            <w:vAlign w:val="center"/>
          </w:tcPr>
          <w:p w14:paraId="0B97AB4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省级12328热线系统向部级12328热线系统报送全流程跟踪数据，包括工单受理、派单、响应、办结、评价等环节的数据。</w:t>
            </w:r>
          </w:p>
        </w:tc>
      </w:tr>
      <w:tr w14:paraId="6376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858FDC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w:t>
            </w:r>
          </w:p>
        </w:tc>
        <w:tc>
          <w:tcPr>
            <w:tcW w:w="850" w:type="dxa"/>
            <w:vMerge w:val="continue"/>
            <w:noWrap/>
            <w:vAlign w:val="center"/>
          </w:tcPr>
          <w:p w14:paraId="67A39ED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12DD75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12328数据接口改造-跨省转办工单办理类接口改造（3个）</w:t>
            </w:r>
          </w:p>
        </w:tc>
        <w:tc>
          <w:tcPr>
            <w:tcW w:w="4618" w:type="dxa"/>
            <w:vAlign w:val="center"/>
          </w:tcPr>
          <w:p w14:paraId="3FF6403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省级12328热线系统通过部级12328热线系统跨省转办工单，包括工单转派、附件交换、办理结果反馈等功能。</w:t>
            </w:r>
          </w:p>
        </w:tc>
      </w:tr>
      <w:tr w14:paraId="3702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272B3B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w:t>
            </w:r>
          </w:p>
        </w:tc>
        <w:tc>
          <w:tcPr>
            <w:tcW w:w="850" w:type="dxa"/>
            <w:vMerge w:val="continue"/>
            <w:noWrap/>
            <w:vAlign w:val="center"/>
          </w:tcPr>
          <w:p w14:paraId="0AA37053">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D108A1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12328数据接口改造-工单办理类接口改造（6个）</w:t>
            </w:r>
          </w:p>
        </w:tc>
        <w:tc>
          <w:tcPr>
            <w:tcW w:w="4618" w:type="dxa"/>
            <w:vAlign w:val="center"/>
          </w:tcPr>
          <w:p w14:paraId="2F0B132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省级12328热线系统与部级12328热线系统之间进行工单办理相关数据的交互，包括工单受理、派单、响应、办结、评价等环节。</w:t>
            </w:r>
          </w:p>
        </w:tc>
      </w:tr>
      <w:tr w14:paraId="281E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68157A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w:t>
            </w:r>
          </w:p>
        </w:tc>
        <w:tc>
          <w:tcPr>
            <w:tcW w:w="850" w:type="dxa"/>
            <w:vMerge w:val="continue"/>
            <w:noWrap/>
            <w:vAlign w:val="center"/>
          </w:tcPr>
          <w:p w14:paraId="0FE04B1A">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078C1D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12328数据接口改造-知识数据交换类接口改造（9个）</w:t>
            </w:r>
          </w:p>
        </w:tc>
        <w:tc>
          <w:tcPr>
            <w:tcW w:w="4618" w:type="dxa"/>
            <w:vAlign w:val="center"/>
          </w:tcPr>
          <w:p w14:paraId="14880D5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省级12328热线系统与部级12328热线系统之间进行知识数据的交换，包括知识上报、知识下发、知识类别管理等功能。</w:t>
            </w:r>
          </w:p>
        </w:tc>
      </w:tr>
      <w:tr w14:paraId="51D34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259B45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w:t>
            </w:r>
          </w:p>
        </w:tc>
        <w:tc>
          <w:tcPr>
            <w:tcW w:w="850" w:type="dxa"/>
            <w:vMerge w:val="continue"/>
            <w:noWrap/>
            <w:vAlign w:val="center"/>
          </w:tcPr>
          <w:p w14:paraId="739DC95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D173CD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12345数据接口改造-新增接口开发（28个）</w:t>
            </w:r>
          </w:p>
        </w:tc>
        <w:tc>
          <w:tcPr>
            <w:tcW w:w="4618" w:type="dxa"/>
            <w:vAlign w:val="center"/>
          </w:tcPr>
          <w:p w14:paraId="057EE26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开发新的接口，支持12345热线系统与其他系统之间的数据交互，包括工单受理、派单、办理、评价、知识管理等功能。</w:t>
            </w:r>
          </w:p>
        </w:tc>
      </w:tr>
      <w:tr w14:paraId="6017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3D1007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w:t>
            </w:r>
          </w:p>
        </w:tc>
        <w:tc>
          <w:tcPr>
            <w:tcW w:w="850" w:type="dxa"/>
            <w:vMerge w:val="continue"/>
            <w:noWrap/>
            <w:vAlign w:val="center"/>
          </w:tcPr>
          <w:p w14:paraId="65F228F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964E0D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12345数据接口改造-既有接口改造（2个）</w:t>
            </w:r>
          </w:p>
        </w:tc>
        <w:tc>
          <w:tcPr>
            <w:tcW w:w="4618" w:type="dxa"/>
            <w:vAlign w:val="center"/>
          </w:tcPr>
          <w:p w14:paraId="03435ED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对现有接口进行改造，优化接口性能，提升数据交互的稳定性和安全性。</w:t>
            </w:r>
          </w:p>
        </w:tc>
      </w:tr>
      <w:tr w14:paraId="14A8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FA752E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w:t>
            </w:r>
          </w:p>
        </w:tc>
        <w:tc>
          <w:tcPr>
            <w:tcW w:w="850" w:type="dxa"/>
            <w:vMerge w:val="continue"/>
            <w:noWrap/>
            <w:vAlign w:val="center"/>
          </w:tcPr>
          <w:p w14:paraId="59559B8D">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DE28FB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12345数据接口改造-热线工单五级分类体系建设与数据同步</w:t>
            </w:r>
          </w:p>
        </w:tc>
        <w:tc>
          <w:tcPr>
            <w:tcW w:w="4618" w:type="dxa"/>
            <w:vAlign w:val="center"/>
          </w:tcPr>
          <w:p w14:paraId="50423BC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在系统内启用五级分类体系，细化工单标签维度，提升数据统计精准度。并更新系统内分类映射关系，同步对接交通部分类编号，确保数据统计口径一致。</w:t>
            </w:r>
          </w:p>
        </w:tc>
      </w:tr>
      <w:tr w14:paraId="5A50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1567D0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w:t>
            </w:r>
          </w:p>
        </w:tc>
        <w:tc>
          <w:tcPr>
            <w:tcW w:w="850" w:type="dxa"/>
            <w:vMerge w:val="continue"/>
            <w:noWrap/>
            <w:vAlign w:val="center"/>
          </w:tcPr>
          <w:p w14:paraId="20A18E1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7662C8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12345数据接口改造-双因子认证改造</w:t>
            </w:r>
          </w:p>
        </w:tc>
        <w:tc>
          <w:tcPr>
            <w:tcW w:w="4618" w:type="dxa"/>
            <w:vAlign w:val="center"/>
          </w:tcPr>
          <w:p w14:paraId="14CE8D3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对现有登录安全性能进行升级，提供增强账户安全性的身份验证机制，为系统800余个账号开发双因子登录功能，通过“账号+手机动态码”提升登录安全性。</w:t>
            </w:r>
          </w:p>
        </w:tc>
      </w:tr>
      <w:tr w14:paraId="0BA5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C9C56B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w:t>
            </w:r>
          </w:p>
        </w:tc>
        <w:tc>
          <w:tcPr>
            <w:tcW w:w="850" w:type="dxa"/>
            <w:vMerge w:val="restart"/>
            <w:noWrap/>
            <w:vAlign w:val="center"/>
          </w:tcPr>
          <w:p w14:paraId="36DB98E9">
            <w:pPr>
              <w:spacing w:line="240" w:lineRule="auto"/>
              <w:ind w:firstLine="0" w:firstLineChars="0"/>
              <w:textAlignment w:val="center"/>
              <w:rPr>
                <w:rFonts w:hint="eastAsia" w:cs="宋体"/>
                <w:color w:val="000000"/>
                <w:sz w:val="21"/>
                <w:szCs w:val="21"/>
                <w:lang w:bidi="ar"/>
              </w:rPr>
            </w:pPr>
            <w:r>
              <w:rPr>
                <w:rFonts w:hint="eastAsia" w:cs="宋体"/>
                <w:color w:val="000000"/>
                <w:sz w:val="21"/>
                <w:szCs w:val="21"/>
                <w:lang w:bidi="ar"/>
              </w:rPr>
              <w:t>办理辅助（升级改造）</w:t>
            </w:r>
          </w:p>
        </w:tc>
        <w:tc>
          <w:tcPr>
            <w:tcW w:w="2269" w:type="dxa"/>
            <w:noWrap/>
            <w:vAlign w:val="center"/>
          </w:tcPr>
          <w:p w14:paraId="732DEC7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工单处理智能辅助-工单信息预处理-工单关键信息提取与分类</w:t>
            </w:r>
          </w:p>
        </w:tc>
        <w:tc>
          <w:tcPr>
            <w:tcW w:w="4618" w:type="dxa"/>
            <w:vAlign w:val="center"/>
          </w:tcPr>
          <w:p w14:paraId="0B8BD0A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从原始工单数据中识别并抽取出核心要素。包括工单编号、工单类型、行业分类、来电内容描述、事务相关地址等。通过自然语言处理（NLP）技术或正则表达式匹配，自动化地从工单文本中提取所需字段。并利用预定义的分类规则和关键词库对提取的关键信息进行业态数据分级分类。</w:t>
            </w:r>
          </w:p>
          <w:p w14:paraId="7C57631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支持公交线路、巡游出租车、网约车信息、地理信息的提取及匹配。同时应实现反映类别、反映行业、反映内容、受理部门、派发企业、标签规则匹配及预填写。</w:t>
            </w:r>
          </w:p>
        </w:tc>
      </w:tr>
      <w:tr w14:paraId="6655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62" w:type="dxa"/>
            <w:vAlign w:val="center"/>
          </w:tcPr>
          <w:p w14:paraId="3AB1CF3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w:t>
            </w:r>
          </w:p>
        </w:tc>
        <w:tc>
          <w:tcPr>
            <w:tcW w:w="850" w:type="dxa"/>
            <w:vMerge w:val="continue"/>
            <w:noWrap/>
            <w:vAlign w:val="center"/>
          </w:tcPr>
          <w:p w14:paraId="458443E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890EC9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工单处理智能辅助-工单信息预处理-工单关键信息完整性校验</w:t>
            </w:r>
          </w:p>
        </w:tc>
        <w:tc>
          <w:tcPr>
            <w:tcW w:w="4618" w:type="dxa"/>
            <w:vAlign w:val="center"/>
          </w:tcPr>
          <w:p w14:paraId="621EE72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通过工单关键信息完整性校验，确保提取和分类后的工单数据无缺失、符合业务要求的重要环节。校验内容包括必填字段是否完整、数据格式是否正确、逻辑是否合理。</w:t>
            </w:r>
          </w:p>
        </w:tc>
      </w:tr>
      <w:tr w14:paraId="290D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91ED9D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w:t>
            </w:r>
          </w:p>
        </w:tc>
        <w:tc>
          <w:tcPr>
            <w:tcW w:w="850" w:type="dxa"/>
            <w:vMerge w:val="continue"/>
            <w:noWrap/>
            <w:vAlign w:val="center"/>
          </w:tcPr>
          <w:p w14:paraId="5EA7382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A75ED7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工单处理智能辅助-办理流程提效-车辆信息要素核验</w:t>
            </w:r>
          </w:p>
        </w:tc>
        <w:tc>
          <w:tcPr>
            <w:tcW w:w="4618" w:type="dxa"/>
            <w:vAlign w:val="center"/>
          </w:tcPr>
          <w:p w14:paraId="4C7D8FB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自动检测热线原工单信息中公交行业、巡游出租车、网约车等相关信息的完整性，如线路编号、出租车号牌、网约车平台等关键字段是否缺失。系统比对公交数据库、出租车信息库、网约车信息库，若发现信息不全，提醒工作人员在先行联系时与市民获取补充。</w:t>
            </w:r>
          </w:p>
        </w:tc>
      </w:tr>
      <w:tr w14:paraId="5205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F6B70A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15</w:t>
            </w:r>
          </w:p>
        </w:tc>
        <w:tc>
          <w:tcPr>
            <w:tcW w:w="850" w:type="dxa"/>
            <w:vMerge w:val="continue"/>
            <w:noWrap/>
            <w:vAlign w:val="center"/>
          </w:tcPr>
          <w:p w14:paraId="5E3FE2B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E7557C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工单处理智能辅助-办理流程提效地理信息要素核验</w:t>
            </w:r>
          </w:p>
        </w:tc>
        <w:tc>
          <w:tcPr>
            <w:tcW w:w="4618" w:type="dxa"/>
            <w:vAlign w:val="center"/>
          </w:tcPr>
          <w:p w14:paraId="351EE86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智能解析热线原工单中的地址描述，如两场三站、公交车站点、出租车上车点要素是否明确，若发现信息不全，提醒工作人员在先行联系时与市民获取补充。</w:t>
            </w:r>
          </w:p>
        </w:tc>
      </w:tr>
      <w:tr w14:paraId="132C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10959D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16</w:t>
            </w:r>
          </w:p>
        </w:tc>
        <w:tc>
          <w:tcPr>
            <w:tcW w:w="850" w:type="dxa"/>
            <w:vMerge w:val="continue"/>
            <w:noWrap/>
            <w:vAlign w:val="center"/>
          </w:tcPr>
          <w:p w14:paraId="71189A1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FFC419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工单处理智能辅助-办理流程提效关联问题匹配</w:t>
            </w:r>
          </w:p>
        </w:tc>
        <w:tc>
          <w:tcPr>
            <w:tcW w:w="4618" w:type="dxa"/>
            <w:vAlign w:val="center"/>
          </w:tcPr>
          <w:p w14:paraId="6875444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运用语义分析技术，智能识别当前工单需求的关联性问题，自动聚类相似问题及衍生问题，推荐需要同步关注的关联事项。</w:t>
            </w:r>
          </w:p>
        </w:tc>
      </w:tr>
      <w:tr w14:paraId="2B210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31222E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17</w:t>
            </w:r>
          </w:p>
        </w:tc>
        <w:tc>
          <w:tcPr>
            <w:tcW w:w="850" w:type="dxa"/>
            <w:vMerge w:val="continue"/>
            <w:noWrap/>
            <w:vAlign w:val="center"/>
          </w:tcPr>
          <w:p w14:paraId="02990883">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460ECE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工单处理智能辅助-办理流程提效关联问题知识推荐</w:t>
            </w:r>
          </w:p>
        </w:tc>
        <w:tc>
          <w:tcPr>
            <w:tcW w:w="4618" w:type="dxa"/>
            <w:vAlign w:val="center"/>
          </w:tcPr>
          <w:p w14:paraId="78C48F2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通过智能检索知识库，为关联问题精准匹配相关知识条目。</w:t>
            </w:r>
          </w:p>
        </w:tc>
      </w:tr>
      <w:tr w14:paraId="6617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EBEA9F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18</w:t>
            </w:r>
          </w:p>
        </w:tc>
        <w:tc>
          <w:tcPr>
            <w:tcW w:w="850" w:type="dxa"/>
            <w:vMerge w:val="continue"/>
            <w:noWrap/>
            <w:vAlign w:val="center"/>
          </w:tcPr>
          <w:p w14:paraId="5F432E7E">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633746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工单处理智能辅助-办理流程提效答复口径智能推荐</w:t>
            </w:r>
          </w:p>
        </w:tc>
        <w:tc>
          <w:tcPr>
            <w:tcW w:w="4618" w:type="dxa"/>
            <w:vAlign w:val="center"/>
          </w:tcPr>
          <w:p w14:paraId="35D5475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政策法规、问答解读等知识库及历史案例库自动生成符合工单特征的规范化回复模板。推荐口径支持实时编辑，保留人工优化空间。通过收集采纳数据，持续训练模型提升推荐质量，既保证回复效率，又维护答复的专业性和人性化。</w:t>
            </w:r>
          </w:p>
        </w:tc>
      </w:tr>
      <w:tr w14:paraId="59153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31B7BE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19</w:t>
            </w:r>
          </w:p>
        </w:tc>
        <w:tc>
          <w:tcPr>
            <w:tcW w:w="850" w:type="dxa"/>
            <w:vMerge w:val="continue"/>
            <w:noWrap/>
            <w:vAlign w:val="center"/>
          </w:tcPr>
          <w:p w14:paraId="4CB6D27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7A3E31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工单处理智能辅助-办理流程提效相似答复案例智能推荐</w:t>
            </w:r>
          </w:p>
        </w:tc>
        <w:tc>
          <w:tcPr>
            <w:tcW w:w="4618" w:type="dxa"/>
            <w:vAlign w:val="center"/>
          </w:tcPr>
          <w:p w14:paraId="377B597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通过语义检索技术，从历史工单中挖掘最相关案例，推荐解决效果良好的历史答复。推荐案例可查看完整处理记录，通过案例对比分析功能，帮助工作人员快速借鉴成功经验，提升首次解决率和市民满意度。</w:t>
            </w:r>
          </w:p>
        </w:tc>
      </w:tr>
      <w:tr w14:paraId="2D611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32848C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20</w:t>
            </w:r>
          </w:p>
        </w:tc>
        <w:tc>
          <w:tcPr>
            <w:tcW w:w="850" w:type="dxa"/>
            <w:vMerge w:val="continue"/>
            <w:noWrap/>
            <w:vAlign w:val="center"/>
          </w:tcPr>
          <w:p w14:paraId="7F4D112E">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3B8F26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赋能模块-业务库管理-机构职能库管理</w:t>
            </w:r>
          </w:p>
        </w:tc>
        <w:tc>
          <w:tcPr>
            <w:tcW w:w="4618" w:type="dxa"/>
            <w:vAlign w:val="center"/>
          </w:tcPr>
          <w:p w14:paraId="1AE89E7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构建交通管理部门职责分工和业务边界。收录包括职能说明、联系方式、办公地址等详细信息。建立职能冲突检测机制，自动识别并提示管辖盲区或重叠区域。</w:t>
            </w:r>
          </w:p>
        </w:tc>
      </w:tr>
      <w:tr w14:paraId="064CB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DF00CA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21</w:t>
            </w:r>
          </w:p>
        </w:tc>
        <w:tc>
          <w:tcPr>
            <w:tcW w:w="850" w:type="dxa"/>
            <w:vMerge w:val="continue"/>
            <w:noWrap/>
            <w:vAlign w:val="center"/>
          </w:tcPr>
          <w:p w14:paraId="583A575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2ABF4F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赋能模块-业务库管理-问答解读库管理</w:t>
            </w:r>
          </w:p>
        </w:tc>
        <w:tc>
          <w:tcPr>
            <w:tcW w:w="4618" w:type="dxa"/>
            <w:vAlign w:val="center"/>
          </w:tcPr>
          <w:p w14:paraId="1CACE7F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采用"问题-答案-依据"三层结构，收录高频问答对。每项答案包含标准表述、延伸说明和关联政策索引，支持多级知识展开。通过自然语言处理技术实现语义匹配，建立答案质量评价体系，根据反馈持续优化内容。</w:t>
            </w:r>
          </w:p>
        </w:tc>
      </w:tr>
      <w:tr w14:paraId="7E00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101556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22</w:t>
            </w:r>
          </w:p>
        </w:tc>
        <w:tc>
          <w:tcPr>
            <w:tcW w:w="850" w:type="dxa"/>
            <w:vMerge w:val="continue"/>
            <w:noWrap/>
            <w:vAlign w:val="center"/>
          </w:tcPr>
          <w:p w14:paraId="41DDCA9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A81228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赋能模块-业务库管理-公共服务库管理</w:t>
            </w:r>
          </w:p>
        </w:tc>
        <w:tc>
          <w:tcPr>
            <w:tcW w:w="4618" w:type="dxa"/>
            <w:vAlign w:val="center"/>
          </w:tcPr>
          <w:p w14:paraId="40EDA49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构建全市交通出行相关的便民服务信息。收录包括站点信息、运营时刻、购票方式、收费标准等公共服务数据。</w:t>
            </w:r>
          </w:p>
        </w:tc>
      </w:tr>
      <w:tr w14:paraId="42E4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B14929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23</w:t>
            </w:r>
          </w:p>
        </w:tc>
        <w:tc>
          <w:tcPr>
            <w:tcW w:w="850" w:type="dxa"/>
            <w:vMerge w:val="continue"/>
            <w:noWrap/>
            <w:vAlign w:val="center"/>
          </w:tcPr>
          <w:p w14:paraId="5FBB54D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CC3405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赋能模块-业务库管理-案例库管理</w:t>
            </w:r>
          </w:p>
        </w:tc>
        <w:tc>
          <w:tcPr>
            <w:tcW w:w="4618" w:type="dxa"/>
            <w:vAlign w:val="center"/>
          </w:tcPr>
          <w:p w14:paraId="3B33B2B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通过自然语言技术自动提取案例关键要素，形成结构化案例模板。开发案例相似度算法，实现智能匹配和推荐。</w:t>
            </w:r>
          </w:p>
        </w:tc>
      </w:tr>
      <w:tr w14:paraId="33C2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51D4B3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24</w:t>
            </w:r>
          </w:p>
        </w:tc>
        <w:tc>
          <w:tcPr>
            <w:tcW w:w="850" w:type="dxa"/>
            <w:vMerge w:val="continue"/>
            <w:noWrap/>
            <w:vAlign w:val="center"/>
          </w:tcPr>
          <w:p w14:paraId="7B60BB3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5CEF49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赋能模块-业务库管理-派单规则库管理</w:t>
            </w:r>
          </w:p>
        </w:tc>
        <w:tc>
          <w:tcPr>
            <w:tcW w:w="4618" w:type="dxa"/>
            <w:vAlign w:val="center"/>
          </w:tcPr>
          <w:p w14:paraId="4AE6440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基于行业归属、核心需求、管辖范围、所属区域等多决策维度、制定精细化派发逻辑规则库。支持多条件组合判断，同时建立规则冲突检测机制。</w:t>
            </w:r>
          </w:p>
        </w:tc>
      </w:tr>
      <w:tr w14:paraId="740D5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246424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25</w:t>
            </w:r>
          </w:p>
        </w:tc>
        <w:tc>
          <w:tcPr>
            <w:tcW w:w="850" w:type="dxa"/>
            <w:vMerge w:val="continue"/>
            <w:noWrap/>
            <w:vAlign w:val="center"/>
          </w:tcPr>
          <w:p w14:paraId="71662C46">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7954BC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赋能模块-业务库管理-标签规则库管理</w:t>
            </w:r>
          </w:p>
        </w:tc>
        <w:tc>
          <w:tcPr>
            <w:tcW w:w="4618" w:type="dxa"/>
            <w:vAlign w:val="center"/>
          </w:tcPr>
          <w:p w14:paraId="363B676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构建完善的工单分类体系，包含基础标签和衍生标签两大类。基础标签涵盖行业、问题类型等核心维度；衍生标签包括紧急程度、重复投诉等扩展属性。通过机器学习分析历史工单，持续优化标签关联规则。</w:t>
            </w:r>
          </w:p>
        </w:tc>
      </w:tr>
      <w:tr w14:paraId="58D79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C9617E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26</w:t>
            </w:r>
          </w:p>
        </w:tc>
        <w:tc>
          <w:tcPr>
            <w:tcW w:w="850" w:type="dxa"/>
            <w:vMerge w:val="continue"/>
            <w:noWrap/>
            <w:vAlign w:val="center"/>
          </w:tcPr>
          <w:p w14:paraId="7A1FB0A6">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3813FB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赋能模块-业务库管理-公交信息库管理</w:t>
            </w:r>
          </w:p>
        </w:tc>
        <w:tc>
          <w:tcPr>
            <w:tcW w:w="4618" w:type="dxa"/>
            <w:vAlign w:val="center"/>
          </w:tcPr>
          <w:p w14:paraId="35FB5FB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建设包括线路编号、起讫点、途经站点、运营时间、公交公司等公交信息库。为公交线路相关的工单处理提供全面准确的信息支撑。</w:t>
            </w:r>
          </w:p>
        </w:tc>
      </w:tr>
      <w:tr w14:paraId="5269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9CFAFD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27</w:t>
            </w:r>
          </w:p>
        </w:tc>
        <w:tc>
          <w:tcPr>
            <w:tcW w:w="850" w:type="dxa"/>
            <w:vMerge w:val="continue"/>
            <w:noWrap/>
            <w:vAlign w:val="center"/>
          </w:tcPr>
          <w:p w14:paraId="35BEE5B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36407A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赋能模块-业务库管理-巡游出租车信息库管理</w:t>
            </w:r>
          </w:p>
        </w:tc>
        <w:tc>
          <w:tcPr>
            <w:tcW w:w="4618" w:type="dxa"/>
            <w:vAlign w:val="center"/>
          </w:tcPr>
          <w:p w14:paraId="349D09B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建设包括车牌号码、所属公司、司机信息等巡游出租车信息库。为巡游出租车相关工单处理提供全面准确的信息支撑。</w:t>
            </w:r>
          </w:p>
        </w:tc>
      </w:tr>
      <w:tr w14:paraId="18E1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D1DD1B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28</w:t>
            </w:r>
          </w:p>
        </w:tc>
        <w:tc>
          <w:tcPr>
            <w:tcW w:w="850" w:type="dxa"/>
            <w:vMerge w:val="continue"/>
            <w:noWrap/>
            <w:vAlign w:val="center"/>
          </w:tcPr>
          <w:p w14:paraId="19A1F4C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4A7BDC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赋能模块-业务库管理-网约车信息库管理</w:t>
            </w:r>
          </w:p>
        </w:tc>
        <w:tc>
          <w:tcPr>
            <w:tcW w:w="4618" w:type="dxa"/>
            <w:vAlign w:val="center"/>
          </w:tcPr>
          <w:p w14:paraId="55CC801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建设各网约车平台基本信息，如平台名称、运营模式。包含司机注册信息、车辆注册信息，包括车牌号、车型等，助力在网约车相关工单处理中准确获取相关信息，提高处理效率和准确性。</w:t>
            </w:r>
          </w:p>
        </w:tc>
      </w:tr>
      <w:tr w14:paraId="1A95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775595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29</w:t>
            </w:r>
          </w:p>
        </w:tc>
        <w:tc>
          <w:tcPr>
            <w:tcW w:w="850" w:type="dxa"/>
            <w:vMerge w:val="continue"/>
            <w:noWrap/>
            <w:vAlign w:val="center"/>
          </w:tcPr>
          <w:p w14:paraId="480B35B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54697D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赋能模块-业务库管理-来电问答库生成</w:t>
            </w:r>
          </w:p>
        </w:tc>
        <w:tc>
          <w:tcPr>
            <w:tcW w:w="4618" w:type="dxa"/>
            <w:vAlign w:val="center"/>
          </w:tcPr>
          <w:p w14:paraId="4A15E06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对大量来电数据的统计分析，确定市民关注的热点问题及其出现的频率。利用自然语言处理技术，根据来电问题的语义分析结果。从知识库中提取相关知识和案例，自动生成准确的问答内容。对于常见问题的答复能够快速生成，提高工单处理效率。</w:t>
            </w:r>
          </w:p>
        </w:tc>
      </w:tr>
      <w:tr w14:paraId="133EE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B62799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30</w:t>
            </w:r>
          </w:p>
        </w:tc>
        <w:tc>
          <w:tcPr>
            <w:tcW w:w="850" w:type="dxa"/>
            <w:vMerge w:val="continue"/>
            <w:noWrap/>
            <w:vAlign w:val="center"/>
          </w:tcPr>
          <w:p w14:paraId="73E2CE3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426A39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赋能模块-业务库应用与推荐-关联知识挖掘与推荐</w:t>
            </w:r>
          </w:p>
        </w:tc>
        <w:tc>
          <w:tcPr>
            <w:tcW w:w="4618" w:type="dxa"/>
            <w:vAlign w:val="center"/>
          </w:tcPr>
          <w:p w14:paraId="73C8872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基于语义分析和知识图谱技术，识别用户问题的潜在关联知识，提供扩展性参考。通过智能联想，提升知识检索的广度，帮助工作人员快速获取全面信息，提高工单处理效率和用户满意度。</w:t>
            </w:r>
          </w:p>
        </w:tc>
      </w:tr>
      <w:tr w14:paraId="47682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2C3CC2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31</w:t>
            </w:r>
          </w:p>
        </w:tc>
        <w:tc>
          <w:tcPr>
            <w:tcW w:w="850" w:type="dxa"/>
            <w:vMerge w:val="continue"/>
            <w:noWrap/>
            <w:vAlign w:val="center"/>
          </w:tcPr>
          <w:p w14:paraId="0DDCD6CD">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2393DB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赋能模块-业务库应用与推荐-相似案例挖掘与推荐</w:t>
            </w:r>
          </w:p>
        </w:tc>
        <w:tc>
          <w:tcPr>
            <w:tcW w:w="4618" w:type="dxa"/>
            <w:vAlign w:val="center"/>
          </w:tcPr>
          <w:p w14:paraId="46664BC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自然语言处理（NLP）和文本相似度算法，从历史工单库中检索与当前问题高度相似的案例。基于相似案例挖掘的结果，结合用户问题的具体场景，智能推荐最优解决方案。系统可按匹配度排序，提供历史处理记录、处理方式和结果反馈，辅助工作人员快速决策。</w:t>
            </w:r>
          </w:p>
        </w:tc>
      </w:tr>
      <w:tr w14:paraId="3784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AAA4EC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32</w:t>
            </w:r>
          </w:p>
        </w:tc>
        <w:tc>
          <w:tcPr>
            <w:tcW w:w="850" w:type="dxa"/>
            <w:vMerge w:val="continue"/>
            <w:noWrap/>
            <w:vAlign w:val="center"/>
          </w:tcPr>
          <w:p w14:paraId="7A65F1B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A81B71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赋能模块-专报智能生成-热线处置专报生成</w:t>
            </w:r>
          </w:p>
        </w:tc>
        <w:tc>
          <w:tcPr>
            <w:tcW w:w="4618" w:type="dxa"/>
            <w:vAlign w:val="center"/>
          </w:tcPr>
          <w:p w14:paraId="211C2DC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采集当月全部工单的基础数据、处理流程数据及反馈评价数据。采用自动化数据处理引擎对原始数据进行清洗、分类、统计和分析，运用自然语言处理技术提取关键信息。基于预设的报告模板和可视化规则，自动生成热线处置情况专报，为管理者提供数据支撑。</w:t>
            </w:r>
          </w:p>
        </w:tc>
      </w:tr>
      <w:tr w14:paraId="19E9B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BFA637F">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33</w:t>
            </w:r>
          </w:p>
        </w:tc>
        <w:tc>
          <w:tcPr>
            <w:tcW w:w="850" w:type="dxa"/>
            <w:vMerge w:val="continue"/>
            <w:noWrap/>
            <w:vAlign w:val="center"/>
          </w:tcPr>
          <w:p w14:paraId="69E9DBB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B19EB3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赋能模块-专报智能生成-来电热点专报生成</w:t>
            </w:r>
          </w:p>
        </w:tc>
        <w:tc>
          <w:tcPr>
            <w:tcW w:w="4618" w:type="dxa"/>
            <w:vAlign w:val="center"/>
          </w:tcPr>
          <w:p w14:paraId="7B50537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归集与分析市民热线来电数据，精准捕捉城市治理中的高频问题，结合问题类型、区域分布、投诉趋势等维度形成可视化数据图谱与文字分析，直击民生痛点与服务短板；专报向市级领导呈报，为领导决策提供精准靶向，辅助制定针对性政策或督办整改措施，成为市级层面对接基层民意、优化公共服务的重要专题参考材料。</w:t>
            </w:r>
          </w:p>
        </w:tc>
      </w:tr>
      <w:tr w14:paraId="578F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4A27A7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34</w:t>
            </w:r>
          </w:p>
        </w:tc>
        <w:tc>
          <w:tcPr>
            <w:tcW w:w="850" w:type="dxa"/>
            <w:vMerge w:val="continue"/>
            <w:noWrap/>
            <w:vAlign w:val="center"/>
          </w:tcPr>
          <w:p w14:paraId="6C091BE3">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B0244D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业务规范性管理-办理信息校验-处理备注完整性检查</w:t>
            </w:r>
          </w:p>
        </w:tc>
        <w:tc>
          <w:tcPr>
            <w:tcW w:w="4618" w:type="dxa"/>
            <w:vAlign w:val="center"/>
          </w:tcPr>
          <w:p w14:paraId="17470C5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处置单位填写的处理备注进行自动检查，确保关键信息完整，包括联系市民时间、处理结果说明、核实情况等核心内容。系统通过规则引擎识别备注中的必填要素，标记缺失或模糊表述，生成评估报告，提醒处理人员补充完善，保证工单处理记录的规范性和可追溯性。</w:t>
            </w:r>
          </w:p>
        </w:tc>
      </w:tr>
      <w:tr w14:paraId="33B6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1750CB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35</w:t>
            </w:r>
          </w:p>
        </w:tc>
        <w:tc>
          <w:tcPr>
            <w:tcW w:w="850" w:type="dxa"/>
            <w:vMerge w:val="continue"/>
            <w:noWrap/>
            <w:vAlign w:val="center"/>
          </w:tcPr>
          <w:p w14:paraId="420A422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EF2115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业务规范性管理-办理信息校验-事实认定逻辑一致性审核</w:t>
            </w:r>
          </w:p>
        </w:tc>
        <w:tc>
          <w:tcPr>
            <w:tcW w:w="4618" w:type="dxa"/>
            <w:vAlign w:val="center"/>
          </w:tcPr>
          <w:p w14:paraId="58F1D24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运用自然语言处理技术分析事实认定说明内容，检查是否存在逻辑矛盾或前后不一致的情况。系统会对比工单原始描述与事实认定说明之间的关联性，识别可能存在的推理漏洞或事实认定偏差，并标记需要复核的关键点，确保事实认定过程的严谨性和结论的可靠性。</w:t>
            </w:r>
          </w:p>
        </w:tc>
      </w:tr>
      <w:tr w14:paraId="2074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A44849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36</w:t>
            </w:r>
          </w:p>
        </w:tc>
        <w:tc>
          <w:tcPr>
            <w:tcW w:w="850" w:type="dxa"/>
            <w:vMerge w:val="continue"/>
            <w:noWrap/>
            <w:vAlign w:val="center"/>
          </w:tcPr>
          <w:p w14:paraId="34AA0003">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CE5C40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业务规范性管理-办理信息校验-需求认定合理性审查</w:t>
            </w:r>
          </w:p>
        </w:tc>
        <w:tc>
          <w:tcPr>
            <w:tcW w:w="4618" w:type="dxa"/>
            <w:vAlign w:val="center"/>
          </w:tcPr>
          <w:p w14:paraId="22A437C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人工认定的市民需求进行合理性评估，检查需求认定是否符合政策法规、行业规范及常识逻辑。系统通过知识库匹配和案例比对，识别可能存在的不合理认定，并提供合理性评估意见，确保需求认定的准确性和公正性。</w:t>
            </w:r>
          </w:p>
        </w:tc>
      </w:tr>
      <w:tr w14:paraId="74EFD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5D7757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37</w:t>
            </w:r>
          </w:p>
        </w:tc>
        <w:tc>
          <w:tcPr>
            <w:tcW w:w="850" w:type="dxa"/>
            <w:vMerge w:val="continue"/>
            <w:noWrap/>
            <w:vAlign w:val="center"/>
          </w:tcPr>
          <w:p w14:paraId="23A4DA8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39C903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业务规范性管理-办理信息校验-证据链完整性自动检查</w:t>
            </w:r>
          </w:p>
        </w:tc>
        <w:tc>
          <w:tcPr>
            <w:tcW w:w="4618" w:type="dxa"/>
            <w:vAlign w:val="center"/>
          </w:tcPr>
          <w:p w14:paraId="561F6A3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自动检查工单处理过程中提交的证据材料是否完整，系统验证证据与需求的关联性、证据的时效性和证据来源的可靠性，标记证据缺失或不符合要求的情况，为后续审核和决策提供可靠依据。</w:t>
            </w:r>
          </w:p>
        </w:tc>
      </w:tr>
      <w:tr w14:paraId="24BA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9619BB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38</w:t>
            </w:r>
          </w:p>
        </w:tc>
        <w:tc>
          <w:tcPr>
            <w:tcW w:w="850" w:type="dxa"/>
            <w:vMerge w:val="continue"/>
            <w:noWrap/>
            <w:vAlign w:val="center"/>
          </w:tcPr>
          <w:p w14:paraId="31D439E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57E0C3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业务规范性管理-答复质量管控-市民要点答复合规性评估</w:t>
            </w:r>
          </w:p>
        </w:tc>
        <w:tc>
          <w:tcPr>
            <w:tcW w:w="4618" w:type="dxa"/>
            <w:vAlign w:val="center"/>
          </w:tcPr>
          <w:p w14:paraId="4BB124F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市民答复要点规范，对人工答复中的关键要点进行合规性审查。通过自然语言处理技术提取答复中的答复内容、核心承诺、处理依据及解决方案，评估是否存在敏感信息、推诿、政策误读或承诺过度等问题。</w:t>
            </w:r>
          </w:p>
        </w:tc>
      </w:tr>
      <w:tr w14:paraId="418C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286CE1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39</w:t>
            </w:r>
          </w:p>
        </w:tc>
        <w:tc>
          <w:tcPr>
            <w:tcW w:w="850" w:type="dxa"/>
            <w:vMerge w:val="continue"/>
            <w:noWrap/>
            <w:vAlign w:val="center"/>
          </w:tcPr>
          <w:p w14:paraId="334C8D0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7E628F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业务规范性管理-答复质量管控-解决措施合理性分析</w:t>
            </w:r>
          </w:p>
        </w:tc>
        <w:tc>
          <w:tcPr>
            <w:tcW w:w="4618" w:type="dxa"/>
            <w:vAlign w:val="center"/>
          </w:tcPr>
          <w:p w14:paraId="56593E8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对工单处理中提出的解决方案进行逻辑性和可行性评估。系统结合历史案例库、政策法规、机构职能约束条件，分析措施是否匹配问题类型、是否具备可操作性等风险。</w:t>
            </w:r>
          </w:p>
        </w:tc>
      </w:tr>
      <w:tr w14:paraId="7465E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82B193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40</w:t>
            </w:r>
          </w:p>
        </w:tc>
        <w:tc>
          <w:tcPr>
            <w:tcW w:w="850" w:type="dxa"/>
            <w:vMerge w:val="continue"/>
            <w:noWrap/>
            <w:vAlign w:val="center"/>
          </w:tcPr>
          <w:p w14:paraId="57DC8F2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259502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热线系统优化升级-热线工单回访-交通热线工单回访</w:t>
            </w:r>
          </w:p>
        </w:tc>
        <w:tc>
          <w:tcPr>
            <w:tcW w:w="4618" w:type="dxa"/>
            <w:vAlign w:val="center"/>
          </w:tcPr>
          <w:p w14:paraId="470214C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为规范回访流程、确保处理可追溯而开发，在外呼进行回访的工作基础上，记录相关信息。具备在工单详情页新增 “回访情况” 折叠栏记录回访结果（分成功 / 未成功 / 未回访 / 其他类别并设必选选项）、关联通话记录及录音、标记跟进情况（如修改事实认定等）、自动保存信息及保留退回流程信息的能力，实现工单处理闭环管理与全流程可追溯。</w:t>
            </w:r>
          </w:p>
        </w:tc>
      </w:tr>
      <w:tr w14:paraId="3B10D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605DA43">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41</w:t>
            </w:r>
          </w:p>
        </w:tc>
        <w:tc>
          <w:tcPr>
            <w:tcW w:w="850" w:type="dxa"/>
            <w:vMerge w:val="continue"/>
            <w:noWrap/>
            <w:vAlign w:val="center"/>
          </w:tcPr>
          <w:p w14:paraId="7F99550D">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556A83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热线系统优化升级-热线工单回访-回访数据统计与话务记录</w:t>
            </w:r>
          </w:p>
        </w:tc>
        <w:tc>
          <w:tcPr>
            <w:tcW w:w="4618" w:type="dxa"/>
            <w:vAlign w:val="center"/>
          </w:tcPr>
          <w:p w14:paraId="1533510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参照退单查询功能，实现 “回访情况自定义查询”（自定义时段全字段查询及导出数据）、与先行联系共用版块并按 “回访”“先行联系” 筛选话务数据的能力，实现多维度数据统计分析以辅助优化服务。</w:t>
            </w:r>
          </w:p>
        </w:tc>
      </w:tr>
      <w:tr w14:paraId="19C94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87DC0EF">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42</w:t>
            </w:r>
          </w:p>
        </w:tc>
        <w:tc>
          <w:tcPr>
            <w:tcW w:w="850" w:type="dxa"/>
            <w:vMerge w:val="continue"/>
            <w:noWrap/>
            <w:vAlign w:val="center"/>
          </w:tcPr>
          <w:p w14:paraId="499CD6B3">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29DDB9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热线系统优化升级-热线工单回访-转接和三方通话功能</w:t>
            </w:r>
          </w:p>
        </w:tc>
        <w:tc>
          <w:tcPr>
            <w:tcW w:w="4618" w:type="dxa"/>
            <w:vAlign w:val="center"/>
          </w:tcPr>
          <w:p w14:paraId="3D3BAE6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集成移动电话词条接口，在热线业务系统中实现转接和三方通话功能，针对疑难杂症需要多业务人员协同办理场景，或办理审查场景，支持多线沟通。</w:t>
            </w:r>
          </w:p>
        </w:tc>
      </w:tr>
      <w:tr w14:paraId="6479B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2D6250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43</w:t>
            </w:r>
          </w:p>
        </w:tc>
        <w:tc>
          <w:tcPr>
            <w:tcW w:w="850" w:type="dxa"/>
            <w:vMerge w:val="continue"/>
            <w:noWrap/>
            <w:vAlign w:val="center"/>
          </w:tcPr>
          <w:p w14:paraId="0ADF9DB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67728F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热线系统优化升级-智能化支持-字段预填写改造</w:t>
            </w:r>
          </w:p>
        </w:tc>
        <w:tc>
          <w:tcPr>
            <w:tcW w:w="4618" w:type="dxa"/>
            <w:vAlign w:val="center"/>
          </w:tcPr>
          <w:p w14:paraId="718D42C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针对工单创建流程进行智能化优化，通过智能分析市民需求等数据自动预填工单处理字段，减少人工输入工作量，提升工单创建效率，同时降低错误率，改善用户提交体验和服务响应速度。</w:t>
            </w:r>
          </w:p>
        </w:tc>
      </w:tr>
      <w:tr w14:paraId="3A9AC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4C980A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44</w:t>
            </w:r>
          </w:p>
        </w:tc>
        <w:tc>
          <w:tcPr>
            <w:tcW w:w="850" w:type="dxa"/>
            <w:vMerge w:val="continue"/>
            <w:noWrap/>
            <w:vAlign w:val="center"/>
          </w:tcPr>
          <w:p w14:paraId="383472A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14E00C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热线系统优化升级-智能化支持货车司机诉求监控</w:t>
            </w:r>
          </w:p>
        </w:tc>
        <w:tc>
          <w:tcPr>
            <w:tcW w:w="4618" w:type="dxa"/>
            <w:vAlign w:val="center"/>
          </w:tcPr>
          <w:p w14:paraId="201527D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对于货车司机诉求解决情况和服务满意度有监测评估数据监控看板，形成月报。对于货车司机诉求热点问题及办理情况，专题深入分析，定期编制分析报告。</w:t>
            </w:r>
          </w:p>
        </w:tc>
      </w:tr>
      <w:tr w14:paraId="1FAB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D8DC51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45</w:t>
            </w:r>
          </w:p>
        </w:tc>
        <w:tc>
          <w:tcPr>
            <w:tcW w:w="850" w:type="dxa"/>
            <w:vMerge w:val="continue"/>
            <w:noWrap/>
            <w:vAlign w:val="center"/>
          </w:tcPr>
          <w:p w14:paraId="719125F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1CB09E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基于大模型的办理辅助能力-流程编排-市民问题分析</w:t>
            </w:r>
          </w:p>
        </w:tc>
        <w:tc>
          <w:tcPr>
            <w:tcW w:w="4618" w:type="dxa"/>
            <w:vAlign w:val="center"/>
          </w:tcPr>
          <w:p w14:paraId="1836CB0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运用自然语言处理技术对市民问题进行深度解析，包括问题分类、意图识别、情感分析等。通过多维度分析（如关键词提取、语义理解、上下文关联）准确把握用户真实需求。同时支持问题复杂度评估，为后续流程设计提供依据，确保资源合理分配和高效利用。</w:t>
            </w:r>
          </w:p>
        </w:tc>
      </w:tr>
      <w:tr w14:paraId="3968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95DE75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46</w:t>
            </w:r>
          </w:p>
        </w:tc>
        <w:tc>
          <w:tcPr>
            <w:tcW w:w="850" w:type="dxa"/>
            <w:vMerge w:val="continue"/>
            <w:noWrap/>
            <w:vAlign w:val="center"/>
          </w:tcPr>
          <w:p w14:paraId="49BF8DE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457E91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基于大模型的办理辅助能力-流程编排-多问题拆解</w:t>
            </w:r>
          </w:p>
        </w:tc>
        <w:tc>
          <w:tcPr>
            <w:tcW w:w="4618" w:type="dxa"/>
            <w:vAlign w:val="center"/>
          </w:tcPr>
          <w:p w14:paraId="79EA280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复杂工单（包含多个子问题）进行智能拆解，将复合问题分解为可独立处理的子问题单元。采用问题图谱技术建立子问题间的关联关系，确保拆解的完整性和逻辑性。拆解结果用于指导后续处理流程，实现问题的精准定位和高效解决，避免遗漏或重复处理。</w:t>
            </w:r>
          </w:p>
        </w:tc>
      </w:tr>
      <w:tr w14:paraId="368D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717358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47</w:t>
            </w:r>
          </w:p>
        </w:tc>
        <w:tc>
          <w:tcPr>
            <w:tcW w:w="850" w:type="dxa"/>
            <w:vMerge w:val="continue"/>
            <w:noWrap/>
            <w:vAlign w:val="center"/>
          </w:tcPr>
          <w:p w14:paraId="12104EE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1A810A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基于大模型的办理辅助能力-流程编排-多答案重排</w:t>
            </w:r>
          </w:p>
        </w:tc>
        <w:tc>
          <w:tcPr>
            <w:tcW w:w="4618" w:type="dxa"/>
            <w:vAlign w:val="center"/>
          </w:tcPr>
          <w:p w14:paraId="281186B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AI生成的多个可能答案进行智能排序和优化选择。基于答案质量评估模型（如准确性、相关性、完整性）和用户偏好分析，确定最优答案呈现顺序。同时支持个性化调整，根据用户历史行为和当前情境动态优化答案排列，提升用户体验和满意度。</w:t>
            </w:r>
          </w:p>
        </w:tc>
      </w:tr>
      <w:tr w14:paraId="36DE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562" w:type="dxa"/>
            <w:vAlign w:val="center"/>
          </w:tcPr>
          <w:p w14:paraId="634CE74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48</w:t>
            </w:r>
          </w:p>
        </w:tc>
        <w:tc>
          <w:tcPr>
            <w:tcW w:w="850" w:type="dxa"/>
            <w:vMerge w:val="continue"/>
            <w:noWrap/>
            <w:vAlign w:val="center"/>
          </w:tcPr>
          <w:p w14:paraId="794E20D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451A30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基于大模型的办理辅助能力-智能体对话开发-对话意图感知</w:t>
            </w:r>
          </w:p>
        </w:tc>
        <w:tc>
          <w:tcPr>
            <w:tcW w:w="4618" w:type="dxa"/>
            <w:vAlign w:val="center"/>
          </w:tcPr>
          <w:p w14:paraId="70529D3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自然语言处理（NLP）和机器学习技术，精准解析用户输入的语义信息，识别用户真实意图。系统采用意图分类、实体提取和上下文理解等技术，能够处理复杂表达和模糊语义，将用户话语转化为结构化意图标签，为后续精准响应奠定基础，显著提升对话系统的理解能力和交互质量。</w:t>
            </w:r>
          </w:p>
        </w:tc>
      </w:tr>
      <w:tr w14:paraId="1BC1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285400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49</w:t>
            </w:r>
          </w:p>
        </w:tc>
        <w:tc>
          <w:tcPr>
            <w:tcW w:w="850" w:type="dxa"/>
            <w:vMerge w:val="continue"/>
            <w:noWrap/>
            <w:vAlign w:val="center"/>
          </w:tcPr>
          <w:p w14:paraId="2E1D976D">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5F9DBC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基于大模型的办理辅助能力-智能体对话开发-历史对话记录管理</w:t>
            </w:r>
          </w:p>
        </w:tc>
        <w:tc>
          <w:tcPr>
            <w:tcW w:w="4618" w:type="dxa"/>
            <w:vAlign w:val="center"/>
          </w:tcPr>
          <w:p w14:paraId="02AFB40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负责存储、组织和检索用户与智能体的历史对话数据，支持上下文关联和个性化服务。系统采用高效的数据索引和检索技术，能够在多轮对话中保持话题连贯性，理解用户长期偏好和历史需求。</w:t>
            </w:r>
          </w:p>
        </w:tc>
      </w:tr>
      <w:tr w14:paraId="6922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83E24B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50</w:t>
            </w:r>
          </w:p>
        </w:tc>
        <w:tc>
          <w:tcPr>
            <w:tcW w:w="850" w:type="dxa"/>
            <w:vMerge w:val="restart"/>
            <w:noWrap/>
            <w:vAlign w:val="center"/>
          </w:tcPr>
          <w:p w14:paraId="2CBBF6D0">
            <w:pPr>
              <w:spacing w:line="240" w:lineRule="auto"/>
              <w:ind w:firstLine="0" w:firstLineChars="0"/>
              <w:textAlignment w:val="center"/>
              <w:rPr>
                <w:rFonts w:hint="eastAsia" w:cs="宋体"/>
                <w:color w:val="000000"/>
                <w:sz w:val="21"/>
                <w:szCs w:val="21"/>
                <w:lang w:bidi="ar"/>
              </w:rPr>
            </w:pPr>
            <w:r>
              <w:rPr>
                <w:rFonts w:hint="eastAsia" w:cs="宋体"/>
                <w:color w:val="000000"/>
                <w:sz w:val="21"/>
                <w:szCs w:val="21"/>
                <w:lang w:bidi="ar"/>
              </w:rPr>
              <w:t>民生需求敏捷感知模块（新建）</w:t>
            </w:r>
          </w:p>
        </w:tc>
        <w:tc>
          <w:tcPr>
            <w:tcW w:w="2269" w:type="dxa"/>
            <w:noWrap/>
            <w:vAlign w:val="center"/>
          </w:tcPr>
          <w:p w14:paraId="4EF1E07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民生需求敏捷感知工具组件-敏捷感知分类标签体系构建组件-标签节点配置</w:t>
            </w:r>
          </w:p>
        </w:tc>
        <w:tc>
          <w:tcPr>
            <w:tcW w:w="4618" w:type="dxa"/>
            <w:vAlign w:val="center"/>
          </w:tcPr>
          <w:p w14:paraId="26F5C19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支持对标签节点的全生命周期操作，包括增删改查、移动、复制粘贴等。提供树形结构可视化操作界面，支持多级标签嵌套，并确保层级逻辑符合MECE原则。支持批量操作和快捷键。</w:t>
            </w:r>
          </w:p>
        </w:tc>
      </w:tr>
      <w:tr w14:paraId="3738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563AD9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51</w:t>
            </w:r>
          </w:p>
        </w:tc>
        <w:tc>
          <w:tcPr>
            <w:tcW w:w="850" w:type="dxa"/>
            <w:vMerge w:val="continue"/>
            <w:noWrap/>
            <w:vAlign w:val="center"/>
          </w:tcPr>
          <w:p w14:paraId="66A5153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A9377E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民生需求敏捷感知工具组件-敏捷感知分类标签体系构建组件-标签属性管理</w:t>
            </w:r>
          </w:p>
        </w:tc>
        <w:tc>
          <w:tcPr>
            <w:tcW w:w="4618" w:type="dxa"/>
            <w:vAlign w:val="center"/>
          </w:tcPr>
          <w:p w14:paraId="7E0B0E6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支持标签属性自定义，支持对标签属性进行增删改查、移动、复制粘贴等。提供可视化操作界面。</w:t>
            </w:r>
          </w:p>
        </w:tc>
      </w:tr>
      <w:tr w14:paraId="78C4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609A3B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52</w:t>
            </w:r>
          </w:p>
        </w:tc>
        <w:tc>
          <w:tcPr>
            <w:tcW w:w="850" w:type="dxa"/>
            <w:vMerge w:val="continue"/>
            <w:noWrap/>
            <w:vAlign w:val="center"/>
          </w:tcPr>
          <w:p w14:paraId="26FE3B9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FDE3B0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民生需求敏捷感知工具组件-敏捷感知分类标签体系构建组件-标签管理模块</w:t>
            </w:r>
          </w:p>
        </w:tc>
        <w:tc>
          <w:tcPr>
            <w:tcW w:w="4618" w:type="dxa"/>
            <w:vAlign w:val="center"/>
          </w:tcPr>
          <w:p w14:paraId="1746FCD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提供多种视图模式管理标签，支持多主题类型、结构（目录、时间轴、鱼骨图等）、大纲等展现方式，便于业务人员快速理解和使用。</w:t>
            </w:r>
          </w:p>
        </w:tc>
      </w:tr>
      <w:tr w14:paraId="7230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8139CC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53</w:t>
            </w:r>
          </w:p>
        </w:tc>
        <w:tc>
          <w:tcPr>
            <w:tcW w:w="850" w:type="dxa"/>
            <w:vMerge w:val="continue"/>
            <w:noWrap/>
            <w:vAlign w:val="center"/>
          </w:tcPr>
          <w:p w14:paraId="4C622BC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E8BBAD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民生需求敏捷感知工具组件-敏捷感知分类标签体系构建组件-各交通业态标签体系建设</w:t>
            </w:r>
          </w:p>
        </w:tc>
        <w:tc>
          <w:tcPr>
            <w:tcW w:w="4618" w:type="dxa"/>
            <w:vAlign w:val="center"/>
          </w:tcPr>
          <w:p w14:paraId="38B50DB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出租汽车、地面公交、路政管理、道路运输、港口航运、轨道交通、省际客运、停车管理、驾驶培训、牵引维修各交通业态，根据业务部门调研和历史工单数据的基础上，针对每个业态分别定制化开发工单流转全流程的定制化特征画像，围绕行业场景多方面进行多维度、多层次的特征刻画。</w:t>
            </w:r>
          </w:p>
        </w:tc>
      </w:tr>
      <w:tr w14:paraId="7349F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935C02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54</w:t>
            </w:r>
          </w:p>
        </w:tc>
        <w:tc>
          <w:tcPr>
            <w:tcW w:w="850" w:type="dxa"/>
            <w:vMerge w:val="continue"/>
            <w:noWrap/>
            <w:vAlign w:val="center"/>
          </w:tcPr>
          <w:p w14:paraId="4C10540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5063B9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民生需求敏捷感知工具组件-敏捷感知分类标签体系构建组件-重点人群标签体系建设</w:t>
            </w:r>
          </w:p>
        </w:tc>
        <w:tc>
          <w:tcPr>
            <w:tcW w:w="4618" w:type="dxa"/>
            <w:vAlign w:val="center"/>
          </w:tcPr>
          <w:p w14:paraId="3D0CD01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针对货车司机网约车司机，根据业务部门调研和历史工单数据的基础上，针对不同人群分别定制化开发人群相关各方面的定制化特征画像，围绕行业场景多方面进行多维度、多层次的特征刻画。</w:t>
            </w:r>
          </w:p>
        </w:tc>
      </w:tr>
      <w:tr w14:paraId="4E708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D1AE07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55</w:t>
            </w:r>
          </w:p>
        </w:tc>
        <w:tc>
          <w:tcPr>
            <w:tcW w:w="850" w:type="dxa"/>
            <w:vMerge w:val="continue"/>
            <w:noWrap/>
            <w:vAlign w:val="center"/>
          </w:tcPr>
          <w:p w14:paraId="41C1DC7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26CD5C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民生需求敏捷感知工具组件-敏捷感知数据标注组件-标注数据接入模块</w:t>
            </w:r>
          </w:p>
        </w:tc>
        <w:tc>
          <w:tcPr>
            <w:tcW w:w="4618" w:type="dxa"/>
            <w:vAlign w:val="center"/>
          </w:tcPr>
          <w:p w14:paraId="43047E7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该模块负责数据的统一接入与预处理，支持批量导入（如JSON、CSV、COCO等）或连接常用数据库。支持数据预处理，实现对数据进行分类、标记、注释和整理的过程。</w:t>
            </w:r>
          </w:p>
        </w:tc>
      </w:tr>
      <w:tr w14:paraId="3B142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B6E022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56</w:t>
            </w:r>
          </w:p>
        </w:tc>
        <w:tc>
          <w:tcPr>
            <w:tcW w:w="850" w:type="dxa"/>
            <w:vMerge w:val="continue"/>
            <w:noWrap/>
            <w:vAlign w:val="center"/>
          </w:tcPr>
          <w:p w14:paraId="7DEE3C0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91E876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民生需求敏捷感知工具组件-敏捷感知数据标注组件-数据集管理模块</w:t>
            </w:r>
          </w:p>
        </w:tc>
        <w:tc>
          <w:tcPr>
            <w:tcW w:w="4618" w:type="dxa"/>
            <w:vAlign w:val="center"/>
          </w:tcPr>
          <w:p w14:paraId="5A51AF5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提供数据集的版本控制、分类与元数据管理（如标签类型、数据来源）。支持视图展示），允许用户创建/删除数据集。</w:t>
            </w:r>
          </w:p>
        </w:tc>
      </w:tr>
      <w:tr w14:paraId="6C53F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447ABF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57</w:t>
            </w:r>
          </w:p>
        </w:tc>
        <w:tc>
          <w:tcPr>
            <w:tcW w:w="850" w:type="dxa"/>
            <w:vMerge w:val="continue"/>
            <w:noWrap/>
            <w:vAlign w:val="center"/>
          </w:tcPr>
          <w:p w14:paraId="460C46D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85ED43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民生需求敏捷感知工具组件-敏捷感知数据标注组件-标注任务分配与进度监控</w:t>
            </w:r>
          </w:p>
        </w:tc>
        <w:tc>
          <w:tcPr>
            <w:tcW w:w="4618" w:type="dxa"/>
            <w:vAlign w:val="center"/>
          </w:tcPr>
          <w:p w14:paraId="4198506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支持对数据集进行人员分配，对标注进度进行展示，实时掌握整体标注进度。</w:t>
            </w:r>
          </w:p>
        </w:tc>
      </w:tr>
      <w:tr w14:paraId="7743A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F7FCA4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58</w:t>
            </w:r>
          </w:p>
        </w:tc>
        <w:tc>
          <w:tcPr>
            <w:tcW w:w="850" w:type="dxa"/>
            <w:vMerge w:val="continue"/>
            <w:noWrap/>
            <w:vAlign w:val="center"/>
          </w:tcPr>
          <w:p w14:paraId="0D454FB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9555F8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民生需求敏捷感知工具组件-交通业态感知语义建模组件-数据集管理模块</w:t>
            </w:r>
          </w:p>
        </w:tc>
        <w:tc>
          <w:tcPr>
            <w:tcW w:w="4618" w:type="dxa"/>
            <w:vAlign w:val="center"/>
          </w:tcPr>
          <w:p w14:paraId="226B3EA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正对工单文本数据集，提供数据导入、数据集状态产看，删除、修改等此功能，对后续建模训练提供数据集管理能力。</w:t>
            </w:r>
          </w:p>
        </w:tc>
      </w:tr>
      <w:tr w14:paraId="1705E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1A5DAF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59</w:t>
            </w:r>
          </w:p>
        </w:tc>
        <w:tc>
          <w:tcPr>
            <w:tcW w:w="850" w:type="dxa"/>
            <w:vMerge w:val="continue"/>
            <w:noWrap/>
            <w:vAlign w:val="center"/>
          </w:tcPr>
          <w:p w14:paraId="5E7F39F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13937A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民生需求敏捷感知工具组件-交通业态感知语义建模组件-语义分析建模训练模块</w:t>
            </w:r>
          </w:p>
        </w:tc>
        <w:tc>
          <w:tcPr>
            <w:tcW w:w="4618" w:type="dxa"/>
            <w:vAlign w:val="center"/>
          </w:tcPr>
          <w:p w14:paraId="146FB83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提供算法调用，训练任务监控、日志查看等功能。</w:t>
            </w:r>
          </w:p>
        </w:tc>
      </w:tr>
      <w:tr w14:paraId="281C4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9E8E51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60</w:t>
            </w:r>
          </w:p>
        </w:tc>
        <w:tc>
          <w:tcPr>
            <w:tcW w:w="850" w:type="dxa"/>
            <w:vMerge w:val="continue"/>
            <w:noWrap/>
            <w:vAlign w:val="center"/>
          </w:tcPr>
          <w:p w14:paraId="4B11008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41FBE8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民生需求敏捷感知工具组件-交通业态感知语义建模组件-建模效果评估模块</w:t>
            </w:r>
          </w:p>
        </w:tc>
        <w:tc>
          <w:tcPr>
            <w:tcW w:w="4618" w:type="dxa"/>
            <w:vAlign w:val="center"/>
          </w:tcPr>
          <w:p w14:paraId="6EFE32A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针对训练好的算法，衡量在训练数据上的结果表现，通过评估，了解算法的准确性和稳定性，从而做出算法调整和优化。</w:t>
            </w:r>
          </w:p>
        </w:tc>
      </w:tr>
      <w:tr w14:paraId="4CF0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DD300A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61</w:t>
            </w:r>
          </w:p>
        </w:tc>
        <w:tc>
          <w:tcPr>
            <w:tcW w:w="850" w:type="dxa"/>
            <w:vMerge w:val="continue"/>
            <w:noWrap/>
            <w:vAlign w:val="center"/>
          </w:tcPr>
          <w:p w14:paraId="352E146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0E09C4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民生需求敏捷感知工具组件-交通业态感知语义建模组件-算法管理模块</w:t>
            </w:r>
          </w:p>
        </w:tc>
        <w:tc>
          <w:tcPr>
            <w:tcW w:w="4618" w:type="dxa"/>
            <w:vAlign w:val="center"/>
          </w:tcPr>
          <w:p w14:paraId="1700DE2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提供算法管理能力，可以对训练好的算法进行上线下线，状态查看和算法删除。</w:t>
            </w:r>
          </w:p>
        </w:tc>
      </w:tr>
      <w:tr w14:paraId="3F05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28F8E2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62</w:t>
            </w:r>
          </w:p>
        </w:tc>
        <w:tc>
          <w:tcPr>
            <w:tcW w:w="850" w:type="dxa"/>
            <w:vMerge w:val="continue"/>
            <w:noWrap/>
            <w:vAlign w:val="center"/>
          </w:tcPr>
          <w:p w14:paraId="4FDEEA3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AAE40F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民生需求敏捷感知工具组件-交通业态感知语义建模组件-语义分析专业词库</w:t>
            </w:r>
          </w:p>
        </w:tc>
        <w:tc>
          <w:tcPr>
            <w:tcW w:w="4618" w:type="dxa"/>
            <w:vAlign w:val="center"/>
          </w:tcPr>
          <w:p w14:paraId="14D9499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针对文本处理过程中需要停用的词和专业用词分别建立停用词库和专业词库。</w:t>
            </w:r>
          </w:p>
        </w:tc>
      </w:tr>
      <w:tr w14:paraId="7F92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5215ED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63</w:t>
            </w:r>
          </w:p>
        </w:tc>
        <w:tc>
          <w:tcPr>
            <w:tcW w:w="850" w:type="dxa"/>
            <w:vMerge w:val="continue"/>
            <w:noWrap/>
            <w:vAlign w:val="center"/>
          </w:tcPr>
          <w:p w14:paraId="48C458F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87EFC1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各交通业态民生需求敏捷感知子模块-出租汽车民生需求趋势感知-出租汽车民生需求特征标注模块</w:t>
            </w:r>
          </w:p>
        </w:tc>
        <w:tc>
          <w:tcPr>
            <w:tcW w:w="4618" w:type="dxa"/>
            <w:vAlign w:val="center"/>
          </w:tcPr>
          <w:p w14:paraId="4CF7A2D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以出租汽车民生诉求多维度分类体系如出租汽车安全问题、出租汽车服务问题、出租汽车收费问题、网约车平台服务等切入，根据出租汽车民生诉求多维度分类体系制定相应的标注规则。通过人工标注少量数据构建预训练标注算法对对行业相关的历史工单文本进行半自动数据标注，建立标准化审核机制，保证标注效果的准确性。</w:t>
            </w:r>
          </w:p>
        </w:tc>
      </w:tr>
      <w:tr w14:paraId="027E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7C2DF3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64</w:t>
            </w:r>
          </w:p>
        </w:tc>
        <w:tc>
          <w:tcPr>
            <w:tcW w:w="850" w:type="dxa"/>
            <w:vMerge w:val="continue"/>
            <w:noWrap/>
            <w:vAlign w:val="center"/>
          </w:tcPr>
          <w:p w14:paraId="28076DBD">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57A18D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各交通业态民生需求敏捷感知子模块-出租汽车民生需求趋势感知-出租汽车民生需求感知挖掘建模</w:t>
            </w:r>
          </w:p>
        </w:tc>
        <w:tc>
          <w:tcPr>
            <w:tcW w:w="4618" w:type="dxa"/>
            <w:vAlign w:val="center"/>
          </w:tcPr>
          <w:p w14:paraId="1494C28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出租汽车业态标注数据集训练语义识别和机器学习算法算法，从出租汽车安全问题、服务问题、收费问题、网约车车辆服务、网约车平台服务等多个业务监管角度对热线工单进行文本挖掘建模，实现自动识别工单的多标签特征。评估和优化建模结果和算法效率，确保高准确度、低资源消耗和快速运行，在政务云环境下，实现对出租汽车（包括网约车）行业民生诉求热点和问题的敏捷响应和快速发现。</w:t>
            </w:r>
          </w:p>
        </w:tc>
      </w:tr>
      <w:tr w14:paraId="15399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62" w:type="dxa"/>
            <w:vAlign w:val="center"/>
          </w:tcPr>
          <w:p w14:paraId="233D9FF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65</w:t>
            </w:r>
          </w:p>
        </w:tc>
        <w:tc>
          <w:tcPr>
            <w:tcW w:w="850" w:type="dxa"/>
            <w:vMerge w:val="continue"/>
            <w:noWrap/>
            <w:vAlign w:val="center"/>
          </w:tcPr>
          <w:p w14:paraId="4DC649CA">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9C32E7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各交通业态民生需求敏捷感知子模块-出租汽车民生需求趋势感知-出租汽车民生需求时间趋势研判</w:t>
            </w:r>
          </w:p>
        </w:tc>
        <w:tc>
          <w:tcPr>
            <w:tcW w:w="4618" w:type="dxa"/>
            <w:vAlign w:val="center"/>
          </w:tcPr>
          <w:p w14:paraId="793B7D6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出租汽车民生诉求感知挖掘算法，对即时出租汽车行业的热线数据进行快速高效的多标签语义识别和问题分类，并根据交通委对出租汽车（含网约车）行业的具体监管要求，从时间趋势的视角，对特定时间点或时段内出租汽车服务问题、收费问题、平台服务等各方面问题进行深度挖掘与分析，发现出租汽车公司、网约车平台公司等主体的各类服务问题趋势，为精准监管提供依据。</w:t>
            </w:r>
          </w:p>
        </w:tc>
      </w:tr>
      <w:tr w14:paraId="2D3D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5E2C50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66</w:t>
            </w:r>
          </w:p>
        </w:tc>
        <w:tc>
          <w:tcPr>
            <w:tcW w:w="850" w:type="dxa"/>
            <w:vMerge w:val="continue"/>
            <w:noWrap/>
            <w:vAlign w:val="center"/>
          </w:tcPr>
          <w:p w14:paraId="16DA027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755E50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各交通业态民生需求敏捷感知子模块-出租汽车民生需求趋势感知-出租汽车民生需求多维感知查询</w:t>
            </w:r>
          </w:p>
        </w:tc>
        <w:tc>
          <w:tcPr>
            <w:tcW w:w="4618" w:type="dxa"/>
            <w:vAlign w:val="center"/>
          </w:tcPr>
          <w:p w14:paraId="773FC95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委对出租汽车行业监管业务要求，可对出租汽车热线工单数据进行多维条件组合交叉查询，可从出租汽车的安全问题、服务问题、收费问题、网约车车辆服务、网约车平台服务内容等不同方面，对问题标签、类型、区域、处理部门等多维特征进行快速交叉查询分析，全面挖掘各类重点问题的现状，为业务部门精细化管理提供数据支撑。</w:t>
            </w:r>
          </w:p>
        </w:tc>
      </w:tr>
      <w:tr w14:paraId="4971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AAA0BF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67</w:t>
            </w:r>
          </w:p>
        </w:tc>
        <w:tc>
          <w:tcPr>
            <w:tcW w:w="850" w:type="dxa"/>
            <w:vMerge w:val="continue"/>
            <w:noWrap/>
            <w:vAlign w:val="center"/>
          </w:tcPr>
          <w:p w14:paraId="249EDDB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0F0EB1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各交通业态民生需求敏捷感知子模块-地面公交民生需求趋势感知-地面公交民生需求特征标注模块</w:t>
            </w:r>
          </w:p>
        </w:tc>
        <w:tc>
          <w:tcPr>
            <w:tcW w:w="4618" w:type="dxa"/>
            <w:vAlign w:val="center"/>
          </w:tcPr>
          <w:p w14:paraId="3BA11E1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以地面公交民生诉求多维度分类体系如地面公交运营管理、地面公交票务管理、地面公交场站及设施管理等方面切入，根据地面公交民生诉求多维度分类体系制定相应的标注规则。通过人工标注少量数据构建预训练标注算法对对行业相关的历史工单文本进行半自动数据标注，建立标准化审核机制，保证标注效果的准确性。</w:t>
            </w:r>
          </w:p>
        </w:tc>
      </w:tr>
      <w:tr w14:paraId="4048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E56223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68</w:t>
            </w:r>
          </w:p>
        </w:tc>
        <w:tc>
          <w:tcPr>
            <w:tcW w:w="850" w:type="dxa"/>
            <w:vMerge w:val="continue"/>
            <w:noWrap/>
            <w:vAlign w:val="center"/>
          </w:tcPr>
          <w:p w14:paraId="394FC12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7A7330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各交通业态民生需求敏捷感知子模块-地面公交民生需求趋势感知-地面公交民生需求感知挖掘建模</w:t>
            </w:r>
          </w:p>
        </w:tc>
        <w:tc>
          <w:tcPr>
            <w:tcW w:w="4618" w:type="dxa"/>
            <w:vAlign w:val="center"/>
          </w:tcPr>
          <w:p w14:paraId="4689507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地面公交业态标注数据集训练语义识别和机器学习算法算法，从地面公交运营管理、地面公交票务管理、地面公交场站及设施管理等多个业务监管角度对热线工单进行文本挖掘建模，实现自动识别工单的多标签特征。评估和优化建模结果和算法效率，确保高准确度、低资源消耗和快速运行，在政务云环境下，实现对地面公交行业民生诉求热点和问题的敏捷响应和快速发现。</w:t>
            </w:r>
          </w:p>
        </w:tc>
      </w:tr>
      <w:tr w14:paraId="5C491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2D6029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69</w:t>
            </w:r>
          </w:p>
        </w:tc>
        <w:tc>
          <w:tcPr>
            <w:tcW w:w="850" w:type="dxa"/>
            <w:vMerge w:val="continue"/>
            <w:noWrap/>
            <w:vAlign w:val="center"/>
          </w:tcPr>
          <w:p w14:paraId="0AE2137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8BF4C6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各交通业态民生需求敏捷感知子模块-地面公交民生需求趋势感知-地面公交民生需求时间趋势研判</w:t>
            </w:r>
          </w:p>
        </w:tc>
        <w:tc>
          <w:tcPr>
            <w:tcW w:w="4618" w:type="dxa"/>
            <w:vAlign w:val="center"/>
          </w:tcPr>
          <w:p w14:paraId="42F4518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地面公交民生诉求感知挖掘算法，对即时地面公交行业的热线数据进行快速高效的多标签语义识别和问题分类，并根据交通委对地面公交行业的具体监管要求，从时间趋势的视角，对特定时间点或时段内运营管理、票务管理、场站及设施管理等各方面问题进行深度挖掘与分析，发现公交公司等主体的各类服务问题趋势，为精准监管提供依据。</w:t>
            </w:r>
          </w:p>
        </w:tc>
      </w:tr>
      <w:tr w14:paraId="44C10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2B57F4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70</w:t>
            </w:r>
          </w:p>
        </w:tc>
        <w:tc>
          <w:tcPr>
            <w:tcW w:w="850" w:type="dxa"/>
            <w:vMerge w:val="continue"/>
            <w:noWrap/>
            <w:vAlign w:val="center"/>
          </w:tcPr>
          <w:p w14:paraId="74E88E9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C49504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各交通业态民生需求敏捷感知子模块-地面公交民生需求趋势感知-地面公交民生需求多维感知查询</w:t>
            </w:r>
          </w:p>
        </w:tc>
        <w:tc>
          <w:tcPr>
            <w:tcW w:w="4618" w:type="dxa"/>
            <w:vAlign w:val="center"/>
          </w:tcPr>
          <w:p w14:paraId="0615014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委对地面公交行业监管业务要求，可对地面公交热线工单数据进行多维条件组合交叉查询，可从地面公交运营管理、地面公交票务管理、地面公交场站及设施管理等不同方面，对问题标签、类型、区域、处理部门等多维特征进行快速交叉查询分析，全面挖掘各类重点问题的现状，为业务部门精细化管理提供数据支撑。</w:t>
            </w:r>
          </w:p>
        </w:tc>
      </w:tr>
      <w:tr w14:paraId="166B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875539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71</w:t>
            </w:r>
          </w:p>
        </w:tc>
        <w:tc>
          <w:tcPr>
            <w:tcW w:w="850" w:type="dxa"/>
            <w:vMerge w:val="continue"/>
            <w:noWrap/>
            <w:vAlign w:val="center"/>
          </w:tcPr>
          <w:p w14:paraId="69610D7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69B96F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各交通业态民生需求敏捷感知子模块-路政管理民生需求趋势感知-路政管理民生需求特征标注模块</w:t>
            </w:r>
          </w:p>
        </w:tc>
        <w:tc>
          <w:tcPr>
            <w:tcW w:w="4618" w:type="dxa"/>
            <w:vAlign w:val="center"/>
          </w:tcPr>
          <w:p w14:paraId="03D82A3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以路政管理民生诉求多维度分类体系如路政管理道路规划设计、路政管理道路路面、路政管理高速收费等切入，根据路政管理民生诉求多维度分类体系制定相应的标注规则。通过人工标注少量数据构建预训练标注算法对对行业相关的历史工单文本进行半自动数据标注，建立标准化审核机制，保证标注效果的准确性。</w:t>
            </w:r>
          </w:p>
        </w:tc>
      </w:tr>
      <w:tr w14:paraId="2CD4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C059FA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72</w:t>
            </w:r>
          </w:p>
        </w:tc>
        <w:tc>
          <w:tcPr>
            <w:tcW w:w="850" w:type="dxa"/>
            <w:vMerge w:val="continue"/>
            <w:noWrap/>
            <w:vAlign w:val="center"/>
          </w:tcPr>
          <w:p w14:paraId="1AEB7AD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52263D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各交通业态民生需求敏捷感知子模块-路政管理民生需求趋势感知-路政管理民生需求感知挖掘建模</w:t>
            </w:r>
          </w:p>
        </w:tc>
        <w:tc>
          <w:tcPr>
            <w:tcW w:w="4618" w:type="dxa"/>
            <w:vAlign w:val="center"/>
          </w:tcPr>
          <w:p w14:paraId="5394358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路政管理业态标注数据集训练语义识别和机器学习算法算法，从道路规划设计、道路路面、高速收费等多个业务监管角度对热线工单进行文本挖掘建模，实现自动识别工单的多标签特征。评估和优化建模结果和算法效率，确保高准确度、低资源消耗和快速运行，在政务云环境下，实现对路政管理行业民生诉求热点和问题的敏捷响应和快速发现。</w:t>
            </w:r>
          </w:p>
        </w:tc>
      </w:tr>
      <w:tr w14:paraId="4E465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F6B578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73</w:t>
            </w:r>
          </w:p>
        </w:tc>
        <w:tc>
          <w:tcPr>
            <w:tcW w:w="850" w:type="dxa"/>
            <w:vMerge w:val="continue"/>
            <w:noWrap/>
            <w:vAlign w:val="center"/>
          </w:tcPr>
          <w:p w14:paraId="5CE058E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45E4E1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各交通业态民生需求敏捷感知子模块-路政管理民生需求趋势感知-路政管理民生需求时间趋势研判</w:t>
            </w:r>
          </w:p>
        </w:tc>
        <w:tc>
          <w:tcPr>
            <w:tcW w:w="4618" w:type="dxa"/>
            <w:vAlign w:val="center"/>
          </w:tcPr>
          <w:p w14:paraId="29552AA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路政管理民生诉求感知挖掘算法，对即时路政管理行业的热线数据进行快速高效的多标签语义识别和问题分类，并根据交通委对路政管理行业的具体监管要求，从时间趋势的视角，对特定时间点或时段内道路规划设计、道路路面、高速收费、文明施工、车损赔偿等各方面问题进行深度挖掘与分析，发现路政管理相关主体的各类服务问题趋势，为精准监管提供依据。</w:t>
            </w:r>
          </w:p>
        </w:tc>
      </w:tr>
      <w:tr w14:paraId="619C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B8A7C4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74</w:t>
            </w:r>
          </w:p>
        </w:tc>
        <w:tc>
          <w:tcPr>
            <w:tcW w:w="850" w:type="dxa"/>
            <w:vMerge w:val="continue"/>
            <w:noWrap/>
            <w:vAlign w:val="center"/>
          </w:tcPr>
          <w:p w14:paraId="6B4C236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79D0BB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各交通业态民生需求敏捷感知子模块-路政管理民生需求趋势感知-路政管理民生需求多维感知查询</w:t>
            </w:r>
          </w:p>
        </w:tc>
        <w:tc>
          <w:tcPr>
            <w:tcW w:w="4618" w:type="dxa"/>
            <w:vAlign w:val="center"/>
          </w:tcPr>
          <w:p w14:paraId="2710C4D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委对路政管理行业监管业务要求，可对路政管理热线工单数据进行多维条件组合交叉查询，可从道路规划设计、道路路面、高速收费、文明施工、车损赔偿等不同方面，对问题标签、类型、区域、处理部门等多维特征进行快速交叉查询分析，全面挖掘各类重点问题的现状，为业务部门精细化管理提供数据支撑。</w:t>
            </w:r>
          </w:p>
        </w:tc>
      </w:tr>
      <w:tr w14:paraId="04B7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4D82D0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75</w:t>
            </w:r>
          </w:p>
        </w:tc>
        <w:tc>
          <w:tcPr>
            <w:tcW w:w="850" w:type="dxa"/>
            <w:vMerge w:val="continue"/>
            <w:noWrap/>
            <w:vAlign w:val="center"/>
          </w:tcPr>
          <w:p w14:paraId="63DAF8E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936733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各交通业态民生需求敏捷感知子模块-道路货运民生需求趋势感知-道路货运民生需求特征标注模块</w:t>
            </w:r>
          </w:p>
        </w:tc>
        <w:tc>
          <w:tcPr>
            <w:tcW w:w="4618" w:type="dxa"/>
            <w:vAlign w:val="center"/>
          </w:tcPr>
          <w:p w14:paraId="4619DF9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以道路货运民生诉求多维度分类体系如路政管理道路规划设计、路政管理道路路面、路政管理高速收费等切入，根据道路运输民生诉求多维度分类体系制定相应的标注规则。通过人工标注少量数据构建预训练标注算法对对行业相关的历史工单文本进行半自动数据标注，建立标准化审核机制，保证标注效果的准确性。</w:t>
            </w:r>
          </w:p>
        </w:tc>
      </w:tr>
      <w:tr w14:paraId="3984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1EEC1E3">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76</w:t>
            </w:r>
          </w:p>
        </w:tc>
        <w:tc>
          <w:tcPr>
            <w:tcW w:w="850" w:type="dxa"/>
            <w:vMerge w:val="continue"/>
            <w:noWrap/>
            <w:vAlign w:val="center"/>
          </w:tcPr>
          <w:p w14:paraId="6BD2BEF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477429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各交通业态民生需求敏捷感知子模块-道路货运民生需求趋势感知-道路货运民生需求感知挖掘建模</w:t>
            </w:r>
          </w:p>
        </w:tc>
        <w:tc>
          <w:tcPr>
            <w:tcW w:w="4618" w:type="dxa"/>
            <w:vAlign w:val="center"/>
          </w:tcPr>
          <w:p w14:paraId="232CB5D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道路货运业态标注数据集训练语义识别和机器学习算法算法，从危险货物运输、普通货物运输、货运网络平台等多个业务监管角度对热线工单进行文本挖掘建模，实现自动识别工单的多标签特征。评估和优化建模结果和算法效率，确保高准确度、低资源消耗和快速运行，在政务云环境下，实现对道路货运行业民生诉求热点和问题的敏捷响应和快速发现。</w:t>
            </w:r>
          </w:p>
        </w:tc>
      </w:tr>
      <w:tr w14:paraId="0EAC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095445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77</w:t>
            </w:r>
          </w:p>
        </w:tc>
        <w:tc>
          <w:tcPr>
            <w:tcW w:w="850" w:type="dxa"/>
            <w:vMerge w:val="continue"/>
            <w:noWrap/>
            <w:vAlign w:val="center"/>
          </w:tcPr>
          <w:p w14:paraId="5FB9D34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79DAD9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各交通业态民生需求敏捷感知子模块-道路货运民生需求趋势感知-道路货运民生需求时间趋势研判</w:t>
            </w:r>
          </w:p>
        </w:tc>
        <w:tc>
          <w:tcPr>
            <w:tcW w:w="4618" w:type="dxa"/>
            <w:vAlign w:val="center"/>
          </w:tcPr>
          <w:p w14:paraId="3B4D733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道路货运民生诉求感知挖掘算法，对即时道路货运行业的热线数据进行快速高效的多标签语义识别和问题分类，并根据交通委对道路货运行业的具体监管要求，从时间趋势的视角，对特定时间点或时段内危险货物运输、普通货物运输、货运网络平台、无证经营等各方面问题进行深度挖掘与分析，发现道路货运公司、货运平台公司等主体的各类服务问题趋势，为精准监管提供依据。</w:t>
            </w:r>
          </w:p>
        </w:tc>
      </w:tr>
      <w:tr w14:paraId="18524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D4A1CA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78</w:t>
            </w:r>
          </w:p>
        </w:tc>
        <w:tc>
          <w:tcPr>
            <w:tcW w:w="850" w:type="dxa"/>
            <w:vMerge w:val="continue"/>
            <w:noWrap/>
            <w:vAlign w:val="center"/>
          </w:tcPr>
          <w:p w14:paraId="79BB4A9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194830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各交通业态民生需求敏捷感知子模块-道路货运民生需求趋势感知-道路货运民生需求多维感知查询</w:t>
            </w:r>
          </w:p>
        </w:tc>
        <w:tc>
          <w:tcPr>
            <w:tcW w:w="4618" w:type="dxa"/>
            <w:vAlign w:val="center"/>
          </w:tcPr>
          <w:p w14:paraId="61D61CA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委对道路货运行业监管业务要求，可对道路货运热线工单数据进行多维条件组合交叉查询，可从危险货物运输、普通货物运输、货运网络平台、货损赔偿、服务态度等不同方面，对问题标签、类型、区域、处理部门等多维特征进行快速交叉查询分析，全面挖掘各类重点问题的现状，为业务部门精细化管理提供数据支撑。</w:t>
            </w:r>
          </w:p>
        </w:tc>
      </w:tr>
      <w:tr w14:paraId="300B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FC16ED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79</w:t>
            </w:r>
          </w:p>
        </w:tc>
        <w:tc>
          <w:tcPr>
            <w:tcW w:w="850" w:type="dxa"/>
            <w:vMerge w:val="continue"/>
            <w:noWrap/>
            <w:vAlign w:val="center"/>
          </w:tcPr>
          <w:p w14:paraId="05818FD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B44A04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w:t>
            </w:r>
            <w:r>
              <w:rPr>
                <w:rFonts w:hint="eastAsia" w:cs="宋体"/>
                <w:color w:val="000000"/>
                <w:sz w:val="21"/>
                <w:szCs w:val="21"/>
                <w:lang w:bidi="ar"/>
              </w:rPr>
              <w:br w:type="textWrapping"/>
            </w:r>
            <w:r>
              <w:rPr>
                <w:rFonts w:hint="eastAsia" w:cs="宋体"/>
                <w:color w:val="000000"/>
                <w:sz w:val="21"/>
                <w:szCs w:val="21"/>
                <w:lang w:bidi="ar"/>
              </w:rPr>
              <w:t>其他交通业态民生需求趋势感知-其他交通业态民生需求特征标注模块</w:t>
            </w:r>
          </w:p>
        </w:tc>
        <w:tc>
          <w:tcPr>
            <w:tcW w:w="4618" w:type="dxa"/>
            <w:vAlign w:val="center"/>
          </w:tcPr>
          <w:p w14:paraId="419EB5D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以其他交通业态民生诉求多维度分类体系如从港口航运、轨道交通、省级客运、停车管理、驾驶培训、牵引维修等切入，根据其他交通业态民生诉求多维度分类体系制定相应的标注规则。通过人工标注少量数据构建预训练标注算法对对行业相关的历史工单文本进行半自动数据标注，建立标准化审核机制，保证标注效果的准确性。</w:t>
            </w:r>
          </w:p>
        </w:tc>
      </w:tr>
      <w:tr w14:paraId="1A3A7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5C75D0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80</w:t>
            </w:r>
          </w:p>
        </w:tc>
        <w:tc>
          <w:tcPr>
            <w:tcW w:w="850" w:type="dxa"/>
            <w:vMerge w:val="continue"/>
            <w:noWrap/>
            <w:vAlign w:val="center"/>
          </w:tcPr>
          <w:p w14:paraId="6756BC2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FAFD3E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w:t>
            </w:r>
            <w:r>
              <w:rPr>
                <w:rFonts w:hint="eastAsia" w:cs="宋体"/>
                <w:color w:val="000000"/>
                <w:sz w:val="21"/>
                <w:szCs w:val="21"/>
                <w:lang w:bidi="ar"/>
              </w:rPr>
              <w:br w:type="textWrapping"/>
            </w:r>
            <w:r>
              <w:rPr>
                <w:rFonts w:hint="eastAsia" w:cs="宋体"/>
                <w:color w:val="000000"/>
                <w:sz w:val="21"/>
                <w:szCs w:val="21"/>
                <w:lang w:bidi="ar"/>
              </w:rPr>
              <w:t>其他交通业态民生需求趋势感知-其他交通业态民生需求挖掘建模</w:t>
            </w:r>
          </w:p>
        </w:tc>
        <w:tc>
          <w:tcPr>
            <w:tcW w:w="4618" w:type="dxa"/>
            <w:vAlign w:val="center"/>
          </w:tcPr>
          <w:p w14:paraId="5045A05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其他交通业态标注数据集训练语义识别和机器学习算法算法，从港口航运、轨道交通、省级客运、停车管理、驾驶培训、牵引维修多个业务对热线工单进行文本挖掘建模，实现自动识别工单的多标签特征。评估和优化建模结果和算法效率，确保高准确度、低资源消耗和快速运行，在政务云环境下，实现对港口航运行业民生诉求热点和问题的敏捷响应和快速发现。</w:t>
            </w:r>
          </w:p>
        </w:tc>
      </w:tr>
      <w:tr w14:paraId="5136E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62" w:type="dxa"/>
            <w:vAlign w:val="center"/>
          </w:tcPr>
          <w:p w14:paraId="2EE2FBF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81</w:t>
            </w:r>
          </w:p>
        </w:tc>
        <w:tc>
          <w:tcPr>
            <w:tcW w:w="850" w:type="dxa"/>
            <w:vMerge w:val="continue"/>
            <w:noWrap/>
            <w:vAlign w:val="center"/>
          </w:tcPr>
          <w:p w14:paraId="3E299DF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9ACB09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w:t>
            </w:r>
            <w:r>
              <w:rPr>
                <w:rFonts w:hint="eastAsia" w:cs="宋体"/>
                <w:color w:val="000000"/>
                <w:sz w:val="21"/>
                <w:szCs w:val="21"/>
                <w:lang w:bidi="ar"/>
              </w:rPr>
              <w:br w:type="textWrapping"/>
            </w:r>
            <w:r>
              <w:rPr>
                <w:rFonts w:hint="eastAsia" w:cs="宋体"/>
                <w:color w:val="000000"/>
                <w:sz w:val="21"/>
                <w:szCs w:val="21"/>
                <w:lang w:bidi="ar"/>
              </w:rPr>
              <w:t>其他交通业态民生需求趋势感知-其他交通业态民生需求时间趋势研判</w:t>
            </w:r>
          </w:p>
        </w:tc>
        <w:tc>
          <w:tcPr>
            <w:tcW w:w="4618" w:type="dxa"/>
            <w:vAlign w:val="center"/>
          </w:tcPr>
          <w:p w14:paraId="10D3569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其他交通民生诉求感知挖掘算法，对即时其他交通行业的热线数据进行快速高效的多标签语义识别和问题分类，并根据交通委对其他交通行业的具体监管要求，从时间趋势的视角，对特定时间点或时段内港口航运、轨道交通、省级客运、停车管理、驾驶培训、牵引维修各方面问题进行深度挖掘与分析，发现其他交通主体的各类服务问题趋势，为精准监管提供依据。</w:t>
            </w:r>
          </w:p>
        </w:tc>
      </w:tr>
      <w:tr w14:paraId="6FFC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D3B352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82</w:t>
            </w:r>
          </w:p>
        </w:tc>
        <w:tc>
          <w:tcPr>
            <w:tcW w:w="850" w:type="dxa"/>
            <w:vMerge w:val="continue"/>
            <w:noWrap/>
            <w:vAlign w:val="center"/>
          </w:tcPr>
          <w:p w14:paraId="544E4F2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070CA5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w:t>
            </w:r>
            <w:r>
              <w:rPr>
                <w:rFonts w:hint="eastAsia" w:cs="宋体"/>
                <w:color w:val="000000"/>
                <w:sz w:val="21"/>
                <w:szCs w:val="21"/>
                <w:lang w:bidi="ar"/>
              </w:rPr>
              <w:br w:type="textWrapping"/>
            </w:r>
            <w:r>
              <w:rPr>
                <w:rFonts w:hint="eastAsia" w:cs="宋体"/>
                <w:color w:val="000000"/>
                <w:sz w:val="21"/>
                <w:szCs w:val="21"/>
                <w:lang w:bidi="ar"/>
              </w:rPr>
              <w:t>其他交通业态民生需求趋势感知-其他交通业态民生需求多维感知查询</w:t>
            </w:r>
          </w:p>
        </w:tc>
        <w:tc>
          <w:tcPr>
            <w:tcW w:w="4618" w:type="dxa"/>
            <w:vAlign w:val="center"/>
          </w:tcPr>
          <w:p w14:paraId="181572C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委对其他交通行业监管业务要求，可对其他交通热线工单数据进行多维条件组合交叉查询，可从港口航运、轨道交通、省级客运、停车管理、驾驶培训、牵引维修不同方面，对问题标签、类型、区域、处理部门等多维特征进行快速交叉查询分析，全面挖掘各类重点问题的现状，为业务部门精细化管理提供数据支撑。</w:t>
            </w:r>
          </w:p>
        </w:tc>
      </w:tr>
      <w:tr w14:paraId="6388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FCB139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83</w:t>
            </w:r>
          </w:p>
        </w:tc>
        <w:tc>
          <w:tcPr>
            <w:tcW w:w="850" w:type="dxa"/>
            <w:vMerge w:val="continue"/>
            <w:noWrap/>
            <w:vAlign w:val="center"/>
          </w:tcPr>
          <w:p w14:paraId="333C5D5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B49035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各交通业态民生需求敏捷感知子模块-各交通业态民生需求敏捷感知快报-各交通业态民生需求敏捷感知周报</w:t>
            </w:r>
          </w:p>
        </w:tc>
        <w:tc>
          <w:tcPr>
            <w:tcW w:w="4618" w:type="dxa"/>
            <w:vAlign w:val="center"/>
          </w:tcPr>
          <w:p w14:paraId="2A7872E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定制化构建各交通业态周报模版，反应一周的各交通业态下各个场景的运行趋势和变化。基于各交通业态民生诉求感知的分析结果，已文字和图标的表现形式，利用报告生成功能快速生成多维感知周报，为业务分析和政策决策提供数据支持。</w:t>
            </w:r>
          </w:p>
        </w:tc>
      </w:tr>
      <w:tr w14:paraId="68922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D32EB6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84</w:t>
            </w:r>
          </w:p>
        </w:tc>
        <w:tc>
          <w:tcPr>
            <w:tcW w:w="850" w:type="dxa"/>
            <w:vMerge w:val="continue"/>
            <w:noWrap/>
            <w:vAlign w:val="center"/>
          </w:tcPr>
          <w:p w14:paraId="46857B0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E9501C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各交通业态民生需求敏捷感知子模块-各交通业态民生需求敏捷感知快报-各交通业态民生需求敏捷感知月报</w:t>
            </w:r>
          </w:p>
        </w:tc>
        <w:tc>
          <w:tcPr>
            <w:tcW w:w="4618" w:type="dxa"/>
            <w:vAlign w:val="center"/>
          </w:tcPr>
          <w:p w14:paraId="3502280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定制化构建各交通业态月报模版，反应一个自然月内各交通业态下各个场景的趋势变化和热点问题。基于各交通业态民生诉求感知的分析结果，已文字和图标的表现形式，利用报告生成功能快速生成多维感知周报，为业务分析和政策决策提供数据支持。</w:t>
            </w:r>
          </w:p>
        </w:tc>
      </w:tr>
      <w:tr w14:paraId="53A8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AB1A3B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85</w:t>
            </w:r>
          </w:p>
        </w:tc>
        <w:tc>
          <w:tcPr>
            <w:tcW w:w="850" w:type="dxa"/>
            <w:vMerge w:val="continue"/>
            <w:noWrap/>
            <w:vAlign w:val="center"/>
          </w:tcPr>
          <w:p w14:paraId="227E3BF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F780A0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重点人群需求感知子模块-货车司机需求感知-货车司机群体需求特征标注模块</w:t>
            </w:r>
          </w:p>
        </w:tc>
        <w:tc>
          <w:tcPr>
            <w:tcW w:w="4618" w:type="dxa"/>
            <w:vAlign w:val="center"/>
          </w:tcPr>
          <w:p w14:paraId="04737A8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已构建完成的货车司机群体诉求分类体系为基础，深入剖析该体系中各类诉求的内涵与边界，结合实际业务场景与管理需求，制定货车司机群体诉求分类体系标注规则。通过人工标注少量数据构建预训练标注算法对对行业相关的历史工单文本进行半自动数据标注，建立标准化审核机制，保证标注效果的准确性。</w:t>
            </w:r>
          </w:p>
        </w:tc>
      </w:tr>
      <w:tr w14:paraId="5A62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B3D498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86</w:t>
            </w:r>
          </w:p>
        </w:tc>
        <w:tc>
          <w:tcPr>
            <w:tcW w:w="850" w:type="dxa"/>
            <w:vMerge w:val="continue"/>
            <w:noWrap/>
            <w:vAlign w:val="center"/>
          </w:tcPr>
          <w:p w14:paraId="66AC871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DE9180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重点人群需求感知子模块-货车司机需求感知-货车司机群体需求挖掘建模</w:t>
            </w:r>
          </w:p>
        </w:tc>
        <w:tc>
          <w:tcPr>
            <w:tcW w:w="4618" w:type="dxa"/>
            <w:vAlign w:val="center"/>
          </w:tcPr>
          <w:p w14:paraId="1E8771E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货车司机群体标注数据集训练语义识别和机器学习算法算法，从货车司机群体多方面诉求角度对热线工单进行文本挖掘建模，实现自动识别工单的多标签特征。评估和优化建模结果和算法效率，确保高准确度、低资源消耗和快速运行，在政务云环境下，实现对货车司机群体民生诉求热点和问题的敏捷响应和快速发现。</w:t>
            </w:r>
          </w:p>
        </w:tc>
      </w:tr>
      <w:tr w14:paraId="5A22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62" w:type="dxa"/>
            <w:vAlign w:val="center"/>
          </w:tcPr>
          <w:p w14:paraId="17DF33B3">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87</w:t>
            </w:r>
          </w:p>
        </w:tc>
        <w:tc>
          <w:tcPr>
            <w:tcW w:w="850" w:type="dxa"/>
            <w:vMerge w:val="continue"/>
            <w:noWrap/>
            <w:vAlign w:val="center"/>
          </w:tcPr>
          <w:p w14:paraId="0900B27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0F3850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重点人群需求感知子模块-货车司机需求感知-货车司机群体需求时间趋势研判</w:t>
            </w:r>
          </w:p>
        </w:tc>
        <w:tc>
          <w:tcPr>
            <w:tcW w:w="4618" w:type="dxa"/>
            <w:vAlign w:val="center"/>
          </w:tcPr>
          <w:p w14:paraId="0C23AC9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货车司机群体民生诉求感知挖掘算法，对即时货车司机群体的热线数据进行快速高效的多标签语义识别和问题分类，并根据交通委对货车司机群体的具体监管要求，从时间趋势的视角，对特定时间点或时段内货车司机群体各方面问题进行深度挖掘与分析，发现货车司机群体的各类服务问题趋势，为精准监管提供依据。</w:t>
            </w:r>
          </w:p>
        </w:tc>
      </w:tr>
      <w:tr w14:paraId="33F9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3A7239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88</w:t>
            </w:r>
          </w:p>
        </w:tc>
        <w:tc>
          <w:tcPr>
            <w:tcW w:w="850" w:type="dxa"/>
            <w:vMerge w:val="continue"/>
            <w:noWrap/>
            <w:vAlign w:val="center"/>
          </w:tcPr>
          <w:p w14:paraId="51D36760">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BFC043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重点人群需求感知子模块-网约车司机需求感知-网约车司机群体需求特征标注模块</w:t>
            </w:r>
          </w:p>
        </w:tc>
        <w:tc>
          <w:tcPr>
            <w:tcW w:w="4618" w:type="dxa"/>
            <w:vAlign w:val="center"/>
          </w:tcPr>
          <w:p w14:paraId="3DB3A97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已构建完成的网约车司机群体诉求分类体系为基础，深入剖析该体系中各类诉求的内涵与边界，结合实际业务场景与管理需求，制定网约车司机群体诉求分类体系标注规则。通过人工标注少量数据构建预训练标注算法对对行业相关的历史工单文本进行半自动数据标注，建立标准化审核机制，保证标注效果的准确性。</w:t>
            </w:r>
          </w:p>
        </w:tc>
      </w:tr>
      <w:tr w14:paraId="7E87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9233CC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89</w:t>
            </w:r>
          </w:p>
        </w:tc>
        <w:tc>
          <w:tcPr>
            <w:tcW w:w="850" w:type="dxa"/>
            <w:vMerge w:val="continue"/>
            <w:noWrap/>
            <w:vAlign w:val="center"/>
          </w:tcPr>
          <w:p w14:paraId="52DFF86E">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9920BC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重点人群需求感知子模块-网约车司机需求感知-网约车司机群体需求挖掘建模</w:t>
            </w:r>
          </w:p>
        </w:tc>
        <w:tc>
          <w:tcPr>
            <w:tcW w:w="4618" w:type="dxa"/>
            <w:vAlign w:val="center"/>
          </w:tcPr>
          <w:p w14:paraId="10D59C8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网约车司机群体标注数据集训练语义识别和机器学习算法算法，从网约车司机群体多方面诉求角度对热线工单进行文本挖掘建模，实现自动识别工单的多标签特征。评估和优化建模结果和算法效率，确保高准确度、低资源消耗和快速运行，在政务云环境下，实现对网约车司机群体民生诉求热点和问题的敏捷响应和快速发现。</w:t>
            </w:r>
          </w:p>
        </w:tc>
      </w:tr>
      <w:tr w14:paraId="77AC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AD179E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90</w:t>
            </w:r>
          </w:p>
        </w:tc>
        <w:tc>
          <w:tcPr>
            <w:tcW w:w="850" w:type="dxa"/>
            <w:vMerge w:val="continue"/>
            <w:noWrap/>
            <w:vAlign w:val="center"/>
          </w:tcPr>
          <w:p w14:paraId="0ED05DA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119AC8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重点人群需求感知子模块-网约车司机需求感知-网约车司机群体需求时间趋势研判</w:t>
            </w:r>
          </w:p>
        </w:tc>
        <w:tc>
          <w:tcPr>
            <w:tcW w:w="4618" w:type="dxa"/>
            <w:vAlign w:val="center"/>
          </w:tcPr>
          <w:p w14:paraId="3974C57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利用网约车司机群体民生诉求感知挖掘算法，对即时网约车司机群体的热线数据进行快速高效的多标签语义识别和问题分类，并根据交通委对网约车司机群体的具体监管要求，从时间趋势的视角，对特定时间点或时段内货车司机群体各方面问题进行深度挖掘与分析，发现网约车司机群体的各类服务问题趋势，为精准监管提供依据。</w:t>
            </w:r>
          </w:p>
        </w:tc>
      </w:tr>
      <w:tr w14:paraId="5547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AFF883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91</w:t>
            </w:r>
          </w:p>
        </w:tc>
        <w:tc>
          <w:tcPr>
            <w:tcW w:w="850" w:type="dxa"/>
            <w:vMerge w:val="continue"/>
            <w:noWrap/>
            <w:vAlign w:val="center"/>
          </w:tcPr>
          <w:p w14:paraId="29A6B13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09A3A5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重要时段民生需求子模块-重要节假日活动民生需求敏捷感知-重要节假日需求感知建模</w:t>
            </w:r>
          </w:p>
        </w:tc>
        <w:tc>
          <w:tcPr>
            <w:tcW w:w="4618" w:type="dxa"/>
            <w:vAlign w:val="center"/>
          </w:tcPr>
          <w:p w14:paraId="4465AED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通过重要节假日（如春节、五一、国庆等）诉求感知挖掘民生集中诉求。对相关诉求从多角度进行综合感知，为管理部门提供数据支撑。</w:t>
            </w:r>
          </w:p>
        </w:tc>
      </w:tr>
      <w:tr w14:paraId="0891E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52E1D2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92</w:t>
            </w:r>
          </w:p>
        </w:tc>
        <w:tc>
          <w:tcPr>
            <w:tcW w:w="850" w:type="dxa"/>
            <w:vMerge w:val="continue"/>
            <w:noWrap/>
            <w:vAlign w:val="center"/>
          </w:tcPr>
          <w:p w14:paraId="1F4C1C9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F84E84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重要时段民生需求子模块-重要节假日活动民生需求敏捷感知-重要活动需求感知建模</w:t>
            </w:r>
          </w:p>
        </w:tc>
        <w:tc>
          <w:tcPr>
            <w:tcW w:w="4618" w:type="dxa"/>
            <w:vAlign w:val="center"/>
          </w:tcPr>
          <w:p w14:paraId="6A9DD45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通过不定时的重要活动（如两会期间、进博会等）诉求感知挖掘民生集中诉求。对相关诉求从多角度进行综合感知，为管理部门提供数据支撑。</w:t>
            </w:r>
          </w:p>
        </w:tc>
      </w:tr>
      <w:tr w14:paraId="21C6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AA109E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93</w:t>
            </w:r>
          </w:p>
        </w:tc>
        <w:tc>
          <w:tcPr>
            <w:tcW w:w="850" w:type="dxa"/>
            <w:vMerge w:val="continue"/>
            <w:noWrap/>
            <w:vAlign w:val="center"/>
          </w:tcPr>
          <w:p w14:paraId="20D1F44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9F4908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重点区域民生需求子模块-“两场四站”民生需求态势感知-“两场四站”区域地理位置识别</w:t>
            </w:r>
          </w:p>
        </w:tc>
        <w:tc>
          <w:tcPr>
            <w:tcW w:w="4618" w:type="dxa"/>
            <w:vAlign w:val="center"/>
          </w:tcPr>
          <w:p w14:paraId="0782DBE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基于诉求内容文本及地理位置信息，借助实体识别技术，提取地点实体，对属于“两场四站”（虹桥国际机场、浦东国际机场、上海虹桥站、上海站、上海南站、上海松江站）区域工单进行识别。</w:t>
            </w:r>
          </w:p>
        </w:tc>
      </w:tr>
      <w:tr w14:paraId="56F2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62" w:type="dxa"/>
            <w:vAlign w:val="center"/>
          </w:tcPr>
          <w:p w14:paraId="10ACC22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94</w:t>
            </w:r>
          </w:p>
        </w:tc>
        <w:tc>
          <w:tcPr>
            <w:tcW w:w="850" w:type="dxa"/>
            <w:vMerge w:val="continue"/>
            <w:noWrap/>
            <w:vAlign w:val="center"/>
          </w:tcPr>
          <w:p w14:paraId="2926424A">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873E0F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重点区域民生需求子模块-“两场四站”民生需求态势感知-“两场四站”区域民生需求时间趋势研判</w:t>
            </w:r>
          </w:p>
        </w:tc>
        <w:tc>
          <w:tcPr>
            <w:tcW w:w="4618" w:type="dxa"/>
            <w:vAlign w:val="center"/>
          </w:tcPr>
          <w:p w14:paraId="517ED14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业务需求，选择某一时间点或某一时间段，提供特定时间点或时间段内“两场四站”区域民生诉求的趋势分析，包括交通接驳、设施维护等维度特征的时间变化趋势分布等进行分析，为管理决策提供数据支撑。</w:t>
            </w:r>
          </w:p>
        </w:tc>
      </w:tr>
      <w:tr w14:paraId="0D91B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929CACF">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95</w:t>
            </w:r>
          </w:p>
        </w:tc>
        <w:tc>
          <w:tcPr>
            <w:tcW w:w="850" w:type="dxa"/>
            <w:vMerge w:val="continue"/>
            <w:noWrap/>
            <w:vAlign w:val="center"/>
          </w:tcPr>
          <w:p w14:paraId="37E6A2E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A3B997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重点区域民生需求子模块-“两场四站”民生需求态势感知-“两场四站”区域民生需求多维查询</w:t>
            </w:r>
          </w:p>
        </w:tc>
        <w:tc>
          <w:tcPr>
            <w:tcW w:w="4618" w:type="dxa"/>
            <w:vAlign w:val="center"/>
          </w:tcPr>
          <w:p w14:paraId="05B7EB5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两场四站”区域民生诉求多维查询围绕诉求类型、时间维度、区域、诉求主体以及处置状态等多个维度，对“两场四站”区域进行多维分析和查询。借助该系统，用户能够快速定位特定时间、空间或类型的诉求信息，直观了解诉求分布规律与变化趋势，为精准施策、优化资源配置、提升服务质量提供有力支撑，助力“两场四站”区域实现民生诉求的精细化管理与高效处置。</w:t>
            </w:r>
          </w:p>
        </w:tc>
      </w:tr>
      <w:tr w14:paraId="27DAB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F81B9B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96</w:t>
            </w:r>
          </w:p>
        </w:tc>
        <w:tc>
          <w:tcPr>
            <w:tcW w:w="850" w:type="dxa"/>
            <w:vMerge w:val="continue"/>
            <w:noWrap/>
            <w:vAlign w:val="center"/>
          </w:tcPr>
          <w:p w14:paraId="621BC9E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A912C0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风险预警子模块-风险预警感知模型-各交通业态重点问题预警建模</w:t>
            </w:r>
          </w:p>
        </w:tc>
        <w:tc>
          <w:tcPr>
            <w:tcW w:w="4618" w:type="dxa"/>
            <w:vAlign w:val="center"/>
          </w:tcPr>
          <w:p w14:paraId="4675E68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对交通业态内关注的重点问题进行预警建模，对重点问题的变化进行预警感知，为管理处置提供辅助决策能力。</w:t>
            </w:r>
          </w:p>
        </w:tc>
      </w:tr>
      <w:tr w14:paraId="42196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73F92F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97</w:t>
            </w:r>
          </w:p>
        </w:tc>
        <w:tc>
          <w:tcPr>
            <w:tcW w:w="850" w:type="dxa"/>
            <w:vMerge w:val="continue"/>
            <w:noWrap/>
            <w:vAlign w:val="center"/>
          </w:tcPr>
          <w:p w14:paraId="0DB3DFD3">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675CA2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风险预警子模块-风险预警感知模型-各交通业态重点诉求对象预警模型</w:t>
            </w:r>
          </w:p>
        </w:tc>
        <w:tc>
          <w:tcPr>
            <w:tcW w:w="4618" w:type="dxa"/>
            <w:vAlign w:val="center"/>
          </w:tcPr>
          <w:p w14:paraId="49442D2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针对交通业态内重点的诉求对象，进行综合预警感知，实现对诉求对象的全方位监测与多维度预警感知。</w:t>
            </w:r>
          </w:p>
        </w:tc>
      </w:tr>
      <w:tr w14:paraId="57CB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31D923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98</w:t>
            </w:r>
          </w:p>
        </w:tc>
        <w:tc>
          <w:tcPr>
            <w:tcW w:w="850" w:type="dxa"/>
            <w:vMerge w:val="continue"/>
            <w:noWrap/>
            <w:vAlign w:val="center"/>
          </w:tcPr>
          <w:p w14:paraId="389C510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D833A3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风险预警子模块-风险预警感知模型-各交通业态趋势预警建模</w:t>
            </w:r>
          </w:p>
        </w:tc>
        <w:tc>
          <w:tcPr>
            <w:tcW w:w="4618" w:type="dxa"/>
            <w:vAlign w:val="center"/>
          </w:tcPr>
          <w:p w14:paraId="6D23C0E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针对交通业态中各类事项的趋势变化，建立趋势预警算法，进行趋势预警感知，实现对交通业态的趋势预警感知。</w:t>
            </w:r>
          </w:p>
        </w:tc>
      </w:tr>
      <w:tr w14:paraId="7D53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869692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99</w:t>
            </w:r>
          </w:p>
        </w:tc>
        <w:tc>
          <w:tcPr>
            <w:tcW w:w="850" w:type="dxa"/>
            <w:vMerge w:val="continue"/>
            <w:noWrap/>
            <w:vAlign w:val="center"/>
          </w:tcPr>
          <w:p w14:paraId="6D26567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44D79E6">
            <w:pPr>
              <w:spacing w:line="240" w:lineRule="auto"/>
              <w:ind w:left="0" w:leftChars="0" w:firstLine="0" w:firstLineChars="0"/>
              <w:jc w:val="left"/>
              <w:textAlignment w:val="center"/>
              <w:rPr>
                <w:rFonts w:hint="eastAsia" w:cs="宋体"/>
                <w:color w:val="000000"/>
                <w:sz w:val="21"/>
                <w:szCs w:val="21"/>
                <w:lang w:bidi="ar"/>
              </w:rPr>
            </w:pPr>
            <w:r>
              <w:rPr>
                <w:rFonts w:hint="eastAsia" w:cs="宋体"/>
                <w:color w:val="000000"/>
                <w:sz w:val="21"/>
                <w:szCs w:val="21"/>
                <w:lang w:bidi="ar"/>
              </w:rPr>
              <w:t>预警子模块-风险预警感知模型-重点区域两场四站预警建模</w:t>
            </w:r>
          </w:p>
        </w:tc>
        <w:tc>
          <w:tcPr>
            <w:tcW w:w="4618" w:type="dxa"/>
            <w:vAlign w:val="center"/>
          </w:tcPr>
          <w:p w14:paraId="430C8AB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对重点的两场四站相关的诉求进行预警建模，快速感知相关区域的突发事件，为相关部门及时处置提供支持。</w:t>
            </w:r>
          </w:p>
        </w:tc>
      </w:tr>
      <w:tr w14:paraId="2FA4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4C75BE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100</w:t>
            </w:r>
          </w:p>
        </w:tc>
        <w:tc>
          <w:tcPr>
            <w:tcW w:w="850" w:type="dxa"/>
            <w:vMerge w:val="continue"/>
            <w:noWrap/>
            <w:vAlign w:val="center"/>
          </w:tcPr>
          <w:p w14:paraId="2C0574B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91F607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风险预警子模块-风险预警感知模型-货车司机预警建模</w:t>
            </w:r>
          </w:p>
        </w:tc>
        <w:tc>
          <w:tcPr>
            <w:tcW w:w="4618" w:type="dxa"/>
            <w:vAlign w:val="center"/>
          </w:tcPr>
          <w:p w14:paraId="1CAFAE2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针对货车司机群体，关注该群体相关的各类事项，建立预警感知算法，对预警事项进行挖掘分析，及时应对该群体的诉求。</w:t>
            </w:r>
          </w:p>
        </w:tc>
      </w:tr>
      <w:tr w14:paraId="51B6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C60A0A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101</w:t>
            </w:r>
          </w:p>
        </w:tc>
        <w:tc>
          <w:tcPr>
            <w:tcW w:w="850" w:type="dxa"/>
            <w:vMerge w:val="continue"/>
            <w:noWrap/>
            <w:vAlign w:val="center"/>
          </w:tcPr>
          <w:p w14:paraId="6B5D94E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6A7573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风险预警子模块-风险预警感知模型-网约车司机预警建模</w:t>
            </w:r>
          </w:p>
        </w:tc>
        <w:tc>
          <w:tcPr>
            <w:tcW w:w="4618" w:type="dxa"/>
            <w:vAlign w:val="center"/>
          </w:tcPr>
          <w:p w14:paraId="6A94AD2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针对网约车司机群体，建立该群体相关事项的预警感知算法，对预警事项进行挖掘分析，及时应对该群体的诉求。</w:t>
            </w:r>
          </w:p>
        </w:tc>
      </w:tr>
      <w:tr w14:paraId="3CDC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A6829C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102</w:t>
            </w:r>
          </w:p>
        </w:tc>
        <w:tc>
          <w:tcPr>
            <w:tcW w:w="850" w:type="dxa"/>
            <w:vMerge w:val="continue"/>
            <w:noWrap/>
            <w:vAlign w:val="center"/>
          </w:tcPr>
          <w:p w14:paraId="0F4E60E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1B22A7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风险预警子模块-风险预警信息快报模块-预警快报模板管理模块</w:t>
            </w:r>
          </w:p>
        </w:tc>
        <w:tc>
          <w:tcPr>
            <w:tcW w:w="4618" w:type="dxa"/>
            <w:vAlign w:val="center"/>
          </w:tcPr>
          <w:p w14:paraId="78FB2A6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根据各业务模块相关预警报告，设置不同业态预警报告模板，实现对报告模板的统一管理。</w:t>
            </w:r>
          </w:p>
        </w:tc>
      </w:tr>
      <w:tr w14:paraId="45B28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C39381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103</w:t>
            </w:r>
          </w:p>
        </w:tc>
        <w:tc>
          <w:tcPr>
            <w:tcW w:w="850" w:type="dxa"/>
            <w:vMerge w:val="continue"/>
            <w:noWrap/>
            <w:vAlign w:val="center"/>
          </w:tcPr>
          <w:p w14:paraId="47F838C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1B3563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风险预警子模块-风险预警信息快报模块-预警快报生成</w:t>
            </w:r>
          </w:p>
        </w:tc>
        <w:tc>
          <w:tcPr>
            <w:tcW w:w="4618" w:type="dxa"/>
            <w:vAlign w:val="center"/>
          </w:tcPr>
          <w:p w14:paraId="671C551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预警信息快报生成模块通过整合风险监测预警数据，基于预设的模板库，动态生成包含描述性文字和图表的预警快报。</w:t>
            </w:r>
          </w:p>
        </w:tc>
      </w:tr>
      <w:tr w14:paraId="16A6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975CF0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104</w:t>
            </w:r>
          </w:p>
        </w:tc>
        <w:tc>
          <w:tcPr>
            <w:tcW w:w="850" w:type="dxa"/>
            <w:vMerge w:val="continue"/>
            <w:noWrap/>
            <w:vAlign w:val="center"/>
          </w:tcPr>
          <w:p w14:paraId="1949B34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B488AA2">
            <w:pPr>
              <w:spacing w:line="240" w:lineRule="auto"/>
              <w:ind w:left="0" w:leftChars="0" w:firstLine="0" w:firstLineChars="0"/>
              <w:jc w:val="left"/>
              <w:textAlignment w:val="center"/>
              <w:rPr>
                <w:rFonts w:hint="eastAsia" w:cs="宋体"/>
                <w:color w:val="000000"/>
                <w:sz w:val="21"/>
                <w:szCs w:val="21"/>
                <w:lang w:bidi="ar"/>
              </w:rPr>
            </w:pPr>
            <w:r>
              <w:rPr>
                <w:rFonts w:hint="eastAsia" w:cs="宋体"/>
                <w:color w:val="000000"/>
                <w:sz w:val="21"/>
                <w:szCs w:val="21"/>
                <w:lang w:bidi="ar"/>
              </w:rPr>
              <w:t>预警子模块-风险预警信息快报模块-预警快报管理模块</w:t>
            </w:r>
          </w:p>
        </w:tc>
        <w:tc>
          <w:tcPr>
            <w:tcW w:w="4618" w:type="dxa"/>
            <w:vAlign w:val="center"/>
          </w:tcPr>
          <w:p w14:paraId="56DC721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根据业务需要，提供形成的预警报告报表进行增加、修改、删除、查询、下载功能。</w:t>
            </w:r>
          </w:p>
        </w:tc>
      </w:tr>
      <w:tr w14:paraId="708A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65C255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105</w:t>
            </w:r>
          </w:p>
        </w:tc>
        <w:tc>
          <w:tcPr>
            <w:tcW w:w="850" w:type="dxa"/>
            <w:vMerge w:val="continue"/>
            <w:noWrap/>
            <w:vAlign w:val="center"/>
          </w:tcPr>
          <w:p w14:paraId="6846E55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3C872B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民生需求敏捷感知综合多维分析查询子模块-交通民生感知需求分析查询应用-交通民生需求综合态势感知</w:t>
            </w:r>
          </w:p>
        </w:tc>
        <w:tc>
          <w:tcPr>
            <w:tcW w:w="4618" w:type="dxa"/>
            <w:vAlign w:val="center"/>
          </w:tcPr>
          <w:p w14:paraId="214F462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整合时间、空间、处理部门及主体等多维度交通民生诉求总体数据，根据业务需求，准确呈现交通民生诉求的总体时间趋势、总体区域分布、总体话题标签及总体处理部门等内容，实现诉求数据的精准归集与分析结果查询。</w:t>
            </w:r>
          </w:p>
        </w:tc>
      </w:tr>
      <w:tr w14:paraId="488E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1F5940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106</w:t>
            </w:r>
          </w:p>
        </w:tc>
        <w:tc>
          <w:tcPr>
            <w:tcW w:w="850" w:type="dxa"/>
            <w:vMerge w:val="continue"/>
            <w:noWrap/>
            <w:vAlign w:val="center"/>
          </w:tcPr>
          <w:p w14:paraId="33DFB6D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A2E812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民生需求敏捷感知综合多维分析查询子模块-交通民生感知需求分析查询应用-交通民生需求自定义多维组合分析</w:t>
            </w:r>
          </w:p>
        </w:tc>
        <w:tc>
          <w:tcPr>
            <w:tcW w:w="4618" w:type="dxa"/>
            <w:vAlign w:val="center"/>
          </w:tcPr>
          <w:p w14:paraId="6B98416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根据多维查询条件如时间、业态标签、处置部门、办理状态等各类组合条件，呈现交通民生诉求的时间趋势等各类信息的分析结果和排名，为业务部门精细化监管提供数据支撑。</w:t>
            </w:r>
          </w:p>
        </w:tc>
      </w:tr>
      <w:tr w14:paraId="1F46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409DE0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107</w:t>
            </w:r>
          </w:p>
        </w:tc>
        <w:tc>
          <w:tcPr>
            <w:tcW w:w="850" w:type="dxa"/>
            <w:vMerge w:val="continue"/>
            <w:noWrap/>
            <w:vAlign w:val="center"/>
          </w:tcPr>
          <w:p w14:paraId="2243FDC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4EEA1E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基于交通运输部新标准的提质增效子模块-基于交通运输部新标准的效能感知模型-交通部总体评分的业务受理质量效能建模</w:t>
            </w:r>
          </w:p>
        </w:tc>
        <w:tc>
          <w:tcPr>
            <w:tcW w:w="4618" w:type="dxa"/>
            <w:vAlign w:val="center"/>
          </w:tcPr>
          <w:p w14:paraId="6A34DE1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总体评分指标，采集业务受理相关数据，进行数据对比分析和差异化分析，构建业务受理质量算法，对业务受理情况进行量化评分，提醒管理者针对百万人口工单量，按时派单成功率等指标进行监管，监控业务受理质量。</w:t>
            </w:r>
          </w:p>
        </w:tc>
      </w:tr>
      <w:tr w14:paraId="13790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8F3C4C0">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108</w:t>
            </w:r>
          </w:p>
        </w:tc>
        <w:tc>
          <w:tcPr>
            <w:tcW w:w="850" w:type="dxa"/>
            <w:vMerge w:val="continue"/>
            <w:noWrap/>
            <w:vAlign w:val="center"/>
          </w:tcPr>
          <w:p w14:paraId="45D130B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952FC8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基于交通运输部新标准的提质增效子模块-基于交通运输部新标准的效能感知模型-交通部总体评分的业务办理质量效能建模</w:t>
            </w:r>
          </w:p>
        </w:tc>
        <w:tc>
          <w:tcPr>
            <w:tcW w:w="4618" w:type="dxa"/>
            <w:vAlign w:val="center"/>
          </w:tcPr>
          <w:p w14:paraId="0C98E14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总体评分指标，采集业务办理相关数据，进行数据对比分析和差异化分析，构建业务办理质量算法，对业务办理情况进行量化评分，提醒管理者针对投诉举报限时办结率、有效回访率、省级复核率、差评工单整改率等指标进行监管，监控业务办理质量。</w:t>
            </w:r>
          </w:p>
        </w:tc>
      </w:tr>
      <w:tr w14:paraId="084E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4313B0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109</w:t>
            </w:r>
          </w:p>
        </w:tc>
        <w:tc>
          <w:tcPr>
            <w:tcW w:w="850" w:type="dxa"/>
            <w:vMerge w:val="continue"/>
            <w:noWrap/>
            <w:vAlign w:val="center"/>
          </w:tcPr>
          <w:p w14:paraId="76355E5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E30840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基于交通运输部新标准的提质增效子模块-基于交通运输部新标准的效能感知模型-交通部总体评分的数据质量效能建模</w:t>
            </w:r>
          </w:p>
        </w:tc>
        <w:tc>
          <w:tcPr>
            <w:tcW w:w="4618" w:type="dxa"/>
            <w:vAlign w:val="center"/>
          </w:tcPr>
          <w:p w14:paraId="774CBB0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总体评分指标，采集数据质量相关数据，进行数据对比分析和差异化分析，构建数据质量效能感知算法，对数据质量情况进行量化评分，提醒管理者针对报送工单量正常的辖区数、数据及时报送率、工单信息规范率等指标进行监管，监控业务办理质量。</w:t>
            </w:r>
          </w:p>
        </w:tc>
      </w:tr>
      <w:tr w14:paraId="5D7FE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A62345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110</w:t>
            </w:r>
          </w:p>
        </w:tc>
        <w:tc>
          <w:tcPr>
            <w:tcW w:w="850" w:type="dxa"/>
            <w:vMerge w:val="continue"/>
            <w:noWrap/>
            <w:vAlign w:val="center"/>
          </w:tcPr>
          <w:p w14:paraId="3A1D16E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1133B3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基于交通运输部新标准的提质增效子模块-基于交通运输部新标准的效能感知模型-交通部总体评分的服务质量效能建模</w:t>
            </w:r>
          </w:p>
        </w:tc>
        <w:tc>
          <w:tcPr>
            <w:tcW w:w="4618" w:type="dxa"/>
            <w:vAlign w:val="center"/>
          </w:tcPr>
          <w:p w14:paraId="65EBAB3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总体评分指标，采集服务质量相关数据，进行数据对比分析和差异化分析，构建服务质量效能感知算法，对服务质量情况进行量化评分，提醒管理者针对诉求响应率、问题解决率、结果满意率等指标进行监管，监控服务质量质量。</w:t>
            </w:r>
          </w:p>
        </w:tc>
      </w:tr>
      <w:tr w14:paraId="0050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0918B7F">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111</w:t>
            </w:r>
          </w:p>
        </w:tc>
        <w:tc>
          <w:tcPr>
            <w:tcW w:w="850" w:type="dxa"/>
            <w:vMerge w:val="continue"/>
            <w:noWrap/>
            <w:vAlign w:val="center"/>
          </w:tcPr>
          <w:p w14:paraId="50E936A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130F34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基于交通运输部新标准的提质增效子模块-基于交通运输部新标准的效能感知模型-交通部货车司机接诉即办业务评分的受理质量效能建模</w:t>
            </w:r>
          </w:p>
        </w:tc>
        <w:tc>
          <w:tcPr>
            <w:tcW w:w="4618" w:type="dxa"/>
            <w:vAlign w:val="center"/>
          </w:tcPr>
          <w:p w14:paraId="3B17527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货车司机接诉即办评分指标，采集业务受理相关数据，进行数据对比分析和差异化分析，构建业务受理质量算法，对业务受理情况进行量化评分，提醒管理者针对按时派单成功率等指标进行监管，监控业务受理质量。</w:t>
            </w:r>
          </w:p>
        </w:tc>
      </w:tr>
      <w:tr w14:paraId="157F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73BFB5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112</w:t>
            </w:r>
          </w:p>
        </w:tc>
        <w:tc>
          <w:tcPr>
            <w:tcW w:w="850" w:type="dxa"/>
            <w:vMerge w:val="continue"/>
            <w:noWrap/>
            <w:vAlign w:val="center"/>
          </w:tcPr>
          <w:p w14:paraId="0284C58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925D38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基于交通运输部新标准的提质增效子模块-基于交通运输部新标准的效能感知模型-交通部货车司机接诉即办业务办理质量效能建模</w:t>
            </w:r>
          </w:p>
        </w:tc>
        <w:tc>
          <w:tcPr>
            <w:tcW w:w="4618" w:type="dxa"/>
            <w:vAlign w:val="center"/>
          </w:tcPr>
          <w:p w14:paraId="56B9709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货车司机接诉即办评分指标，采集业务办理相关数据，进行数据对比分析和差异化分析，构建业务办理质量算法，对业务办理情况进行量化评分，提醒管理者针对投诉举报限时办结率、有效回访率、省级复核率、差评工单整改率等指标进行监管，监控业务办理质量。</w:t>
            </w:r>
          </w:p>
        </w:tc>
      </w:tr>
      <w:tr w14:paraId="1FFB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E5A015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113</w:t>
            </w:r>
          </w:p>
        </w:tc>
        <w:tc>
          <w:tcPr>
            <w:tcW w:w="850" w:type="dxa"/>
            <w:vMerge w:val="continue"/>
            <w:noWrap/>
            <w:vAlign w:val="center"/>
          </w:tcPr>
          <w:p w14:paraId="13F9BCE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C04D6B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基于交通运输部新标准的提质增效子模块-基于交通运输部新标准的效能感知模型-交通部货车司机接诉即办数据质量效能建模</w:t>
            </w:r>
          </w:p>
        </w:tc>
        <w:tc>
          <w:tcPr>
            <w:tcW w:w="4618" w:type="dxa"/>
            <w:vAlign w:val="center"/>
          </w:tcPr>
          <w:p w14:paraId="1EEA1DF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货车司机接诉即办评分指标，采集数据质量相关数据，进行数据对比分析和差异化分析，构建数据质量效能感知算法，对数据质量情况进行量化评分，提醒管理者针对数据及时报送率、工单信息规范率等指标进行监管，监控业务办理质量。</w:t>
            </w:r>
          </w:p>
        </w:tc>
      </w:tr>
      <w:tr w14:paraId="4530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56CFCB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114</w:t>
            </w:r>
          </w:p>
        </w:tc>
        <w:tc>
          <w:tcPr>
            <w:tcW w:w="850" w:type="dxa"/>
            <w:vMerge w:val="continue"/>
            <w:noWrap/>
            <w:vAlign w:val="center"/>
          </w:tcPr>
          <w:p w14:paraId="26F603C1">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93EFBE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基于交通运输部新标准的提质增效子模块-基于交通运输部新标准的效能感知模型-交通部货车司机接诉即办服务质量效能建模</w:t>
            </w:r>
          </w:p>
        </w:tc>
        <w:tc>
          <w:tcPr>
            <w:tcW w:w="4618" w:type="dxa"/>
            <w:vAlign w:val="center"/>
          </w:tcPr>
          <w:p w14:paraId="3978710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交通部12328热线工作货车司机接诉即办评分指标，采集服务质量相关数据，进行数据对比分析和差异化分析，构建服务质量效能感知算法，对服务质量情况进行量化评分，提醒管理者针对诉求响应率、问题解决率、结果满意率等指标进行监管，监控服务质量质量。</w:t>
            </w:r>
          </w:p>
        </w:tc>
      </w:tr>
      <w:tr w14:paraId="3E6C4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0094C3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115</w:t>
            </w:r>
          </w:p>
        </w:tc>
        <w:tc>
          <w:tcPr>
            <w:tcW w:w="850" w:type="dxa"/>
            <w:vMerge w:val="continue"/>
            <w:noWrap/>
            <w:vAlign w:val="center"/>
          </w:tcPr>
          <w:p w14:paraId="44E6229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C0FF6E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基于交通运输部新标准的提质增效子模块-基于交通运输部新标准的效能感知综合应用-交通部总体效能感知本市排行</w:t>
            </w:r>
          </w:p>
        </w:tc>
        <w:tc>
          <w:tcPr>
            <w:tcW w:w="4618" w:type="dxa"/>
            <w:vAlign w:val="center"/>
          </w:tcPr>
          <w:p w14:paraId="5BED32D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热线工单办理基于交通运输部新标准的效能感知情况，使用评分算法进行效能感知分析，为管理者提供顶层视野，方便及时掌握相关情况，各项关键评估指标实时动态排名，实现各处置单位横向对比，直观展示各项数据趋势变化。</w:t>
            </w:r>
          </w:p>
        </w:tc>
      </w:tr>
      <w:tr w14:paraId="165E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8DC8C8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116</w:t>
            </w:r>
          </w:p>
        </w:tc>
        <w:tc>
          <w:tcPr>
            <w:tcW w:w="850" w:type="dxa"/>
            <w:vMerge w:val="continue"/>
            <w:noWrap/>
            <w:vAlign w:val="center"/>
          </w:tcPr>
          <w:p w14:paraId="22E3524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3B4C3A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基于交通运输部新标准的提质增效子模块-基于交通运输部新标准的效能感知综合应用-交通部货车司机接诉即办效能感知排行</w:t>
            </w:r>
          </w:p>
        </w:tc>
        <w:tc>
          <w:tcPr>
            <w:tcW w:w="4618" w:type="dxa"/>
            <w:vAlign w:val="center"/>
          </w:tcPr>
          <w:p w14:paraId="1107A65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热线基于交通运输部新标准的效能感知中接诉即办情况，通过各维度的评估和分析，监测货车司机接诉即办的效果，帮助基层管理者和办理人员更好地了解自己的工作情况，发现不足和需要改进的地方，进一步提高工作效率和办理质量。</w:t>
            </w:r>
          </w:p>
        </w:tc>
      </w:tr>
      <w:tr w14:paraId="1566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2D45E2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117</w:t>
            </w:r>
          </w:p>
        </w:tc>
        <w:tc>
          <w:tcPr>
            <w:tcW w:w="850" w:type="dxa"/>
            <w:vMerge w:val="continue"/>
            <w:noWrap/>
            <w:vAlign w:val="center"/>
          </w:tcPr>
          <w:p w14:paraId="7383C23F">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4436BC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基于交通运输部新标准的提质增效子模块-基于交通运输部新标准的效能感知综合应用-话务员业务受理效能感知排行</w:t>
            </w:r>
          </w:p>
        </w:tc>
        <w:tc>
          <w:tcPr>
            <w:tcW w:w="4618" w:type="dxa"/>
            <w:vAlign w:val="center"/>
          </w:tcPr>
          <w:p w14:paraId="68001B4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热线基于交通运输部新标准的效能感知中受理效能相关数据，分析话务员的工作效率和效果，为提质增效评估工作提供数据参考，帮助基层管理者更好地了解自己的工作情况，发现不足和需要改进的地方，进一步提高工作效率和质量。</w:t>
            </w:r>
          </w:p>
        </w:tc>
      </w:tr>
      <w:tr w14:paraId="12E0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623724F">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118</w:t>
            </w:r>
          </w:p>
        </w:tc>
        <w:tc>
          <w:tcPr>
            <w:tcW w:w="850" w:type="dxa"/>
            <w:vMerge w:val="continue"/>
            <w:noWrap/>
            <w:vAlign w:val="center"/>
          </w:tcPr>
          <w:p w14:paraId="47AF357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505CC3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基于交通运输部新标准的提质增效子模块-基于交通运输部新标准的效能感知综合应用-处置单位办理效能排行</w:t>
            </w:r>
          </w:p>
        </w:tc>
        <w:tc>
          <w:tcPr>
            <w:tcW w:w="4618" w:type="dxa"/>
            <w:vAlign w:val="center"/>
          </w:tcPr>
          <w:p w14:paraId="22263E7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热线基于交通运输部新标准的效能感知中办理效能相关数据，分析处置单位的工作效率和效果，为提质增效评估工作提供数据参考，帮助基层管理者更好地了解自己的工作情况，发现不足和需要改进的地方，进一步提高工作效率和质量。</w:t>
            </w:r>
          </w:p>
        </w:tc>
      </w:tr>
      <w:tr w14:paraId="294A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D07512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119</w:t>
            </w:r>
          </w:p>
        </w:tc>
        <w:tc>
          <w:tcPr>
            <w:tcW w:w="850" w:type="dxa"/>
            <w:vMerge w:val="continue"/>
            <w:noWrap/>
            <w:vAlign w:val="center"/>
          </w:tcPr>
          <w:p w14:paraId="589F9775">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94384A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基于交通运输部新标准的提质增效子模块-基于交通运输部新标准的效能感知综合应用-业务部门服务效能指标与数据质量排行</w:t>
            </w:r>
          </w:p>
        </w:tc>
        <w:tc>
          <w:tcPr>
            <w:tcW w:w="4618" w:type="dxa"/>
            <w:vAlign w:val="center"/>
          </w:tcPr>
          <w:p w14:paraId="3BF488E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热线基于交通运输部新标准的效能感知中服务效能与数据质量相关数据，分析业务部门的工作效率和效果，为提质增效评估工作提供数据参考，帮助基层管理者更好地了解自己的工作情况，发现不足和需要改进的地方，进一步提高工作效率和质量。</w:t>
            </w:r>
          </w:p>
        </w:tc>
      </w:tr>
      <w:tr w14:paraId="67FF8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E045EA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120</w:t>
            </w:r>
          </w:p>
        </w:tc>
        <w:tc>
          <w:tcPr>
            <w:tcW w:w="850" w:type="dxa"/>
            <w:vMerge w:val="continue"/>
            <w:noWrap/>
            <w:vAlign w:val="center"/>
          </w:tcPr>
          <w:p w14:paraId="2C32FE9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83DF05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基于市热线办新标准提质增效子模块-基于市热线新标准的效能感知模型-市热线新标准效能感知规则</w:t>
            </w:r>
          </w:p>
        </w:tc>
        <w:tc>
          <w:tcPr>
            <w:tcW w:w="4618" w:type="dxa"/>
            <w:vAlign w:val="center"/>
          </w:tcPr>
          <w:p w14:paraId="749E53C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根据业务需求建立提质增效监管算法。实现承办单位办理诉求的基础数据、办理情况、市级平台的回访数据按照市提质增效评价体系统计规则和计算方法进行统一的配置和管理，形成提质增效监管算法。</w:t>
            </w:r>
          </w:p>
        </w:tc>
      </w:tr>
      <w:tr w14:paraId="71ED7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456330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121</w:t>
            </w:r>
          </w:p>
        </w:tc>
        <w:tc>
          <w:tcPr>
            <w:tcW w:w="850" w:type="dxa"/>
            <w:vMerge w:val="continue"/>
            <w:noWrap/>
            <w:vAlign w:val="center"/>
          </w:tcPr>
          <w:p w14:paraId="6B713A7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EF671D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基于市热线办新标准提质增效子模块-基于市热线新标准的效能感知模型-市热线先行联系效能感知建模</w:t>
            </w:r>
          </w:p>
        </w:tc>
        <w:tc>
          <w:tcPr>
            <w:tcW w:w="4618" w:type="dxa"/>
            <w:vAlign w:val="center"/>
          </w:tcPr>
          <w:p w14:paraId="3FBEF48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市级平台采集的先行联系的相关情况，结合各单位的回访数据，进行数据对比分析和差异化分析，构建先行联系情况预警算法，提醒管理者针对回访先联情况异常的单位、分类进行重点监管，找出未先联事项形成的原因以及如何改进。</w:t>
            </w:r>
          </w:p>
        </w:tc>
      </w:tr>
      <w:tr w14:paraId="6987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CAE1FB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122</w:t>
            </w:r>
          </w:p>
        </w:tc>
        <w:tc>
          <w:tcPr>
            <w:tcW w:w="850" w:type="dxa"/>
            <w:vMerge w:val="continue"/>
            <w:noWrap/>
            <w:vAlign w:val="center"/>
          </w:tcPr>
          <w:p w14:paraId="294A2E9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2489C8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基于市热线办新标准提质增效子模块-基于市热线新标准的效能感知模型-市热线回访解决情况效能感知建模</w:t>
            </w:r>
          </w:p>
        </w:tc>
        <w:tc>
          <w:tcPr>
            <w:tcW w:w="4618" w:type="dxa"/>
            <w:vAlign w:val="center"/>
          </w:tcPr>
          <w:p w14:paraId="0A00C74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市级平台采集的回访解决情况的相关情况，结合各单位的回访数据，进行数据对比分析和差异化分析，构建回访解决情况预警算法，提醒管理者针对回访解决率异常的单位、分类进行重点监管，找出未解决事项形成的原因以及如何推进该解决的事项。</w:t>
            </w:r>
          </w:p>
        </w:tc>
      </w:tr>
      <w:tr w14:paraId="1246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66A263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123</w:t>
            </w:r>
          </w:p>
        </w:tc>
        <w:tc>
          <w:tcPr>
            <w:tcW w:w="850" w:type="dxa"/>
            <w:vMerge w:val="continue"/>
            <w:noWrap/>
            <w:vAlign w:val="center"/>
          </w:tcPr>
          <w:p w14:paraId="1F9677C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B686F9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基于市热线办新标准提质增效子模块-基于市热线新标准的效能感知模型-市热线回访满意情况建模</w:t>
            </w:r>
          </w:p>
        </w:tc>
        <w:tc>
          <w:tcPr>
            <w:tcW w:w="4618" w:type="dxa"/>
            <w:vAlign w:val="center"/>
          </w:tcPr>
          <w:p w14:paraId="623F1EF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根据市级平台采集的回访解决情况的相关情况，结合各单位的回访数据，构建回访满意情况预警算法，提醒管理者针对回访满意度异常的单位、分类进行重点监管，找出不满意的原因以及如何改进。</w:t>
            </w:r>
          </w:p>
        </w:tc>
      </w:tr>
      <w:tr w14:paraId="7AD0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4CCC15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124</w:t>
            </w:r>
          </w:p>
        </w:tc>
        <w:tc>
          <w:tcPr>
            <w:tcW w:w="850" w:type="dxa"/>
            <w:vMerge w:val="continue"/>
            <w:noWrap/>
            <w:vAlign w:val="center"/>
          </w:tcPr>
          <w:p w14:paraId="02EF41B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2F73A2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基于市热线办新标准提质增效子模块-基于市热线新标准的效能感知综合应用-市热线效能感知排行</w:t>
            </w:r>
          </w:p>
        </w:tc>
        <w:tc>
          <w:tcPr>
            <w:tcW w:w="4618" w:type="dxa"/>
            <w:vAlign w:val="center"/>
          </w:tcPr>
          <w:p w14:paraId="5B3653A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针对热线工单办理提质增效评估情况，分析结果为管理者提供顶层视野，方便及时掌握相关情况，各项关键评估指标实时动态排名，实现各单位横向对比，各项数据趋势变化及时掌握。</w:t>
            </w:r>
          </w:p>
        </w:tc>
      </w:tr>
      <w:tr w14:paraId="35A3F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EED28DA">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125</w:t>
            </w:r>
          </w:p>
        </w:tc>
        <w:tc>
          <w:tcPr>
            <w:tcW w:w="850" w:type="dxa"/>
            <w:vMerge w:val="continue"/>
            <w:noWrap/>
            <w:vAlign w:val="center"/>
          </w:tcPr>
          <w:p w14:paraId="1D83C58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F1E886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基于市热线办新标准提质增效子模块-基于市热线新标准的效能感知综合应用-市热线效能感知基础数据查询</w:t>
            </w:r>
          </w:p>
        </w:tc>
        <w:tc>
          <w:tcPr>
            <w:tcW w:w="4618" w:type="dxa"/>
            <w:vAlign w:val="center"/>
          </w:tcPr>
          <w:p w14:paraId="183BB9C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针对交通热线在市热线提质增效评估工作的基础指标，包括工单的受理、派发、处理、回访评价等全过程的查询。</w:t>
            </w:r>
          </w:p>
        </w:tc>
      </w:tr>
      <w:tr w14:paraId="61BA6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562" w:type="dxa"/>
            <w:vAlign w:val="center"/>
          </w:tcPr>
          <w:p w14:paraId="655C439F">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126</w:t>
            </w:r>
          </w:p>
        </w:tc>
        <w:tc>
          <w:tcPr>
            <w:tcW w:w="850" w:type="dxa"/>
            <w:vMerge w:val="continue"/>
            <w:noWrap/>
            <w:vAlign w:val="center"/>
          </w:tcPr>
          <w:p w14:paraId="26EB3C89">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44173F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基于市热线办新标准提质增效子模块-基于市热线新标准的效能感知综合应用-市热线效能感知效能数据预警</w:t>
            </w:r>
          </w:p>
        </w:tc>
        <w:tc>
          <w:tcPr>
            <w:tcW w:w="4618" w:type="dxa"/>
            <w:vAlign w:val="center"/>
          </w:tcPr>
          <w:p w14:paraId="4B33AC2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针对交通热线的提质增效评估效能相关数据，预警办理单位的工作效率和效果，为提质增效评估工作提供数据参考，帮助基层管理者更好地了解自己的工作情况，发现不足和需要改进的地方，进一步提高工作效率和质量。</w:t>
            </w:r>
          </w:p>
        </w:tc>
      </w:tr>
      <w:tr w14:paraId="50FF9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5CDBC9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127</w:t>
            </w:r>
          </w:p>
        </w:tc>
        <w:tc>
          <w:tcPr>
            <w:tcW w:w="850" w:type="dxa"/>
            <w:vMerge w:val="restart"/>
            <w:noWrap/>
            <w:vAlign w:val="center"/>
          </w:tcPr>
          <w:p w14:paraId="4B1D6713">
            <w:pPr>
              <w:spacing w:line="240" w:lineRule="auto"/>
              <w:ind w:firstLine="0" w:firstLineChars="0"/>
              <w:textAlignment w:val="center"/>
              <w:rPr>
                <w:rFonts w:hint="eastAsia" w:cs="宋体"/>
                <w:color w:val="000000"/>
                <w:sz w:val="21"/>
                <w:szCs w:val="21"/>
                <w:lang w:bidi="ar"/>
              </w:rPr>
            </w:pPr>
            <w:r>
              <w:rPr>
                <w:rFonts w:hint="eastAsia" w:cs="宋体"/>
                <w:color w:val="000000"/>
                <w:sz w:val="21"/>
                <w:szCs w:val="21"/>
                <w:lang w:bidi="ar"/>
              </w:rPr>
              <w:t>XC改造</w:t>
            </w:r>
          </w:p>
        </w:tc>
        <w:tc>
          <w:tcPr>
            <w:tcW w:w="2269" w:type="dxa"/>
            <w:noWrap/>
            <w:vAlign w:val="center"/>
          </w:tcPr>
          <w:p w14:paraId="16517E4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诉求管理子系统XC改造</w:t>
            </w:r>
          </w:p>
        </w:tc>
        <w:tc>
          <w:tcPr>
            <w:tcW w:w="4618" w:type="dxa"/>
            <w:vAlign w:val="center"/>
          </w:tcPr>
          <w:p w14:paraId="6B58467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XC改造覆盖的范围包括诉求管理子系统中包含的诉求处置管理、诉求督办管理、诉求派发管理、诉求审核管理、诉求受理管理、诉求退单管理、逾期管理等功能。该部分原建设费用为24万元。对诉求管理子系统进行全面适配，确保其在国产操作系统、数据库和中间件环境下稳定运行。优化代码，提升系统性能和兼容性，同时增强数据安全性和用户权限管理机制。</w:t>
            </w:r>
          </w:p>
        </w:tc>
      </w:tr>
      <w:tr w14:paraId="3C17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A270FD3">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128</w:t>
            </w:r>
          </w:p>
        </w:tc>
        <w:tc>
          <w:tcPr>
            <w:tcW w:w="850" w:type="dxa"/>
            <w:vMerge w:val="continue"/>
            <w:noWrap/>
            <w:vAlign w:val="center"/>
          </w:tcPr>
          <w:p w14:paraId="2E9937B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25E9AE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诉求处置流程可视化子系统XC改造</w:t>
            </w:r>
          </w:p>
        </w:tc>
        <w:tc>
          <w:tcPr>
            <w:tcW w:w="4618" w:type="dxa"/>
            <w:vAlign w:val="center"/>
          </w:tcPr>
          <w:p w14:paraId="671A9DC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XC改造覆盖的范围包括可视化流程编辑、流程版本管理、流程表单自定义、流程流转监控等功能。该部分原建设费用为12万元。适配国产工作流引擎和表单管理系统，优化流程编辑工具和流转监控功能，提升用户体验和系统稳定性。同时，增强安全机制，采用国产加密算法保障数据安全。</w:t>
            </w:r>
          </w:p>
        </w:tc>
      </w:tr>
      <w:tr w14:paraId="707F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CD1FFC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129</w:t>
            </w:r>
          </w:p>
        </w:tc>
        <w:tc>
          <w:tcPr>
            <w:tcW w:w="850" w:type="dxa"/>
            <w:vMerge w:val="continue"/>
            <w:noWrap/>
            <w:vAlign w:val="center"/>
          </w:tcPr>
          <w:p w14:paraId="203AA40E">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506E62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诉求统计分析子系统XC改造</w:t>
            </w:r>
          </w:p>
        </w:tc>
        <w:tc>
          <w:tcPr>
            <w:tcW w:w="4618" w:type="dxa"/>
            <w:vAlign w:val="center"/>
          </w:tcPr>
          <w:p w14:paraId="1CDB090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XC改造覆盖的范围包括报表统计、辅助决策、热点问题挖掘分析、综合查询等功能。该部分原建设费用为15万元。</w:t>
            </w:r>
          </w:p>
          <w:p w14:paraId="16BDDD3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适配国产数据查询引擎和报表生成工具，优化热点问题挖掘算法，提升数据处理效率和分析准确性。增强数据安全性和用户权限管理，确保系统在</w:t>
            </w:r>
            <w:r>
              <w:rPr>
                <w:rFonts w:hint="eastAsia" w:cs="宋体"/>
                <w:color w:val="000000"/>
                <w:sz w:val="21"/>
                <w:szCs w:val="21"/>
                <w:lang w:eastAsia="zh-CN" w:bidi="ar"/>
              </w:rPr>
              <w:t>XC</w:t>
            </w:r>
            <w:r>
              <w:rPr>
                <w:rFonts w:hint="eastAsia" w:cs="宋体"/>
                <w:color w:val="000000"/>
                <w:sz w:val="21"/>
                <w:szCs w:val="21"/>
                <w:lang w:bidi="ar"/>
              </w:rPr>
              <w:t>环境下的稳定运行。</w:t>
            </w:r>
          </w:p>
        </w:tc>
      </w:tr>
      <w:tr w14:paraId="78580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1B6EEF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130</w:t>
            </w:r>
          </w:p>
        </w:tc>
        <w:tc>
          <w:tcPr>
            <w:tcW w:w="850" w:type="dxa"/>
            <w:vMerge w:val="continue"/>
            <w:noWrap/>
            <w:vAlign w:val="center"/>
          </w:tcPr>
          <w:p w14:paraId="3E34AE94">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E1199A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绩效评估子系统XC改造</w:t>
            </w:r>
          </w:p>
        </w:tc>
        <w:tc>
          <w:tcPr>
            <w:tcW w:w="4618" w:type="dxa"/>
            <w:vAlign w:val="center"/>
          </w:tcPr>
          <w:p w14:paraId="2F90ADE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XC改造覆盖的范围包括工作单位绩效评估、工作人员绩效评估、绩效评估指标管理等功能。该部分原建设费用为8万元。适配国产基础软件，优化绩效评估指标管理、工作人员绩效评估和工作单位绩效评估等功能模块，确保系统在</w:t>
            </w:r>
            <w:r>
              <w:rPr>
                <w:rFonts w:hint="eastAsia" w:cs="宋体"/>
                <w:color w:val="000000"/>
                <w:sz w:val="21"/>
                <w:szCs w:val="21"/>
                <w:lang w:eastAsia="zh-CN" w:bidi="ar"/>
              </w:rPr>
              <w:t>XC</w:t>
            </w:r>
            <w:r>
              <w:rPr>
                <w:rFonts w:hint="eastAsia" w:cs="宋体"/>
                <w:color w:val="000000"/>
                <w:sz w:val="21"/>
                <w:szCs w:val="21"/>
                <w:lang w:bidi="ar"/>
              </w:rPr>
              <w:t>环境下的兼容性和稳定性。同时，采用国产加密算法对敏感数据进行加密处理，优化用户权限管理机制。</w:t>
            </w:r>
          </w:p>
        </w:tc>
      </w:tr>
      <w:tr w14:paraId="7600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EEC2B0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131</w:t>
            </w:r>
          </w:p>
        </w:tc>
        <w:tc>
          <w:tcPr>
            <w:tcW w:w="850" w:type="dxa"/>
            <w:vMerge w:val="restart"/>
            <w:noWrap/>
            <w:vAlign w:val="center"/>
          </w:tcPr>
          <w:p w14:paraId="526DC395">
            <w:pPr>
              <w:spacing w:line="240" w:lineRule="auto"/>
              <w:ind w:firstLine="0" w:firstLineChars="0"/>
              <w:textAlignment w:val="center"/>
              <w:rPr>
                <w:rFonts w:hint="eastAsia" w:cs="宋体"/>
                <w:color w:val="000000"/>
                <w:sz w:val="21"/>
                <w:szCs w:val="21"/>
                <w:lang w:bidi="ar"/>
              </w:rPr>
            </w:pPr>
            <w:r>
              <w:rPr>
                <w:rFonts w:hint="eastAsia" w:cs="宋体"/>
                <w:color w:val="000000"/>
                <w:sz w:val="21"/>
                <w:szCs w:val="21"/>
                <w:lang w:bidi="ar"/>
              </w:rPr>
              <w:t>大模型相关数据预处理及接口</w:t>
            </w:r>
          </w:p>
        </w:tc>
        <w:tc>
          <w:tcPr>
            <w:tcW w:w="2269" w:type="dxa"/>
            <w:noWrap/>
            <w:vAlign w:val="center"/>
          </w:tcPr>
          <w:p w14:paraId="69985CA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数据预处理-数据去噪-工单关键信息提取</w:t>
            </w:r>
          </w:p>
        </w:tc>
        <w:tc>
          <w:tcPr>
            <w:tcW w:w="4618" w:type="dxa"/>
            <w:vAlign w:val="center"/>
          </w:tcPr>
          <w:p w14:paraId="753D105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从热线工单原始数据中自动识别并提取核心信息，如工单编号、反映类别、市民联系方式、地点、涉及部门等，利用自然语言处理（NLP）技术实现结构化存储，便于后续分析和派单。同时，过滤无关内容，确保关键数据准确、完整，提高工单处理效率。</w:t>
            </w:r>
          </w:p>
        </w:tc>
      </w:tr>
      <w:tr w14:paraId="0B98F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8A5125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132</w:t>
            </w:r>
          </w:p>
        </w:tc>
        <w:tc>
          <w:tcPr>
            <w:tcW w:w="850" w:type="dxa"/>
            <w:vMerge w:val="continue"/>
            <w:noWrap/>
            <w:vAlign w:val="center"/>
          </w:tcPr>
          <w:p w14:paraId="2378578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E962DFF">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数据预处理-数据去噪-工单逻辑冲突检测</w:t>
            </w:r>
          </w:p>
        </w:tc>
        <w:tc>
          <w:tcPr>
            <w:tcW w:w="4618" w:type="dxa"/>
            <w:vAlign w:val="center"/>
          </w:tcPr>
          <w:p w14:paraId="40CF857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检查工单内容是否存在自相矛盾或异常情况，如行业分类与反映内容矛盾、地点不符、同一事件不同描述等。通过规则引擎或机器学习模型识别潜在冲突，并提示人工复核，避免因数据错误导致误派或重复处理。</w:t>
            </w:r>
          </w:p>
        </w:tc>
      </w:tr>
      <w:tr w14:paraId="4764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37BDF6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133</w:t>
            </w:r>
          </w:p>
        </w:tc>
        <w:tc>
          <w:tcPr>
            <w:tcW w:w="850" w:type="dxa"/>
            <w:vMerge w:val="continue"/>
            <w:noWrap/>
            <w:vAlign w:val="center"/>
          </w:tcPr>
          <w:p w14:paraId="094A001A">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82AB2A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数据预处理-数据去重-翻派单经验冲突检测</w:t>
            </w:r>
          </w:p>
        </w:tc>
        <w:tc>
          <w:tcPr>
            <w:tcW w:w="4618" w:type="dxa"/>
            <w:vAlign w:val="center"/>
          </w:tcPr>
          <w:p w14:paraId="2344E4C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分析历史翻派单记录及派单规则，检测不同处理人员对同类工单的判定差异，识别经验冲突（如多次转派、处理结果不一致）。结合规则库和案例匹配优化派单逻辑，减少人为判断偏差，提升处置一致性。</w:t>
            </w:r>
          </w:p>
        </w:tc>
      </w:tr>
      <w:tr w14:paraId="6F5E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F44B1AC">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134</w:t>
            </w:r>
          </w:p>
        </w:tc>
        <w:tc>
          <w:tcPr>
            <w:tcW w:w="850" w:type="dxa"/>
            <w:vMerge w:val="continue"/>
            <w:noWrap/>
            <w:vAlign w:val="center"/>
          </w:tcPr>
          <w:p w14:paraId="432F324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BE9EE3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数据预处理-数据去重-相似度计算处理</w:t>
            </w:r>
          </w:p>
        </w:tc>
        <w:tc>
          <w:tcPr>
            <w:tcW w:w="4618" w:type="dxa"/>
            <w:vAlign w:val="center"/>
          </w:tcPr>
          <w:p w14:paraId="505EF0E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通过文本相似度算法对比工单内容，识别重复或高度相似事件，避免重复派单。同时支持模糊匹配，如不同市民描述的同一问题，辅助工单合并或关联分析。</w:t>
            </w:r>
          </w:p>
        </w:tc>
      </w:tr>
      <w:tr w14:paraId="6B03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695C56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135</w:t>
            </w:r>
          </w:p>
        </w:tc>
        <w:tc>
          <w:tcPr>
            <w:tcW w:w="850" w:type="dxa"/>
            <w:vMerge w:val="continue"/>
            <w:noWrap/>
            <w:vAlign w:val="center"/>
          </w:tcPr>
          <w:p w14:paraId="530B79D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24E10A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数据预处理-数据标准化处理-文本清洗</w:t>
            </w:r>
          </w:p>
        </w:tc>
        <w:tc>
          <w:tcPr>
            <w:tcW w:w="4618" w:type="dxa"/>
            <w:vAlign w:val="center"/>
          </w:tcPr>
          <w:p w14:paraId="2AA6809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对工单原始文本进行规范化处理，包括去除特殊符号、纠正错别字、统一日期格式、过滤无意义词等，提升数据质量。清洗后的文本更利于机器解析，减少后续分析的噪声干扰。</w:t>
            </w:r>
          </w:p>
        </w:tc>
      </w:tr>
      <w:tr w14:paraId="6C59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C82DCA7">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136</w:t>
            </w:r>
          </w:p>
        </w:tc>
        <w:tc>
          <w:tcPr>
            <w:tcW w:w="850" w:type="dxa"/>
            <w:vMerge w:val="continue"/>
            <w:noWrap/>
            <w:vAlign w:val="center"/>
          </w:tcPr>
          <w:p w14:paraId="5409871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153B124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数据预处理-数据标准化处理-向量化处理</w:t>
            </w:r>
          </w:p>
        </w:tc>
        <w:tc>
          <w:tcPr>
            <w:tcW w:w="4618" w:type="dxa"/>
            <w:vAlign w:val="center"/>
          </w:tcPr>
          <w:p w14:paraId="5BAC734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将清洗后的工单文本转换为数值向量，以便机器学习模型处理。向量化能捕捉语义关联，支持相似度计算、分类和聚类分析，提高自动化派单的准确性。</w:t>
            </w:r>
          </w:p>
        </w:tc>
      </w:tr>
      <w:tr w14:paraId="51DA3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7088196">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137</w:t>
            </w:r>
          </w:p>
        </w:tc>
        <w:tc>
          <w:tcPr>
            <w:tcW w:w="850" w:type="dxa"/>
            <w:vMerge w:val="continue"/>
            <w:noWrap/>
            <w:vAlign w:val="center"/>
          </w:tcPr>
          <w:p w14:paraId="14D44F4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232859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数据预处理-数据脱敏-市民隐私信息保护</w:t>
            </w:r>
          </w:p>
        </w:tc>
        <w:tc>
          <w:tcPr>
            <w:tcW w:w="4618" w:type="dxa"/>
            <w:vAlign w:val="center"/>
          </w:tcPr>
          <w:p w14:paraId="538B1DF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自动识别并脱敏工单中的敏感信息（如姓名、电话、身份证号），采用掩码、加密或匿名化技术确保数据合规。同时保留关键事件描述，平衡隐私保护与工单可追溯性。</w:t>
            </w:r>
          </w:p>
        </w:tc>
      </w:tr>
      <w:tr w14:paraId="02D02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E6100E4">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138</w:t>
            </w:r>
          </w:p>
        </w:tc>
        <w:tc>
          <w:tcPr>
            <w:tcW w:w="850" w:type="dxa"/>
            <w:vMerge w:val="continue"/>
            <w:noWrap/>
            <w:vAlign w:val="center"/>
          </w:tcPr>
          <w:p w14:paraId="02C3B816">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111A19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数据预处理-数据脱敏-主观意见关键词提取</w:t>
            </w:r>
          </w:p>
        </w:tc>
        <w:tc>
          <w:tcPr>
            <w:tcW w:w="4618" w:type="dxa"/>
            <w:vAlign w:val="center"/>
          </w:tcPr>
          <w:p w14:paraId="6950D65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从市民反馈中提取情绪化或关键意见词汇（如“不满意”“拖延”“表扬”），结合情感分析判断诉求倾向，辅助人工快速定位重点问题，优化服务响应策略。</w:t>
            </w:r>
          </w:p>
        </w:tc>
      </w:tr>
      <w:tr w14:paraId="7A983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92E3AC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139</w:t>
            </w:r>
          </w:p>
        </w:tc>
        <w:tc>
          <w:tcPr>
            <w:tcW w:w="850" w:type="dxa"/>
            <w:vMerge w:val="continue"/>
            <w:noWrap/>
            <w:vAlign w:val="center"/>
          </w:tcPr>
          <w:p w14:paraId="7D56FC8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6BE001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数据预处理-数据增强-派单规则场景扩展</w:t>
            </w:r>
          </w:p>
        </w:tc>
        <w:tc>
          <w:tcPr>
            <w:tcW w:w="4618" w:type="dxa"/>
            <w:vAlign w:val="center"/>
          </w:tcPr>
          <w:p w14:paraId="12FDA2A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历史工单和新增政策，动态扩充派单规则覆盖的场景，确保系统能适应新问题类型，减少人工干预，提升自动化处理能力。支持从历史工单中提炼高频问题、最优解决方案及专家经验，构建知识库辅助自动派单。根据政策调整、部门权责变化或实际处理效果，定期优化派单规则和优先级（如季节性事件权重调整），确保系统决策与实际需求同步演进。</w:t>
            </w:r>
          </w:p>
        </w:tc>
      </w:tr>
      <w:tr w14:paraId="44D2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44441EF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140</w:t>
            </w:r>
          </w:p>
        </w:tc>
        <w:tc>
          <w:tcPr>
            <w:tcW w:w="850" w:type="dxa"/>
            <w:vMerge w:val="continue"/>
            <w:noWrap/>
            <w:vAlign w:val="center"/>
          </w:tcPr>
          <w:p w14:paraId="610DD0A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475C26D">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数据预处理-数据增强-政策冲突实时检测</w:t>
            </w:r>
          </w:p>
        </w:tc>
        <w:tc>
          <w:tcPr>
            <w:tcW w:w="4618" w:type="dxa"/>
            <w:vAlign w:val="center"/>
          </w:tcPr>
          <w:p w14:paraId="22F2A09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监测最新政策与既有派单规则的矛盾点，提示管理人员调整策略，避免因政策变化导致派单错误或延误。</w:t>
            </w:r>
          </w:p>
        </w:tc>
      </w:tr>
      <w:tr w14:paraId="5564F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333B4C48">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141</w:t>
            </w:r>
          </w:p>
        </w:tc>
        <w:tc>
          <w:tcPr>
            <w:tcW w:w="850" w:type="dxa"/>
            <w:vMerge w:val="continue"/>
            <w:noWrap/>
            <w:vAlign w:val="center"/>
          </w:tcPr>
          <w:p w14:paraId="274D8C5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1FD5986">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数据预处理-数据标注-标注体系设计</w:t>
            </w:r>
          </w:p>
        </w:tc>
        <w:tc>
          <w:tcPr>
            <w:tcW w:w="4618" w:type="dxa"/>
            <w:vAlign w:val="center"/>
          </w:tcPr>
          <w:p w14:paraId="0FEAAAA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采用意图层、实体层、情感层三级架构，对工单数据进行多维度结构化处理，通过分层标注实现业务需求与AI训练的有机结合，配套标准化管理流程，并建立质量抽查机制，确保标注数据的一致性和可靠性，为智能派单提供高质量数据支撑。</w:t>
            </w:r>
          </w:p>
        </w:tc>
      </w:tr>
      <w:tr w14:paraId="03113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DD74D72">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142</w:t>
            </w:r>
          </w:p>
        </w:tc>
        <w:tc>
          <w:tcPr>
            <w:tcW w:w="850" w:type="dxa"/>
            <w:vMerge w:val="continue"/>
            <w:noWrap/>
            <w:vAlign w:val="center"/>
          </w:tcPr>
          <w:p w14:paraId="76DCC28D">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8F43BF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数据预处理-数据标注-标注管理</w:t>
            </w:r>
          </w:p>
        </w:tc>
        <w:tc>
          <w:tcPr>
            <w:tcW w:w="4618" w:type="dxa"/>
            <w:vAlign w:val="center"/>
          </w:tcPr>
          <w:p w14:paraId="38318D6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通过流程化工具管理标注任务，包括分配、审核、版本控制等，确保标注数据准确可靠。支持多人协作与质量抽查，避免标注偏差影响模型效果。</w:t>
            </w:r>
          </w:p>
        </w:tc>
      </w:tr>
      <w:tr w14:paraId="64103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562" w:type="dxa"/>
            <w:vAlign w:val="center"/>
          </w:tcPr>
          <w:p w14:paraId="509CCCC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143</w:t>
            </w:r>
          </w:p>
        </w:tc>
        <w:tc>
          <w:tcPr>
            <w:tcW w:w="850" w:type="dxa"/>
            <w:vMerge w:val="continue"/>
            <w:noWrap/>
            <w:vAlign w:val="center"/>
          </w:tcPr>
          <w:p w14:paraId="4B590C1E">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4310C80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数据预处理-数据回流-市民满意度关联分析</w:t>
            </w:r>
          </w:p>
        </w:tc>
        <w:tc>
          <w:tcPr>
            <w:tcW w:w="4618" w:type="dxa"/>
            <w:vAlign w:val="center"/>
          </w:tcPr>
          <w:p w14:paraId="07DCAAB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将工单处理结果与市民满意度评分关联分析，负面评价工单自动关联知识库调用记录，定位知识盲区或规则缺陷，优化知识回答效果。</w:t>
            </w:r>
          </w:p>
        </w:tc>
      </w:tr>
      <w:tr w14:paraId="50E9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56F8C4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144</w:t>
            </w:r>
          </w:p>
        </w:tc>
        <w:tc>
          <w:tcPr>
            <w:tcW w:w="850" w:type="dxa"/>
            <w:vMerge w:val="continue"/>
            <w:noWrap/>
            <w:vAlign w:val="center"/>
          </w:tcPr>
          <w:p w14:paraId="09151C6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86065A9">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数据预处理-数据回流-用户反馈收集通道</w:t>
            </w:r>
          </w:p>
        </w:tc>
        <w:tc>
          <w:tcPr>
            <w:tcW w:w="4618" w:type="dxa"/>
            <w:vAlign w:val="center"/>
          </w:tcPr>
          <w:p w14:paraId="7EF3199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整合多渠道反馈，统一归集市民评价和建议，形成闭环管理。实时监测负面反馈，触发预警机制，推动问题快速整改。</w:t>
            </w:r>
          </w:p>
        </w:tc>
      </w:tr>
      <w:tr w14:paraId="7477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6B4AFFF5">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145</w:t>
            </w:r>
          </w:p>
        </w:tc>
        <w:tc>
          <w:tcPr>
            <w:tcW w:w="850" w:type="dxa"/>
            <w:vMerge w:val="continue"/>
            <w:noWrap/>
            <w:vAlign w:val="center"/>
          </w:tcPr>
          <w:p w14:paraId="3F85E8FB">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6C4A7145">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接口开发-文档增删改查</w:t>
            </w:r>
          </w:p>
        </w:tc>
        <w:tc>
          <w:tcPr>
            <w:tcW w:w="4618" w:type="dxa"/>
            <w:vAlign w:val="center"/>
          </w:tcPr>
          <w:p w14:paraId="315DC82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对知识库文档进行全生命周期管理，包括上传（支持PDF/Word/TXT等格式）、修改元数据（标题、标签、权限）、内容更新及删除操作。接口需与市级大模型底座的存储系统深度集成，确保文档版本控制和操作审计可追溯，同时满足政府数据安全合规要求。</w:t>
            </w:r>
          </w:p>
        </w:tc>
      </w:tr>
      <w:tr w14:paraId="15DB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0B5C1BB">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146</w:t>
            </w:r>
          </w:p>
        </w:tc>
        <w:tc>
          <w:tcPr>
            <w:tcW w:w="850" w:type="dxa"/>
            <w:vMerge w:val="continue"/>
            <w:noWrap/>
            <w:vAlign w:val="center"/>
          </w:tcPr>
          <w:p w14:paraId="306204AC">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7CDCFC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接口开发-文档解析状态获取</w:t>
            </w:r>
          </w:p>
        </w:tc>
        <w:tc>
          <w:tcPr>
            <w:tcW w:w="4618" w:type="dxa"/>
            <w:vAlign w:val="center"/>
          </w:tcPr>
          <w:p w14:paraId="08942A8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支持通过异步回调机制实时获取文档解析进度，包括文本提取、段落拆分、表格识别等处理状态。接口需返回结构化数据，并与大模型的预处理流水线对接，支持失败任务自动重试和人工干预通道，保障知识入库的可靠性。</w:t>
            </w:r>
          </w:p>
        </w:tc>
      </w:tr>
      <w:tr w14:paraId="5E7E0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2D9248B9">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147</w:t>
            </w:r>
          </w:p>
        </w:tc>
        <w:tc>
          <w:tcPr>
            <w:tcW w:w="850" w:type="dxa"/>
            <w:vMerge w:val="continue"/>
            <w:noWrap/>
            <w:vAlign w:val="center"/>
          </w:tcPr>
          <w:p w14:paraId="2654FFB8">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05B61B17">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接口开发-知识库列表获取</w:t>
            </w:r>
          </w:p>
        </w:tc>
        <w:tc>
          <w:tcPr>
            <w:tcW w:w="4618" w:type="dxa"/>
            <w:vAlign w:val="center"/>
          </w:tcPr>
          <w:p w14:paraId="36A1E92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提供分页查询接口，按知识库类型、部门归属、更新时间等维度过滤，返回基础信息（名称、描述、文档量）。需与市级大模型的权限体系联动，确保用户仅能访问授权范围内的知识库列表。</w:t>
            </w:r>
          </w:p>
        </w:tc>
      </w:tr>
      <w:tr w14:paraId="30BD4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5AEB9C83">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148</w:t>
            </w:r>
          </w:p>
        </w:tc>
        <w:tc>
          <w:tcPr>
            <w:tcW w:w="850" w:type="dxa"/>
            <w:vMerge w:val="continue"/>
            <w:noWrap/>
            <w:vAlign w:val="center"/>
          </w:tcPr>
          <w:p w14:paraId="50C94E22">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A2E58D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接口开发-知识库召回查询</w:t>
            </w:r>
          </w:p>
        </w:tc>
        <w:tc>
          <w:tcPr>
            <w:tcW w:w="4618" w:type="dxa"/>
            <w:vAlign w:val="center"/>
          </w:tcPr>
          <w:p w14:paraId="67FEA5B2">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基于语义向量相似度检索，接收用户查询，返回TOP-N相关知识片段及来源文档。接口需集成大模型的嵌入计算和索引服务，支持过滤条件和结果排序。</w:t>
            </w:r>
          </w:p>
        </w:tc>
      </w:tr>
      <w:tr w14:paraId="0BCA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2F8173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149</w:t>
            </w:r>
          </w:p>
        </w:tc>
        <w:tc>
          <w:tcPr>
            <w:tcW w:w="850" w:type="dxa"/>
            <w:vMerge w:val="continue"/>
            <w:noWrap/>
            <w:vAlign w:val="center"/>
          </w:tcPr>
          <w:p w14:paraId="06387C46">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57DCAB1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接口开发-知识库配置</w:t>
            </w:r>
          </w:p>
        </w:tc>
        <w:tc>
          <w:tcPr>
            <w:tcW w:w="4618" w:type="dxa"/>
            <w:vAlign w:val="center"/>
          </w:tcPr>
          <w:p w14:paraId="62BA202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开放知识库元数据管理接口，支持创建/修改分类体系、设置更新策略、调整召回权重等。需与大模型底座的训练调度模块交互，确保配置变更后能触发知识重建索引，并提供配置历史回滚功能。</w:t>
            </w:r>
          </w:p>
        </w:tc>
      </w:tr>
      <w:tr w14:paraId="2D5DB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CAABADE">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150</w:t>
            </w:r>
          </w:p>
        </w:tc>
        <w:tc>
          <w:tcPr>
            <w:tcW w:w="850" w:type="dxa"/>
            <w:vMerge w:val="continue"/>
            <w:noWrap/>
            <w:vAlign w:val="center"/>
          </w:tcPr>
          <w:p w14:paraId="48C7A2B7">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3843592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接口开发-智能体增删改查</w:t>
            </w:r>
          </w:p>
        </w:tc>
        <w:tc>
          <w:tcPr>
            <w:tcW w:w="4618" w:type="dxa"/>
            <w:vAlign w:val="center"/>
          </w:tcPr>
          <w:p w14:paraId="17F7AF48">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提供智能体全生命周期管理API，包括创建、修改对话逻辑、停启用状态切换及删除。接口需验证与大模型能力组件的兼容性，并记录操作日志供审计，变更需实时生效且不影响在线服务。</w:t>
            </w:r>
          </w:p>
        </w:tc>
      </w:tr>
      <w:tr w14:paraId="32D8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709022C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151</w:t>
            </w:r>
          </w:p>
        </w:tc>
        <w:tc>
          <w:tcPr>
            <w:tcW w:w="850" w:type="dxa"/>
            <w:vMerge w:val="continue"/>
            <w:noWrap/>
            <w:vAlign w:val="center"/>
          </w:tcPr>
          <w:p w14:paraId="1960A5CA">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7F4ABB9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接口开发-智能体列表</w:t>
            </w:r>
          </w:p>
        </w:tc>
        <w:tc>
          <w:tcPr>
            <w:tcW w:w="4618" w:type="dxa"/>
            <w:vAlign w:val="center"/>
          </w:tcPr>
          <w:p w14:paraId="66C9DFE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返回当前账户下所有智能体的基础信息列表（名称、服务领域、状态、调用量统计），支持按部门、应用场景筛选。接口需对接市级大模型的资源监控系统，提供负载预警状态。</w:t>
            </w:r>
          </w:p>
        </w:tc>
      </w:tr>
      <w:tr w14:paraId="061FA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0EB2B021">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152</w:t>
            </w:r>
          </w:p>
        </w:tc>
        <w:tc>
          <w:tcPr>
            <w:tcW w:w="850" w:type="dxa"/>
            <w:vMerge w:val="continue"/>
            <w:noWrap/>
            <w:vAlign w:val="center"/>
          </w:tcPr>
          <w:p w14:paraId="186345C6">
            <w:pPr>
              <w:spacing w:line="240" w:lineRule="auto"/>
              <w:ind w:firstLine="0" w:firstLineChars="0"/>
              <w:textAlignment w:val="center"/>
              <w:rPr>
                <w:rFonts w:hint="eastAsia" w:cs="宋体"/>
                <w:color w:val="000000"/>
                <w:sz w:val="21"/>
                <w:szCs w:val="21"/>
                <w:lang w:bidi="ar"/>
              </w:rPr>
            </w:pPr>
          </w:p>
        </w:tc>
        <w:tc>
          <w:tcPr>
            <w:tcW w:w="2269" w:type="dxa"/>
            <w:noWrap/>
            <w:vAlign w:val="center"/>
          </w:tcPr>
          <w:p w14:paraId="29E75AF1">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接口开发-智能体详情信息</w:t>
            </w:r>
          </w:p>
        </w:tc>
        <w:tc>
          <w:tcPr>
            <w:tcW w:w="4618" w:type="dxa"/>
            <w:vAlign w:val="center"/>
          </w:tcPr>
          <w:p w14:paraId="6A10D3A3">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通过ID查询智能体完整配置，包括绑定的知识库、对话流程DSL、服务端点、性能指标等。接口需关联大模型的测试环境，可返回最近调试日志，帮助管理员快速定位问题。敏感信息需脱敏返回。</w:t>
            </w:r>
          </w:p>
        </w:tc>
      </w:tr>
      <w:tr w14:paraId="5E1C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736605A">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153</w:t>
            </w:r>
          </w:p>
        </w:tc>
        <w:tc>
          <w:tcPr>
            <w:tcW w:w="850" w:type="dxa"/>
            <w:vMerge w:val="restart"/>
            <w:noWrap/>
            <w:vAlign w:val="center"/>
          </w:tcPr>
          <w:p w14:paraId="2E3F4BBD">
            <w:pPr>
              <w:spacing w:line="240" w:lineRule="auto"/>
              <w:ind w:firstLine="0" w:firstLineChars="0"/>
              <w:jc w:val="center"/>
              <w:textAlignment w:val="center"/>
              <w:rPr>
                <w:rFonts w:hint="eastAsia" w:cs="宋体"/>
                <w:color w:val="000000"/>
                <w:sz w:val="21"/>
                <w:szCs w:val="21"/>
                <w:lang w:bidi="ar"/>
              </w:rPr>
            </w:pPr>
            <w:r>
              <w:rPr>
                <w:rFonts w:hint="eastAsia" w:cs="宋体"/>
                <w:color w:val="000000"/>
                <w:sz w:val="21"/>
                <w:szCs w:val="21"/>
                <w:lang w:bidi="ar"/>
              </w:rPr>
              <w:t>密码应用功能模块</w:t>
            </w:r>
          </w:p>
        </w:tc>
        <w:tc>
          <w:tcPr>
            <w:tcW w:w="2269" w:type="dxa"/>
            <w:noWrap/>
            <w:vAlign w:val="center"/>
          </w:tcPr>
          <w:p w14:paraId="4CF1A2EE">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密码应用功能模块-用户身份认证机制模块</w:t>
            </w:r>
          </w:p>
        </w:tc>
        <w:tc>
          <w:tcPr>
            <w:tcW w:w="4618" w:type="dxa"/>
            <w:vAlign w:val="center"/>
          </w:tcPr>
          <w:p w14:paraId="2285D030">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开发用户身份认证机制模块，调用云平台提供的安全认证网关服务接口，并在终端部署用户证书、服务端部署站点证书，绑定应用用户数字证书和应用用户ID，实现对终端和服务端身份的鉴别。</w:t>
            </w:r>
          </w:p>
        </w:tc>
      </w:tr>
      <w:tr w14:paraId="7155B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562" w:type="dxa"/>
            <w:vAlign w:val="center"/>
          </w:tcPr>
          <w:p w14:paraId="1756F3EC">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154</w:t>
            </w:r>
          </w:p>
        </w:tc>
        <w:tc>
          <w:tcPr>
            <w:tcW w:w="850" w:type="dxa"/>
            <w:vMerge w:val="continue"/>
            <w:noWrap/>
            <w:vAlign w:val="center"/>
          </w:tcPr>
          <w:p w14:paraId="7802E95B">
            <w:pPr>
              <w:spacing w:line="240" w:lineRule="auto"/>
              <w:ind w:firstLine="0" w:firstLineChars="0"/>
              <w:jc w:val="left"/>
              <w:textAlignment w:val="center"/>
              <w:rPr>
                <w:rFonts w:hint="eastAsia" w:cs="宋体"/>
                <w:color w:val="000000"/>
                <w:sz w:val="21"/>
                <w:szCs w:val="21"/>
                <w:lang w:bidi="ar"/>
              </w:rPr>
            </w:pPr>
          </w:p>
        </w:tc>
        <w:tc>
          <w:tcPr>
            <w:tcW w:w="2269" w:type="dxa"/>
            <w:noWrap/>
            <w:vAlign w:val="center"/>
          </w:tcPr>
          <w:p w14:paraId="715454E4">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密码应用功能模块-用户访问控制信息签名验签模块</w:t>
            </w:r>
          </w:p>
        </w:tc>
        <w:tc>
          <w:tcPr>
            <w:tcW w:w="4618" w:type="dxa"/>
            <w:vAlign w:val="center"/>
          </w:tcPr>
          <w:p w14:paraId="0E95502B">
            <w:pPr>
              <w:spacing w:line="240" w:lineRule="auto"/>
              <w:ind w:firstLine="0" w:firstLineChars="0"/>
              <w:jc w:val="left"/>
              <w:textAlignment w:val="center"/>
              <w:rPr>
                <w:rFonts w:hint="eastAsia" w:cs="宋体"/>
                <w:color w:val="000000"/>
                <w:sz w:val="21"/>
                <w:szCs w:val="21"/>
                <w:lang w:bidi="ar"/>
              </w:rPr>
            </w:pPr>
            <w:r>
              <w:rPr>
                <w:rFonts w:hint="eastAsia" w:cs="宋体"/>
                <w:color w:val="000000"/>
                <w:sz w:val="21"/>
                <w:szCs w:val="21"/>
                <w:lang w:bidi="ar"/>
              </w:rPr>
              <w:t>开发用户访问控制信息签名验签模块，调用云平台提供的签名验签服务接口，实现应用系统登录用户的访问控制列表完整性保护。</w:t>
            </w:r>
          </w:p>
        </w:tc>
      </w:tr>
    </w:tbl>
    <w:p w14:paraId="77B82326">
      <w:pPr>
        <w:numPr>
          <w:ilvl w:val="255"/>
          <w:numId w:val="0"/>
        </w:numPr>
        <w:rPr>
          <w:rFonts w:hint="eastAsia" w:eastAsia="宋体"/>
          <w:bCs/>
          <w:highlight w:val="none"/>
          <w:lang w:eastAsia="zh-CN"/>
        </w:rPr>
      </w:pPr>
      <w:r>
        <w:rPr>
          <w:rFonts w:hint="eastAsia"/>
          <w:bCs/>
          <w:highlight w:val="none"/>
        </w:rPr>
        <w:t>备注：在上述功能模块</w:t>
      </w:r>
      <w:r>
        <w:rPr>
          <w:rFonts w:hint="eastAsia"/>
          <w:bCs/>
          <w:highlight w:val="none"/>
          <w:lang w:eastAsia="zh-CN"/>
        </w:rPr>
        <w:t>大模型</w:t>
      </w:r>
      <w:r>
        <w:rPr>
          <w:rFonts w:hint="eastAsia"/>
          <w:bCs/>
          <w:highlight w:val="none"/>
        </w:rPr>
        <w:t>建设过程中应</w:t>
      </w:r>
      <w:r>
        <w:rPr>
          <w:rFonts w:hint="eastAsia"/>
          <w:bCs/>
          <w:highlight w:val="none"/>
          <w:lang w:eastAsia="zh-CN"/>
        </w:rPr>
        <w:t>符合以下要求：</w:t>
      </w:r>
      <w:r>
        <w:rPr>
          <w:rFonts w:hint="eastAsia"/>
          <w:bCs/>
          <w:highlight w:val="none"/>
          <w:lang w:val="en-US" w:eastAsia="zh-CN"/>
        </w:rPr>
        <w:t>1、提供算力兜底保障，相关算力设备应符合国产化要求。2、</w:t>
      </w:r>
      <w:r>
        <w:rPr>
          <w:rFonts w:hint="eastAsia"/>
          <w:bCs/>
          <w:highlight w:val="none"/>
        </w:rPr>
        <w:t>同步建设并形成上海市交通行业热线信息管理系统相关的高质量数据集，按照统一管理要求和规范，按时合规归集到上海市交通行业数智能力平台。</w:t>
      </w:r>
    </w:p>
    <w:p w14:paraId="16EC1791">
      <w:pPr>
        <w:pStyle w:val="2"/>
        <w:rPr>
          <w:rFonts w:hint="eastAsia"/>
        </w:rPr>
      </w:pPr>
      <w:bookmarkStart w:id="17" w:name="_Toc63785502"/>
      <w:r>
        <w:rPr>
          <w:rFonts w:hint="eastAsia"/>
        </w:rPr>
        <w:t>电子政务云资源需求</w:t>
      </w:r>
      <w:bookmarkEnd w:id="17"/>
    </w:p>
    <w:p w14:paraId="459BA7C9">
      <w:pPr>
        <w:ind w:firstLine="480"/>
        <w:rPr>
          <w:rFonts w:hint="eastAsia" w:asciiTheme="minorEastAsia" w:hAnsiTheme="minorEastAsia" w:eastAsiaTheme="minorEastAsia"/>
          <w:bCs/>
        </w:rPr>
      </w:pPr>
      <w:r>
        <w:rPr>
          <w:rFonts w:asciiTheme="minorEastAsia" w:hAnsiTheme="minorEastAsia" w:eastAsiaTheme="minorEastAsia"/>
          <w:bCs/>
        </w:rPr>
        <w:t>1.</w:t>
      </w:r>
      <w:r>
        <w:rPr>
          <w:rFonts w:hint="eastAsia" w:cs="宋体" w:asciiTheme="minorEastAsia" w:hAnsiTheme="minorEastAsia" w:eastAsiaTheme="minorEastAsia"/>
          <w:bCs/>
        </w:rPr>
        <w:t>主机资源</w:t>
      </w:r>
    </w:p>
    <w:p w14:paraId="4BB9AE4F">
      <w:pPr>
        <w:ind w:firstLine="480"/>
        <w:rPr>
          <w:rFonts w:hint="eastAsia" w:asciiTheme="minorEastAsia" w:hAnsiTheme="minorEastAsia" w:eastAsiaTheme="minorEastAsia"/>
        </w:rPr>
      </w:pPr>
      <w:r>
        <w:rPr>
          <w:rFonts w:hint="eastAsia" w:asciiTheme="minorEastAsia" w:hAnsiTheme="minorEastAsia" w:eastAsiaTheme="minorEastAsia"/>
        </w:rPr>
        <w:t>根据项目前期资源现状，本次建设根据估算拟向电子政务云申请10台服务器资源：CPU 288核、内存640</w:t>
      </w:r>
      <w:r>
        <w:rPr>
          <w:rFonts w:asciiTheme="minorEastAsia" w:hAnsiTheme="minorEastAsia" w:eastAsiaTheme="minorEastAsia"/>
        </w:rPr>
        <w:t>G</w:t>
      </w:r>
      <w:r>
        <w:rPr>
          <w:rFonts w:hint="eastAsia" w:asciiTheme="minorEastAsia" w:hAnsiTheme="minorEastAsia" w:eastAsiaTheme="minorEastAsia"/>
        </w:rPr>
        <w:t>、存储</w:t>
      </w:r>
      <w:r>
        <w:rPr>
          <w:rFonts w:asciiTheme="minorEastAsia" w:hAnsiTheme="minorEastAsia" w:eastAsiaTheme="minorEastAsia"/>
        </w:rPr>
        <w:t>6</w:t>
      </w:r>
      <w:r>
        <w:rPr>
          <w:rFonts w:hint="eastAsia" w:asciiTheme="minorEastAsia" w:hAnsiTheme="minorEastAsia" w:eastAsiaTheme="minorEastAsia"/>
        </w:rPr>
        <w:t>5</w:t>
      </w:r>
      <w:r>
        <w:rPr>
          <w:rFonts w:asciiTheme="minorEastAsia" w:hAnsiTheme="minorEastAsia" w:eastAsiaTheme="minorEastAsia"/>
        </w:rPr>
        <w:t>0</w:t>
      </w:r>
      <w:r>
        <w:rPr>
          <w:rFonts w:hint="eastAsia" w:asciiTheme="minorEastAsia" w:hAnsiTheme="minorEastAsia" w:eastAsiaTheme="minorEastAsia"/>
        </w:rPr>
        <w:t>0</w:t>
      </w:r>
      <w:r>
        <w:rPr>
          <w:rFonts w:asciiTheme="minorEastAsia" w:hAnsiTheme="minorEastAsia" w:eastAsiaTheme="minorEastAsia"/>
        </w:rPr>
        <w:t>G</w:t>
      </w:r>
      <w:r>
        <w:rPr>
          <w:rFonts w:hint="eastAsia" w:asciiTheme="minorEastAsia" w:hAnsiTheme="minorEastAsia" w:eastAsiaTheme="minorEastAsia"/>
        </w:rPr>
        <w:t>；大语言模型训练GPU共8块。以上资源均为虚拟机。</w:t>
      </w:r>
    </w:p>
    <w:p w14:paraId="43DCADF1">
      <w:pPr>
        <w:numPr>
          <w:ilvl w:val="0"/>
          <w:numId w:val="3"/>
        </w:numPr>
        <w:ind w:firstLine="480"/>
        <w:rPr>
          <w:rFonts w:hint="eastAsia" w:cs="宋体" w:asciiTheme="minorEastAsia" w:hAnsiTheme="minorEastAsia" w:eastAsiaTheme="minorEastAsia"/>
        </w:rPr>
      </w:pPr>
      <w:r>
        <w:rPr>
          <w:rFonts w:hint="eastAsia" w:asciiTheme="minorEastAsia" w:hAnsiTheme="minorEastAsia" w:eastAsiaTheme="minorEastAsia"/>
        </w:rPr>
        <w:t xml:space="preserve">PaaS </w:t>
      </w:r>
      <w:r>
        <w:rPr>
          <w:rFonts w:hint="eastAsia" w:cs="宋体" w:asciiTheme="minorEastAsia" w:hAnsiTheme="minorEastAsia" w:eastAsiaTheme="minorEastAsia"/>
        </w:rPr>
        <w:t>资源</w:t>
      </w:r>
    </w:p>
    <w:tbl>
      <w:tblPr>
        <w:tblStyle w:val="3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4039"/>
        <w:gridCol w:w="1701"/>
        <w:gridCol w:w="1843"/>
      </w:tblGrid>
      <w:tr w14:paraId="210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shd w:val="clear" w:color="auto" w:fill="F1F1F1" w:themeFill="background1" w:themeFillShade="F2"/>
            <w:vAlign w:val="center"/>
          </w:tcPr>
          <w:p w14:paraId="67ADE1A7">
            <w:pPr>
              <w:ind w:firstLine="0" w:firstLineChars="0"/>
              <w:jc w:val="center"/>
              <w:rPr>
                <w:rFonts w:hint="eastAsia" w:asciiTheme="minorEastAsia" w:hAnsiTheme="minorEastAsia" w:eastAsiaTheme="minorEastAsia"/>
                <w:b/>
                <w:bCs/>
                <w:color w:val="000000"/>
              </w:rPr>
            </w:pPr>
            <w:bookmarkStart w:id="18" w:name="_Toc63785503"/>
            <w:r>
              <w:rPr>
                <w:rFonts w:hint="eastAsia" w:asciiTheme="minorEastAsia" w:hAnsiTheme="minorEastAsia" w:eastAsiaTheme="minorEastAsia"/>
                <w:b/>
                <w:bCs/>
                <w:color w:val="000000"/>
              </w:rPr>
              <w:t>序号</w:t>
            </w:r>
          </w:p>
        </w:tc>
        <w:tc>
          <w:tcPr>
            <w:tcW w:w="4039" w:type="dxa"/>
            <w:shd w:val="clear" w:color="auto" w:fill="F1F1F1" w:themeFill="background1" w:themeFillShade="F2"/>
            <w:noWrap/>
            <w:vAlign w:val="center"/>
          </w:tcPr>
          <w:p w14:paraId="139E0FFE">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资源名称</w:t>
            </w:r>
          </w:p>
        </w:tc>
        <w:tc>
          <w:tcPr>
            <w:tcW w:w="1701" w:type="dxa"/>
            <w:shd w:val="clear" w:color="auto" w:fill="F1F1F1" w:themeFill="background1" w:themeFillShade="F2"/>
            <w:noWrap/>
            <w:vAlign w:val="center"/>
          </w:tcPr>
          <w:p w14:paraId="447AE745">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数量</w:t>
            </w:r>
          </w:p>
        </w:tc>
        <w:tc>
          <w:tcPr>
            <w:tcW w:w="1843" w:type="dxa"/>
            <w:shd w:val="clear" w:color="auto" w:fill="F1F1F1" w:themeFill="background1" w:themeFillShade="F2"/>
            <w:vAlign w:val="center"/>
          </w:tcPr>
          <w:p w14:paraId="32DE81FD">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单位</w:t>
            </w:r>
          </w:p>
        </w:tc>
      </w:tr>
      <w:tr w14:paraId="18C2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3BBBE9D2">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1</w:t>
            </w:r>
          </w:p>
        </w:tc>
        <w:tc>
          <w:tcPr>
            <w:tcW w:w="4039" w:type="dxa"/>
            <w:noWrap/>
            <w:vAlign w:val="center"/>
          </w:tcPr>
          <w:p w14:paraId="2A017950">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安全认证网关服务</w:t>
            </w:r>
          </w:p>
        </w:tc>
        <w:tc>
          <w:tcPr>
            <w:tcW w:w="1701" w:type="dxa"/>
            <w:noWrap/>
            <w:vAlign w:val="center"/>
          </w:tcPr>
          <w:p w14:paraId="698E7737">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2</w:t>
            </w:r>
          </w:p>
        </w:tc>
        <w:tc>
          <w:tcPr>
            <w:tcW w:w="1843" w:type="dxa"/>
            <w:vAlign w:val="center"/>
          </w:tcPr>
          <w:p w14:paraId="614625D9">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套</w:t>
            </w:r>
          </w:p>
        </w:tc>
      </w:tr>
      <w:tr w14:paraId="7DFA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14F7F5C7">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2</w:t>
            </w:r>
          </w:p>
        </w:tc>
        <w:tc>
          <w:tcPr>
            <w:tcW w:w="4039" w:type="dxa"/>
            <w:noWrap/>
            <w:vAlign w:val="center"/>
          </w:tcPr>
          <w:p w14:paraId="43CB78E1">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SSL VPN</w:t>
            </w:r>
          </w:p>
        </w:tc>
        <w:tc>
          <w:tcPr>
            <w:tcW w:w="1701" w:type="dxa"/>
            <w:noWrap/>
            <w:vAlign w:val="center"/>
          </w:tcPr>
          <w:p w14:paraId="2BDC95D7">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1</w:t>
            </w:r>
          </w:p>
        </w:tc>
        <w:tc>
          <w:tcPr>
            <w:tcW w:w="1843" w:type="dxa"/>
            <w:vAlign w:val="center"/>
          </w:tcPr>
          <w:p w14:paraId="509E4811">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套</w:t>
            </w:r>
          </w:p>
        </w:tc>
      </w:tr>
      <w:tr w14:paraId="2296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1FD70111">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3</w:t>
            </w:r>
          </w:p>
        </w:tc>
        <w:tc>
          <w:tcPr>
            <w:tcW w:w="4039" w:type="dxa"/>
            <w:noWrap/>
            <w:vAlign w:val="center"/>
          </w:tcPr>
          <w:p w14:paraId="5BF41FD3">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签名验签服务</w:t>
            </w:r>
          </w:p>
        </w:tc>
        <w:tc>
          <w:tcPr>
            <w:tcW w:w="1701" w:type="dxa"/>
            <w:noWrap/>
            <w:vAlign w:val="center"/>
          </w:tcPr>
          <w:p w14:paraId="66A1F0F1">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1</w:t>
            </w:r>
          </w:p>
        </w:tc>
        <w:tc>
          <w:tcPr>
            <w:tcW w:w="1843" w:type="dxa"/>
            <w:vAlign w:val="center"/>
          </w:tcPr>
          <w:p w14:paraId="28F34A69">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套</w:t>
            </w:r>
          </w:p>
        </w:tc>
      </w:tr>
      <w:tr w14:paraId="3535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40FFE935">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4</w:t>
            </w:r>
          </w:p>
        </w:tc>
        <w:tc>
          <w:tcPr>
            <w:tcW w:w="4039" w:type="dxa"/>
            <w:noWrap/>
            <w:vAlign w:val="center"/>
          </w:tcPr>
          <w:p w14:paraId="3CBF9E6D">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可信密码服务</w:t>
            </w:r>
          </w:p>
        </w:tc>
        <w:tc>
          <w:tcPr>
            <w:tcW w:w="1701" w:type="dxa"/>
            <w:noWrap/>
            <w:vAlign w:val="center"/>
          </w:tcPr>
          <w:p w14:paraId="7863D18E">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1</w:t>
            </w:r>
          </w:p>
        </w:tc>
        <w:tc>
          <w:tcPr>
            <w:tcW w:w="1843" w:type="dxa"/>
            <w:vAlign w:val="center"/>
          </w:tcPr>
          <w:p w14:paraId="3BD9E8BA">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套</w:t>
            </w:r>
          </w:p>
        </w:tc>
      </w:tr>
      <w:tr w14:paraId="7895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18109540">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5</w:t>
            </w:r>
          </w:p>
        </w:tc>
        <w:tc>
          <w:tcPr>
            <w:tcW w:w="4039" w:type="dxa"/>
            <w:noWrap/>
            <w:vAlign w:val="center"/>
          </w:tcPr>
          <w:p w14:paraId="341A413E">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证书认证服务（站点证书）</w:t>
            </w:r>
          </w:p>
        </w:tc>
        <w:tc>
          <w:tcPr>
            <w:tcW w:w="1701" w:type="dxa"/>
            <w:noWrap/>
            <w:vAlign w:val="center"/>
          </w:tcPr>
          <w:p w14:paraId="60ED5278">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2</w:t>
            </w:r>
          </w:p>
        </w:tc>
        <w:tc>
          <w:tcPr>
            <w:tcW w:w="1843" w:type="dxa"/>
            <w:vAlign w:val="center"/>
          </w:tcPr>
          <w:p w14:paraId="53A0E13D">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张</w:t>
            </w:r>
          </w:p>
        </w:tc>
      </w:tr>
      <w:tr w14:paraId="1DC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40F146A3">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6</w:t>
            </w:r>
          </w:p>
        </w:tc>
        <w:tc>
          <w:tcPr>
            <w:tcW w:w="4039" w:type="dxa"/>
            <w:noWrap/>
            <w:vAlign w:val="center"/>
          </w:tcPr>
          <w:p w14:paraId="32C4305A">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证书认证服务（设备证书）</w:t>
            </w:r>
          </w:p>
        </w:tc>
        <w:tc>
          <w:tcPr>
            <w:tcW w:w="1701" w:type="dxa"/>
            <w:noWrap/>
            <w:vAlign w:val="center"/>
          </w:tcPr>
          <w:p w14:paraId="3BDDB4CB">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1</w:t>
            </w:r>
          </w:p>
        </w:tc>
        <w:tc>
          <w:tcPr>
            <w:tcW w:w="1843" w:type="dxa"/>
            <w:vAlign w:val="center"/>
          </w:tcPr>
          <w:p w14:paraId="227E6940">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张</w:t>
            </w:r>
          </w:p>
        </w:tc>
      </w:tr>
      <w:tr w14:paraId="0F30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2BC0DD99">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7</w:t>
            </w:r>
          </w:p>
        </w:tc>
        <w:tc>
          <w:tcPr>
            <w:tcW w:w="4039" w:type="dxa"/>
            <w:noWrap/>
            <w:vAlign w:val="center"/>
          </w:tcPr>
          <w:p w14:paraId="30AA4490">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证书认证服务（个人证书）</w:t>
            </w:r>
          </w:p>
        </w:tc>
        <w:tc>
          <w:tcPr>
            <w:tcW w:w="1701" w:type="dxa"/>
            <w:noWrap/>
            <w:vAlign w:val="center"/>
          </w:tcPr>
          <w:p w14:paraId="1E606751">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5</w:t>
            </w:r>
          </w:p>
        </w:tc>
        <w:tc>
          <w:tcPr>
            <w:tcW w:w="1843" w:type="dxa"/>
            <w:vAlign w:val="center"/>
          </w:tcPr>
          <w:p w14:paraId="11B7EE11">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张</w:t>
            </w:r>
          </w:p>
        </w:tc>
      </w:tr>
      <w:tr w14:paraId="5EE2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3B5D6DD3">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8</w:t>
            </w:r>
          </w:p>
        </w:tc>
        <w:tc>
          <w:tcPr>
            <w:tcW w:w="4039" w:type="dxa"/>
            <w:noWrap/>
            <w:vAlign w:val="center"/>
          </w:tcPr>
          <w:p w14:paraId="5659E2D6">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USBKey</w:t>
            </w:r>
          </w:p>
        </w:tc>
        <w:tc>
          <w:tcPr>
            <w:tcW w:w="1701" w:type="dxa"/>
            <w:noWrap/>
            <w:vAlign w:val="center"/>
          </w:tcPr>
          <w:p w14:paraId="2FE65743">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5</w:t>
            </w:r>
          </w:p>
        </w:tc>
        <w:tc>
          <w:tcPr>
            <w:tcW w:w="1843" w:type="dxa"/>
            <w:vAlign w:val="center"/>
          </w:tcPr>
          <w:p w14:paraId="4C453C3C">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个</w:t>
            </w:r>
          </w:p>
        </w:tc>
      </w:tr>
      <w:tr w14:paraId="5E01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76" w:type="dxa"/>
            <w:vAlign w:val="center"/>
          </w:tcPr>
          <w:p w14:paraId="559AD38C">
            <w:pPr>
              <w:ind w:firstLine="0" w:firstLineChars="0"/>
              <w:jc w:val="center"/>
              <w:rPr>
                <w:rFonts w:hint="eastAsia" w:asciiTheme="majorEastAsia" w:hAnsiTheme="majorEastAsia" w:eastAsiaTheme="majorEastAsia"/>
                <w:color w:val="000000"/>
              </w:rPr>
            </w:pPr>
            <w:r>
              <w:rPr>
                <w:rFonts w:hint="eastAsia" w:asciiTheme="majorEastAsia" w:hAnsiTheme="majorEastAsia" w:eastAsiaTheme="majorEastAsia"/>
                <w:color w:val="000000"/>
              </w:rPr>
              <w:t>9</w:t>
            </w:r>
          </w:p>
        </w:tc>
        <w:tc>
          <w:tcPr>
            <w:tcW w:w="4039" w:type="dxa"/>
            <w:noWrap/>
            <w:vAlign w:val="center"/>
          </w:tcPr>
          <w:p w14:paraId="5F5C18F9">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浏览器密码模块（二级）</w:t>
            </w:r>
          </w:p>
        </w:tc>
        <w:tc>
          <w:tcPr>
            <w:tcW w:w="1701" w:type="dxa"/>
            <w:noWrap/>
            <w:vAlign w:val="center"/>
          </w:tcPr>
          <w:p w14:paraId="1F80943E">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5</w:t>
            </w:r>
          </w:p>
        </w:tc>
        <w:tc>
          <w:tcPr>
            <w:tcW w:w="1843" w:type="dxa"/>
            <w:vAlign w:val="center"/>
          </w:tcPr>
          <w:p w14:paraId="3182C720">
            <w:pPr>
              <w:ind w:firstLine="0" w:firstLineChars="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套</w:t>
            </w:r>
          </w:p>
        </w:tc>
      </w:tr>
    </w:tbl>
    <w:p w14:paraId="0A4E1875">
      <w:pPr>
        <w:ind w:firstLine="0" w:firstLineChars="0"/>
        <w:jc w:val="center"/>
        <w:rPr>
          <w:rFonts w:hint="eastAsia" w:asciiTheme="minorEastAsia" w:hAnsiTheme="minorEastAsia" w:eastAsiaTheme="minorEastAsia"/>
        </w:rPr>
      </w:pPr>
    </w:p>
    <w:tbl>
      <w:tblPr>
        <w:tblStyle w:val="35"/>
        <w:tblW w:w="5000" w:type="pct"/>
        <w:tblInd w:w="0" w:type="dxa"/>
        <w:tblLayout w:type="autofit"/>
        <w:tblCellMar>
          <w:top w:w="0" w:type="dxa"/>
          <w:left w:w="108" w:type="dxa"/>
          <w:bottom w:w="0" w:type="dxa"/>
          <w:right w:w="108" w:type="dxa"/>
        </w:tblCellMar>
      </w:tblPr>
      <w:tblGrid>
        <w:gridCol w:w="894"/>
        <w:gridCol w:w="1888"/>
        <w:gridCol w:w="1685"/>
        <w:gridCol w:w="2372"/>
        <w:gridCol w:w="901"/>
        <w:gridCol w:w="788"/>
      </w:tblGrid>
      <w:tr w14:paraId="51273F3A">
        <w:tblPrEx>
          <w:tblCellMar>
            <w:top w:w="0" w:type="dxa"/>
            <w:left w:w="108" w:type="dxa"/>
            <w:bottom w:w="0" w:type="dxa"/>
            <w:right w:w="108" w:type="dxa"/>
          </w:tblCellMar>
        </w:tblPrEx>
        <w:trPr>
          <w:trHeight w:val="280" w:hRule="atLeast"/>
        </w:trPr>
        <w:tc>
          <w:tcPr>
            <w:tcW w:w="524"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0532C9E">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序号</w:t>
            </w:r>
          </w:p>
        </w:tc>
        <w:tc>
          <w:tcPr>
            <w:tcW w:w="1107"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4910E72">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服务类别</w:t>
            </w:r>
          </w:p>
        </w:tc>
        <w:tc>
          <w:tcPr>
            <w:tcW w:w="98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36B877B3">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服务项</w:t>
            </w:r>
          </w:p>
        </w:tc>
        <w:tc>
          <w:tcPr>
            <w:tcW w:w="1391"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27C93CE">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服务内容</w:t>
            </w:r>
          </w:p>
        </w:tc>
        <w:tc>
          <w:tcPr>
            <w:tcW w:w="528"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B49D92F">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数量</w:t>
            </w:r>
          </w:p>
        </w:tc>
        <w:tc>
          <w:tcPr>
            <w:tcW w:w="46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97EB897">
            <w:pPr>
              <w:ind w:firstLine="0" w:firstLineChars="0"/>
              <w:jc w:val="center"/>
              <w:rPr>
                <w:rFonts w:hint="eastAsia" w:asciiTheme="minorEastAsia" w:hAnsiTheme="minorEastAsia" w:eastAsiaTheme="minorEastAsia"/>
                <w:b/>
                <w:bCs/>
                <w:color w:val="000000"/>
              </w:rPr>
            </w:pPr>
            <w:r>
              <w:rPr>
                <w:rFonts w:hint="eastAsia" w:asciiTheme="minorEastAsia" w:hAnsiTheme="minorEastAsia" w:eastAsiaTheme="minorEastAsia"/>
                <w:b/>
                <w:bCs/>
                <w:color w:val="000000"/>
              </w:rPr>
              <w:t>单位</w:t>
            </w:r>
          </w:p>
        </w:tc>
      </w:tr>
      <w:tr w14:paraId="7D4DAF10">
        <w:tblPrEx>
          <w:tblCellMar>
            <w:top w:w="0" w:type="dxa"/>
            <w:left w:w="108" w:type="dxa"/>
            <w:bottom w:w="0" w:type="dxa"/>
            <w:right w:w="108" w:type="dxa"/>
          </w:tblCellMar>
        </w:tblPrEx>
        <w:trPr>
          <w:trHeight w:val="580" w:hRule="atLeast"/>
        </w:trPr>
        <w:tc>
          <w:tcPr>
            <w:tcW w:w="524" w:type="pct"/>
            <w:tcBorders>
              <w:top w:val="single" w:color="000000" w:sz="4" w:space="0"/>
              <w:left w:val="single" w:color="000000" w:sz="4" w:space="0"/>
              <w:bottom w:val="single" w:color="000000" w:sz="4" w:space="0"/>
              <w:right w:val="single" w:color="000000" w:sz="4" w:space="0"/>
            </w:tcBorders>
            <w:noWrap/>
            <w:vAlign w:val="center"/>
          </w:tcPr>
          <w:p w14:paraId="37833901">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1</w:t>
            </w:r>
          </w:p>
        </w:tc>
        <w:tc>
          <w:tcPr>
            <w:tcW w:w="1107" w:type="pct"/>
            <w:tcBorders>
              <w:top w:val="single" w:color="000000" w:sz="4" w:space="0"/>
              <w:left w:val="single" w:color="000000" w:sz="4" w:space="0"/>
              <w:bottom w:val="single" w:color="000000" w:sz="4" w:space="0"/>
              <w:right w:val="single" w:color="000000" w:sz="4" w:space="0"/>
            </w:tcBorders>
            <w:vAlign w:val="center"/>
          </w:tcPr>
          <w:p w14:paraId="5CDD86A2">
            <w:pPr>
              <w:adjustRightInd w:val="0"/>
              <w:snapToGrid w:val="0"/>
              <w:ind w:firstLine="0" w:firstLineChars="0"/>
              <w:jc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三大件服务</w:t>
            </w:r>
          </w:p>
        </w:tc>
        <w:tc>
          <w:tcPr>
            <w:tcW w:w="988" w:type="pct"/>
            <w:tcBorders>
              <w:top w:val="single" w:color="000000" w:sz="4" w:space="0"/>
              <w:left w:val="single" w:color="000000" w:sz="4" w:space="0"/>
              <w:bottom w:val="single" w:color="000000" w:sz="4" w:space="0"/>
              <w:right w:val="single" w:color="000000" w:sz="4" w:space="0"/>
            </w:tcBorders>
            <w:vAlign w:val="center"/>
          </w:tcPr>
          <w:p w14:paraId="4D552264">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操作系统</w:t>
            </w:r>
          </w:p>
        </w:tc>
        <w:tc>
          <w:tcPr>
            <w:tcW w:w="1391" w:type="pct"/>
            <w:tcBorders>
              <w:top w:val="single" w:color="000000" w:sz="4" w:space="0"/>
              <w:left w:val="single" w:color="000000" w:sz="4" w:space="0"/>
              <w:bottom w:val="single" w:color="000000" w:sz="4" w:space="0"/>
              <w:right w:val="single" w:color="000000" w:sz="4" w:space="0"/>
            </w:tcBorders>
            <w:vAlign w:val="center"/>
          </w:tcPr>
          <w:p w14:paraId="5A95885C">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国产操作系统</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20F1D1C5">
            <w:pPr>
              <w:adjustRightInd w:val="0"/>
              <w:snapToGrid w:val="0"/>
              <w:ind w:firstLine="0" w:firstLineChars="0"/>
              <w:jc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10</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8684910">
            <w:pPr>
              <w:adjustRightInd w:val="0"/>
              <w:snapToGrid w:val="0"/>
              <w:ind w:firstLine="0" w:firstLineChars="0"/>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套</w:t>
            </w:r>
          </w:p>
        </w:tc>
      </w:tr>
      <w:tr w14:paraId="13424DBD">
        <w:tblPrEx>
          <w:tblCellMar>
            <w:top w:w="0" w:type="dxa"/>
            <w:left w:w="108" w:type="dxa"/>
            <w:bottom w:w="0" w:type="dxa"/>
            <w:right w:w="108" w:type="dxa"/>
          </w:tblCellMar>
        </w:tblPrEx>
        <w:trPr>
          <w:trHeight w:val="580" w:hRule="atLeast"/>
        </w:trPr>
        <w:tc>
          <w:tcPr>
            <w:tcW w:w="524" w:type="pct"/>
            <w:tcBorders>
              <w:top w:val="single" w:color="000000" w:sz="4" w:space="0"/>
              <w:left w:val="single" w:color="000000" w:sz="4" w:space="0"/>
              <w:bottom w:val="single" w:color="000000" w:sz="4" w:space="0"/>
              <w:right w:val="single" w:color="000000" w:sz="4" w:space="0"/>
            </w:tcBorders>
            <w:noWrap/>
            <w:vAlign w:val="center"/>
          </w:tcPr>
          <w:p w14:paraId="08E0A138">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2</w:t>
            </w:r>
          </w:p>
        </w:tc>
        <w:tc>
          <w:tcPr>
            <w:tcW w:w="1107" w:type="pct"/>
            <w:tcBorders>
              <w:top w:val="single" w:color="000000" w:sz="4" w:space="0"/>
              <w:left w:val="single" w:color="000000" w:sz="4" w:space="0"/>
              <w:bottom w:val="single" w:color="000000" w:sz="4" w:space="0"/>
              <w:right w:val="single" w:color="000000" w:sz="4" w:space="0"/>
            </w:tcBorders>
            <w:vAlign w:val="center"/>
          </w:tcPr>
          <w:p w14:paraId="08785AE1">
            <w:pPr>
              <w:adjustRightInd w:val="0"/>
              <w:snapToGrid w:val="0"/>
              <w:ind w:firstLine="0" w:firstLineChars="0"/>
              <w:jc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三大件服务</w:t>
            </w:r>
          </w:p>
        </w:tc>
        <w:tc>
          <w:tcPr>
            <w:tcW w:w="988" w:type="pct"/>
            <w:tcBorders>
              <w:top w:val="single" w:color="000000" w:sz="4" w:space="0"/>
              <w:left w:val="single" w:color="000000" w:sz="4" w:space="0"/>
              <w:bottom w:val="single" w:color="000000" w:sz="4" w:space="0"/>
              <w:right w:val="single" w:color="000000" w:sz="4" w:space="0"/>
            </w:tcBorders>
            <w:vAlign w:val="center"/>
          </w:tcPr>
          <w:p w14:paraId="4D32E548">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数据库</w:t>
            </w:r>
          </w:p>
        </w:tc>
        <w:tc>
          <w:tcPr>
            <w:tcW w:w="1391" w:type="pct"/>
            <w:tcBorders>
              <w:top w:val="single" w:color="000000" w:sz="4" w:space="0"/>
              <w:left w:val="single" w:color="000000" w:sz="4" w:space="0"/>
              <w:bottom w:val="single" w:color="000000" w:sz="4" w:space="0"/>
              <w:right w:val="single" w:color="000000" w:sz="4" w:space="0"/>
            </w:tcBorders>
            <w:vAlign w:val="center"/>
          </w:tcPr>
          <w:p w14:paraId="120AA043">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国产数据库</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51452D11">
            <w:pPr>
              <w:adjustRightInd w:val="0"/>
              <w:snapToGrid w:val="0"/>
              <w:ind w:firstLine="0" w:firstLineChars="0"/>
              <w:jc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2</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E9F8379">
            <w:pPr>
              <w:adjustRightInd w:val="0"/>
              <w:snapToGrid w:val="0"/>
              <w:ind w:firstLine="0" w:firstLineChars="0"/>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套</w:t>
            </w:r>
          </w:p>
        </w:tc>
      </w:tr>
      <w:tr w14:paraId="1BAC2319">
        <w:tblPrEx>
          <w:tblCellMar>
            <w:top w:w="0" w:type="dxa"/>
            <w:left w:w="108" w:type="dxa"/>
            <w:bottom w:w="0" w:type="dxa"/>
            <w:right w:w="108" w:type="dxa"/>
          </w:tblCellMar>
        </w:tblPrEx>
        <w:trPr>
          <w:trHeight w:val="580" w:hRule="atLeast"/>
        </w:trPr>
        <w:tc>
          <w:tcPr>
            <w:tcW w:w="524" w:type="pct"/>
            <w:tcBorders>
              <w:top w:val="single" w:color="000000" w:sz="4" w:space="0"/>
              <w:left w:val="single" w:color="000000" w:sz="4" w:space="0"/>
              <w:bottom w:val="single" w:color="000000" w:sz="4" w:space="0"/>
              <w:right w:val="single" w:color="000000" w:sz="4" w:space="0"/>
            </w:tcBorders>
            <w:noWrap/>
            <w:vAlign w:val="center"/>
          </w:tcPr>
          <w:p w14:paraId="422590C1">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3</w:t>
            </w:r>
          </w:p>
        </w:tc>
        <w:tc>
          <w:tcPr>
            <w:tcW w:w="1107" w:type="pct"/>
            <w:tcBorders>
              <w:top w:val="single" w:color="000000" w:sz="4" w:space="0"/>
              <w:left w:val="single" w:color="000000" w:sz="4" w:space="0"/>
              <w:bottom w:val="single" w:color="000000" w:sz="4" w:space="0"/>
              <w:right w:val="single" w:color="000000" w:sz="4" w:space="0"/>
            </w:tcBorders>
            <w:vAlign w:val="center"/>
          </w:tcPr>
          <w:p w14:paraId="27576B2C">
            <w:pPr>
              <w:adjustRightInd w:val="0"/>
              <w:snapToGrid w:val="0"/>
              <w:ind w:firstLine="0" w:firstLineChars="0"/>
              <w:jc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三大件服务</w:t>
            </w:r>
          </w:p>
        </w:tc>
        <w:tc>
          <w:tcPr>
            <w:tcW w:w="988" w:type="pct"/>
            <w:tcBorders>
              <w:top w:val="single" w:color="000000" w:sz="4" w:space="0"/>
              <w:left w:val="single" w:color="000000" w:sz="4" w:space="0"/>
              <w:bottom w:val="single" w:color="000000" w:sz="4" w:space="0"/>
              <w:right w:val="single" w:color="000000" w:sz="4" w:space="0"/>
            </w:tcBorders>
            <w:vAlign w:val="center"/>
          </w:tcPr>
          <w:p w14:paraId="7F2C0AD5">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中间件</w:t>
            </w:r>
          </w:p>
        </w:tc>
        <w:tc>
          <w:tcPr>
            <w:tcW w:w="1391" w:type="pct"/>
            <w:tcBorders>
              <w:top w:val="single" w:color="000000" w:sz="4" w:space="0"/>
              <w:left w:val="single" w:color="000000" w:sz="4" w:space="0"/>
              <w:bottom w:val="single" w:color="000000" w:sz="4" w:space="0"/>
              <w:right w:val="single" w:color="000000" w:sz="4" w:space="0"/>
            </w:tcBorders>
            <w:vAlign w:val="center"/>
          </w:tcPr>
          <w:p w14:paraId="4BE43263">
            <w:pPr>
              <w:adjustRightInd w:val="0"/>
              <w:snapToGrid w:val="0"/>
              <w:ind w:firstLine="0" w:firstLineChars="0"/>
              <w:jc w:val="center"/>
              <w:textAlignment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国产中间件</w:t>
            </w:r>
          </w:p>
        </w:tc>
        <w:tc>
          <w:tcPr>
            <w:tcW w:w="528" w:type="pct"/>
            <w:tcBorders>
              <w:top w:val="single" w:color="000000" w:sz="4" w:space="0"/>
              <w:left w:val="single" w:color="000000" w:sz="4" w:space="0"/>
              <w:bottom w:val="single" w:color="000000" w:sz="4" w:space="0"/>
              <w:right w:val="single" w:color="000000" w:sz="4" w:space="0"/>
            </w:tcBorders>
            <w:noWrap/>
            <w:vAlign w:val="center"/>
          </w:tcPr>
          <w:p w14:paraId="0F201850">
            <w:pPr>
              <w:adjustRightInd w:val="0"/>
              <w:snapToGrid w:val="0"/>
              <w:ind w:firstLine="0" w:firstLineChars="0"/>
              <w:jc w:val="center"/>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4</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04C6221F">
            <w:pPr>
              <w:adjustRightInd w:val="0"/>
              <w:snapToGrid w:val="0"/>
              <w:ind w:firstLine="0" w:firstLineChars="0"/>
              <w:rPr>
                <w:rFonts w:hint="eastAsia" w:cs="仿宋_GB2312" w:asciiTheme="majorEastAsia" w:hAnsiTheme="majorEastAsia" w:eastAsiaTheme="majorEastAsia"/>
                <w:szCs w:val="21"/>
              </w:rPr>
            </w:pPr>
            <w:r>
              <w:rPr>
                <w:rFonts w:hint="eastAsia" w:cs="仿宋_GB2312" w:asciiTheme="majorEastAsia" w:hAnsiTheme="majorEastAsia" w:eastAsiaTheme="majorEastAsia"/>
                <w:szCs w:val="21"/>
              </w:rPr>
              <w:t>套</w:t>
            </w:r>
          </w:p>
        </w:tc>
      </w:tr>
    </w:tbl>
    <w:p w14:paraId="41B3E84D">
      <w:pPr>
        <w:ind w:firstLine="0" w:firstLineChars="0"/>
        <w:rPr>
          <w:rFonts w:hint="eastAsia" w:asciiTheme="minorEastAsia" w:hAnsiTheme="minorEastAsia" w:eastAsiaTheme="minorEastAsia"/>
        </w:rPr>
      </w:pPr>
      <w:r>
        <w:rPr>
          <w:rFonts w:hint="eastAsia" w:asciiTheme="minorEastAsia" w:hAnsiTheme="minorEastAsia" w:eastAsiaTheme="minorEastAsia"/>
        </w:rPr>
        <w:t>备注：中标</w:t>
      </w:r>
      <w:r>
        <w:rPr>
          <w:rFonts w:hint="eastAsia" w:asciiTheme="minorEastAsia" w:hAnsiTheme="minorEastAsia" w:eastAsiaTheme="minorEastAsia"/>
          <w:lang w:eastAsia="zh-CN"/>
        </w:rPr>
        <w:t>投标人</w:t>
      </w:r>
      <w:r>
        <w:rPr>
          <w:rFonts w:hint="eastAsia" w:asciiTheme="minorEastAsia" w:hAnsiTheme="minorEastAsia" w:eastAsiaTheme="minorEastAsia"/>
        </w:rPr>
        <w:t>应合理利用上述电子政务云资源进行系统的安装和部署，具体电子政务云资源以实际批复为准。</w:t>
      </w:r>
    </w:p>
    <w:p w14:paraId="4F8C6003">
      <w:pPr>
        <w:pStyle w:val="2"/>
        <w:rPr>
          <w:rFonts w:hint="eastAsia"/>
        </w:rPr>
      </w:pPr>
      <w:r>
        <w:rPr>
          <w:rFonts w:hint="eastAsia"/>
        </w:rPr>
        <w:t>其他工作要求</w:t>
      </w:r>
      <w:bookmarkEnd w:id="18"/>
    </w:p>
    <w:p w14:paraId="5F38EFB6">
      <w:pPr>
        <w:pStyle w:val="3"/>
        <w:rPr>
          <w:rFonts w:hint="eastAsia"/>
        </w:rPr>
      </w:pPr>
      <w:bookmarkStart w:id="19" w:name="_Toc63785505"/>
      <w:r>
        <w:rPr>
          <w:rFonts w:hint="eastAsia"/>
        </w:rPr>
        <w:t>售后服务要求</w:t>
      </w:r>
      <w:bookmarkEnd w:id="19"/>
    </w:p>
    <w:p w14:paraId="0F0B0A17">
      <w:pPr>
        <w:pStyle w:val="106"/>
        <w:snapToGrid w:val="0"/>
        <w:ind w:firstLine="480"/>
        <w:rPr>
          <w:rFonts w:hint="eastAsia"/>
          <w:sz w:val="24"/>
          <w:szCs w:val="24"/>
        </w:rPr>
      </w:pPr>
      <w:r>
        <w:rPr>
          <w:rFonts w:hint="eastAsia"/>
          <w:sz w:val="24"/>
          <w:szCs w:val="24"/>
        </w:rPr>
        <w:t>本项目从系统验收通过之日起1年内提供</w:t>
      </w:r>
      <w:r>
        <w:rPr>
          <w:sz w:val="24"/>
          <w:szCs w:val="24"/>
        </w:rPr>
        <w:t>7*24小时免费技术支持</w:t>
      </w:r>
      <w:r>
        <w:rPr>
          <w:rFonts w:hint="eastAsia"/>
          <w:sz w:val="24"/>
          <w:szCs w:val="24"/>
        </w:rPr>
        <w:t>和售后服务，1年后进入有偿维护期。</w:t>
      </w:r>
    </w:p>
    <w:p w14:paraId="64DED58D">
      <w:pPr>
        <w:pStyle w:val="106"/>
        <w:snapToGrid w:val="0"/>
        <w:ind w:firstLine="480"/>
        <w:rPr>
          <w:rFonts w:hint="eastAsia"/>
          <w:sz w:val="24"/>
          <w:szCs w:val="24"/>
        </w:rPr>
      </w:pPr>
      <w:r>
        <w:rPr>
          <w:rFonts w:hint="eastAsia"/>
          <w:sz w:val="24"/>
          <w:szCs w:val="24"/>
        </w:rPr>
        <w:t>在质量保证期内，</w:t>
      </w:r>
      <w:r>
        <w:rPr>
          <w:rFonts w:hint="eastAsia"/>
          <w:sz w:val="24"/>
          <w:szCs w:val="24"/>
          <w:lang w:eastAsia="zh-CN"/>
        </w:rPr>
        <w:t>投标人</w:t>
      </w:r>
      <w:r>
        <w:rPr>
          <w:rFonts w:hint="eastAsia"/>
          <w:sz w:val="24"/>
          <w:szCs w:val="24"/>
        </w:rPr>
        <w:t>将按照售后服务的承诺提供保修和运行维护服务，如果厂商对信息系统中软、硬件设备等产品中的部分保修期超过上述期限的，则按照厂商的规定进行免费保修。</w:t>
      </w:r>
    </w:p>
    <w:p w14:paraId="4BA6EC3A">
      <w:pPr>
        <w:pStyle w:val="106"/>
        <w:snapToGrid w:val="0"/>
        <w:ind w:firstLine="480"/>
        <w:rPr>
          <w:rFonts w:hint="eastAsia"/>
          <w:sz w:val="24"/>
          <w:szCs w:val="24"/>
        </w:rPr>
      </w:pPr>
      <w:r>
        <w:rPr>
          <w:rFonts w:hint="eastAsia"/>
          <w:sz w:val="24"/>
          <w:szCs w:val="24"/>
        </w:rPr>
        <w:t>在质量保证期内，</w:t>
      </w:r>
      <w:r>
        <w:rPr>
          <w:rFonts w:hint="eastAsia"/>
          <w:sz w:val="24"/>
          <w:szCs w:val="24"/>
          <w:lang w:eastAsia="zh-CN"/>
        </w:rPr>
        <w:t>投标人</w:t>
      </w:r>
      <w:r>
        <w:rPr>
          <w:rFonts w:hint="eastAsia"/>
          <w:sz w:val="24"/>
          <w:szCs w:val="24"/>
        </w:rPr>
        <w:t>负责信息系统的运行维护工作，确保信息系统安全、稳定、可靠地运行。本项目涉及的运行维护工作范围为：本次招标的功能范围。</w:t>
      </w:r>
    </w:p>
    <w:p w14:paraId="1F34B2C7">
      <w:pPr>
        <w:pStyle w:val="3"/>
        <w:rPr>
          <w:rFonts w:hint="eastAsia"/>
        </w:rPr>
      </w:pPr>
      <w:bookmarkStart w:id="20" w:name="_Toc63785506"/>
      <w:r>
        <w:rPr>
          <w:rFonts w:hint="eastAsia"/>
        </w:rPr>
        <w:t>应急响应要求</w:t>
      </w:r>
      <w:bookmarkEnd w:id="20"/>
    </w:p>
    <w:p w14:paraId="4218D80B">
      <w:pPr>
        <w:pStyle w:val="106"/>
        <w:snapToGrid w:val="0"/>
        <w:ind w:firstLine="480"/>
        <w:rPr>
          <w:rFonts w:hint="eastAsia"/>
          <w:sz w:val="24"/>
          <w:szCs w:val="24"/>
        </w:rPr>
      </w:pPr>
      <w:r>
        <w:rPr>
          <w:rFonts w:hint="eastAsia"/>
          <w:sz w:val="24"/>
          <w:szCs w:val="24"/>
          <w:lang w:eastAsia="zh-CN"/>
        </w:rPr>
        <w:t>投标人</w:t>
      </w:r>
      <w:r>
        <w:rPr>
          <w:rFonts w:hint="eastAsia"/>
          <w:sz w:val="24"/>
          <w:szCs w:val="24"/>
        </w:rPr>
        <w:t>对系统故障应能够实时响应，若系统发生故障，接到通知后30分钟之内响应，专业工程师2小时内到达现场。特殊故障与采购人沟通协商后，按照协商的方式制定解决方案并进行处理。</w:t>
      </w:r>
    </w:p>
    <w:p w14:paraId="44CBC913">
      <w:pPr>
        <w:pStyle w:val="106"/>
        <w:snapToGrid w:val="0"/>
        <w:ind w:firstLine="480"/>
        <w:rPr>
          <w:rFonts w:hint="eastAsia"/>
          <w:sz w:val="24"/>
          <w:szCs w:val="24"/>
        </w:rPr>
      </w:pPr>
      <w:r>
        <w:rPr>
          <w:rFonts w:hint="eastAsia"/>
          <w:sz w:val="24"/>
          <w:szCs w:val="24"/>
        </w:rPr>
        <w:t>具体故障级别及对应的应急响应要求如下：</w:t>
      </w:r>
    </w:p>
    <w:p w14:paraId="139F5B05">
      <w:pPr>
        <w:pStyle w:val="106"/>
        <w:snapToGrid w:val="0"/>
        <w:ind w:firstLine="480"/>
        <w:rPr>
          <w:rFonts w:hint="eastAsia"/>
          <w:sz w:val="24"/>
          <w:szCs w:val="24"/>
        </w:rPr>
      </w:pPr>
      <w:r>
        <w:rPr>
          <w:rFonts w:hint="eastAsia"/>
          <w:sz w:val="24"/>
          <w:szCs w:val="24"/>
        </w:rPr>
        <w:t>一级故障：在1小时内确诊，总故障解决时间不超过4小时。</w:t>
      </w:r>
    </w:p>
    <w:p w14:paraId="0C8417C0">
      <w:pPr>
        <w:pStyle w:val="106"/>
        <w:snapToGrid w:val="0"/>
        <w:ind w:firstLine="480"/>
        <w:rPr>
          <w:rFonts w:hint="eastAsia"/>
          <w:sz w:val="24"/>
          <w:szCs w:val="24"/>
        </w:rPr>
      </w:pPr>
      <w:r>
        <w:rPr>
          <w:rFonts w:hint="eastAsia"/>
          <w:sz w:val="24"/>
          <w:szCs w:val="24"/>
        </w:rPr>
        <w:t>二级故障：在2小时内确诊，并在4小时内由专家到达现场确诊并解决，总故障解决时间不超过8小时；</w:t>
      </w:r>
    </w:p>
    <w:p w14:paraId="761B16D3">
      <w:pPr>
        <w:pStyle w:val="106"/>
        <w:snapToGrid w:val="0"/>
        <w:ind w:firstLine="480"/>
        <w:rPr>
          <w:rFonts w:hint="eastAsia"/>
          <w:sz w:val="24"/>
          <w:szCs w:val="24"/>
        </w:rPr>
      </w:pPr>
      <w:r>
        <w:rPr>
          <w:rFonts w:hint="eastAsia"/>
          <w:sz w:val="24"/>
          <w:szCs w:val="24"/>
        </w:rPr>
        <w:t>三、四级故障：在4小时内确诊故障，总故障解决时间不超过16小时。</w:t>
      </w:r>
    </w:p>
    <w:p w14:paraId="44D57B5C">
      <w:pPr>
        <w:pStyle w:val="106"/>
        <w:snapToGrid w:val="0"/>
        <w:ind w:firstLine="480"/>
        <w:rPr>
          <w:rFonts w:hint="eastAsia"/>
          <w:sz w:val="24"/>
          <w:szCs w:val="24"/>
        </w:rPr>
      </w:pPr>
      <w:r>
        <w:rPr>
          <w:rFonts w:hint="eastAsia"/>
          <w:sz w:val="24"/>
          <w:szCs w:val="24"/>
        </w:rPr>
        <w:t>依据故障时间及故障范围划分故障级别，故障级别分为四级，依次为Ⅰ级（紧急）、Ⅱ级（严重）、Ⅲ级（较大）和Ⅳ级（一般），分别定义如下：</w:t>
      </w:r>
    </w:p>
    <w:p w14:paraId="4924DAFB">
      <w:pPr>
        <w:pStyle w:val="106"/>
        <w:snapToGrid w:val="0"/>
        <w:ind w:firstLine="480"/>
        <w:rPr>
          <w:rFonts w:hint="eastAsia"/>
          <w:sz w:val="24"/>
          <w:szCs w:val="24"/>
        </w:rPr>
      </w:pPr>
      <w:r>
        <w:rPr>
          <w:rFonts w:hint="eastAsia"/>
          <w:sz w:val="24"/>
          <w:szCs w:val="24"/>
        </w:rPr>
        <w:t>Ⅰ级（紧急）故障为工作时间段（8:30——17:30）内大范围故障；</w:t>
      </w:r>
    </w:p>
    <w:p w14:paraId="2F7FBA48">
      <w:pPr>
        <w:pStyle w:val="106"/>
        <w:snapToGrid w:val="0"/>
        <w:ind w:firstLine="480"/>
        <w:rPr>
          <w:rFonts w:hint="eastAsia"/>
          <w:sz w:val="24"/>
          <w:szCs w:val="24"/>
        </w:rPr>
      </w:pPr>
      <w:r>
        <w:rPr>
          <w:rFonts w:hint="eastAsia"/>
          <w:sz w:val="24"/>
          <w:szCs w:val="24"/>
        </w:rPr>
        <w:t>Ⅱ级（严重）故障为非工作时间段（17:30——次日8:30）内大范围故障；</w:t>
      </w:r>
    </w:p>
    <w:p w14:paraId="18E82267">
      <w:pPr>
        <w:pStyle w:val="106"/>
        <w:snapToGrid w:val="0"/>
        <w:ind w:firstLine="480"/>
        <w:rPr>
          <w:rFonts w:hint="eastAsia"/>
          <w:sz w:val="24"/>
          <w:szCs w:val="24"/>
        </w:rPr>
      </w:pPr>
      <w:r>
        <w:rPr>
          <w:rFonts w:hint="eastAsia"/>
          <w:sz w:val="24"/>
          <w:szCs w:val="24"/>
        </w:rPr>
        <w:t>Ⅲ级（较大）故障为工作时间段（8:30——17:30）内小范围故障；</w:t>
      </w:r>
    </w:p>
    <w:p w14:paraId="20F6D7E0">
      <w:pPr>
        <w:pStyle w:val="106"/>
        <w:snapToGrid w:val="0"/>
        <w:ind w:firstLine="480"/>
        <w:rPr>
          <w:rFonts w:hint="eastAsia"/>
          <w:sz w:val="24"/>
          <w:szCs w:val="24"/>
        </w:rPr>
      </w:pPr>
      <w:r>
        <w:rPr>
          <w:rFonts w:hint="eastAsia"/>
          <w:sz w:val="24"/>
          <w:szCs w:val="24"/>
        </w:rPr>
        <w:t>Ⅳ级（一般）故障为非工作时间段（17:30——次日8:30）内小范围故障；</w:t>
      </w:r>
    </w:p>
    <w:p w14:paraId="7FE026C2">
      <w:pPr>
        <w:pStyle w:val="3"/>
        <w:rPr>
          <w:rFonts w:hint="eastAsia"/>
        </w:rPr>
      </w:pPr>
      <w:bookmarkStart w:id="21" w:name="_Toc63785507"/>
      <w:r>
        <w:rPr>
          <w:rFonts w:hint="eastAsia"/>
        </w:rPr>
        <w:t>网络与数据安全</w:t>
      </w:r>
    </w:p>
    <w:p w14:paraId="0AFA3AB2">
      <w:pPr>
        <w:ind w:firstLine="480"/>
        <w:rPr>
          <w:rFonts w:hint="eastAsia"/>
        </w:rPr>
      </w:pPr>
      <w:r>
        <w:rPr>
          <w:rFonts w:hint="eastAsia"/>
        </w:rPr>
        <w:t>(1)</w:t>
      </w:r>
      <w:r>
        <w:rPr>
          <w:rFonts w:hint="eastAsia"/>
          <w:lang w:eastAsia="zh-CN"/>
        </w:rPr>
        <w:t>投标人</w:t>
      </w:r>
      <w:r>
        <w:rPr>
          <w:rFonts w:hint="eastAsia"/>
        </w:rPr>
        <w:t>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00804310">
      <w:pPr>
        <w:ind w:firstLine="480"/>
        <w:rPr>
          <w:rFonts w:hint="eastAsia"/>
        </w:rPr>
      </w:pPr>
      <w:r>
        <w:rPr>
          <w:rFonts w:hint="eastAsia"/>
        </w:rPr>
        <w:t>(2)</w:t>
      </w:r>
      <w:r>
        <w:rPr>
          <w:rFonts w:hint="eastAsia"/>
          <w:lang w:eastAsia="zh-CN"/>
        </w:rPr>
        <w:t>投标人</w:t>
      </w:r>
      <w:r>
        <w:rPr>
          <w:rFonts w:hint="eastAsia"/>
        </w:rPr>
        <w:t>应配合采购人开展相关安全制度和规范的制定，并根据项目实际，制定项目实施过程安全管理方案。</w:t>
      </w:r>
    </w:p>
    <w:p w14:paraId="2DB95D31">
      <w:pPr>
        <w:ind w:firstLine="480"/>
        <w:rPr>
          <w:rFonts w:hint="eastAsia"/>
        </w:rPr>
      </w:pPr>
      <w:r>
        <w:rPr>
          <w:rFonts w:hint="eastAsia"/>
        </w:rPr>
        <w:t>(3)</w:t>
      </w:r>
      <w:r>
        <w:rPr>
          <w:rFonts w:hint="eastAsia"/>
          <w:lang w:eastAsia="zh-CN"/>
        </w:rPr>
        <w:t>投标人</w:t>
      </w:r>
      <w:r>
        <w:rPr>
          <w:rFonts w:hint="eastAsia"/>
        </w:rPr>
        <w:t>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14:paraId="1AE3A460">
      <w:pPr>
        <w:ind w:firstLine="480"/>
        <w:rPr>
          <w:rFonts w:hint="eastAsia"/>
        </w:rPr>
      </w:pPr>
      <w:r>
        <w:rPr>
          <w:rFonts w:hint="eastAsia"/>
        </w:rPr>
        <w:t>(4)</w:t>
      </w:r>
      <w:r>
        <w:rPr>
          <w:rFonts w:hint="eastAsia"/>
          <w:lang w:eastAsia="zh-CN"/>
        </w:rPr>
        <w:t>投标人</w:t>
      </w:r>
      <w:r>
        <w:rPr>
          <w:rFonts w:hint="eastAsia"/>
        </w:rPr>
        <w:t>应在项目实施过程中，推动安全开发控制工作的实施，按照安全设计方案和采购人安全开发要求，落实安全开发规范，确保代码质量和安全性。</w:t>
      </w:r>
      <w:r>
        <w:rPr>
          <w:rFonts w:hint="eastAsia"/>
          <w:lang w:eastAsia="zh-CN"/>
        </w:rPr>
        <w:t>投标人</w:t>
      </w:r>
      <w:r>
        <w:rPr>
          <w:rFonts w:hint="eastAsia"/>
        </w:rPr>
        <w:t>应确保系统开发及生产环境安全，落实安全管理策略及安全配置。</w:t>
      </w:r>
    </w:p>
    <w:p w14:paraId="67C59AC9">
      <w:pPr>
        <w:ind w:firstLine="480"/>
        <w:rPr>
          <w:rFonts w:hint="eastAsia"/>
        </w:rPr>
      </w:pPr>
      <w:r>
        <w:rPr>
          <w:rFonts w:hint="eastAsia"/>
        </w:rPr>
        <w:t>(5)</w:t>
      </w:r>
      <w:r>
        <w:rPr>
          <w:rFonts w:hint="eastAsia"/>
          <w:lang w:eastAsia="zh-CN"/>
        </w:rPr>
        <w:t>投标人</w:t>
      </w:r>
      <w:r>
        <w:rPr>
          <w:rFonts w:hint="eastAsia"/>
        </w:rPr>
        <w:t>应在项目实施过程中，按照数据差异化安全防护策略，根据系统需要采取数据加密、数据访问控制、日志记录、流转监测等防护能力及相关管理流程，切实保障数据安全。</w:t>
      </w:r>
    </w:p>
    <w:p w14:paraId="0323EBB1">
      <w:pPr>
        <w:ind w:firstLine="480"/>
        <w:rPr>
          <w:rFonts w:hint="eastAsia"/>
        </w:rPr>
      </w:pPr>
      <w:r>
        <w:rPr>
          <w:rFonts w:hint="eastAsia"/>
        </w:rPr>
        <w:t>(6)</w:t>
      </w:r>
      <w:r>
        <w:rPr>
          <w:rFonts w:hint="eastAsia"/>
          <w:lang w:eastAsia="zh-CN"/>
        </w:rPr>
        <w:t>投标人</w:t>
      </w:r>
      <w:r>
        <w:rPr>
          <w:rFonts w:hint="eastAsia"/>
        </w:rPr>
        <w:t>应按照采购人场地及人员安全管理制度，加强人员管理，配合采购人落实人员背调、入离场、终端管理、网络限制、数据权限最小化等管控措施。</w:t>
      </w:r>
    </w:p>
    <w:p w14:paraId="3109DF51">
      <w:pPr>
        <w:ind w:firstLine="480"/>
        <w:rPr>
          <w:rFonts w:hint="eastAsia"/>
        </w:rPr>
      </w:pPr>
      <w:r>
        <w:rPr>
          <w:rFonts w:hint="eastAsia"/>
        </w:rPr>
        <w:t>(7)</w:t>
      </w:r>
      <w:r>
        <w:rPr>
          <w:rFonts w:hint="eastAsia"/>
          <w:lang w:eastAsia="zh-CN"/>
        </w:rPr>
        <w:t>投标人</w:t>
      </w:r>
      <w:r>
        <w:rPr>
          <w:rFonts w:hint="eastAsia"/>
        </w:rPr>
        <w:t>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14:paraId="3679F06A">
      <w:pPr>
        <w:ind w:firstLine="480"/>
        <w:rPr>
          <w:rFonts w:hint="eastAsia"/>
        </w:rPr>
      </w:pPr>
      <w:r>
        <w:rPr>
          <w:rFonts w:hint="eastAsia"/>
        </w:rPr>
        <w:t>(8)</w:t>
      </w:r>
      <w:r>
        <w:rPr>
          <w:rFonts w:hint="eastAsia"/>
          <w:lang w:eastAsia="zh-CN"/>
        </w:rPr>
        <w:t>投标人</w:t>
      </w:r>
      <w:r>
        <w:rPr>
          <w:rFonts w:hint="eastAsia"/>
        </w:rPr>
        <w:t>应在系统免维期内承担系统安全运维管理责任，落实安全管理保障措施，包括但不限于制度修订、风险排查、应急响应、漏洞修复、重保等工作。</w:t>
      </w:r>
    </w:p>
    <w:p w14:paraId="08A72F68">
      <w:pPr>
        <w:pStyle w:val="3"/>
        <w:rPr>
          <w:rFonts w:hint="eastAsia"/>
        </w:rPr>
      </w:pPr>
      <w:r>
        <w:rPr>
          <w:rFonts w:hint="eastAsia"/>
        </w:rPr>
        <w:t>培训要求</w:t>
      </w:r>
      <w:bookmarkEnd w:id="21"/>
    </w:p>
    <w:p w14:paraId="6459234E">
      <w:pPr>
        <w:ind w:firstLine="480"/>
        <w:rPr>
          <w:rFonts w:hint="eastAsia"/>
        </w:rPr>
      </w:pPr>
      <w:r>
        <w:rPr>
          <w:rFonts w:hint="eastAsia"/>
        </w:rPr>
        <w:t>对系统使用单位提供业务操作培训，应提供详细培训方案。</w:t>
      </w:r>
    </w:p>
    <w:p w14:paraId="44C1F7F6">
      <w:pPr>
        <w:ind w:firstLine="480"/>
        <w:rPr>
          <w:rFonts w:hint="eastAsia"/>
        </w:rPr>
      </w:pPr>
      <w:r>
        <w:rPr>
          <w:rFonts w:hint="eastAsia"/>
        </w:rPr>
        <w:t>(1)在12个月的质量保证期内，提供不少于4次与项目相关的必要培训。</w:t>
      </w:r>
    </w:p>
    <w:p w14:paraId="10572771">
      <w:pPr>
        <w:ind w:firstLine="480"/>
        <w:rPr>
          <w:rFonts w:hint="eastAsia"/>
        </w:rPr>
      </w:pPr>
      <w:r>
        <w:rPr>
          <w:rFonts w:hint="eastAsia"/>
        </w:rPr>
        <w:t>(2)</w:t>
      </w:r>
      <w:r>
        <w:rPr>
          <w:rFonts w:hint="eastAsia"/>
          <w:lang w:eastAsia="zh-CN"/>
        </w:rPr>
        <w:t>投标人</w:t>
      </w:r>
      <w:r>
        <w:rPr>
          <w:rFonts w:hint="eastAsia"/>
        </w:rPr>
        <w:t>需要开展分层次的人员培训工作，每次培训后应对参加培训人员进行测试，评估培训成果。培训应具有培训教材、培训环境和高水平的培训讲师。</w:t>
      </w:r>
    </w:p>
    <w:p w14:paraId="4CB29534">
      <w:pPr>
        <w:ind w:firstLine="480"/>
        <w:rPr>
          <w:rFonts w:hint="eastAsia"/>
        </w:rPr>
      </w:pPr>
      <w:r>
        <w:rPr>
          <w:rFonts w:hint="eastAsia"/>
        </w:rPr>
        <w:t>(3)</w:t>
      </w:r>
      <w:r>
        <w:rPr>
          <w:rFonts w:hint="eastAsia"/>
          <w:lang w:eastAsia="zh-CN"/>
        </w:rPr>
        <w:t>投标人</w:t>
      </w:r>
      <w:r>
        <w:rPr>
          <w:rFonts w:hint="eastAsia"/>
        </w:rPr>
        <w:t>应提供一般用户的基础操作培训和部门信息管理员的日常应用维护的培训，确保用户对象能够掌握对应的操作技能。</w:t>
      </w:r>
    </w:p>
    <w:p w14:paraId="021C2140">
      <w:pPr>
        <w:pStyle w:val="3"/>
        <w:rPr>
          <w:rFonts w:hint="eastAsia"/>
        </w:rPr>
      </w:pPr>
      <w:bookmarkStart w:id="22" w:name="_Toc63785508"/>
      <w:r>
        <w:rPr>
          <w:rFonts w:hint="eastAsia"/>
        </w:rPr>
        <w:t>验收要求</w:t>
      </w:r>
      <w:bookmarkEnd w:id="22"/>
    </w:p>
    <w:p w14:paraId="508EBB3E">
      <w:pPr>
        <w:ind w:firstLine="480"/>
        <w:rPr>
          <w:rFonts w:hint="eastAsia"/>
          <w:szCs w:val="21"/>
        </w:rPr>
      </w:pPr>
      <w:r>
        <w:rPr>
          <w:rFonts w:hint="eastAsia"/>
          <w:szCs w:val="21"/>
        </w:rPr>
        <w:t>本项目按下述方式开展验收。</w:t>
      </w:r>
    </w:p>
    <w:p w14:paraId="6C27434E">
      <w:pPr>
        <w:ind w:firstLine="480"/>
        <w:rPr>
          <w:rFonts w:hint="eastAsia"/>
          <w:szCs w:val="21"/>
        </w:rPr>
      </w:pPr>
      <w:r>
        <w:rPr>
          <w:rFonts w:hint="eastAsia"/>
          <w:szCs w:val="21"/>
        </w:rPr>
        <w:t>（</w:t>
      </w:r>
      <w:r>
        <w:rPr>
          <w:szCs w:val="21"/>
        </w:rPr>
        <w:t>1）</w:t>
      </w:r>
      <w:r>
        <w:rPr>
          <w:rFonts w:hint="eastAsia"/>
          <w:szCs w:val="21"/>
        </w:rPr>
        <w:t>功能建设完成后，开展系统培训，经</w:t>
      </w:r>
      <w:r>
        <w:rPr>
          <w:rFonts w:hint="eastAsia"/>
          <w:szCs w:val="21"/>
          <w:lang w:eastAsia="zh-CN"/>
        </w:rPr>
        <w:t>采购人</w:t>
      </w:r>
      <w:r>
        <w:rPr>
          <w:rFonts w:hint="eastAsia"/>
          <w:szCs w:val="21"/>
        </w:rPr>
        <w:t>确认的上线试运行之日起</w:t>
      </w:r>
      <w:r>
        <w:rPr>
          <w:szCs w:val="21"/>
        </w:rPr>
        <w:t>，</w:t>
      </w:r>
      <w:r>
        <w:rPr>
          <w:rFonts w:hint="eastAsia"/>
          <w:szCs w:val="21"/>
          <w:lang w:eastAsia="zh-CN"/>
        </w:rPr>
        <w:t>采购人</w:t>
      </w:r>
      <w:r>
        <w:rPr>
          <w:szCs w:val="21"/>
        </w:rPr>
        <w:t>享有</w:t>
      </w:r>
      <w:r>
        <w:rPr>
          <w:rFonts w:hint="eastAsia"/>
          <w:szCs w:val="21"/>
          <w:lang w:eastAsia="zh-CN"/>
        </w:rPr>
        <w:t>投标人</w:t>
      </w:r>
      <w:r>
        <w:rPr>
          <w:szCs w:val="21"/>
        </w:rPr>
        <w:t>免费提供的</w:t>
      </w:r>
      <w:r>
        <w:rPr>
          <w:rFonts w:hint="eastAsia"/>
          <w:szCs w:val="21"/>
        </w:rPr>
        <w:t>30</w:t>
      </w:r>
      <w:r>
        <w:rPr>
          <w:szCs w:val="21"/>
        </w:rPr>
        <w:t>天的信息系统试运行现场驻场服务期。该期间内，</w:t>
      </w:r>
      <w:r>
        <w:rPr>
          <w:rFonts w:hint="eastAsia"/>
          <w:szCs w:val="21"/>
          <w:lang w:eastAsia="zh-CN"/>
        </w:rPr>
        <w:t>投标人</w:t>
      </w:r>
      <w:r>
        <w:rPr>
          <w:szCs w:val="21"/>
        </w:rPr>
        <w:t>应当按照</w:t>
      </w:r>
      <w:r>
        <w:rPr>
          <w:rFonts w:hint="eastAsia"/>
          <w:szCs w:val="21"/>
          <w:lang w:eastAsia="zh-CN"/>
        </w:rPr>
        <w:t>采购人</w:t>
      </w:r>
      <w:r>
        <w:rPr>
          <w:szCs w:val="21"/>
        </w:rPr>
        <w:t>的要求提供现场技术支持服务，解决信息系统试运行期间可能出现的各类问题，或进一步提高与完善信息系统运行水平。</w:t>
      </w:r>
    </w:p>
    <w:p w14:paraId="41A5D1B3">
      <w:pPr>
        <w:ind w:firstLine="480"/>
        <w:rPr>
          <w:rFonts w:hint="eastAsia"/>
          <w:szCs w:val="21"/>
        </w:rPr>
      </w:pPr>
      <w:r>
        <w:rPr>
          <w:rFonts w:hint="eastAsia"/>
          <w:szCs w:val="21"/>
        </w:rPr>
        <w:t>（2</w:t>
      </w:r>
      <w:r>
        <w:rPr>
          <w:szCs w:val="21"/>
        </w:rPr>
        <w:t>）系统试运行期已经达到本项目约定的时间，经</w:t>
      </w:r>
      <w:r>
        <w:rPr>
          <w:rFonts w:hint="eastAsia"/>
          <w:szCs w:val="21"/>
          <w:lang w:eastAsia="zh-CN"/>
        </w:rPr>
        <w:t>投标人</w:t>
      </w:r>
      <w:r>
        <w:rPr>
          <w:szCs w:val="21"/>
        </w:rPr>
        <w:t>确认信息系统具备正常运行条件，且信息系统通过运行测试，</w:t>
      </w:r>
      <w:r>
        <w:rPr>
          <w:rFonts w:hint="eastAsia"/>
          <w:szCs w:val="21"/>
          <w:lang w:eastAsia="zh-CN"/>
        </w:rPr>
        <w:t>投标人</w:t>
      </w:r>
      <w:r>
        <w:rPr>
          <w:szCs w:val="21"/>
        </w:rPr>
        <w:t>应以书面形式通知</w:t>
      </w:r>
      <w:r>
        <w:rPr>
          <w:rFonts w:hint="eastAsia"/>
          <w:szCs w:val="21"/>
          <w:lang w:eastAsia="zh-CN"/>
        </w:rPr>
        <w:t>采购人</w:t>
      </w:r>
      <w:r>
        <w:rPr>
          <w:szCs w:val="21"/>
        </w:rPr>
        <w:t>信息系统已准备就绪等待终验。</w:t>
      </w:r>
      <w:r>
        <w:rPr>
          <w:rFonts w:hint="eastAsia"/>
          <w:szCs w:val="21"/>
          <w:lang w:eastAsia="zh-CN"/>
        </w:rPr>
        <w:t>采购人</w:t>
      </w:r>
      <w:r>
        <w:rPr>
          <w:szCs w:val="21"/>
        </w:rPr>
        <w:t>在收到终验通知后的</w:t>
      </w:r>
      <w:r>
        <w:rPr>
          <w:rFonts w:hint="eastAsia"/>
          <w:szCs w:val="21"/>
        </w:rPr>
        <w:t>20</w:t>
      </w:r>
      <w:r>
        <w:rPr>
          <w:szCs w:val="21"/>
        </w:rPr>
        <w:t>个工作日内发起组织专家验收会。</w:t>
      </w:r>
    </w:p>
    <w:p w14:paraId="7721DD6D">
      <w:pPr>
        <w:ind w:firstLine="480"/>
        <w:rPr>
          <w:rFonts w:hint="eastAsia"/>
          <w:szCs w:val="21"/>
        </w:rPr>
      </w:pPr>
      <w:r>
        <w:rPr>
          <w:rFonts w:hint="eastAsia"/>
          <w:szCs w:val="21"/>
        </w:rPr>
        <w:t>（3</w:t>
      </w:r>
      <w:r>
        <w:rPr>
          <w:szCs w:val="21"/>
        </w:rPr>
        <w:t>）如果属于</w:t>
      </w:r>
      <w:r>
        <w:rPr>
          <w:rFonts w:hint="eastAsia"/>
          <w:szCs w:val="21"/>
          <w:lang w:eastAsia="zh-CN"/>
        </w:rPr>
        <w:t>投标人</w:t>
      </w:r>
      <w:r>
        <w:rPr>
          <w:szCs w:val="21"/>
        </w:rPr>
        <w:t>原因致使本项目未能通过终验，</w:t>
      </w:r>
      <w:r>
        <w:rPr>
          <w:rFonts w:hint="eastAsia"/>
          <w:szCs w:val="21"/>
          <w:lang w:eastAsia="zh-CN"/>
        </w:rPr>
        <w:t>投标人</w:t>
      </w:r>
      <w:r>
        <w:rPr>
          <w:szCs w:val="21"/>
        </w:rPr>
        <w:t>应当排除缺陷，直至本项目完全符合验收标准，由上述情形而产生的相关费用应由</w:t>
      </w:r>
      <w:r>
        <w:rPr>
          <w:rFonts w:hint="eastAsia"/>
          <w:szCs w:val="21"/>
          <w:lang w:eastAsia="zh-CN"/>
        </w:rPr>
        <w:t>投标人</w:t>
      </w:r>
      <w:r>
        <w:rPr>
          <w:szCs w:val="21"/>
        </w:rPr>
        <w:t>自行承担。</w:t>
      </w:r>
    </w:p>
    <w:p w14:paraId="176392D9">
      <w:pPr>
        <w:ind w:firstLine="480"/>
        <w:rPr>
          <w:rFonts w:hint="eastAsia"/>
          <w:szCs w:val="21"/>
        </w:rPr>
      </w:pPr>
      <w:r>
        <w:rPr>
          <w:rFonts w:hint="eastAsia"/>
          <w:szCs w:val="21"/>
        </w:rPr>
        <w:t>（4</w:t>
      </w:r>
      <w:r>
        <w:rPr>
          <w:szCs w:val="21"/>
        </w:rPr>
        <w:t>）如果由于</w:t>
      </w:r>
      <w:r>
        <w:rPr>
          <w:rFonts w:hint="eastAsia"/>
          <w:szCs w:val="21"/>
          <w:lang w:eastAsia="zh-CN"/>
        </w:rPr>
        <w:t>采购人</w:t>
      </w:r>
      <w:r>
        <w:rPr>
          <w:szCs w:val="21"/>
        </w:rPr>
        <w:t>原因导致本项目在终验通过前出现故障或问题，</w:t>
      </w:r>
      <w:r>
        <w:rPr>
          <w:rFonts w:hint="eastAsia"/>
          <w:szCs w:val="21"/>
          <w:lang w:eastAsia="zh-CN"/>
        </w:rPr>
        <w:t>投标人</w:t>
      </w:r>
      <w:r>
        <w:rPr>
          <w:szCs w:val="21"/>
        </w:rPr>
        <w:t>应及时配合排除该方面的故障或问题。</w:t>
      </w:r>
    </w:p>
    <w:p w14:paraId="5AF174B9">
      <w:pPr>
        <w:ind w:firstLine="480"/>
        <w:rPr>
          <w:rFonts w:hint="eastAsia"/>
          <w:szCs w:val="21"/>
        </w:rPr>
      </w:pPr>
      <w:r>
        <w:rPr>
          <w:rFonts w:hint="eastAsia"/>
          <w:szCs w:val="21"/>
        </w:rPr>
        <w:t>（5</w:t>
      </w:r>
      <w:r>
        <w:rPr>
          <w:szCs w:val="21"/>
        </w:rPr>
        <w:t>）如本项目连续3次验收未通过（含初验未通过或终验未通过），</w:t>
      </w:r>
      <w:r>
        <w:rPr>
          <w:rFonts w:hint="eastAsia"/>
          <w:szCs w:val="21"/>
          <w:lang w:eastAsia="zh-CN"/>
        </w:rPr>
        <w:t>采购人</w:t>
      </w:r>
      <w:r>
        <w:rPr>
          <w:szCs w:val="21"/>
        </w:rPr>
        <w:t>有权解除项目，并有权依照本项目约定的违约条款追究</w:t>
      </w:r>
      <w:r>
        <w:rPr>
          <w:rFonts w:hint="eastAsia"/>
          <w:szCs w:val="21"/>
          <w:lang w:eastAsia="zh-CN"/>
        </w:rPr>
        <w:t>投标人</w:t>
      </w:r>
      <w:r>
        <w:rPr>
          <w:szCs w:val="21"/>
        </w:rPr>
        <w:t>的违约责任。</w:t>
      </w:r>
    </w:p>
    <w:p w14:paraId="4091AF55">
      <w:pPr>
        <w:pStyle w:val="3"/>
        <w:rPr>
          <w:rFonts w:hint="eastAsia"/>
        </w:rPr>
      </w:pPr>
      <w:bookmarkStart w:id="23" w:name="_Toc63785509"/>
      <w:r>
        <w:rPr>
          <w:rFonts w:hint="eastAsia"/>
        </w:rPr>
        <w:t>进度要求</w:t>
      </w:r>
      <w:bookmarkEnd w:id="23"/>
    </w:p>
    <w:p w14:paraId="1DCE8F30">
      <w:pPr>
        <w:ind w:firstLine="480"/>
        <w:rPr>
          <w:rFonts w:hint="eastAsia" w:asciiTheme="minorEastAsia" w:hAnsiTheme="minorEastAsia" w:eastAsiaTheme="minorEastAsia"/>
        </w:rPr>
      </w:pPr>
      <w:r>
        <w:rPr>
          <w:rFonts w:hint="eastAsia" w:asciiTheme="minorEastAsia" w:hAnsiTheme="minorEastAsia" w:eastAsiaTheme="minorEastAsia"/>
        </w:rPr>
        <w:t>投标人应根据建设内容，分阶段制定合理的时间进度，并且应根据</w:t>
      </w:r>
      <w:r>
        <w:rPr>
          <w:rFonts w:hint="eastAsia" w:asciiTheme="minorEastAsia" w:hAnsiTheme="minorEastAsia" w:eastAsiaTheme="minorEastAsia"/>
          <w:lang w:eastAsia="zh-CN"/>
        </w:rPr>
        <w:t>采购人</w:t>
      </w:r>
      <w:r>
        <w:rPr>
          <w:rFonts w:hint="eastAsia" w:asciiTheme="minorEastAsia" w:hAnsiTheme="minorEastAsia" w:eastAsiaTheme="minorEastAsia"/>
        </w:rPr>
        <w:t>要求进行调整和细化。</w:t>
      </w:r>
    </w:p>
    <w:p w14:paraId="59EBB3B5">
      <w:pPr>
        <w:ind w:firstLine="480" w:firstLineChars="0"/>
        <w:rPr>
          <w:rFonts w:hint="eastAsia" w:asciiTheme="minorEastAsia" w:hAnsiTheme="minorEastAsia" w:eastAsiaTheme="minorEastAsia"/>
        </w:rPr>
      </w:pPr>
      <w:r>
        <w:rPr>
          <w:rFonts w:hint="eastAsia" w:asciiTheme="minorEastAsia" w:hAnsiTheme="minorEastAsia" w:eastAsiaTheme="minorEastAsia"/>
        </w:rPr>
        <w:t>本项目建设周期预计为7个月。项目建设分为以下5个阶段，分别为：</w:t>
      </w:r>
    </w:p>
    <w:p w14:paraId="669A32C0">
      <w:pPr>
        <w:pStyle w:val="61"/>
        <w:numPr>
          <w:ilvl w:val="0"/>
          <w:numId w:val="4"/>
        </w:numPr>
        <w:ind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第一阶段：系统整体设计，预期时间1个月；</w:t>
      </w:r>
    </w:p>
    <w:p w14:paraId="6E0E1E1C">
      <w:pPr>
        <w:pStyle w:val="61"/>
        <w:numPr>
          <w:ilvl w:val="0"/>
          <w:numId w:val="4"/>
        </w:numPr>
        <w:ind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第二阶段：系统建设，预期时间3个月；</w:t>
      </w:r>
    </w:p>
    <w:p w14:paraId="3F45915D">
      <w:pPr>
        <w:pStyle w:val="61"/>
        <w:numPr>
          <w:ilvl w:val="0"/>
          <w:numId w:val="4"/>
        </w:numPr>
        <w:ind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第三阶段：系统测试，预期时间1个月；</w:t>
      </w:r>
    </w:p>
    <w:p w14:paraId="4E5DB709">
      <w:pPr>
        <w:pStyle w:val="61"/>
        <w:numPr>
          <w:ilvl w:val="0"/>
          <w:numId w:val="4"/>
        </w:numPr>
        <w:ind w:firstLineChars="0"/>
        <w:rPr>
          <w:rFonts w:hint="eastAsia" w:asciiTheme="minorEastAsia" w:hAnsiTheme="minorEastAsia" w:eastAsiaTheme="minorEastAsia"/>
          <w:kern w:val="0"/>
          <w:sz w:val="24"/>
        </w:rPr>
      </w:pPr>
      <w:r>
        <w:rPr>
          <w:rFonts w:hint="eastAsia" w:asciiTheme="minorEastAsia" w:hAnsiTheme="minorEastAsia" w:eastAsiaTheme="minorEastAsia"/>
          <w:kern w:val="0"/>
          <w:sz w:val="24"/>
        </w:rPr>
        <w:t>第四阶段：系统试运行，预期时间1个月；</w:t>
      </w:r>
    </w:p>
    <w:p w14:paraId="13AB78BB">
      <w:pPr>
        <w:pStyle w:val="61"/>
        <w:numPr>
          <w:ilvl w:val="0"/>
          <w:numId w:val="4"/>
        </w:numPr>
        <w:ind w:firstLineChars="0"/>
        <w:rPr>
          <w:rFonts w:hint="eastAsia" w:asciiTheme="minorEastAsia" w:hAnsiTheme="minorEastAsia" w:eastAsiaTheme="minorEastAsia"/>
          <w:sz w:val="24"/>
        </w:rPr>
      </w:pPr>
      <w:r>
        <w:rPr>
          <w:rFonts w:hint="eastAsia" w:asciiTheme="minorEastAsia" w:hAnsiTheme="minorEastAsia" w:eastAsiaTheme="minorEastAsia"/>
          <w:kern w:val="0"/>
          <w:sz w:val="24"/>
        </w:rPr>
        <w:t>第五阶段：系统验收，预期时间1个月。</w:t>
      </w:r>
    </w:p>
    <w:p w14:paraId="7E0EA9FE">
      <w:pPr>
        <w:pStyle w:val="3"/>
        <w:ind w:left="0"/>
        <w:rPr>
          <w:rFonts w:hint="eastAsia"/>
        </w:rPr>
      </w:pPr>
      <w:bookmarkStart w:id="24" w:name="_Toc63785510"/>
      <w:r>
        <w:rPr>
          <w:rFonts w:hint="eastAsia"/>
        </w:rPr>
        <w:t>项目团队及驻场人员要求</w:t>
      </w:r>
      <w:bookmarkEnd w:id="24"/>
    </w:p>
    <w:p w14:paraId="68C13804">
      <w:pPr>
        <w:numPr>
          <w:ilvl w:val="0"/>
          <w:numId w:val="5"/>
        </w:numPr>
        <w:ind w:firstLine="480"/>
        <w:rPr>
          <w:rFonts w:hint="eastAsia"/>
          <w:highlight w:val="none"/>
        </w:rPr>
      </w:pPr>
      <w:r>
        <w:rPr>
          <w:highlight w:val="none"/>
        </w:rPr>
        <w:t>投标人须具有稳定的在职技术保障力量，能够提供及时的技术支援或服务，应针对本项目提供不少于</w:t>
      </w:r>
      <w:r>
        <w:rPr>
          <w:rFonts w:hint="eastAsia"/>
          <w:highlight w:val="none"/>
        </w:rPr>
        <w:t>16</w:t>
      </w:r>
      <w:r>
        <w:rPr>
          <w:highlight w:val="none"/>
        </w:rPr>
        <w:t>人的项目服务团队（包括项目经理、技术负责人、研发</w:t>
      </w:r>
      <w:r>
        <w:rPr>
          <w:rFonts w:hint="eastAsia"/>
          <w:highlight w:val="none"/>
        </w:rPr>
        <w:t>工程师</w:t>
      </w:r>
      <w:r>
        <w:rPr>
          <w:highlight w:val="none"/>
        </w:rPr>
        <w:t>等），</w:t>
      </w:r>
      <w:r>
        <w:rPr>
          <w:rFonts w:hint="eastAsia"/>
          <w:highlight w:val="none"/>
          <w:lang w:eastAsia="zh-CN"/>
        </w:rPr>
        <w:t>投标人</w:t>
      </w:r>
      <w:r>
        <w:rPr>
          <w:highlight w:val="none"/>
        </w:rPr>
        <w:t>的相关服务人员需具备相应的服务能力，需提供相关证明（最近一个季度依法缴纳社保费的证明）。</w:t>
      </w:r>
      <w:r>
        <w:rPr>
          <w:rFonts w:hint="eastAsia"/>
          <w:highlight w:val="none"/>
        </w:rPr>
        <w:t>建设期间提供不少于3人驻场。</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974"/>
        <w:gridCol w:w="937"/>
        <w:gridCol w:w="1262"/>
        <w:gridCol w:w="1219"/>
      </w:tblGrid>
      <w:tr w14:paraId="206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ign w:val="center"/>
          </w:tcPr>
          <w:p w14:paraId="0D860F32">
            <w:pPr>
              <w:spacing w:line="240" w:lineRule="auto"/>
              <w:ind w:firstLine="0" w:firstLineChars="0"/>
              <w:jc w:val="center"/>
              <w:rPr>
                <w:rFonts w:hint="eastAsia"/>
                <w:b/>
              </w:rPr>
            </w:pPr>
            <w:r>
              <w:rPr>
                <w:rFonts w:hint="eastAsia"/>
                <w:b/>
              </w:rPr>
              <w:t>角色</w:t>
            </w:r>
          </w:p>
        </w:tc>
        <w:tc>
          <w:tcPr>
            <w:tcW w:w="2974" w:type="dxa"/>
            <w:noWrap/>
            <w:vAlign w:val="center"/>
          </w:tcPr>
          <w:p w14:paraId="3B930D12">
            <w:pPr>
              <w:spacing w:line="240" w:lineRule="auto"/>
              <w:ind w:firstLine="0" w:firstLineChars="0"/>
              <w:jc w:val="center"/>
              <w:rPr>
                <w:rFonts w:hint="eastAsia"/>
                <w:b/>
              </w:rPr>
            </w:pPr>
            <w:r>
              <w:rPr>
                <w:rFonts w:hint="eastAsia"/>
                <w:b/>
              </w:rPr>
              <w:t>主要职责</w:t>
            </w:r>
          </w:p>
        </w:tc>
        <w:tc>
          <w:tcPr>
            <w:tcW w:w="937" w:type="dxa"/>
            <w:noWrap/>
            <w:vAlign w:val="center"/>
          </w:tcPr>
          <w:p w14:paraId="7DAE4898">
            <w:pPr>
              <w:spacing w:line="240" w:lineRule="auto"/>
              <w:ind w:firstLine="0" w:firstLineChars="0"/>
              <w:jc w:val="center"/>
              <w:rPr>
                <w:rFonts w:hint="eastAsia"/>
                <w:b/>
              </w:rPr>
            </w:pPr>
            <w:r>
              <w:rPr>
                <w:rFonts w:hint="eastAsia"/>
                <w:b/>
              </w:rPr>
              <w:t>人员数量</w:t>
            </w:r>
          </w:p>
        </w:tc>
        <w:tc>
          <w:tcPr>
            <w:tcW w:w="1276" w:type="dxa"/>
            <w:vAlign w:val="center"/>
          </w:tcPr>
          <w:p w14:paraId="0D8DA6B4">
            <w:pPr>
              <w:spacing w:line="240" w:lineRule="auto"/>
              <w:ind w:firstLine="0" w:firstLineChars="0"/>
              <w:jc w:val="center"/>
              <w:rPr>
                <w:rFonts w:hint="eastAsia"/>
                <w:b/>
              </w:rPr>
            </w:pPr>
            <w:r>
              <w:rPr>
                <w:rFonts w:hint="eastAsia"/>
                <w:b/>
              </w:rPr>
              <w:t>人员要求</w:t>
            </w:r>
          </w:p>
        </w:tc>
        <w:tc>
          <w:tcPr>
            <w:tcW w:w="1219" w:type="dxa"/>
            <w:shd w:val="clear" w:color="auto" w:fill="FFFFFF" w:themeFill="background1"/>
            <w:noWrap/>
            <w:vAlign w:val="center"/>
          </w:tcPr>
          <w:p w14:paraId="4389A6E3">
            <w:pPr>
              <w:spacing w:line="240" w:lineRule="auto"/>
              <w:ind w:firstLine="0" w:firstLineChars="0"/>
              <w:jc w:val="center"/>
              <w:rPr>
                <w:rFonts w:hint="eastAsia"/>
                <w:b/>
              </w:rPr>
            </w:pPr>
            <w:r>
              <w:rPr>
                <w:rFonts w:hint="eastAsia"/>
                <w:b/>
              </w:rPr>
              <w:t>驻场要求</w:t>
            </w:r>
          </w:p>
        </w:tc>
      </w:tr>
      <w:tr w14:paraId="36C1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ign w:val="center"/>
          </w:tcPr>
          <w:p w14:paraId="77BBDAE8">
            <w:pPr>
              <w:spacing w:line="240" w:lineRule="auto"/>
              <w:ind w:firstLine="0" w:firstLineChars="0"/>
              <w:jc w:val="center"/>
              <w:rPr>
                <w:rFonts w:hint="eastAsia" w:eastAsia="宋体"/>
                <w:lang w:eastAsia="zh-CN"/>
              </w:rPr>
            </w:pPr>
            <w:r>
              <w:rPr>
                <w:rFonts w:hint="eastAsia"/>
              </w:rPr>
              <w:t>项目经理</w:t>
            </w:r>
            <w:r>
              <w:rPr>
                <w:rFonts w:hint="eastAsia"/>
                <w:lang w:eastAsia="zh-CN"/>
              </w:rPr>
              <w:t>（开发）</w:t>
            </w:r>
          </w:p>
        </w:tc>
        <w:tc>
          <w:tcPr>
            <w:tcW w:w="2974" w:type="dxa"/>
            <w:vAlign w:val="center"/>
          </w:tcPr>
          <w:p w14:paraId="51984CB0">
            <w:pPr>
              <w:spacing w:line="240" w:lineRule="auto"/>
              <w:ind w:firstLine="0" w:firstLineChars="0"/>
              <w:jc w:val="center"/>
              <w:rPr>
                <w:rFonts w:hint="eastAsia"/>
              </w:rPr>
            </w:pPr>
            <w:r>
              <w:rPr>
                <w:rFonts w:hint="eastAsia"/>
              </w:rPr>
              <w:t>负责项目质量和进度控制</w:t>
            </w:r>
          </w:p>
        </w:tc>
        <w:tc>
          <w:tcPr>
            <w:tcW w:w="937" w:type="dxa"/>
            <w:noWrap/>
            <w:vAlign w:val="center"/>
          </w:tcPr>
          <w:p w14:paraId="36F5F42A">
            <w:pPr>
              <w:spacing w:line="240" w:lineRule="auto"/>
              <w:ind w:firstLine="0" w:firstLineChars="0"/>
              <w:jc w:val="center"/>
              <w:rPr>
                <w:rFonts w:hint="eastAsia"/>
              </w:rPr>
            </w:pPr>
            <w:r>
              <w:rPr>
                <w:rFonts w:hint="eastAsia"/>
              </w:rPr>
              <w:t>1人</w:t>
            </w:r>
          </w:p>
        </w:tc>
        <w:tc>
          <w:tcPr>
            <w:tcW w:w="1276" w:type="dxa"/>
            <w:vAlign w:val="center"/>
          </w:tcPr>
          <w:p w14:paraId="5D08B467">
            <w:pPr>
              <w:spacing w:line="240" w:lineRule="auto"/>
              <w:ind w:firstLine="0" w:firstLineChars="0"/>
              <w:jc w:val="center"/>
              <w:rPr>
                <w:rFonts w:hint="eastAsia"/>
              </w:rPr>
            </w:pPr>
            <w:bookmarkStart w:id="25" w:name="OLE_LINK15"/>
            <w:r>
              <w:rPr>
                <w:rFonts w:hint="eastAsia"/>
                <w:sz w:val="22"/>
                <w:szCs w:val="22"/>
              </w:rPr>
              <w:t>本科及以上学历</w:t>
            </w:r>
            <w:r>
              <w:rPr>
                <w:rFonts w:hint="eastAsia"/>
                <w:sz w:val="22"/>
                <w:szCs w:val="22"/>
                <w:lang w:eastAsia="zh-CN"/>
              </w:rPr>
              <w:t>，</w:t>
            </w:r>
            <w:r>
              <w:rPr>
                <w:rFonts w:hint="eastAsia"/>
              </w:rPr>
              <w:t>5年</w:t>
            </w:r>
            <w:r>
              <w:rPr>
                <w:rFonts w:hint="eastAsia"/>
                <w:lang w:eastAsia="zh-CN"/>
              </w:rPr>
              <w:t>及</w:t>
            </w:r>
            <w:r>
              <w:rPr>
                <w:rFonts w:hint="eastAsia"/>
              </w:rPr>
              <w:t>以上</w:t>
            </w:r>
            <w:r>
              <w:rPr>
                <w:rFonts w:hint="eastAsia"/>
                <w:lang w:eastAsia="zh-CN"/>
              </w:rPr>
              <w:t>软件开发</w:t>
            </w:r>
            <w:r>
              <w:rPr>
                <w:rFonts w:hint="eastAsia"/>
              </w:rPr>
              <w:t>项目</w:t>
            </w:r>
            <w:r>
              <w:rPr>
                <w:rFonts w:hint="eastAsia"/>
                <w:lang w:eastAsia="zh-CN"/>
              </w:rPr>
              <w:t>经理</w:t>
            </w:r>
            <w:r>
              <w:rPr>
                <w:rFonts w:hint="eastAsia"/>
              </w:rPr>
              <w:t>经验</w:t>
            </w:r>
            <w:bookmarkEnd w:id="25"/>
          </w:p>
        </w:tc>
        <w:tc>
          <w:tcPr>
            <w:tcW w:w="1219" w:type="dxa"/>
            <w:shd w:val="clear" w:color="auto" w:fill="FFFFFF" w:themeFill="background1"/>
            <w:noWrap/>
            <w:vAlign w:val="center"/>
          </w:tcPr>
          <w:p w14:paraId="0D7D2952">
            <w:pPr>
              <w:spacing w:line="240" w:lineRule="auto"/>
              <w:ind w:firstLine="0" w:firstLineChars="0"/>
              <w:jc w:val="center"/>
              <w:rPr>
                <w:rFonts w:hint="eastAsia"/>
              </w:rPr>
            </w:pPr>
            <w:r>
              <w:rPr>
                <w:rFonts w:hint="eastAsia"/>
              </w:rPr>
              <w:t>不驻场</w:t>
            </w:r>
          </w:p>
        </w:tc>
      </w:tr>
      <w:tr w14:paraId="1896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ign w:val="center"/>
          </w:tcPr>
          <w:p w14:paraId="66647E07">
            <w:pPr>
              <w:spacing w:line="240" w:lineRule="auto"/>
              <w:ind w:firstLine="0" w:firstLineChars="0"/>
              <w:jc w:val="center"/>
              <w:rPr>
                <w:rFonts w:hint="eastAsia"/>
              </w:rPr>
            </w:pPr>
            <w:r>
              <w:rPr>
                <w:rFonts w:hint="eastAsia"/>
              </w:rPr>
              <w:t>技术负责人</w:t>
            </w:r>
          </w:p>
        </w:tc>
        <w:tc>
          <w:tcPr>
            <w:tcW w:w="2974" w:type="dxa"/>
            <w:vAlign w:val="center"/>
          </w:tcPr>
          <w:p w14:paraId="721DBFD3">
            <w:pPr>
              <w:spacing w:line="240" w:lineRule="auto"/>
              <w:ind w:firstLine="0" w:firstLineChars="0"/>
              <w:jc w:val="center"/>
              <w:rPr>
                <w:rFonts w:hint="eastAsia"/>
              </w:rPr>
            </w:pPr>
            <w:r>
              <w:rPr>
                <w:rFonts w:hint="eastAsia" w:asciiTheme="minorEastAsia" w:hAnsiTheme="minorEastAsia" w:eastAsiaTheme="minorEastAsia"/>
              </w:rPr>
              <w:t>负责项目开发技术团队及安全管理</w:t>
            </w:r>
          </w:p>
        </w:tc>
        <w:tc>
          <w:tcPr>
            <w:tcW w:w="937" w:type="dxa"/>
            <w:noWrap/>
            <w:vAlign w:val="center"/>
          </w:tcPr>
          <w:p w14:paraId="18D9D981">
            <w:pPr>
              <w:spacing w:line="240" w:lineRule="auto"/>
              <w:ind w:firstLine="0" w:firstLineChars="0"/>
              <w:jc w:val="center"/>
              <w:rPr>
                <w:rFonts w:hint="eastAsia"/>
              </w:rPr>
            </w:pPr>
            <w:r>
              <w:rPr>
                <w:rFonts w:hint="eastAsia"/>
              </w:rPr>
              <w:t>2人</w:t>
            </w:r>
          </w:p>
        </w:tc>
        <w:tc>
          <w:tcPr>
            <w:tcW w:w="1276" w:type="dxa"/>
            <w:vAlign w:val="center"/>
          </w:tcPr>
          <w:p w14:paraId="1240C4C1">
            <w:pPr>
              <w:spacing w:line="240" w:lineRule="auto"/>
              <w:ind w:firstLine="0" w:firstLineChars="0"/>
              <w:jc w:val="center"/>
              <w:rPr>
                <w:rFonts w:hint="eastAsia"/>
              </w:rPr>
            </w:pPr>
            <w:r>
              <w:rPr>
                <w:rFonts w:hint="eastAsia"/>
                <w:sz w:val="22"/>
                <w:szCs w:val="22"/>
              </w:rPr>
              <w:t>本科及以上学历</w:t>
            </w:r>
          </w:p>
        </w:tc>
        <w:tc>
          <w:tcPr>
            <w:tcW w:w="1219" w:type="dxa"/>
            <w:shd w:val="clear" w:color="auto" w:fill="FFFFFF" w:themeFill="background1"/>
            <w:noWrap/>
            <w:vAlign w:val="center"/>
          </w:tcPr>
          <w:p w14:paraId="002DC7BF">
            <w:pPr>
              <w:spacing w:line="240" w:lineRule="auto"/>
              <w:ind w:firstLine="0" w:firstLineChars="0"/>
              <w:jc w:val="center"/>
              <w:rPr>
                <w:rFonts w:hint="eastAsia"/>
              </w:rPr>
            </w:pPr>
            <w:r>
              <w:rPr>
                <w:rFonts w:hint="eastAsia"/>
              </w:rPr>
              <w:t>不驻场</w:t>
            </w:r>
          </w:p>
        </w:tc>
      </w:tr>
      <w:tr w14:paraId="3711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ign w:val="center"/>
          </w:tcPr>
          <w:p w14:paraId="128DF861">
            <w:pPr>
              <w:spacing w:line="240" w:lineRule="auto"/>
              <w:ind w:firstLine="0" w:firstLineChars="0"/>
              <w:jc w:val="center"/>
              <w:rPr>
                <w:rFonts w:hint="eastAsia"/>
              </w:rPr>
            </w:pPr>
            <w:r>
              <w:rPr>
                <w:rFonts w:hint="eastAsia"/>
              </w:rPr>
              <w:t>研发/运维工程师</w:t>
            </w:r>
          </w:p>
        </w:tc>
        <w:tc>
          <w:tcPr>
            <w:tcW w:w="2974" w:type="dxa"/>
            <w:noWrap/>
            <w:vAlign w:val="center"/>
          </w:tcPr>
          <w:p w14:paraId="499418E1">
            <w:pPr>
              <w:spacing w:line="240" w:lineRule="auto"/>
              <w:ind w:firstLine="0" w:firstLineChars="0"/>
              <w:jc w:val="center"/>
              <w:rPr>
                <w:rFonts w:hint="eastAsia"/>
              </w:rPr>
            </w:pPr>
            <w:r>
              <w:rPr>
                <w:rFonts w:hint="eastAsia"/>
              </w:rPr>
              <w:t>负责项目具体实施、部署及现场试运行保障</w:t>
            </w:r>
          </w:p>
        </w:tc>
        <w:tc>
          <w:tcPr>
            <w:tcW w:w="937" w:type="dxa"/>
            <w:noWrap/>
            <w:vAlign w:val="center"/>
          </w:tcPr>
          <w:p w14:paraId="7ED5417B">
            <w:pPr>
              <w:spacing w:line="240" w:lineRule="auto"/>
              <w:ind w:firstLine="0" w:firstLineChars="0"/>
              <w:jc w:val="center"/>
              <w:rPr>
                <w:rFonts w:hint="eastAsia"/>
              </w:rPr>
            </w:pPr>
            <w:r>
              <w:rPr>
                <w:rFonts w:hint="eastAsia"/>
              </w:rPr>
              <w:t>3人</w:t>
            </w:r>
          </w:p>
        </w:tc>
        <w:tc>
          <w:tcPr>
            <w:tcW w:w="1276" w:type="dxa"/>
            <w:vAlign w:val="center"/>
          </w:tcPr>
          <w:p w14:paraId="66B1C4C2">
            <w:pPr>
              <w:spacing w:line="240" w:lineRule="auto"/>
              <w:ind w:firstLine="0" w:firstLineChars="0"/>
              <w:jc w:val="center"/>
              <w:rPr>
                <w:rFonts w:hint="eastAsia"/>
              </w:rPr>
            </w:pPr>
            <w:r>
              <w:rPr>
                <w:rFonts w:hint="eastAsia"/>
                <w:sz w:val="22"/>
                <w:szCs w:val="22"/>
              </w:rPr>
              <w:t>本科及以上学历</w:t>
            </w:r>
          </w:p>
        </w:tc>
        <w:tc>
          <w:tcPr>
            <w:tcW w:w="1219" w:type="dxa"/>
            <w:shd w:val="clear" w:color="auto" w:fill="FFFFFF" w:themeFill="background1"/>
            <w:noWrap/>
            <w:vAlign w:val="center"/>
          </w:tcPr>
          <w:p w14:paraId="16E6CBA1">
            <w:pPr>
              <w:spacing w:line="240" w:lineRule="auto"/>
              <w:ind w:firstLine="0" w:firstLineChars="0"/>
              <w:jc w:val="center"/>
              <w:rPr>
                <w:rFonts w:hint="eastAsia"/>
              </w:rPr>
            </w:pPr>
            <w:r>
              <w:rPr>
                <w:rFonts w:hint="eastAsia"/>
              </w:rPr>
              <w:t>驻场</w:t>
            </w:r>
          </w:p>
        </w:tc>
      </w:tr>
      <w:tr w14:paraId="321B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ign w:val="center"/>
          </w:tcPr>
          <w:p w14:paraId="6229F64E">
            <w:pPr>
              <w:spacing w:line="240" w:lineRule="auto"/>
              <w:ind w:firstLine="0" w:firstLineChars="0"/>
              <w:jc w:val="center"/>
              <w:rPr>
                <w:rFonts w:hint="eastAsia"/>
              </w:rPr>
            </w:pPr>
            <w:r>
              <w:rPr>
                <w:rFonts w:hint="eastAsia"/>
              </w:rPr>
              <w:t>研发工程师</w:t>
            </w:r>
          </w:p>
        </w:tc>
        <w:tc>
          <w:tcPr>
            <w:tcW w:w="2974" w:type="dxa"/>
            <w:noWrap/>
            <w:vAlign w:val="center"/>
          </w:tcPr>
          <w:p w14:paraId="40AE603D">
            <w:pPr>
              <w:spacing w:line="240" w:lineRule="auto"/>
              <w:ind w:firstLine="0" w:firstLineChars="0"/>
              <w:jc w:val="center"/>
              <w:rPr>
                <w:rFonts w:hint="eastAsia"/>
              </w:rPr>
            </w:pPr>
            <w:r>
              <w:rPr>
                <w:rFonts w:hint="eastAsia"/>
              </w:rPr>
              <w:t>负责项目具体开发与实施</w:t>
            </w:r>
          </w:p>
        </w:tc>
        <w:tc>
          <w:tcPr>
            <w:tcW w:w="937" w:type="dxa"/>
            <w:noWrap/>
            <w:vAlign w:val="center"/>
          </w:tcPr>
          <w:p w14:paraId="2CE3ED45">
            <w:pPr>
              <w:spacing w:line="240" w:lineRule="auto"/>
              <w:ind w:firstLine="0" w:firstLineChars="0"/>
              <w:jc w:val="center"/>
              <w:rPr>
                <w:rFonts w:hint="eastAsia"/>
              </w:rPr>
            </w:pPr>
            <w:r>
              <w:rPr>
                <w:rFonts w:hint="eastAsia"/>
              </w:rPr>
              <w:t>10人</w:t>
            </w:r>
          </w:p>
        </w:tc>
        <w:tc>
          <w:tcPr>
            <w:tcW w:w="1276" w:type="dxa"/>
            <w:vAlign w:val="center"/>
          </w:tcPr>
          <w:p w14:paraId="47B15C15">
            <w:pPr>
              <w:spacing w:line="240" w:lineRule="auto"/>
              <w:ind w:firstLine="0" w:firstLineChars="0"/>
              <w:jc w:val="center"/>
              <w:rPr>
                <w:rFonts w:hint="eastAsia"/>
              </w:rPr>
            </w:pPr>
            <w:r>
              <w:rPr>
                <w:rFonts w:hint="eastAsia"/>
                <w:sz w:val="22"/>
                <w:szCs w:val="22"/>
              </w:rPr>
              <w:t>本科及以上学历</w:t>
            </w:r>
          </w:p>
        </w:tc>
        <w:tc>
          <w:tcPr>
            <w:tcW w:w="1219" w:type="dxa"/>
            <w:shd w:val="clear" w:color="auto" w:fill="FFFFFF" w:themeFill="background1"/>
            <w:noWrap/>
            <w:vAlign w:val="center"/>
          </w:tcPr>
          <w:p w14:paraId="1317DDB1">
            <w:pPr>
              <w:spacing w:line="240" w:lineRule="auto"/>
              <w:ind w:firstLine="0" w:firstLineChars="0"/>
              <w:jc w:val="center"/>
              <w:rPr>
                <w:rFonts w:hint="eastAsia"/>
              </w:rPr>
            </w:pPr>
            <w:r>
              <w:rPr>
                <w:rFonts w:hint="eastAsia"/>
              </w:rPr>
              <w:t>不驻场</w:t>
            </w:r>
          </w:p>
        </w:tc>
      </w:tr>
    </w:tbl>
    <w:p w14:paraId="664CA720">
      <w:pPr>
        <w:numPr>
          <w:ilvl w:val="0"/>
          <w:numId w:val="5"/>
        </w:numPr>
        <w:ind w:firstLine="480"/>
        <w:rPr>
          <w:rFonts w:hint="eastAsia"/>
        </w:rPr>
      </w:pPr>
      <w:r>
        <w:t>投标人应针对本项目提供不少于</w:t>
      </w:r>
      <w:r>
        <w:rPr>
          <w:rFonts w:hint="eastAsia"/>
        </w:rPr>
        <w:t>2</w:t>
      </w:r>
      <w:r>
        <w:t>人的质保期间支撑团队（其中</w:t>
      </w:r>
      <w:r>
        <w:rPr>
          <w:rFonts w:hint="eastAsia"/>
        </w:rPr>
        <w:t>项目</w:t>
      </w:r>
      <w:r>
        <w:t>经理</w:t>
      </w:r>
      <w:r>
        <w:rPr>
          <w:rFonts w:hint="eastAsia"/>
        </w:rPr>
        <w:t>1</w:t>
      </w:r>
      <w:r>
        <w:t>人，</w:t>
      </w:r>
      <w:r>
        <w:rPr>
          <w:rFonts w:hint="eastAsia"/>
        </w:rPr>
        <w:t>运维</w:t>
      </w:r>
      <w:r>
        <w:t>工程师不少于</w:t>
      </w:r>
      <w:r>
        <w:rPr>
          <w:rFonts w:hint="eastAsia"/>
        </w:rPr>
        <w:t>1</w:t>
      </w:r>
      <w:r>
        <w:t>人）</w:t>
      </w:r>
      <w:r>
        <w:rPr>
          <w:rFonts w:hint="eastAsia"/>
        </w:rPr>
        <w:t>。</w:t>
      </w:r>
      <w:r>
        <w:t>投标人的相关服务人员需具备相应的服务能力，需提供相关证明（最近一个季度依法缴纳社保费的证明）。</w:t>
      </w:r>
      <w:r>
        <w:rPr>
          <w:rFonts w:hint="eastAsia"/>
        </w:rPr>
        <w:t>质保期间提供不少于1人驻场。</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403"/>
        <w:gridCol w:w="1180"/>
        <w:gridCol w:w="1629"/>
        <w:gridCol w:w="1180"/>
      </w:tblGrid>
      <w:tr w14:paraId="5F90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noWrap/>
            <w:vAlign w:val="center"/>
          </w:tcPr>
          <w:p w14:paraId="2B2B67D2">
            <w:pPr>
              <w:spacing w:line="240" w:lineRule="auto"/>
              <w:ind w:firstLine="0" w:firstLineChars="0"/>
              <w:jc w:val="center"/>
              <w:rPr>
                <w:rFonts w:hint="eastAsia"/>
                <w:b/>
              </w:rPr>
            </w:pPr>
            <w:r>
              <w:rPr>
                <w:rFonts w:hint="eastAsia"/>
                <w:b/>
              </w:rPr>
              <w:t>角色</w:t>
            </w:r>
          </w:p>
        </w:tc>
        <w:tc>
          <w:tcPr>
            <w:tcW w:w="2403" w:type="dxa"/>
            <w:noWrap/>
            <w:vAlign w:val="center"/>
          </w:tcPr>
          <w:p w14:paraId="054C8559">
            <w:pPr>
              <w:spacing w:line="240" w:lineRule="auto"/>
              <w:ind w:firstLine="0" w:firstLineChars="0"/>
              <w:jc w:val="center"/>
              <w:rPr>
                <w:rFonts w:hint="eastAsia"/>
                <w:b/>
              </w:rPr>
            </w:pPr>
            <w:r>
              <w:rPr>
                <w:rFonts w:hint="eastAsia"/>
                <w:b/>
              </w:rPr>
              <w:t>主要职责</w:t>
            </w:r>
          </w:p>
        </w:tc>
        <w:tc>
          <w:tcPr>
            <w:tcW w:w="1180" w:type="dxa"/>
            <w:noWrap/>
            <w:vAlign w:val="center"/>
          </w:tcPr>
          <w:p w14:paraId="3EAEA59C">
            <w:pPr>
              <w:spacing w:line="240" w:lineRule="auto"/>
              <w:ind w:firstLine="0" w:firstLineChars="0"/>
              <w:jc w:val="center"/>
              <w:rPr>
                <w:rFonts w:hint="eastAsia"/>
                <w:b/>
              </w:rPr>
            </w:pPr>
            <w:r>
              <w:rPr>
                <w:rFonts w:hint="eastAsia"/>
                <w:b/>
              </w:rPr>
              <w:t>人员数量</w:t>
            </w:r>
          </w:p>
        </w:tc>
        <w:tc>
          <w:tcPr>
            <w:tcW w:w="0" w:type="auto"/>
            <w:vAlign w:val="center"/>
          </w:tcPr>
          <w:p w14:paraId="4D05A220">
            <w:pPr>
              <w:spacing w:line="240" w:lineRule="auto"/>
              <w:ind w:firstLine="0" w:firstLineChars="0"/>
              <w:jc w:val="center"/>
              <w:rPr>
                <w:rFonts w:hint="eastAsia"/>
                <w:b/>
              </w:rPr>
            </w:pPr>
            <w:r>
              <w:rPr>
                <w:rFonts w:hint="eastAsia"/>
                <w:b/>
              </w:rPr>
              <w:t>人员要求</w:t>
            </w:r>
          </w:p>
        </w:tc>
        <w:tc>
          <w:tcPr>
            <w:tcW w:w="0" w:type="auto"/>
            <w:shd w:val="clear" w:color="auto" w:fill="FFFFFF" w:themeFill="background1"/>
            <w:noWrap/>
            <w:vAlign w:val="center"/>
          </w:tcPr>
          <w:p w14:paraId="2CB8C076">
            <w:pPr>
              <w:spacing w:line="240" w:lineRule="auto"/>
              <w:ind w:firstLine="0" w:firstLineChars="0"/>
              <w:jc w:val="center"/>
              <w:rPr>
                <w:rFonts w:hint="eastAsia"/>
                <w:b/>
              </w:rPr>
            </w:pPr>
            <w:r>
              <w:rPr>
                <w:rFonts w:hint="eastAsia"/>
                <w:b/>
              </w:rPr>
              <w:t>驻场要求</w:t>
            </w:r>
          </w:p>
        </w:tc>
      </w:tr>
      <w:tr w14:paraId="72E9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noWrap/>
            <w:vAlign w:val="center"/>
          </w:tcPr>
          <w:p w14:paraId="7C382093">
            <w:pPr>
              <w:spacing w:line="240" w:lineRule="auto"/>
              <w:ind w:firstLine="0" w:firstLineChars="0"/>
              <w:jc w:val="center"/>
              <w:rPr>
                <w:rFonts w:hint="eastAsia" w:eastAsia="宋体"/>
                <w:lang w:eastAsia="zh-CN"/>
              </w:rPr>
            </w:pPr>
            <w:r>
              <w:rPr>
                <w:rFonts w:hint="eastAsia"/>
              </w:rPr>
              <w:t>项目经理</w:t>
            </w:r>
            <w:r>
              <w:rPr>
                <w:rFonts w:hint="eastAsia"/>
                <w:lang w:eastAsia="zh-CN"/>
              </w:rPr>
              <w:t>（运维）</w:t>
            </w:r>
          </w:p>
        </w:tc>
        <w:tc>
          <w:tcPr>
            <w:tcW w:w="2403" w:type="dxa"/>
            <w:vAlign w:val="center"/>
          </w:tcPr>
          <w:p w14:paraId="34906FC5">
            <w:pPr>
              <w:spacing w:line="240" w:lineRule="auto"/>
              <w:ind w:firstLine="0" w:firstLineChars="0"/>
              <w:jc w:val="center"/>
              <w:rPr>
                <w:rFonts w:hint="eastAsia"/>
              </w:rPr>
            </w:pPr>
            <w:r>
              <w:rPr>
                <w:rFonts w:hint="eastAsia"/>
              </w:rPr>
              <w:t>负责项目质量和进度控制</w:t>
            </w:r>
          </w:p>
        </w:tc>
        <w:tc>
          <w:tcPr>
            <w:tcW w:w="1180" w:type="dxa"/>
            <w:noWrap/>
            <w:vAlign w:val="center"/>
          </w:tcPr>
          <w:p w14:paraId="159E5952">
            <w:pPr>
              <w:spacing w:line="240" w:lineRule="auto"/>
              <w:ind w:firstLine="0" w:firstLineChars="0"/>
              <w:jc w:val="center"/>
              <w:rPr>
                <w:rFonts w:hint="eastAsia"/>
              </w:rPr>
            </w:pPr>
            <w:r>
              <w:rPr>
                <w:rFonts w:hint="eastAsia"/>
              </w:rPr>
              <w:t>1人</w:t>
            </w:r>
          </w:p>
        </w:tc>
        <w:tc>
          <w:tcPr>
            <w:tcW w:w="0" w:type="auto"/>
            <w:vAlign w:val="center"/>
          </w:tcPr>
          <w:p w14:paraId="36905C4A">
            <w:pPr>
              <w:spacing w:line="240" w:lineRule="auto"/>
              <w:ind w:firstLine="0" w:firstLineChars="0"/>
              <w:jc w:val="center"/>
              <w:rPr>
                <w:rFonts w:hint="eastAsia"/>
              </w:rPr>
            </w:pPr>
            <w:r>
              <w:rPr>
                <w:rFonts w:hint="eastAsia"/>
                <w:sz w:val="22"/>
                <w:szCs w:val="22"/>
              </w:rPr>
              <w:t>本科及以上学历</w:t>
            </w:r>
          </w:p>
        </w:tc>
        <w:tc>
          <w:tcPr>
            <w:tcW w:w="0" w:type="auto"/>
            <w:shd w:val="clear" w:color="auto" w:fill="FFFFFF" w:themeFill="background1"/>
            <w:noWrap/>
            <w:vAlign w:val="center"/>
          </w:tcPr>
          <w:p w14:paraId="59E30C97">
            <w:pPr>
              <w:spacing w:line="240" w:lineRule="auto"/>
              <w:ind w:firstLine="0" w:firstLineChars="0"/>
              <w:jc w:val="center"/>
              <w:rPr>
                <w:rFonts w:hint="eastAsia"/>
              </w:rPr>
            </w:pPr>
            <w:r>
              <w:rPr>
                <w:rFonts w:hint="eastAsia"/>
              </w:rPr>
              <w:t>不驻场</w:t>
            </w:r>
          </w:p>
        </w:tc>
      </w:tr>
      <w:tr w14:paraId="09D0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noWrap/>
            <w:vAlign w:val="center"/>
          </w:tcPr>
          <w:p w14:paraId="182788F3">
            <w:pPr>
              <w:spacing w:line="240" w:lineRule="auto"/>
              <w:ind w:firstLine="0" w:firstLineChars="0"/>
              <w:jc w:val="center"/>
              <w:rPr>
                <w:rFonts w:hint="eastAsia"/>
              </w:rPr>
            </w:pPr>
            <w:r>
              <w:rPr>
                <w:rFonts w:hint="eastAsia"/>
              </w:rPr>
              <w:t>运维工程师</w:t>
            </w:r>
          </w:p>
        </w:tc>
        <w:tc>
          <w:tcPr>
            <w:tcW w:w="2403" w:type="dxa"/>
            <w:noWrap/>
            <w:vAlign w:val="center"/>
          </w:tcPr>
          <w:p w14:paraId="7981701D">
            <w:pPr>
              <w:spacing w:line="240" w:lineRule="auto"/>
              <w:ind w:firstLine="0" w:firstLineChars="0"/>
              <w:jc w:val="center"/>
              <w:rPr>
                <w:rFonts w:hint="eastAsia"/>
              </w:rPr>
            </w:pPr>
            <w:r>
              <w:rPr>
                <w:rFonts w:hint="eastAsia"/>
              </w:rPr>
              <w:t>负责项目运行维护</w:t>
            </w:r>
          </w:p>
        </w:tc>
        <w:tc>
          <w:tcPr>
            <w:tcW w:w="1180" w:type="dxa"/>
            <w:noWrap/>
            <w:vAlign w:val="center"/>
          </w:tcPr>
          <w:p w14:paraId="2E319827">
            <w:pPr>
              <w:spacing w:line="240" w:lineRule="auto"/>
              <w:ind w:firstLine="0" w:firstLineChars="0"/>
              <w:jc w:val="center"/>
              <w:rPr>
                <w:rFonts w:hint="eastAsia"/>
              </w:rPr>
            </w:pPr>
            <w:r>
              <w:rPr>
                <w:rFonts w:hint="eastAsia"/>
              </w:rPr>
              <w:t>1人</w:t>
            </w:r>
          </w:p>
        </w:tc>
        <w:tc>
          <w:tcPr>
            <w:tcW w:w="0" w:type="auto"/>
            <w:vAlign w:val="center"/>
          </w:tcPr>
          <w:p w14:paraId="18116612">
            <w:pPr>
              <w:spacing w:line="240" w:lineRule="auto"/>
              <w:ind w:firstLine="0" w:firstLineChars="0"/>
              <w:jc w:val="center"/>
              <w:rPr>
                <w:rFonts w:hint="eastAsia"/>
              </w:rPr>
            </w:pPr>
            <w:r>
              <w:rPr>
                <w:rFonts w:hint="eastAsia"/>
                <w:sz w:val="22"/>
                <w:szCs w:val="22"/>
              </w:rPr>
              <w:t>本科及以上学历</w:t>
            </w:r>
          </w:p>
        </w:tc>
        <w:tc>
          <w:tcPr>
            <w:tcW w:w="0" w:type="auto"/>
            <w:shd w:val="clear" w:color="auto" w:fill="FFFFFF" w:themeFill="background1"/>
            <w:noWrap/>
            <w:vAlign w:val="center"/>
          </w:tcPr>
          <w:p w14:paraId="6BE34790">
            <w:pPr>
              <w:spacing w:line="240" w:lineRule="auto"/>
              <w:ind w:firstLine="0" w:firstLineChars="0"/>
              <w:jc w:val="center"/>
              <w:rPr>
                <w:rFonts w:hint="eastAsia"/>
              </w:rPr>
            </w:pPr>
            <w:r>
              <w:rPr>
                <w:rFonts w:hint="eastAsia"/>
              </w:rPr>
              <w:t>驻场</w:t>
            </w:r>
          </w:p>
        </w:tc>
      </w:tr>
    </w:tbl>
    <w:p w14:paraId="6F09BC1F">
      <w:pPr>
        <w:ind w:firstLine="0" w:firstLineChars="0"/>
        <w:rPr>
          <w:rFonts w:hint="eastAsia"/>
          <w:lang w:eastAsia="zh-CN"/>
        </w:rPr>
      </w:pPr>
      <w:bookmarkStart w:id="26" w:name="_Toc63785511"/>
      <w:r>
        <w:rPr>
          <w:rFonts w:hint="eastAsia"/>
        </w:rPr>
        <w:t>备注：</w:t>
      </w:r>
      <w:r>
        <w:rPr>
          <w:rFonts w:hint="eastAsia"/>
          <w:lang w:eastAsia="zh-CN"/>
        </w:rPr>
        <w:t>中标方</w:t>
      </w:r>
      <w:r>
        <w:t>须</w:t>
      </w:r>
      <w:r>
        <w:rPr>
          <w:rFonts w:hint="eastAsia"/>
          <w:lang w:eastAsia="zh-CN"/>
        </w:rPr>
        <w:t>在项目现场就近设点驻场开发，场地由中标方自行解决。</w:t>
      </w:r>
    </w:p>
    <w:p w14:paraId="1AFD0C7D">
      <w:pPr>
        <w:tabs>
          <w:tab w:val="left" w:pos="0"/>
        </w:tabs>
        <w:ind w:firstLine="0" w:firstLineChars="0"/>
        <w:jc w:val="left"/>
        <w:rPr>
          <w:rFonts w:hint="default"/>
          <w:color w:val="auto"/>
          <w:lang w:val="en-US" w:eastAsia="zh-CN"/>
        </w:rPr>
      </w:pPr>
      <w:r>
        <w:rPr>
          <w:rFonts w:hint="eastAsia"/>
          <w:color w:val="auto"/>
          <w:lang w:val="en-US" w:eastAsia="zh-CN"/>
        </w:rPr>
        <w:t>3）</w:t>
      </w:r>
      <w:r>
        <w:rPr>
          <w:rFonts w:hint="eastAsia"/>
          <w:color w:val="auto"/>
        </w:rPr>
        <w:t>投标人</w:t>
      </w:r>
      <w:r>
        <w:rPr>
          <w:rFonts w:hint="eastAsia"/>
          <w:color w:val="auto"/>
          <w:lang w:eastAsia="zh-CN"/>
        </w:rPr>
        <w:t>具有</w:t>
      </w:r>
      <w:r>
        <w:rPr>
          <w:rFonts w:hint="eastAsia"/>
          <w:color w:val="auto"/>
        </w:rPr>
        <w:t>CCRC信息系统信息集成、CCRC软件</w:t>
      </w:r>
      <w:r>
        <w:rPr>
          <w:rFonts w:hint="eastAsia"/>
          <w:color w:val="auto"/>
          <w:lang w:eastAsia="zh-CN"/>
        </w:rPr>
        <w:t>安全</w:t>
      </w:r>
      <w:r>
        <w:rPr>
          <w:rFonts w:hint="eastAsia"/>
          <w:color w:val="auto"/>
        </w:rPr>
        <w:t>开发、CCRC安全运维证书</w:t>
      </w:r>
      <w:r>
        <w:rPr>
          <w:rFonts w:hint="eastAsia"/>
          <w:color w:val="auto"/>
          <w:lang w:eastAsia="zh-CN"/>
        </w:rPr>
        <w:t>的，优先考虑</w:t>
      </w:r>
      <w:r>
        <w:rPr>
          <w:rFonts w:hint="eastAsia"/>
          <w:color w:val="auto"/>
        </w:rPr>
        <w:t>。</w:t>
      </w:r>
    </w:p>
    <w:p w14:paraId="2ED12974">
      <w:pPr>
        <w:pStyle w:val="3"/>
        <w:rPr>
          <w:rFonts w:hint="eastAsia"/>
        </w:rPr>
      </w:pPr>
      <w:r>
        <w:t>等级保护要求</w:t>
      </w:r>
      <w:bookmarkEnd w:id="26"/>
    </w:p>
    <w:p w14:paraId="1E6A5B3E">
      <w:pPr>
        <w:ind w:firstLine="480"/>
        <w:rPr>
          <w:rFonts w:hint="eastAsia"/>
        </w:rPr>
      </w:pPr>
      <w:r>
        <w:t>本项目等级保护要求：</w:t>
      </w:r>
      <w:r>
        <w:rPr>
          <w:rFonts w:hint="eastAsia"/>
        </w:rPr>
        <w:t>本项目依据</w:t>
      </w:r>
      <w:r>
        <w:rPr>
          <w:rFonts w:hint="eastAsia"/>
          <w:b/>
          <w:bCs/>
        </w:rPr>
        <w:t>等保二级标准</w:t>
      </w:r>
      <w:r>
        <w:rPr>
          <w:rFonts w:hint="eastAsia"/>
        </w:rPr>
        <w:t>进行设计与开发。</w:t>
      </w:r>
    </w:p>
    <w:p w14:paraId="7B4B3578">
      <w:pPr>
        <w:pStyle w:val="3"/>
        <w:rPr>
          <w:rFonts w:hint="eastAsia"/>
        </w:rPr>
      </w:pPr>
      <w:r>
        <w:rPr>
          <w:rFonts w:hint="eastAsia"/>
        </w:rPr>
        <w:t>商业密码应用需求</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601"/>
        <w:gridCol w:w="1905"/>
        <w:gridCol w:w="4035"/>
        <w:gridCol w:w="1385"/>
      </w:tblGrid>
      <w:tr w14:paraId="17CA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66" w:type="dxa"/>
            <w:gridSpan w:val="2"/>
            <w:shd w:val="clear" w:color="auto" w:fill="FFFFFF"/>
            <w:vAlign w:val="center"/>
          </w:tcPr>
          <w:p w14:paraId="0C923083">
            <w:pPr>
              <w:wordWrap w:val="0"/>
              <w:spacing w:line="240" w:lineRule="auto"/>
              <w:ind w:firstLine="0" w:firstLineChars="0"/>
              <w:jc w:val="center"/>
              <w:textAlignment w:val="center"/>
              <w:rPr>
                <w:rFonts w:hint="eastAsia" w:cs="仿宋"/>
                <w:b/>
                <w:bCs/>
              </w:rPr>
            </w:pPr>
            <w:r>
              <w:rPr>
                <w:rFonts w:hint="eastAsia" w:cs="仿宋"/>
                <w:b/>
                <w:bCs/>
                <w:lang w:bidi="ar"/>
              </w:rPr>
              <w:t>安全层面</w:t>
            </w:r>
          </w:p>
        </w:tc>
        <w:tc>
          <w:tcPr>
            <w:tcW w:w="2079" w:type="dxa"/>
            <w:shd w:val="clear" w:color="auto" w:fill="FFFFFF"/>
            <w:vAlign w:val="center"/>
          </w:tcPr>
          <w:p w14:paraId="1E1C8AB1">
            <w:pPr>
              <w:wordWrap w:val="0"/>
              <w:spacing w:line="240" w:lineRule="auto"/>
              <w:ind w:firstLine="0" w:firstLineChars="0"/>
              <w:jc w:val="center"/>
              <w:textAlignment w:val="center"/>
              <w:rPr>
                <w:rFonts w:hint="eastAsia" w:cs="仿宋"/>
                <w:b/>
                <w:bCs/>
              </w:rPr>
            </w:pPr>
            <w:r>
              <w:rPr>
                <w:rFonts w:hint="eastAsia" w:cs="仿宋"/>
                <w:b/>
                <w:bCs/>
                <w:lang w:bidi="ar"/>
              </w:rPr>
              <w:t>指标要求</w:t>
            </w:r>
          </w:p>
        </w:tc>
        <w:tc>
          <w:tcPr>
            <w:tcW w:w="4438" w:type="dxa"/>
            <w:shd w:val="clear" w:color="auto" w:fill="FFFFFF"/>
            <w:vAlign w:val="center"/>
          </w:tcPr>
          <w:p w14:paraId="3743A278">
            <w:pPr>
              <w:wordWrap w:val="0"/>
              <w:spacing w:line="240" w:lineRule="auto"/>
              <w:ind w:firstLine="0" w:firstLineChars="0"/>
              <w:jc w:val="center"/>
              <w:textAlignment w:val="center"/>
              <w:rPr>
                <w:rFonts w:hint="eastAsia" w:cs="仿宋"/>
                <w:b/>
                <w:bCs/>
              </w:rPr>
            </w:pPr>
            <w:r>
              <w:rPr>
                <w:rFonts w:hint="eastAsia" w:cs="仿宋"/>
                <w:b/>
                <w:bCs/>
                <w:lang w:bidi="ar"/>
              </w:rPr>
              <w:t>系统密码应用需求</w:t>
            </w:r>
          </w:p>
        </w:tc>
        <w:tc>
          <w:tcPr>
            <w:tcW w:w="1502" w:type="dxa"/>
            <w:shd w:val="clear" w:color="auto" w:fill="FFFFFF"/>
            <w:vAlign w:val="center"/>
          </w:tcPr>
          <w:p w14:paraId="52B47D62">
            <w:pPr>
              <w:wordWrap w:val="0"/>
              <w:spacing w:line="240" w:lineRule="auto"/>
              <w:ind w:firstLine="0" w:firstLineChars="0"/>
              <w:jc w:val="center"/>
              <w:textAlignment w:val="center"/>
              <w:rPr>
                <w:rFonts w:hint="eastAsia" w:cs="仿宋"/>
                <w:b/>
                <w:bCs/>
              </w:rPr>
            </w:pPr>
            <w:r>
              <w:rPr>
                <w:rFonts w:hint="eastAsia" w:cs="仿宋"/>
                <w:b/>
                <w:bCs/>
                <w:lang w:bidi="ar"/>
              </w:rPr>
              <w:t>不适用说明</w:t>
            </w:r>
          </w:p>
        </w:tc>
      </w:tr>
      <w:tr w14:paraId="758F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restart"/>
            <w:shd w:val="clear" w:color="auto" w:fill="FFFFFF"/>
            <w:vAlign w:val="center"/>
          </w:tcPr>
          <w:p w14:paraId="39120D19">
            <w:pPr>
              <w:spacing w:line="240" w:lineRule="auto"/>
              <w:ind w:firstLine="0" w:firstLineChars="0"/>
              <w:jc w:val="center"/>
              <w:textAlignment w:val="center"/>
              <w:rPr>
                <w:rFonts w:hint="eastAsia" w:cs="仿宋"/>
                <w:lang w:bidi="ar"/>
              </w:rPr>
            </w:pPr>
            <w:r>
              <w:rPr>
                <w:rFonts w:hint="eastAsia" w:cs="仿宋"/>
                <w:lang w:bidi="ar"/>
              </w:rPr>
              <w:t>计算平台安全</w:t>
            </w:r>
          </w:p>
        </w:tc>
        <w:tc>
          <w:tcPr>
            <w:tcW w:w="633" w:type="dxa"/>
            <w:vMerge w:val="restart"/>
            <w:shd w:val="clear" w:color="auto" w:fill="FFFFFF"/>
            <w:vAlign w:val="center"/>
          </w:tcPr>
          <w:p w14:paraId="0BF7CAB8">
            <w:pPr>
              <w:wordWrap w:val="0"/>
              <w:spacing w:line="240" w:lineRule="auto"/>
              <w:ind w:firstLine="0" w:firstLineChars="0"/>
              <w:jc w:val="center"/>
              <w:textAlignment w:val="center"/>
              <w:rPr>
                <w:rFonts w:hint="eastAsia" w:cs="仿宋"/>
              </w:rPr>
            </w:pPr>
            <w:r>
              <w:rPr>
                <w:rFonts w:hint="eastAsia" w:cs="仿宋"/>
                <w:lang w:bidi="ar"/>
              </w:rPr>
              <w:t>物理和环境安全</w:t>
            </w:r>
          </w:p>
        </w:tc>
        <w:tc>
          <w:tcPr>
            <w:tcW w:w="2079" w:type="dxa"/>
            <w:shd w:val="clear" w:color="auto" w:fill="FFFFFF"/>
            <w:vAlign w:val="center"/>
          </w:tcPr>
          <w:p w14:paraId="10CDE9F5">
            <w:pPr>
              <w:wordWrap w:val="0"/>
              <w:spacing w:line="240" w:lineRule="auto"/>
              <w:ind w:firstLine="0" w:firstLineChars="0"/>
              <w:textAlignment w:val="center"/>
              <w:rPr>
                <w:rFonts w:hint="eastAsia" w:cs="仿宋"/>
              </w:rPr>
            </w:pPr>
            <w:r>
              <w:rPr>
                <w:rFonts w:hint="eastAsia" w:cs="仿宋"/>
                <w:lang w:bidi="ar"/>
              </w:rPr>
              <w:t>身份鉴别</w:t>
            </w:r>
          </w:p>
        </w:tc>
        <w:tc>
          <w:tcPr>
            <w:tcW w:w="4438" w:type="dxa"/>
            <w:shd w:val="clear" w:color="auto" w:fill="FFFFFF"/>
            <w:vAlign w:val="center"/>
          </w:tcPr>
          <w:p w14:paraId="034138D1">
            <w:pPr>
              <w:wordWrap w:val="0"/>
              <w:spacing w:line="240" w:lineRule="auto"/>
              <w:ind w:firstLine="0" w:firstLineChars="0"/>
              <w:textAlignment w:val="center"/>
              <w:rPr>
                <w:rFonts w:hint="eastAsia" w:cs="仿宋"/>
              </w:rPr>
            </w:pPr>
            <w:r>
              <w:rPr>
                <w:rFonts w:hint="eastAsia" w:cs="仿宋"/>
                <w:spacing w:val="21"/>
              </w:rPr>
              <w:t>确</w:t>
            </w:r>
            <w:r>
              <w:rPr>
                <w:rFonts w:hint="eastAsia" w:cs="仿宋"/>
                <w:spacing w:val="17"/>
              </w:rPr>
              <w:t>认进入机房人员身份的真实</w:t>
            </w:r>
            <w:r>
              <w:rPr>
                <w:rFonts w:hint="eastAsia" w:cs="仿宋"/>
                <w:spacing w:val="10"/>
              </w:rPr>
              <w:t>性</w:t>
            </w:r>
            <w:r>
              <w:rPr>
                <w:rFonts w:hint="eastAsia" w:cs="仿宋"/>
                <w:spacing w:val="7"/>
              </w:rPr>
              <w:t>，防止假冒人员进入。</w:t>
            </w:r>
          </w:p>
        </w:tc>
        <w:tc>
          <w:tcPr>
            <w:tcW w:w="1502" w:type="dxa"/>
            <w:vMerge w:val="restart"/>
            <w:shd w:val="clear" w:color="auto" w:fill="FFFFFF"/>
            <w:vAlign w:val="center"/>
          </w:tcPr>
          <w:p w14:paraId="68D9C807">
            <w:pPr>
              <w:spacing w:line="240" w:lineRule="auto"/>
              <w:ind w:firstLine="0" w:firstLineChars="0"/>
              <w:jc w:val="center"/>
              <w:textAlignment w:val="center"/>
              <w:rPr>
                <w:rFonts w:hint="eastAsia" w:cs="仿宋"/>
              </w:rPr>
            </w:pPr>
            <w:r>
              <w:rPr>
                <w:rFonts w:hint="eastAsia" w:cs="仿宋"/>
                <w:sz w:val="21"/>
                <w:lang w:bidi="ar"/>
              </w:rPr>
              <w:t>无</w:t>
            </w:r>
          </w:p>
        </w:tc>
      </w:tr>
      <w:tr w14:paraId="7AC1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4CEF813C">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1B68F05F">
            <w:pPr>
              <w:wordWrap w:val="0"/>
              <w:spacing w:line="240" w:lineRule="auto"/>
              <w:ind w:firstLine="0" w:firstLineChars="0"/>
              <w:jc w:val="center"/>
              <w:rPr>
                <w:rFonts w:hint="eastAsia" w:cs="仿宋"/>
              </w:rPr>
            </w:pPr>
          </w:p>
        </w:tc>
        <w:tc>
          <w:tcPr>
            <w:tcW w:w="2079" w:type="dxa"/>
            <w:shd w:val="clear" w:color="auto" w:fill="FFFFFF"/>
            <w:vAlign w:val="center"/>
          </w:tcPr>
          <w:p w14:paraId="41ECC396">
            <w:pPr>
              <w:wordWrap w:val="0"/>
              <w:spacing w:line="240" w:lineRule="auto"/>
              <w:ind w:firstLine="0" w:firstLineChars="0"/>
              <w:textAlignment w:val="center"/>
              <w:rPr>
                <w:rFonts w:hint="eastAsia" w:cs="仿宋"/>
              </w:rPr>
            </w:pPr>
            <w:r>
              <w:rPr>
                <w:rFonts w:hint="eastAsia" w:cs="仿宋"/>
                <w:lang w:bidi="ar"/>
              </w:rPr>
              <w:t>电子门禁记录数据完整性</w:t>
            </w:r>
          </w:p>
        </w:tc>
        <w:tc>
          <w:tcPr>
            <w:tcW w:w="4438" w:type="dxa"/>
            <w:shd w:val="clear" w:color="auto" w:fill="FFFFFF"/>
            <w:vAlign w:val="center"/>
          </w:tcPr>
          <w:p w14:paraId="14057999">
            <w:pPr>
              <w:wordWrap w:val="0"/>
              <w:spacing w:line="240" w:lineRule="auto"/>
              <w:ind w:firstLine="0" w:firstLineChars="0"/>
              <w:rPr>
                <w:rFonts w:hint="eastAsia" w:cs="仿宋"/>
              </w:rPr>
            </w:pPr>
            <w:r>
              <w:rPr>
                <w:rFonts w:hint="eastAsia" w:cs="仿宋"/>
                <w:spacing w:val="21"/>
              </w:rPr>
              <w:t>保</w:t>
            </w:r>
            <w:r>
              <w:rPr>
                <w:rFonts w:hint="eastAsia" w:cs="仿宋"/>
                <w:spacing w:val="17"/>
              </w:rPr>
              <w:t>护电子门禁系统进出记录的完整性，</w:t>
            </w:r>
            <w:r>
              <w:rPr>
                <w:rFonts w:hint="eastAsia" w:cs="仿宋"/>
                <w:spacing w:val="9"/>
              </w:rPr>
              <w:t>防</w:t>
            </w:r>
            <w:r>
              <w:rPr>
                <w:rFonts w:hint="eastAsia" w:cs="仿宋"/>
                <w:spacing w:val="7"/>
              </w:rPr>
              <w:t>止被非授权篡改。</w:t>
            </w:r>
          </w:p>
        </w:tc>
        <w:tc>
          <w:tcPr>
            <w:tcW w:w="1502" w:type="dxa"/>
            <w:vMerge w:val="continue"/>
            <w:shd w:val="clear" w:color="auto" w:fill="FFFFFF"/>
            <w:vAlign w:val="center"/>
          </w:tcPr>
          <w:p w14:paraId="72A738F6">
            <w:pPr>
              <w:wordWrap w:val="0"/>
              <w:spacing w:line="240" w:lineRule="auto"/>
              <w:ind w:firstLine="0" w:firstLineChars="0"/>
              <w:jc w:val="center"/>
              <w:rPr>
                <w:rFonts w:hint="eastAsia" w:cs="仿宋"/>
              </w:rPr>
            </w:pPr>
          </w:p>
        </w:tc>
      </w:tr>
      <w:tr w14:paraId="2A1F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3F220F32">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0E796AD5">
            <w:pPr>
              <w:wordWrap w:val="0"/>
              <w:spacing w:line="240" w:lineRule="auto"/>
              <w:ind w:firstLine="0" w:firstLineChars="0"/>
              <w:jc w:val="center"/>
              <w:rPr>
                <w:rFonts w:hint="eastAsia" w:cs="仿宋"/>
              </w:rPr>
            </w:pPr>
          </w:p>
        </w:tc>
        <w:tc>
          <w:tcPr>
            <w:tcW w:w="2079" w:type="dxa"/>
            <w:shd w:val="clear" w:color="auto" w:fill="FFFFFF"/>
            <w:vAlign w:val="center"/>
          </w:tcPr>
          <w:p w14:paraId="0EA59D91">
            <w:pPr>
              <w:wordWrap w:val="0"/>
              <w:spacing w:line="240" w:lineRule="auto"/>
              <w:ind w:firstLine="0" w:firstLineChars="0"/>
              <w:textAlignment w:val="center"/>
              <w:rPr>
                <w:rFonts w:hint="eastAsia" w:cs="仿宋"/>
              </w:rPr>
            </w:pPr>
            <w:r>
              <w:rPr>
                <w:rFonts w:hint="eastAsia" w:cs="仿宋"/>
                <w:lang w:bidi="ar"/>
              </w:rPr>
              <w:t>密码服务</w:t>
            </w:r>
          </w:p>
        </w:tc>
        <w:tc>
          <w:tcPr>
            <w:tcW w:w="4438" w:type="dxa"/>
            <w:shd w:val="clear" w:color="auto" w:fill="FFFFFF"/>
            <w:vAlign w:val="center"/>
          </w:tcPr>
          <w:p w14:paraId="42299C0A">
            <w:pPr>
              <w:wordWrap w:val="0"/>
              <w:spacing w:line="240" w:lineRule="auto"/>
              <w:ind w:firstLine="0" w:firstLineChars="0"/>
              <w:rPr>
                <w:rFonts w:hint="eastAsia" w:cs="仿宋"/>
                <w:lang w:eastAsia="zh-Hans"/>
              </w:rPr>
            </w:pPr>
            <w:r>
              <w:rPr>
                <w:rFonts w:hint="eastAsia" w:cs="仿宋"/>
                <w:lang w:eastAsia="zh-Hans"/>
              </w:rPr>
              <w:t>不适用</w:t>
            </w:r>
          </w:p>
        </w:tc>
        <w:tc>
          <w:tcPr>
            <w:tcW w:w="1502" w:type="dxa"/>
            <w:vMerge w:val="continue"/>
            <w:shd w:val="clear" w:color="auto" w:fill="FFFFFF"/>
            <w:vAlign w:val="center"/>
          </w:tcPr>
          <w:p w14:paraId="28EE1E61">
            <w:pPr>
              <w:wordWrap w:val="0"/>
              <w:spacing w:line="240" w:lineRule="auto"/>
              <w:ind w:firstLine="0" w:firstLineChars="0"/>
              <w:jc w:val="center"/>
              <w:rPr>
                <w:rFonts w:hint="eastAsia" w:cs="仿宋"/>
              </w:rPr>
            </w:pPr>
          </w:p>
        </w:tc>
      </w:tr>
      <w:tr w14:paraId="2CF3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671C3BB0">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0A7FAC46">
            <w:pPr>
              <w:wordWrap w:val="0"/>
              <w:spacing w:line="240" w:lineRule="auto"/>
              <w:ind w:firstLine="0" w:firstLineChars="0"/>
              <w:jc w:val="center"/>
              <w:rPr>
                <w:rFonts w:hint="eastAsia" w:cs="仿宋"/>
              </w:rPr>
            </w:pPr>
          </w:p>
        </w:tc>
        <w:tc>
          <w:tcPr>
            <w:tcW w:w="2079" w:type="dxa"/>
            <w:shd w:val="clear" w:color="auto" w:fill="FFFFFF"/>
            <w:vAlign w:val="center"/>
          </w:tcPr>
          <w:p w14:paraId="43F5A036">
            <w:pPr>
              <w:wordWrap w:val="0"/>
              <w:spacing w:line="240" w:lineRule="auto"/>
              <w:ind w:firstLine="0" w:firstLineChars="0"/>
              <w:textAlignment w:val="center"/>
              <w:rPr>
                <w:rFonts w:hint="eastAsia" w:cs="仿宋"/>
              </w:rPr>
            </w:pPr>
            <w:r>
              <w:rPr>
                <w:rFonts w:hint="eastAsia" w:cs="仿宋"/>
                <w:lang w:bidi="ar"/>
              </w:rPr>
              <w:t>密码产品</w:t>
            </w:r>
          </w:p>
        </w:tc>
        <w:tc>
          <w:tcPr>
            <w:tcW w:w="4438" w:type="dxa"/>
            <w:shd w:val="clear" w:color="auto" w:fill="FFFFFF"/>
            <w:vAlign w:val="center"/>
          </w:tcPr>
          <w:p w14:paraId="6864DBD2">
            <w:pPr>
              <w:wordWrap w:val="0"/>
              <w:spacing w:line="240" w:lineRule="auto"/>
              <w:ind w:firstLine="0" w:firstLineChars="0"/>
              <w:rPr>
                <w:rFonts w:hint="eastAsia" w:cs="仿宋"/>
              </w:rPr>
            </w:pPr>
            <w:r>
              <w:rPr>
                <w:rFonts w:hint="eastAsia" w:cs="仿宋"/>
              </w:rPr>
              <w:t>采用的密码产品应达到GB/T 37092二级及以上安全要求。</w:t>
            </w:r>
          </w:p>
        </w:tc>
        <w:tc>
          <w:tcPr>
            <w:tcW w:w="1502" w:type="dxa"/>
            <w:vMerge w:val="continue"/>
            <w:shd w:val="clear" w:color="auto" w:fill="FFFFFF"/>
            <w:vAlign w:val="center"/>
          </w:tcPr>
          <w:p w14:paraId="34F24511">
            <w:pPr>
              <w:wordWrap w:val="0"/>
              <w:spacing w:line="240" w:lineRule="auto"/>
              <w:ind w:firstLine="0" w:firstLineChars="0"/>
              <w:jc w:val="center"/>
              <w:rPr>
                <w:rFonts w:hint="eastAsia" w:cs="仿宋"/>
              </w:rPr>
            </w:pPr>
          </w:p>
        </w:tc>
      </w:tr>
      <w:tr w14:paraId="41CC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42FECCD4">
            <w:pPr>
              <w:wordWrap w:val="0"/>
              <w:spacing w:line="240" w:lineRule="auto"/>
              <w:ind w:firstLine="0" w:firstLineChars="0"/>
              <w:jc w:val="center"/>
              <w:textAlignment w:val="center"/>
              <w:rPr>
                <w:rFonts w:hint="eastAsia" w:cs="仿宋"/>
                <w:lang w:bidi="ar"/>
              </w:rPr>
            </w:pPr>
          </w:p>
        </w:tc>
        <w:tc>
          <w:tcPr>
            <w:tcW w:w="633" w:type="dxa"/>
            <w:vMerge w:val="restart"/>
            <w:tcBorders>
              <w:bottom w:val="single" w:color="auto" w:sz="4" w:space="0"/>
            </w:tcBorders>
            <w:shd w:val="clear" w:color="auto" w:fill="FFFFFF"/>
            <w:vAlign w:val="center"/>
          </w:tcPr>
          <w:p w14:paraId="7CC329CF">
            <w:pPr>
              <w:wordWrap w:val="0"/>
              <w:spacing w:line="240" w:lineRule="auto"/>
              <w:ind w:firstLine="0" w:firstLineChars="0"/>
              <w:jc w:val="center"/>
              <w:textAlignment w:val="center"/>
              <w:rPr>
                <w:rFonts w:hint="eastAsia" w:cs="仿宋"/>
              </w:rPr>
            </w:pPr>
            <w:r>
              <w:rPr>
                <w:rFonts w:hint="eastAsia" w:cs="仿宋"/>
                <w:lang w:bidi="ar"/>
              </w:rPr>
              <w:t>网络和通信安全</w:t>
            </w:r>
          </w:p>
        </w:tc>
        <w:tc>
          <w:tcPr>
            <w:tcW w:w="2079" w:type="dxa"/>
            <w:vMerge w:val="restart"/>
            <w:tcBorders>
              <w:bottom w:val="single" w:color="auto" w:sz="4" w:space="0"/>
            </w:tcBorders>
            <w:shd w:val="clear" w:color="auto" w:fill="FFFFFF"/>
            <w:vAlign w:val="center"/>
          </w:tcPr>
          <w:p w14:paraId="02A33A88">
            <w:pPr>
              <w:wordWrap w:val="0"/>
              <w:spacing w:line="240" w:lineRule="auto"/>
              <w:ind w:firstLine="0" w:firstLineChars="0"/>
              <w:textAlignment w:val="center"/>
              <w:rPr>
                <w:rFonts w:hint="eastAsia" w:cs="仿宋"/>
              </w:rPr>
            </w:pPr>
            <w:r>
              <w:rPr>
                <w:rFonts w:hint="eastAsia" w:cs="仿宋"/>
                <w:lang w:bidi="ar"/>
              </w:rPr>
              <w:t>身份鉴别</w:t>
            </w:r>
          </w:p>
        </w:tc>
        <w:tc>
          <w:tcPr>
            <w:tcW w:w="4438" w:type="dxa"/>
            <w:tcBorders>
              <w:bottom w:val="single" w:color="auto" w:sz="4" w:space="0"/>
            </w:tcBorders>
            <w:shd w:val="clear" w:color="auto" w:fill="FFFFFF"/>
            <w:vAlign w:val="center"/>
          </w:tcPr>
          <w:p w14:paraId="3CDBC76A">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确保PC端和服务端通信实体身份的真实性，防止与假冒实体进行通信。</w:t>
            </w:r>
          </w:p>
        </w:tc>
        <w:tc>
          <w:tcPr>
            <w:tcW w:w="1502" w:type="dxa"/>
            <w:tcBorders>
              <w:bottom w:val="single" w:color="auto" w:sz="4" w:space="0"/>
            </w:tcBorders>
            <w:shd w:val="clear" w:color="auto" w:fill="FFFFFF"/>
            <w:vAlign w:val="center"/>
          </w:tcPr>
          <w:p w14:paraId="33A7940E">
            <w:pPr>
              <w:wordWrap w:val="0"/>
              <w:spacing w:line="240" w:lineRule="auto"/>
              <w:ind w:firstLine="0" w:firstLineChars="0"/>
              <w:jc w:val="center"/>
              <w:textAlignment w:val="center"/>
              <w:rPr>
                <w:rFonts w:hint="eastAsia" w:cs="仿宋"/>
              </w:rPr>
            </w:pPr>
            <w:r>
              <w:rPr>
                <w:rFonts w:hint="eastAsia" w:cs="仿宋"/>
                <w:lang w:bidi="ar"/>
              </w:rPr>
              <w:t>无</w:t>
            </w:r>
          </w:p>
        </w:tc>
      </w:tr>
      <w:tr w14:paraId="3B29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64EA82D2">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62B9C565">
            <w:pPr>
              <w:wordWrap w:val="0"/>
              <w:spacing w:line="240" w:lineRule="auto"/>
              <w:ind w:firstLine="0" w:firstLineChars="0"/>
              <w:jc w:val="center"/>
              <w:rPr>
                <w:rFonts w:hint="eastAsia" w:cs="仿宋"/>
              </w:rPr>
            </w:pPr>
          </w:p>
        </w:tc>
        <w:tc>
          <w:tcPr>
            <w:tcW w:w="2079" w:type="dxa"/>
            <w:vMerge w:val="continue"/>
            <w:tcBorders>
              <w:bottom w:val="single" w:color="auto" w:sz="4" w:space="0"/>
            </w:tcBorders>
            <w:shd w:val="clear" w:color="auto" w:fill="FFFFFF"/>
            <w:vAlign w:val="center"/>
          </w:tcPr>
          <w:p w14:paraId="7AD0B86A">
            <w:pPr>
              <w:wordWrap w:val="0"/>
              <w:spacing w:line="240" w:lineRule="auto"/>
              <w:ind w:firstLine="0" w:firstLineChars="0"/>
              <w:rPr>
                <w:rFonts w:hint="eastAsia" w:cs="仿宋"/>
              </w:rPr>
            </w:pPr>
          </w:p>
        </w:tc>
        <w:tc>
          <w:tcPr>
            <w:tcW w:w="4438" w:type="dxa"/>
            <w:tcBorders>
              <w:bottom w:val="single" w:color="auto" w:sz="4" w:space="0"/>
            </w:tcBorders>
            <w:shd w:val="clear" w:color="auto" w:fill="FFFFFF"/>
            <w:vAlign w:val="center"/>
          </w:tcPr>
          <w:p w14:paraId="601F287B">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管理端的身份鉴别由云平台提供安全保障。</w:t>
            </w:r>
          </w:p>
        </w:tc>
        <w:tc>
          <w:tcPr>
            <w:tcW w:w="1502" w:type="dxa"/>
            <w:tcBorders>
              <w:bottom w:val="single" w:color="auto" w:sz="4" w:space="0"/>
            </w:tcBorders>
            <w:shd w:val="clear" w:color="auto" w:fill="FFFFFF"/>
            <w:vAlign w:val="center"/>
          </w:tcPr>
          <w:p w14:paraId="7619B418">
            <w:pPr>
              <w:wordWrap w:val="0"/>
              <w:spacing w:line="240" w:lineRule="auto"/>
              <w:ind w:firstLine="0" w:firstLineChars="0"/>
              <w:jc w:val="center"/>
              <w:textAlignment w:val="center"/>
              <w:rPr>
                <w:rFonts w:hint="eastAsia" w:cs="仿宋"/>
              </w:rPr>
            </w:pPr>
            <w:r>
              <w:rPr>
                <w:rFonts w:hint="eastAsia" w:cs="仿宋"/>
                <w:lang w:bidi="ar"/>
              </w:rPr>
              <w:t>无</w:t>
            </w:r>
          </w:p>
        </w:tc>
      </w:tr>
      <w:tr w14:paraId="3619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369AE530">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6AA26562">
            <w:pPr>
              <w:wordWrap w:val="0"/>
              <w:spacing w:line="240" w:lineRule="auto"/>
              <w:ind w:firstLine="0" w:firstLineChars="0"/>
              <w:jc w:val="center"/>
              <w:rPr>
                <w:rFonts w:hint="eastAsia" w:cs="仿宋"/>
              </w:rPr>
            </w:pPr>
          </w:p>
        </w:tc>
        <w:tc>
          <w:tcPr>
            <w:tcW w:w="2079" w:type="dxa"/>
            <w:vMerge w:val="restart"/>
            <w:tcBorders>
              <w:bottom w:val="single" w:color="auto" w:sz="4" w:space="0"/>
            </w:tcBorders>
            <w:shd w:val="clear" w:color="auto" w:fill="FFFFFF"/>
            <w:vAlign w:val="center"/>
          </w:tcPr>
          <w:p w14:paraId="0CE036B8">
            <w:pPr>
              <w:wordWrap w:val="0"/>
              <w:spacing w:line="240" w:lineRule="auto"/>
              <w:ind w:firstLine="0" w:firstLineChars="0"/>
              <w:textAlignment w:val="center"/>
              <w:rPr>
                <w:rFonts w:hint="eastAsia" w:cs="仿宋"/>
              </w:rPr>
            </w:pPr>
            <w:r>
              <w:rPr>
                <w:rFonts w:hint="eastAsia" w:cs="仿宋"/>
                <w:lang w:bidi="ar"/>
              </w:rPr>
              <w:t>通信数据完整性</w:t>
            </w:r>
          </w:p>
        </w:tc>
        <w:tc>
          <w:tcPr>
            <w:tcW w:w="4438" w:type="dxa"/>
            <w:tcBorders>
              <w:bottom w:val="single" w:color="auto" w:sz="4" w:space="0"/>
            </w:tcBorders>
            <w:shd w:val="clear" w:color="auto" w:fill="FFFFFF"/>
            <w:vAlign w:val="center"/>
          </w:tcPr>
          <w:p w14:paraId="3B617536">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保护PC端和服务端通信过程中业务数据的完整性，防止数据被非授权篡改。</w:t>
            </w:r>
          </w:p>
        </w:tc>
        <w:tc>
          <w:tcPr>
            <w:tcW w:w="1502" w:type="dxa"/>
            <w:tcBorders>
              <w:bottom w:val="single" w:color="auto" w:sz="4" w:space="0"/>
            </w:tcBorders>
            <w:shd w:val="clear" w:color="auto" w:fill="FFFFFF"/>
            <w:vAlign w:val="center"/>
          </w:tcPr>
          <w:p w14:paraId="3C5E1BED">
            <w:pPr>
              <w:wordWrap w:val="0"/>
              <w:spacing w:line="240" w:lineRule="auto"/>
              <w:ind w:firstLine="0" w:firstLineChars="0"/>
              <w:jc w:val="center"/>
              <w:textAlignment w:val="center"/>
              <w:rPr>
                <w:rFonts w:hint="eastAsia" w:cs="仿宋"/>
              </w:rPr>
            </w:pPr>
            <w:r>
              <w:rPr>
                <w:rFonts w:hint="eastAsia" w:cs="仿宋"/>
                <w:lang w:bidi="ar"/>
              </w:rPr>
              <w:t>无</w:t>
            </w:r>
          </w:p>
        </w:tc>
      </w:tr>
      <w:tr w14:paraId="5B62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42EBD4EA">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586FEF72">
            <w:pPr>
              <w:wordWrap w:val="0"/>
              <w:spacing w:line="240" w:lineRule="auto"/>
              <w:ind w:firstLine="0" w:firstLineChars="0"/>
              <w:jc w:val="center"/>
              <w:rPr>
                <w:rFonts w:hint="eastAsia" w:cs="仿宋"/>
              </w:rPr>
            </w:pPr>
          </w:p>
        </w:tc>
        <w:tc>
          <w:tcPr>
            <w:tcW w:w="2079" w:type="dxa"/>
            <w:vMerge w:val="continue"/>
            <w:tcBorders>
              <w:bottom w:val="single" w:color="auto" w:sz="4" w:space="0"/>
            </w:tcBorders>
            <w:shd w:val="clear" w:color="auto" w:fill="FFFFFF"/>
            <w:vAlign w:val="center"/>
          </w:tcPr>
          <w:p w14:paraId="1A850235">
            <w:pPr>
              <w:wordWrap w:val="0"/>
              <w:spacing w:line="240" w:lineRule="auto"/>
              <w:ind w:firstLine="0" w:firstLineChars="0"/>
              <w:rPr>
                <w:rFonts w:hint="eastAsia" w:cs="仿宋"/>
              </w:rPr>
            </w:pPr>
          </w:p>
        </w:tc>
        <w:tc>
          <w:tcPr>
            <w:tcW w:w="4438" w:type="dxa"/>
            <w:tcBorders>
              <w:bottom w:val="single" w:color="auto" w:sz="4" w:space="0"/>
            </w:tcBorders>
            <w:shd w:val="clear" w:color="auto" w:fill="FFFFFF"/>
            <w:vAlign w:val="center"/>
          </w:tcPr>
          <w:p w14:paraId="5884C0AD">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管理端进行远程运维管理时的运维通信数据完整性由云平台提供安全保障。</w:t>
            </w:r>
          </w:p>
        </w:tc>
        <w:tc>
          <w:tcPr>
            <w:tcW w:w="1502" w:type="dxa"/>
            <w:tcBorders>
              <w:bottom w:val="single" w:color="auto" w:sz="4" w:space="0"/>
            </w:tcBorders>
            <w:shd w:val="clear" w:color="auto" w:fill="FFFFFF"/>
            <w:vAlign w:val="center"/>
          </w:tcPr>
          <w:p w14:paraId="0AE15792">
            <w:pPr>
              <w:wordWrap w:val="0"/>
              <w:spacing w:line="240" w:lineRule="auto"/>
              <w:ind w:firstLine="0" w:firstLineChars="0"/>
              <w:jc w:val="center"/>
              <w:textAlignment w:val="center"/>
              <w:rPr>
                <w:rFonts w:hint="eastAsia" w:cs="仿宋"/>
              </w:rPr>
            </w:pPr>
            <w:r>
              <w:rPr>
                <w:rFonts w:hint="eastAsia" w:cs="仿宋"/>
                <w:lang w:bidi="ar"/>
              </w:rPr>
              <w:t>无</w:t>
            </w:r>
          </w:p>
        </w:tc>
      </w:tr>
      <w:tr w14:paraId="61B0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7E3B9472">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73715AD3">
            <w:pPr>
              <w:wordWrap w:val="0"/>
              <w:spacing w:line="240" w:lineRule="auto"/>
              <w:ind w:firstLine="0" w:firstLineChars="0"/>
              <w:jc w:val="center"/>
              <w:rPr>
                <w:rFonts w:hint="eastAsia" w:cs="仿宋"/>
              </w:rPr>
            </w:pPr>
          </w:p>
        </w:tc>
        <w:tc>
          <w:tcPr>
            <w:tcW w:w="2079" w:type="dxa"/>
            <w:vMerge w:val="restart"/>
            <w:tcBorders>
              <w:bottom w:val="single" w:color="auto" w:sz="4" w:space="0"/>
            </w:tcBorders>
            <w:shd w:val="clear" w:color="auto" w:fill="FFFFFF"/>
            <w:vAlign w:val="center"/>
          </w:tcPr>
          <w:p w14:paraId="736436C0">
            <w:pPr>
              <w:wordWrap w:val="0"/>
              <w:spacing w:line="240" w:lineRule="auto"/>
              <w:ind w:firstLine="0" w:firstLineChars="0"/>
              <w:textAlignment w:val="center"/>
              <w:rPr>
                <w:rFonts w:hint="eastAsia" w:cs="仿宋"/>
              </w:rPr>
            </w:pPr>
            <w:r>
              <w:rPr>
                <w:rFonts w:hint="eastAsia" w:cs="仿宋"/>
                <w:lang w:bidi="ar"/>
              </w:rPr>
              <w:t>通信过程中重要数据的机密性</w:t>
            </w:r>
          </w:p>
        </w:tc>
        <w:tc>
          <w:tcPr>
            <w:tcW w:w="4438" w:type="dxa"/>
            <w:tcBorders>
              <w:bottom w:val="single" w:color="auto" w:sz="4" w:space="0"/>
            </w:tcBorders>
            <w:shd w:val="clear" w:color="auto" w:fill="FFFFFF"/>
            <w:vAlign w:val="center"/>
          </w:tcPr>
          <w:p w14:paraId="4C23DF07">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保护PC端和服务端通信过程中业务数据的机密性，防止敏感数据泄露。</w:t>
            </w:r>
          </w:p>
        </w:tc>
        <w:tc>
          <w:tcPr>
            <w:tcW w:w="1502" w:type="dxa"/>
            <w:tcBorders>
              <w:bottom w:val="single" w:color="auto" w:sz="4" w:space="0"/>
            </w:tcBorders>
            <w:shd w:val="clear" w:color="auto" w:fill="FFFFFF"/>
            <w:vAlign w:val="center"/>
          </w:tcPr>
          <w:p w14:paraId="67EDFD66">
            <w:pPr>
              <w:wordWrap w:val="0"/>
              <w:spacing w:line="240" w:lineRule="auto"/>
              <w:ind w:firstLine="0" w:firstLineChars="0"/>
              <w:jc w:val="center"/>
              <w:textAlignment w:val="center"/>
              <w:rPr>
                <w:rFonts w:hint="eastAsia" w:cs="仿宋"/>
              </w:rPr>
            </w:pPr>
            <w:r>
              <w:rPr>
                <w:rFonts w:hint="eastAsia" w:cs="仿宋"/>
                <w:lang w:bidi="ar"/>
              </w:rPr>
              <w:t>无</w:t>
            </w:r>
          </w:p>
        </w:tc>
      </w:tr>
      <w:tr w14:paraId="3DBC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337A62AB">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3D4F3670">
            <w:pPr>
              <w:wordWrap w:val="0"/>
              <w:spacing w:line="240" w:lineRule="auto"/>
              <w:ind w:firstLine="0" w:firstLineChars="0"/>
              <w:jc w:val="center"/>
              <w:rPr>
                <w:rFonts w:hint="eastAsia" w:cs="仿宋"/>
              </w:rPr>
            </w:pPr>
          </w:p>
        </w:tc>
        <w:tc>
          <w:tcPr>
            <w:tcW w:w="2079" w:type="dxa"/>
            <w:vMerge w:val="continue"/>
            <w:tcBorders>
              <w:bottom w:val="single" w:color="auto" w:sz="4" w:space="0"/>
            </w:tcBorders>
            <w:shd w:val="clear" w:color="auto" w:fill="FFFFFF"/>
            <w:vAlign w:val="center"/>
          </w:tcPr>
          <w:p w14:paraId="3E9019F7">
            <w:pPr>
              <w:wordWrap w:val="0"/>
              <w:spacing w:line="240" w:lineRule="auto"/>
              <w:ind w:firstLine="0" w:firstLineChars="0"/>
              <w:rPr>
                <w:rFonts w:hint="eastAsia" w:cs="仿宋"/>
              </w:rPr>
            </w:pPr>
          </w:p>
        </w:tc>
        <w:tc>
          <w:tcPr>
            <w:tcW w:w="4438" w:type="dxa"/>
            <w:tcBorders>
              <w:bottom w:val="single" w:color="auto" w:sz="4" w:space="0"/>
            </w:tcBorders>
            <w:shd w:val="clear" w:color="auto" w:fill="FFFFFF"/>
            <w:vAlign w:val="center"/>
          </w:tcPr>
          <w:p w14:paraId="20DE21CE">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管理端进行远程运维管理时的运维通信数据机密性由云平台提供安全保障。</w:t>
            </w:r>
          </w:p>
        </w:tc>
        <w:tc>
          <w:tcPr>
            <w:tcW w:w="1502" w:type="dxa"/>
            <w:tcBorders>
              <w:bottom w:val="single" w:color="auto" w:sz="4" w:space="0"/>
            </w:tcBorders>
            <w:shd w:val="clear" w:color="auto" w:fill="FFFFFF"/>
            <w:vAlign w:val="center"/>
          </w:tcPr>
          <w:p w14:paraId="2B28E411">
            <w:pPr>
              <w:wordWrap w:val="0"/>
              <w:spacing w:line="240" w:lineRule="auto"/>
              <w:ind w:firstLine="0" w:firstLineChars="0"/>
              <w:jc w:val="center"/>
              <w:textAlignment w:val="center"/>
              <w:rPr>
                <w:rFonts w:hint="eastAsia" w:cs="仿宋"/>
              </w:rPr>
            </w:pPr>
            <w:r>
              <w:rPr>
                <w:rFonts w:hint="eastAsia" w:cs="仿宋"/>
                <w:lang w:bidi="ar"/>
              </w:rPr>
              <w:t>无</w:t>
            </w:r>
          </w:p>
        </w:tc>
      </w:tr>
      <w:tr w14:paraId="435E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6E35C707">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355F1E49">
            <w:pPr>
              <w:wordWrap w:val="0"/>
              <w:spacing w:line="240" w:lineRule="auto"/>
              <w:ind w:firstLine="0" w:firstLineChars="0"/>
              <w:jc w:val="center"/>
              <w:rPr>
                <w:rFonts w:hint="eastAsia" w:cs="仿宋"/>
              </w:rPr>
            </w:pPr>
          </w:p>
        </w:tc>
        <w:tc>
          <w:tcPr>
            <w:tcW w:w="2079" w:type="dxa"/>
            <w:vMerge w:val="restart"/>
            <w:shd w:val="clear" w:color="auto" w:fill="FFFFFF"/>
            <w:vAlign w:val="center"/>
          </w:tcPr>
          <w:p w14:paraId="6119412A">
            <w:pPr>
              <w:wordWrap w:val="0"/>
              <w:spacing w:line="240" w:lineRule="auto"/>
              <w:ind w:firstLine="0" w:firstLineChars="0"/>
              <w:textAlignment w:val="center"/>
              <w:rPr>
                <w:rFonts w:hint="eastAsia" w:cs="仿宋"/>
              </w:rPr>
            </w:pPr>
            <w:r>
              <w:rPr>
                <w:rFonts w:hint="eastAsia" w:cs="仿宋"/>
                <w:lang w:bidi="ar"/>
              </w:rPr>
              <w:t>网络边界访问控制信息的完整性</w:t>
            </w:r>
          </w:p>
        </w:tc>
        <w:tc>
          <w:tcPr>
            <w:tcW w:w="4438" w:type="dxa"/>
            <w:shd w:val="clear" w:color="auto" w:fill="FFFFFF"/>
            <w:vAlign w:val="center"/>
          </w:tcPr>
          <w:p w14:paraId="65A5BD7A">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保护PC端和服务端通信过程中网络边界访问控制信息的完整性，防止被非授权篡改。</w:t>
            </w:r>
          </w:p>
        </w:tc>
        <w:tc>
          <w:tcPr>
            <w:tcW w:w="1502" w:type="dxa"/>
            <w:shd w:val="clear" w:color="auto" w:fill="FFFFFF"/>
            <w:vAlign w:val="center"/>
          </w:tcPr>
          <w:p w14:paraId="699FF083">
            <w:pPr>
              <w:wordWrap w:val="0"/>
              <w:spacing w:line="240" w:lineRule="auto"/>
              <w:ind w:firstLine="0" w:firstLineChars="0"/>
              <w:jc w:val="center"/>
              <w:textAlignment w:val="center"/>
              <w:rPr>
                <w:rFonts w:hint="eastAsia" w:cs="仿宋"/>
              </w:rPr>
            </w:pPr>
            <w:r>
              <w:rPr>
                <w:rFonts w:hint="eastAsia" w:cs="仿宋"/>
              </w:rPr>
              <w:t>无</w:t>
            </w:r>
          </w:p>
        </w:tc>
      </w:tr>
      <w:tr w14:paraId="46F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090BCA3C">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586F2A4F">
            <w:pPr>
              <w:wordWrap w:val="0"/>
              <w:spacing w:line="240" w:lineRule="auto"/>
              <w:ind w:firstLine="0" w:firstLineChars="0"/>
              <w:jc w:val="center"/>
              <w:rPr>
                <w:rFonts w:hint="eastAsia" w:cs="仿宋"/>
              </w:rPr>
            </w:pPr>
          </w:p>
        </w:tc>
        <w:tc>
          <w:tcPr>
            <w:tcW w:w="2079" w:type="dxa"/>
            <w:vMerge w:val="continue"/>
            <w:tcBorders>
              <w:bottom w:val="single" w:color="auto" w:sz="4" w:space="0"/>
            </w:tcBorders>
            <w:shd w:val="clear" w:color="auto" w:fill="FFFFFF"/>
            <w:vAlign w:val="center"/>
          </w:tcPr>
          <w:p w14:paraId="1AC7C2D5">
            <w:pPr>
              <w:wordWrap w:val="0"/>
              <w:spacing w:line="240" w:lineRule="auto"/>
              <w:ind w:firstLine="0" w:firstLineChars="0"/>
              <w:textAlignment w:val="center"/>
              <w:rPr>
                <w:rFonts w:hint="eastAsia" w:cs="仿宋"/>
                <w:lang w:bidi="ar"/>
              </w:rPr>
            </w:pPr>
          </w:p>
        </w:tc>
        <w:tc>
          <w:tcPr>
            <w:tcW w:w="4438" w:type="dxa"/>
            <w:tcBorders>
              <w:bottom w:val="single" w:color="auto" w:sz="4" w:space="0"/>
            </w:tcBorders>
            <w:shd w:val="clear" w:color="auto" w:fill="FFFFFF"/>
            <w:vAlign w:val="center"/>
          </w:tcPr>
          <w:p w14:paraId="310D979D">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系统网络拓扑中不同区域网络边界访问控制信息的完整性保护由云平台提供。</w:t>
            </w:r>
          </w:p>
        </w:tc>
        <w:tc>
          <w:tcPr>
            <w:tcW w:w="1502" w:type="dxa"/>
            <w:tcBorders>
              <w:bottom w:val="single" w:color="auto" w:sz="4" w:space="0"/>
            </w:tcBorders>
            <w:shd w:val="clear" w:color="auto" w:fill="FFFFFF"/>
            <w:vAlign w:val="center"/>
          </w:tcPr>
          <w:p w14:paraId="239A3FAA">
            <w:pPr>
              <w:wordWrap w:val="0"/>
              <w:spacing w:line="240" w:lineRule="auto"/>
              <w:ind w:firstLine="0" w:firstLineChars="0"/>
              <w:jc w:val="center"/>
              <w:textAlignment w:val="center"/>
              <w:rPr>
                <w:rFonts w:hint="eastAsia" w:cs="仿宋"/>
              </w:rPr>
            </w:pPr>
            <w:r>
              <w:rPr>
                <w:rFonts w:hint="eastAsia" w:cs="仿宋"/>
                <w:lang w:bidi="ar"/>
              </w:rPr>
              <w:t>无</w:t>
            </w:r>
          </w:p>
        </w:tc>
      </w:tr>
      <w:tr w14:paraId="0ED1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3529EDE6">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414A32A9">
            <w:pPr>
              <w:wordWrap w:val="0"/>
              <w:spacing w:line="240" w:lineRule="auto"/>
              <w:ind w:firstLine="0" w:firstLineChars="0"/>
              <w:jc w:val="center"/>
              <w:rPr>
                <w:rFonts w:hint="eastAsia" w:cs="仿宋"/>
              </w:rPr>
            </w:pPr>
          </w:p>
        </w:tc>
        <w:tc>
          <w:tcPr>
            <w:tcW w:w="2079" w:type="dxa"/>
            <w:vMerge w:val="restart"/>
            <w:tcBorders>
              <w:bottom w:val="single" w:color="auto" w:sz="4" w:space="0"/>
            </w:tcBorders>
            <w:shd w:val="clear" w:color="auto" w:fill="FFFFFF"/>
            <w:vAlign w:val="center"/>
          </w:tcPr>
          <w:p w14:paraId="06B752B0">
            <w:pPr>
              <w:wordWrap w:val="0"/>
              <w:spacing w:line="240" w:lineRule="auto"/>
              <w:ind w:firstLine="0" w:firstLineChars="0"/>
              <w:textAlignment w:val="center"/>
              <w:rPr>
                <w:rFonts w:hint="eastAsia" w:cs="仿宋"/>
              </w:rPr>
            </w:pPr>
            <w:r>
              <w:rPr>
                <w:rFonts w:hint="eastAsia" w:cs="仿宋"/>
                <w:lang w:bidi="ar"/>
              </w:rPr>
              <w:t>密码服务</w:t>
            </w:r>
          </w:p>
        </w:tc>
        <w:tc>
          <w:tcPr>
            <w:tcW w:w="4438" w:type="dxa"/>
            <w:tcBorders>
              <w:bottom w:val="single" w:color="auto" w:sz="4" w:space="0"/>
            </w:tcBorders>
            <w:shd w:val="clear" w:color="auto" w:fill="FFFFFF"/>
            <w:vAlign w:val="center"/>
          </w:tcPr>
          <w:p w14:paraId="6D9D0D42">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采用的数字证书由具备资质的电子认证服务机构签发。</w:t>
            </w:r>
          </w:p>
        </w:tc>
        <w:tc>
          <w:tcPr>
            <w:tcW w:w="1502" w:type="dxa"/>
            <w:tcBorders>
              <w:bottom w:val="single" w:color="auto" w:sz="4" w:space="0"/>
            </w:tcBorders>
            <w:shd w:val="clear" w:color="auto" w:fill="FFFFFF"/>
            <w:vAlign w:val="center"/>
          </w:tcPr>
          <w:p w14:paraId="24DCE815">
            <w:pPr>
              <w:wordWrap w:val="0"/>
              <w:spacing w:line="240" w:lineRule="auto"/>
              <w:ind w:firstLine="0" w:firstLineChars="0"/>
              <w:jc w:val="center"/>
              <w:textAlignment w:val="center"/>
              <w:rPr>
                <w:rFonts w:hint="eastAsia" w:cs="仿宋"/>
              </w:rPr>
            </w:pPr>
            <w:r>
              <w:rPr>
                <w:rFonts w:hint="eastAsia" w:cs="仿宋"/>
                <w:lang w:bidi="ar"/>
              </w:rPr>
              <w:t>无</w:t>
            </w:r>
          </w:p>
        </w:tc>
      </w:tr>
      <w:tr w14:paraId="66C0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744F115C">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0DAA0308">
            <w:pPr>
              <w:wordWrap w:val="0"/>
              <w:spacing w:line="240" w:lineRule="auto"/>
              <w:ind w:firstLine="0" w:firstLineChars="0"/>
              <w:jc w:val="center"/>
              <w:rPr>
                <w:rFonts w:hint="eastAsia" w:cs="仿宋"/>
              </w:rPr>
            </w:pPr>
          </w:p>
        </w:tc>
        <w:tc>
          <w:tcPr>
            <w:tcW w:w="2079" w:type="dxa"/>
            <w:vMerge w:val="continue"/>
            <w:shd w:val="clear" w:color="auto" w:fill="FFFFFF"/>
            <w:vAlign w:val="center"/>
          </w:tcPr>
          <w:p w14:paraId="2456FB95">
            <w:pPr>
              <w:wordWrap w:val="0"/>
              <w:spacing w:line="240" w:lineRule="auto"/>
              <w:ind w:firstLine="0" w:firstLineChars="0"/>
              <w:rPr>
                <w:rFonts w:hint="eastAsia" w:cs="仿宋"/>
              </w:rPr>
            </w:pPr>
          </w:p>
        </w:tc>
        <w:tc>
          <w:tcPr>
            <w:tcW w:w="4438" w:type="dxa"/>
            <w:shd w:val="clear" w:color="auto" w:fill="FFFFFF"/>
            <w:vAlign w:val="center"/>
          </w:tcPr>
          <w:p w14:paraId="2DD4D115">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采用的云密码服务由云平台提供。</w:t>
            </w:r>
          </w:p>
        </w:tc>
        <w:tc>
          <w:tcPr>
            <w:tcW w:w="1502" w:type="dxa"/>
            <w:shd w:val="clear" w:color="auto" w:fill="FFFFFF"/>
            <w:vAlign w:val="center"/>
          </w:tcPr>
          <w:p w14:paraId="333E0346">
            <w:pPr>
              <w:wordWrap w:val="0"/>
              <w:spacing w:line="240" w:lineRule="auto"/>
              <w:ind w:firstLine="0" w:firstLineChars="0"/>
              <w:jc w:val="center"/>
              <w:textAlignment w:val="center"/>
              <w:rPr>
                <w:rFonts w:hint="eastAsia" w:cs="仿宋"/>
              </w:rPr>
            </w:pPr>
            <w:r>
              <w:rPr>
                <w:rFonts w:hint="eastAsia" w:cs="仿宋"/>
                <w:lang w:bidi="ar"/>
              </w:rPr>
              <w:t>无</w:t>
            </w:r>
          </w:p>
        </w:tc>
      </w:tr>
      <w:tr w14:paraId="38A6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48EBD797">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49D93FD1">
            <w:pPr>
              <w:wordWrap w:val="0"/>
              <w:spacing w:line="240" w:lineRule="auto"/>
              <w:ind w:firstLine="0" w:firstLineChars="0"/>
              <w:jc w:val="center"/>
              <w:rPr>
                <w:rFonts w:hint="eastAsia" w:cs="仿宋"/>
              </w:rPr>
            </w:pPr>
          </w:p>
        </w:tc>
        <w:tc>
          <w:tcPr>
            <w:tcW w:w="2079" w:type="dxa"/>
            <w:vMerge w:val="restart"/>
            <w:shd w:val="clear" w:color="auto" w:fill="FFFFFF"/>
            <w:vAlign w:val="center"/>
          </w:tcPr>
          <w:p w14:paraId="541D2093">
            <w:pPr>
              <w:wordWrap w:val="0"/>
              <w:spacing w:line="240" w:lineRule="auto"/>
              <w:ind w:firstLine="0" w:firstLineChars="0"/>
              <w:textAlignment w:val="center"/>
              <w:rPr>
                <w:rFonts w:hint="eastAsia" w:cs="仿宋"/>
              </w:rPr>
            </w:pPr>
            <w:r>
              <w:rPr>
                <w:rFonts w:hint="eastAsia" w:cs="仿宋"/>
                <w:lang w:bidi="ar"/>
              </w:rPr>
              <w:t>密码产品</w:t>
            </w:r>
          </w:p>
        </w:tc>
        <w:tc>
          <w:tcPr>
            <w:tcW w:w="4438" w:type="dxa"/>
            <w:shd w:val="clear" w:color="auto" w:fill="FFFFFF"/>
            <w:vAlign w:val="center"/>
          </w:tcPr>
          <w:p w14:paraId="0E87809D">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客户端</w:t>
            </w:r>
            <w:r>
              <w:rPr>
                <w:rFonts w:cs="仿宋"/>
                <w:color w:val="000000" w:themeColor="text1"/>
                <w14:textFill>
                  <w14:solidFill>
                    <w14:schemeClr w14:val="tx1"/>
                  </w14:solidFill>
                </w14:textFill>
              </w:rPr>
              <w:t>采用的安全浏览器、密码模块</w:t>
            </w:r>
            <w:r>
              <w:rPr>
                <w:rFonts w:hint="eastAsia" w:cs="仿宋"/>
                <w:color w:val="000000" w:themeColor="text1"/>
                <w14:textFill>
                  <w14:solidFill>
                    <w14:schemeClr w14:val="tx1"/>
                  </w14:solidFill>
                </w14:textFill>
              </w:rPr>
              <w:t>（</w:t>
            </w:r>
            <w:r>
              <w:rPr>
                <w:rFonts w:cs="仿宋"/>
                <w:color w:val="000000" w:themeColor="text1"/>
                <w14:textFill>
                  <w14:solidFill>
                    <w14:schemeClr w14:val="tx1"/>
                  </w14:solidFill>
                </w14:textFill>
              </w:rPr>
              <w:t>二级</w:t>
            </w:r>
            <w:r>
              <w:rPr>
                <w:rFonts w:hint="eastAsia" w:cs="仿宋"/>
                <w:color w:val="000000" w:themeColor="text1"/>
                <w14:textFill>
                  <w14:solidFill>
                    <w14:schemeClr w14:val="tx1"/>
                  </w14:solidFill>
                </w14:textFill>
              </w:rPr>
              <w:t>）</w:t>
            </w:r>
            <w:r>
              <w:rPr>
                <w:rFonts w:cs="仿宋"/>
                <w:color w:val="000000" w:themeColor="text1"/>
                <w14:textFill>
                  <w14:solidFill>
                    <w14:schemeClr w14:val="tx1"/>
                  </w14:solidFill>
                </w14:textFill>
              </w:rPr>
              <w:t>、USBKey达到GB/T 37092</w:t>
            </w:r>
            <w:r>
              <w:rPr>
                <w:rFonts w:hint="eastAsia" w:cs="仿宋"/>
                <w:color w:val="000000" w:themeColor="text1"/>
                <w14:textFill>
                  <w14:solidFill>
                    <w14:schemeClr w14:val="tx1"/>
                  </w14:solidFill>
                </w14:textFill>
              </w:rPr>
              <w:t>二</w:t>
            </w:r>
            <w:r>
              <w:rPr>
                <w:rFonts w:cs="仿宋"/>
                <w:color w:val="000000" w:themeColor="text1"/>
                <w14:textFill>
                  <w14:solidFill>
                    <w14:schemeClr w14:val="tx1"/>
                  </w14:solidFill>
                </w14:textFill>
              </w:rPr>
              <w:t>级安全要求。</w:t>
            </w:r>
          </w:p>
        </w:tc>
        <w:tc>
          <w:tcPr>
            <w:tcW w:w="1502" w:type="dxa"/>
            <w:shd w:val="clear" w:color="auto" w:fill="FFFFFF"/>
            <w:vAlign w:val="center"/>
          </w:tcPr>
          <w:p w14:paraId="026FD355">
            <w:pPr>
              <w:wordWrap w:val="0"/>
              <w:spacing w:line="240" w:lineRule="auto"/>
              <w:ind w:firstLine="0" w:firstLineChars="0"/>
              <w:jc w:val="center"/>
              <w:textAlignment w:val="center"/>
              <w:rPr>
                <w:rFonts w:hint="eastAsia" w:cs="仿宋"/>
                <w:color w:val="000000" w:themeColor="text1"/>
                <w14:textFill>
                  <w14:solidFill>
                    <w14:schemeClr w14:val="tx1"/>
                  </w14:solidFill>
                </w14:textFill>
              </w:rPr>
            </w:pPr>
            <w:r>
              <w:rPr>
                <w:rFonts w:hint="eastAsia" w:cs="仿宋"/>
              </w:rPr>
              <w:t>无</w:t>
            </w:r>
          </w:p>
        </w:tc>
      </w:tr>
      <w:tr w14:paraId="4930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5865EEC0">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36F30EF0">
            <w:pPr>
              <w:wordWrap w:val="0"/>
              <w:spacing w:line="240" w:lineRule="auto"/>
              <w:ind w:firstLine="0" w:firstLineChars="0"/>
              <w:jc w:val="center"/>
              <w:rPr>
                <w:rFonts w:hint="eastAsia" w:cs="仿宋"/>
              </w:rPr>
            </w:pPr>
          </w:p>
        </w:tc>
        <w:tc>
          <w:tcPr>
            <w:tcW w:w="2079" w:type="dxa"/>
            <w:vMerge w:val="continue"/>
            <w:tcBorders>
              <w:bottom w:val="single" w:color="auto" w:sz="4" w:space="0"/>
            </w:tcBorders>
            <w:shd w:val="clear" w:color="auto" w:fill="FFFFFF"/>
            <w:vAlign w:val="center"/>
          </w:tcPr>
          <w:p w14:paraId="707A5B58">
            <w:pPr>
              <w:wordWrap w:val="0"/>
              <w:spacing w:line="240" w:lineRule="auto"/>
              <w:ind w:firstLine="0" w:firstLineChars="0"/>
              <w:rPr>
                <w:rFonts w:hint="eastAsia" w:cs="仿宋"/>
              </w:rPr>
            </w:pPr>
          </w:p>
        </w:tc>
        <w:tc>
          <w:tcPr>
            <w:tcW w:w="4438" w:type="dxa"/>
            <w:tcBorders>
              <w:bottom w:val="single" w:color="auto" w:sz="4" w:space="0"/>
            </w:tcBorders>
            <w:shd w:val="clear" w:color="auto" w:fill="FFFFFF"/>
            <w:vAlign w:val="center"/>
          </w:tcPr>
          <w:p w14:paraId="2AC8A6DA">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服务端相关的密码产品由云平台提供安全保障。</w:t>
            </w:r>
          </w:p>
        </w:tc>
        <w:tc>
          <w:tcPr>
            <w:tcW w:w="1502" w:type="dxa"/>
            <w:tcBorders>
              <w:bottom w:val="single" w:color="auto" w:sz="4" w:space="0"/>
            </w:tcBorders>
            <w:shd w:val="clear" w:color="auto" w:fill="FFFFFF"/>
            <w:vAlign w:val="center"/>
          </w:tcPr>
          <w:p w14:paraId="7AEE1318">
            <w:pPr>
              <w:wordWrap w:val="0"/>
              <w:spacing w:line="240" w:lineRule="auto"/>
              <w:ind w:firstLine="0" w:firstLineChars="0"/>
              <w:jc w:val="center"/>
              <w:textAlignment w:val="center"/>
              <w:rPr>
                <w:rFonts w:hint="eastAsia" w:cs="仿宋"/>
              </w:rPr>
            </w:pPr>
            <w:r>
              <w:rPr>
                <w:rFonts w:hint="eastAsia" w:cs="仿宋"/>
                <w:lang w:bidi="ar"/>
              </w:rPr>
              <w:t>无</w:t>
            </w:r>
          </w:p>
        </w:tc>
      </w:tr>
      <w:tr w14:paraId="672E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13380E08">
            <w:pPr>
              <w:wordWrap w:val="0"/>
              <w:spacing w:line="240" w:lineRule="auto"/>
              <w:ind w:firstLine="0" w:firstLineChars="0"/>
              <w:jc w:val="center"/>
              <w:textAlignment w:val="center"/>
              <w:rPr>
                <w:rFonts w:hint="eastAsia" w:cs="仿宋"/>
                <w:lang w:bidi="ar"/>
              </w:rPr>
            </w:pPr>
          </w:p>
        </w:tc>
        <w:tc>
          <w:tcPr>
            <w:tcW w:w="633" w:type="dxa"/>
            <w:vMerge w:val="restart"/>
            <w:tcBorders>
              <w:bottom w:val="single" w:color="auto" w:sz="4" w:space="0"/>
            </w:tcBorders>
            <w:shd w:val="clear" w:color="auto" w:fill="FFFFFF"/>
            <w:vAlign w:val="center"/>
          </w:tcPr>
          <w:p w14:paraId="08D299E4">
            <w:pPr>
              <w:wordWrap w:val="0"/>
              <w:spacing w:line="240" w:lineRule="auto"/>
              <w:ind w:firstLine="0" w:firstLineChars="0"/>
              <w:jc w:val="center"/>
              <w:textAlignment w:val="center"/>
              <w:rPr>
                <w:rFonts w:hint="eastAsia" w:cs="仿宋"/>
              </w:rPr>
            </w:pPr>
            <w:r>
              <w:rPr>
                <w:rFonts w:hint="eastAsia" w:cs="仿宋"/>
                <w:lang w:bidi="ar"/>
              </w:rPr>
              <w:t>设备和计算安全</w:t>
            </w:r>
          </w:p>
        </w:tc>
        <w:tc>
          <w:tcPr>
            <w:tcW w:w="2079" w:type="dxa"/>
            <w:tcBorders>
              <w:bottom w:val="single" w:color="auto" w:sz="4" w:space="0"/>
            </w:tcBorders>
            <w:shd w:val="clear" w:color="auto" w:fill="FFFFFF"/>
            <w:vAlign w:val="center"/>
          </w:tcPr>
          <w:p w14:paraId="0AB85D28">
            <w:pPr>
              <w:wordWrap w:val="0"/>
              <w:spacing w:line="240" w:lineRule="auto"/>
              <w:ind w:firstLine="0" w:firstLineChars="0"/>
              <w:textAlignment w:val="center"/>
              <w:rPr>
                <w:rFonts w:hint="eastAsia" w:cs="仿宋"/>
              </w:rPr>
            </w:pPr>
            <w:r>
              <w:rPr>
                <w:rFonts w:hint="eastAsia" w:cs="仿宋"/>
                <w:lang w:bidi="ar"/>
              </w:rPr>
              <w:t>身份鉴别</w:t>
            </w:r>
          </w:p>
        </w:tc>
        <w:tc>
          <w:tcPr>
            <w:tcW w:w="4438" w:type="dxa"/>
            <w:tcBorders>
              <w:bottom w:val="single" w:color="auto" w:sz="4" w:space="0"/>
            </w:tcBorders>
            <w:shd w:val="clear" w:color="auto" w:fill="FFFFFF"/>
            <w:vAlign w:val="center"/>
          </w:tcPr>
          <w:p w14:paraId="2AB3864C">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对服务器虚拟机等设备的远程运维管理员身份真实性进行识别和确认，防止假冒人员登录。</w:t>
            </w:r>
          </w:p>
        </w:tc>
        <w:tc>
          <w:tcPr>
            <w:tcW w:w="1502" w:type="dxa"/>
            <w:tcBorders>
              <w:bottom w:val="single" w:color="auto" w:sz="4" w:space="0"/>
            </w:tcBorders>
            <w:shd w:val="clear" w:color="auto" w:fill="FFFFFF"/>
            <w:vAlign w:val="center"/>
          </w:tcPr>
          <w:p w14:paraId="6EB94AC8">
            <w:pPr>
              <w:wordWrap w:val="0"/>
              <w:spacing w:line="240" w:lineRule="auto"/>
              <w:ind w:firstLine="0" w:firstLineChars="0"/>
              <w:jc w:val="center"/>
              <w:textAlignment w:val="center"/>
              <w:rPr>
                <w:rFonts w:hint="eastAsia" w:cs="仿宋"/>
              </w:rPr>
            </w:pPr>
            <w:r>
              <w:rPr>
                <w:rFonts w:hint="eastAsia" w:cs="仿宋"/>
                <w:lang w:bidi="ar"/>
              </w:rPr>
              <w:t>无</w:t>
            </w:r>
          </w:p>
        </w:tc>
      </w:tr>
      <w:tr w14:paraId="0A12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40CDFD17">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30260A85">
            <w:pPr>
              <w:wordWrap w:val="0"/>
              <w:spacing w:line="240" w:lineRule="auto"/>
              <w:ind w:firstLine="0" w:firstLineChars="0"/>
              <w:jc w:val="center"/>
              <w:rPr>
                <w:rFonts w:hint="eastAsia" w:cs="仿宋"/>
              </w:rPr>
            </w:pPr>
          </w:p>
        </w:tc>
        <w:tc>
          <w:tcPr>
            <w:tcW w:w="2079" w:type="dxa"/>
            <w:tcBorders>
              <w:bottom w:val="single" w:color="auto" w:sz="4" w:space="0"/>
            </w:tcBorders>
            <w:shd w:val="clear" w:color="auto" w:fill="FFFFFF"/>
            <w:vAlign w:val="center"/>
          </w:tcPr>
          <w:p w14:paraId="2F26D4E8">
            <w:pPr>
              <w:wordWrap w:val="0"/>
              <w:spacing w:line="240" w:lineRule="auto"/>
              <w:ind w:firstLine="0" w:firstLineChars="0"/>
              <w:textAlignment w:val="center"/>
              <w:rPr>
                <w:rFonts w:hint="eastAsia" w:cs="仿宋"/>
              </w:rPr>
            </w:pPr>
            <w:r>
              <w:rPr>
                <w:rFonts w:hint="eastAsia" w:cs="仿宋"/>
                <w:lang w:bidi="ar"/>
              </w:rPr>
              <w:t>系统资源访问控制信息完整性</w:t>
            </w:r>
          </w:p>
        </w:tc>
        <w:tc>
          <w:tcPr>
            <w:tcW w:w="4438" w:type="dxa"/>
            <w:tcBorders>
              <w:bottom w:val="single" w:color="auto" w:sz="4" w:space="0"/>
            </w:tcBorders>
            <w:shd w:val="clear" w:color="auto" w:fill="FFFFFF"/>
            <w:vAlign w:val="center"/>
          </w:tcPr>
          <w:p w14:paraId="0E1BBA53">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保护服务器虚拟机、数据库等设备访问控制信息的完整性，防止被非授权篡改。</w:t>
            </w:r>
          </w:p>
        </w:tc>
        <w:tc>
          <w:tcPr>
            <w:tcW w:w="1502" w:type="dxa"/>
            <w:tcBorders>
              <w:bottom w:val="single" w:color="auto" w:sz="4" w:space="0"/>
            </w:tcBorders>
            <w:shd w:val="clear" w:color="auto" w:fill="FFFFFF"/>
            <w:vAlign w:val="center"/>
          </w:tcPr>
          <w:p w14:paraId="76727F62">
            <w:pPr>
              <w:wordWrap w:val="0"/>
              <w:spacing w:line="240" w:lineRule="auto"/>
              <w:ind w:firstLine="0" w:firstLineChars="0"/>
              <w:jc w:val="center"/>
              <w:textAlignment w:val="center"/>
              <w:rPr>
                <w:rFonts w:hint="eastAsia" w:cs="仿宋"/>
              </w:rPr>
            </w:pPr>
            <w:r>
              <w:rPr>
                <w:rFonts w:hint="eastAsia" w:cs="仿宋"/>
                <w:lang w:bidi="ar"/>
              </w:rPr>
              <w:t>无</w:t>
            </w:r>
          </w:p>
        </w:tc>
      </w:tr>
      <w:tr w14:paraId="2C64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3" w:type="dxa"/>
            <w:vMerge w:val="continue"/>
            <w:shd w:val="clear" w:color="auto" w:fill="FFFFFF"/>
            <w:vAlign w:val="center"/>
          </w:tcPr>
          <w:p w14:paraId="4C327D96">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2FE5BAFB">
            <w:pPr>
              <w:wordWrap w:val="0"/>
              <w:spacing w:line="240" w:lineRule="auto"/>
              <w:ind w:firstLine="0" w:firstLineChars="0"/>
              <w:jc w:val="center"/>
              <w:rPr>
                <w:rFonts w:hint="eastAsia" w:cs="仿宋"/>
              </w:rPr>
            </w:pPr>
          </w:p>
        </w:tc>
        <w:tc>
          <w:tcPr>
            <w:tcW w:w="2079" w:type="dxa"/>
            <w:tcBorders>
              <w:bottom w:val="single" w:color="auto" w:sz="4" w:space="0"/>
            </w:tcBorders>
            <w:shd w:val="clear" w:color="auto" w:fill="FFFFFF"/>
            <w:vAlign w:val="center"/>
          </w:tcPr>
          <w:p w14:paraId="5DC6257C">
            <w:pPr>
              <w:wordWrap w:val="0"/>
              <w:spacing w:line="240" w:lineRule="auto"/>
              <w:ind w:firstLine="0" w:firstLineChars="0"/>
              <w:textAlignment w:val="center"/>
              <w:rPr>
                <w:rFonts w:hint="eastAsia" w:cs="仿宋"/>
              </w:rPr>
            </w:pPr>
            <w:r>
              <w:rPr>
                <w:rFonts w:hint="eastAsia" w:cs="仿宋"/>
                <w:lang w:bidi="ar"/>
              </w:rPr>
              <w:t>日志记录完整性</w:t>
            </w:r>
          </w:p>
        </w:tc>
        <w:tc>
          <w:tcPr>
            <w:tcW w:w="4438" w:type="dxa"/>
            <w:tcBorders>
              <w:bottom w:val="single" w:color="auto" w:sz="4" w:space="0"/>
            </w:tcBorders>
            <w:shd w:val="clear" w:color="auto" w:fill="FFFFFF"/>
            <w:vAlign w:val="center"/>
          </w:tcPr>
          <w:p w14:paraId="4B875462">
            <w:pPr>
              <w:wordWrap w:val="0"/>
              <w:spacing w:line="240" w:lineRule="auto"/>
              <w:ind w:firstLine="0" w:firstLineChars="0"/>
              <w:textAlignment w:val="center"/>
              <w:rPr>
                <w:rFonts w:hint="eastAsia" w:cs="仿宋"/>
                <w:color w:val="000000" w:themeColor="text1"/>
                <w14:textFill>
                  <w14:solidFill>
                    <w14:schemeClr w14:val="tx1"/>
                  </w14:solidFill>
                </w14:textFill>
              </w:rPr>
            </w:pPr>
            <w:r>
              <w:rPr>
                <w:rFonts w:hint="eastAsia" w:cs="仿宋"/>
                <w:color w:val="000000" w:themeColor="text1"/>
                <w:lang w:bidi="ar"/>
                <w14:textFill>
                  <w14:solidFill>
                    <w14:schemeClr w14:val="tx1"/>
                  </w14:solidFill>
                </w14:textFill>
              </w:rPr>
              <w:t>保护服务器虚拟机、数据库等设备中日志记录的完整性，防止被非授权篡改。</w:t>
            </w:r>
          </w:p>
        </w:tc>
        <w:tc>
          <w:tcPr>
            <w:tcW w:w="1502" w:type="dxa"/>
            <w:tcBorders>
              <w:bottom w:val="single" w:color="auto" w:sz="4" w:space="0"/>
            </w:tcBorders>
            <w:shd w:val="clear" w:color="auto" w:fill="FFFFFF"/>
            <w:vAlign w:val="center"/>
          </w:tcPr>
          <w:p w14:paraId="7FA0223F">
            <w:pPr>
              <w:wordWrap w:val="0"/>
              <w:spacing w:line="240" w:lineRule="auto"/>
              <w:ind w:firstLine="0" w:firstLineChars="0"/>
              <w:jc w:val="center"/>
              <w:textAlignment w:val="center"/>
              <w:rPr>
                <w:rFonts w:hint="eastAsia" w:cs="仿宋"/>
              </w:rPr>
            </w:pPr>
            <w:r>
              <w:rPr>
                <w:rFonts w:hint="eastAsia" w:cs="仿宋"/>
                <w:lang w:bidi="ar"/>
              </w:rPr>
              <w:t>无</w:t>
            </w:r>
          </w:p>
        </w:tc>
      </w:tr>
      <w:tr w14:paraId="2354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26B6F111">
            <w:pPr>
              <w:wordWrap w:val="0"/>
              <w:spacing w:line="240" w:lineRule="auto"/>
              <w:ind w:firstLine="0" w:firstLineChars="0"/>
              <w:jc w:val="center"/>
              <w:rPr>
                <w:rFonts w:hint="eastAsia" w:cs="仿宋"/>
              </w:rPr>
            </w:pPr>
          </w:p>
        </w:tc>
        <w:tc>
          <w:tcPr>
            <w:tcW w:w="633" w:type="dxa"/>
            <w:vMerge w:val="continue"/>
            <w:tcBorders>
              <w:bottom w:val="single" w:color="auto" w:sz="4" w:space="0"/>
            </w:tcBorders>
            <w:shd w:val="clear" w:color="auto" w:fill="FFFFFF"/>
            <w:vAlign w:val="center"/>
          </w:tcPr>
          <w:p w14:paraId="3C980F4B">
            <w:pPr>
              <w:wordWrap w:val="0"/>
              <w:spacing w:line="240" w:lineRule="auto"/>
              <w:ind w:firstLine="0" w:firstLineChars="0"/>
              <w:jc w:val="center"/>
              <w:rPr>
                <w:rFonts w:hint="eastAsia" w:cs="仿宋"/>
              </w:rPr>
            </w:pPr>
          </w:p>
        </w:tc>
        <w:tc>
          <w:tcPr>
            <w:tcW w:w="2079" w:type="dxa"/>
            <w:tcBorders>
              <w:bottom w:val="single" w:color="auto" w:sz="4" w:space="0"/>
            </w:tcBorders>
            <w:shd w:val="clear" w:color="auto" w:fill="FFFFFF"/>
            <w:vAlign w:val="center"/>
          </w:tcPr>
          <w:p w14:paraId="196B0D0E">
            <w:pPr>
              <w:wordWrap w:val="0"/>
              <w:spacing w:line="240" w:lineRule="auto"/>
              <w:ind w:firstLine="0" w:firstLineChars="0"/>
              <w:textAlignment w:val="center"/>
              <w:rPr>
                <w:rFonts w:hint="eastAsia" w:cs="仿宋"/>
              </w:rPr>
            </w:pPr>
            <w:r>
              <w:rPr>
                <w:rFonts w:hint="eastAsia" w:cs="仿宋"/>
                <w:lang w:bidi="ar"/>
              </w:rPr>
              <w:t>密码服务</w:t>
            </w:r>
          </w:p>
        </w:tc>
        <w:tc>
          <w:tcPr>
            <w:tcW w:w="4438" w:type="dxa"/>
            <w:tcBorders>
              <w:bottom w:val="single" w:color="auto" w:sz="4" w:space="0"/>
            </w:tcBorders>
            <w:shd w:val="clear" w:color="auto" w:fill="FFFFFF"/>
            <w:vAlign w:val="center"/>
          </w:tcPr>
          <w:p w14:paraId="65C358BE">
            <w:pPr>
              <w:wordWrap w:val="0"/>
              <w:spacing w:line="240" w:lineRule="auto"/>
              <w:ind w:firstLine="0" w:firstLineChars="0"/>
              <w:textAlignment w:val="center"/>
              <w:rPr>
                <w:rFonts w:hint="eastAsia" w:cs="仿宋"/>
              </w:rPr>
            </w:pPr>
            <w:r>
              <w:rPr>
                <w:rFonts w:hint="eastAsia" w:cs="仿宋"/>
                <w:lang w:bidi="ar"/>
              </w:rPr>
              <w:t>采用的云密码服务由云平台提供。</w:t>
            </w:r>
          </w:p>
        </w:tc>
        <w:tc>
          <w:tcPr>
            <w:tcW w:w="1502" w:type="dxa"/>
            <w:tcBorders>
              <w:bottom w:val="single" w:color="auto" w:sz="4" w:space="0"/>
            </w:tcBorders>
            <w:shd w:val="clear" w:color="auto" w:fill="FFFFFF"/>
          </w:tcPr>
          <w:p w14:paraId="537AA19A">
            <w:pPr>
              <w:wordWrap w:val="0"/>
              <w:spacing w:line="240" w:lineRule="auto"/>
              <w:ind w:firstLine="0" w:firstLineChars="0"/>
              <w:jc w:val="center"/>
              <w:textAlignment w:val="center"/>
              <w:rPr>
                <w:rFonts w:hint="eastAsia" w:cs="仿宋"/>
              </w:rPr>
            </w:pPr>
            <w:r>
              <w:rPr>
                <w:rFonts w:hint="eastAsia" w:cs="仿宋"/>
                <w:lang w:bidi="ar"/>
              </w:rPr>
              <w:t>无</w:t>
            </w:r>
          </w:p>
        </w:tc>
      </w:tr>
      <w:tr w14:paraId="20E0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297C21D8">
            <w:pPr>
              <w:wordWrap w:val="0"/>
              <w:spacing w:line="240" w:lineRule="auto"/>
              <w:ind w:firstLine="0" w:firstLineChars="0"/>
              <w:jc w:val="center"/>
              <w:rPr>
                <w:rFonts w:hint="eastAsia" w:cs="仿宋"/>
              </w:rPr>
            </w:pPr>
          </w:p>
        </w:tc>
        <w:tc>
          <w:tcPr>
            <w:tcW w:w="633" w:type="dxa"/>
            <w:vMerge w:val="continue"/>
            <w:shd w:val="clear" w:color="auto" w:fill="FFFFFF"/>
            <w:vAlign w:val="center"/>
          </w:tcPr>
          <w:p w14:paraId="6C430053">
            <w:pPr>
              <w:wordWrap w:val="0"/>
              <w:spacing w:line="240" w:lineRule="auto"/>
              <w:ind w:firstLine="0" w:firstLineChars="0"/>
              <w:jc w:val="center"/>
              <w:rPr>
                <w:rFonts w:hint="eastAsia" w:cs="仿宋"/>
              </w:rPr>
            </w:pPr>
          </w:p>
        </w:tc>
        <w:tc>
          <w:tcPr>
            <w:tcW w:w="2079" w:type="dxa"/>
            <w:shd w:val="clear" w:color="auto" w:fill="FFFFFF"/>
            <w:vAlign w:val="center"/>
          </w:tcPr>
          <w:p w14:paraId="22D2BA6B">
            <w:pPr>
              <w:wordWrap w:val="0"/>
              <w:spacing w:line="240" w:lineRule="auto"/>
              <w:ind w:firstLine="0" w:firstLineChars="0"/>
              <w:textAlignment w:val="center"/>
              <w:rPr>
                <w:rFonts w:hint="eastAsia" w:cs="仿宋"/>
              </w:rPr>
            </w:pPr>
            <w:r>
              <w:rPr>
                <w:rFonts w:hint="eastAsia" w:cs="仿宋"/>
                <w:lang w:bidi="ar"/>
              </w:rPr>
              <w:t>密码产品</w:t>
            </w:r>
          </w:p>
        </w:tc>
        <w:tc>
          <w:tcPr>
            <w:tcW w:w="4438" w:type="dxa"/>
            <w:shd w:val="clear" w:color="auto" w:fill="FFFFFF"/>
            <w:vAlign w:val="center"/>
          </w:tcPr>
          <w:p w14:paraId="404D5A20">
            <w:pPr>
              <w:wordWrap w:val="0"/>
              <w:spacing w:line="240" w:lineRule="auto"/>
              <w:ind w:firstLine="0" w:firstLineChars="0"/>
              <w:textAlignment w:val="center"/>
              <w:rPr>
                <w:rFonts w:hint="eastAsia" w:cs="仿宋"/>
                <w:lang w:bidi="ar"/>
              </w:rPr>
            </w:pPr>
            <w:r>
              <w:rPr>
                <w:rFonts w:hint="eastAsia" w:cs="仿宋"/>
                <w:lang w:bidi="ar"/>
              </w:rPr>
              <w:t>服务端相关的密码产品由云平台提供安全保障。</w:t>
            </w:r>
          </w:p>
        </w:tc>
        <w:tc>
          <w:tcPr>
            <w:tcW w:w="1502" w:type="dxa"/>
            <w:shd w:val="clear" w:color="auto" w:fill="FFFFFF"/>
            <w:vAlign w:val="center"/>
          </w:tcPr>
          <w:p w14:paraId="2697FF34">
            <w:pPr>
              <w:wordWrap w:val="0"/>
              <w:spacing w:line="240" w:lineRule="auto"/>
              <w:ind w:firstLine="0" w:firstLineChars="0"/>
              <w:jc w:val="center"/>
              <w:textAlignment w:val="center"/>
              <w:rPr>
                <w:rFonts w:hint="eastAsia" w:cs="仿宋"/>
                <w:lang w:bidi="ar"/>
              </w:rPr>
            </w:pPr>
            <w:r>
              <w:rPr>
                <w:rFonts w:hint="eastAsia" w:cs="仿宋"/>
                <w:lang w:bidi="ar"/>
              </w:rPr>
              <w:t>无</w:t>
            </w:r>
          </w:p>
        </w:tc>
      </w:tr>
      <w:tr w14:paraId="68EF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restart"/>
            <w:shd w:val="clear" w:color="auto" w:fill="FFFFFF"/>
            <w:vAlign w:val="center"/>
          </w:tcPr>
          <w:p w14:paraId="75B12586">
            <w:pPr>
              <w:wordWrap w:val="0"/>
              <w:spacing w:line="240" w:lineRule="auto"/>
              <w:ind w:firstLine="0" w:firstLineChars="0"/>
              <w:jc w:val="center"/>
              <w:textAlignment w:val="center"/>
              <w:rPr>
                <w:rFonts w:hint="eastAsia" w:cs="仿宋"/>
                <w:lang w:bidi="ar"/>
              </w:rPr>
            </w:pPr>
            <w:r>
              <w:rPr>
                <w:rFonts w:hint="eastAsia" w:cs="仿宋"/>
                <w:lang w:bidi="ar"/>
              </w:rPr>
              <w:t>业务应用安全</w:t>
            </w:r>
          </w:p>
        </w:tc>
        <w:tc>
          <w:tcPr>
            <w:tcW w:w="633" w:type="dxa"/>
            <w:vMerge w:val="restart"/>
            <w:tcBorders>
              <w:bottom w:val="single" w:color="auto" w:sz="4" w:space="0"/>
            </w:tcBorders>
            <w:shd w:val="clear" w:color="auto" w:fill="FFFFFF"/>
            <w:vAlign w:val="center"/>
          </w:tcPr>
          <w:p w14:paraId="2BC152C5">
            <w:pPr>
              <w:wordWrap w:val="0"/>
              <w:spacing w:line="240" w:lineRule="auto"/>
              <w:ind w:firstLine="0" w:firstLineChars="0"/>
              <w:jc w:val="center"/>
              <w:textAlignment w:val="center"/>
              <w:rPr>
                <w:rFonts w:hint="eastAsia" w:cs="仿宋"/>
              </w:rPr>
            </w:pPr>
            <w:r>
              <w:rPr>
                <w:rFonts w:hint="eastAsia" w:cs="仿宋"/>
                <w:lang w:bidi="ar"/>
              </w:rPr>
              <w:t>应用和数据安全</w:t>
            </w:r>
          </w:p>
        </w:tc>
        <w:tc>
          <w:tcPr>
            <w:tcW w:w="2079" w:type="dxa"/>
            <w:tcBorders>
              <w:bottom w:val="single" w:color="auto" w:sz="4" w:space="0"/>
            </w:tcBorders>
            <w:shd w:val="clear" w:color="auto" w:fill="FFFFFF"/>
            <w:vAlign w:val="center"/>
          </w:tcPr>
          <w:p w14:paraId="63CCF482">
            <w:pPr>
              <w:wordWrap w:val="0"/>
              <w:spacing w:line="240" w:lineRule="auto"/>
              <w:ind w:firstLine="0" w:firstLineChars="0"/>
              <w:textAlignment w:val="center"/>
              <w:rPr>
                <w:rFonts w:hint="eastAsia" w:cs="仿宋"/>
              </w:rPr>
            </w:pPr>
            <w:r>
              <w:rPr>
                <w:rFonts w:hint="eastAsia" w:cs="仿宋"/>
                <w:lang w:bidi="ar"/>
              </w:rPr>
              <w:t>身份鉴别</w:t>
            </w:r>
          </w:p>
        </w:tc>
        <w:tc>
          <w:tcPr>
            <w:tcW w:w="4438" w:type="dxa"/>
            <w:tcBorders>
              <w:bottom w:val="single" w:color="auto" w:sz="4" w:space="0"/>
            </w:tcBorders>
            <w:shd w:val="clear" w:color="auto" w:fill="FFFFFF"/>
            <w:vAlign w:val="center"/>
          </w:tcPr>
          <w:p w14:paraId="119593FF">
            <w:pPr>
              <w:wordWrap w:val="0"/>
              <w:spacing w:line="240" w:lineRule="auto"/>
              <w:ind w:firstLine="0" w:firstLineChars="0"/>
              <w:textAlignment w:val="center"/>
              <w:rPr>
                <w:rFonts w:hint="eastAsia" w:cs="仿宋"/>
              </w:rPr>
            </w:pPr>
            <w:r>
              <w:rPr>
                <w:rFonts w:hint="eastAsia" w:cs="仿宋"/>
                <w:lang w:bidi="ar"/>
              </w:rPr>
              <w:t>确认</w:t>
            </w:r>
            <w:r>
              <w:rPr>
                <w:rFonts w:hint="eastAsia" w:cs="仿宋"/>
                <w:color w:val="000000" w:themeColor="text1"/>
                <w:lang w:bidi="ar"/>
                <w14:textFill>
                  <w14:solidFill>
                    <w14:schemeClr w14:val="tx1"/>
                  </w14:solidFill>
                </w14:textFill>
              </w:rPr>
              <w:t>PC端登录</w:t>
            </w:r>
            <w:r>
              <w:rPr>
                <w:rFonts w:hint="eastAsia" w:cs="仿宋"/>
                <w:lang w:bidi="ar"/>
              </w:rPr>
              <w:t>用户的身份真实性，防止假冒人员登录。</w:t>
            </w:r>
          </w:p>
        </w:tc>
        <w:tc>
          <w:tcPr>
            <w:tcW w:w="1502" w:type="dxa"/>
            <w:tcBorders>
              <w:bottom w:val="single" w:color="auto" w:sz="4" w:space="0"/>
            </w:tcBorders>
            <w:shd w:val="clear" w:color="auto" w:fill="FFFFFF"/>
            <w:vAlign w:val="center"/>
          </w:tcPr>
          <w:p w14:paraId="076A9AE9">
            <w:pPr>
              <w:wordWrap w:val="0"/>
              <w:spacing w:line="240" w:lineRule="auto"/>
              <w:ind w:firstLine="0" w:firstLineChars="0"/>
              <w:jc w:val="center"/>
              <w:textAlignment w:val="center"/>
              <w:rPr>
                <w:rFonts w:hint="eastAsia" w:cs="仿宋"/>
              </w:rPr>
            </w:pPr>
            <w:r>
              <w:rPr>
                <w:rFonts w:hint="eastAsia" w:cs="仿宋"/>
                <w:lang w:bidi="ar"/>
              </w:rPr>
              <w:t>无</w:t>
            </w:r>
          </w:p>
        </w:tc>
      </w:tr>
      <w:tr w14:paraId="1E95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60478ACD">
            <w:pPr>
              <w:wordWrap w:val="0"/>
              <w:spacing w:line="240" w:lineRule="auto"/>
              <w:ind w:firstLine="0" w:firstLineChars="0"/>
              <w:rPr>
                <w:rFonts w:hint="eastAsia" w:cs="仿宋"/>
              </w:rPr>
            </w:pPr>
          </w:p>
        </w:tc>
        <w:tc>
          <w:tcPr>
            <w:tcW w:w="633" w:type="dxa"/>
            <w:vMerge w:val="continue"/>
            <w:tcBorders>
              <w:bottom w:val="single" w:color="auto" w:sz="4" w:space="0"/>
            </w:tcBorders>
            <w:shd w:val="clear" w:color="auto" w:fill="FFFFFF"/>
            <w:vAlign w:val="center"/>
          </w:tcPr>
          <w:p w14:paraId="664E5EF9">
            <w:pPr>
              <w:wordWrap w:val="0"/>
              <w:spacing w:line="240" w:lineRule="auto"/>
              <w:ind w:firstLine="0" w:firstLineChars="0"/>
              <w:rPr>
                <w:rFonts w:hint="eastAsia" w:cs="仿宋"/>
              </w:rPr>
            </w:pPr>
          </w:p>
        </w:tc>
        <w:tc>
          <w:tcPr>
            <w:tcW w:w="2079" w:type="dxa"/>
            <w:tcBorders>
              <w:bottom w:val="single" w:color="auto" w:sz="4" w:space="0"/>
            </w:tcBorders>
            <w:shd w:val="clear" w:color="auto" w:fill="FFFFFF"/>
            <w:vAlign w:val="center"/>
          </w:tcPr>
          <w:p w14:paraId="5CA8C9E4">
            <w:pPr>
              <w:wordWrap w:val="0"/>
              <w:spacing w:line="240" w:lineRule="auto"/>
              <w:ind w:firstLine="0" w:firstLineChars="0"/>
              <w:textAlignment w:val="center"/>
              <w:rPr>
                <w:rFonts w:hint="eastAsia" w:cs="仿宋"/>
              </w:rPr>
            </w:pPr>
            <w:r>
              <w:rPr>
                <w:rFonts w:hint="eastAsia" w:cs="仿宋"/>
                <w:lang w:bidi="ar"/>
              </w:rPr>
              <w:t>访问控制信息完整性</w:t>
            </w:r>
          </w:p>
        </w:tc>
        <w:tc>
          <w:tcPr>
            <w:tcW w:w="4438" w:type="dxa"/>
            <w:tcBorders>
              <w:bottom w:val="single" w:color="auto" w:sz="4" w:space="0"/>
            </w:tcBorders>
            <w:shd w:val="clear" w:color="auto" w:fill="FFFFFF"/>
            <w:vAlign w:val="center"/>
          </w:tcPr>
          <w:p w14:paraId="3D697153">
            <w:pPr>
              <w:wordWrap w:val="0"/>
              <w:spacing w:line="240" w:lineRule="auto"/>
              <w:ind w:firstLine="0" w:firstLineChars="0"/>
              <w:textAlignment w:val="center"/>
              <w:rPr>
                <w:rFonts w:hint="eastAsia" w:cs="仿宋"/>
              </w:rPr>
            </w:pPr>
            <w:r>
              <w:rPr>
                <w:rFonts w:hint="eastAsia" w:cs="仿宋"/>
                <w:lang w:bidi="ar"/>
              </w:rPr>
              <w:t>对应用系统的访问权限控制列表进行完整性保护，防止被非授权篡改。</w:t>
            </w:r>
          </w:p>
        </w:tc>
        <w:tc>
          <w:tcPr>
            <w:tcW w:w="1502" w:type="dxa"/>
            <w:tcBorders>
              <w:bottom w:val="single" w:color="auto" w:sz="4" w:space="0"/>
            </w:tcBorders>
            <w:shd w:val="clear" w:color="auto" w:fill="FFFFFF"/>
            <w:vAlign w:val="center"/>
          </w:tcPr>
          <w:p w14:paraId="307902EA">
            <w:pPr>
              <w:wordWrap w:val="0"/>
              <w:spacing w:line="240" w:lineRule="auto"/>
              <w:ind w:firstLine="0" w:firstLineChars="0"/>
              <w:jc w:val="center"/>
              <w:textAlignment w:val="center"/>
              <w:rPr>
                <w:rFonts w:hint="eastAsia" w:cs="仿宋"/>
              </w:rPr>
            </w:pPr>
            <w:r>
              <w:rPr>
                <w:rFonts w:hint="eastAsia" w:cs="仿宋"/>
                <w:lang w:bidi="ar"/>
              </w:rPr>
              <w:t>无</w:t>
            </w:r>
          </w:p>
        </w:tc>
      </w:tr>
      <w:tr w14:paraId="098D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508021AA">
            <w:pPr>
              <w:wordWrap w:val="0"/>
              <w:spacing w:line="240" w:lineRule="auto"/>
              <w:ind w:firstLine="0" w:firstLineChars="0"/>
              <w:rPr>
                <w:rFonts w:hint="eastAsia" w:cs="仿宋"/>
              </w:rPr>
            </w:pPr>
          </w:p>
        </w:tc>
        <w:tc>
          <w:tcPr>
            <w:tcW w:w="633" w:type="dxa"/>
            <w:vMerge w:val="continue"/>
            <w:shd w:val="clear" w:color="auto" w:fill="FFFFFF"/>
            <w:vAlign w:val="center"/>
          </w:tcPr>
          <w:p w14:paraId="7050EB17">
            <w:pPr>
              <w:wordWrap w:val="0"/>
              <w:spacing w:line="240" w:lineRule="auto"/>
              <w:ind w:firstLine="0" w:firstLineChars="0"/>
              <w:rPr>
                <w:rFonts w:hint="eastAsia" w:cs="仿宋"/>
              </w:rPr>
            </w:pPr>
          </w:p>
        </w:tc>
        <w:tc>
          <w:tcPr>
            <w:tcW w:w="2079" w:type="dxa"/>
            <w:shd w:val="clear" w:color="auto" w:fill="FFFFFF"/>
            <w:vAlign w:val="center"/>
          </w:tcPr>
          <w:p w14:paraId="5AD97481">
            <w:pPr>
              <w:wordWrap w:val="0"/>
              <w:spacing w:line="240" w:lineRule="auto"/>
              <w:ind w:firstLine="0" w:firstLineChars="0"/>
              <w:textAlignment w:val="center"/>
              <w:rPr>
                <w:rFonts w:hint="eastAsia" w:cs="仿宋"/>
              </w:rPr>
            </w:pPr>
            <w:r>
              <w:rPr>
                <w:rFonts w:hint="eastAsia" w:cs="仿宋"/>
                <w:lang w:bidi="ar"/>
              </w:rPr>
              <w:t>重要数据传输机密性</w:t>
            </w:r>
          </w:p>
        </w:tc>
        <w:tc>
          <w:tcPr>
            <w:tcW w:w="4438" w:type="dxa"/>
            <w:vMerge w:val="restart"/>
            <w:shd w:val="clear" w:color="auto" w:fill="FFFFFF"/>
            <w:vAlign w:val="center"/>
          </w:tcPr>
          <w:p w14:paraId="5592E22E">
            <w:pPr>
              <w:wordWrap w:val="0"/>
              <w:spacing w:line="240" w:lineRule="auto"/>
              <w:ind w:firstLine="0" w:firstLineChars="0"/>
              <w:textAlignment w:val="center"/>
              <w:rPr>
                <w:rFonts w:hint="eastAsia" w:cs="仿宋"/>
              </w:rPr>
            </w:pPr>
            <w:r>
              <w:rPr>
                <w:rFonts w:hint="eastAsia" w:cs="仿宋"/>
                <w:lang w:bidi="ar"/>
              </w:rPr>
              <w:t>保</w:t>
            </w:r>
            <w:r>
              <w:rPr>
                <w:rFonts w:hint="eastAsia" w:cs="仿宋"/>
                <w:color w:val="000000" w:themeColor="text1"/>
                <w:lang w:bidi="ar"/>
                <w14:textFill>
                  <w14:solidFill>
                    <w14:schemeClr w14:val="tx1"/>
                  </w14:solidFill>
                </w14:textFill>
              </w:rPr>
              <w:t>护PC端和</w:t>
            </w:r>
            <w:r>
              <w:rPr>
                <w:rFonts w:hint="eastAsia" w:cs="仿宋"/>
                <w:lang w:bidi="ar"/>
              </w:rPr>
              <w:t>服务端之间传输和存储的用户身份鉴别信息等重要数据的机密性和完整性，防止数据泄露给非授权的个人、进程等。保护系统业务日志数据的完整性，防止该数据被非授权篡改。</w:t>
            </w:r>
          </w:p>
        </w:tc>
        <w:tc>
          <w:tcPr>
            <w:tcW w:w="1502" w:type="dxa"/>
            <w:vMerge w:val="restart"/>
            <w:shd w:val="clear" w:color="auto" w:fill="FFFFFF"/>
            <w:vAlign w:val="center"/>
          </w:tcPr>
          <w:p w14:paraId="50556B1A">
            <w:pPr>
              <w:wordWrap w:val="0"/>
              <w:spacing w:line="240" w:lineRule="auto"/>
              <w:ind w:firstLine="0" w:firstLineChars="0"/>
              <w:jc w:val="center"/>
              <w:textAlignment w:val="center"/>
              <w:rPr>
                <w:rFonts w:hint="eastAsia" w:cs="仿宋"/>
              </w:rPr>
            </w:pPr>
            <w:r>
              <w:rPr>
                <w:rFonts w:hint="eastAsia" w:cs="仿宋"/>
                <w:lang w:bidi="ar"/>
              </w:rPr>
              <w:t>无</w:t>
            </w:r>
          </w:p>
        </w:tc>
      </w:tr>
      <w:tr w14:paraId="6F87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79022482">
            <w:pPr>
              <w:wordWrap w:val="0"/>
              <w:spacing w:line="240" w:lineRule="auto"/>
              <w:ind w:firstLine="0" w:firstLineChars="0"/>
              <w:rPr>
                <w:rFonts w:hint="eastAsia" w:cs="仿宋"/>
              </w:rPr>
            </w:pPr>
          </w:p>
        </w:tc>
        <w:tc>
          <w:tcPr>
            <w:tcW w:w="633" w:type="dxa"/>
            <w:vMerge w:val="continue"/>
            <w:shd w:val="clear" w:color="auto" w:fill="FFFFFF"/>
            <w:vAlign w:val="center"/>
          </w:tcPr>
          <w:p w14:paraId="23BD6B91">
            <w:pPr>
              <w:wordWrap w:val="0"/>
              <w:spacing w:line="240" w:lineRule="auto"/>
              <w:ind w:firstLine="0" w:firstLineChars="0"/>
              <w:rPr>
                <w:rFonts w:hint="eastAsia" w:cs="仿宋"/>
              </w:rPr>
            </w:pPr>
          </w:p>
        </w:tc>
        <w:tc>
          <w:tcPr>
            <w:tcW w:w="2079" w:type="dxa"/>
            <w:shd w:val="clear" w:color="auto" w:fill="FFFFFF"/>
            <w:vAlign w:val="center"/>
          </w:tcPr>
          <w:p w14:paraId="24FC92FD">
            <w:pPr>
              <w:wordWrap w:val="0"/>
              <w:spacing w:line="240" w:lineRule="auto"/>
              <w:ind w:firstLine="0" w:firstLineChars="0"/>
              <w:textAlignment w:val="center"/>
              <w:rPr>
                <w:rFonts w:hint="eastAsia" w:cs="仿宋"/>
              </w:rPr>
            </w:pPr>
            <w:r>
              <w:rPr>
                <w:rFonts w:hint="eastAsia" w:cs="仿宋"/>
                <w:lang w:bidi="ar"/>
              </w:rPr>
              <w:t>重要数据存储机密性</w:t>
            </w:r>
          </w:p>
        </w:tc>
        <w:tc>
          <w:tcPr>
            <w:tcW w:w="4438" w:type="dxa"/>
            <w:vMerge w:val="continue"/>
            <w:shd w:val="clear" w:color="auto" w:fill="FFFFFF"/>
            <w:vAlign w:val="center"/>
          </w:tcPr>
          <w:p w14:paraId="7C87ED0E">
            <w:pPr>
              <w:wordWrap w:val="0"/>
              <w:spacing w:line="240" w:lineRule="auto"/>
              <w:ind w:firstLine="0" w:firstLineChars="0"/>
              <w:rPr>
                <w:rFonts w:hint="eastAsia" w:cs="仿宋"/>
              </w:rPr>
            </w:pPr>
          </w:p>
        </w:tc>
        <w:tc>
          <w:tcPr>
            <w:tcW w:w="1502" w:type="dxa"/>
            <w:vMerge w:val="continue"/>
            <w:shd w:val="clear" w:color="auto" w:fill="FFFFFF"/>
            <w:vAlign w:val="center"/>
          </w:tcPr>
          <w:p w14:paraId="26CE42A9">
            <w:pPr>
              <w:wordWrap w:val="0"/>
              <w:spacing w:line="240" w:lineRule="auto"/>
              <w:ind w:firstLine="0" w:firstLineChars="0"/>
              <w:jc w:val="center"/>
              <w:rPr>
                <w:rFonts w:hint="eastAsia" w:cs="仿宋"/>
              </w:rPr>
            </w:pPr>
          </w:p>
        </w:tc>
      </w:tr>
      <w:tr w14:paraId="34A3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2E2A4AE4">
            <w:pPr>
              <w:wordWrap w:val="0"/>
              <w:spacing w:line="240" w:lineRule="auto"/>
              <w:ind w:firstLine="0" w:firstLineChars="0"/>
              <w:rPr>
                <w:rFonts w:hint="eastAsia" w:cs="仿宋"/>
              </w:rPr>
            </w:pPr>
          </w:p>
        </w:tc>
        <w:tc>
          <w:tcPr>
            <w:tcW w:w="633" w:type="dxa"/>
            <w:vMerge w:val="continue"/>
            <w:shd w:val="clear" w:color="auto" w:fill="FFFFFF"/>
            <w:vAlign w:val="center"/>
          </w:tcPr>
          <w:p w14:paraId="73869CA2">
            <w:pPr>
              <w:wordWrap w:val="0"/>
              <w:spacing w:line="240" w:lineRule="auto"/>
              <w:ind w:firstLine="0" w:firstLineChars="0"/>
              <w:rPr>
                <w:rFonts w:hint="eastAsia" w:cs="仿宋"/>
              </w:rPr>
            </w:pPr>
          </w:p>
        </w:tc>
        <w:tc>
          <w:tcPr>
            <w:tcW w:w="2079" w:type="dxa"/>
            <w:shd w:val="clear" w:color="auto" w:fill="FFFFFF"/>
            <w:vAlign w:val="center"/>
          </w:tcPr>
          <w:p w14:paraId="7E558C7F">
            <w:pPr>
              <w:wordWrap w:val="0"/>
              <w:spacing w:line="240" w:lineRule="auto"/>
              <w:ind w:firstLine="0" w:firstLineChars="0"/>
              <w:textAlignment w:val="center"/>
              <w:rPr>
                <w:rFonts w:hint="eastAsia" w:cs="仿宋"/>
              </w:rPr>
            </w:pPr>
            <w:r>
              <w:rPr>
                <w:rFonts w:hint="eastAsia" w:cs="仿宋"/>
                <w:lang w:bidi="ar"/>
              </w:rPr>
              <w:t>重要数据传输完整性</w:t>
            </w:r>
          </w:p>
        </w:tc>
        <w:tc>
          <w:tcPr>
            <w:tcW w:w="4438" w:type="dxa"/>
            <w:vMerge w:val="continue"/>
            <w:shd w:val="clear" w:color="auto" w:fill="FFFFFF"/>
            <w:vAlign w:val="center"/>
          </w:tcPr>
          <w:p w14:paraId="634C1D53">
            <w:pPr>
              <w:wordWrap w:val="0"/>
              <w:spacing w:line="240" w:lineRule="auto"/>
              <w:ind w:firstLine="0" w:firstLineChars="0"/>
              <w:rPr>
                <w:rFonts w:hint="eastAsia" w:cs="仿宋"/>
              </w:rPr>
            </w:pPr>
          </w:p>
        </w:tc>
        <w:tc>
          <w:tcPr>
            <w:tcW w:w="1502" w:type="dxa"/>
            <w:vMerge w:val="continue"/>
            <w:shd w:val="clear" w:color="auto" w:fill="FFFFFF"/>
            <w:vAlign w:val="center"/>
          </w:tcPr>
          <w:p w14:paraId="3609E516">
            <w:pPr>
              <w:wordWrap w:val="0"/>
              <w:spacing w:line="240" w:lineRule="auto"/>
              <w:ind w:firstLine="0" w:firstLineChars="0"/>
              <w:jc w:val="center"/>
              <w:rPr>
                <w:rFonts w:hint="eastAsia" w:cs="仿宋"/>
              </w:rPr>
            </w:pPr>
          </w:p>
        </w:tc>
      </w:tr>
      <w:tr w14:paraId="4FE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7EC3176B">
            <w:pPr>
              <w:wordWrap w:val="0"/>
              <w:spacing w:line="240" w:lineRule="auto"/>
              <w:ind w:firstLine="0" w:firstLineChars="0"/>
              <w:rPr>
                <w:rFonts w:hint="eastAsia" w:cs="仿宋"/>
              </w:rPr>
            </w:pPr>
          </w:p>
        </w:tc>
        <w:tc>
          <w:tcPr>
            <w:tcW w:w="633" w:type="dxa"/>
            <w:vMerge w:val="continue"/>
            <w:shd w:val="clear" w:color="auto" w:fill="FFFFFF"/>
            <w:vAlign w:val="center"/>
          </w:tcPr>
          <w:p w14:paraId="24110C94">
            <w:pPr>
              <w:wordWrap w:val="0"/>
              <w:spacing w:line="240" w:lineRule="auto"/>
              <w:ind w:firstLine="0" w:firstLineChars="0"/>
              <w:rPr>
                <w:rFonts w:hint="eastAsia" w:cs="仿宋"/>
              </w:rPr>
            </w:pPr>
          </w:p>
        </w:tc>
        <w:tc>
          <w:tcPr>
            <w:tcW w:w="2079" w:type="dxa"/>
            <w:shd w:val="clear" w:color="auto" w:fill="FFFFFF"/>
            <w:vAlign w:val="center"/>
          </w:tcPr>
          <w:p w14:paraId="1BF642B1">
            <w:pPr>
              <w:wordWrap w:val="0"/>
              <w:spacing w:line="240" w:lineRule="auto"/>
              <w:ind w:firstLine="0" w:firstLineChars="0"/>
              <w:textAlignment w:val="center"/>
              <w:rPr>
                <w:rFonts w:hint="eastAsia" w:cs="仿宋"/>
                <w:lang w:bidi="ar"/>
              </w:rPr>
            </w:pPr>
            <w:r>
              <w:rPr>
                <w:rFonts w:hint="eastAsia" w:cs="仿宋"/>
                <w:lang w:bidi="ar"/>
              </w:rPr>
              <w:t>重要数据存储完整性</w:t>
            </w:r>
          </w:p>
        </w:tc>
        <w:tc>
          <w:tcPr>
            <w:tcW w:w="4438" w:type="dxa"/>
            <w:vMerge w:val="continue"/>
            <w:shd w:val="clear" w:color="auto" w:fill="FFFFFF"/>
            <w:vAlign w:val="center"/>
          </w:tcPr>
          <w:p w14:paraId="7CE52BC0">
            <w:pPr>
              <w:wordWrap w:val="0"/>
              <w:spacing w:line="240" w:lineRule="auto"/>
              <w:ind w:firstLine="0" w:firstLineChars="0"/>
              <w:rPr>
                <w:rFonts w:hint="eastAsia" w:cs="仿宋"/>
              </w:rPr>
            </w:pPr>
          </w:p>
        </w:tc>
        <w:tc>
          <w:tcPr>
            <w:tcW w:w="1502" w:type="dxa"/>
            <w:vMerge w:val="continue"/>
            <w:shd w:val="clear" w:color="auto" w:fill="FFFFFF"/>
            <w:vAlign w:val="center"/>
          </w:tcPr>
          <w:p w14:paraId="6619C085">
            <w:pPr>
              <w:wordWrap w:val="0"/>
              <w:spacing w:line="240" w:lineRule="auto"/>
              <w:ind w:firstLine="0" w:firstLineChars="0"/>
              <w:jc w:val="center"/>
              <w:rPr>
                <w:rFonts w:hint="eastAsia" w:cs="仿宋"/>
              </w:rPr>
            </w:pPr>
          </w:p>
        </w:tc>
      </w:tr>
      <w:tr w14:paraId="1B44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49B595E9">
            <w:pPr>
              <w:wordWrap w:val="0"/>
              <w:spacing w:line="240" w:lineRule="auto"/>
              <w:ind w:firstLine="0" w:firstLineChars="0"/>
              <w:rPr>
                <w:rFonts w:hint="eastAsia" w:cs="仿宋"/>
              </w:rPr>
            </w:pPr>
          </w:p>
        </w:tc>
        <w:tc>
          <w:tcPr>
            <w:tcW w:w="633" w:type="dxa"/>
            <w:vMerge w:val="continue"/>
            <w:tcBorders>
              <w:bottom w:val="single" w:color="auto" w:sz="4" w:space="0"/>
            </w:tcBorders>
            <w:shd w:val="clear" w:color="auto" w:fill="FFFFFF"/>
            <w:vAlign w:val="center"/>
          </w:tcPr>
          <w:p w14:paraId="737285E7">
            <w:pPr>
              <w:wordWrap w:val="0"/>
              <w:spacing w:line="240" w:lineRule="auto"/>
              <w:ind w:firstLine="0" w:firstLineChars="0"/>
              <w:rPr>
                <w:rFonts w:hint="eastAsia" w:cs="仿宋"/>
              </w:rPr>
            </w:pPr>
          </w:p>
        </w:tc>
        <w:tc>
          <w:tcPr>
            <w:tcW w:w="2079" w:type="dxa"/>
            <w:vMerge w:val="restart"/>
            <w:tcBorders>
              <w:bottom w:val="single" w:color="auto" w:sz="4" w:space="0"/>
            </w:tcBorders>
            <w:shd w:val="clear" w:color="auto" w:fill="FFFFFF"/>
            <w:vAlign w:val="center"/>
          </w:tcPr>
          <w:p w14:paraId="1D189E2E">
            <w:pPr>
              <w:wordWrap w:val="0"/>
              <w:spacing w:line="240" w:lineRule="auto"/>
              <w:ind w:firstLine="0" w:firstLineChars="0"/>
              <w:textAlignment w:val="center"/>
              <w:rPr>
                <w:rFonts w:hint="eastAsia" w:cs="仿宋"/>
              </w:rPr>
            </w:pPr>
            <w:r>
              <w:rPr>
                <w:rFonts w:hint="eastAsia" w:cs="仿宋"/>
                <w:lang w:bidi="ar"/>
              </w:rPr>
              <w:t>密码服务</w:t>
            </w:r>
          </w:p>
        </w:tc>
        <w:tc>
          <w:tcPr>
            <w:tcW w:w="4438" w:type="dxa"/>
            <w:tcBorders>
              <w:bottom w:val="single" w:color="auto" w:sz="4" w:space="0"/>
            </w:tcBorders>
            <w:shd w:val="clear" w:color="auto" w:fill="FFFFFF"/>
            <w:vAlign w:val="center"/>
          </w:tcPr>
          <w:p w14:paraId="5A11A8B2">
            <w:pPr>
              <w:wordWrap w:val="0"/>
              <w:spacing w:line="240" w:lineRule="auto"/>
              <w:ind w:firstLine="0" w:firstLineChars="0"/>
              <w:textAlignment w:val="center"/>
              <w:rPr>
                <w:rFonts w:hint="eastAsia" w:cs="仿宋"/>
              </w:rPr>
            </w:pPr>
            <w:r>
              <w:rPr>
                <w:rFonts w:hint="eastAsia" w:cs="仿宋"/>
                <w:lang w:bidi="ar"/>
              </w:rPr>
              <w:t>采用的数字证书由具备资质的电子认证服务机构签发。</w:t>
            </w:r>
          </w:p>
        </w:tc>
        <w:tc>
          <w:tcPr>
            <w:tcW w:w="1502" w:type="dxa"/>
            <w:tcBorders>
              <w:bottom w:val="single" w:color="auto" w:sz="4" w:space="0"/>
            </w:tcBorders>
            <w:shd w:val="clear" w:color="auto" w:fill="FFFFFF"/>
            <w:vAlign w:val="center"/>
          </w:tcPr>
          <w:p w14:paraId="257A0C61">
            <w:pPr>
              <w:wordWrap w:val="0"/>
              <w:spacing w:line="240" w:lineRule="auto"/>
              <w:ind w:firstLine="0" w:firstLineChars="0"/>
              <w:jc w:val="center"/>
              <w:textAlignment w:val="center"/>
              <w:rPr>
                <w:rFonts w:hint="eastAsia" w:cs="仿宋"/>
              </w:rPr>
            </w:pPr>
            <w:r>
              <w:rPr>
                <w:rFonts w:hint="eastAsia" w:cs="仿宋"/>
                <w:lang w:bidi="ar"/>
              </w:rPr>
              <w:t>无</w:t>
            </w:r>
          </w:p>
        </w:tc>
      </w:tr>
      <w:tr w14:paraId="1DF2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22FCC186">
            <w:pPr>
              <w:wordWrap w:val="0"/>
              <w:spacing w:line="240" w:lineRule="auto"/>
              <w:ind w:firstLine="0" w:firstLineChars="0"/>
              <w:rPr>
                <w:rFonts w:hint="eastAsia" w:cs="仿宋"/>
              </w:rPr>
            </w:pPr>
          </w:p>
        </w:tc>
        <w:tc>
          <w:tcPr>
            <w:tcW w:w="633" w:type="dxa"/>
            <w:vMerge w:val="continue"/>
            <w:tcBorders>
              <w:bottom w:val="single" w:color="auto" w:sz="4" w:space="0"/>
            </w:tcBorders>
            <w:shd w:val="clear" w:color="auto" w:fill="FFFFFF"/>
            <w:vAlign w:val="center"/>
          </w:tcPr>
          <w:p w14:paraId="085FC4C5">
            <w:pPr>
              <w:wordWrap w:val="0"/>
              <w:spacing w:line="240" w:lineRule="auto"/>
              <w:ind w:firstLine="0" w:firstLineChars="0"/>
              <w:rPr>
                <w:rFonts w:hint="eastAsia" w:cs="仿宋"/>
              </w:rPr>
            </w:pPr>
          </w:p>
        </w:tc>
        <w:tc>
          <w:tcPr>
            <w:tcW w:w="2079" w:type="dxa"/>
            <w:vMerge w:val="continue"/>
            <w:tcBorders>
              <w:bottom w:val="single" w:color="auto" w:sz="4" w:space="0"/>
            </w:tcBorders>
            <w:shd w:val="clear" w:color="auto" w:fill="FFFFFF"/>
            <w:vAlign w:val="center"/>
          </w:tcPr>
          <w:p w14:paraId="6C8E5563">
            <w:pPr>
              <w:wordWrap w:val="0"/>
              <w:spacing w:line="240" w:lineRule="auto"/>
              <w:ind w:firstLine="0" w:firstLineChars="0"/>
              <w:rPr>
                <w:rFonts w:hint="eastAsia" w:cs="仿宋"/>
              </w:rPr>
            </w:pPr>
          </w:p>
        </w:tc>
        <w:tc>
          <w:tcPr>
            <w:tcW w:w="4438" w:type="dxa"/>
            <w:tcBorders>
              <w:bottom w:val="single" w:color="auto" w:sz="4" w:space="0"/>
            </w:tcBorders>
            <w:shd w:val="clear" w:color="auto" w:fill="FFFFFF"/>
            <w:vAlign w:val="center"/>
          </w:tcPr>
          <w:p w14:paraId="2DAE3115">
            <w:pPr>
              <w:wordWrap w:val="0"/>
              <w:spacing w:line="240" w:lineRule="auto"/>
              <w:ind w:firstLine="0" w:firstLineChars="0"/>
              <w:textAlignment w:val="center"/>
              <w:rPr>
                <w:rFonts w:hint="eastAsia" w:cs="仿宋"/>
              </w:rPr>
            </w:pPr>
            <w:r>
              <w:rPr>
                <w:rFonts w:hint="eastAsia" w:cs="仿宋"/>
                <w:lang w:bidi="ar"/>
              </w:rPr>
              <w:t>采用的云密码服务由云平台提供。</w:t>
            </w:r>
          </w:p>
        </w:tc>
        <w:tc>
          <w:tcPr>
            <w:tcW w:w="1502" w:type="dxa"/>
            <w:tcBorders>
              <w:bottom w:val="single" w:color="auto" w:sz="4" w:space="0"/>
            </w:tcBorders>
            <w:shd w:val="clear" w:color="auto" w:fill="FFFFFF"/>
          </w:tcPr>
          <w:p w14:paraId="753AD25E">
            <w:pPr>
              <w:wordWrap w:val="0"/>
              <w:spacing w:line="240" w:lineRule="auto"/>
              <w:ind w:firstLine="0" w:firstLineChars="0"/>
              <w:jc w:val="center"/>
              <w:textAlignment w:val="center"/>
              <w:rPr>
                <w:rFonts w:hint="eastAsia" w:cs="仿宋"/>
              </w:rPr>
            </w:pPr>
            <w:r>
              <w:rPr>
                <w:rFonts w:hint="eastAsia" w:cs="仿宋"/>
                <w:lang w:bidi="ar"/>
              </w:rPr>
              <w:t>无</w:t>
            </w:r>
          </w:p>
        </w:tc>
      </w:tr>
      <w:tr w14:paraId="52E6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shd w:val="clear" w:color="auto" w:fill="FFFFFF"/>
            <w:vAlign w:val="center"/>
          </w:tcPr>
          <w:p w14:paraId="6A3BC86F">
            <w:pPr>
              <w:wordWrap w:val="0"/>
              <w:spacing w:line="240" w:lineRule="auto"/>
              <w:ind w:firstLine="0" w:firstLineChars="0"/>
              <w:rPr>
                <w:rFonts w:hint="eastAsia" w:cs="仿宋"/>
              </w:rPr>
            </w:pPr>
          </w:p>
        </w:tc>
        <w:tc>
          <w:tcPr>
            <w:tcW w:w="633" w:type="dxa"/>
            <w:vMerge w:val="continue"/>
            <w:shd w:val="clear" w:color="auto" w:fill="FFFFFF"/>
            <w:vAlign w:val="center"/>
          </w:tcPr>
          <w:p w14:paraId="0377E4EC">
            <w:pPr>
              <w:wordWrap w:val="0"/>
              <w:spacing w:line="240" w:lineRule="auto"/>
              <w:ind w:firstLine="0" w:firstLineChars="0"/>
              <w:rPr>
                <w:rFonts w:hint="eastAsia" w:cs="仿宋"/>
              </w:rPr>
            </w:pPr>
          </w:p>
        </w:tc>
        <w:tc>
          <w:tcPr>
            <w:tcW w:w="2079" w:type="dxa"/>
            <w:shd w:val="clear" w:color="auto" w:fill="FFFFFF"/>
            <w:vAlign w:val="center"/>
          </w:tcPr>
          <w:p w14:paraId="7B16A4EC">
            <w:pPr>
              <w:wordWrap w:val="0"/>
              <w:spacing w:line="240" w:lineRule="auto"/>
              <w:ind w:firstLine="0" w:firstLineChars="0"/>
              <w:textAlignment w:val="center"/>
              <w:rPr>
                <w:rFonts w:hint="eastAsia" w:cs="仿宋"/>
              </w:rPr>
            </w:pPr>
            <w:r>
              <w:rPr>
                <w:rFonts w:hint="eastAsia" w:cs="仿宋"/>
                <w:lang w:bidi="ar"/>
              </w:rPr>
              <w:t>密码产品</w:t>
            </w:r>
          </w:p>
        </w:tc>
        <w:tc>
          <w:tcPr>
            <w:tcW w:w="4438" w:type="dxa"/>
            <w:shd w:val="clear" w:color="auto" w:fill="FFFFFF"/>
            <w:vAlign w:val="center"/>
          </w:tcPr>
          <w:p w14:paraId="5B3BB779">
            <w:pPr>
              <w:wordWrap w:val="0"/>
              <w:spacing w:line="240" w:lineRule="auto"/>
              <w:ind w:firstLine="0" w:firstLineChars="0"/>
              <w:textAlignment w:val="center"/>
              <w:rPr>
                <w:rFonts w:hint="eastAsia" w:cs="仿宋"/>
                <w:lang w:bidi="ar"/>
              </w:rPr>
            </w:pPr>
            <w:r>
              <w:rPr>
                <w:rFonts w:hint="eastAsia" w:cs="仿宋"/>
                <w:lang w:bidi="ar"/>
              </w:rPr>
              <w:t>服务端相关的密码产品由云平台提供安全保障。</w:t>
            </w:r>
          </w:p>
        </w:tc>
        <w:tc>
          <w:tcPr>
            <w:tcW w:w="1502" w:type="dxa"/>
            <w:shd w:val="clear" w:color="auto" w:fill="FFFFFF"/>
            <w:vAlign w:val="center"/>
          </w:tcPr>
          <w:p w14:paraId="5A3A8ACC">
            <w:pPr>
              <w:wordWrap w:val="0"/>
              <w:spacing w:line="240" w:lineRule="auto"/>
              <w:ind w:firstLine="0" w:firstLineChars="0"/>
              <w:jc w:val="center"/>
              <w:textAlignment w:val="center"/>
              <w:rPr>
                <w:rFonts w:hint="eastAsia" w:cs="仿宋"/>
                <w:lang w:bidi="ar"/>
              </w:rPr>
            </w:pPr>
          </w:p>
          <w:p w14:paraId="28565488">
            <w:pPr>
              <w:wordWrap w:val="0"/>
              <w:spacing w:line="240" w:lineRule="auto"/>
              <w:ind w:firstLine="0" w:firstLineChars="0"/>
              <w:jc w:val="center"/>
              <w:textAlignment w:val="center"/>
              <w:rPr>
                <w:rFonts w:hint="eastAsia" w:cs="仿宋"/>
                <w:lang w:bidi="ar"/>
              </w:rPr>
            </w:pPr>
            <w:r>
              <w:rPr>
                <w:rFonts w:hint="eastAsia" w:cs="仿宋"/>
                <w:lang w:bidi="ar"/>
              </w:rPr>
              <w:t>无</w:t>
            </w:r>
          </w:p>
        </w:tc>
      </w:tr>
    </w:tbl>
    <w:p w14:paraId="4D8684E5">
      <w:pPr>
        <w:ind w:firstLine="480"/>
        <w:rPr>
          <w:rFonts w:hint="eastAsia"/>
        </w:rPr>
      </w:pPr>
    </w:p>
    <w:p w14:paraId="04CAF85F">
      <w:pPr>
        <w:pStyle w:val="3"/>
        <w:rPr>
          <w:rFonts w:hint="eastAsia"/>
        </w:rPr>
      </w:pPr>
      <w:bookmarkStart w:id="27" w:name="_Toc63785512"/>
      <w:r>
        <w:rPr>
          <w:rFonts w:hint="eastAsia"/>
        </w:rPr>
        <w:t>技术文件要求</w:t>
      </w:r>
    </w:p>
    <w:p w14:paraId="6DD75062">
      <w:pPr>
        <w:ind w:firstLine="480"/>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553A83FF">
      <w:pPr>
        <w:ind w:firstLine="480"/>
        <w:rPr>
          <w:rFonts w:hint="eastAsia"/>
        </w:rPr>
      </w:pPr>
      <w:r>
        <w:rPr>
          <w:rFonts w:hint="eastAsia"/>
        </w:rPr>
        <w:t>－</w:t>
      </w:r>
      <w:r>
        <w:t>系统说明文件；</w:t>
      </w:r>
    </w:p>
    <w:p w14:paraId="7B33C4F5">
      <w:pPr>
        <w:ind w:firstLine="480"/>
        <w:rPr>
          <w:rFonts w:hint="eastAsia"/>
        </w:rPr>
      </w:pPr>
      <w:r>
        <w:rPr>
          <w:rFonts w:hint="eastAsia"/>
        </w:rPr>
        <w:t>－</w:t>
      </w:r>
      <w:r>
        <w:t>技术手册(安装、测试、操作、维护、故障排除等)；</w:t>
      </w:r>
    </w:p>
    <w:p w14:paraId="535340EC">
      <w:pPr>
        <w:ind w:firstLine="480"/>
        <w:rPr>
          <w:rFonts w:hint="eastAsia"/>
        </w:rPr>
      </w:pPr>
      <w:r>
        <w:rPr>
          <w:rFonts w:hint="eastAsia"/>
        </w:rPr>
        <w:t>－</w:t>
      </w:r>
      <w:r>
        <w:t>项目文档，应该包括：</w:t>
      </w:r>
    </w:p>
    <w:p w14:paraId="08C6FA8F">
      <w:pPr>
        <w:ind w:left="360" w:firstLine="480"/>
        <w:rPr>
          <w:rFonts w:hint="eastAsia"/>
        </w:rPr>
      </w:pPr>
      <w:r>
        <w:t>(1)软件需求说明书</w:t>
      </w:r>
    </w:p>
    <w:p w14:paraId="4623054F">
      <w:pPr>
        <w:ind w:left="360" w:firstLine="480"/>
        <w:rPr>
          <w:rFonts w:hint="eastAsia"/>
        </w:rPr>
      </w:pPr>
      <w:r>
        <w:t>(2)</w:t>
      </w:r>
      <w:r>
        <w:tab/>
      </w:r>
      <w:r>
        <w:t>系统总体设计说明书</w:t>
      </w:r>
    </w:p>
    <w:p w14:paraId="4070282C">
      <w:pPr>
        <w:ind w:left="360" w:firstLine="480"/>
        <w:rPr>
          <w:rFonts w:hint="eastAsia"/>
        </w:rPr>
      </w:pPr>
      <w:r>
        <w:t>(3)</w:t>
      </w:r>
      <w:r>
        <w:tab/>
      </w:r>
      <w:r>
        <w:t>应用软件功能清单</w:t>
      </w:r>
    </w:p>
    <w:p w14:paraId="2B933EEF">
      <w:pPr>
        <w:ind w:firstLine="480"/>
        <w:rPr>
          <w:rFonts w:hint="eastAsia"/>
        </w:rPr>
      </w:pPr>
      <w:r>
        <w:rPr>
          <w:rFonts w:hint="eastAsia"/>
        </w:rPr>
        <w:t>提供全套技术文件纸介质</w:t>
      </w:r>
      <w:r>
        <w:t>3套以及电子文件1套。</w:t>
      </w:r>
    </w:p>
    <w:p w14:paraId="71B06732">
      <w:pPr>
        <w:pStyle w:val="2"/>
        <w:rPr>
          <w:rFonts w:hint="eastAsia"/>
          <w:sz w:val="24"/>
          <w:szCs w:val="24"/>
        </w:rPr>
      </w:pPr>
      <w:r>
        <w:rPr>
          <w:rFonts w:hint="eastAsia"/>
          <w:lang w:eastAsia="zh-CN"/>
        </w:rPr>
        <w:t>投标人</w:t>
      </w:r>
      <w:r>
        <w:rPr>
          <w:rFonts w:hint="eastAsia"/>
        </w:rPr>
        <w:t>管理要求</w:t>
      </w:r>
      <w:bookmarkEnd w:id="27"/>
    </w:p>
    <w:p w14:paraId="6D599C93">
      <w:pPr>
        <w:pStyle w:val="80"/>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6364FCFF">
      <w:pPr>
        <w:pStyle w:val="80"/>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5F1E7D4A">
      <w:pPr>
        <w:pStyle w:val="80"/>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3F30F50B">
      <w:pPr>
        <w:pStyle w:val="80"/>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248F118A">
      <w:pPr>
        <w:pStyle w:val="80"/>
        <w:ind w:firstLine="480"/>
        <w:rPr>
          <w:rFonts w:hint="eastAsia"/>
          <w:sz w:val="24"/>
          <w:szCs w:val="24"/>
        </w:rPr>
      </w:pPr>
      <w:r>
        <w:rPr>
          <w:rFonts w:hint="eastAsia"/>
          <w:sz w:val="24"/>
          <w:szCs w:val="24"/>
        </w:rPr>
        <w:t>5、中标人在项目实施期间必须遵守采购人的规章制度并提供实施人员名单。</w:t>
      </w:r>
    </w:p>
    <w:p w14:paraId="5BA575D8">
      <w:pPr>
        <w:pStyle w:val="80"/>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56CA6322">
      <w:pPr>
        <w:pStyle w:val="80"/>
        <w:ind w:firstLine="480"/>
        <w:rPr>
          <w:rFonts w:hint="eastAsia"/>
        </w:rPr>
      </w:pPr>
      <w:r>
        <w:rPr>
          <w:rFonts w:hint="eastAsia"/>
          <w:sz w:val="24"/>
          <w:szCs w:val="24"/>
        </w:rPr>
        <w:t>7、本项目软件开发及调试将纳入采购人的管理范围，中标人在此过程中须服从上述单位的管理协调。</w:t>
      </w:r>
    </w:p>
    <w:p w14:paraId="01A357DA">
      <w:pPr>
        <w:ind w:firstLine="482"/>
        <w:rPr>
          <w:rFonts w:hint="eastAsia"/>
          <w:b/>
        </w:rPr>
      </w:pPr>
    </w:p>
    <w:sectPr>
      <w:footerReference r:id="rId11" w:type="first"/>
      <w:pgSz w:w="11906" w:h="16838"/>
      <w:pgMar w:top="1134" w:right="1797" w:bottom="1135" w:left="1797" w:header="340" w:footer="340" w:gutter="0"/>
      <w:pgNumType w:start="1"/>
      <w:cols w:space="720" w:num="1"/>
      <w:titlePg/>
      <w:docGrid w:type="linesAndChars" w:linePitch="326"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D2E24">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3731">
    <w:pPr>
      <w:ind w:firstLine="480"/>
      <w:rPr>
        <w:rFonts w:hint="eastAsia"/>
      </w:rPr>
    </w:pPr>
  </w:p>
  <w:p w14:paraId="6FCF7A86">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7FE1">
    <w:pPr>
      <w:ind w:firstLine="48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946B">
    <w:pPr>
      <w:ind w:firstLine="48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5938F4F">
    <w:pPr>
      <w:ind w:firstLine="48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5D08">
    <w:pPr>
      <w:pStyle w:val="25"/>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BD7E">
    <w:pPr>
      <w:ind w:firstLine="480"/>
      <w:rPr>
        <w:rFonts w:hint="eastAsia"/>
      </w:rPr>
    </w:pPr>
  </w:p>
  <w:p w14:paraId="5544A74F">
    <w:pPr>
      <w:ind w:firstLine="48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35DB">
    <w:pPr>
      <w:pStyle w:val="2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0F791"/>
    <w:multiLevelType w:val="singleLevel"/>
    <w:tmpl w:val="F430F791"/>
    <w:lvl w:ilvl="0" w:tentative="0">
      <w:start w:val="1"/>
      <w:numFmt w:val="decimal"/>
      <w:suff w:val="nothing"/>
      <w:lvlText w:val="%1）"/>
      <w:lvlJc w:val="left"/>
    </w:lvl>
  </w:abstractNum>
  <w:abstractNum w:abstractNumId="1">
    <w:nsid w:val="16F61C00"/>
    <w:multiLevelType w:val="multilevel"/>
    <w:tmpl w:val="16F61C0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1985" w:hanging="425"/>
      </w:pPr>
      <w:rPr>
        <w:rFonts w:hint="eastAsia"/>
        <w:sz w:val="32"/>
        <w:szCs w:val="32"/>
      </w:rPr>
    </w:lvl>
    <w:lvl w:ilvl="1" w:tentative="0">
      <w:start w:val="1"/>
      <w:numFmt w:val="decimal"/>
      <w:pStyle w:val="3"/>
      <w:isLgl/>
      <w:suff w:val="nothing"/>
      <w:lvlText w:val="%1.%2、"/>
      <w:lvlJc w:val="left"/>
      <w:pPr>
        <w:ind w:left="709"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755959E3"/>
    <w:multiLevelType w:val="singleLevel"/>
    <w:tmpl w:val="755959E3"/>
    <w:lvl w:ilvl="0" w:tentative="0">
      <w:start w:val="2"/>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6910C0"/>
    <w:rsid w:val="0000005A"/>
    <w:rsid w:val="00000AED"/>
    <w:rsid w:val="00003516"/>
    <w:rsid w:val="0000380E"/>
    <w:rsid w:val="00004CC7"/>
    <w:rsid w:val="00005AFD"/>
    <w:rsid w:val="00006563"/>
    <w:rsid w:val="000074F1"/>
    <w:rsid w:val="00007A41"/>
    <w:rsid w:val="00007DA7"/>
    <w:rsid w:val="00011279"/>
    <w:rsid w:val="000121B8"/>
    <w:rsid w:val="0001268C"/>
    <w:rsid w:val="00012EF0"/>
    <w:rsid w:val="00014451"/>
    <w:rsid w:val="000156DE"/>
    <w:rsid w:val="000165AD"/>
    <w:rsid w:val="00017506"/>
    <w:rsid w:val="000179E9"/>
    <w:rsid w:val="00020C18"/>
    <w:rsid w:val="00021EE6"/>
    <w:rsid w:val="0002280E"/>
    <w:rsid w:val="00022914"/>
    <w:rsid w:val="00022C74"/>
    <w:rsid w:val="00025122"/>
    <w:rsid w:val="000252D5"/>
    <w:rsid w:val="00026997"/>
    <w:rsid w:val="00027A64"/>
    <w:rsid w:val="00027E02"/>
    <w:rsid w:val="0003067A"/>
    <w:rsid w:val="00030C25"/>
    <w:rsid w:val="00032D27"/>
    <w:rsid w:val="00033FAC"/>
    <w:rsid w:val="00035325"/>
    <w:rsid w:val="00035D5B"/>
    <w:rsid w:val="000378D0"/>
    <w:rsid w:val="00037F2C"/>
    <w:rsid w:val="00042C2A"/>
    <w:rsid w:val="000430EC"/>
    <w:rsid w:val="000447CB"/>
    <w:rsid w:val="0004772D"/>
    <w:rsid w:val="00047915"/>
    <w:rsid w:val="00047D06"/>
    <w:rsid w:val="00050E56"/>
    <w:rsid w:val="00050FBD"/>
    <w:rsid w:val="0005107A"/>
    <w:rsid w:val="0005192C"/>
    <w:rsid w:val="000524D4"/>
    <w:rsid w:val="00052929"/>
    <w:rsid w:val="0005299F"/>
    <w:rsid w:val="00052B4B"/>
    <w:rsid w:val="00052F4F"/>
    <w:rsid w:val="000541D7"/>
    <w:rsid w:val="000545C0"/>
    <w:rsid w:val="00054905"/>
    <w:rsid w:val="0005586D"/>
    <w:rsid w:val="00056C0E"/>
    <w:rsid w:val="000574A8"/>
    <w:rsid w:val="000574F8"/>
    <w:rsid w:val="0005783E"/>
    <w:rsid w:val="00057A49"/>
    <w:rsid w:val="0006231F"/>
    <w:rsid w:val="00062768"/>
    <w:rsid w:val="00062A05"/>
    <w:rsid w:val="00062EE6"/>
    <w:rsid w:val="0006344E"/>
    <w:rsid w:val="000649E6"/>
    <w:rsid w:val="0006781C"/>
    <w:rsid w:val="0006794B"/>
    <w:rsid w:val="00067DCA"/>
    <w:rsid w:val="00070063"/>
    <w:rsid w:val="0007087A"/>
    <w:rsid w:val="000710EC"/>
    <w:rsid w:val="00071778"/>
    <w:rsid w:val="00072237"/>
    <w:rsid w:val="0007274D"/>
    <w:rsid w:val="00072ABE"/>
    <w:rsid w:val="00073AB2"/>
    <w:rsid w:val="00080B39"/>
    <w:rsid w:val="00082310"/>
    <w:rsid w:val="00083950"/>
    <w:rsid w:val="0008452F"/>
    <w:rsid w:val="00084E8E"/>
    <w:rsid w:val="00085A68"/>
    <w:rsid w:val="00090625"/>
    <w:rsid w:val="00090948"/>
    <w:rsid w:val="00091CD1"/>
    <w:rsid w:val="0009460E"/>
    <w:rsid w:val="000951D4"/>
    <w:rsid w:val="00096776"/>
    <w:rsid w:val="000A0721"/>
    <w:rsid w:val="000A2146"/>
    <w:rsid w:val="000A2930"/>
    <w:rsid w:val="000A3276"/>
    <w:rsid w:val="000A3C35"/>
    <w:rsid w:val="000A3E30"/>
    <w:rsid w:val="000A43C7"/>
    <w:rsid w:val="000A5876"/>
    <w:rsid w:val="000A61D0"/>
    <w:rsid w:val="000A6C67"/>
    <w:rsid w:val="000A6DB8"/>
    <w:rsid w:val="000A7596"/>
    <w:rsid w:val="000A7A12"/>
    <w:rsid w:val="000B0C57"/>
    <w:rsid w:val="000B11A8"/>
    <w:rsid w:val="000B1959"/>
    <w:rsid w:val="000B2E1C"/>
    <w:rsid w:val="000B405B"/>
    <w:rsid w:val="000B4459"/>
    <w:rsid w:val="000B4B46"/>
    <w:rsid w:val="000B5363"/>
    <w:rsid w:val="000B53BA"/>
    <w:rsid w:val="000B642F"/>
    <w:rsid w:val="000B6C99"/>
    <w:rsid w:val="000C1F8A"/>
    <w:rsid w:val="000C3F3C"/>
    <w:rsid w:val="000C5A75"/>
    <w:rsid w:val="000C75F7"/>
    <w:rsid w:val="000D0AB2"/>
    <w:rsid w:val="000D225C"/>
    <w:rsid w:val="000D36F2"/>
    <w:rsid w:val="000D4B26"/>
    <w:rsid w:val="000D5B38"/>
    <w:rsid w:val="000D74DB"/>
    <w:rsid w:val="000E24D6"/>
    <w:rsid w:val="000E3038"/>
    <w:rsid w:val="000E6072"/>
    <w:rsid w:val="000E6D61"/>
    <w:rsid w:val="000E76C6"/>
    <w:rsid w:val="000E7A23"/>
    <w:rsid w:val="000F1C29"/>
    <w:rsid w:val="000F1E9E"/>
    <w:rsid w:val="000F1F13"/>
    <w:rsid w:val="000F2B10"/>
    <w:rsid w:val="000F3F72"/>
    <w:rsid w:val="001055B2"/>
    <w:rsid w:val="00105D56"/>
    <w:rsid w:val="001068F0"/>
    <w:rsid w:val="00106AB8"/>
    <w:rsid w:val="00106C9E"/>
    <w:rsid w:val="00106E16"/>
    <w:rsid w:val="0010768B"/>
    <w:rsid w:val="00111701"/>
    <w:rsid w:val="00111EC6"/>
    <w:rsid w:val="00112A29"/>
    <w:rsid w:val="0011456C"/>
    <w:rsid w:val="00114AE8"/>
    <w:rsid w:val="00115F5B"/>
    <w:rsid w:val="001167F6"/>
    <w:rsid w:val="00116C86"/>
    <w:rsid w:val="00121ACF"/>
    <w:rsid w:val="00121D8F"/>
    <w:rsid w:val="00122037"/>
    <w:rsid w:val="0012210C"/>
    <w:rsid w:val="001228D1"/>
    <w:rsid w:val="00122A7F"/>
    <w:rsid w:val="00123F98"/>
    <w:rsid w:val="00124218"/>
    <w:rsid w:val="001242A5"/>
    <w:rsid w:val="00124531"/>
    <w:rsid w:val="001268AF"/>
    <w:rsid w:val="00126EDF"/>
    <w:rsid w:val="00127BBE"/>
    <w:rsid w:val="00131BDB"/>
    <w:rsid w:val="00131D52"/>
    <w:rsid w:val="001329C1"/>
    <w:rsid w:val="00132BE5"/>
    <w:rsid w:val="00132C16"/>
    <w:rsid w:val="00134589"/>
    <w:rsid w:val="0013534B"/>
    <w:rsid w:val="00136320"/>
    <w:rsid w:val="0013649A"/>
    <w:rsid w:val="00136FFA"/>
    <w:rsid w:val="00137474"/>
    <w:rsid w:val="00137A06"/>
    <w:rsid w:val="00137AC6"/>
    <w:rsid w:val="001407EB"/>
    <w:rsid w:val="00142548"/>
    <w:rsid w:val="00145512"/>
    <w:rsid w:val="001465BD"/>
    <w:rsid w:val="00147B45"/>
    <w:rsid w:val="00150803"/>
    <w:rsid w:val="00151D83"/>
    <w:rsid w:val="001534E4"/>
    <w:rsid w:val="001546C9"/>
    <w:rsid w:val="00154FAE"/>
    <w:rsid w:val="00155E77"/>
    <w:rsid w:val="00156A70"/>
    <w:rsid w:val="00157F6E"/>
    <w:rsid w:val="0016076F"/>
    <w:rsid w:val="00160A61"/>
    <w:rsid w:val="00160FC0"/>
    <w:rsid w:val="0016429B"/>
    <w:rsid w:val="00164525"/>
    <w:rsid w:val="00164C50"/>
    <w:rsid w:val="00165CB2"/>
    <w:rsid w:val="00166203"/>
    <w:rsid w:val="00166767"/>
    <w:rsid w:val="001707CB"/>
    <w:rsid w:val="00171477"/>
    <w:rsid w:val="00172A1A"/>
    <w:rsid w:val="00173251"/>
    <w:rsid w:val="001739D3"/>
    <w:rsid w:val="00175603"/>
    <w:rsid w:val="00176BED"/>
    <w:rsid w:val="0017759D"/>
    <w:rsid w:val="00177829"/>
    <w:rsid w:val="001804A5"/>
    <w:rsid w:val="001816EC"/>
    <w:rsid w:val="00181C94"/>
    <w:rsid w:val="0018277A"/>
    <w:rsid w:val="00182C84"/>
    <w:rsid w:val="00187031"/>
    <w:rsid w:val="00191EA4"/>
    <w:rsid w:val="00192B6C"/>
    <w:rsid w:val="00192C30"/>
    <w:rsid w:val="0019381E"/>
    <w:rsid w:val="00194CF5"/>
    <w:rsid w:val="0019503C"/>
    <w:rsid w:val="00195D94"/>
    <w:rsid w:val="00196F7B"/>
    <w:rsid w:val="001971CB"/>
    <w:rsid w:val="0019795C"/>
    <w:rsid w:val="00197B93"/>
    <w:rsid w:val="001A053A"/>
    <w:rsid w:val="001A22A2"/>
    <w:rsid w:val="001A2971"/>
    <w:rsid w:val="001A2A90"/>
    <w:rsid w:val="001A3D52"/>
    <w:rsid w:val="001A460A"/>
    <w:rsid w:val="001A4A4C"/>
    <w:rsid w:val="001A6EF8"/>
    <w:rsid w:val="001B0230"/>
    <w:rsid w:val="001B13AB"/>
    <w:rsid w:val="001B1859"/>
    <w:rsid w:val="001B3907"/>
    <w:rsid w:val="001B3B49"/>
    <w:rsid w:val="001B4907"/>
    <w:rsid w:val="001B4DC5"/>
    <w:rsid w:val="001B5505"/>
    <w:rsid w:val="001B59DC"/>
    <w:rsid w:val="001C2180"/>
    <w:rsid w:val="001C29CC"/>
    <w:rsid w:val="001C30D0"/>
    <w:rsid w:val="001C3217"/>
    <w:rsid w:val="001C3B98"/>
    <w:rsid w:val="001C6028"/>
    <w:rsid w:val="001C6365"/>
    <w:rsid w:val="001C7F57"/>
    <w:rsid w:val="001D0E79"/>
    <w:rsid w:val="001D560D"/>
    <w:rsid w:val="001D6049"/>
    <w:rsid w:val="001D7339"/>
    <w:rsid w:val="001E207F"/>
    <w:rsid w:val="001E2750"/>
    <w:rsid w:val="001E3822"/>
    <w:rsid w:val="001E4343"/>
    <w:rsid w:val="001E52BB"/>
    <w:rsid w:val="001E660A"/>
    <w:rsid w:val="001F05D6"/>
    <w:rsid w:val="001F46E2"/>
    <w:rsid w:val="001F5B0A"/>
    <w:rsid w:val="001F5C39"/>
    <w:rsid w:val="001F621F"/>
    <w:rsid w:val="001F640F"/>
    <w:rsid w:val="001F6794"/>
    <w:rsid w:val="001F6E5A"/>
    <w:rsid w:val="001F6F65"/>
    <w:rsid w:val="001F7F3B"/>
    <w:rsid w:val="002002DF"/>
    <w:rsid w:val="00203A6F"/>
    <w:rsid w:val="00205646"/>
    <w:rsid w:val="00205C24"/>
    <w:rsid w:val="0020624F"/>
    <w:rsid w:val="002063F7"/>
    <w:rsid w:val="00210B82"/>
    <w:rsid w:val="00211F91"/>
    <w:rsid w:val="00212821"/>
    <w:rsid w:val="002129E5"/>
    <w:rsid w:val="00212AA4"/>
    <w:rsid w:val="00212E13"/>
    <w:rsid w:val="00213E87"/>
    <w:rsid w:val="002163C8"/>
    <w:rsid w:val="00216EE6"/>
    <w:rsid w:val="002170D1"/>
    <w:rsid w:val="002179FE"/>
    <w:rsid w:val="00217D45"/>
    <w:rsid w:val="00220CC0"/>
    <w:rsid w:val="00221A36"/>
    <w:rsid w:val="00223296"/>
    <w:rsid w:val="0022329B"/>
    <w:rsid w:val="002240F7"/>
    <w:rsid w:val="0022486F"/>
    <w:rsid w:val="00225314"/>
    <w:rsid w:val="00225DF4"/>
    <w:rsid w:val="00226C70"/>
    <w:rsid w:val="002274B2"/>
    <w:rsid w:val="00230C8A"/>
    <w:rsid w:val="00231F98"/>
    <w:rsid w:val="002324F8"/>
    <w:rsid w:val="002348B0"/>
    <w:rsid w:val="00235CDC"/>
    <w:rsid w:val="00237509"/>
    <w:rsid w:val="00237A60"/>
    <w:rsid w:val="00237E76"/>
    <w:rsid w:val="00240BBE"/>
    <w:rsid w:val="00241525"/>
    <w:rsid w:val="00241D87"/>
    <w:rsid w:val="0024265D"/>
    <w:rsid w:val="00242F3D"/>
    <w:rsid w:val="00243C55"/>
    <w:rsid w:val="00243D5E"/>
    <w:rsid w:val="002451EC"/>
    <w:rsid w:val="002455C6"/>
    <w:rsid w:val="00245ED4"/>
    <w:rsid w:val="00246B41"/>
    <w:rsid w:val="0025002B"/>
    <w:rsid w:val="002500DE"/>
    <w:rsid w:val="00252457"/>
    <w:rsid w:val="00252581"/>
    <w:rsid w:val="002535B5"/>
    <w:rsid w:val="002538CB"/>
    <w:rsid w:val="002542BD"/>
    <w:rsid w:val="0025774E"/>
    <w:rsid w:val="00257D64"/>
    <w:rsid w:val="00260974"/>
    <w:rsid w:val="0026340A"/>
    <w:rsid w:val="0026497E"/>
    <w:rsid w:val="002654EA"/>
    <w:rsid w:val="00265DED"/>
    <w:rsid w:val="00266900"/>
    <w:rsid w:val="00267F83"/>
    <w:rsid w:val="002704EA"/>
    <w:rsid w:val="0027061A"/>
    <w:rsid w:val="00270EAC"/>
    <w:rsid w:val="002719CC"/>
    <w:rsid w:val="002730C5"/>
    <w:rsid w:val="0027337C"/>
    <w:rsid w:val="00273EC8"/>
    <w:rsid w:val="0027602B"/>
    <w:rsid w:val="00277F5E"/>
    <w:rsid w:val="00280084"/>
    <w:rsid w:val="00280490"/>
    <w:rsid w:val="00282A92"/>
    <w:rsid w:val="002860B8"/>
    <w:rsid w:val="00286EEE"/>
    <w:rsid w:val="0029206E"/>
    <w:rsid w:val="00293382"/>
    <w:rsid w:val="002944D9"/>
    <w:rsid w:val="00294F51"/>
    <w:rsid w:val="00295637"/>
    <w:rsid w:val="002A152F"/>
    <w:rsid w:val="002A1CDC"/>
    <w:rsid w:val="002A2342"/>
    <w:rsid w:val="002A247D"/>
    <w:rsid w:val="002A279E"/>
    <w:rsid w:val="002A42BB"/>
    <w:rsid w:val="002A4FA3"/>
    <w:rsid w:val="002B2B04"/>
    <w:rsid w:val="002B2F55"/>
    <w:rsid w:val="002B3606"/>
    <w:rsid w:val="002B3B1A"/>
    <w:rsid w:val="002B3D80"/>
    <w:rsid w:val="002B43A9"/>
    <w:rsid w:val="002B4402"/>
    <w:rsid w:val="002B4946"/>
    <w:rsid w:val="002B4C41"/>
    <w:rsid w:val="002B588D"/>
    <w:rsid w:val="002C1839"/>
    <w:rsid w:val="002C1972"/>
    <w:rsid w:val="002C214A"/>
    <w:rsid w:val="002C21D1"/>
    <w:rsid w:val="002C28E8"/>
    <w:rsid w:val="002C3027"/>
    <w:rsid w:val="002C674D"/>
    <w:rsid w:val="002C7648"/>
    <w:rsid w:val="002C7DC4"/>
    <w:rsid w:val="002D0821"/>
    <w:rsid w:val="002D0AFA"/>
    <w:rsid w:val="002D1929"/>
    <w:rsid w:val="002D1B73"/>
    <w:rsid w:val="002D3CB0"/>
    <w:rsid w:val="002D4800"/>
    <w:rsid w:val="002D5B21"/>
    <w:rsid w:val="002D6F1C"/>
    <w:rsid w:val="002D6F6D"/>
    <w:rsid w:val="002D7130"/>
    <w:rsid w:val="002E1FE6"/>
    <w:rsid w:val="002E2EA7"/>
    <w:rsid w:val="002E36D2"/>
    <w:rsid w:val="002E748B"/>
    <w:rsid w:val="002F2002"/>
    <w:rsid w:val="002F29A3"/>
    <w:rsid w:val="002F335D"/>
    <w:rsid w:val="002F4E32"/>
    <w:rsid w:val="002F503F"/>
    <w:rsid w:val="002F51DD"/>
    <w:rsid w:val="002F5403"/>
    <w:rsid w:val="002F5D08"/>
    <w:rsid w:val="002F685F"/>
    <w:rsid w:val="002F6895"/>
    <w:rsid w:val="002F6D13"/>
    <w:rsid w:val="003038D3"/>
    <w:rsid w:val="00303A47"/>
    <w:rsid w:val="003049C7"/>
    <w:rsid w:val="00305F0E"/>
    <w:rsid w:val="003062E5"/>
    <w:rsid w:val="0030667A"/>
    <w:rsid w:val="003106DE"/>
    <w:rsid w:val="00311530"/>
    <w:rsid w:val="00312065"/>
    <w:rsid w:val="003126D4"/>
    <w:rsid w:val="00312D31"/>
    <w:rsid w:val="00315216"/>
    <w:rsid w:val="0031691C"/>
    <w:rsid w:val="00317AEF"/>
    <w:rsid w:val="00317F49"/>
    <w:rsid w:val="0032089B"/>
    <w:rsid w:val="00323450"/>
    <w:rsid w:val="00323D93"/>
    <w:rsid w:val="0032489B"/>
    <w:rsid w:val="0032525B"/>
    <w:rsid w:val="00326A7A"/>
    <w:rsid w:val="00326B02"/>
    <w:rsid w:val="00326FEE"/>
    <w:rsid w:val="003315D7"/>
    <w:rsid w:val="00333C88"/>
    <w:rsid w:val="00334DE6"/>
    <w:rsid w:val="0033536D"/>
    <w:rsid w:val="003353FF"/>
    <w:rsid w:val="003366D2"/>
    <w:rsid w:val="00337C79"/>
    <w:rsid w:val="00337FEF"/>
    <w:rsid w:val="0034084C"/>
    <w:rsid w:val="00340D5E"/>
    <w:rsid w:val="0034157F"/>
    <w:rsid w:val="003420B5"/>
    <w:rsid w:val="00343646"/>
    <w:rsid w:val="00344CCB"/>
    <w:rsid w:val="00345897"/>
    <w:rsid w:val="003501F4"/>
    <w:rsid w:val="00351B62"/>
    <w:rsid w:val="00351BFC"/>
    <w:rsid w:val="00353263"/>
    <w:rsid w:val="0035575E"/>
    <w:rsid w:val="003565B4"/>
    <w:rsid w:val="00362E75"/>
    <w:rsid w:val="00363181"/>
    <w:rsid w:val="003631AA"/>
    <w:rsid w:val="003632D5"/>
    <w:rsid w:val="00363575"/>
    <w:rsid w:val="003635B2"/>
    <w:rsid w:val="00363E94"/>
    <w:rsid w:val="00364EF9"/>
    <w:rsid w:val="00367579"/>
    <w:rsid w:val="0036795B"/>
    <w:rsid w:val="00370A29"/>
    <w:rsid w:val="003722F9"/>
    <w:rsid w:val="00372349"/>
    <w:rsid w:val="00372CBC"/>
    <w:rsid w:val="00373793"/>
    <w:rsid w:val="00373A61"/>
    <w:rsid w:val="00374A42"/>
    <w:rsid w:val="00374BDE"/>
    <w:rsid w:val="00375AA0"/>
    <w:rsid w:val="00376B39"/>
    <w:rsid w:val="003772C0"/>
    <w:rsid w:val="00377BAC"/>
    <w:rsid w:val="00380142"/>
    <w:rsid w:val="00380558"/>
    <w:rsid w:val="00381AAB"/>
    <w:rsid w:val="00381D3C"/>
    <w:rsid w:val="0038223E"/>
    <w:rsid w:val="00382D92"/>
    <w:rsid w:val="00385AEF"/>
    <w:rsid w:val="003860EA"/>
    <w:rsid w:val="0038647D"/>
    <w:rsid w:val="0038781A"/>
    <w:rsid w:val="0039080B"/>
    <w:rsid w:val="0039256D"/>
    <w:rsid w:val="0039326E"/>
    <w:rsid w:val="00394E22"/>
    <w:rsid w:val="00396416"/>
    <w:rsid w:val="003967A4"/>
    <w:rsid w:val="00397FA3"/>
    <w:rsid w:val="003A1596"/>
    <w:rsid w:val="003A317E"/>
    <w:rsid w:val="003A345B"/>
    <w:rsid w:val="003A49EE"/>
    <w:rsid w:val="003A6484"/>
    <w:rsid w:val="003A674D"/>
    <w:rsid w:val="003A7091"/>
    <w:rsid w:val="003A7123"/>
    <w:rsid w:val="003B102E"/>
    <w:rsid w:val="003B2167"/>
    <w:rsid w:val="003B292B"/>
    <w:rsid w:val="003B4EE7"/>
    <w:rsid w:val="003B5F5D"/>
    <w:rsid w:val="003B62C8"/>
    <w:rsid w:val="003B684B"/>
    <w:rsid w:val="003B7D9B"/>
    <w:rsid w:val="003C0C62"/>
    <w:rsid w:val="003C12DC"/>
    <w:rsid w:val="003C17DD"/>
    <w:rsid w:val="003C1B02"/>
    <w:rsid w:val="003C2CDA"/>
    <w:rsid w:val="003C5E7F"/>
    <w:rsid w:val="003D000A"/>
    <w:rsid w:val="003D31E9"/>
    <w:rsid w:val="003D544E"/>
    <w:rsid w:val="003D5980"/>
    <w:rsid w:val="003D6FF5"/>
    <w:rsid w:val="003E0842"/>
    <w:rsid w:val="003E13B0"/>
    <w:rsid w:val="003E2580"/>
    <w:rsid w:val="003E3DEE"/>
    <w:rsid w:val="003E3EBB"/>
    <w:rsid w:val="003E4685"/>
    <w:rsid w:val="003E4A4C"/>
    <w:rsid w:val="003E4CBA"/>
    <w:rsid w:val="003E4D2F"/>
    <w:rsid w:val="003E4EDC"/>
    <w:rsid w:val="003E599D"/>
    <w:rsid w:val="003E5C81"/>
    <w:rsid w:val="003E6965"/>
    <w:rsid w:val="003F00E8"/>
    <w:rsid w:val="003F10F4"/>
    <w:rsid w:val="003F1936"/>
    <w:rsid w:val="003F1BDD"/>
    <w:rsid w:val="003F3BA3"/>
    <w:rsid w:val="003F3BD5"/>
    <w:rsid w:val="003F400E"/>
    <w:rsid w:val="003F4E3A"/>
    <w:rsid w:val="003F5ACE"/>
    <w:rsid w:val="003F62F0"/>
    <w:rsid w:val="003F6F35"/>
    <w:rsid w:val="003F7768"/>
    <w:rsid w:val="00400E8C"/>
    <w:rsid w:val="004017C9"/>
    <w:rsid w:val="004017DC"/>
    <w:rsid w:val="00401B53"/>
    <w:rsid w:val="00402668"/>
    <w:rsid w:val="00404FEC"/>
    <w:rsid w:val="00405186"/>
    <w:rsid w:val="0040534D"/>
    <w:rsid w:val="00405FAD"/>
    <w:rsid w:val="004072F4"/>
    <w:rsid w:val="004109FA"/>
    <w:rsid w:val="004117AB"/>
    <w:rsid w:val="00412B2F"/>
    <w:rsid w:val="0041340A"/>
    <w:rsid w:val="00415281"/>
    <w:rsid w:val="00415716"/>
    <w:rsid w:val="00415AD7"/>
    <w:rsid w:val="0041604D"/>
    <w:rsid w:val="00417842"/>
    <w:rsid w:val="00417A6E"/>
    <w:rsid w:val="0042285D"/>
    <w:rsid w:val="00423797"/>
    <w:rsid w:val="0042401E"/>
    <w:rsid w:val="00427D2B"/>
    <w:rsid w:val="00430B13"/>
    <w:rsid w:val="00430CE5"/>
    <w:rsid w:val="0043153C"/>
    <w:rsid w:val="00431879"/>
    <w:rsid w:val="00431D0F"/>
    <w:rsid w:val="004334BC"/>
    <w:rsid w:val="0043481C"/>
    <w:rsid w:val="004417A9"/>
    <w:rsid w:val="00442213"/>
    <w:rsid w:val="004425F4"/>
    <w:rsid w:val="00444114"/>
    <w:rsid w:val="00444307"/>
    <w:rsid w:val="0044436F"/>
    <w:rsid w:val="004443EB"/>
    <w:rsid w:val="00444432"/>
    <w:rsid w:val="00444673"/>
    <w:rsid w:val="00444AB5"/>
    <w:rsid w:val="00444ECA"/>
    <w:rsid w:val="0044621E"/>
    <w:rsid w:val="00447BF1"/>
    <w:rsid w:val="0045014B"/>
    <w:rsid w:val="00450BA4"/>
    <w:rsid w:val="004511FC"/>
    <w:rsid w:val="00453E86"/>
    <w:rsid w:val="00456784"/>
    <w:rsid w:val="00456DCA"/>
    <w:rsid w:val="004577A6"/>
    <w:rsid w:val="00461140"/>
    <w:rsid w:val="004611DB"/>
    <w:rsid w:val="0046145D"/>
    <w:rsid w:val="004658B0"/>
    <w:rsid w:val="0046614B"/>
    <w:rsid w:val="004663C1"/>
    <w:rsid w:val="0046747C"/>
    <w:rsid w:val="00467FD7"/>
    <w:rsid w:val="00470073"/>
    <w:rsid w:val="00472418"/>
    <w:rsid w:val="004730F8"/>
    <w:rsid w:val="00474353"/>
    <w:rsid w:val="00474555"/>
    <w:rsid w:val="00474D14"/>
    <w:rsid w:val="004750F4"/>
    <w:rsid w:val="00476CB1"/>
    <w:rsid w:val="00480A48"/>
    <w:rsid w:val="004823C9"/>
    <w:rsid w:val="00482501"/>
    <w:rsid w:val="00482E7D"/>
    <w:rsid w:val="00484395"/>
    <w:rsid w:val="00485737"/>
    <w:rsid w:val="004865FB"/>
    <w:rsid w:val="00486C03"/>
    <w:rsid w:val="00491AB3"/>
    <w:rsid w:val="004925E9"/>
    <w:rsid w:val="00492FF7"/>
    <w:rsid w:val="00493E00"/>
    <w:rsid w:val="00494B73"/>
    <w:rsid w:val="00497A33"/>
    <w:rsid w:val="004A1112"/>
    <w:rsid w:val="004A1DA0"/>
    <w:rsid w:val="004A1F20"/>
    <w:rsid w:val="004A2393"/>
    <w:rsid w:val="004A2421"/>
    <w:rsid w:val="004A3569"/>
    <w:rsid w:val="004A452A"/>
    <w:rsid w:val="004A5F2C"/>
    <w:rsid w:val="004A6700"/>
    <w:rsid w:val="004A6E4F"/>
    <w:rsid w:val="004A720D"/>
    <w:rsid w:val="004B00D0"/>
    <w:rsid w:val="004B2B4E"/>
    <w:rsid w:val="004B6084"/>
    <w:rsid w:val="004B7128"/>
    <w:rsid w:val="004B7AE0"/>
    <w:rsid w:val="004C0218"/>
    <w:rsid w:val="004C0BC4"/>
    <w:rsid w:val="004C260D"/>
    <w:rsid w:val="004C2D47"/>
    <w:rsid w:val="004C4357"/>
    <w:rsid w:val="004C4477"/>
    <w:rsid w:val="004C5730"/>
    <w:rsid w:val="004C6397"/>
    <w:rsid w:val="004C668F"/>
    <w:rsid w:val="004C682B"/>
    <w:rsid w:val="004D000A"/>
    <w:rsid w:val="004D0596"/>
    <w:rsid w:val="004D142C"/>
    <w:rsid w:val="004D29F7"/>
    <w:rsid w:val="004D36D8"/>
    <w:rsid w:val="004D46BE"/>
    <w:rsid w:val="004D4C5C"/>
    <w:rsid w:val="004D5AB0"/>
    <w:rsid w:val="004D5CC8"/>
    <w:rsid w:val="004D5EAE"/>
    <w:rsid w:val="004D7A0E"/>
    <w:rsid w:val="004E06E7"/>
    <w:rsid w:val="004E0AE3"/>
    <w:rsid w:val="004E20D3"/>
    <w:rsid w:val="004E21FB"/>
    <w:rsid w:val="004E2C82"/>
    <w:rsid w:val="004E3EB2"/>
    <w:rsid w:val="004E4054"/>
    <w:rsid w:val="004E4FAE"/>
    <w:rsid w:val="004E580C"/>
    <w:rsid w:val="004E62C7"/>
    <w:rsid w:val="004E68FF"/>
    <w:rsid w:val="004E7A1B"/>
    <w:rsid w:val="004E7C3E"/>
    <w:rsid w:val="004F0B7F"/>
    <w:rsid w:val="004F1193"/>
    <w:rsid w:val="004F11DC"/>
    <w:rsid w:val="004F1D9D"/>
    <w:rsid w:val="004F2124"/>
    <w:rsid w:val="004F271B"/>
    <w:rsid w:val="004F3A52"/>
    <w:rsid w:val="004F449F"/>
    <w:rsid w:val="004F4E7E"/>
    <w:rsid w:val="004F5148"/>
    <w:rsid w:val="004F63AB"/>
    <w:rsid w:val="004F6B76"/>
    <w:rsid w:val="004F6C7C"/>
    <w:rsid w:val="004F7F1A"/>
    <w:rsid w:val="004F7FBB"/>
    <w:rsid w:val="00500347"/>
    <w:rsid w:val="005019C8"/>
    <w:rsid w:val="005042B3"/>
    <w:rsid w:val="005045AB"/>
    <w:rsid w:val="00504B0A"/>
    <w:rsid w:val="00507D43"/>
    <w:rsid w:val="005103F2"/>
    <w:rsid w:val="00510577"/>
    <w:rsid w:val="00510E2C"/>
    <w:rsid w:val="00511FDC"/>
    <w:rsid w:val="005124C6"/>
    <w:rsid w:val="00513EBC"/>
    <w:rsid w:val="00514CE1"/>
    <w:rsid w:val="00517155"/>
    <w:rsid w:val="00517DB3"/>
    <w:rsid w:val="005200DC"/>
    <w:rsid w:val="005200F2"/>
    <w:rsid w:val="00520D08"/>
    <w:rsid w:val="00521FF3"/>
    <w:rsid w:val="0052369D"/>
    <w:rsid w:val="005271DB"/>
    <w:rsid w:val="00530D2F"/>
    <w:rsid w:val="005347E4"/>
    <w:rsid w:val="0053487C"/>
    <w:rsid w:val="005356E1"/>
    <w:rsid w:val="00535785"/>
    <w:rsid w:val="00536A8B"/>
    <w:rsid w:val="0053779B"/>
    <w:rsid w:val="00540418"/>
    <w:rsid w:val="00540DE7"/>
    <w:rsid w:val="00541A96"/>
    <w:rsid w:val="00541C6A"/>
    <w:rsid w:val="00542C54"/>
    <w:rsid w:val="00546A43"/>
    <w:rsid w:val="00546C70"/>
    <w:rsid w:val="0054717F"/>
    <w:rsid w:val="00547258"/>
    <w:rsid w:val="0055062E"/>
    <w:rsid w:val="00550CF0"/>
    <w:rsid w:val="00551117"/>
    <w:rsid w:val="0055265F"/>
    <w:rsid w:val="00552D72"/>
    <w:rsid w:val="005559FE"/>
    <w:rsid w:val="005560D6"/>
    <w:rsid w:val="00556D07"/>
    <w:rsid w:val="005571C2"/>
    <w:rsid w:val="005607AE"/>
    <w:rsid w:val="00560894"/>
    <w:rsid w:val="005611F2"/>
    <w:rsid w:val="00561734"/>
    <w:rsid w:val="00561952"/>
    <w:rsid w:val="00564B9A"/>
    <w:rsid w:val="00565694"/>
    <w:rsid w:val="00566DD6"/>
    <w:rsid w:val="005676EC"/>
    <w:rsid w:val="005714EF"/>
    <w:rsid w:val="00571CEC"/>
    <w:rsid w:val="00572FCE"/>
    <w:rsid w:val="005750DB"/>
    <w:rsid w:val="005759FC"/>
    <w:rsid w:val="00575B85"/>
    <w:rsid w:val="00576DB9"/>
    <w:rsid w:val="00576E04"/>
    <w:rsid w:val="0057738F"/>
    <w:rsid w:val="005802B4"/>
    <w:rsid w:val="005805E4"/>
    <w:rsid w:val="0058202F"/>
    <w:rsid w:val="00582611"/>
    <w:rsid w:val="00584221"/>
    <w:rsid w:val="00584513"/>
    <w:rsid w:val="00584EB6"/>
    <w:rsid w:val="00586B68"/>
    <w:rsid w:val="0058774E"/>
    <w:rsid w:val="005878CF"/>
    <w:rsid w:val="00590CA0"/>
    <w:rsid w:val="005919D2"/>
    <w:rsid w:val="00591CE4"/>
    <w:rsid w:val="00595B01"/>
    <w:rsid w:val="00596D98"/>
    <w:rsid w:val="005979A5"/>
    <w:rsid w:val="005A0021"/>
    <w:rsid w:val="005A017B"/>
    <w:rsid w:val="005A2AEC"/>
    <w:rsid w:val="005A3343"/>
    <w:rsid w:val="005A4077"/>
    <w:rsid w:val="005A412D"/>
    <w:rsid w:val="005A5212"/>
    <w:rsid w:val="005B002D"/>
    <w:rsid w:val="005B0FFF"/>
    <w:rsid w:val="005B19AF"/>
    <w:rsid w:val="005B258C"/>
    <w:rsid w:val="005B3A7E"/>
    <w:rsid w:val="005B3C75"/>
    <w:rsid w:val="005B61DD"/>
    <w:rsid w:val="005B6735"/>
    <w:rsid w:val="005B7125"/>
    <w:rsid w:val="005B7831"/>
    <w:rsid w:val="005C0CD6"/>
    <w:rsid w:val="005C12D9"/>
    <w:rsid w:val="005C2146"/>
    <w:rsid w:val="005C309D"/>
    <w:rsid w:val="005C544B"/>
    <w:rsid w:val="005C5916"/>
    <w:rsid w:val="005C5AEE"/>
    <w:rsid w:val="005C774A"/>
    <w:rsid w:val="005D0593"/>
    <w:rsid w:val="005D0BB6"/>
    <w:rsid w:val="005D3734"/>
    <w:rsid w:val="005D4F16"/>
    <w:rsid w:val="005D5A53"/>
    <w:rsid w:val="005D5DA0"/>
    <w:rsid w:val="005D7540"/>
    <w:rsid w:val="005D7FBD"/>
    <w:rsid w:val="005E19B4"/>
    <w:rsid w:val="005E1D6B"/>
    <w:rsid w:val="005E227A"/>
    <w:rsid w:val="005E2CF8"/>
    <w:rsid w:val="005E3126"/>
    <w:rsid w:val="005E7075"/>
    <w:rsid w:val="005E75A7"/>
    <w:rsid w:val="005F06EB"/>
    <w:rsid w:val="005F2D52"/>
    <w:rsid w:val="005F38E2"/>
    <w:rsid w:val="005F3EE6"/>
    <w:rsid w:val="005F65A4"/>
    <w:rsid w:val="005F6736"/>
    <w:rsid w:val="00602C10"/>
    <w:rsid w:val="00602EBD"/>
    <w:rsid w:val="00604CF2"/>
    <w:rsid w:val="00605398"/>
    <w:rsid w:val="00606DFF"/>
    <w:rsid w:val="00606FB7"/>
    <w:rsid w:val="006079BC"/>
    <w:rsid w:val="00610533"/>
    <w:rsid w:val="006107F5"/>
    <w:rsid w:val="006110F6"/>
    <w:rsid w:val="00611FA1"/>
    <w:rsid w:val="00612522"/>
    <w:rsid w:val="00612DA6"/>
    <w:rsid w:val="00612F9A"/>
    <w:rsid w:val="0061365B"/>
    <w:rsid w:val="006138B6"/>
    <w:rsid w:val="006145BC"/>
    <w:rsid w:val="00614BC6"/>
    <w:rsid w:val="00614E33"/>
    <w:rsid w:val="00614EE3"/>
    <w:rsid w:val="006158B8"/>
    <w:rsid w:val="0061706D"/>
    <w:rsid w:val="006173DA"/>
    <w:rsid w:val="00617EF9"/>
    <w:rsid w:val="00620295"/>
    <w:rsid w:val="00622F8E"/>
    <w:rsid w:val="006232F3"/>
    <w:rsid w:val="00623846"/>
    <w:rsid w:val="00626AC8"/>
    <w:rsid w:val="00627813"/>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08C3"/>
    <w:rsid w:val="00650A6A"/>
    <w:rsid w:val="00651351"/>
    <w:rsid w:val="00651826"/>
    <w:rsid w:val="00653B54"/>
    <w:rsid w:val="006541A3"/>
    <w:rsid w:val="006545A6"/>
    <w:rsid w:val="00654FAD"/>
    <w:rsid w:val="00655C9F"/>
    <w:rsid w:val="006567FF"/>
    <w:rsid w:val="00656867"/>
    <w:rsid w:val="0066109F"/>
    <w:rsid w:val="00662629"/>
    <w:rsid w:val="00664B26"/>
    <w:rsid w:val="006650F0"/>
    <w:rsid w:val="0066596B"/>
    <w:rsid w:val="006663BB"/>
    <w:rsid w:val="00670295"/>
    <w:rsid w:val="006704F5"/>
    <w:rsid w:val="00672894"/>
    <w:rsid w:val="00674B47"/>
    <w:rsid w:val="0067609E"/>
    <w:rsid w:val="00677749"/>
    <w:rsid w:val="00680E07"/>
    <w:rsid w:val="006810DA"/>
    <w:rsid w:val="00682094"/>
    <w:rsid w:val="00682B9D"/>
    <w:rsid w:val="00683806"/>
    <w:rsid w:val="00683B28"/>
    <w:rsid w:val="00686AF9"/>
    <w:rsid w:val="00690456"/>
    <w:rsid w:val="006910C0"/>
    <w:rsid w:val="00691954"/>
    <w:rsid w:val="0069320E"/>
    <w:rsid w:val="00693D13"/>
    <w:rsid w:val="00694F58"/>
    <w:rsid w:val="006955BC"/>
    <w:rsid w:val="006959E2"/>
    <w:rsid w:val="00696920"/>
    <w:rsid w:val="00697EB9"/>
    <w:rsid w:val="006A1D60"/>
    <w:rsid w:val="006A20D4"/>
    <w:rsid w:val="006A2253"/>
    <w:rsid w:val="006A268D"/>
    <w:rsid w:val="006A350F"/>
    <w:rsid w:val="006A3957"/>
    <w:rsid w:val="006A39A4"/>
    <w:rsid w:val="006A41D6"/>
    <w:rsid w:val="006A4546"/>
    <w:rsid w:val="006A4D39"/>
    <w:rsid w:val="006A511F"/>
    <w:rsid w:val="006A669D"/>
    <w:rsid w:val="006A6E41"/>
    <w:rsid w:val="006B012F"/>
    <w:rsid w:val="006B12FC"/>
    <w:rsid w:val="006B17C9"/>
    <w:rsid w:val="006B27CF"/>
    <w:rsid w:val="006B397B"/>
    <w:rsid w:val="006B41BD"/>
    <w:rsid w:val="006B55D0"/>
    <w:rsid w:val="006B5678"/>
    <w:rsid w:val="006B62B2"/>
    <w:rsid w:val="006B6AD3"/>
    <w:rsid w:val="006C1C57"/>
    <w:rsid w:val="006C45E2"/>
    <w:rsid w:val="006C5760"/>
    <w:rsid w:val="006C6D6F"/>
    <w:rsid w:val="006D02CA"/>
    <w:rsid w:val="006D0D78"/>
    <w:rsid w:val="006D1128"/>
    <w:rsid w:val="006D2848"/>
    <w:rsid w:val="006D2907"/>
    <w:rsid w:val="006D30E0"/>
    <w:rsid w:val="006D38BC"/>
    <w:rsid w:val="006D45E0"/>
    <w:rsid w:val="006D5521"/>
    <w:rsid w:val="006D5FE9"/>
    <w:rsid w:val="006D6CBB"/>
    <w:rsid w:val="006D76A9"/>
    <w:rsid w:val="006D77F4"/>
    <w:rsid w:val="006D79E2"/>
    <w:rsid w:val="006E0898"/>
    <w:rsid w:val="006E2ED0"/>
    <w:rsid w:val="006E41CD"/>
    <w:rsid w:val="006F2C1E"/>
    <w:rsid w:val="006F330B"/>
    <w:rsid w:val="006F3BEC"/>
    <w:rsid w:val="0070391A"/>
    <w:rsid w:val="00703C00"/>
    <w:rsid w:val="00704B10"/>
    <w:rsid w:val="007057CC"/>
    <w:rsid w:val="007066F2"/>
    <w:rsid w:val="00706AE5"/>
    <w:rsid w:val="0070740A"/>
    <w:rsid w:val="00707F0C"/>
    <w:rsid w:val="00711F93"/>
    <w:rsid w:val="00712940"/>
    <w:rsid w:val="0071428C"/>
    <w:rsid w:val="00714E49"/>
    <w:rsid w:val="00715A16"/>
    <w:rsid w:val="00715CC9"/>
    <w:rsid w:val="00716349"/>
    <w:rsid w:val="007164B0"/>
    <w:rsid w:val="007166FF"/>
    <w:rsid w:val="00716F2D"/>
    <w:rsid w:val="007260CC"/>
    <w:rsid w:val="00726543"/>
    <w:rsid w:val="00726E44"/>
    <w:rsid w:val="0073353E"/>
    <w:rsid w:val="00733932"/>
    <w:rsid w:val="00734569"/>
    <w:rsid w:val="00736633"/>
    <w:rsid w:val="00741EE7"/>
    <w:rsid w:val="00742D90"/>
    <w:rsid w:val="007435B4"/>
    <w:rsid w:val="00743A79"/>
    <w:rsid w:val="007444D4"/>
    <w:rsid w:val="007457EA"/>
    <w:rsid w:val="0074594D"/>
    <w:rsid w:val="007459F3"/>
    <w:rsid w:val="00746E35"/>
    <w:rsid w:val="007470E2"/>
    <w:rsid w:val="0075232F"/>
    <w:rsid w:val="00752F6C"/>
    <w:rsid w:val="00753132"/>
    <w:rsid w:val="007550B3"/>
    <w:rsid w:val="007603CF"/>
    <w:rsid w:val="00760451"/>
    <w:rsid w:val="00761C0B"/>
    <w:rsid w:val="007645F2"/>
    <w:rsid w:val="00767634"/>
    <w:rsid w:val="00771769"/>
    <w:rsid w:val="0077182A"/>
    <w:rsid w:val="00771913"/>
    <w:rsid w:val="00772718"/>
    <w:rsid w:val="00775BCF"/>
    <w:rsid w:val="00776C4F"/>
    <w:rsid w:val="0078088B"/>
    <w:rsid w:val="007818AA"/>
    <w:rsid w:val="00783140"/>
    <w:rsid w:val="007831A7"/>
    <w:rsid w:val="007838B6"/>
    <w:rsid w:val="00783C36"/>
    <w:rsid w:val="00783E77"/>
    <w:rsid w:val="0079012F"/>
    <w:rsid w:val="007906F1"/>
    <w:rsid w:val="0079243D"/>
    <w:rsid w:val="00794A9B"/>
    <w:rsid w:val="0079583B"/>
    <w:rsid w:val="00796450"/>
    <w:rsid w:val="00796602"/>
    <w:rsid w:val="00797185"/>
    <w:rsid w:val="007976B7"/>
    <w:rsid w:val="00797A7E"/>
    <w:rsid w:val="00797D6F"/>
    <w:rsid w:val="007A0D11"/>
    <w:rsid w:val="007A3F6B"/>
    <w:rsid w:val="007A706A"/>
    <w:rsid w:val="007B014B"/>
    <w:rsid w:val="007B065B"/>
    <w:rsid w:val="007B0D88"/>
    <w:rsid w:val="007B306F"/>
    <w:rsid w:val="007B331C"/>
    <w:rsid w:val="007B4714"/>
    <w:rsid w:val="007B4E82"/>
    <w:rsid w:val="007B6CE1"/>
    <w:rsid w:val="007B6D09"/>
    <w:rsid w:val="007B731D"/>
    <w:rsid w:val="007C0D91"/>
    <w:rsid w:val="007C14F4"/>
    <w:rsid w:val="007C1996"/>
    <w:rsid w:val="007C1F1F"/>
    <w:rsid w:val="007C3773"/>
    <w:rsid w:val="007C3F1F"/>
    <w:rsid w:val="007D2D0D"/>
    <w:rsid w:val="007D3325"/>
    <w:rsid w:val="007D3818"/>
    <w:rsid w:val="007D6DC5"/>
    <w:rsid w:val="007D7425"/>
    <w:rsid w:val="007D7CCB"/>
    <w:rsid w:val="007E00BB"/>
    <w:rsid w:val="007E320E"/>
    <w:rsid w:val="007E3280"/>
    <w:rsid w:val="007E4A02"/>
    <w:rsid w:val="007E4A4C"/>
    <w:rsid w:val="007E595C"/>
    <w:rsid w:val="007E59A5"/>
    <w:rsid w:val="007F3B8C"/>
    <w:rsid w:val="007F41D0"/>
    <w:rsid w:val="007F4B8B"/>
    <w:rsid w:val="007F5501"/>
    <w:rsid w:val="007F5957"/>
    <w:rsid w:val="007F70B6"/>
    <w:rsid w:val="007F74CA"/>
    <w:rsid w:val="00800F1E"/>
    <w:rsid w:val="00801217"/>
    <w:rsid w:val="00801829"/>
    <w:rsid w:val="0080195A"/>
    <w:rsid w:val="00802025"/>
    <w:rsid w:val="0080239C"/>
    <w:rsid w:val="00802841"/>
    <w:rsid w:val="00802EBD"/>
    <w:rsid w:val="0080321D"/>
    <w:rsid w:val="0080359F"/>
    <w:rsid w:val="008037D5"/>
    <w:rsid w:val="00803938"/>
    <w:rsid w:val="00804F37"/>
    <w:rsid w:val="00805447"/>
    <w:rsid w:val="008054FA"/>
    <w:rsid w:val="00806A6D"/>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4C2B"/>
    <w:rsid w:val="008250A2"/>
    <w:rsid w:val="00825304"/>
    <w:rsid w:val="00825D64"/>
    <w:rsid w:val="0082650B"/>
    <w:rsid w:val="0082795B"/>
    <w:rsid w:val="008301CE"/>
    <w:rsid w:val="00830CBF"/>
    <w:rsid w:val="008312E3"/>
    <w:rsid w:val="00831D5B"/>
    <w:rsid w:val="00832DD6"/>
    <w:rsid w:val="00832F0C"/>
    <w:rsid w:val="008336F2"/>
    <w:rsid w:val="00834475"/>
    <w:rsid w:val="008345D9"/>
    <w:rsid w:val="008347CB"/>
    <w:rsid w:val="00835647"/>
    <w:rsid w:val="00835F7B"/>
    <w:rsid w:val="00837A2E"/>
    <w:rsid w:val="00841558"/>
    <w:rsid w:val="008417A8"/>
    <w:rsid w:val="00842A68"/>
    <w:rsid w:val="008435BA"/>
    <w:rsid w:val="0084558B"/>
    <w:rsid w:val="008464D0"/>
    <w:rsid w:val="0084654A"/>
    <w:rsid w:val="00847654"/>
    <w:rsid w:val="00851064"/>
    <w:rsid w:val="00851714"/>
    <w:rsid w:val="00855543"/>
    <w:rsid w:val="008566B3"/>
    <w:rsid w:val="008576B7"/>
    <w:rsid w:val="00857F7B"/>
    <w:rsid w:val="00860A35"/>
    <w:rsid w:val="00860A5A"/>
    <w:rsid w:val="00860B8D"/>
    <w:rsid w:val="00863DA1"/>
    <w:rsid w:val="008654A6"/>
    <w:rsid w:val="00865D86"/>
    <w:rsid w:val="00865E7F"/>
    <w:rsid w:val="00870495"/>
    <w:rsid w:val="00870EA1"/>
    <w:rsid w:val="008710C5"/>
    <w:rsid w:val="00874438"/>
    <w:rsid w:val="00874E75"/>
    <w:rsid w:val="0087561E"/>
    <w:rsid w:val="008767F3"/>
    <w:rsid w:val="00876CEF"/>
    <w:rsid w:val="00877342"/>
    <w:rsid w:val="008803C3"/>
    <w:rsid w:val="00881450"/>
    <w:rsid w:val="008817C7"/>
    <w:rsid w:val="00881875"/>
    <w:rsid w:val="00881A3A"/>
    <w:rsid w:val="008848A3"/>
    <w:rsid w:val="00884AF1"/>
    <w:rsid w:val="00885F7A"/>
    <w:rsid w:val="00890712"/>
    <w:rsid w:val="00890D81"/>
    <w:rsid w:val="00891CAA"/>
    <w:rsid w:val="00892955"/>
    <w:rsid w:val="00893628"/>
    <w:rsid w:val="008940C4"/>
    <w:rsid w:val="008941EB"/>
    <w:rsid w:val="0089545A"/>
    <w:rsid w:val="00895A02"/>
    <w:rsid w:val="00895B19"/>
    <w:rsid w:val="0089780B"/>
    <w:rsid w:val="008A01EE"/>
    <w:rsid w:val="008A0DAC"/>
    <w:rsid w:val="008A3B78"/>
    <w:rsid w:val="008A4166"/>
    <w:rsid w:val="008A7DBF"/>
    <w:rsid w:val="008B136C"/>
    <w:rsid w:val="008B2C34"/>
    <w:rsid w:val="008B3D2D"/>
    <w:rsid w:val="008B3EC8"/>
    <w:rsid w:val="008B55EF"/>
    <w:rsid w:val="008B6507"/>
    <w:rsid w:val="008B6910"/>
    <w:rsid w:val="008B6B4C"/>
    <w:rsid w:val="008B72E4"/>
    <w:rsid w:val="008C0B5C"/>
    <w:rsid w:val="008C1343"/>
    <w:rsid w:val="008C1430"/>
    <w:rsid w:val="008C3406"/>
    <w:rsid w:val="008C3912"/>
    <w:rsid w:val="008C5598"/>
    <w:rsid w:val="008C5BAE"/>
    <w:rsid w:val="008C69EA"/>
    <w:rsid w:val="008C6F8B"/>
    <w:rsid w:val="008C7AB7"/>
    <w:rsid w:val="008C7FB4"/>
    <w:rsid w:val="008D1C46"/>
    <w:rsid w:val="008D2C8C"/>
    <w:rsid w:val="008D3040"/>
    <w:rsid w:val="008D3ECD"/>
    <w:rsid w:val="008D5A79"/>
    <w:rsid w:val="008D5C03"/>
    <w:rsid w:val="008D6493"/>
    <w:rsid w:val="008D7580"/>
    <w:rsid w:val="008D7C35"/>
    <w:rsid w:val="008E1D7B"/>
    <w:rsid w:val="008E2721"/>
    <w:rsid w:val="008E2B79"/>
    <w:rsid w:val="008E5698"/>
    <w:rsid w:val="008E5733"/>
    <w:rsid w:val="008E77D2"/>
    <w:rsid w:val="008E78FD"/>
    <w:rsid w:val="008F199D"/>
    <w:rsid w:val="008F19B1"/>
    <w:rsid w:val="008F38A0"/>
    <w:rsid w:val="008F39AF"/>
    <w:rsid w:val="008F39C9"/>
    <w:rsid w:val="008F5EB5"/>
    <w:rsid w:val="008F678C"/>
    <w:rsid w:val="008F75A7"/>
    <w:rsid w:val="008F7E5A"/>
    <w:rsid w:val="00900A7F"/>
    <w:rsid w:val="009036EE"/>
    <w:rsid w:val="009039E5"/>
    <w:rsid w:val="00904528"/>
    <w:rsid w:val="00905815"/>
    <w:rsid w:val="00905D1D"/>
    <w:rsid w:val="009072C2"/>
    <w:rsid w:val="0091016D"/>
    <w:rsid w:val="00910C46"/>
    <w:rsid w:val="00910C98"/>
    <w:rsid w:val="00911910"/>
    <w:rsid w:val="009120B9"/>
    <w:rsid w:val="009122B4"/>
    <w:rsid w:val="0091230A"/>
    <w:rsid w:val="00912A58"/>
    <w:rsid w:val="00913908"/>
    <w:rsid w:val="00913D26"/>
    <w:rsid w:val="0091438B"/>
    <w:rsid w:val="009147E3"/>
    <w:rsid w:val="00916164"/>
    <w:rsid w:val="00916AC0"/>
    <w:rsid w:val="00920F82"/>
    <w:rsid w:val="00920FD2"/>
    <w:rsid w:val="00921037"/>
    <w:rsid w:val="00922996"/>
    <w:rsid w:val="00923A43"/>
    <w:rsid w:val="00923B2B"/>
    <w:rsid w:val="0092439C"/>
    <w:rsid w:val="0092498E"/>
    <w:rsid w:val="00924C90"/>
    <w:rsid w:val="00925B91"/>
    <w:rsid w:val="009264C7"/>
    <w:rsid w:val="00934461"/>
    <w:rsid w:val="00934F7E"/>
    <w:rsid w:val="00936A1C"/>
    <w:rsid w:val="00937A01"/>
    <w:rsid w:val="00937CCE"/>
    <w:rsid w:val="00937DF9"/>
    <w:rsid w:val="00940447"/>
    <w:rsid w:val="00943E35"/>
    <w:rsid w:val="00943F15"/>
    <w:rsid w:val="00944CB5"/>
    <w:rsid w:val="00945278"/>
    <w:rsid w:val="0094658D"/>
    <w:rsid w:val="00947678"/>
    <w:rsid w:val="00947878"/>
    <w:rsid w:val="009504C2"/>
    <w:rsid w:val="0095254A"/>
    <w:rsid w:val="0095273B"/>
    <w:rsid w:val="0095497C"/>
    <w:rsid w:val="0095500B"/>
    <w:rsid w:val="009559E1"/>
    <w:rsid w:val="00955C78"/>
    <w:rsid w:val="009568D5"/>
    <w:rsid w:val="00957CD3"/>
    <w:rsid w:val="009621AC"/>
    <w:rsid w:val="0096269B"/>
    <w:rsid w:val="00963FB0"/>
    <w:rsid w:val="00964C86"/>
    <w:rsid w:val="00965E82"/>
    <w:rsid w:val="009664BB"/>
    <w:rsid w:val="009669F8"/>
    <w:rsid w:val="00966F89"/>
    <w:rsid w:val="00971F88"/>
    <w:rsid w:val="00973B5D"/>
    <w:rsid w:val="00975D35"/>
    <w:rsid w:val="0097755E"/>
    <w:rsid w:val="00981467"/>
    <w:rsid w:val="00981C24"/>
    <w:rsid w:val="009852F6"/>
    <w:rsid w:val="00985DE5"/>
    <w:rsid w:val="00986254"/>
    <w:rsid w:val="0098729E"/>
    <w:rsid w:val="00990067"/>
    <w:rsid w:val="00992977"/>
    <w:rsid w:val="009937D4"/>
    <w:rsid w:val="00993C78"/>
    <w:rsid w:val="00993CA8"/>
    <w:rsid w:val="009948C7"/>
    <w:rsid w:val="00995850"/>
    <w:rsid w:val="0099796C"/>
    <w:rsid w:val="009A1267"/>
    <w:rsid w:val="009A194E"/>
    <w:rsid w:val="009A1EA2"/>
    <w:rsid w:val="009A209E"/>
    <w:rsid w:val="009A3FD7"/>
    <w:rsid w:val="009A5D4A"/>
    <w:rsid w:val="009A603B"/>
    <w:rsid w:val="009A6652"/>
    <w:rsid w:val="009A74FD"/>
    <w:rsid w:val="009B17A2"/>
    <w:rsid w:val="009B25D8"/>
    <w:rsid w:val="009B42E3"/>
    <w:rsid w:val="009B5859"/>
    <w:rsid w:val="009C2CAC"/>
    <w:rsid w:val="009C465E"/>
    <w:rsid w:val="009C6D07"/>
    <w:rsid w:val="009C7CEC"/>
    <w:rsid w:val="009D14E8"/>
    <w:rsid w:val="009D154D"/>
    <w:rsid w:val="009D18EF"/>
    <w:rsid w:val="009D3BE8"/>
    <w:rsid w:val="009D44E0"/>
    <w:rsid w:val="009D573B"/>
    <w:rsid w:val="009D59A0"/>
    <w:rsid w:val="009D6C37"/>
    <w:rsid w:val="009D716A"/>
    <w:rsid w:val="009D78C8"/>
    <w:rsid w:val="009E0ADD"/>
    <w:rsid w:val="009E16FA"/>
    <w:rsid w:val="009E1AC4"/>
    <w:rsid w:val="009E20B8"/>
    <w:rsid w:val="009E29A0"/>
    <w:rsid w:val="009E41B5"/>
    <w:rsid w:val="009E55D7"/>
    <w:rsid w:val="009E627C"/>
    <w:rsid w:val="009E692C"/>
    <w:rsid w:val="009F110B"/>
    <w:rsid w:val="009F1498"/>
    <w:rsid w:val="009F1E9F"/>
    <w:rsid w:val="009F3793"/>
    <w:rsid w:val="009F3E8F"/>
    <w:rsid w:val="009F54F2"/>
    <w:rsid w:val="00A0056B"/>
    <w:rsid w:val="00A01657"/>
    <w:rsid w:val="00A01C65"/>
    <w:rsid w:val="00A0213D"/>
    <w:rsid w:val="00A02FEE"/>
    <w:rsid w:val="00A04C73"/>
    <w:rsid w:val="00A0679A"/>
    <w:rsid w:val="00A07A2B"/>
    <w:rsid w:val="00A12375"/>
    <w:rsid w:val="00A125B8"/>
    <w:rsid w:val="00A13124"/>
    <w:rsid w:val="00A145B3"/>
    <w:rsid w:val="00A15370"/>
    <w:rsid w:val="00A156AB"/>
    <w:rsid w:val="00A16B8D"/>
    <w:rsid w:val="00A21293"/>
    <w:rsid w:val="00A2134B"/>
    <w:rsid w:val="00A21623"/>
    <w:rsid w:val="00A220EB"/>
    <w:rsid w:val="00A22302"/>
    <w:rsid w:val="00A25F1B"/>
    <w:rsid w:val="00A325F3"/>
    <w:rsid w:val="00A33103"/>
    <w:rsid w:val="00A33294"/>
    <w:rsid w:val="00A34BC6"/>
    <w:rsid w:val="00A35DCB"/>
    <w:rsid w:val="00A3690E"/>
    <w:rsid w:val="00A37751"/>
    <w:rsid w:val="00A406B1"/>
    <w:rsid w:val="00A4113E"/>
    <w:rsid w:val="00A42435"/>
    <w:rsid w:val="00A438BA"/>
    <w:rsid w:val="00A446FD"/>
    <w:rsid w:val="00A45781"/>
    <w:rsid w:val="00A46B4F"/>
    <w:rsid w:val="00A46F46"/>
    <w:rsid w:val="00A52CB6"/>
    <w:rsid w:val="00A52F99"/>
    <w:rsid w:val="00A538BB"/>
    <w:rsid w:val="00A54164"/>
    <w:rsid w:val="00A56737"/>
    <w:rsid w:val="00A60002"/>
    <w:rsid w:val="00A603D8"/>
    <w:rsid w:val="00A60AE2"/>
    <w:rsid w:val="00A60BA3"/>
    <w:rsid w:val="00A61834"/>
    <w:rsid w:val="00A618B0"/>
    <w:rsid w:val="00A62790"/>
    <w:rsid w:val="00A6291F"/>
    <w:rsid w:val="00A630EC"/>
    <w:rsid w:val="00A63F53"/>
    <w:rsid w:val="00A64193"/>
    <w:rsid w:val="00A7111E"/>
    <w:rsid w:val="00A71E1B"/>
    <w:rsid w:val="00A73D15"/>
    <w:rsid w:val="00A73DD4"/>
    <w:rsid w:val="00A755B6"/>
    <w:rsid w:val="00A75B1A"/>
    <w:rsid w:val="00A80ED4"/>
    <w:rsid w:val="00A81598"/>
    <w:rsid w:val="00A816C4"/>
    <w:rsid w:val="00A82981"/>
    <w:rsid w:val="00A83422"/>
    <w:rsid w:val="00A86F10"/>
    <w:rsid w:val="00A87AF2"/>
    <w:rsid w:val="00A90B23"/>
    <w:rsid w:val="00A918A6"/>
    <w:rsid w:val="00A92FD9"/>
    <w:rsid w:val="00A93193"/>
    <w:rsid w:val="00A93C2B"/>
    <w:rsid w:val="00A94019"/>
    <w:rsid w:val="00A94556"/>
    <w:rsid w:val="00A974CB"/>
    <w:rsid w:val="00AA09B0"/>
    <w:rsid w:val="00AA0D8A"/>
    <w:rsid w:val="00AA1EAC"/>
    <w:rsid w:val="00AA218E"/>
    <w:rsid w:val="00AA45E2"/>
    <w:rsid w:val="00AA7AC1"/>
    <w:rsid w:val="00AB4B7B"/>
    <w:rsid w:val="00AB5375"/>
    <w:rsid w:val="00AB6327"/>
    <w:rsid w:val="00AB66C0"/>
    <w:rsid w:val="00AB6B8F"/>
    <w:rsid w:val="00AB7144"/>
    <w:rsid w:val="00AC0C65"/>
    <w:rsid w:val="00AC0FB2"/>
    <w:rsid w:val="00AC3721"/>
    <w:rsid w:val="00AC41C6"/>
    <w:rsid w:val="00AC42E1"/>
    <w:rsid w:val="00AC70C7"/>
    <w:rsid w:val="00AC76B7"/>
    <w:rsid w:val="00AD0223"/>
    <w:rsid w:val="00AD123A"/>
    <w:rsid w:val="00AD15FF"/>
    <w:rsid w:val="00AD1AA5"/>
    <w:rsid w:val="00AD2920"/>
    <w:rsid w:val="00AD2CD5"/>
    <w:rsid w:val="00AD2DFC"/>
    <w:rsid w:val="00AD38C4"/>
    <w:rsid w:val="00AD4ACF"/>
    <w:rsid w:val="00AD5A4A"/>
    <w:rsid w:val="00AD5F77"/>
    <w:rsid w:val="00AD60EE"/>
    <w:rsid w:val="00AD6A2B"/>
    <w:rsid w:val="00AD73D4"/>
    <w:rsid w:val="00AE0D3E"/>
    <w:rsid w:val="00AE0DA0"/>
    <w:rsid w:val="00AE1EA2"/>
    <w:rsid w:val="00AE2874"/>
    <w:rsid w:val="00AE2BA2"/>
    <w:rsid w:val="00AE2F98"/>
    <w:rsid w:val="00AE31FB"/>
    <w:rsid w:val="00AE3602"/>
    <w:rsid w:val="00AE5342"/>
    <w:rsid w:val="00AE5987"/>
    <w:rsid w:val="00AE6472"/>
    <w:rsid w:val="00AF1345"/>
    <w:rsid w:val="00AF38A8"/>
    <w:rsid w:val="00AF63EB"/>
    <w:rsid w:val="00AF6B12"/>
    <w:rsid w:val="00B016D2"/>
    <w:rsid w:val="00B018EC"/>
    <w:rsid w:val="00B060C7"/>
    <w:rsid w:val="00B1165F"/>
    <w:rsid w:val="00B11AB7"/>
    <w:rsid w:val="00B12213"/>
    <w:rsid w:val="00B12E49"/>
    <w:rsid w:val="00B13710"/>
    <w:rsid w:val="00B15D94"/>
    <w:rsid w:val="00B22881"/>
    <w:rsid w:val="00B22AE0"/>
    <w:rsid w:val="00B23EFC"/>
    <w:rsid w:val="00B24B72"/>
    <w:rsid w:val="00B25DB8"/>
    <w:rsid w:val="00B2656C"/>
    <w:rsid w:val="00B266E6"/>
    <w:rsid w:val="00B2721B"/>
    <w:rsid w:val="00B3094D"/>
    <w:rsid w:val="00B30B04"/>
    <w:rsid w:val="00B311BC"/>
    <w:rsid w:val="00B31810"/>
    <w:rsid w:val="00B31C10"/>
    <w:rsid w:val="00B33D9C"/>
    <w:rsid w:val="00B3446D"/>
    <w:rsid w:val="00B34652"/>
    <w:rsid w:val="00B34719"/>
    <w:rsid w:val="00B34F89"/>
    <w:rsid w:val="00B358C8"/>
    <w:rsid w:val="00B35BAF"/>
    <w:rsid w:val="00B36185"/>
    <w:rsid w:val="00B3662F"/>
    <w:rsid w:val="00B373CD"/>
    <w:rsid w:val="00B377C8"/>
    <w:rsid w:val="00B400B8"/>
    <w:rsid w:val="00B404DE"/>
    <w:rsid w:val="00B40765"/>
    <w:rsid w:val="00B42022"/>
    <w:rsid w:val="00B4232D"/>
    <w:rsid w:val="00B42682"/>
    <w:rsid w:val="00B43065"/>
    <w:rsid w:val="00B44784"/>
    <w:rsid w:val="00B449D0"/>
    <w:rsid w:val="00B456AB"/>
    <w:rsid w:val="00B458D5"/>
    <w:rsid w:val="00B46C2A"/>
    <w:rsid w:val="00B47E8B"/>
    <w:rsid w:val="00B51C67"/>
    <w:rsid w:val="00B53F86"/>
    <w:rsid w:val="00B53FDC"/>
    <w:rsid w:val="00B55431"/>
    <w:rsid w:val="00B55CAE"/>
    <w:rsid w:val="00B576C6"/>
    <w:rsid w:val="00B57762"/>
    <w:rsid w:val="00B615F2"/>
    <w:rsid w:val="00B61A28"/>
    <w:rsid w:val="00B62919"/>
    <w:rsid w:val="00B6301B"/>
    <w:rsid w:val="00B65427"/>
    <w:rsid w:val="00B65C6D"/>
    <w:rsid w:val="00B66306"/>
    <w:rsid w:val="00B66B06"/>
    <w:rsid w:val="00B67547"/>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19C8"/>
    <w:rsid w:val="00B900FE"/>
    <w:rsid w:val="00B9064C"/>
    <w:rsid w:val="00B91D74"/>
    <w:rsid w:val="00BA0A14"/>
    <w:rsid w:val="00BA228D"/>
    <w:rsid w:val="00BA2ACF"/>
    <w:rsid w:val="00BA398D"/>
    <w:rsid w:val="00BA39D3"/>
    <w:rsid w:val="00BA5C56"/>
    <w:rsid w:val="00BA776F"/>
    <w:rsid w:val="00BB0C0D"/>
    <w:rsid w:val="00BB0D69"/>
    <w:rsid w:val="00BB2D75"/>
    <w:rsid w:val="00BB366E"/>
    <w:rsid w:val="00BB3AF0"/>
    <w:rsid w:val="00BB4F70"/>
    <w:rsid w:val="00BB67FF"/>
    <w:rsid w:val="00BB6C34"/>
    <w:rsid w:val="00BB756A"/>
    <w:rsid w:val="00BC11B9"/>
    <w:rsid w:val="00BC138C"/>
    <w:rsid w:val="00BC14CF"/>
    <w:rsid w:val="00BC1659"/>
    <w:rsid w:val="00BC2494"/>
    <w:rsid w:val="00BC2C91"/>
    <w:rsid w:val="00BC3A9C"/>
    <w:rsid w:val="00BC4A92"/>
    <w:rsid w:val="00BC5288"/>
    <w:rsid w:val="00BC6A71"/>
    <w:rsid w:val="00BC6B2F"/>
    <w:rsid w:val="00BC7B4D"/>
    <w:rsid w:val="00BD0637"/>
    <w:rsid w:val="00BD08A8"/>
    <w:rsid w:val="00BD1BAC"/>
    <w:rsid w:val="00BD1FA8"/>
    <w:rsid w:val="00BD25A6"/>
    <w:rsid w:val="00BD4C95"/>
    <w:rsid w:val="00BD4F3A"/>
    <w:rsid w:val="00BD65FC"/>
    <w:rsid w:val="00BD7660"/>
    <w:rsid w:val="00BE0666"/>
    <w:rsid w:val="00BE1698"/>
    <w:rsid w:val="00BE24B9"/>
    <w:rsid w:val="00BE2AE8"/>
    <w:rsid w:val="00BE2D55"/>
    <w:rsid w:val="00BE38DD"/>
    <w:rsid w:val="00BE4AB1"/>
    <w:rsid w:val="00BE747C"/>
    <w:rsid w:val="00BF16C3"/>
    <w:rsid w:val="00BF38E0"/>
    <w:rsid w:val="00BF44FA"/>
    <w:rsid w:val="00BF57E1"/>
    <w:rsid w:val="00C003B4"/>
    <w:rsid w:val="00C008CC"/>
    <w:rsid w:val="00C00A5F"/>
    <w:rsid w:val="00C03172"/>
    <w:rsid w:val="00C042E0"/>
    <w:rsid w:val="00C051D9"/>
    <w:rsid w:val="00C05917"/>
    <w:rsid w:val="00C06333"/>
    <w:rsid w:val="00C06F68"/>
    <w:rsid w:val="00C075BA"/>
    <w:rsid w:val="00C076DF"/>
    <w:rsid w:val="00C10A3A"/>
    <w:rsid w:val="00C10E4E"/>
    <w:rsid w:val="00C11E20"/>
    <w:rsid w:val="00C14129"/>
    <w:rsid w:val="00C14E8F"/>
    <w:rsid w:val="00C15D16"/>
    <w:rsid w:val="00C173CE"/>
    <w:rsid w:val="00C20015"/>
    <w:rsid w:val="00C247DD"/>
    <w:rsid w:val="00C25B43"/>
    <w:rsid w:val="00C26A54"/>
    <w:rsid w:val="00C32573"/>
    <w:rsid w:val="00C3261C"/>
    <w:rsid w:val="00C3318B"/>
    <w:rsid w:val="00C33C20"/>
    <w:rsid w:val="00C33F61"/>
    <w:rsid w:val="00C34067"/>
    <w:rsid w:val="00C35362"/>
    <w:rsid w:val="00C357EA"/>
    <w:rsid w:val="00C379F8"/>
    <w:rsid w:val="00C37A1C"/>
    <w:rsid w:val="00C42323"/>
    <w:rsid w:val="00C42B52"/>
    <w:rsid w:val="00C42D5F"/>
    <w:rsid w:val="00C4316E"/>
    <w:rsid w:val="00C453A9"/>
    <w:rsid w:val="00C465D5"/>
    <w:rsid w:val="00C4756A"/>
    <w:rsid w:val="00C47C39"/>
    <w:rsid w:val="00C50649"/>
    <w:rsid w:val="00C50E1F"/>
    <w:rsid w:val="00C51C09"/>
    <w:rsid w:val="00C52BB6"/>
    <w:rsid w:val="00C53471"/>
    <w:rsid w:val="00C53679"/>
    <w:rsid w:val="00C54395"/>
    <w:rsid w:val="00C55143"/>
    <w:rsid w:val="00C5611B"/>
    <w:rsid w:val="00C5695E"/>
    <w:rsid w:val="00C57458"/>
    <w:rsid w:val="00C61528"/>
    <w:rsid w:val="00C61D95"/>
    <w:rsid w:val="00C63457"/>
    <w:rsid w:val="00C64964"/>
    <w:rsid w:val="00C64DE2"/>
    <w:rsid w:val="00C6631E"/>
    <w:rsid w:val="00C67473"/>
    <w:rsid w:val="00C67AA4"/>
    <w:rsid w:val="00C7148C"/>
    <w:rsid w:val="00C72192"/>
    <w:rsid w:val="00C732E5"/>
    <w:rsid w:val="00C73D0B"/>
    <w:rsid w:val="00C75017"/>
    <w:rsid w:val="00C765B4"/>
    <w:rsid w:val="00C813EA"/>
    <w:rsid w:val="00C81496"/>
    <w:rsid w:val="00C82CE6"/>
    <w:rsid w:val="00C82E22"/>
    <w:rsid w:val="00C84711"/>
    <w:rsid w:val="00C85144"/>
    <w:rsid w:val="00C86738"/>
    <w:rsid w:val="00C86A27"/>
    <w:rsid w:val="00C91517"/>
    <w:rsid w:val="00C91C34"/>
    <w:rsid w:val="00C929BD"/>
    <w:rsid w:val="00C931A2"/>
    <w:rsid w:val="00C973D4"/>
    <w:rsid w:val="00CA02E1"/>
    <w:rsid w:val="00CA0743"/>
    <w:rsid w:val="00CA15DA"/>
    <w:rsid w:val="00CA224E"/>
    <w:rsid w:val="00CA41C5"/>
    <w:rsid w:val="00CA42B7"/>
    <w:rsid w:val="00CA452A"/>
    <w:rsid w:val="00CA4A53"/>
    <w:rsid w:val="00CA51F5"/>
    <w:rsid w:val="00CA75AA"/>
    <w:rsid w:val="00CB218A"/>
    <w:rsid w:val="00CB225A"/>
    <w:rsid w:val="00CB2A99"/>
    <w:rsid w:val="00CB4F4C"/>
    <w:rsid w:val="00CB69E6"/>
    <w:rsid w:val="00CB761B"/>
    <w:rsid w:val="00CB7E33"/>
    <w:rsid w:val="00CC0A06"/>
    <w:rsid w:val="00CC13DF"/>
    <w:rsid w:val="00CC1EEE"/>
    <w:rsid w:val="00CC2403"/>
    <w:rsid w:val="00CC2D2B"/>
    <w:rsid w:val="00CC3565"/>
    <w:rsid w:val="00CC562B"/>
    <w:rsid w:val="00CC6C15"/>
    <w:rsid w:val="00CC7FCF"/>
    <w:rsid w:val="00CD2749"/>
    <w:rsid w:val="00CD2A60"/>
    <w:rsid w:val="00CD306F"/>
    <w:rsid w:val="00CD3971"/>
    <w:rsid w:val="00CD3DAB"/>
    <w:rsid w:val="00CE0C1C"/>
    <w:rsid w:val="00CE0DF1"/>
    <w:rsid w:val="00CE3786"/>
    <w:rsid w:val="00CE4027"/>
    <w:rsid w:val="00CE47CC"/>
    <w:rsid w:val="00CE68F6"/>
    <w:rsid w:val="00CE7E27"/>
    <w:rsid w:val="00CF1AC8"/>
    <w:rsid w:val="00CF22AC"/>
    <w:rsid w:val="00CF2F0A"/>
    <w:rsid w:val="00CF7239"/>
    <w:rsid w:val="00CF79E8"/>
    <w:rsid w:val="00D015AA"/>
    <w:rsid w:val="00D021B8"/>
    <w:rsid w:val="00D03D90"/>
    <w:rsid w:val="00D04024"/>
    <w:rsid w:val="00D043EB"/>
    <w:rsid w:val="00D06705"/>
    <w:rsid w:val="00D06A9B"/>
    <w:rsid w:val="00D06B19"/>
    <w:rsid w:val="00D0750D"/>
    <w:rsid w:val="00D07DD8"/>
    <w:rsid w:val="00D1038F"/>
    <w:rsid w:val="00D10BF7"/>
    <w:rsid w:val="00D10FEB"/>
    <w:rsid w:val="00D140A0"/>
    <w:rsid w:val="00D1687F"/>
    <w:rsid w:val="00D203D1"/>
    <w:rsid w:val="00D2057A"/>
    <w:rsid w:val="00D21D98"/>
    <w:rsid w:val="00D2317F"/>
    <w:rsid w:val="00D231A9"/>
    <w:rsid w:val="00D235FD"/>
    <w:rsid w:val="00D24391"/>
    <w:rsid w:val="00D2472B"/>
    <w:rsid w:val="00D253DD"/>
    <w:rsid w:val="00D25CD8"/>
    <w:rsid w:val="00D26FFA"/>
    <w:rsid w:val="00D3215D"/>
    <w:rsid w:val="00D33352"/>
    <w:rsid w:val="00D347D9"/>
    <w:rsid w:val="00D35565"/>
    <w:rsid w:val="00D369A5"/>
    <w:rsid w:val="00D36A19"/>
    <w:rsid w:val="00D4065C"/>
    <w:rsid w:val="00D40DCF"/>
    <w:rsid w:val="00D41075"/>
    <w:rsid w:val="00D41C76"/>
    <w:rsid w:val="00D41DD8"/>
    <w:rsid w:val="00D4222C"/>
    <w:rsid w:val="00D425CE"/>
    <w:rsid w:val="00D42EF9"/>
    <w:rsid w:val="00D42F40"/>
    <w:rsid w:val="00D4396C"/>
    <w:rsid w:val="00D4446F"/>
    <w:rsid w:val="00D44B55"/>
    <w:rsid w:val="00D45490"/>
    <w:rsid w:val="00D457B8"/>
    <w:rsid w:val="00D457E1"/>
    <w:rsid w:val="00D47BEB"/>
    <w:rsid w:val="00D47ECA"/>
    <w:rsid w:val="00D50487"/>
    <w:rsid w:val="00D50563"/>
    <w:rsid w:val="00D50F50"/>
    <w:rsid w:val="00D5235F"/>
    <w:rsid w:val="00D52F50"/>
    <w:rsid w:val="00D55A98"/>
    <w:rsid w:val="00D56B49"/>
    <w:rsid w:val="00D57150"/>
    <w:rsid w:val="00D6053F"/>
    <w:rsid w:val="00D6073D"/>
    <w:rsid w:val="00D618D6"/>
    <w:rsid w:val="00D62426"/>
    <w:rsid w:val="00D62804"/>
    <w:rsid w:val="00D64870"/>
    <w:rsid w:val="00D65F68"/>
    <w:rsid w:val="00D70F55"/>
    <w:rsid w:val="00D70FA5"/>
    <w:rsid w:val="00D72A5F"/>
    <w:rsid w:val="00D74171"/>
    <w:rsid w:val="00D7474C"/>
    <w:rsid w:val="00D74AD0"/>
    <w:rsid w:val="00D770FF"/>
    <w:rsid w:val="00D8032C"/>
    <w:rsid w:val="00D80CE2"/>
    <w:rsid w:val="00D83046"/>
    <w:rsid w:val="00D83080"/>
    <w:rsid w:val="00D84D5F"/>
    <w:rsid w:val="00D851E2"/>
    <w:rsid w:val="00D87FFA"/>
    <w:rsid w:val="00D91419"/>
    <w:rsid w:val="00D92A09"/>
    <w:rsid w:val="00D92BBF"/>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2DC3"/>
    <w:rsid w:val="00DA3001"/>
    <w:rsid w:val="00DA3C5D"/>
    <w:rsid w:val="00DA3EFF"/>
    <w:rsid w:val="00DA4F8A"/>
    <w:rsid w:val="00DA5387"/>
    <w:rsid w:val="00DA7769"/>
    <w:rsid w:val="00DB08C6"/>
    <w:rsid w:val="00DB1B9B"/>
    <w:rsid w:val="00DB1BC2"/>
    <w:rsid w:val="00DB1CBB"/>
    <w:rsid w:val="00DB31ED"/>
    <w:rsid w:val="00DB4124"/>
    <w:rsid w:val="00DB4511"/>
    <w:rsid w:val="00DB4F0C"/>
    <w:rsid w:val="00DC0176"/>
    <w:rsid w:val="00DC043F"/>
    <w:rsid w:val="00DC07F5"/>
    <w:rsid w:val="00DC093E"/>
    <w:rsid w:val="00DC0E29"/>
    <w:rsid w:val="00DC0E7A"/>
    <w:rsid w:val="00DC2A65"/>
    <w:rsid w:val="00DC2A86"/>
    <w:rsid w:val="00DC2EC2"/>
    <w:rsid w:val="00DC3631"/>
    <w:rsid w:val="00DC37F7"/>
    <w:rsid w:val="00DC6F54"/>
    <w:rsid w:val="00DD0C00"/>
    <w:rsid w:val="00DD0F8C"/>
    <w:rsid w:val="00DD116C"/>
    <w:rsid w:val="00DD161B"/>
    <w:rsid w:val="00DD23D5"/>
    <w:rsid w:val="00DD2AF1"/>
    <w:rsid w:val="00DD46DA"/>
    <w:rsid w:val="00DD6072"/>
    <w:rsid w:val="00DD62BE"/>
    <w:rsid w:val="00DD77D9"/>
    <w:rsid w:val="00DD7CA4"/>
    <w:rsid w:val="00DE167C"/>
    <w:rsid w:val="00DE17DE"/>
    <w:rsid w:val="00DE194B"/>
    <w:rsid w:val="00DE2010"/>
    <w:rsid w:val="00DE30CF"/>
    <w:rsid w:val="00DE3B70"/>
    <w:rsid w:val="00DE5813"/>
    <w:rsid w:val="00DE7C4F"/>
    <w:rsid w:val="00DF0443"/>
    <w:rsid w:val="00DF10B1"/>
    <w:rsid w:val="00DF1F91"/>
    <w:rsid w:val="00DF1FDA"/>
    <w:rsid w:val="00DF2D83"/>
    <w:rsid w:val="00DF3DD0"/>
    <w:rsid w:val="00DF4D50"/>
    <w:rsid w:val="00DF538C"/>
    <w:rsid w:val="00DF651D"/>
    <w:rsid w:val="00E021C2"/>
    <w:rsid w:val="00E024A3"/>
    <w:rsid w:val="00E033F8"/>
    <w:rsid w:val="00E0423D"/>
    <w:rsid w:val="00E057B5"/>
    <w:rsid w:val="00E0581E"/>
    <w:rsid w:val="00E079C5"/>
    <w:rsid w:val="00E07A74"/>
    <w:rsid w:val="00E07CBD"/>
    <w:rsid w:val="00E07F56"/>
    <w:rsid w:val="00E10A16"/>
    <w:rsid w:val="00E1112F"/>
    <w:rsid w:val="00E1318F"/>
    <w:rsid w:val="00E13B3B"/>
    <w:rsid w:val="00E13E29"/>
    <w:rsid w:val="00E16857"/>
    <w:rsid w:val="00E16C3A"/>
    <w:rsid w:val="00E20651"/>
    <w:rsid w:val="00E2107C"/>
    <w:rsid w:val="00E21E70"/>
    <w:rsid w:val="00E224DE"/>
    <w:rsid w:val="00E2375E"/>
    <w:rsid w:val="00E23DCE"/>
    <w:rsid w:val="00E245EB"/>
    <w:rsid w:val="00E26363"/>
    <w:rsid w:val="00E272A4"/>
    <w:rsid w:val="00E305F9"/>
    <w:rsid w:val="00E306AC"/>
    <w:rsid w:val="00E30B6D"/>
    <w:rsid w:val="00E34446"/>
    <w:rsid w:val="00E3633B"/>
    <w:rsid w:val="00E36870"/>
    <w:rsid w:val="00E374E1"/>
    <w:rsid w:val="00E4081F"/>
    <w:rsid w:val="00E417AB"/>
    <w:rsid w:val="00E42770"/>
    <w:rsid w:val="00E431C7"/>
    <w:rsid w:val="00E43D48"/>
    <w:rsid w:val="00E4542D"/>
    <w:rsid w:val="00E45BE0"/>
    <w:rsid w:val="00E46CAD"/>
    <w:rsid w:val="00E46F29"/>
    <w:rsid w:val="00E47521"/>
    <w:rsid w:val="00E4760C"/>
    <w:rsid w:val="00E507A6"/>
    <w:rsid w:val="00E5375C"/>
    <w:rsid w:val="00E53BBB"/>
    <w:rsid w:val="00E5471E"/>
    <w:rsid w:val="00E561AD"/>
    <w:rsid w:val="00E56734"/>
    <w:rsid w:val="00E57FAF"/>
    <w:rsid w:val="00E60BA9"/>
    <w:rsid w:val="00E60FEA"/>
    <w:rsid w:val="00E625C6"/>
    <w:rsid w:val="00E6336B"/>
    <w:rsid w:val="00E63510"/>
    <w:rsid w:val="00E635EA"/>
    <w:rsid w:val="00E63EE3"/>
    <w:rsid w:val="00E655E5"/>
    <w:rsid w:val="00E65F4E"/>
    <w:rsid w:val="00E662E0"/>
    <w:rsid w:val="00E67D5D"/>
    <w:rsid w:val="00E7036C"/>
    <w:rsid w:val="00E71C7A"/>
    <w:rsid w:val="00E722E9"/>
    <w:rsid w:val="00E73119"/>
    <w:rsid w:val="00E73E1E"/>
    <w:rsid w:val="00E756E5"/>
    <w:rsid w:val="00E767FF"/>
    <w:rsid w:val="00E8282C"/>
    <w:rsid w:val="00E8355E"/>
    <w:rsid w:val="00E84C91"/>
    <w:rsid w:val="00E84E60"/>
    <w:rsid w:val="00E8556E"/>
    <w:rsid w:val="00E86B2D"/>
    <w:rsid w:val="00E86F4D"/>
    <w:rsid w:val="00E87D08"/>
    <w:rsid w:val="00E90D0E"/>
    <w:rsid w:val="00E91B2D"/>
    <w:rsid w:val="00E92B82"/>
    <w:rsid w:val="00E92FCA"/>
    <w:rsid w:val="00E95CAA"/>
    <w:rsid w:val="00E9721D"/>
    <w:rsid w:val="00E979E6"/>
    <w:rsid w:val="00EA0A39"/>
    <w:rsid w:val="00EA0EB2"/>
    <w:rsid w:val="00EA142F"/>
    <w:rsid w:val="00EA236F"/>
    <w:rsid w:val="00EA3023"/>
    <w:rsid w:val="00EA3399"/>
    <w:rsid w:val="00EA3AD9"/>
    <w:rsid w:val="00EA3E49"/>
    <w:rsid w:val="00EA3FC8"/>
    <w:rsid w:val="00EA5B8C"/>
    <w:rsid w:val="00EA7867"/>
    <w:rsid w:val="00EB0DC9"/>
    <w:rsid w:val="00EB1383"/>
    <w:rsid w:val="00EB1772"/>
    <w:rsid w:val="00EB252D"/>
    <w:rsid w:val="00EB29FA"/>
    <w:rsid w:val="00EB2CCE"/>
    <w:rsid w:val="00EB385F"/>
    <w:rsid w:val="00EB3E49"/>
    <w:rsid w:val="00EB5FC3"/>
    <w:rsid w:val="00EB6DA9"/>
    <w:rsid w:val="00EC1561"/>
    <w:rsid w:val="00EC175B"/>
    <w:rsid w:val="00EC2238"/>
    <w:rsid w:val="00EC462E"/>
    <w:rsid w:val="00EC6CD8"/>
    <w:rsid w:val="00EC786F"/>
    <w:rsid w:val="00ED1866"/>
    <w:rsid w:val="00ED2DD3"/>
    <w:rsid w:val="00ED3134"/>
    <w:rsid w:val="00ED38E2"/>
    <w:rsid w:val="00ED5C44"/>
    <w:rsid w:val="00ED635B"/>
    <w:rsid w:val="00EE031D"/>
    <w:rsid w:val="00EE10BE"/>
    <w:rsid w:val="00EE742D"/>
    <w:rsid w:val="00EF0A22"/>
    <w:rsid w:val="00EF1267"/>
    <w:rsid w:val="00EF180C"/>
    <w:rsid w:val="00EF3B6B"/>
    <w:rsid w:val="00EF4B43"/>
    <w:rsid w:val="00EF6750"/>
    <w:rsid w:val="00EF770B"/>
    <w:rsid w:val="00F02836"/>
    <w:rsid w:val="00F02FB5"/>
    <w:rsid w:val="00F0534E"/>
    <w:rsid w:val="00F05C30"/>
    <w:rsid w:val="00F10B74"/>
    <w:rsid w:val="00F10F1B"/>
    <w:rsid w:val="00F14179"/>
    <w:rsid w:val="00F15786"/>
    <w:rsid w:val="00F1606F"/>
    <w:rsid w:val="00F167C5"/>
    <w:rsid w:val="00F20B5A"/>
    <w:rsid w:val="00F21F0B"/>
    <w:rsid w:val="00F22735"/>
    <w:rsid w:val="00F236AB"/>
    <w:rsid w:val="00F24EA4"/>
    <w:rsid w:val="00F27087"/>
    <w:rsid w:val="00F2773C"/>
    <w:rsid w:val="00F27C45"/>
    <w:rsid w:val="00F300B3"/>
    <w:rsid w:val="00F30DB9"/>
    <w:rsid w:val="00F30FB8"/>
    <w:rsid w:val="00F31D68"/>
    <w:rsid w:val="00F33152"/>
    <w:rsid w:val="00F338F2"/>
    <w:rsid w:val="00F349D3"/>
    <w:rsid w:val="00F3533E"/>
    <w:rsid w:val="00F35B84"/>
    <w:rsid w:val="00F374DB"/>
    <w:rsid w:val="00F402B5"/>
    <w:rsid w:val="00F4072F"/>
    <w:rsid w:val="00F42839"/>
    <w:rsid w:val="00F43970"/>
    <w:rsid w:val="00F44BAF"/>
    <w:rsid w:val="00F44CC0"/>
    <w:rsid w:val="00F450BA"/>
    <w:rsid w:val="00F4684B"/>
    <w:rsid w:val="00F46BE9"/>
    <w:rsid w:val="00F46E30"/>
    <w:rsid w:val="00F47C3B"/>
    <w:rsid w:val="00F506CA"/>
    <w:rsid w:val="00F53A7A"/>
    <w:rsid w:val="00F54FCD"/>
    <w:rsid w:val="00F5785C"/>
    <w:rsid w:val="00F65E3C"/>
    <w:rsid w:val="00F67076"/>
    <w:rsid w:val="00F677FA"/>
    <w:rsid w:val="00F7115A"/>
    <w:rsid w:val="00F717AA"/>
    <w:rsid w:val="00F71A3B"/>
    <w:rsid w:val="00F72714"/>
    <w:rsid w:val="00F733E1"/>
    <w:rsid w:val="00F74440"/>
    <w:rsid w:val="00F744C3"/>
    <w:rsid w:val="00F75EE2"/>
    <w:rsid w:val="00F75F69"/>
    <w:rsid w:val="00F76014"/>
    <w:rsid w:val="00F802D3"/>
    <w:rsid w:val="00F80F94"/>
    <w:rsid w:val="00F81BA2"/>
    <w:rsid w:val="00F81CB7"/>
    <w:rsid w:val="00F823A4"/>
    <w:rsid w:val="00F8412F"/>
    <w:rsid w:val="00F84791"/>
    <w:rsid w:val="00F85995"/>
    <w:rsid w:val="00F85A09"/>
    <w:rsid w:val="00F85FC5"/>
    <w:rsid w:val="00F860F0"/>
    <w:rsid w:val="00F86C22"/>
    <w:rsid w:val="00F870AC"/>
    <w:rsid w:val="00F90CB3"/>
    <w:rsid w:val="00F912A2"/>
    <w:rsid w:val="00F913A3"/>
    <w:rsid w:val="00F925C3"/>
    <w:rsid w:val="00F95382"/>
    <w:rsid w:val="00FA0109"/>
    <w:rsid w:val="00FA0182"/>
    <w:rsid w:val="00FA458B"/>
    <w:rsid w:val="00FA5EC5"/>
    <w:rsid w:val="00FA7016"/>
    <w:rsid w:val="00FA7174"/>
    <w:rsid w:val="00FA793D"/>
    <w:rsid w:val="00FB020E"/>
    <w:rsid w:val="00FB05AF"/>
    <w:rsid w:val="00FB0F17"/>
    <w:rsid w:val="00FB454A"/>
    <w:rsid w:val="00FB4B9D"/>
    <w:rsid w:val="00FB50ED"/>
    <w:rsid w:val="00FB6E18"/>
    <w:rsid w:val="00FC144B"/>
    <w:rsid w:val="00FC2169"/>
    <w:rsid w:val="00FC2608"/>
    <w:rsid w:val="00FC28E2"/>
    <w:rsid w:val="00FC3BF6"/>
    <w:rsid w:val="00FC3D22"/>
    <w:rsid w:val="00FC3F0D"/>
    <w:rsid w:val="00FC6FE1"/>
    <w:rsid w:val="00FC77E1"/>
    <w:rsid w:val="00FD0C3D"/>
    <w:rsid w:val="00FD2F6B"/>
    <w:rsid w:val="00FE064A"/>
    <w:rsid w:val="00FE0B55"/>
    <w:rsid w:val="00FE1E98"/>
    <w:rsid w:val="00FE2452"/>
    <w:rsid w:val="00FE5469"/>
    <w:rsid w:val="00FE66C2"/>
    <w:rsid w:val="00FE684A"/>
    <w:rsid w:val="00FE6F23"/>
    <w:rsid w:val="00FF0F8C"/>
    <w:rsid w:val="00FF1408"/>
    <w:rsid w:val="00FF24A0"/>
    <w:rsid w:val="00FF408B"/>
    <w:rsid w:val="00FF41E2"/>
    <w:rsid w:val="00FF43E1"/>
    <w:rsid w:val="00FF4D38"/>
    <w:rsid w:val="00FF6EF9"/>
    <w:rsid w:val="03430854"/>
    <w:rsid w:val="039F5FA6"/>
    <w:rsid w:val="09305ADA"/>
    <w:rsid w:val="0A102726"/>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F1508D"/>
    <w:rsid w:val="266F634F"/>
    <w:rsid w:val="291059EA"/>
    <w:rsid w:val="2BBF12EC"/>
    <w:rsid w:val="2BC649D9"/>
    <w:rsid w:val="2BF86FF0"/>
    <w:rsid w:val="2DBE266E"/>
    <w:rsid w:val="313C1E8F"/>
    <w:rsid w:val="33EF73F3"/>
    <w:rsid w:val="3515160D"/>
    <w:rsid w:val="3C7D00D8"/>
    <w:rsid w:val="3CA06C0C"/>
    <w:rsid w:val="3EA25851"/>
    <w:rsid w:val="3F6C3757"/>
    <w:rsid w:val="3FADE2DD"/>
    <w:rsid w:val="40400BE3"/>
    <w:rsid w:val="405D6A10"/>
    <w:rsid w:val="41DA6594"/>
    <w:rsid w:val="444C1A75"/>
    <w:rsid w:val="44A3526F"/>
    <w:rsid w:val="44B032F4"/>
    <w:rsid w:val="457D25F7"/>
    <w:rsid w:val="468341CD"/>
    <w:rsid w:val="472C2589"/>
    <w:rsid w:val="4A760AEB"/>
    <w:rsid w:val="4E4E9AF5"/>
    <w:rsid w:val="4F3162CA"/>
    <w:rsid w:val="50D95873"/>
    <w:rsid w:val="526102AF"/>
    <w:rsid w:val="528444DA"/>
    <w:rsid w:val="537745D5"/>
    <w:rsid w:val="552306F6"/>
    <w:rsid w:val="56E352D5"/>
    <w:rsid w:val="57E435FE"/>
    <w:rsid w:val="582D0655"/>
    <w:rsid w:val="5951205C"/>
    <w:rsid w:val="59D079E8"/>
    <w:rsid w:val="59D40847"/>
    <w:rsid w:val="5AE37F25"/>
    <w:rsid w:val="5BA5226D"/>
    <w:rsid w:val="5CB23D47"/>
    <w:rsid w:val="5E75AB8F"/>
    <w:rsid w:val="5FAF09C4"/>
    <w:rsid w:val="5FD34077"/>
    <w:rsid w:val="5FD4933C"/>
    <w:rsid w:val="5FFEB317"/>
    <w:rsid w:val="608C4642"/>
    <w:rsid w:val="62795572"/>
    <w:rsid w:val="639FCE4B"/>
    <w:rsid w:val="64DD6417"/>
    <w:rsid w:val="66004745"/>
    <w:rsid w:val="66AA6977"/>
    <w:rsid w:val="6A567F20"/>
    <w:rsid w:val="6CD97953"/>
    <w:rsid w:val="6ED30FD7"/>
    <w:rsid w:val="727D78FD"/>
    <w:rsid w:val="7337BC6A"/>
    <w:rsid w:val="73CC655F"/>
    <w:rsid w:val="73FD758B"/>
    <w:rsid w:val="75957445"/>
    <w:rsid w:val="75D01AE1"/>
    <w:rsid w:val="77524363"/>
    <w:rsid w:val="77B917B5"/>
    <w:rsid w:val="78703975"/>
    <w:rsid w:val="7B795BCF"/>
    <w:rsid w:val="7BE420FD"/>
    <w:rsid w:val="7BF25591"/>
    <w:rsid w:val="7D0D296B"/>
    <w:rsid w:val="7D4E0B54"/>
    <w:rsid w:val="7D503E78"/>
    <w:rsid w:val="7D9E5CD6"/>
    <w:rsid w:val="7E0160D4"/>
    <w:rsid w:val="7F3FFC5A"/>
    <w:rsid w:val="7FBF35B3"/>
    <w:rsid w:val="A41B430E"/>
    <w:rsid w:val="B63FFEA2"/>
    <w:rsid w:val="B97F3254"/>
    <w:rsid w:val="B9F758E9"/>
    <w:rsid w:val="BE1D8EA7"/>
    <w:rsid w:val="E74ABF17"/>
    <w:rsid w:val="E7DCDA72"/>
    <w:rsid w:val="F3D60E9E"/>
    <w:rsid w:val="F53BD655"/>
    <w:rsid w:val="FBEDF9E6"/>
    <w:rsid w:val="FE77332C"/>
    <w:rsid w:val="FF11CECF"/>
    <w:rsid w:val="FF460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960" w:firstLineChars="200"/>
      <w:jc w:val="both"/>
    </w:pPr>
    <w:rPr>
      <w:rFonts w:ascii="宋体" w:hAnsi="宋体" w:eastAsia="宋体" w:cs="Times New Roman"/>
      <w:sz w:val="24"/>
      <w:szCs w:val="24"/>
      <w:lang w:val="en-US" w:eastAsia="zh-CN" w:bidi="ar-SA"/>
    </w:rPr>
  </w:style>
  <w:style w:type="paragraph" w:styleId="2">
    <w:name w:val="heading 1"/>
    <w:basedOn w:val="1"/>
    <w:next w:val="1"/>
    <w:link w:val="75"/>
    <w:qFormat/>
    <w:uiPriority w:val="0"/>
    <w:pPr>
      <w:keepNext/>
      <w:keepLines/>
      <w:widowControl w:val="0"/>
      <w:numPr>
        <w:ilvl w:val="0"/>
        <w:numId w:val="1"/>
      </w:numPr>
      <w:spacing w:before="120" w:after="120"/>
      <w:ind w:left="0"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widowControl w:val="0"/>
      <w:numPr>
        <w:ilvl w:val="1"/>
        <w:numId w:val="1"/>
      </w:numPr>
      <w:ind w:firstLine="0" w:firstLineChars="0"/>
      <w:outlineLvl w:val="1"/>
    </w:pPr>
    <w:rPr>
      <w:b/>
      <w:bCs/>
      <w:kern w:val="2"/>
      <w:sz w:val="30"/>
      <w:szCs w:val="32"/>
    </w:rPr>
  </w:style>
  <w:style w:type="paragraph" w:styleId="4">
    <w:name w:val="heading 3"/>
    <w:basedOn w:val="1"/>
    <w:next w:val="1"/>
    <w:link w:val="81"/>
    <w:qFormat/>
    <w:uiPriority w:val="0"/>
    <w:pPr>
      <w:keepNext/>
      <w:keepLines/>
      <w:widowControl w:val="0"/>
      <w:numPr>
        <w:ilvl w:val="2"/>
        <w:numId w:val="1"/>
      </w:numPr>
      <w:spacing w:before="120" w:after="120"/>
      <w:ind w:firstLine="0"/>
      <w:outlineLvl w:val="2"/>
    </w:pPr>
    <w:rPr>
      <w:b/>
      <w:bCs/>
      <w:kern w:val="2"/>
      <w:sz w:val="28"/>
      <w:szCs w:val="28"/>
    </w:rPr>
  </w:style>
  <w:style w:type="paragraph" w:styleId="5">
    <w:name w:val="heading 4"/>
    <w:basedOn w:val="1"/>
    <w:next w:val="1"/>
    <w:link w:val="58"/>
    <w:qFormat/>
    <w:uiPriority w:val="0"/>
    <w:pPr>
      <w:keepNext/>
      <w:keepLines/>
      <w:widowControl w:val="0"/>
      <w:numPr>
        <w:ilvl w:val="3"/>
        <w:numId w:val="1"/>
      </w:numPr>
      <w:spacing w:before="120" w:after="120"/>
      <w:ind w:left="851" w:firstLine="0"/>
      <w:outlineLvl w:val="3"/>
    </w:pPr>
    <w:rPr>
      <w:b/>
      <w:bCs/>
      <w:kern w:val="2"/>
      <w:sz w:val="30"/>
      <w:szCs w:val="30"/>
    </w:rPr>
  </w:style>
  <w:style w:type="paragraph" w:styleId="6">
    <w:name w:val="heading 5"/>
    <w:basedOn w:val="1"/>
    <w:next w:val="1"/>
    <w:link w:val="86"/>
    <w:qFormat/>
    <w:uiPriority w:val="0"/>
    <w:pPr>
      <w:keepNext/>
      <w:keepLines/>
      <w:widowControl w:val="0"/>
      <w:numPr>
        <w:ilvl w:val="4"/>
        <w:numId w:val="1"/>
      </w:numPr>
      <w:spacing w:before="120" w:after="120"/>
      <w:ind w:left="0" w:firstLine="0"/>
      <w:outlineLvl w:val="4"/>
    </w:pPr>
    <w:rPr>
      <w:b/>
      <w:bCs/>
      <w:kern w:val="2"/>
      <w:szCs w:val="28"/>
    </w:rPr>
  </w:style>
  <w:style w:type="paragraph" w:styleId="7">
    <w:name w:val="heading 6"/>
    <w:basedOn w:val="1"/>
    <w:next w:val="1"/>
    <w:link w:val="99"/>
    <w:qFormat/>
    <w:uiPriority w:val="0"/>
    <w:pPr>
      <w:keepNext/>
      <w:keepLines/>
      <w:widowControl w:val="0"/>
      <w:numPr>
        <w:ilvl w:val="5"/>
        <w:numId w:val="1"/>
      </w:numPr>
      <w:spacing w:before="120" w:after="120"/>
      <w:ind w:firstLine="0"/>
      <w:outlineLvl w:val="5"/>
    </w:pPr>
    <w:rPr>
      <w:rFonts w:ascii="Cambria" w:hAnsi="Cambria"/>
      <w:b/>
      <w:bCs/>
      <w:kern w:val="2"/>
    </w:rPr>
  </w:style>
  <w:style w:type="paragraph" w:styleId="8">
    <w:name w:val="heading 7"/>
    <w:basedOn w:val="1"/>
    <w:next w:val="1"/>
    <w:link w:val="72"/>
    <w:qFormat/>
    <w:uiPriority w:val="9"/>
    <w:pPr>
      <w:keepNext/>
      <w:keepLines/>
      <w:widowControl w:val="0"/>
      <w:spacing w:before="240" w:after="64" w:line="319" w:lineRule="auto"/>
      <w:outlineLvl w:val="6"/>
    </w:pPr>
    <w:rPr>
      <w:b/>
      <w:bCs/>
      <w:kern w:val="2"/>
      <w:sz w:val="21"/>
    </w:rPr>
  </w:style>
  <w:style w:type="paragraph" w:styleId="9">
    <w:name w:val="heading 8"/>
    <w:basedOn w:val="1"/>
    <w:next w:val="1"/>
    <w:link w:val="98"/>
    <w:qFormat/>
    <w:uiPriority w:val="9"/>
    <w:pPr>
      <w:keepNext/>
      <w:keepLines/>
      <w:widowControl w:val="0"/>
      <w:spacing w:before="240" w:after="64" w:line="319" w:lineRule="auto"/>
      <w:outlineLvl w:val="7"/>
    </w:pPr>
    <w:rPr>
      <w:rFonts w:ascii="Cambria" w:hAnsi="Cambria"/>
      <w:kern w:val="2"/>
      <w:sz w:val="21"/>
    </w:rPr>
  </w:style>
  <w:style w:type="paragraph" w:styleId="10">
    <w:name w:val="heading 9"/>
    <w:basedOn w:val="1"/>
    <w:next w:val="1"/>
    <w:link w:val="48"/>
    <w:qFormat/>
    <w:uiPriority w:val="9"/>
    <w:pPr>
      <w:keepNext/>
      <w:keepLines/>
      <w:widowControl w:val="0"/>
      <w:spacing w:before="240" w:after="64" w:line="319" w:lineRule="auto"/>
      <w:outlineLvl w:val="8"/>
    </w:pPr>
    <w:rPr>
      <w:rFonts w:ascii="Cambria" w:hAnsi="Cambria"/>
      <w:kern w:val="2"/>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ind w:left="2520" w:leftChars="1200" w:firstLine="480"/>
    </w:pPr>
    <w:rPr>
      <w:rFonts w:ascii="等线" w:hAnsi="等线" w:eastAsia="等线"/>
      <w:kern w:val="2"/>
      <w:szCs w:val="22"/>
    </w:rPr>
  </w:style>
  <w:style w:type="paragraph" w:styleId="12">
    <w:name w:val="Normal Indent"/>
    <w:basedOn w:val="1"/>
    <w:unhideWhenUsed/>
    <w:qFormat/>
    <w:uiPriority w:val="99"/>
    <w:pPr>
      <w:widowControl w:val="0"/>
      <w:ind w:firstLine="420"/>
    </w:pPr>
    <w:rPr>
      <w:rFonts w:ascii="Calibri" w:hAnsi="Calibri"/>
      <w:kern w:val="2"/>
      <w:sz w:val="21"/>
    </w:rPr>
  </w:style>
  <w:style w:type="paragraph" w:styleId="13">
    <w:name w:val="caption"/>
    <w:basedOn w:val="1"/>
    <w:next w:val="1"/>
    <w:link w:val="54"/>
    <w:qFormat/>
    <w:uiPriority w:val="0"/>
    <w:pPr>
      <w:widowControl w:val="0"/>
      <w:spacing w:afterLines="50"/>
      <w:ind w:firstLine="200"/>
    </w:pPr>
    <w:rPr>
      <w:rFonts w:ascii="Arial" w:hAnsi="Arial" w:eastAsia="黑体"/>
      <w:kern w:val="2"/>
      <w:sz w:val="20"/>
      <w:szCs w:val="20"/>
    </w:rPr>
  </w:style>
  <w:style w:type="paragraph" w:styleId="14">
    <w:name w:val="Document Map"/>
    <w:basedOn w:val="1"/>
    <w:link w:val="91"/>
    <w:qFormat/>
    <w:uiPriority w:val="0"/>
    <w:pPr>
      <w:widowControl w:val="0"/>
      <w:ind w:firstLine="480"/>
    </w:pPr>
    <w:rPr>
      <w:kern w:val="2"/>
      <w:sz w:val="18"/>
      <w:szCs w:val="18"/>
    </w:rPr>
  </w:style>
  <w:style w:type="paragraph" w:styleId="15">
    <w:name w:val="annotation text"/>
    <w:basedOn w:val="1"/>
    <w:link w:val="45"/>
    <w:qFormat/>
    <w:uiPriority w:val="99"/>
    <w:pPr>
      <w:widowControl w:val="0"/>
      <w:ind w:firstLine="480"/>
    </w:pPr>
    <w:rPr>
      <w:rFonts w:eastAsia="仿宋"/>
      <w:kern w:val="2"/>
      <w:sz w:val="28"/>
    </w:rPr>
  </w:style>
  <w:style w:type="paragraph" w:styleId="16">
    <w:name w:val="Body Text"/>
    <w:basedOn w:val="1"/>
    <w:link w:val="59"/>
    <w:unhideWhenUsed/>
    <w:qFormat/>
    <w:uiPriority w:val="0"/>
    <w:pPr>
      <w:widowControl w:val="0"/>
      <w:spacing w:after="120"/>
    </w:pPr>
    <w:rPr>
      <w:kern w:val="2"/>
      <w:sz w:val="21"/>
    </w:rPr>
  </w:style>
  <w:style w:type="paragraph" w:styleId="17">
    <w:name w:val="Body Text Indent"/>
    <w:basedOn w:val="1"/>
    <w:link w:val="85"/>
    <w:qFormat/>
    <w:uiPriority w:val="0"/>
    <w:pPr>
      <w:widowControl w:val="0"/>
      <w:spacing w:after="120"/>
      <w:ind w:firstLine="200"/>
    </w:pPr>
    <w:rPr>
      <w:kern w:val="2"/>
      <w:sz w:val="21"/>
      <w:szCs w:val="20"/>
    </w:rPr>
  </w:style>
  <w:style w:type="paragraph" w:styleId="18">
    <w:name w:val="toc 5"/>
    <w:basedOn w:val="1"/>
    <w:next w:val="1"/>
    <w:unhideWhenUsed/>
    <w:qFormat/>
    <w:uiPriority w:val="39"/>
    <w:pPr>
      <w:widowControl w:val="0"/>
      <w:ind w:left="1680" w:leftChars="800" w:firstLine="480"/>
    </w:pPr>
    <w:rPr>
      <w:rFonts w:ascii="等线" w:hAnsi="等线" w:eastAsia="等线"/>
      <w:kern w:val="2"/>
      <w:szCs w:val="22"/>
    </w:rPr>
  </w:style>
  <w:style w:type="paragraph" w:styleId="19">
    <w:name w:val="toc 3"/>
    <w:basedOn w:val="1"/>
    <w:next w:val="1"/>
    <w:qFormat/>
    <w:uiPriority w:val="39"/>
    <w:pPr>
      <w:widowControl w:val="0"/>
      <w:tabs>
        <w:tab w:val="right" w:leader="dot" w:pos="8302"/>
      </w:tabs>
      <w:ind w:left="840" w:leftChars="400" w:firstLine="480"/>
    </w:pPr>
    <w:rPr>
      <w:kern w:val="2"/>
    </w:rPr>
  </w:style>
  <w:style w:type="paragraph" w:styleId="20">
    <w:name w:val="Plain Text"/>
    <w:basedOn w:val="1"/>
    <w:link w:val="66"/>
    <w:qFormat/>
    <w:uiPriority w:val="0"/>
    <w:pPr>
      <w:widowControl w:val="0"/>
    </w:pPr>
    <w:rPr>
      <w:rFonts w:hAnsi="Courier New"/>
      <w:kern w:val="2"/>
      <w:sz w:val="21"/>
      <w:szCs w:val="20"/>
    </w:rPr>
  </w:style>
  <w:style w:type="paragraph" w:styleId="21">
    <w:name w:val="toc 8"/>
    <w:basedOn w:val="1"/>
    <w:next w:val="1"/>
    <w:unhideWhenUsed/>
    <w:qFormat/>
    <w:uiPriority w:val="39"/>
    <w:pPr>
      <w:widowControl w:val="0"/>
      <w:ind w:left="2940" w:leftChars="1400" w:firstLine="480"/>
    </w:pPr>
    <w:rPr>
      <w:rFonts w:ascii="等线" w:hAnsi="等线" w:eastAsia="等线"/>
      <w:kern w:val="2"/>
      <w:szCs w:val="22"/>
    </w:rPr>
  </w:style>
  <w:style w:type="paragraph" w:styleId="22">
    <w:name w:val="Date"/>
    <w:basedOn w:val="1"/>
    <w:next w:val="1"/>
    <w:link w:val="47"/>
    <w:qFormat/>
    <w:uiPriority w:val="0"/>
    <w:pPr>
      <w:widowControl w:val="0"/>
      <w:ind w:left="100" w:leftChars="2500" w:firstLine="480"/>
    </w:pPr>
    <w:rPr>
      <w:kern w:val="2"/>
      <w:sz w:val="21"/>
    </w:rPr>
  </w:style>
  <w:style w:type="paragraph" w:styleId="23">
    <w:name w:val="Balloon Text"/>
    <w:basedOn w:val="1"/>
    <w:link w:val="96"/>
    <w:qFormat/>
    <w:uiPriority w:val="0"/>
    <w:pPr>
      <w:widowControl w:val="0"/>
      <w:ind w:firstLine="480"/>
    </w:pPr>
    <w:rPr>
      <w:kern w:val="2"/>
      <w:sz w:val="18"/>
      <w:szCs w:val="18"/>
    </w:rPr>
  </w:style>
  <w:style w:type="paragraph" w:styleId="24">
    <w:name w:val="footer"/>
    <w:basedOn w:val="1"/>
    <w:link w:val="89"/>
    <w:qFormat/>
    <w:uiPriority w:val="99"/>
    <w:pPr>
      <w:widowControl w:val="0"/>
      <w:tabs>
        <w:tab w:val="center" w:pos="4153"/>
        <w:tab w:val="right" w:pos="8306"/>
      </w:tabs>
      <w:snapToGrid w:val="0"/>
      <w:ind w:firstLine="480"/>
      <w:jc w:val="center"/>
    </w:pPr>
    <w:rPr>
      <w:kern w:val="2"/>
      <w:sz w:val="18"/>
      <w:szCs w:val="18"/>
    </w:rPr>
  </w:style>
  <w:style w:type="paragraph" w:styleId="25">
    <w:name w:val="header"/>
    <w:basedOn w:val="1"/>
    <w:link w:val="97"/>
    <w:qFormat/>
    <w:uiPriority w:val="99"/>
    <w:pPr>
      <w:widowControl w:val="0"/>
      <w:pBdr>
        <w:bottom w:val="single" w:color="auto" w:sz="4" w:space="0"/>
      </w:pBdr>
      <w:tabs>
        <w:tab w:val="center" w:pos="4153"/>
        <w:tab w:val="right" w:pos="8306"/>
      </w:tabs>
      <w:snapToGrid w:val="0"/>
      <w:ind w:firstLine="480"/>
      <w:jc w:val="center"/>
    </w:pPr>
    <w:rPr>
      <w:kern w:val="2"/>
      <w:sz w:val="18"/>
      <w:szCs w:val="18"/>
    </w:rPr>
  </w:style>
  <w:style w:type="paragraph" w:styleId="26">
    <w:name w:val="toc 1"/>
    <w:basedOn w:val="1"/>
    <w:next w:val="1"/>
    <w:qFormat/>
    <w:uiPriority w:val="39"/>
    <w:pPr>
      <w:widowControl w:val="0"/>
      <w:ind w:firstLine="480"/>
    </w:pPr>
    <w:rPr>
      <w:kern w:val="2"/>
    </w:rPr>
  </w:style>
  <w:style w:type="paragraph" w:styleId="27">
    <w:name w:val="toc 4"/>
    <w:basedOn w:val="1"/>
    <w:next w:val="1"/>
    <w:unhideWhenUsed/>
    <w:qFormat/>
    <w:uiPriority w:val="39"/>
    <w:pPr>
      <w:widowControl w:val="0"/>
      <w:ind w:left="1260" w:leftChars="600" w:firstLine="480"/>
    </w:pPr>
    <w:rPr>
      <w:rFonts w:ascii="等线" w:hAnsi="等线" w:eastAsia="等线"/>
      <w:kern w:val="2"/>
      <w:szCs w:val="22"/>
    </w:rPr>
  </w:style>
  <w:style w:type="paragraph" w:styleId="28">
    <w:name w:val="Subtitle"/>
    <w:basedOn w:val="1"/>
    <w:next w:val="1"/>
    <w:link w:val="87"/>
    <w:qFormat/>
    <w:uiPriority w:val="0"/>
    <w:pPr>
      <w:widowControl w:val="0"/>
      <w:spacing w:before="240" w:after="60" w:line="312" w:lineRule="auto"/>
      <w:ind w:firstLine="480"/>
      <w:jc w:val="center"/>
      <w:outlineLvl w:val="1"/>
    </w:pPr>
    <w:rPr>
      <w:rFonts w:ascii="Calibri Light" w:hAnsi="Calibri Light"/>
      <w:b/>
      <w:bCs/>
      <w:kern w:val="28"/>
      <w:sz w:val="32"/>
      <w:szCs w:val="32"/>
    </w:rPr>
  </w:style>
  <w:style w:type="paragraph" w:styleId="29">
    <w:name w:val="toc 6"/>
    <w:basedOn w:val="1"/>
    <w:next w:val="1"/>
    <w:unhideWhenUsed/>
    <w:qFormat/>
    <w:uiPriority w:val="39"/>
    <w:pPr>
      <w:widowControl w:val="0"/>
      <w:ind w:left="2100" w:leftChars="1000" w:firstLine="480"/>
    </w:pPr>
    <w:rPr>
      <w:rFonts w:ascii="等线" w:hAnsi="等线" w:eastAsia="等线"/>
      <w:kern w:val="2"/>
      <w:szCs w:val="22"/>
    </w:rPr>
  </w:style>
  <w:style w:type="paragraph" w:styleId="30">
    <w:name w:val="toc 2"/>
    <w:basedOn w:val="1"/>
    <w:next w:val="1"/>
    <w:qFormat/>
    <w:uiPriority w:val="39"/>
    <w:pPr>
      <w:widowControl w:val="0"/>
      <w:tabs>
        <w:tab w:val="right" w:leader="dot" w:pos="8302"/>
      </w:tabs>
      <w:ind w:left="420" w:leftChars="200" w:firstLine="480"/>
    </w:pPr>
    <w:rPr>
      <w:kern w:val="2"/>
    </w:rPr>
  </w:style>
  <w:style w:type="paragraph" w:styleId="31">
    <w:name w:val="toc 9"/>
    <w:basedOn w:val="1"/>
    <w:next w:val="1"/>
    <w:unhideWhenUsed/>
    <w:qFormat/>
    <w:uiPriority w:val="39"/>
    <w:pPr>
      <w:widowControl w:val="0"/>
      <w:ind w:left="3360" w:leftChars="1600" w:firstLine="480"/>
    </w:pPr>
    <w:rPr>
      <w:rFonts w:ascii="等线" w:hAnsi="等线" w:eastAsia="等线"/>
      <w:kern w:val="2"/>
      <w:szCs w:val="22"/>
    </w:rPr>
  </w:style>
  <w:style w:type="paragraph" w:styleId="32">
    <w:name w:val="Normal (Web)"/>
    <w:basedOn w:val="1"/>
    <w:qFormat/>
    <w:uiPriority w:val="99"/>
    <w:pPr>
      <w:spacing w:before="100" w:after="100"/>
      <w:ind w:firstLine="480"/>
    </w:pPr>
    <w:rPr>
      <w:rFonts w:hint="eastAsia" w:ascii="Arial Unicode MS" w:hAnsi="Arial Unicode MS" w:eastAsia="Arial Unicode MS"/>
    </w:rPr>
  </w:style>
  <w:style w:type="paragraph" w:styleId="33">
    <w:name w:val="Title"/>
    <w:basedOn w:val="1"/>
    <w:next w:val="1"/>
    <w:link w:val="95"/>
    <w:qFormat/>
    <w:uiPriority w:val="0"/>
    <w:pPr>
      <w:widowControl w:val="0"/>
      <w:spacing w:before="240" w:after="60" w:line="960" w:lineRule="auto"/>
      <w:ind w:firstLine="480"/>
      <w:jc w:val="center"/>
    </w:pPr>
    <w:rPr>
      <w:rFonts w:ascii="Cambria" w:hAnsi="Cambria" w:eastAsia="黑体"/>
      <w:b/>
      <w:bCs/>
      <w:kern w:val="2"/>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adjustRightInd w:val="0"/>
      <w:snapToGrid w:val="0"/>
      <w:spacing w:afterLines="50" w:line="276" w:lineRule="auto"/>
      <w:ind w:firstLine="420"/>
    </w:pPr>
    <w:rPr>
      <w:kern w:val="2"/>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widowControl w:val="0"/>
      <w:ind w:firstLine="420"/>
    </w:pPr>
    <w:rPr>
      <w:kern w:val="2"/>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ind w:firstLine="200"/>
      <w:contextualSpacing/>
    </w:pPr>
    <w:rPr>
      <w:rFonts w:ascii="time" w:hAnsi="time"/>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widowControl w:val="0"/>
    </w:pPr>
    <w:rPr>
      <w:kern w:val="2"/>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widowControl w:val="0"/>
      <w:ind w:firstLine="420"/>
    </w:pPr>
    <w:rPr>
      <w:kern w:val="2"/>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widowControl w:val="0"/>
      <w:ind w:firstLine="460"/>
    </w:pPr>
    <w:rPr>
      <w:kern w:val="2"/>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eastAsia="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spacing w:before="100" w:beforeAutospacing="1" w:after="100" w:afterAutospacing="1"/>
      <w:jc w:val="center"/>
    </w:pPr>
    <w:rPr>
      <w:rFonts w:cs="宋体"/>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pBdr>
        <w:bottom w:val="single" w:color="auto" w:sz="4" w:space="0"/>
        <w:right w:val="single" w:color="auto" w:sz="4" w:space="0"/>
      </w:pBd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05">
    <w:name w:val="_Style 2"/>
    <w:next w:val="1"/>
    <w:qFormat/>
    <w:uiPriority w:val="39"/>
    <w:pPr>
      <w:spacing w:before="480" w:line="360" w:lineRule="auto"/>
      <w:jc w:val="both"/>
    </w:pPr>
    <w:rPr>
      <w:rFonts w:ascii="Cambria" w:hAnsi="Cambria" w:eastAsia="宋体" w:cs="Times New Roman"/>
      <w:color w:val="365F91"/>
      <w:sz w:val="28"/>
      <w:lang w:val="en-US" w:eastAsia="zh-CN" w:bidi="ar-SA"/>
    </w:rPr>
  </w:style>
  <w:style w:type="paragraph" w:customStyle="1" w:styleId="106">
    <w:name w:val="正文缩进1"/>
    <w:basedOn w:val="1"/>
    <w:qFormat/>
    <w:uiPriority w:val="0"/>
    <w:pPr>
      <w:widowControl w:val="0"/>
      <w:ind w:firstLine="420"/>
    </w:pPr>
    <w:rPr>
      <w:kern w:val="2"/>
      <w:sz w:val="21"/>
      <w:szCs w:val="20"/>
    </w:rPr>
  </w:style>
  <w:style w:type="paragraph" w:customStyle="1" w:styleId="107">
    <w:name w:val="xl68"/>
    <w:basedOn w:val="1"/>
    <w:qFormat/>
    <w:uiPriority w:val="0"/>
    <w:pPr>
      <w:pBdr>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widowControl w:val="0"/>
      <w:ind w:firstLine="150" w:firstLineChars="150"/>
    </w:pPr>
    <w:rPr>
      <w:kern w:val="2"/>
    </w:rPr>
  </w:style>
  <w:style w:type="paragraph" w:customStyle="1" w:styleId="110">
    <w:name w:val="msonormal"/>
    <w:basedOn w:val="1"/>
    <w:qFormat/>
    <w:uiPriority w:val="0"/>
    <w:pPr>
      <w:spacing w:before="100" w:beforeAutospacing="1" w:after="100" w:afterAutospacing="1"/>
    </w:pPr>
    <w:rPr>
      <w:rFonts w:cs="宋体"/>
    </w:rPr>
  </w:style>
  <w:style w:type="paragraph" w:customStyle="1" w:styleId="111">
    <w:name w:val="正文 缩进2字符"/>
    <w:basedOn w:val="1"/>
    <w:qFormat/>
    <w:uiPriority w:val="0"/>
    <w:pPr>
      <w:widowControl w:val="0"/>
      <w:spacing w:afterLines="50"/>
    </w:pPr>
    <w:rPr>
      <w:rFonts w:cs="宋体"/>
      <w:kern w:val="2"/>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widowControl w:val="0"/>
      <w:autoSpaceDE w:val="0"/>
      <w:autoSpaceDN w:val="0"/>
      <w:adjustRightInd w:val="0"/>
      <w:spacing w:beforeLines="50" w:afterLines="50"/>
      <w:ind w:left="14" w:firstLine="434"/>
      <w:textAlignment w:val="baseline"/>
    </w:pPr>
    <w:rPr>
      <w:rFonts w:ascii="楷体_GB2312" w:eastAsia="楷体_GB2312"/>
      <w:szCs w:val="20"/>
      <w:u w:val="single"/>
    </w:rPr>
  </w:style>
  <w:style w:type="paragraph" w:customStyle="1" w:styleId="114">
    <w:name w:val="xl67"/>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rPr>
  </w:style>
  <w:style w:type="paragraph" w:customStyle="1" w:styleId="117">
    <w:name w:val="Char Char Char Char Char Char1 Char"/>
    <w:basedOn w:val="1"/>
    <w:qFormat/>
    <w:uiPriority w:val="0"/>
    <w:pPr>
      <w:spacing w:after="160" w:line="240" w:lineRule="exact"/>
      <w:ind w:firstLine="480"/>
    </w:pPr>
    <w:rPr>
      <w:kern w:val="2"/>
    </w:rPr>
  </w:style>
  <w:style w:type="paragraph" w:customStyle="1" w:styleId="118">
    <w:name w:val="PM_Body"/>
    <w:basedOn w:val="1"/>
    <w:qFormat/>
    <w:locked/>
    <w:uiPriority w:val="0"/>
    <w:pPr>
      <w:widowControl w:val="0"/>
      <w:ind w:firstLine="480"/>
    </w:pPr>
    <w:rPr>
      <w:kern w:val="2"/>
      <w:szCs w:val="21"/>
    </w:rPr>
  </w:style>
  <w:style w:type="paragraph" w:customStyle="1" w:styleId="119">
    <w:name w:val="Char Char1"/>
    <w:basedOn w:val="1"/>
    <w:qFormat/>
    <w:uiPriority w:val="0"/>
    <w:pPr>
      <w:spacing w:before="120" w:after="120"/>
      <w:ind w:firstLine="480"/>
    </w:pPr>
    <w:rPr>
      <w:rFonts w:cs="宋体"/>
      <w:kern w:val="2"/>
    </w:rPr>
  </w:style>
  <w:style w:type="paragraph" w:customStyle="1" w:styleId="120">
    <w:name w:val="xl71"/>
    <w:basedOn w:val="1"/>
    <w:qFormat/>
    <w:uiPriority w:val="0"/>
    <w:pPr>
      <w:spacing w:before="100" w:beforeAutospacing="1" w:after="100" w:afterAutospacing="1"/>
      <w:jc w:val="right"/>
      <w:textAlignment w:val="center"/>
    </w:pPr>
    <w:rPr>
      <w:rFonts w:ascii="Microsoft Sans Serif" w:hAnsi="Microsoft Sans Serif" w:cs="Microsoft Sans Serif"/>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widowControl w:val="0"/>
      <w:ind w:firstLine="420"/>
    </w:pPr>
    <w:rPr>
      <w:rFonts w:ascii="等线" w:hAnsi="等线" w:eastAsia="等线" w:cs="等线"/>
      <w:kern w:val="2"/>
      <w:sz w:val="21"/>
      <w:szCs w:val="21"/>
    </w:rPr>
  </w:style>
  <w:style w:type="paragraph" w:customStyle="1" w:styleId="123">
    <w:name w:val="xl69"/>
    <w:basedOn w:val="1"/>
    <w:qFormat/>
    <w:uiPriority w:val="0"/>
    <w:pPr>
      <w:pBdr>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sz w:val="18"/>
      <w:szCs w:val="18"/>
    </w:rPr>
  </w:style>
  <w:style w:type="paragraph" w:customStyle="1" w:styleId="12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Sans Serif" w:hAnsi="Microsoft Sans Serif" w:cs="Microsoft Sans Serif"/>
      <w:b/>
      <w:bCs/>
      <w:sz w:val="18"/>
      <w:szCs w:val="18"/>
    </w:rPr>
  </w:style>
  <w:style w:type="paragraph" w:customStyle="1" w:styleId="125">
    <w:name w:val="文档正文文本（中安网脉）"/>
    <w:basedOn w:val="1"/>
    <w:qFormat/>
    <w:uiPriority w:val="0"/>
    <w:pPr>
      <w:widowControl w:val="0"/>
      <w:ind w:firstLine="200"/>
    </w:pPr>
    <w:rPr>
      <w:rFonts w:eastAsia="仿宋_GB2312"/>
      <w:color w:val="000000"/>
      <w:kern w:val="2"/>
      <w:szCs w:val="28"/>
    </w:rPr>
  </w:style>
  <w:style w:type="paragraph" w:customStyle="1" w:styleId="126">
    <w:name w:val="xl65"/>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Microsoft Sans Serif" w:hAnsi="Microsoft Sans Serif" w:cs="Microsoft Sans Serif"/>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widowControl w:val="0"/>
      <w:ind w:firstLine="560"/>
    </w:pPr>
    <w:rPr>
      <w:rFonts w:ascii="仿宋" w:hAnsi="仿宋" w:eastAsia="仿宋" w:cs="宋体"/>
      <w:kern w:val="2"/>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5"/>
    <w:autoRedefine/>
    <w:qFormat/>
    <w:uiPriority w:val="0"/>
    <w:pPr>
      <w:widowControl w:val="0"/>
      <w:ind w:firstLine="630"/>
    </w:pPr>
    <w:rPr>
      <w:rFonts w:ascii="仿宋" w:hAnsi="仿宋" w:eastAsia="仿宋" w:cstheme="minorBidi"/>
      <w:kern w:val="2"/>
      <w:sz w:val="28"/>
      <w:szCs w:val="28"/>
    </w:rPr>
  </w:style>
  <w:style w:type="character" w:customStyle="1" w:styleId="135">
    <w:name w:val="可研正文 Char"/>
    <w:link w:val="134"/>
    <w:autoRedefine/>
    <w:qFormat/>
    <w:uiPriority w:val="0"/>
    <w:rPr>
      <w:rFonts w:ascii="仿宋" w:hAnsi="仿宋" w:eastAsia="仿宋" w:cstheme="minorBidi"/>
      <w:kern w:val="2"/>
      <w:sz w:val="28"/>
      <w:szCs w:val="28"/>
    </w:rPr>
  </w:style>
  <w:style w:type="character" w:customStyle="1" w:styleId="136">
    <w:name w:val="fontstyle01"/>
    <w:basedOn w:val="37"/>
    <w:qFormat/>
    <w:uiPriority w:val="0"/>
    <w:rPr>
      <w:rFonts w:hint="eastAsia" w:ascii="仿宋" w:hAnsi="仿宋" w:eastAsia="仿宋"/>
      <w:color w:val="000000"/>
      <w:sz w:val="24"/>
      <w:szCs w:val="24"/>
    </w:rPr>
  </w:style>
  <w:style w:type="paragraph" w:customStyle="1" w:styleId="137">
    <w:name w:val="样式2"/>
    <w:basedOn w:val="1"/>
    <w:qFormat/>
    <w:uiPriority w:val="0"/>
    <w:pPr>
      <w:adjustRightInd w:val="0"/>
      <w:ind w:firstLine="480"/>
    </w:pPr>
    <w:rPr>
      <w:lang w:eastAsia="en-US"/>
    </w:rPr>
  </w:style>
  <w:style w:type="paragraph" w:customStyle="1" w:styleId="138">
    <w:name w:val="修订2"/>
    <w:hidden/>
    <w:unhideWhenUsed/>
    <w:qFormat/>
    <w:uiPriority w:val="99"/>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38778C0-0BFE-47E1-8231-B97FD46D2328}">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14482</Words>
  <Characters>14772</Characters>
  <Lines>1342</Lines>
  <Paragraphs>835</Paragraphs>
  <TotalTime>7</TotalTime>
  <ScaleCrop>false</ScaleCrop>
  <LinksUpToDate>false</LinksUpToDate>
  <CharactersWithSpaces>28419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2025-12-05T12:39:00Z</dcterms:created>
  <dc:creator>kevin希</dc:creator>
  <cp:lastModifiedBy>李修辞</cp:lastModifiedBy>
  <dcterms:modified xsi:type="dcterms:W3CDTF">2026-06-01T09:10:38Z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FB214AEAD796F07CFE98C46935077D64_42</vt:lpwstr>
  </property>
</Properties>
</file>