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0"/>
          <w:szCs w:val="40"/>
        </w:rPr>
      </w:pPr>
      <w:r>
        <w:rPr>
          <w:rFonts w:ascii="黑体" w:hAnsi="黑体" w:eastAsia="黑体"/>
          <w:sz w:val="40"/>
          <w:szCs w:val="40"/>
        </w:rPr>
        <w:t>上海市房屋管理局房地产市场管理系统</w:t>
      </w:r>
      <w:r>
        <w:rPr>
          <w:rFonts w:hint="eastAsia" w:ascii="黑体" w:hAnsi="黑体" w:eastAsia="黑体"/>
          <w:sz w:val="40"/>
          <w:szCs w:val="40"/>
        </w:rPr>
        <w:t>建设项目</w:t>
      </w:r>
      <w:r>
        <w:rPr>
          <w:rFonts w:ascii="黑体" w:hAnsi="黑体" w:eastAsia="黑体"/>
          <w:sz w:val="40"/>
          <w:szCs w:val="40"/>
        </w:rPr>
        <w:t>（2026年升级改造）</w:t>
      </w:r>
    </w:p>
    <w:p>
      <w:pPr>
        <w:ind w:firstLine="0" w:firstLineChars="0"/>
        <w:jc w:val="center"/>
        <w:rPr>
          <w:rFonts w:hint="eastAsia" w:ascii="黑体" w:hAnsi="黑体" w:eastAsia="黑体"/>
          <w:sz w:val="40"/>
          <w:szCs w:val="40"/>
        </w:rPr>
      </w:pPr>
    </w:p>
    <w:p>
      <w:pPr>
        <w:ind w:firstLine="0" w:firstLineChars="0"/>
        <w:jc w:val="center"/>
        <w:rPr>
          <w:rFonts w:hint="eastAsia" w:ascii="黑体" w:hAnsi="黑体" w:eastAsia="黑体"/>
          <w:sz w:val="40"/>
          <w:szCs w:val="40"/>
        </w:rPr>
      </w:pPr>
    </w:p>
    <w:p>
      <w:pPr>
        <w:ind w:firstLine="0" w:firstLineChars="0"/>
        <w:jc w:val="center"/>
        <w:rPr>
          <w:rFonts w:hint="eastAsia" w:ascii="黑体" w:hAnsi="黑体" w:eastAsia="黑体"/>
          <w:sz w:val="40"/>
          <w:szCs w:val="40"/>
        </w:rPr>
      </w:pPr>
      <w:r>
        <w:rPr>
          <w:rFonts w:hint="eastAsia" w:ascii="黑体" w:hAnsi="黑体" w:eastAsia="黑体"/>
          <w:sz w:val="40"/>
          <w:szCs w:val="40"/>
        </w:rPr>
        <w:t>采购需求</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rPr>
          <w:rFonts w:hint="eastAsia"/>
        </w:rPr>
      </w:pPr>
      <w:bookmarkStart w:id="0" w:name="_Toc63785461"/>
      <w:r>
        <w:rPr>
          <w:rFonts w:hint="eastAsia"/>
        </w:rPr>
        <w:t>项目概况</w:t>
      </w:r>
      <w:bookmarkEnd w:id="0"/>
    </w:p>
    <w:p>
      <w:pPr>
        <w:rPr>
          <w:rFonts w:hint="eastAsia"/>
        </w:rPr>
      </w:pPr>
      <w:r>
        <w:rPr>
          <w:rFonts w:hint="eastAsia"/>
        </w:rPr>
        <w:t>上海市住房租赁服务及监管子系统、房地产市场管理及监测调控子系统作为全市住房管理体系的有力支撑，在房源核验、合同网签备案、市场监测等方面发挥了重要作用。</w:t>
      </w:r>
    </w:p>
    <w:p>
      <w:pPr>
        <w:rPr>
          <w:rFonts w:hint="eastAsia"/>
        </w:rPr>
      </w:pPr>
      <w:r>
        <w:rPr>
          <w:rFonts w:hint="eastAsia"/>
        </w:rPr>
        <w:t>根据国家、上海市以及陈吉宁书记等对于优化政务服务能力、加强住房租赁管理的要求，拟对住房租赁服务及监管子系统进行升级改造，在优化服务流程、提升服务质量的同时，加强市场化房屋出租管理，提高行业管理效率和透明度。</w:t>
      </w:r>
    </w:p>
    <w:p>
      <w:pPr>
        <w:rPr>
          <w:rFonts w:hint="eastAsia"/>
        </w:rPr>
      </w:pPr>
      <w:r>
        <w:rPr>
          <w:rFonts w:hint="eastAsia"/>
        </w:rPr>
        <w:t>同时，随着房地产市场调控政策的不断深化，调控手段正向供给和需求两端拓展延伸，对市场运行的全周期、全过程、全要素监管提出了更高要求。房地产市场管理及监测调控子系统因数据质量低、数据覆盖不全、缺乏主动管理能力、缺乏空间管理能力等原因，已难以满足当前房地产市场监管转型升级的需要，亟需通过系统改造与建设，提升全过程、全维度、全场景的数据支撑与监管能力，为实现科学调控和高质量发展提供有力技术支撑。</w:t>
      </w:r>
    </w:p>
    <w:p>
      <w:pPr>
        <w:rPr>
          <w:rFonts w:hint="eastAsia"/>
        </w:rPr>
      </w:pPr>
      <w:r>
        <w:rPr>
          <w:rFonts w:hint="eastAsia"/>
        </w:rPr>
        <w:t>建设期限：</w:t>
      </w:r>
      <w:r>
        <w:t>自合同签订之日起至202</w:t>
      </w:r>
      <w:r>
        <w:rPr>
          <w:rFonts w:hint="eastAsia"/>
        </w:rPr>
        <w:t>6</w:t>
      </w:r>
      <w:r>
        <w:t>年</w:t>
      </w:r>
      <w:r>
        <w:rPr>
          <w:rFonts w:hint="eastAsia"/>
        </w:rPr>
        <w:t>11</w:t>
      </w:r>
      <w:r>
        <w:t>月</w:t>
      </w:r>
      <w:r>
        <w:rPr>
          <w:rFonts w:hint="eastAsia"/>
        </w:rPr>
        <w:t>30</w:t>
      </w:r>
      <w:r>
        <w:t>日</w:t>
      </w:r>
    </w:p>
    <w:p>
      <w:pPr>
        <w:rPr>
          <w:rFonts w:hint="eastAsia"/>
        </w:rPr>
      </w:pPr>
      <w:r>
        <w:rPr>
          <w:rFonts w:hint="eastAsia"/>
        </w:rPr>
        <w:t>建设地点：上海市浦东南路3500号、南泉北路201号</w:t>
      </w:r>
    </w:p>
    <w:p>
      <w:pPr>
        <w:rPr>
          <w:rFonts w:hint="eastAsia"/>
        </w:rPr>
      </w:pPr>
      <w:r>
        <w:rPr>
          <w:rFonts w:hint="eastAsia"/>
        </w:rPr>
        <w:t>预算金额：1900000元</w:t>
      </w:r>
    </w:p>
    <w:p>
      <w:pPr>
        <w:rPr>
          <w:rFonts w:hint="eastAsia"/>
        </w:rPr>
      </w:pPr>
      <w:r>
        <w:rPr>
          <w:rFonts w:hint="eastAsia"/>
        </w:rPr>
        <w:t>当年度预算金额：1900000元</w:t>
      </w:r>
    </w:p>
    <w:p>
      <w:pPr>
        <w:rPr>
          <w:rFonts w:hint="eastAsia"/>
        </w:rPr>
      </w:pPr>
      <w:r>
        <w:rPr>
          <w:rFonts w:hint="eastAsia"/>
        </w:rPr>
        <w:t>采购金额（最高限价）：1900000元</w:t>
      </w:r>
    </w:p>
    <w:p>
      <w:pPr>
        <w:rPr>
          <w:rFonts w:hint="eastAsia"/>
        </w:rPr>
      </w:pPr>
      <w:r>
        <w:rPr>
          <w:rFonts w:hint="eastAsia"/>
        </w:rPr>
        <w:t>组织形式：集中采购</w:t>
      </w:r>
    </w:p>
    <w:p>
      <w:pPr>
        <w:rPr>
          <w:rFonts w:hint="eastAsia"/>
        </w:rPr>
      </w:pPr>
      <w:r>
        <w:rPr>
          <w:rFonts w:hint="eastAsia"/>
        </w:rPr>
        <w:t>采购方式：竞争性磋商</w:t>
      </w:r>
    </w:p>
    <w:p>
      <w:pPr>
        <w:rPr>
          <w:rFonts w:hint="eastAsia"/>
        </w:rPr>
      </w:pPr>
      <w:r>
        <w:rPr>
          <w:rFonts w:hint="eastAsia"/>
        </w:rPr>
        <w:t>是否接受联合体响应：否</w:t>
      </w:r>
    </w:p>
    <w:p>
      <w:pPr>
        <w:rPr>
          <w:rFonts w:hint="eastAsia"/>
        </w:rPr>
      </w:pPr>
      <w:r>
        <w:t>是否按</w:t>
      </w:r>
      <w:r>
        <w:rPr>
          <w:rFonts w:hint="eastAsia"/>
        </w:rPr>
        <w:t>XC</w:t>
      </w:r>
      <w:r>
        <w:t>要求建设：是</w:t>
      </w:r>
    </w:p>
    <w:p>
      <w:pPr>
        <w:rPr>
          <w:rFonts w:hint="eastAsia"/>
        </w:rPr>
      </w:pPr>
      <w:r>
        <w:rPr>
          <w:rFonts w:hint="eastAsia"/>
        </w:rPr>
        <w:t>是否采用低代码建设：否</w:t>
      </w:r>
    </w:p>
    <w:p>
      <w:pPr>
        <w:rPr>
          <w:rFonts w:hint="eastAsia"/>
        </w:rPr>
      </w:pPr>
      <w:r>
        <w:rPr>
          <w:rFonts w:hint="eastAsia"/>
        </w:rPr>
        <w:t>运维后所属大系统：上海市房屋管理局房地产市场管理系统</w:t>
      </w:r>
    </w:p>
    <w:p>
      <w:pPr>
        <w:pStyle w:val="2"/>
        <w:rPr>
          <w:rFonts w:hint="eastAsia"/>
        </w:rPr>
      </w:pPr>
      <w:bookmarkStart w:id="1" w:name="_Toc47536272"/>
      <w:bookmarkEnd w:id="1"/>
      <w:bookmarkStart w:id="2" w:name="_Toc47531634"/>
      <w:bookmarkEnd w:id="2"/>
      <w:bookmarkStart w:id="3" w:name="_Toc47539070"/>
      <w:bookmarkEnd w:id="3"/>
      <w:bookmarkStart w:id="4" w:name="_Toc47532255"/>
      <w:bookmarkEnd w:id="4"/>
      <w:bookmarkStart w:id="5" w:name="_Toc47533256"/>
      <w:bookmarkEnd w:id="5"/>
      <w:bookmarkStart w:id="6" w:name="_Toc47536644"/>
      <w:bookmarkEnd w:id="6"/>
      <w:bookmarkStart w:id="7" w:name="_Toc47532891"/>
      <w:bookmarkEnd w:id="7"/>
      <w:bookmarkStart w:id="8" w:name="_Toc47537134"/>
      <w:bookmarkEnd w:id="8"/>
      <w:bookmarkStart w:id="9" w:name="_Toc63785463"/>
      <w:bookmarkStart w:id="10" w:name="_Toc48223882"/>
      <w:r>
        <w:rPr>
          <w:rFonts w:hint="eastAsia"/>
        </w:rPr>
        <w:t>建设目标</w:t>
      </w:r>
      <w:bookmarkEnd w:id="9"/>
      <w:bookmarkEnd w:id="10"/>
    </w:p>
    <w:p>
      <w:pPr>
        <w:rPr>
          <w:rFonts w:hint="eastAsia"/>
        </w:rPr>
      </w:pPr>
      <w:r>
        <w:rPr>
          <w:rFonts w:hint="eastAsia"/>
        </w:rPr>
        <w:t>（一）总体目标</w:t>
      </w:r>
    </w:p>
    <w:p>
      <w:pPr>
        <w:rPr>
          <w:rFonts w:hint="eastAsia"/>
          <w:bCs/>
        </w:rPr>
      </w:pPr>
      <w:r>
        <w:rPr>
          <w:rFonts w:hint="eastAsia"/>
          <w:bCs/>
        </w:rPr>
        <w:t>通过对上海市房屋管理局房地产市场管理系统升级改造，实现：</w:t>
      </w:r>
    </w:p>
    <w:p>
      <w:pPr>
        <w:rPr>
          <w:rFonts w:hint="eastAsia"/>
          <w:bCs/>
        </w:rPr>
      </w:pPr>
      <w:r>
        <w:rPr>
          <w:rFonts w:hint="eastAsia"/>
          <w:bCs/>
        </w:rPr>
        <w:t>1、统一规划，分类建设，提升整体服务能力。面向商品房和住房租赁两类市场分别构建全链条、全过程的业务监管和服务能力，通过优化业务流程、提升系统稳定性与可用性，有效提升政务服务质量和市民办事满意度。</w:t>
      </w:r>
    </w:p>
    <w:p>
      <w:pPr>
        <w:rPr>
          <w:rFonts w:hint="eastAsia"/>
          <w:bCs/>
        </w:rPr>
      </w:pPr>
      <w:r>
        <w:rPr>
          <w:rFonts w:hint="eastAsia"/>
          <w:bCs/>
        </w:rPr>
        <w:t>2、强化房地产市场主体的分级分类监管。在房地产开发领域，重点实现对集团公司、项目公司等不同层级企业的全生命周期监管，涵盖资质、股权结构、资金等核心要素；在住房租赁领域，重点落实市场主体实名登记、从业人员资质管理和信息透明机制，全面提升监管的精准度与执行力。</w:t>
      </w:r>
    </w:p>
    <w:p>
      <w:pPr>
        <w:rPr>
          <w:rFonts w:hint="eastAsia"/>
          <w:bCs/>
        </w:rPr>
      </w:pPr>
      <w:r>
        <w:rPr>
          <w:rFonts w:hint="eastAsia"/>
          <w:bCs/>
        </w:rPr>
        <w:t>3、构建全流程监管能力，支持闭环式市场管理。房地产子系统将覆盖土地出让、项目建设、销售预售、竣工交付等关键环节的管理流程；租赁子系统则围绕房源核验、租赁备案、服务监管等业务流程建立全流程数据支撑体系。两者在各自业务领域实现闭环管理，形成系统内的独立完整链条。</w:t>
      </w:r>
    </w:p>
    <w:p>
      <w:pPr>
        <w:rPr>
          <w:rFonts w:hint="eastAsia"/>
          <w:bCs/>
        </w:rPr>
      </w:pPr>
      <w:r>
        <w:rPr>
          <w:rFonts w:hint="eastAsia"/>
          <w:bCs/>
        </w:rPr>
        <w:t>4、提升房源管理与市场秩序规范化水平。通过规范信息发布、强化数据核验和房源入库机制，建设权威、真实、可靠的房源数据库，打击虚假房源和违规行为，拓展租赁网签备案渠道，并对租赁数据进行深入的业务分析，促进租售市场信息对称和秩序规范。</w:t>
      </w:r>
    </w:p>
    <w:p>
      <w:pPr>
        <w:rPr>
          <w:rFonts w:hint="eastAsia"/>
          <w:bCs/>
        </w:rPr>
      </w:pPr>
      <w:r>
        <w:rPr>
          <w:rFonts w:hint="eastAsia"/>
          <w:bCs/>
        </w:rPr>
        <w:t>5、推动房地产市场数据对接与空间表达，增强监管分析能力。在市场子系统中强化对法人库、资源共享平台、“一张图”等基础平台的数据接入与业务联动，实现数据精准采集与统一标准治理。借助空间化展示手段，提升业务运行的可视化管理与数据分析能力，为政府提供决策支持。</w:t>
      </w:r>
    </w:p>
    <w:p>
      <w:pPr>
        <w:rPr>
          <w:rFonts w:hint="eastAsia"/>
          <w:bCs/>
        </w:rPr>
      </w:pPr>
      <w:r>
        <w:rPr>
          <w:rFonts w:hint="eastAsia"/>
          <w:bCs/>
        </w:rPr>
        <w:t>（二）成效考核目标</w:t>
      </w:r>
    </w:p>
    <w:tbl>
      <w:tblPr>
        <w:tblStyle w:val="35"/>
        <w:tblW w:w="4965" w:type="pct"/>
        <w:tblInd w:w="0" w:type="dxa"/>
        <w:tblLayout w:type="fixed"/>
        <w:tblCellMar>
          <w:top w:w="0" w:type="dxa"/>
          <w:left w:w="108" w:type="dxa"/>
          <w:bottom w:w="0" w:type="dxa"/>
          <w:right w:w="108" w:type="dxa"/>
        </w:tblCellMar>
      </w:tblPr>
      <w:tblGrid>
        <w:gridCol w:w="404"/>
        <w:gridCol w:w="1117"/>
        <w:gridCol w:w="1336"/>
        <w:gridCol w:w="1751"/>
        <w:gridCol w:w="2522"/>
        <w:gridCol w:w="1338"/>
      </w:tblGrid>
      <w:tr>
        <w:tblPrEx>
          <w:tblCellMar>
            <w:top w:w="0" w:type="dxa"/>
            <w:left w:w="108" w:type="dxa"/>
            <w:bottom w:w="0" w:type="dxa"/>
            <w:right w:w="108" w:type="dxa"/>
          </w:tblCellMar>
        </w:tblPrEx>
        <w:trPr>
          <w:trHeight w:val="285" w:hRule="atLeast"/>
        </w:trPr>
        <w:tc>
          <w:tcPr>
            <w:tcW w:w="23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序号</w:t>
            </w:r>
          </w:p>
        </w:tc>
        <w:tc>
          <w:tcPr>
            <w:tcW w:w="659" w:type="pct"/>
            <w:tcBorders>
              <w:top w:val="single" w:color="auto" w:sz="4" w:space="0"/>
              <w:left w:val="nil"/>
              <w:bottom w:val="single" w:color="auto" w:sz="4" w:space="0"/>
              <w:right w:val="single" w:color="auto" w:sz="4" w:space="0"/>
            </w:tcBorders>
            <w:noWrap/>
            <w:vAlign w:val="center"/>
          </w:tcPr>
          <w:p>
            <w:pPr>
              <w:ind w:firstLine="0" w:firstLineChars="0"/>
              <w:rPr>
                <w:rFonts w:hint="eastAsia"/>
                <w:bCs/>
              </w:rPr>
            </w:pPr>
            <w:r>
              <w:rPr>
                <w:rFonts w:hint="eastAsia"/>
                <w:bCs/>
              </w:rPr>
              <w:t>一级指标</w:t>
            </w:r>
          </w:p>
        </w:tc>
        <w:tc>
          <w:tcPr>
            <w:tcW w:w="789" w:type="pct"/>
            <w:tcBorders>
              <w:top w:val="single" w:color="auto" w:sz="4" w:space="0"/>
              <w:left w:val="nil"/>
              <w:bottom w:val="single" w:color="auto" w:sz="4" w:space="0"/>
              <w:right w:val="single" w:color="auto" w:sz="4" w:space="0"/>
            </w:tcBorders>
            <w:noWrap/>
            <w:vAlign w:val="center"/>
          </w:tcPr>
          <w:p>
            <w:pPr>
              <w:ind w:firstLine="0" w:firstLineChars="0"/>
              <w:rPr>
                <w:rFonts w:hint="eastAsia"/>
                <w:bCs/>
              </w:rPr>
            </w:pPr>
            <w:r>
              <w:rPr>
                <w:rFonts w:hint="eastAsia"/>
                <w:bCs/>
              </w:rPr>
              <w:t>二级指标</w:t>
            </w:r>
          </w:p>
        </w:tc>
        <w:tc>
          <w:tcPr>
            <w:tcW w:w="1034" w:type="pct"/>
            <w:tcBorders>
              <w:top w:val="single" w:color="auto" w:sz="4" w:space="0"/>
              <w:left w:val="nil"/>
              <w:bottom w:val="single" w:color="auto" w:sz="4" w:space="0"/>
              <w:right w:val="single" w:color="auto" w:sz="4" w:space="0"/>
            </w:tcBorders>
            <w:noWrap/>
            <w:vAlign w:val="center"/>
          </w:tcPr>
          <w:p>
            <w:pPr>
              <w:ind w:firstLine="0" w:firstLineChars="0"/>
              <w:rPr>
                <w:rFonts w:hint="eastAsia"/>
                <w:bCs/>
              </w:rPr>
            </w:pPr>
            <w:r>
              <w:rPr>
                <w:rFonts w:hint="eastAsia"/>
                <w:bCs/>
              </w:rPr>
              <w:t>三级指标</w:t>
            </w:r>
          </w:p>
        </w:tc>
        <w:tc>
          <w:tcPr>
            <w:tcW w:w="1489" w:type="pct"/>
            <w:tcBorders>
              <w:top w:val="single" w:color="auto" w:sz="4" w:space="0"/>
              <w:left w:val="nil"/>
              <w:bottom w:val="single" w:color="auto" w:sz="4" w:space="0"/>
              <w:right w:val="single" w:color="auto" w:sz="4" w:space="0"/>
            </w:tcBorders>
            <w:noWrap/>
            <w:vAlign w:val="center"/>
          </w:tcPr>
          <w:p>
            <w:pPr>
              <w:ind w:firstLine="0" w:firstLineChars="0"/>
              <w:rPr>
                <w:rFonts w:hint="eastAsia"/>
                <w:bCs/>
              </w:rPr>
            </w:pPr>
            <w:r>
              <w:rPr>
                <w:rFonts w:hint="eastAsia"/>
                <w:bCs/>
              </w:rPr>
              <w:t>四级指标</w:t>
            </w:r>
          </w:p>
        </w:tc>
        <w:tc>
          <w:tcPr>
            <w:tcW w:w="790" w:type="pct"/>
            <w:tcBorders>
              <w:top w:val="single" w:color="auto" w:sz="4" w:space="0"/>
              <w:left w:val="nil"/>
              <w:bottom w:val="single" w:color="auto" w:sz="4" w:space="0"/>
              <w:right w:val="single" w:color="auto" w:sz="4" w:space="0"/>
            </w:tcBorders>
            <w:noWrap/>
            <w:vAlign w:val="center"/>
          </w:tcPr>
          <w:p>
            <w:pPr>
              <w:ind w:firstLine="0" w:firstLineChars="0"/>
              <w:rPr>
                <w:rFonts w:hint="eastAsia"/>
                <w:bCs/>
              </w:rPr>
            </w:pPr>
            <w:r>
              <w:rPr>
                <w:rFonts w:hint="eastAsia"/>
                <w:bCs/>
              </w:rPr>
              <w:t>指标值</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1</w:t>
            </w:r>
          </w:p>
        </w:tc>
        <w:tc>
          <w:tcPr>
            <w:tcW w:w="659" w:type="pct"/>
            <w:vMerge w:val="restar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通用指标</w:t>
            </w:r>
          </w:p>
        </w:tc>
        <w:tc>
          <w:tcPr>
            <w:tcW w:w="789" w:type="pct"/>
            <w:vMerge w:val="restar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产出指标</w:t>
            </w:r>
          </w:p>
        </w:tc>
        <w:tc>
          <w:tcPr>
            <w:tcW w:w="1034"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产出数量</w:t>
            </w: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软件开发完成率</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100%</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2</w:t>
            </w: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vMerge w:val="restar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产出质量</w:t>
            </w: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软件测试达标</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通过</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3</w:t>
            </w: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安全事件发生次数</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0</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4</w:t>
            </w: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密码测试达标</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通过</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5</w:t>
            </w: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安全测试达标</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通过</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6</w:t>
            </w: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网络安全等级保护</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等保三级</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restar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效益指标</w:t>
            </w:r>
          </w:p>
        </w:tc>
        <w:tc>
          <w:tcPr>
            <w:tcW w:w="1034"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用户使用情况</w:t>
            </w: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每日访问量</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≥1000次</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系统能力利用    水平</w:t>
            </w: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线上办件占比</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100%</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7</w:t>
            </w: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应用系统</w:t>
            </w: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预警监测数据</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不发生重大错误</w:t>
            </w:r>
          </w:p>
        </w:tc>
      </w:tr>
      <w:tr>
        <w:tblPrEx>
          <w:tblCellMar>
            <w:top w:w="0" w:type="dxa"/>
            <w:left w:w="108" w:type="dxa"/>
            <w:bottom w:w="0" w:type="dxa"/>
            <w:right w:w="108" w:type="dxa"/>
          </w:tblCellMar>
        </w:tblPrEx>
        <w:trPr>
          <w:trHeight w:val="90"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p>
        </w:tc>
        <w:tc>
          <w:tcPr>
            <w:tcW w:w="659" w:type="pct"/>
            <w:vMerge w:val="restar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业务指标</w:t>
            </w:r>
          </w:p>
        </w:tc>
        <w:tc>
          <w:tcPr>
            <w:tcW w:w="789" w:type="pct"/>
            <w:tcBorders>
              <w:top w:val="single" w:color="auto" w:sz="4" w:space="0"/>
              <w:left w:val="single" w:color="auto" w:sz="4" w:space="0"/>
              <w:right w:val="single" w:color="auto" w:sz="4" w:space="0"/>
            </w:tcBorders>
            <w:noWrap/>
            <w:vAlign w:val="center"/>
          </w:tcPr>
          <w:p>
            <w:pPr>
              <w:ind w:firstLine="0" w:firstLineChars="0"/>
              <w:rPr>
                <w:rFonts w:hint="eastAsia"/>
                <w:bCs/>
              </w:rPr>
            </w:pPr>
            <w:r>
              <w:rPr>
                <w:rFonts w:hint="eastAsia"/>
                <w:bCs/>
              </w:rPr>
              <w:t>产出指标</w:t>
            </w:r>
          </w:p>
        </w:tc>
        <w:tc>
          <w:tcPr>
            <w:tcW w:w="1034" w:type="pct"/>
            <w:tcBorders>
              <w:top w:val="single" w:color="auto" w:sz="4" w:space="0"/>
              <w:left w:val="single" w:color="auto" w:sz="4" w:space="0"/>
              <w:right w:val="single" w:color="auto" w:sz="4" w:space="0"/>
            </w:tcBorders>
            <w:noWrap/>
            <w:vAlign w:val="center"/>
          </w:tcPr>
          <w:p>
            <w:pPr>
              <w:ind w:firstLine="0" w:firstLineChars="0"/>
              <w:rPr>
                <w:rFonts w:hint="eastAsia"/>
                <w:bCs/>
              </w:rPr>
            </w:pPr>
            <w:r>
              <w:rPr>
                <w:rFonts w:hint="eastAsia"/>
                <w:bCs/>
              </w:rPr>
              <w:t>产出质量</w:t>
            </w: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一般查询和写入操作响应时间</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≤5秒</w:t>
            </w:r>
          </w:p>
        </w:tc>
      </w:tr>
      <w:tr>
        <w:tblPrEx>
          <w:tblCellMar>
            <w:top w:w="0" w:type="dxa"/>
            <w:left w:w="108" w:type="dxa"/>
            <w:bottom w:w="0" w:type="dxa"/>
            <w:right w:w="108" w:type="dxa"/>
          </w:tblCellMar>
        </w:tblPrEx>
        <w:trPr>
          <w:trHeight w:val="285"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restar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效益指标</w:t>
            </w:r>
          </w:p>
        </w:tc>
        <w:tc>
          <w:tcPr>
            <w:tcW w:w="1034" w:type="pct"/>
            <w:vMerge w:val="restar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社会效益</w:t>
            </w: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住房租赁业务产生案件量可归集率</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100%</w:t>
            </w:r>
          </w:p>
        </w:tc>
      </w:tr>
      <w:tr>
        <w:tblPrEx>
          <w:tblCellMar>
            <w:top w:w="0" w:type="dxa"/>
            <w:left w:w="108" w:type="dxa"/>
            <w:bottom w:w="0" w:type="dxa"/>
            <w:right w:w="108" w:type="dxa"/>
          </w:tblCellMar>
        </w:tblPrEx>
        <w:trPr>
          <w:trHeight w:val="285"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全年全建设周期管理项目</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≥200件</w:t>
            </w:r>
          </w:p>
        </w:tc>
      </w:tr>
      <w:tr>
        <w:tblPrEx>
          <w:tblCellMar>
            <w:top w:w="0" w:type="dxa"/>
            <w:left w:w="108" w:type="dxa"/>
            <w:bottom w:w="0" w:type="dxa"/>
            <w:right w:w="108" w:type="dxa"/>
          </w:tblCellMar>
        </w:tblPrEx>
        <w:trPr>
          <w:trHeight w:val="285" w:hRule="atLeast"/>
        </w:trPr>
        <w:tc>
          <w:tcPr>
            <w:tcW w:w="239" w:type="pct"/>
            <w:tcBorders>
              <w:top w:val="nil"/>
              <w:left w:val="single" w:color="auto" w:sz="4" w:space="0"/>
              <w:bottom w:val="single" w:color="auto" w:sz="4" w:space="0"/>
              <w:right w:val="single" w:color="auto" w:sz="4" w:space="0"/>
            </w:tcBorders>
            <w:noWrap/>
            <w:vAlign w:val="center"/>
          </w:tcPr>
          <w:p>
            <w:pPr>
              <w:ind w:firstLine="0" w:firstLineChars="0"/>
              <w:rPr>
                <w:rFonts w:hint="eastAsia"/>
                <w:bCs/>
              </w:rPr>
            </w:pPr>
          </w:p>
        </w:tc>
        <w:tc>
          <w:tcPr>
            <w:tcW w:w="65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789"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034" w:type="pct"/>
            <w:vMerge w:val="continue"/>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p>
        </w:tc>
        <w:tc>
          <w:tcPr>
            <w:tcW w:w="1489"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房地产开发项目全建设周期管理中覆盖上海市房地产开发企业集团公司数</w:t>
            </w:r>
          </w:p>
        </w:tc>
        <w:tc>
          <w:tcPr>
            <w:tcW w:w="790" w:type="pct"/>
            <w:tcBorders>
              <w:top w:val="single" w:color="auto" w:sz="4" w:space="0"/>
              <w:left w:val="single" w:color="auto" w:sz="4" w:space="0"/>
              <w:bottom w:val="single" w:color="auto" w:sz="4" w:space="0"/>
              <w:right w:val="single" w:color="auto" w:sz="4" w:space="0"/>
            </w:tcBorders>
            <w:noWrap/>
            <w:vAlign w:val="center"/>
          </w:tcPr>
          <w:p>
            <w:pPr>
              <w:ind w:firstLine="0" w:firstLineChars="0"/>
              <w:rPr>
                <w:rFonts w:hint="eastAsia"/>
                <w:bCs/>
              </w:rPr>
            </w:pPr>
            <w:r>
              <w:rPr>
                <w:rFonts w:hint="eastAsia"/>
                <w:bCs/>
              </w:rPr>
              <w:t>≥80%</w:t>
            </w:r>
          </w:p>
        </w:tc>
      </w:tr>
    </w:tbl>
    <w:p>
      <w:pPr>
        <w:pStyle w:val="2"/>
        <w:rPr>
          <w:rFonts w:hint="eastAsia"/>
        </w:rPr>
      </w:pPr>
      <w:bookmarkStart w:id="11" w:name="_Toc47536304"/>
      <w:bookmarkEnd w:id="11"/>
      <w:bookmarkStart w:id="12" w:name="_Toc47536676"/>
      <w:bookmarkEnd w:id="12"/>
      <w:bookmarkStart w:id="13" w:name="_Toc47537166"/>
      <w:bookmarkEnd w:id="13"/>
      <w:bookmarkStart w:id="14" w:name="_Toc47532923"/>
      <w:bookmarkEnd w:id="14"/>
      <w:bookmarkStart w:id="15" w:name="_Toc47533288"/>
      <w:bookmarkEnd w:id="15"/>
      <w:bookmarkStart w:id="16" w:name="_Toc47539102"/>
      <w:bookmarkEnd w:id="16"/>
      <w:r>
        <w:rPr>
          <w:rFonts w:hint="eastAsia"/>
        </w:rPr>
        <w:t>项目建设内容</w:t>
      </w:r>
    </w:p>
    <w:p>
      <w:pPr>
        <w:pStyle w:val="3"/>
        <w:rPr>
          <w:rFonts w:hint="eastAsia"/>
        </w:rPr>
      </w:pPr>
      <w:bookmarkStart w:id="17" w:name="_Toc217579223"/>
      <w:r>
        <w:rPr>
          <w:rFonts w:hint="eastAsia"/>
        </w:rPr>
        <w:t>项目总体设计</w:t>
      </w:r>
      <w:bookmarkEnd w:id="17"/>
    </w:p>
    <w:p>
      <w:pPr>
        <w:pStyle w:val="4"/>
        <w:numPr>
          <w:ilvl w:val="0"/>
          <w:numId w:val="3"/>
        </w:numPr>
        <w:rPr>
          <w:rFonts w:hint="eastAsia"/>
        </w:rPr>
      </w:pPr>
      <w:r>
        <w:rPr>
          <w:rFonts w:hint="eastAsia"/>
        </w:rPr>
        <w:t>总体架构</w:t>
      </w:r>
    </w:p>
    <w:p>
      <w:pPr>
        <w:ind w:left="480" w:hanging="480" w:hangingChars="200"/>
        <w:rPr>
          <w:rFonts w:hint="eastAsia"/>
        </w:rPr>
      </w:pPr>
      <w:r>
        <w:object>
          <v:shape id="_x0000_i1025" o:spt="75" type="#_x0000_t75" style="height:202.15pt;width:403.7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r>
        <w:rPr>
          <w:rFonts w:hint="eastAsia"/>
        </w:rPr>
        <w:t xml:space="preserve">    采用主流的B/S架构进行开发，系统部署在大数据中心的政务云环境上。</w:t>
      </w:r>
    </w:p>
    <w:p>
      <w:pPr>
        <w:pStyle w:val="4"/>
        <w:numPr>
          <w:ilvl w:val="0"/>
          <w:numId w:val="3"/>
        </w:numPr>
        <w:rPr>
          <w:rFonts w:hint="eastAsia"/>
        </w:rPr>
      </w:pPr>
      <w:r>
        <w:rPr>
          <w:rFonts w:hint="eastAsia"/>
        </w:rPr>
        <w:t>功能实现</w:t>
      </w:r>
    </w:p>
    <w:p>
      <w:pPr>
        <w:rPr>
          <w:rFonts w:hint="eastAsia"/>
        </w:rPr>
      </w:pPr>
      <w:r>
        <w:rPr>
          <w:rFonts w:hint="eastAsia"/>
        </w:rPr>
        <w:t>根据市大数据中心要求，安排专人协助做好前后台分离的管理工作，包括且不限于数据、安全、云资源工单、政务云主机等。具体包括：系统数据库的管理规范化、数据的标准化、完成数据编目和数据上链工作；上海市电子政务基础设施运行管理平台的工单提交；政务云主机的日常巡检、版本发布、安全管理、网站证书、数据库管理等工作。</w:t>
      </w:r>
    </w:p>
    <w:p>
      <w:pPr>
        <w:ind w:left="480" w:hanging="480" w:hangingChars="200"/>
        <w:rPr>
          <w:rFonts w:hint="eastAsia"/>
        </w:rPr>
      </w:pPr>
    </w:p>
    <w:p>
      <w:pPr>
        <w:pStyle w:val="3"/>
        <w:rPr>
          <w:rFonts w:hint="eastAsia"/>
        </w:rPr>
      </w:pPr>
      <w:r>
        <w:rPr>
          <w:rFonts w:hint="eastAsia"/>
        </w:rPr>
        <w:t>软件开发清单</w:t>
      </w:r>
    </w:p>
    <w:tbl>
      <w:tblPr>
        <w:tblStyle w:val="35"/>
        <w:tblW w:w="4998" w:type="pct"/>
        <w:tblInd w:w="0" w:type="dxa"/>
        <w:tblLayout w:type="fixed"/>
        <w:tblCellMar>
          <w:top w:w="0" w:type="dxa"/>
          <w:left w:w="108" w:type="dxa"/>
          <w:bottom w:w="0" w:type="dxa"/>
          <w:right w:w="108" w:type="dxa"/>
        </w:tblCellMar>
      </w:tblPr>
      <w:tblGrid>
        <w:gridCol w:w="760"/>
        <w:gridCol w:w="1310"/>
        <w:gridCol w:w="2346"/>
        <w:gridCol w:w="4109"/>
      </w:tblGrid>
      <w:tr>
        <w:tblPrEx>
          <w:tblCellMar>
            <w:top w:w="0" w:type="dxa"/>
            <w:left w:w="108" w:type="dxa"/>
            <w:bottom w:w="0" w:type="dxa"/>
            <w:right w:w="108" w:type="dxa"/>
          </w:tblCellMar>
        </w:tblPrEx>
        <w:trPr>
          <w:trHeight w:val="57" w:hRule="atLeast"/>
          <w:tblHeader/>
        </w:trPr>
        <w:tc>
          <w:tcPr>
            <w:tcW w:w="446"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序号</w:t>
            </w:r>
          </w:p>
        </w:tc>
        <w:tc>
          <w:tcPr>
            <w:tcW w:w="768"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应用系统名称</w:t>
            </w:r>
          </w:p>
        </w:tc>
        <w:tc>
          <w:tcPr>
            <w:tcW w:w="1375"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模块名称</w:t>
            </w:r>
          </w:p>
        </w:tc>
        <w:tc>
          <w:tcPr>
            <w:tcW w:w="2409"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ind w:firstLine="0" w:firstLineChars="0"/>
              <w:jc w:val="center"/>
              <w:textAlignment w:val="center"/>
              <w:rPr>
                <w:rFonts w:hint="eastAsia" w:cs="宋体"/>
                <w:b/>
                <w:bCs/>
                <w:color w:val="000000"/>
                <w:sz w:val="22"/>
                <w:szCs w:val="22"/>
              </w:rPr>
            </w:pPr>
            <w:r>
              <w:rPr>
                <w:rFonts w:hint="eastAsia" w:cs="宋体"/>
                <w:b/>
                <w:bCs/>
                <w:color w:val="000000"/>
                <w:kern w:val="0"/>
                <w:sz w:val="22"/>
                <w:szCs w:val="22"/>
                <w:lang w:bidi="ar"/>
              </w:rPr>
              <w:t>模块描述</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住房租赁网签备案一体化-一网通办网签备案新增对接管理改造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优化分散式房源网签备案新增流程，实现与市级办件库直连，实时获取数据。支持多人申请的智能案件合并，建立全流程日志追踪。</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住房租赁网签备案一体化-一网通办网签备案注销对接管理改造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优化分散式房源网签备案注销流程，直连市级办件库实时获取数据。支持多人注销申请的智能合并，建立全流程操作日志。</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住房租赁网签备案一体化-一网通办网签备案新增和注销事项合并改造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将“新增”和“注销”网签备案事项合并为同一服务项，下设两种情形。优化办事入口，实现与办件库、证照库的数据对接。</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住房租赁网签备案一体化-一网通办房源核验接口改造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新增前置房源校验接口，集成至“一网通办”前端，实时核验房屋产权状态等关键信息，避免因资质不符导致的退件。</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住房租赁网签备案一体化-分散式网签备案校验管理改造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对接不动产登记库，实现人房一致性实时核验。控制备案间隔，集成公安部门身份认证接口进行双重验证。</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住房租赁网签备案一体化-分散式产权房网签与备案合并办理、租用公有住房房网签与备案合并办理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实现产权房与公有住房的网签、备案流程合并。实时调取权属信息，自动触发备案规则引擎，合规后同步生成电子备案凭证。</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住房租赁网签备案一体化-网签和备案合并办理自动核验管理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在合并办理模式下，系统自动调用多接口核验房源状态、当事人身份及政策合规性。核验通过后自动生成备案编码并推送制证。</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住房租赁网签备案一体化-分散式网签合同注销管理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支持通过关键信息精准查询已生效网签合同，并对其进行注销操作。</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9</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住房租赁网签备案一体化-分散式租赁合同信息查询及打印管理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为当事人提供线下窗口查询及打印网签合同服务，工作人员可通过关键信息调取合同档案进行打印。</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住房租赁网签备案一体化-分散式租赁备案信息综合查询</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为权利人及相关方提供线下窗口查询服务，可查询名下房屋全部网签备案记录，支持精准查询及打印。</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11</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住房租赁网签备案一体化-分散式网签备案强制核验管理改造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当系统自动拦截网签备案时，支持通过企业端或政务端提交材料进行人工审核，审核通过后可生成备案。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住房租赁网签备案一体化-分散式网签备案强制核验街镇对接管理改造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对接民政系统，当事人可通过社区事务受理中心申请强制核验，由社区工作人员审核后发起备案。</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住房租赁网签备案一体化-经纪行业协会网签备案数据批量对接管理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与经纪行业协会建立接口，成员单位可实时推送网签备案数据，系统自动核验后生成备案编码。同步构建数据分析报表系统。</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住房租赁网签备案一体化-区级长租公寓网签备案对接管理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实现市、区平台联动，构建“入住即备案”服务闭环。通过运营方系统录入信息，自动完成核验并生成备案。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住房租赁网签备案一体化-公积金企业租金直付房租-住房租赁合同与备案信息查询接口</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与公积金系统通过接口实现数据互通，支持按合同编号、备案编号或承租人身份信息，分层查询合同及备案信息。</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住房租赁网签备案一体化-公积金企业租金直付房租-住房租赁合同及备案终止数据查询接口</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提供合同及备案的终止状态查询服务。</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17</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住房租赁网签备案一体化-公积金企业租金直付房租-个人委托开通直付房租对接管理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接收承租人委托书信息，校验备案合规性及信息一致性后，将委托书信息加密推送至出租企业系统。</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住房租赁网签备案一体化-公积金企业租金直付房租-企业委托开通直付房租对接管理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接收企业租金账单信息，校验备案信息一致性后，将已验证账单加密推送至公积金中心。</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19</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住房租赁网签备案一体化-公积金企业租金直付房租-开通直付房租公积金审查结果对接管理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接收支付结果信息，并将结果同步至企业端系统。</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住房租赁网签备案一体化-公积金企业租金直付房租-个人发起终止支付对接管理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接收个人发起的终止支付结果，并将其定向推送至住房出租企业系统。</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21</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住房租赁网签备案一体化-公积金企业租金直付房租-企业发起终止支付对接管理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接收企业发起的终止支付信息，核验企业身份及合同状态后，将终止信息加密传输至公积金中心。</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住房租赁网签备案一体化-公积金企业租金直付房租-终止支付公积金审核结果对接管理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接收终止支付的审核结果，并将审核通过的终止结果加密传输至发起企业。</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住房租赁网签备案一体化-公积金企业租金直付房租-进度查询管理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支持工作人员通过多维度信息查询直付房租业务的申请进度、支付结果及异常状态。</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住房租赁网签备案一体化-集中式房源网签备案功能改造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升级集中式房源网签备案功能，允许运营机构对已有合同发起重新备案，自动核验房源状态及期限合规性。支持备案通知书下载及打印。</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住房租赁发布信息核验管理系统-房源核验结果通知书管理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优化房源核验流程，校验不通过时仅反馈具体原因。升级通知书模板，集中反馈不通过原因。</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住房租赁发布信息核验管理系统-房源核验住房租赁企业接口改造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升级房源核验接口，实现全流程自动化校验。核验不通过时返回失败原因；通过则生成核验码及二维码供查验。</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27</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住房租赁发布信息核验管理系统-房源拆间是否允许验证接口</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针对按间出租房源，首次核验时记录并锁定拆间信息，后续核验禁止修改核心参数。</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住房租赁发布信息核验管理系统-房源核验强制核验申请</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为解决登记信息错漏导致的核验失败，增设线下强制核验申请功能，需权利人持材料至房管局窗口提交。</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29</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住房租赁发布信息核验管理系统-房源核验强制核验审核</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区房管局对强制核验申请进行人工审核，确认后生成核验码或书面说明不通过原因。</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住房租赁发布信息核验管理系统-房源核验强制上下架管理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区住房租赁服务中心窗口人员对强制核验通过的房源进行上架或下架操作，控制其公开展示状态。</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31</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住房租赁发布信息核验管理系统-分散式房源核验结果查询</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支持通过多维度关键字段精准查询房源核验状态、限制信息及历史记录；支持批量查询导出。</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住房租赁发布信息核验管理系统-网络信息平台房源核验接口</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为网络信息平台提供标准化接口，代为办理房源核验。包括信息校验、获取核验码及注销核验码功能。</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住房租赁发布信息核验管理系统-市场化集中式房源入库管理改造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调整房源导入至企业确认环节，支持批量上传和单条录入。新增“是否纳管”等字段，强化权属证明管控。</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住房租赁发布信息核验管理系统-市场化集中式项目开盘管理改造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在查询结果中新增企业名称与运营主体字段。根据企业有效密钥数量，实现自动关联或人工配置项目开盘。</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住房租赁发布信息核验管理系统-市场化集中式项目已入库房源变更申请改造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支持企业对已入库房源进行新增、信息变更或注销申请。注销时联动备案库校验状态。</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住房租赁发布信息核验管理系统-市场化集中式项目已入库房源变更审核改造</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对房源的新增、变更、注销申请进行审核。审核通过后更新数据或注销房源。</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37</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住房租赁发布信息核验管理系统-未纳管市场化集中式项目及房源报备管理、未纳管市场化集中式项目承租人员情况报备管理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支持区级上报未纳管市场化集中式项目的项目信息、房源信息及承租人员情况。</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租赁经营机构管理系统-房地产租赁从业企业实名信息管理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机构上传企业简称及Logo，区级审核后与人员信息卡关联，供市民扫码验证。</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39</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租赁经营机构管理系统-房地产租赁从业人员信息卡申办管理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支持企业对从业人员信息进行单条或批量的新增、变更、注销操作，提交后需经审核。</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租赁经营机构管理系统-房地产租赁从业人员验看管理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区级房管中心对信息卡申请进行验看，可执行通过或回退操作，回退需填写原因。</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41</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租赁经营机构管理系统-房地产租赁从业人员激活管理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企业对已验看通过的信息卡进行激活，激活后生效并平台公示。</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租赁经营机构管理系统-房地产租赁从业人员信息批量导入及结果查验管理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支持对从业人员信息进行查询、批量下载信息卡或导出表格。提供导入异常清单及修正通道。</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租赁经营机构管理系统-房地产租赁从业人员线下注销申请管理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授权区交易中心线下窗口办理信息卡注销业务。申请人携身份证申请，审核后注销。</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租赁经营机构管理系统-从业人员身份二要素及黑名单信息校验管理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通过接口核验身份二要素及黑名单信息，核验失败则自动驳回申请。</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租赁经营机构管理系统-从业人员信息卡经纪行业协会诚信平台新办对接管理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与诚信平台接口互通，已备案人员信息同步至本平台，校验后生成信息卡。</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租赁经营机构管理系统-从业人员信息卡经纪行业协会诚信平台注销对接管理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与诚信平台双向互通，人员在诚信平台注销后，自动触发本平台同步注销。</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47</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租赁经营机构管理系统-从业人员信息卡信息查询接口</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诚信平台可通过接口查询人员在本平台的有效从业资格及信息卡样式。</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租赁经营机构管理系统-从业人员信息卡信息公示管理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在平台公示已备案机构的从业人员信息，公众可查询并扫码核验。</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49</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租赁住房房源信息管理系统-个人转租经营监管</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对个人转租实施动态登记管理。超10套（间）时自动预警，通知区房管部门。</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住房租赁服务及监管子系统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租赁住房房源信息管理系统-社区服务用户关联管理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支持系统用户与所属街镇关联，关联后用户可加载对应管理功能。</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51</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主体管理模块-集团公司管理及监测</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建立集团公司名录，实现对企业法人、融资等要素的动态监测，异常时预警。</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52</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主体管理模块-总公司准入退出管理、总公司风险监测及账号管理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提供总公司准入、退出审核流程。监测总公司法人、股权、融资等信息变化并预警。业务部门创建总公司账号。</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53</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主体管理模块-项目公司准入退出协同管理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提供项目公司准入、退出审核流程，可由业务部门或总公司发起。</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54</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主体管理模块-项目公司风险监测及账号管理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监测项目公司法人、股权、融资等信息变化并预警。可由总公司创建项目公司账号。</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55</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地块管理模块-总公司地块关联管理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支持业务部门将地块关联给总公司，或总公司主动认领地块，均需双方确认后生效。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56</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地块管理模块-地块信息管理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支持业务部门和总公司新增、补录地块信息及证照附件，提交后需审核生效。</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57</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地块管理模块-项目公司地块关联</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总公司将已关联的地块指派给项目公司，需项目公司确认后建立关联。</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58</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项目基础信息管理模块-项目创建及信息管理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支持通过地块自动创建或手动新增项目。项目公司维护项目基本信息，提交审核生效后，可发起信息更新流程。</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59</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项目基础信息管理模块-项目地块信息管理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项目公司维护项目对应的地块信息，支持多个地块。信息提交审核生效后，可发起更新流程。</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60</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项目基础信息管理模块-项目投资企业信息管理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项目公司核对、补充或手动新增投资企业信息，提交后需审核生效。</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61</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项目基础信息管理模块-项目代建单位信息管理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项目公司维护代建单位信息，通过信用代码预填或手动新增，提交后需审核生效。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62</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项目基础信息管理模块-项目转让及拆迁安置记录管理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项目公司维护项目转让记录及拆迁安置记录，上传附件，提交后需审核生效。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63</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项目规划阶段管理模块-用地规划许可证管理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项目公司维护用地规划许可证信息，通过许可证号预填或手动录入，上传附件，提交后需审核生效，并可更新。</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64</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项目规划阶段管理模块-不动产权证管理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项目公司维护土地证信息，通过证号预填或手动录入，上传附件，提交后需审核生效，并可更新。</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65</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项目规划阶段管理模块-工程规划许可证管理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项目公司维护工程规划许可证及规划建筑物信息，支持手动录入或Excel导入，上传附件，提交后需审核生效，并可更新。</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66</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项目规划阶段管理模块-项目小区信息管理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项目公司维护项目小区的规划信息，提交后需审核生效。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67</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项目施工阶段管理模块-施工许可证管理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项目公司维护施工许可证信息，上传附件，提交后需审核生效，并可更新。</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68</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项目施工阶段管理模块-单位工程信息管理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项目公司按幢维护单位工程信息，提交后需审核生效，并可更新。</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69</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项目施工阶段管理模块-单位工程关联规划建筑物</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项目公司维护单位工程与规划建筑物的对应关系，关联后自动预填信息。</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70</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项目施工阶段管理模块-楼盘表自然幢信息关联</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项目公司完成单位工程与楼盘表自然幢的关联，提交后需审核生效，可查看房屋详细信息。</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71</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项目施工阶段管理模块-工程款信息管理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项目公司定期维护工程款支付情况，提交后需审核生效。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72</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项目竣工阶段管理模块-竣工规划验收及备案管理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项目公司维护竣工验收备案证书和竣工规划资源验收合格证信息，上传附件，提交后需审核生效。</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73</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项目竣工阶段管理模块-交付使用许可证管理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项目公司维护交付使用许可证信息，上传附件，提交后需审核生效，并可更新。</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74</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项目进度管理-项目进度填报</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项目公司定期填报项目施工进度及关键节点时间，上传材料，提交后需业务部门审核生效。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75</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项目进度管理-项目进度监测</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实时监控项目建设进度，对未按期更新或未达规定进度的项目触发分级预警。</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76</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预售(现售）方案管理-销售方案管理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项目公司根据项目信息勾选销售楼幢，生成销售方案并补全信息，提交审核通过后生效并可打印。</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77</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电子开发项目手册管理-电子项目手册汇编管理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系统根据企业填报的各阶段数据，自动生成结构化的电子项目手册。</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78</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电子开发项目手册管理-电子项目手册更新管理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系统根据数据变化自动更新项目手册，项目公司也可手动发起更新流程，审核后生效。</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79</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电子开发项目手册管理-电子项目手册归档管理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系统按项目阶段定期存档电子项目手册，也可手动触发存档。</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80</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项目空间数据管理-项目空间范围管理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根据勘测定界报告，系统提供地块红线圈定功能，生成项目空间范围，审核后入库。</w:t>
            </w:r>
          </w:p>
        </w:tc>
      </w:tr>
      <w:tr>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81</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项目空间数据管理-建筑物三维模型管理</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基于总平面图CAD进行三维模型加工，实现分层分户，并与楼盘表属性关联，审核后入库。</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82</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项目空间数据管理-业务空间联动分析</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将预售、交易等业务状态关联至三维模型中的具体房屋，进行空间叠加分析，自动计算汇总指标。</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83</w:t>
            </w:r>
          </w:p>
        </w:tc>
        <w:tc>
          <w:tcPr>
            <w:tcW w:w="768"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房地产市场管理及监测调控子系统</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数据统计模块-可供应量统计</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基于项目全生命周期数据，进行多维度、分阶段的统计与分析，生成供应量、上市量等关键指标报表，支持数据导出。</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84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textAlignment w:val="center"/>
              <w:rPr>
                <w:rFonts w:hint="eastAsia" w:cs="宋体"/>
                <w:color w:val="000000"/>
                <w:sz w:val="22"/>
                <w:szCs w:val="22"/>
              </w:rPr>
            </w:pPr>
            <w:r>
              <w:rPr>
                <w:rFonts w:hint="eastAsia" w:cs="宋体"/>
                <w:color w:val="000000"/>
                <w:kern w:val="0"/>
                <w:sz w:val="22"/>
                <w:szCs w:val="22"/>
                <w:lang w:bidi="ar"/>
              </w:rPr>
              <w:t>密码应用开发</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用户身份认证机制模块、重要数据安全传输模块、服务器虚拟机设备日志/访问控制信息完整性模块</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lang w:bidi="ar"/>
              </w:rPr>
            </w:pPr>
            <w:r>
              <w:rPr>
                <w:rFonts w:hint="eastAsia" w:cs="宋体"/>
                <w:color w:val="000000"/>
                <w:kern w:val="0"/>
                <w:sz w:val="22"/>
                <w:szCs w:val="22"/>
                <w:lang w:bidi="ar"/>
              </w:rPr>
              <w:t>开发用户身份认证机制模块，调用云平台提供的安全认证网关服务接口，并在移动终端部署用户证书、服务端部署站点证书，绑定应用用户数字证书和应用用户ID，实现对移动终端和服务端身份的鉴别。</w:t>
            </w:r>
          </w:p>
          <w:p>
            <w:pPr>
              <w:widowControl/>
              <w:ind w:firstLine="0" w:firstLineChars="0"/>
              <w:textAlignment w:val="center"/>
              <w:rPr>
                <w:rFonts w:hint="eastAsia" w:cs="宋体"/>
                <w:color w:val="000000"/>
                <w:kern w:val="0"/>
                <w:sz w:val="22"/>
                <w:szCs w:val="22"/>
                <w:lang w:bidi="ar"/>
              </w:rPr>
            </w:pPr>
            <w:r>
              <w:rPr>
                <w:rFonts w:hint="eastAsia" w:cs="宋体"/>
                <w:color w:val="000000"/>
                <w:kern w:val="0"/>
                <w:sz w:val="22"/>
                <w:szCs w:val="22"/>
                <w:lang w:bidi="ar"/>
              </w:rPr>
              <w:t>开发业务重要数据安全传输模块，调用云平台提供的安全认证网关服务接口，实现应用系统通信数据的机密性和完整性保护。</w:t>
            </w:r>
          </w:p>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开发服务器虚拟机设备日志/访问控制信息完整性模块，调用云平台提供的签名验签服务接口，实现应用服务器虚拟机、数据库服务器虚拟机等设备日志/访问控制信息的完整性保护。</w:t>
            </w:r>
          </w:p>
        </w:tc>
      </w:tr>
      <w:tr>
        <w:tblPrEx>
          <w:tblCellMar>
            <w:top w:w="0" w:type="dxa"/>
            <w:left w:w="108" w:type="dxa"/>
            <w:bottom w:w="0" w:type="dxa"/>
            <w:right w:w="108" w:type="dxa"/>
          </w:tblCellMar>
        </w:tblPrEx>
        <w:trPr>
          <w:trHeight w:val="57"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center"/>
              <w:textAlignment w:val="center"/>
              <w:rPr>
                <w:rFonts w:hint="eastAsia" w:cs="宋体"/>
                <w:color w:val="000000"/>
              </w:rPr>
            </w:pPr>
            <w:r>
              <w:rPr>
                <w:rFonts w:hint="eastAsia" w:cs="宋体"/>
                <w:color w:val="000000"/>
                <w:kern w:val="0"/>
                <w:lang w:bidi="ar"/>
              </w:rPr>
              <w:t>85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ind w:firstLine="0" w:firstLineChars="0"/>
              <w:jc w:val="left"/>
              <w:textAlignment w:val="center"/>
              <w:rPr>
                <w:rFonts w:hint="eastAsia" w:cs="宋体"/>
                <w:color w:val="000000"/>
                <w:sz w:val="22"/>
                <w:szCs w:val="22"/>
              </w:rPr>
            </w:pPr>
            <w:r>
              <w:rPr>
                <w:rFonts w:hint="eastAsia" w:cs="宋体"/>
                <w:color w:val="000000"/>
                <w:kern w:val="0"/>
                <w:sz w:val="22"/>
                <w:szCs w:val="22"/>
                <w:lang w:bidi="ar"/>
              </w:rPr>
              <w:t>密码应用开发</w:t>
            </w:r>
          </w:p>
        </w:tc>
        <w:tc>
          <w:tcPr>
            <w:tcW w:w="1375"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重要可执行程序签名验签模块、用户访问控制信息签名验签模块、应用系统重要数据加解密模块、应用系统重要数据签名验签模块</w:t>
            </w:r>
          </w:p>
        </w:tc>
        <w:tc>
          <w:tcPr>
            <w:tcW w:w="2409"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lang w:bidi="ar"/>
              </w:rPr>
            </w:pPr>
            <w:r>
              <w:rPr>
                <w:rFonts w:hint="eastAsia" w:cs="宋体"/>
                <w:color w:val="000000"/>
                <w:kern w:val="0"/>
                <w:sz w:val="22"/>
                <w:szCs w:val="22"/>
                <w:lang w:bidi="ar"/>
              </w:rPr>
              <w:t>开发重要可执行程序签名验签模块，调用云平台提供的签名验签服务接口，实现重要可执行程序的完整性、来源真实性保护。</w:t>
            </w:r>
          </w:p>
          <w:p>
            <w:pPr>
              <w:widowControl/>
              <w:ind w:firstLine="0" w:firstLineChars="0"/>
              <w:textAlignment w:val="center"/>
              <w:rPr>
                <w:rFonts w:hint="eastAsia" w:cs="宋体"/>
                <w:color w:val="000000"/>
                <w:kern w:val="0"/>
                <w:sz w:val="22"/>
                <w:szCs w:val="22"/>
                <w:lang w:bidi="ar"/>
              </w:rPr>
            </w:pPr>
            <w:r>
              <w:rPr>
                <w:rFonts w:hint="eastAsia" w:cs="宋体"/>
                <w:color w:val="000000"/>
                <w:kern w:val="0"/>
                <w:sz w:val="22"/>
                <w:szCs w:val="22"/>
                <w:lang w:bidi="ar"/>
              </w:rPr>
              <w:t>开发用户访问控制信息签名验签模块，调用云平台提供的签名验签服务接口，实现应用系统登录用户的访问控制列表完整性保护。</w:t>
            </w:r>
          </w:p>
          <w:p>
            <w:pPr>
              <w:widowControl/>
              <w:ind w:firstLine="0" w:firstLineChars="0"/>
              <w:textAlignment w:val="center"/>
              <w:rPr>
                <w:rFonts w:hint="eastAsia" w:cs="宋体"/>
                <w:color w:val="000000"/>
                <w:kern w:val="0"/>
                <w:sz w:val="22"/>
                <w:szCs w:val="22"/>
                <w:lang w:bidi="ar"/>
              </w:rPr>
            </w:pPr>
            <w:r>
              <w:rPr>
                <w:rFonts w:hint="eastAsia" w:cs="宋体"/>
                <w:color w:val="000000"/>
                <w:kern w:val="0"/>
                <w:sz w:val="22"/>
                <w:szCs w:val="22"/>
                <w:lang w:bidi="ar"/>
              </w:rPr>
              <w:t>开发应用系统重要数据加解密模块，调用云平台提供的数据库加密服务接口、加密存储服务接口，实现登录用户身份鉴别数据、电子公文数据等结构化数据、非结构化数据的存储机密性保护。</w:t>
            </w:r>
          </w:p>
          <w:p>
            <w:pPr>
              <w:widowControl/>
              <w:ind w:firstLine="0" w:firstLineChars="0"/>
              <w:textAlignment w:val="center"/>
              <w:rPr>
                <w:rFonts w:hint="eastAsia" w:cs="宋体"/>
                <w:color w:val="000000"/>
                <w:sz w:val="22"/>
                <w:szCs w:val="22"/>
              </w:rPr>
            </w:pPr>
            <w:r>
              <w:rPr>
                <w:rFonts w:hint="eastAsia" w:cs="宋体"/>
                <w:color w:val="000000"/>
                <w:kern w:val="0"/>
                <w:sz w:val="22"/>
                <w:szCs w:val="22"/>
                <w:lang w:bidi="ar"/>
              </w:rPr>
              <w:t>开发应用系统重要数据签名验签模块，调用云平台提供的签名验签服务接口，实现登录用户身份鉴别数据、电子公文数据、业务日志的存储完整性保护。</w:t>
            </w:r>
          </w:p>
        </w:tc>
      </w:tr>
    </w:tbl>
    <w:p>
      <w:pPr>
        <w:pStyle w:val="3"/>
        <w:rPr>
          <w:rFonts w:hint="eastAsia"/>
        </w:rPr>
      </w:pPr>
      <w:r>
        <w:rPr>
          <w:rFonts w:hint="eastAsia"/>
        </w:rPr>
        <w:t>部署环境</w:t>
      </w:r>
    </w:p>
    <w:p>
      <w:pPr>
        <w:rPr>
          <w:rFonts w:hint="eastAsia"/>
        </w:rPr>
      </w:pPr>
      <w:r>
        <w:rPr>
          <w:rFonts w:hint="eastAsia"/>
        </w:rPr>
        <w:t>本项目依托上海市电子政务云建设，项目实施过程中按电子政务云平台分配的实际资源情况做调整。</w:t>
      </w:r>
    </w:p>
    <w:p>
      <w:pPr>
        <w:pStyle w:val="2"/>
        <w:rPr>
          <w:rFonts w:hint="eastAsia"/>
        </w:rPr>
      </w:pPr>
      <w:bookmarkStart w:id="18" w:name="_Toc63785503"/>
      <w:r>
        <w:rPr>
          <w:rFonts w:hint="eastAsia"/>
        </w:rPr>
        <w:t>低代码建设要求</w:t>
      </w:r>
    </w:p>
    <w:p>
      <w:pPr>
        <w:rPr>
          <w:rFonts w:hint="eastAsia"/>
        </w:rPr>
      </w:pPr>
      <w:r>
        <w:rPr>
          <w:rFonts w:hint="eastAsia"/>
        </w:rPr>
        <w:t>不涉及。</w:t>
      </w:r>
    </w:p>
    <w:p>
      <w:pPr>
        <w:pStyle w:val="2"/>
        <w:rPr>
          <w:rFonts w:hint="eastAsia"/>
        </w:rPr>
      </w:pPr>
      <w:r>
        <w:rPr>
          <w:rFonts w:hint="eastAsia"/>
        </w:rPr>
        <w:t>其他工作要求</w:t>
      </w:r>
      <w:bookmarkEnd w:id="18"/>
    </w:p>
    <w:p>
      <w:pPr>
        <w:keepNext/>
        <w:keepLines/>
        <w:numPr>
          <w:ilvl w:val="1"/>
          <w:numId w:val="4"/>
        </w:numPr>
        <w:tabs>
          <w:tab w:val="left" w:pos="360"/>
        </w:tabs>
        <w:spacing w:before="120" w:line="240" w:lineRule="auto"/>
        <w:ind w:left="0" w:firstLine="0" w:firstLineChars="0"/>
        <w:outlineLvl w:val="1"/>
        <w:rPr>
          <w:rFonts w:hint="eastAsia" w:ascii="仿宋" w:hAnsi="仿宋" w:eastAsia="仿宋"/>
          <w:b/>
          <w:vanish/>
          <w:color w:val="000000"/>
          <w:szCs w:val="20"/>
        </w:rPr>
      </w:pPr>
      <w:bookmarkStart w:id="19" w:name="_Toc63151871"/>
      <w:bookmarkEnd w:id="19"/>
      <w:bookmarkStart w:id="20" w:name="_Toc63585480"/>
      <w:bookmarkEnd w:id="20"/>
      <w:bookmarkStart w:id="21" w:name="_Toc61968111"/>
      <w:bookmarkEnd w:id="21"/>
      <w:bookmarkStart w:id="22" w:name="_Toc63785504"/>
      <w:bookmarkEnd w:id="22"/>
      <w:bookmarkStart w:id="23" w:name="_Toc63785439"/>
      <w:bookmarkEnd w:id="23"/>
      <w:bookmarkStart w:id="24" w:name="_Toc62209488"/>
      <w:bookmarkEnd w:id="24"/>
      <w:bookmarkStart w:id="25" w:name="_Toc62219358"/>
      <w:bookmarkEnd w:id="25"/>
      <w:bookmarkStart w:id="26" w:name="_Toc63762370"/>
      <w:bookmarkEnd w:id="26"/>
    </w:p>
    <w:p>
      <w:pPr>
        <w:pStyle w:val="3"/>
        <w:rPr>
          <w:rFonts w:hint="eastAsia"/>
        </w:rPr>
      </w:pPr>
      <w:bookmarkStart w:id="27" w:name="_Toc63785505"/>
      <w:r>
        <w:rPr>
          <w:rFonts w:hint="eastAsia"/>
        </w:rPr>
        <w:t>售后服务要求</w:t>
      </w:r>
      <w:bookmarkEnd w:id="27"/>
    </w:p>
    <w:p>
      <w:pPr>
        <w:rPr>
          <w:rFonts w:hint="eastAsia"/>
        </w:rPr>
      </w:pPr>
      <w:r>
        <w:rPr>
          <w:rFonts w:hint="eastAsia"/>
        </w:rPr>
        <w:t>本项目从系统验收通过之日起1年内提供7*24小时免费技术支持和售后服务，1年后进入有偿维护期。</w:t>
      </w:r>
    </w:p>
    <w:p>
      <w:pPr>
        <w:rPr>
          <w:rFonts w:hint="eastAsia"/>
        </w:rPr>
      </w:pPr>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pPr>
        <w:rPr>
          <w:rFonts w:hint="eastAsia"/>
        </w:rPr>
      </w:pPr>
      <w:r>
        <w:rPr>
          <w:rFonts w:hint="eastAsia"/>
        </w:rPr>
        <w:t>在质量保证期内，供应商负责信息系统的运行维护工作，确保信息系统安全、稳定、可靠地运行。本项目涉及的运行维护工作范围为本项目建设交付相应的功能模块。</w:t>
      </w:r>
    </w:p>
    <w:p>
      <w:pPr>
        <w:pStyle w:val="3"/>
        <w:rPr>
          <w:rFonts w:hint="eastAsia"/>
        </w:rPr>
      </w:pPr>
      <w:bookmarkStart w:id="28" w:name="_Toc63785506"/>
      <w:r>
        <w:rPr>
          <w:rFonts w:hint="eastAsia"/>
        </w:rPr>
        <w:t>应急响应要求</w:t>
      </w:r>
      <w:bookmarkEnd w:id="28"/>
    </w:p>
    <w:p>
      <w:pPr>
        <w:pStyle w:val="10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供应商对系统故障应能够实时响应，若系统发生故障，接到通知后30分钟之内响应，专业工程师2小时内到达现场。特殊故障与采购人沟通协商后，按照协商的方式制定解决方案并进行处理。</w:t>
      </w:r>
    </w:p>
    <w:p>
      <w:pPr>
        <w:pStyle w:val="106"/>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pPr>
        <w:pStyle w:val="106"/>
        <w:snapToGrid w:val="0"/>
        <w:spacing w:line="360" w:lineRule="auto"/>
        <w:ind w:firstLine="480"/>
        <w:rPr>
          <w:rFonts w:hint="eastAsia" w:ascii="宋体" w:hAnsi="宋体"/>
          <w:sz w:val="24"/>
          <w:szCs w:val="24"/>
        </w:rPr>
      </w:pPr>
      <w:r>
        <w:rPr>
          <w:rFonts w:hint="eastAsia" w:ascii="宋体" w:hAnsi="宋体"/>
          <w:sz w:val="24"/>
          <w:szCs w:val="24"/>
        </w:rPr>
        <w:t>一级故障：在1小时内确诊，总故障解决时间不超过4小时。</w:t>
      </w:r>
    </w:p>
    <w:p>
      <w:pPr>
        <w:pStyle w:val="106"/>
        <w:snapToGrid w:val="0"/>
        <w:spacing w:line="360" w:lineRule="auto"/>
        <w:ind w:firstLine="480"/>
        <w:rPr>
          <w:rFonts w:hint="eastAsia" w:ascii="宋体" w:hAnsi="宋体"/>
          <w:sz w:val="24"/>
          <w:szCs w:val="24"/>
        </w:rPr>
      </w:pPr>
      <w:r>
        <w:rPr>
          <w:rFonts w:hint="eastAsia" w:ascii="宋体" w:hAnsi="宋体"/>
          <w:sz w:val="24"/>
          <w:szCs w:val="24"/>
        </w:rPr>
        <w:t>二级故障：在2小时内确诊，并在4小时内由专家到达现场确诊并解决，总故障解决时间不超过8小时；</w:t>
      </w:r>
    </w:p>
    <w:p>
      <w:pPr>
        <w:pStyle w:val="106"/>
        <w:snapToGrid w:val="0"/>
        <w:spacing w:line="360" w:lineRule="auto"/>
        <w:ind w:firstLine="480"/>
        <w:rPr>
          <w:rFonts w:hint="eastAsia" w:ascii="宋体" w:hAnsi="宋体"/>
          <w:sz w:val="24"/>
          <w:szCs w:val="24"/>
        </w:rPr>
      </w:pPr>
      <w:r>
        <w:rPr>
          <w:rFonts w:hint="eastAsia" w:ascii="宋体" w:hAnsi="宋体"/>
          <w:sz w:val="24"/>
          <w:szCs w:val="24"/>
        </w:rPr>
        <w:t>三、四级故障：在4小时内确诊故障，总故障解决时间不超过16小时。</w:t>
      </w:r>
    </w:p>
    <w:p>
      <w:pPr>
        <w:pStyle w:val="106"/>
        <w:snapToGrid w:val="0"/>
        <w:spacing w:line="360" w:lineRule="auto"/>
        <w:ind w:firstLine="480"/>
        <w:rPr>
          <w:rFonts w:hint="eastAsia" w:ascii="宋体" w:hAnsi="宋体"/>
          <w:sz w:val="24"/>
          <w:szCs w:val="24"/>
        </w:rPr>
      </w:pPr>
      <w:r>
        <w:rPr>
          <w:rFonts w:hint="eastAsia" w:ascii="宋体" w:hAnsi="宋体"/>
          <w:sz w:val="24"/>
          <w:szCs w:val="24"/>
        </w:rPr>
        <w:t>依据故障时间及故障范围划分故障级别，故障级别分为四级，依次为Ⅰ级（紧急）、Ⅱ级（严重）、Ⅲ级（较大）和Ⅳ级（一般），分别定义如下：</w:t>
      </w:r>
    </w:p>
    <w:p>
      <w:pPr>
        <w:pStyle w:val="106"/>
        <w:snapToGrid w:val="0"/>
        <w:spacing w:line="360" w:lineRule="auto"/>
        <w:ind w:firstLine="480"/>
        <w:rPr>
          <w:rFonts w:hint="eastAsia" w:ascii="宋体" w:hAnsi="宋体"/>
          <w:sz w:val="24"/>
          <w:szCs w:val="24"/>
        </w:rPr>
      </w:pPr>
      <w:r>
        <w:rPr>
          <w:rFonts w:hint="eastAsia" w:ascii="宋体" w:hAnsi="宋体"/>
          <w:sz w:val="24"/>
          <w:szCs w:val="24"/>
        </w:rPr>
        <w:t>Ⅰ级（紧急）故障为工作时间段（8:30——17:30）内大范围故障；</w:t>
      </w:r>
    </w:p>
    <w:p>
      <w:pPr>
        <w:pStyle w:val="106"/>
        <w:snapToGrid w:val="0"/>
        <w:spacing w:line="360" w:lineRule="auto"/>
        <w:ind w:firstLine="480"/>
        <w:rPr>
          <w:rFonts w:hint="eastAsia" w:ascii="宋体" w:hAnsi="宋体"/>
          <w:sz w:val="24"/>
          <w:szCs w:val="24"/>
        </w:rPr>
      </w:pPr>
      <w:r>
        <w:rPr>
          <w:rFonts w:hint="eastAsia" w:ascii="宋体" w:hAnsi="宋体"/>
          <w:sz w:val="24"/>
          <w:szCs w:val="24"/>
        </w:rPr>
        <w:t>Ⅱ级（严重）故障为非工作时间段（17:30——次日8:30）内大范围故障；</w:t>
      </w:r>
    </w:p>
    <w:p>
      <w:pPr>
        <w:pStyle w:val="106"/>
        <w:snapToGrid w:val="0"/>
        <w:spacing w:line="360" w:lineRule="auto"/>
        <w:ind w:firstLine="480"/>
        <w:rPr>
          <w:rFonts w:hint="eastAsia" w:ascii="宋体" w:hAnsi="宋体"/>
          <w:sz w:val="24"/>
          <w:szCs w:val="24"/>
        </w:rPr>
      </w:pPr>
      <w:r>
        <w:rPr>
          <w:rFonts w:hint="eastAsia" w:ascii="宋体" w:hAnsi="宋体"/>
          <w:sz w:val="24"/>
          <w:szCs w:val="24"/>
        </w:rPr>
        <w:t>Ⅲ级（较大）故障为工作时间段（8:30——17:30）内小范围故障；</w:t>
      </w:r>
    </w:p>
    <w:p>
      <w:pPr>
        <w:pStyle w:val="106"/>
        <w:snapToGrid w:val="0"/>
        <w:spacing w:line="360" w:lineRule="auto"/>
        <w:ind w:firstLine="480"/>
        <w:rPr>
          <w:rFonts w:hint="eastAsia" w:ascii="宋体" w:hAnsi="宋体"/>
          <w:sz w:val="24"/>
          <w:szCs w:val="24"/>
        </w:rPr>
      </w:pPr>
      <w:r>
        <w:rPr>
          <w:rFonts w:hint="eastAsia" w:ascii="宋体" w:hAnsi="宋体"/>
          <w:sz w:val="24"/>
          <w:szCs w:val="24"/>
        </w:rPr>
        <w:t>Ⅳ级（一般）故障为非工作时间段（17:30——次日8:30）内小范围故障</w:t>
      </w:r>
      <w:r>
        <w:rPr>
          <w:rFonts w:ascii="宋体" w:hAnsi="宋体"/>
          <w:sz w:val="24"/>
          <w:szCs w:val="24"/>
        </w:rPr>
        <w:t>。</w:t>
      </w:r>
    </w:p>
    <w:p>
      <w:pPr>
        <w:pStyle w:val="3"/>
        <w:rPr>
          <w:rFonts w:hint="eastAsia"/>
        </w:rPr>
      </w:pPr>
      <w:bookmarkStart w:id="29" w:name="_Toc63785507"/>
      <w:r>
        <w:rPr>
          <w:rFonts w:hint="eastAsia"/>
        </w:rPr>
        <w:t>网络与数据安全</w:t>
      </w:r>
    </w:p>
    <w:p>
      <w:pPr>
        <w:rPr>
          <w:rFonts w:hint="eastAsia"/>
        </w:rPr>
      </w:pPr>
      <w:r>
        <w:rPr>
          <w:rFonts w:hint="eastAsia"/>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pPr>
        <w:rPr>
          <w:rFonts w:hint="eastAsia"/>
        </w:rPr>
      </w:pPr>
      <w:r>
        <w:rPr>
          <w:rFonts w:hint="eastAsia"/>
        </w:rPr>
        <w:t>(2)供应商应配合采购人开展相关安全制度和规范的制定，并根据项目实际，制定项目实施过程安全管理方案。</w:t>
      </w:r>
    </w:p>
    <w:p>
      <w:pPr>
        <w:rPr>
          <w:rFonts w:hint="eastAsia"/>
        </w:rPr>
      </w:pPr>
      <w:r>
        <w:rPr>
          <w:rFonts w:hint="eastAsia"/>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pPr>
        <w:rPr>
          <w:rFonts w:hint="eastAsia"/>
        </w:rPr>
      </w:pPr>
      <w:r>
        <w:rPr>
          <w:rFonts w:hint="eastAsia"/>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pPr>
        <w:rPr>
          <w:rFonts w:hint="eastAsia"/>
        </w:rPr>
      </w:pPr>
      <w:r>
        <w:rPr>
          <w:rFonts w:hint="eastAsia"/>
        </w:rPr>
        <w:t>(5)供应商应在项目实施过程中，按照数据差异化安全防护策略，根据系统需要采取数据加密、数据访问控制、日志记录、流转监测等防护能力及相关管理流程，切实保障数据安全。</w:t>
      </w:r>
    </w:p>
    <w:p>
      <w:pPr>
        <w:rPr>
          <w:rFonts w:hint="eastAsia"/>
        </w:rPr>
      </w:pPr>
      <w:r>
        <w:rPr>
          <w:rFonts w:hint="eastAsia"/>
        </w:rPr>
        <w:t>(6)供应商应按照采购人场地及人员安全管理制度，加强人员管理，配合采购人落实人员背调、入离场、终端管理、网络限制、数据权限最小化等管控措施。</w:t>
      </w:r>
    </w:p>
    <w:p>
      <w:pPr>
        <w:rPr>
          <w:rFonts w:hint="eastAsia"/>
        </w:rPr>
      </w:pPr>
      <w:r>
        <w:rPr>
          <w:rFonts w:hint="eastAsia"/>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pPr>
        <w:rPr>
          <w:rFonts w:hint="eastAsia"/>
        </w:rPr>
      </w:pPr>
      <w:r>
        <w:rPr>
          <w:rFonts w:hint="eastAsia"/>
        </w:rPr>
        <w:t>(8)供应商应在系统免维期内承担系统安全运维管理责任，落实安全管理保障措施，包括但不限于制度修订、风险排查、应急响应、漏洞修复、重保等工作。</w:t>
      </w:r>
    </w:p>
    <w:p>
      <w:pPr>
        <w:pStyle w:val="3"/>
        <w:rPr>
          <w:rFonts w:hint="eastAsia"/>
        </w:rPr>
      </w:pPr>
      <w:r>
        <w:rPr>
          <w:rFonts w:hint="eastAsia"/>
        </w:rPr>
        <w:t>培训要求</w:t>
      </w:r>
      <w:bookmarkEnd w:id="29"/>
    </w:p>
    <w:p>
      <w:pPr>
        <w:rPr>
          <w:rFonts w:hint="eastAsia"/>
        </w:rPr>
      </w:pPr>
      <w:r>
        <w:rPr>
          <w:rFonts w:hint="eastAsia"/>
        </w:rPr>
        <w:t>对系统使用单位提供业务操作培训，应提供详细培训方案。</w:t>
      </w:r>
    </w:p>
    <w:p>
      <w:pPr>
        <w:rPr>
          <w:rFonts w:hint="eastAsia"/>
        </w:rPr>
      </w:pPr>
      <w:r>
        <w:rPr>
          <w:rFonts w:hint="eastAsia"/>
        </w:rPr>
        <w:t>(1)项目验收前，供应商应提供2次与项目相关的必要培训。</w:t>
      </w:r>
    </w:p>
    <w:p>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pPr>
        <w:rPr>
          <w:rFonts w:hint="eastAsia"/>
        </w:rPr>
      </w:pPr>
      <w:r>
        <w:rPr>
          <w:rFonts w:hint="eastAsia"/>
        </w:rPr>
        <w:t>(3)供应商应提供一般用户的基础操作培训和部门信息管理员的日常应用维护的培训，确保用户对象能够掌握对应的操作技能。</w:t>
      </w:r>
    </w:p>
    <w:p>
      <w:pPr>
        <w:rPr>
          <w:rFonts w:hint="eastAsia"/>
        </w:rPr>
      </w:pPr>
      <w:r>
        <w:rPr>
          <w:rFonts w:hint="eastAsia"/>
        </w:rPr>
        <w:t>(4)2人次的数据库认证培训。</w:t>
      </w:r>
    </w:p>
    <w:p>
      <w:pPr>
        <w:pStyle w:val="3"/>
        <w:rPr>
          <w:rFonts w:hint="eastAsia"/>
        </w:rPr>
      </w:pPr>
      <w:bookmarkStart w:id="30" w:name="_Toc63785508"/>
      <w:r>
        <w:rPr>
          <w:rFonts w:hint="eastAsia"/>
        </w:rPr>
        <w:t>验收要求</w:t>
      </w:r>
      <w:bookmarkEnd w:id="30"/>
    </w:p>
    <w:p>
      <w:pPr>
        <w:rPr>
          <w:rFonts w:hint="eastAsia"/>
          <w:szCs w:val="21"/>
        </w:rPr>
      </w:pPr>
      <w:r>
        <w:rPr>
          <w:rFonts w:hint="eastAsia"/>
          <w:szCs w:val="21"/>
        </w:rPr>
        <w:t>本项目按下述方式开展验收。</w:t>
      </w:r>
    </w:p>
    <w:p>
      <w:pPr>
        <w:rPr>
          <w:rFonts w:hint="eastAsia"/>
          <w:szCs w:val="21"/>
        </w:rPr>
      </w:pPr>
      <w:r>
        <w:rPr>
          <w:rFonts w:hint="eastAsia"/>
          <w:szCs w:val="21"/>
        </w:rPr>
        <w:t>（</w:t>
      </w:r>
      <w:r>
        <w:rPr>
          <w:szCs w:val="21"/>
        </w:rPr>
        <w:t>1）验收分初验和终验。</w:t>
      </w:r>
    </w:p>
    <w:p>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rFonts w:hint="eastAsia"/>
          <w:szCs w:val="21"/>
        </w:rPr>
      </w:pPr>
      <w:r>
        <w:rPr>
          <w:rFonts w:hint="eastAsia"/>
          <w:szCs w:val="21"/>
        </w:rPr>
        <w:t>（</w:t>
      </w:r>
      <w:r>
        <w:rPr>
          <w:szCs w:val="21"/>
        </w:rPr>
        <w:t>4）自初验通过之日起，招标方享有供应商免费提供的</w:t>
      </w:r>
      <w:r>
        <w:rPr>
          <w:rFonts w:hint="eastAsia"/>
          <w:szCs w:val="21"/>
        </w:rPr>
        <w:t>30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x个工作日内发起组织专家验收会。</w:t>
      </w:r>
    </w:p>
    <w:p>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pPr>
        <w:pStyle w:val="3"/>
        <w:rPr>
          <w:rFonts w:hint="eastAsia"/>
        </w:rPr>
      </w:pPr>
      <w:bookmarkStart w:id="31" w:name="_Toc63785509"/>
      <w:r>
        <w:rPr>
          <w:rFonts w:hint="eastAsia"/>
        </w:rPr>
        <w:t>进度要求</w:t>
      </w:r>
      <w:bookmarkEnd w:id="31"/>
    </w:p>
    <w:p>
      <w:pPr>
        <w:rPr>
          <w:rFonts w:hint="eastAsia"/>
        </w:rPr>
      </w:pPr>
      <w:r>
        <w:rPr>
          <w:rFonts w:hint="eastAsia"/>
        </w:rPr>
        <w:t>供应商应根据建设内容，分阶段制定合理的时间进度，并且应根据招标方要求进行调整和细化。</w:t>
      </w:r>
    </w:p>
    <w:p>
      <w:pPr>
        <w:rPr>
          <w:rFonts w:hint="eastAsia"/>
        </w:rPr>
      </w:pPr>
      <w:r>
        <w:rPr>
          <w:rFonts w:hint="eastAsia"/>
        </w:rPr>
        <w:t>总建设周期为</w:t>
      </w:r>
      <w:r>
        <w:rPr>
          <w:rFonts w:hint="eastAsia"/>
          <w:lang w:eastAsia="zh-CN"/>
        </w:rPr>
        <w:t>自合同签订生效之日起到</w:t>
      </w:r>
      <w:r>
        <w:rPr>
          <w:rFonts w:hint="eastAsia"/>
          <w:lang w:val="en-US" w:eastAsia="zh-CN"/>
        </w:rPr>
        <w:t>2026年11月30日</w:t>
      </w:r>
      <w:r>
        <w:rPr>
          <w:rFonts w:hint="eastAsia"/>
        </w:rPr>
        <w:t>，分为4个阶段。</w:t>
      </w:r>
    </w:p>
    <w:p>
      <w:pPr>
        <w:pStyle w:val="61"/>
        <w:numPr>
          <w:ilvl w:val="0"/>
          <w:numId w:val="5"/>
        </w:numPr>
        <w:ind w:firstLineChars="0"/>
        <w:rPr>
          <w:sz w:val="24"/>
        </w:rPr>
      </w:pPr>
      <w:r>
        <w:rPr>
          <w:rFonts w:hint="eastAsia"/>
          <w:sz w:val="24"/>
        </w:rPr>
        <w:t>项目规划设计阶段（2个月）</w:t>
      </w:r>
    </w:p>
    <w:p>
      <w:pPr>
        <w:rPr>
          <w:rFonts w:hint="eastAsia"/>
        </w:rPr>
      </w:pPr>
      <w:r>
        <w:rPr>
          <w:rFonts w:hint="eastAsia"/>
        </w:rPr>
        <w:t>本阶段主要完成项目有关业务、系统和需求的调研，形成总体设计方案，完成系统架构、基础资源、功能等详细设计，并提供主体建设内容的部分系统原型。</w:t>
      </w:r>
      <w:bookmarkStart w:id="36" w:name="_GoBack"/>
      <w:bookmarkEnd w:id="36"/>
    </w:p>
    <w:p>
      <w:pPr>
        <w:pStyle w:val="61"/>
        <w:numPr>
          <w:ilvl w:val="0"/>
          <w:numId w:val="5"/>
        </w:numPr>
        <w:ind w:firstLineChars="0"/>
        <w:rPr>
          <w:sz w:val="24"/>
        </w:rPr>
      </w:pPr>
      <w:r>
        <w:rPr>
          <w:rFonts w:hint="eastAsia"/>
          <w:sz w:val="24"/>
        </w:rPr>
        <w:t>项目开发测试阶段（3个月）</w:t>
      </w:r>
    </w:p>
    <w:p>
      <w:pPr>
        <w:rPr>
          <w:rFonts w:hint="eastAsia"/>
        </w:rPr>
      </w:pPr>
      <w:r>
        <w:rPr>
          <w:rFonts w:hint="eastAsia"/>
        </w:rPr>
        <w:t>本阶段主要进行数据归集整合、资源申请和各模块的开发与测试工作，完成系统联调与部署，发布beta测试版本。</w:t>
      </w:r>
    </w:p>
    <w:p>
      <w:pPr>
        <w:pStyle w:val="61"/>
        <w:numPr>
          <w:ilvl w:val="0"/>
          <w:numId w:val="5"/>
        </w:numPr>
        <w:ind w:firstLineChars="0"/>
        <w:rPr>
          <w:sz w:val="24"/>
        </w:rPr>
      </w:pPr>
      <w:r>
        <w:rPr>
          <w:rFonts w:hint="eastAsia"/>
          <w:sz w:val="24"/>
        </w:rPr>
        <w:t>项目试运行和迭代开发阶段（1个月）</w:t>
      </w:r>
    </w:p>
    <w:p>
      <w:pPr>
        <w:rPr>
          <w:rFonts w:hint="eastAsia"/>
        </w:rPr>
      </w:pPr>
      <w:r>
        <w:rPr>
          <w:rFonts w:hint="eastAsia"/>
        </w:rPr>
        <w:t>本阶段主要进行项目功能试运行，修正各模块联调中出现的问题，完成系统完善和功能迭代，直至发布正式运行版本。</w:t>
      </w:r>
    </w:p>
    <w:p>
      <w:pPr>
        <w:pStyle w:val="61"/>
        <w:numPr>
          <w:ilvl w:val="0"/>
          <w:numId w:val="5"/>
        </w:numPr>
        <w:ind w:firstLineChars="0"/>
        <w:rPr>
          <w:sz w:val="24"/>
        </w:rPr>
      </w:pPr>
      <w:r>
        <w:rPr>
          <w:rFonts w:hint="eastAsia"/>
          <w:sz w:val="24"/>
        </w:rPr>
        <w:t>项目验收阶段（2026年11月30日前）</w:t>
      </w:r>
    </w:p>
    <w:p>
      <w:pPr>
        <w:rPr>
          <w:rFonts w:hint="eastAsia"/>
        </w:rPr>
      </w:pPr>
      <w:r>
        <w:rPr>
          <w:rFonts w:hint="eastAsia"/>
        </w:rPr>
        <w:t>本阶段主要实施项目验收并启动项目的正式运行，根据项目运行情况和验收要求开展项目测评、功能优化和绩效评价等工作。</w:t>
      </w:r>
    </w:p>
    <w:p>
      <w:pPr>
        <w:pStyle w:val="3"/>
        <w:rPr>
          <w:rFonts w:hint="eastAsia"/>
        </w:rPr>
      </w:pPr>
      <w:bookmarkStart w:id="32" w:name="_Toc63785510"/>
      <w:r>
        <w:rPr>
          <w:rFonts w:hint="eastAsia"/>
        </w:rPr>
        <w:t>项目团队及驻场人员要求</w:t>
      </w:r>
      <w:bookmarkEnd w:id="32"/>
    </w:p>
    <w:p>
      <w:pPr>
        <w:rPr>
          <w:rFonts w:hint="eastAsia"/>
        </w:rPr>
      </w:pPr>
      <w:r>
        <w:t>1）</w:t>
      </w:r>
      <w:r>
        <w:rPr>
          <w:rFonts w:hint="eastAsia"/>
        </w:rPr>
        <w:t>供应商</w:t>
      </w:r>
      <w:r>
        <w:t>须具有稳定的在职技术保障力量，能够提供及时的技术支援或服务，应针对本项目提供不少于</w:t>
      </w:r>
      <w:r>
        <w:rPr>
          <w:rFonts w:hint="eastAsia"/>
        </w:rPr>
        <w:t>8</w:t>
      </w:r>
      <w:r>
        <w:t>人的项目服务团队（包括项目经理、产品经理、技术负责人、研发等），</w:t>
      </w:r>
      <w:r>
        <w:rPr>
          <w:rFonts w:hint="eastAsia"/>
        </w:rPr>
        <w:t>供应商</w:t>
      </w:r>
      <w: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232"/>
        <w:gridCol w:w="828"/>
        <w:gridCol w:w="3112"/>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b/>
              </w:rPr>
            </w:pPr>
            <w:r>
              <w:rPr>
                <w:rFonts w:hint="eastAsia"/>
                <w:b/>
              </w:rPr>
              <w:t>角色</w:t>
            </w:r>
          </w:p>
        </w:tc>
        <w:tc>
          <w:tcPr>
            <w:tcW w:w="2232" w:type="dxa"/>
            <w:noWrap/>
            <w:vAlign w:val="center"/>
          </w:tcPr>
          <w:p>
            <w:pPr>
              <w:widowControl/>
              <w:spacing w:line="240" w:lineRule="auto"/>
              <w:ind w:firstLine="0" w:firstLineChars="0"/>
              <w:jc w:val="center"/>
              <w:rPr>
                <w:rFonts w:hint="eastAsia"/>
                <w:b/>
              </w:rPr>
            </w:pPr>
            <w:r>
              <w:rPr>
                <w:rFonts w:hint="eastAsia"/>
                <w:b/>
              </w:rPr>
              <w:t>主要职责</w:t>
            </w:r>
          </w:p>
        </w:tc>
        <w:tc>
          <w:tcPr>
            <w:tcW w:w="828" w:type="dxa"/>
            <w:noWrap/>
            <w:vAlign w:val="center"/>
          </w:tcPr>
          <w:p>
            <w:pPr>
              <w:widowControl/>
              <w:spacing w:line="240" w:lineRule="auto"/>
              <w:ind w:firstLine="0" w:firstLineChars="0"/>
              <w:jc w:val="center"/>
              <w:rPr>
                <w:rFonts w:hint="eastAsia"/>
                <w:b/>
              </w:rPr>
            </w:pPr>
            <w:r>
              <w:rPr>
                <w:rFonts w:hint="eastAsia"/>
                <w:b/>
              </w:rPr>
              <w:t>人员数量</w:t>
            </w:r>
          </w:p>
        </w:tc>
        <w:tc>
          <w:tcPr>
            <w:tcW w:w="3112" w:type="dxa"/>
            <w:vAlign w:val="center"/>
          </w:tcPr>
          <w:p>
            <w:pPr>
              <w:widowControl/>
              <w:spacing w:line="240" w:lineRule="auto"/>
              <w:ind w:firstLine="0" w:firstLineChars="0"/>
              <w:jc w:val="center"/>
              <w:rPr>
                <w:rFonts w:hint="eastAsia"/>
                <w:b/>
              </w:rPr>
            </w:pPr>
            <w:r>
              <w:rPr>
                <w:rFonts w:hint="eastAsia"/>
                <w:b/>
              </w:rPr>
              <w:t>人员要求</w:t>
            </w:r>
          </w:p>
        </w:tc>
        <w:tc>
          <w:tcPr>
            <w:tcW w:w="1180" w:type="dxa"/>
            <w:noWrap/>
            <w:vAlign w:val="center"/>
          </w:tcPr>
          <w:p>
            <w:pPr>
              <w:widowControl/>
              <w:spacing w:line="240" w:lineRule="auto"/>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rPr>
            </w:pPr>
            <w:r>
              <w:rPr>
                <w:rFonts w:hint="eastAsia"/>
              </w:rPr>
              <w:t>项目经理</w:t>
            </w:r>
          </w:p>
        </w:tc>
        <w:tc>
          <w:tcPr>
            <w:tcW w:w="2232" w:type="dxa"/>
            <w:vAlign w:val="center"/>
          </w:tcPr>
          <w:p>
            <w:pPr>
              <w:widowControl/>
              <w:spacing w:line="240" w:lineRule="auto"/>
              <w:ind w:firstLine="0" w:firstLineChars="0"/>
              <w:jc w:val="center"/>
              <w:rPr>
                <w:rFonts w:hint="eastAsia"/>
              </w:rPr>
            </w:pPr>
            <w:r>
              <w:rPr>
                <w:rFonts w:hint="eastAsia"/>
              </w:rPr>
              <w:t>负责项目计划审批、资源统筹</w:t>
            </w:r>
          </w:p>
        </w:tc>
        <w:tc>
          <w:tcPr>
            <w:tcW w:w="828" w:type="dxa"/>
            <w:noWrap/>
            <w:vAlign w:val="center"/>
          </w:tcPr>
          <w:p>
            <w:pPr>
              <w:widowControl/>
              <w:spacing w:line="240" w:lineRule="auto"/>
              <w:ind w:firstLine="0" w:firstLineChars="0"/>
              <w:jc w:val="center"/>
              <w:rPr>
                <w:rFonts w:hint="eastAsia"/>
              </w:rPr>
            </w:pPr>
            <w:r>
              <w:rPr>
                <w:rFonts w:hint="eastAsia"/>
              </w:rPr>
              <w:t>1人</w:t>
            </w:r>
          </w:p>
        </w:tc>
        <w:tc>
          <w:tcPr>
            <w:tcW w:w="3112" w:type="dxa"/>
            <w:vAlign w:val="center"/>
          </w:tcPr>
          <w:p>
            <w:pPr>
              <w:widowControl/>
              <w:numPr>
                <w:ilvl w:val="0"/>
                <w:numId w:val="6"/>
              </w:numPr>
              <w:spacing w:line="240" w:lineRule="auto"/>
              <w:ind w:firstLine="0" w:firstLineChars="0"/>
              <w:rPr>
                <w:rFonts w:hint="eastAsia"/>
              </w:rPr>
            </w:pPr>
            <w:r>
              <w:rPr>
                <w:rFonts w:hint="eastAsia"/>
              </w:rPr>
              <w:t>本科</w:t>
            </w:r>
            <w:r>
              <w:rPr>
                <w:rFonts w:hint="eastAsia"/>
                <w:lang w:eastAsia="zh-CN"/>
              </w:rPr>
              <w:t>或</w:t>
            </w:r>
            <w:r>
              <w:rPr>
                <w:rFonts w:hint="eastAsia"/>
              </w:rPr>
              <w:t>以上学历；</w:t>
            </w:r>
          </w:p>
          <w:p>
            <w:pPr>
              <w:widowControl/>
              <w:numPr>
                <w:ilvl w:val="0"/>
                <w:numId w:val="6"/>
              </w:numPr>
              <w:spacing w:line="240" w:lineRule="auto"/>
              <w:ind w:firstLine="0" w:firstLineChars="0"/>
              <w:rPr>
                <w:rFonts w:hint="eastAsia"/>
              </w:rPr>
            </w:pPr>
            <w:r>
              <w:rPr>
                <w:rFonts w:hint="eastAsia"/>
              </w:rPr>
              <w:t>具备计算机技术与软件专业技术资格(水平)信息系统项目管理师证书或计算机类高级职称；</w:t>
            </w:r>
          </w:p>
          <w:p>
            <w:pPr>
              <w:widowControl/>
              <w:numPr>
                <w:ilvl w:val="0"/>
                <w:numId w:val="6"/>
              </w:numPr>
              <w:spacing w:line="240" w:lineRule="auto"/>
              <w:ind w:firstLine="0" w:firstLineChars="0"/>
              <w:rPr>
                <w:rFonts w:hint="eastAsia"/>
              </w:rPr>
            </w:pPr>
            <w:r>
              <w:rPr>
                <w:rFonts w:hint="eastAsia"/>
              </w:rPr>
              <w:t>有5年以上项目管理经验，3年以上政务类信息化项目经验</w:t>
            </w:r>
          </w:p>
        </w:tc>
        <w:tc>
          <w:tcPr>
            <w:tcW w:w="1180"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rPr>
            </w:pPr>
            <w:r>
              <w:rPr>
                <w:rFonts w:hint="eastAsia"/>
              </w:rPr>
              <w:t>产品经理</w:t>
            </w:r>
          </w:p>
        </w:tc>
        <w:tc>
          <w:tcPr>
            <w:tcW w:w="2232" w:type="dxa"/>
            <w:vAlign w:val="center"/>
          </w:tcPr>
          <w:p>
            <w:pPr>
              <w:widowControl/>
              <w:spacing w:line="240" w:lineRule="auto"/>
              <w:ind w:firstLine="0" w:firstLineChars="0"/>
              <w:jc w:val="center"/>
              <w:rPr>
                <w:rFonts w:hint="eastAsia"/>
              </w:rPr>
            </w:pPr>
            <w:r>
              <w:rPr>
                <w:rFonts w:hint="eastAsia"/>
              </w:rPr>
              <w:t>负责项目计划制定、执行跟踪；主导项目需求评估、设计</w:t>
            </w:r>
          </w:p>
        </w:tc>
        <w:tc>
          <w:tcPr>
            <w:tcW w:w="828" w:type="dxa"/>
            <w:noWrap/>
            <w:vAlign w:val="center"/>
          </w:tcPr>
          <w:p>
            <w:pPr>
              <w:widowControl/>
              <w:spacing w:line="240" w:lineRule="auto"/>
              <w:ind w:firstLine="0" w:firstLineChars="0"/>
              <w:jc w:val="center"/>
              <w:rPr>
                <w:rFonts w:hint="eastAsia"/>
              </w:rPr>
            </w:pPr>
            <w:r>
              <w:rPr>
                <w:rFonts w:hint="eastAsia"/>
              </w:rPr>
              <w:t>1人</w:t>
            </w:r>
          </w:p>
        </w:tc>
        <w:tc>
          <w:tcPr>
            <w:tcW w:w="3112" w:type="dxa"/>
            <w:vAlign w:val="center"/>
          </w:tcPr>
          <w:p>
            <w:pPr>
              <w:widowControl/>
              <w:spacing w:line="240" w:lineRule="auto"/>
              <w:ind w:firstLine="0" w:firstLineChars="0"/>
              <w:jc w:val="center"/>
              <w:rPr>
                <w:rFonts w:hint="eastAsia"/>
              </w:rPr>
            </w:pPr>
            <w:r>
              <w:rPr>
                <w:rFonts w:hint="eastAsia"/>
              </w:rPr>
              <w:t>本科及以上学历</w:t>
            </w:r>
          </w:p>
        </w:tc>
        <w:tc>
          <w:tcPr>
            <w:tcW w:w="1180"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rPr>
            </w:pPr>
            <w:r>
              <w:rPr>
                <w:rFonts w:hint="eastAsia"/>
              </w:rPr>
              <w:t>研发</w:t>
            </w:r>
          </w:p>
        </w:tc>
        <w:tc>
          <w:tcPr>
            <w:tcW w:w="2232" w:type="dxa"/>
            <w:vAlign w:val="center"/>
          </w:tcPr>
          <w:p>
            <w:pPr>
              <w:widowControl/>
              <w:spacing w:line="240" w:lineRule="auto"/>
              <w:ind w:firstLine="0" w:firstLineChars="0"/>
              <w:jc w:val="center"/>
              <w:rPr>
                <w:rFonts w:hint="eastAsia"/>
              </w:rPr>
            </w:pPr>
            <w:r>
              <w:rPr>
                <w:rFonts w:hint="eastAsia"/>
              </w:rPr>
              <w:t>负责项目具体开发与实施</w:t>
            </w:r>
          </w:p>
        </w:tc>
        <w:tc>
          <w:tcPr>
            <w:tcW w:w="828" w:type="dxa"/>
            <w:noWrap/>
            <w:vAlign w:val="center"/>
          </w:tcPr>
          <w:p>
            <w:pPr>
              <w:widowControl/>
              <w:spacing w:line="240" w:lineRule="auto"/>
              <w:ind w:firstLine="0" w:firstLineChars="0"/>
              <w:jc w:val="center"/>
              <w:rPr>
                <w:rFonts w:hint="eastAsia"/>
              </w:rPr>
            </w:pPr>
            <w:r>
              <w:rPr>
                <w:rFonts w:hint="eastAsia"/>
              </w:rPr>
              <w:t>2人</w:t>
            </w:r>
          </w:p>
        </w:tc>
        <w:tc>
          <w:tcPr>
            <w:tcW w:w="3112" w:type="dxa"/>
            <w:vAlign w:val="center"/>
          </w:tcPr>
          <w:p>
            <w:pPr>
              <w:widowControl/>
              <w:spacing w:line="240" w:lineRule="auto"/>
              <w:ind w:firstLine="0" w:firstLineChars="0"/>
              <w:jc w:val="center"/>
              <w:rPr>
                <w:rFonts w:hint="eastAsia"/>
                <w:highlight w:val="yellow"/>
              </w:rPr>
            </w:pPr>
            <w:r>
              <w:rPr>
                <w:rFonts w:hint="eastAsia"/>
              </w:rPr>
              <w:t>本科及以上学历</w:t>
            </w:r>
          </w:p>
        </w:tc>
        <w:tc>
          <w:tcPr>
            <w:tcW w:w="1180"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rPr>
            </w:pPr>
            <w:r>
              <w:rPr>
                <w:rFonts w:hint="eastAsia"/>
              </w:rPr>
              <w:t>研发</w:t>
            </w:r>
          </w:p>
        </w:tc>
        <w:tc>
          <w:tcPr>
            <w:tcW w:w="2232" w:type="dxa"/>
            <w:vAlign w:val="center"/>
          </w:tcPr>
          <w:p>
            <w:pPr>
              <w:widowControl/>
              <w:spacing w:line="240" w:lineRule="auto"/>
              <w:ind w:firstLine="0" w:firstLineChars="0"/>
              <w:jc w:val="center"/>
              <w:rPr>
                <w:rFonts w:hint="eastAsia"/>
              </w:rPr>
            </w:pPr>
            <w:r>
              <w:rPr>
                <w:rFonts w:hint="eastAsia"/>
              </w:rPr>
              <w:t>负责项目具体开发与实施</w:t>
            </w:r>
          </w:p>
        </w:tc>
        <w:tc>
          <w:tcPr>
            <w:tcW w:w="828" w:type="dxa"/>
            <w:noWrap/>
            <w:vAlign w:val="center"/>
          </w:tcPr>
          <w:p>
            <w:pPr>
              <w:widowControl/>
              <w:spacing w:line="240" w:lineRule="auto"/>
              <w:ind w:firstLine="0" w:firstLineChars="0"/>
              <w:jc w:val="center"/>
              <w:rPr>
                <w:rFonts w:hint="eastAsia"/>
              </w:rPr>
            </w:pPr>
            <w:r>
              <w:rPr>
                <w:rFonts w:hint="eastAsia"/>
              </w:rPr>
              <w:t>2人</w:t>
            </w:r>
          </w:p>
        </w:tc>
        <w:tc>
          <w:tcPr>
            <w:tcW w:w="3112" w:type="dxa"/>
            <w:vAlign w:val="center"/>
          </w:tcPr>
          <w:p>
            <w:pPr>
              <w:widowControl/>
              <w:spacing w:line="240" w:lineRule="auto"/>
              <w:ind w:firstLine="0" w:firstLineChars="0"/>
              <w:jc w:val="center"/>
              <w:rPr>
                <w:rFonts w:hint="eastAsia"/>
                <w:highlight w:val="yellow"/>
              </w:rPr>
            </w:pPr>
            <w:r>
              <w:rPr>
                <w:rFonts w:hint="eastAsia"/>
              </w:rPr>
              <w:t>本科及以上学历</w:t>
            </w:r>
          </w:p>
        </w:tc>
        <w:tc>
          <w:tcPr>
            <w:tcW w:w="1180" w:type="dxa"/>
            <w:noWrap/>
            <w:vAlign w:val="center"/>
          </w:tcPr>
          <w:p>
            <w:pPr>
              <w:widowControl/>
              <w:spacing w:line="240" w:lineRule="auto"/>
              <w:ind w:firstLine="0" w:firstLineChars="0"/>
              <w:jc w:val="cente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rPr>
            </w:pPr>
            <w:r>
              <w:rPr>
                <w:rFonts w:hint="eastAsia"/>
              </w:rPr>
              <w:t>测试</w:t>
            </w:r>
          </w:p>
        </w:tc>
        <w:tc>
          <w:tcPr>
            <w:tcW w:w="2232" w:type="dxa"/>
            <w:vAlign w:val="center"/>
          </w:tcPr>
          <w:p>
            <w:pPr>
              <w:widowControl/>
              <w:spacing w:line="240" w:lineRule="auto"/>
              <w:ind w:firstLine="0" w:firstLineChars="0"/>
              <w:jc w:val="center"/>
              <w:rPr>
                <w:rFonts w:hint="eastAsia"/>
              </w:rPr>
            </w:pPr>
            <w:r>
              <w:rPr>
                <w:rFonts w:hint="eastAsia"/>
              </w:rPr>
              <w:t>负责项目内部功能及性能测试</w:t>
            </w:r>
          </w:p>
        </w:tc>
        <w:tc>
          <w:tcPr>
            <w:tcW w:w="828" w:type="dxa"/>
            <w:noWrap/>
            <w:vAlign w:val="center"/>
          </w:tcPr>
          <w:p>
            <w:pPr>
              <w:widowControl/>
              <w:spacing w:line="240" w:lineRule="auto"/>
              <w:ind w:firstLine="0" w:firstLineChars="0"/>
              <w:jc w:val="center"/>
              <w:rPr>
                <w:rFonts w:hint="eastAsia"/>
              </w:rPr>
            </w:pPr>
            <w:r>
              <w:rPr>
                <w:rFonts w:hint="eastAsia"/>
              </w:rPr>
              <w:t>1人</w:t>
            </w:r>
          </w:p>
        </w:tc>
        <w:tc>
          <w:tcPr>
            <w:tcW w:w="3112" w:type="dxa"/>
            <w:vAlign w:val="center"/>
          </w:tcPr>
          <w:p>
            <w:pPr>
              <w:widowControl/>
              <w:spacing w:line="240" w:lineRule="auto"/>
              <w:ind w:firstLine="0" w:firstLineChars="0"/>
              <w:jc w:val="center"/>
              <w:rPr>
                <w:rFonts w:hint="eastAsia"/>
                <w:highlight w:val="yellow"/>
              </w:rPr>
            </w:pPr>
            <w:r>
              <w:rPr>
                <w:rFonts w:hint="eastAsia"/>
              </w:rPr>
              <w:t>本科及以上学历</w:t>
            </w:r>
          </w:p>
        </w:tc>
        <w:tc>
          <w:tcPr>
            <w:tcW w:w="1180" w:type="dxa"/>
            <w:noWrap/>
            <w:vAlign w:val="center"/>
          </w:tcPr>
          <w:p>
            <w:pPr>
              <w:widowControl/>
              <w:spacing w:line="240" w:lineRule="auto"/>
              <w:ind w:firstLine="0" w:firstLineChars="0"/>
              <w:jc w:val="cente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rPr>
            </w:pPr>
            <w:r>
              <w:rPr>
                <w:rFonts w:hint="eastAsia"/>
              </w:rPr>
              <w:t>实施</w:t>
            </w:r>
          </w:p>
        </w:tc>
        <w:tc>
          <w:tcPr>
            <w:tcW w:w="2232" w:type="dxa"/>
            <w:noWrap/>
            <w:vAlign w:val="center"/>
          </w:tcPr>
          <w:p>
            <w:pPr>
              <w:widowControl/>
              <w:spacing w:line="240" w:lineRule="auto"/>
              <w:ind w:firstLine="0" w:firstLineChars="0"/>
              <w:jc w:val="center"/>
              <w:rPr>
                <w:rFonts w:hint="eastAsia"/>
              </w:rPr>
            </w:pPr>
            <w:r>
              <w:rPr>
                <w:rFonts w:hint="eastAsia"/>
              </w:rPr>
              <w:t>负责系统部署和数据库管理</w:t>
            </w:r>
          </w:p>
        </w:tc>
        <w:tc>
          <w:tcPr>
            <w:tcW w:w="828" w:type="dxa"/>
            <w:noWrap/>
            <w:vAlign w:val="center"/>
          </w:tcPr>
          <w:p>
            <w:pPr>
              <w:widowControl/>
              <w:spacing w:line="240" w:lineRule="auto"/>
              <w:ind w:firstLine="0" w:firstLineChars="0"/>
              <w:jc w:val="center"/>
              <w:rPr>
                <w:rFonts w:hint="eastAsia"/>
              </w:rPr>
            </w:pPr>
            <w:r>
              <w:rPr>
                <w:rFonts w:hint="eastAsia"/>
              </w:rPr>
              <w:t>1人</w:t>
            </w:r>
          </w:p>
        </w:tc>
        <w:tc>
          <w:tcPr>
            <w:tcW w:w="3112" w:type="dxa"/>
            <w:vAlign w:val="center"/>
          </w:tcPr>
          <w:p>
            <w:pPr>
              <w:widowControl/>
              <w:spacing w:line="240" w:lineRule="auto"/>
              <w:ind w:firstLine="0" w:firstLineChars="0"/>
              <w:jc w:val="center"/>
              <w:rPr>
                <w:rFonts w:hint="eastAsia"/>
                <w:highlight w:val="yellow"/>
              </w:rPr>
            </w:pPr>
            <w:r>
              <w:rPr>
                <w:rFonts w:hint="eastAsia"/>
              </w:rPr>
              <w:t>本科及以上学历</w:t>
            </w:r>
          </w:p>
        </w:tc>
        <w:tc>
          <w:tcPr>
            <w:tcW w:w="1180" w:type="dxa"/>
            <w:noWrap/>
            <w:vAlign w:val="center"/>
          </w:tcPr>
          <w:p>
            <w:pPr>
              <w:widowControl/>
              <w:spacing w:line="240" w:lineRule="auto"/>
              <w:ind w:firstLine="0" w:firstLineChars="0"/>
              <w:jc w:val="center"/>
              <w:rPr>
                <w:rFonts w:hint="eastAsia"/>
              </w:rPr>
            </w:pPr>
            <w:r>
              <w:rPr>
                <w:rFonts w:hint="eastAsia"/>
              </w:rPr>
              <w:t>驻场</w:t>
            </w:r>
          </w:p>
        </w:tc>
      </w:tr>
    </w:tbl>
    <w:p>
      <w:pPr>
        <w:rPr>
          <w:rFonts w:hint="eastAsia"/>
        </w:rPr>
      </w:pPr>
      <w:r>
        <w:t>2）</w:t>
      </w:r>
      <w:r>
        <w:rPr>
          <w:rFonts w:hint="eastAsia"/>
        </w:rPr>
        <w:t>供应商</w:t>
      </w:r>
      <w:r>
        <w:t>应针对本项目提供不少于</w:t>
      </w:r>
      <w:r>
        <w:rPr>
          <w:rFonts w:hint="eastAsia"/>
        </w:rPr>
        <w:t>3</w:t>
      </w:r>
      <w:r>
        <w:t>人的质保期间支撑团队；</w:t>
      </w:r>
      <w:r>
        <w:rPr>
          <w:rFonts w:hint="eastAsia"/>
        </w:rPr>
        <w:t>供应商</w:t>
      </w:r>
      <w:r>
        <w:t>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963"/>
        <w:gridCol w:w="1180"/>
        <w:gridCol w:w="2789"/>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b/>
              </w:rPr>
            </w:pPr>
            <w:r>
              <w:rPr>
                <w:rFonts w:hint="eastAsia"/>
                <w:b/>
              </w:rPr>
              <w:t>角色</w:t>
            </w:r>
          </w:p>
        </w:tc>
        <w:tc>
          <w:tcPr>
            <w:tcW w:w="0" w:type="auto"/>
            <w:noWrap/>
            <w:vAlign w:val="center"/>
          </w:tcPr>
          <w:p>
            <w:pPr>
              <w:widowControl/>
              <w:spacing w:line="240" w:lineRule="auto"/>
              <w:ind w:firstLine="0" w:firstLineChars="0"/>
              <w:jc w:val="center"/>
              <w:rPr>
                <w:rFonts w:hint="eastAsia"/>
                <w:b/>
              </w:rPr>
            </w:pPr>
            <w:r>
              <w:rPr>
                <w:rFonts w:hint="eastAsia"/>
                <w:b/>
              </w:rPr>
              <w:t>主要职责</w:t>
            </w:r>
          </w:p>
        </w:tc>
        <w:tc>
          <w:tcPr>
            <w:tcW w:w="1180" w:type="dxa"/>
            <w:noWrap/>
            <w:vAlign w:val="center"/>
          </w:tcPr>
          <w:p>
            <w:pPr>
              <w:widowControl/>
              <w:spacing w:line="240" w:lineRule="auto"/>
              <w:ind w:firstLine="0" w:firstLineChars="0"/>
              <w:jc w:val="center"/>
              <w:rPr>
                <w:rFonts w:hint="eastAsia"/>
                <w:b/>
              </w:rPr>
            </w:pPr>
            <w:r>
              <w:rPr>
                <w:rFonts w:hint="eastAsia"/>
                <w:b/>
              </w:rPr>
              <w:t>人员数量</w:t>
            </w:r>
          </w:p>
        </w:tc>
        <w:tc>
          <w:tcPr>
            <w:tcW w:w="2789" w:type="dxa"/>
            <w:vAlign w:val="center"/>
          </w:tcPr>
          <w:p>
            <w:pPr>
              <w:widowControl/>
              <w:spacing w:line="240" w:lineRule="auto"/>
              <w:ind w:firstLine="0" w:firstLineChars="0"/>
              <w:jc w:val="center"/>
              <w:rPr>
                <w:rFonts w:hint="eastAsia"/>
                <w:b/>
              </w:rPr>
            </w:pPr>
            <w:r>
              <w:rPr>
                <w:rFonts w:hint="eastAsia"/>
                <w:b/>
              </w:rPr>
              <w:t>人员要求</w:t>
            </w:r>
          </w:p>
        </w:tc>
        <w:tc>
          <w:tcPr>
            <w:tcW w:w="0" w:type="auto"/>
            <w:noWrap/>
            <w:vAlign w:val="center"/>
          </w:tcPr>
          <w:p>
            <w:pPr>
              <w:widowControl/>
              <w:spacing w:line="240" w:lineRule="auto"/>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rPr>
            </w:pPr>
            <w:r>
              <w:rPr>
                <w:rFonts w:hint="eastAsia"/>
              </w:rPr>
              <w:t>项目经理</w:t>
            </w:r>
          </w:p>
        </w:tc>
        <w:tc>
          <w:tcPr>
            <w:tcW w:w="0" w:type="auto"/>
            <w:vAlign w:val="center"/>
          </w:tcPr>
          <w:p>
            <w:pPr>
              <w:widowControl/>
              <w:spacing w:line="240" w:lineRule="auto"/>
              <w:ind w:firstLine="0" w:firstLineChars="0"/>
              <w:jc w:val="center"/>
              <w:rPr>
                <w:rFonts w:hint="eastAsia"/>
              </w:rPr>
            </w:pPr>
            <w:r>
              <w:rPr>
                <w:rFonts w:hint="eastAsia"/>
              </w:rPr>
              <w:t>负责系统功能优化及故障诊断</w:t>
            </w:r>
          </w:p>
        </w:tc>
        <w:tc>
          <w:tcPr>
            <w:tcW w:w="1180" w:type="dxa"/>
            <w:noWrap/>
            <w:vAlign w:val="center"/>
          </w:tcPr>
          <w:p>
            <w:pPr>
              <w:widowControl/>
              <w:spacing w:line="240" w:lineRule="auto"/>
              <w:ind w:firstLine="0" w:firstLineChars="0"/>
              <w:jc w:val="center"/>
              <w:rPr>
                <w:rFonts w:hint="eastAsia"/>
              </w:rPr>
            </w:pPr>
            <w:r>
              <w:rPr>
                <w:rFonts w:hint="eastAsia"/>
              </w:rPr>
              <w:t>1人</w:t>
            </w:r>
          </w:p>
        </w:tc>
        <w:tc>
          <w:tcPr>
            <w:tcW w:w="2789" w:type="dxa"/>
            <w:vAlign w:val="center"/>
          </w:tcPr>
          <w:p>
            <w:pPr>
              <w:widowControl/>
              <w:numPr>
                <w:ilvl w:val="0"/>
                <w:numId w:val="7"/>
              </w:numPr>
              <w:spacing w:line="240" w:lineRule="auto"/>
              <w:ind w:firstLine="0" w:firstLineChars="0"/>
              <w:jc w:val="left"/>
              <w:rPr>
                <w:rFonts w:hint="eastAsia"/>
              </w:rPr>
            </w:pPr>
            <w:r>
              <w:rPr>
                <w:rFonts w:hint="eastAsia"/>
              </w:rPr>
              <w:t>本科</w:t>
            </w:r>
            <w:r>
              <w:rPr>
                <w:rFonts w:hint="eastAsia"/>
                <w:lang w:eastAsia="zh-CN"/>
              </w:rPr>
              <w:t>或</w:t>
            </w:r>
            <w:r>
              <w:rPr>
                <w:rFonts w:hint="eastAsia"/>
              </w:rPr>
              <w:t>以上学历；</w:t>
            </w:r>
          </w:p>
          <w:p>
            <w:pPr>
              <w:widowControl/>
              <w:numPr>
                <w:ilvl w:val="0"/>
                <w:numId w:val="7"/>
              </w:numPr>
              <w:spacing w:line="240" w:lineRule="auto"/>
              <w:ind w:firstLine="0" w:firstLineChars="0"/>
              <w:jc w:val="left"/>
              <w:rPr>
                <w:rFonts w:hint="eastAsia"/>
              </w:rPr>
            </w:pPr>
            <w:r>
              <w:rPr>
                <w:rFonts w:hint="eastAsia"/>
              </w:rPr>
              <w:t>具备计算机技术与软件专业技术资格(水平)信息系统项目管理师证书或计算机类高级职称；</w:t>
            </w:r>
          </w:p>
        </w:tc>
        <w:tc>
          <w:tcPr>
            <w:tcW w:w="0" w:type="auto"/>
            <w:noWrap/>
            <w:vAlign w:val="center"/>
          </w:tcPr>
          <w:p>
            <w:pPr>
              <w:widowControl/>
              <w:spacing w:line="240" w:lineRule="auto"/>
              <w:ind w:firstLine="0" w:firstLineChars="0"/>
              <w:jc w:val="center"/>
              <w:rPr>
                <w:rFonts w:hint="eastAsia"/>
              </w:rPr>
            </w:pPr>
            <w:r>
              <w:rPr>
                <w:rFonts w:hint="eastAsia"/>
              </w:rPr>
              <w:t xml:space="preserve">驻场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rPr>
            </w:pPr>
            <w:r>
              <w:rPr>
                <w:rFonts w:hint="eastAsia"/>
              </w:rPr>
              <w:t>技术工程师</w:t>
            </w:r>
          </w:p>
        </w:tc>
        <w:tc>
          <w:tcPr>
            <w:tcW w:w="0" w:type="auto"/>
            <w:vAlign w:val="center"/>
          </w:tcPr>
          <w:p>
            <w:pPr>
              <w:widowControl/>
              <w:spacing w:line="240" w:lineRule="auto"/>
              <w:ind w:firstLine="0" w:firstLineChars="0"/>
              <w:jc w:val="center"/>
              <w:rPr>
                <w:rFonts w:hint="eastAsia"/>
              </w:rPr>
            </w:pPr>
            <w:r>
              <w:rPr>
                <w:rFonts w:hint="eastAsia"/>
              </w:rPr>
              <w:t>负责项目运行维护</w:t>
            </w:r>
          </w:p>
        </w:tc>
        <w:tc>
          <w:tcPr>
            <w:tcW w:w="1180" w:type="dxa"/>
            <w:noWrap/>
            <w:vAlign w:val="center"/>
          </w:tcPr>
          <w:p>
            <w:pPr>
              <w:widowControl/>
              <w:spacing w:line="240" w:lineRule="auto"/>
              <w:ind w:firstLine="0" w:firstLineChars="0"/>
              <w:jc w:val="center"/>
              <w:rPr>
                <w:rFonts w:hint="eastAsia"/>
              </w:rPr>
            </w:pPr>
            <w:r>
              <w:rPr>
                <w:rFonts w:hint="eastAsia"/>
              </w:rPr>
              <w:t>2人</w:t>
            </w:r>
          </w:p>
        </w:tc>
        <w:tc>
          <w:tcPr>
            <w:tcW w:w="2789" w:type="dxa"/>
            <w:vAlign w:val="center"/>
          </w:tcPr>
          <w:p>
            <w:pPr>
              <w:widowControl/>
              <w:spacing w:line="240" w:lineRule="auto"/>
              <w:ind w:firstLine="0" w:firstLineChars="0"/>
              <w:jc w:val="center"/>
              <w:rPr>
                <w:rFonts w:hint="eastAsia"/>
              </w:rPr>
            </w:pPr>
            <w:r>
              <w:rPr>
                <w:rFonts w:hint="eastAsia"/>
              </w:rPr>
              <w:t>本科及以上学历</w:t>
            </w:r>
          </w:p>
        </w:tc>
        <w:tc>
          <w:tcPr>
            <w:tcW w:w="0" w:type="auto"/>
            <w:noWrap/>
            <w:vAlign w:val="center"/>
          </w:tcPr>
          <w:p>
            <w:pPr>
              <w:widowControl/>
              <w:spacing w:line="240" w:lineRule="auto"/>
              <w:ind w:firstLine="0" w:firstLineChars="0"/>
              <w:jc w:val="center"/>
              <w:rPr>
                <w:rFonts w:hint="eastAsia"/>
              </w:rPr>
            </w:pPr>
            <w:r>
              <w:rPr>
                <w:rFonts w:hint="eastAsia"/>
              </w:rPr>
              <w:t>驻场</w:t>
            </w:r>
          </w:p>
        </w:tc>
      </w:tr>
    </w:tbl>
    <w:p>
      <w:pPr>
        <w:pStyle w:val="3"/>
        <w:rPr>
          <w:rFonts w:hint="eastAsia"/>
        </w:rPr>
      </w:pPr>
      <w:bookmarkStart w:id="33" w:name="_Toc63785511"/>
      <w:r>
        <w:t>等级保护要求</w:t>
      </w:r>
      <w:bookmarkEnd w:id="33"/>
    </w:p>
    <w:p>
      <w:pPr>
        <w:rPr>
          <w:rFonts w:hint="eastAsia"/>
        </w:rPr>
      </w:pPr>
      <w:r>
        <w:t>本项目等级保护要求：</w:t>
      </w:r>
      <w:r>
        <w:rPr>
          <w:rFonts w:hint="eastAsia"/>
        </w:rPr>
        <w:t>参照等保三级要求建设。</w:t>
      </w:r>
    </w:p>
    <w:p>
      <w:pPr>
        <w:pStyle w:val="3"/>
        <w:rPr>
          <w:rFonts w:hint="eastAsia"/>
        </w:rPr>
      </w:pPr>
      <w:r>
        <w:rPr>
          <w:rFonts w:hint="eastAsia"/>
        </w:rPr>
        <w:t>商业密码应用需求</w:t>
      </w:r>
    </w:p>
    <w:p>
      <w:pPr>
        <w:rPr>
          <w:rFonts w:hint="eastAsia"/>
        </w:rPr>
      </w:pPr>
      <w:r>
        <w:rPr>
          <w:rFonts w:hint="eastAsia"/>
        </w:rPr>
        <w:t>供应商应当在系统安设中根据密码应用要求，定制用户身份认证机制、对重要数据传输进行加密、记录用户登录访问日志、对涉及个人敏感需要引入数据加解密模块。</w:t>
      </w:r>
    </w:p>
    <w:p>
      <w:pPr>
        <w:rPr>
          <w:rFonts w:hint="eastAsia"/>
        </w:rPr>
      </w:pPr>
      <w:r>
        <w:rPr>
          <w:rFonts w:hint="eastAsia"/>
        </w:rPr>
        <w:t>依据GB/T39786—2021《信息安全技术信息系统密码应用基本要求》，结合本系统风险控制需求分析结果，本系统的主要密码应用需求包括如下：</w:t>
      </w:r>
    </w:p>
    <w:tbl>
      <w:tblPr>
        <w:tblStyle w:val="35"/>
        <w:tblW w:w="8560" w:type="dxa"/>
        <w:tblInd w:w="113" w:type="dxa"/>
        <w:tblLayout w:type="autofit"/>
        <w:tblCellMar>
          <w:top w:w="0" w:type="dxa"/>
          <w:left w:w="108" w:type="dxa"/>
          <w:bottom w:w="0" w:type="dxa"/>
          <w:right w:w="108" w:type="dxa"/>
        </w:tblCellMar>
      </w:tblPr>
      <w:tblGrid>
        <w:gridCol w:w="820"/>
        <w:gridCol w:w="2160"/>
        <w:gridCol w:w="5580"/>
      </w:tblGrid>
      <w:tr>
        <w:tblPrEx>
          <w:tblCellMar>
            <w:top w:w="0" w:type="dxa"/>
            <w:left w:w="108" w:type="dxa"/>
            <w:bottom w:w="0" w:type="dxa"/>
            <w:right w:w="108" w:type="dxa"/>
          </w:tblCellMar>
        </w:tblPrEx>
        <w:trPr>
          <w:trHeight w:val="552" w:hRule="atLeast"/>
        </w:trPr>
        <w:tc>
          <w:tcPr>
            <w:tcW w:w="820"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序号</w:t>
            </w:r>
          </w:p>
        </w:tc>
        <w:tc>
          <w:tcPr>
            <w:tcW w:w="2160" w:type="dxa"/>
            <w:tcBorders>
              <w:top w:val="single" w:color="000000" w:sz="4" w:space="0"/>
              <w:left w:val="nil"/>
              <w:bottom w:val="single" w:color="000000" w:sz="4" w:space="0"/>
              <w:right w:val="single" w:color="000000" w:sz="4" w:space="0"/>
            </w:tcBorders>
            <w:vAlign w:val="center"/>
          </w:tcPr>
          <w:p>
            <w:pPr>
              <w:rPr>
                <w:rFonts w:hint="eastAsia"/>
              </w:rPr>
            </w:pPr>
            <w:r>
              <w:rPr>
                <w:rFonts w:hint="eastAsia"/>
              </w:rPr>
              <w:t>功能名称</w:t>
            </w:r>
          </w:p>
        </w:tc>
        <w:tc>
          <w:tcPr>
            <w:tcW w:w="5580" w:type="dxa"/>
            <w:tcBorders>
              <w:top w:val="single" w:color="000000" w:sz="4" w:space="0"/>
              <w:left w:val="nil"/>
              <w:bottom w:val="single" w:color="000000" w:sz="4" w:space="0"/>
              <w:right w:val="single" w:color="000000" w:sz="4" w:space="0"/>
            </w:tcBorders>
            <w:vAlign w:val="center"/>
          </w:tcPr>
          <w:p>
            <w:pPr>
              <w:rPr>
                <w:rFonts w:hint="eastAsia"/>
              </w:rPr>
            </w:pPr>
            <w:r>
              <w:rPr>
                <w:rFonts w:hint="eastAsia"/>
              </w:rPr>
              <w:t>功能描述</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1</w:t>
            </w:r>
          </w:p>
        </w:tc>
        <w:tc>
          <w:tcPr>
            <w:tcW w:w="216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用户身份认证机制模块</w:t>
            </w:r>
          </w:p>
        </w:tc>
        <w:tc>
          <w:tcPr>
            <w:tcW w:w="558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开发用户身份认证机制模块，调用云平台提供的安全认证网关服务接口，服务端部署站点证书，绑定应用用户数字证书和应用用户ID，实现对终端和服务端身份的鉴别。</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2</w:t>
            </w:r>
          </w:p>
        </w:tc>
        <w:tc>
          <w:tcPr>
            <w:tcW w:w="216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重要数据安全传输模块</w:t>
            </w:r>
          </w:p>
        </w:tc>
        <w:tc>
          <w:tcPr>
            <w:tcW w:w="558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开发重要数据安全传输模块，调用云平台提供的安全认证网关服务接口，实现应用系统通信数据的机密性和完整性保护。</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3</w:t>
            </w:r>
          </w:p>
        </w:tc>
        <w:tc>
          <w:tcPr>
            <w:tcW w:w="216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服务器虚拟机设备日志/访问控制信息完整性模块</w:t>
            </w:r>
          </w:p>
        </w:tc>
        <w:tc>
          <w:tcPr>
            <w:tcW w:w="558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开发服务器虚拟机设备日志/访问控制信息完整性模块，调用云平台提供的签名验签服务接口，实现应用服务器虚拟机、数据库服务器虚拟机等设备日志/访问控制信息的完整性保护。</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4</w:t>
            </w:r>
          </w:p>
        </w:tc>
        <w:tc>
          <w:tcPr>
            <w:tcW w:w="216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重要可执行程序签名验签模块</w:t>
            </w:r>
          </w:p>
        </w:tc>
        <w:tc>
          <w:tcPr>
            <w:tcW w:w="558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开发重要可执行程序签名验签模块，调用云平台提供的签名验签服务接口，实现重要可执行程序的完整性、来源真实性保护。</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5</w:t>
            </w:r>
          </w:p>
        </w:tc>
        <w:tc>
          <w:tcPr>
            <w:tcW w:w="216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用户访问控制信息签名验签模块</w:t>
            </w:r>
          </w:p>
        </w:tc>
        <w:tc>
          <w:tcPr>
            <w:tcW w:w="558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开发用户访问控制信息签名验签模块，调用云平台提供的签名验签服务接口，实现应用系统登录用户的访问控制列表完整性保护。</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6</w:t>
            </w:r>
          </w:p>
        </w:tc>
        <w:tc>
          <w:tcPr>
            <w:tcW w:w="216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应用系统重要数据签名验签模块</w:t>
            </w:r>
          </w:p>
        </w:tc>
        <w:tc>
          <w:tcPr>
            <w:tcW w:w="558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开发应用系统重要数据签名验签模块，调用云平台提供的签名验签服务接口，实现登录用户身份鉴别数据、电子公文数据、业务日志的存储完整性保护。</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ind w:firstLine="0" w:firstLineChars="0"/>
              <w:jc w:val="center"/>
              <w:rPr>
                <w:rFonts w:hint="eastAsia"/>
              </w:rPr>
            </w:pPr>
            <w:r>
              <w:rPr>
                <w:rFonts w:hint="eastAsia"/>
              </w:rPr>
              <w:t>7</w:t>
            </w:r>
          </w:p>
        </w:tc>
        <w:tc>
          <w:tcPr>
            <w:tcW w:w="216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应用系统重要加解密模块</w:t>
            </w:r>
          </w:p>
        </w:tc>
        <w:tc>
          <w:tcPr>
            <w:tcW w:w="5580" w:type="dxa"/>
            <w:tcBorders>
              <w:top w:val="single" w:color="000000" w:sz="4" w:space="0"/>
              <w:left w:val="nil"/>
              <w:bottom w:val="single" w:color="000000" w:sz="4" w:space="0"/>
              <w:right w:val="single" w:color="000000" w:sz="4" w:space="0"/>
            </w:tcBorders>
            <w:vAlign w:val="center"/>
          </w:tcPr>
          <w:p>
            <w:pPr>
              <w:ind w:firstLine="0" w:firstLineChars="0"/>
              <w:jc w:val="left"/>
              <w:rPr>
                <w:rFonts w:hint="eastAsia"/>
              </w:rPr>
            </w:pPr>
            <w:r>
              <w:rPr>
                <w:rFonts w:hint="eastAsia"/>
              </w:rPr>
              <w:t>开发应用系统重要数据加解密模块，调用云平台提供的数据库加密服务接口，实现登录用户身份鉴别数据、重要业务数据等结构化数据的存储机密性保护。</w:t>
            </w:r>
          </w:p>
        </w:tc>
      </w:tr>
    </w:tbl>
    <w:p>
      <w:pPr>
        <w:pStyle w:val="3"/>
        <w:rPr>
          <w:rFonts w:hint="eastAsia"/>
        </w:rPr>
      </w:pPr>
      <w:bookmarkStart w:id="34" w:name="_Toc63785512"/>
      <w:r>
        <w:rPr>
          <w:rFonts w:hint="eastAsia"/>
        </w:rPr>
        <w:t>技术文件要求</w:t>
      </w:r>
    </w:p>
    <w:p>
      <w:pPr>
        <w:rPr>
          <w:rFonts w:hint="eastAsia"/>
        </w:rPr>
      </w:pPr>
      <w:r>
        <w:rPr>
          <w:rFonts w:hint="eastAsia"/>
        </w:rPr>
        <w:t>供应商提供的书面技术资料应能确保系统正常运行所需的管理、运营及维护有关的全套文件。技术文件应该全面、完整、详细。供应商提供的技术文件至少应包括：</w:t>
      </w:r>
    </w:p>
    <w:p>
      <w:pPr>
        <w:rPr>
          <w:rFonts w:hint="eastAsia"/>
        </w:rPr>
      </w:pPr>
      <w:r>
        <w:rPr>
          <w:rFonts w:hint="eastAsia"/>
        </w:rPr>
        <w:t>－</w:t>
      </w:r>
      <w:r>
        <w:t xml:space="preserve"> 系统说明文件； </w:t>
      </w:r>
    </w:p>
    <w:p>
      <w:pPr>
        <w:rPr>
          <w:rFonts w:hint="eastAsia"/>
        </w:rPr>
      </w:pPr>
      <w:r>
        <w:rPr>
          <w:rFonts w:hint="eastAsia"/>
        </w:rPr>
        <w:t>－</w:t>
      </w:r>
      <w:r>
        <w:t xml:space="preserve"> 技术手册(安装、测试、操作、维护、故障排除等)； </w:t>
      </w:r>
    </w:p>
    <w:p>
      <w:pPr>
        <w:rPr>
          <w:rFonts w:hint="eastAsia"/>
        </w:rPr>
      </w:pPr>
      <w:r>
        <w:rPr>
          <w:rFonts w:hint="eastAsia"/>
        </w:rPr>
        <w:t>－</w:t>
      </w:r>
      <w:r>
        <w:t xml:space="preserve"> 项目文档，应该包括：</w:t>
      </w:r>
    </w:p>
    <w:p>
      <w:pPr>
        <w:ind w:left="360"/>
        <w:rPr>
          <w:rFonts w:hint="eastAsia"/>
        </w:rPr>
      </w:pPr>
      <w:r>
        <w:t>(1)软件需求说明书</w:t>
      </w:r>
    </w:p>
    <w:p>
      <w:pPr>
        <w:ind w:left="360"/>
        <w:rPr>
          <w:rFonts w:hint="eastAsia"/>
        </w:rPr>
      </w:pPr>
      <w:r>
        <w:t>(2)</w:t>
      </w:r>
      <w:r>
        <w:tab/>
      </w:r>
      <w:r>
        <w:t>系统总体设计说明书</w:t>
      </w:r>
    </w:p>
    <w:p>
      <w:pPr>
        <w:ind w:left="360"/>
        <w:rPr>
          <w:rFonts w:hint="eastAsia"/>
        </w:rPr>
      </w:pPr>
      <w:r>
        <w:t>(3)</w:t>
      </w:r>
      <w:r>
        <w:tab/>
      </w:r>
      <w:r>
        <w:t>应用软件功能清单</w:t>
      </w:r>
    </w:p>
    <w:p>
      <w:pPr>
        <w:rPr>
          <w:rFonts w:hint="eastAsia"/>
        </w:rPr>
      </w:pPr>
      <w:r>
        <w:rPr>
          <w:rFonts w:hint="eastAsia"/>
        </w:rPr>
        <w:t>提供全套技术文件纸介质</w:t>
      </w:r>
      <w:r>
        <w:t>3套以及电子文件1套。</w:t>
      </w:r>
    </w:p>
    <w:p>
      <w:pPr>
        <w:pStyle w:val="2"/>
        <w:rPr>
          <w:rFonts w:hint="eastAsia"/>
        </w:rPr>
      </w:pPr>
      <w:r>
        <w:rPr>
          <w:rFonts w:hint="eastAsia"/>
        </w:rPr>
        <w:t>供应商管理要求</w:t>
      </w:r>
      <w:bookmarkEnd w:id="34"/>
    </w:p>
    <w:p>
      <w:pPr>
        <w:pStyle w:val="80"/>
        <w:ind w:firstLine="480"/>
        <w:rPr>
          <w:rFonts w:hint="eastAsia"/>
          <w:sz w:val="24"/>
          <w:szCs w:val="24"/>
        </w:rPr>
      </w:pPr>
      <w:r>
        <w:rPr>
          <w:rFonts w:hint="eastAsia"/>
          <w:sz w:val="24"/>
          <w:szCs w:val="24"/>
        </w:rPr>
        <w:t>1、在项目实施期间，成交供应商应严格执行国家、地方、行业有关本项目业务管理和安全作业的法律、法规和制度并按规定承担相应的费用。成交供应商因违反规定等原因造成的一切损失和责任由成交供应商自行承担。</w:t>
      </w:r>
    </w:p>
    <w:p>
      <w:pPr>
        <w:pStyle w:val="80"/>
        <w:ind w:firstLine="480"/>
        <w:rPr>
          <w:rFonts w:hint="eastAsia"/>
          <w:sz w:val="24"/>
          <w:szCs w:val="24"/>
        </w:rPr>
      </w:pPr>
      <w:r>
        <w:rPr>
          <w:rFonts w:hint="eastAsia"/>
          <w:sz w:val="24"/>
          <w:szCs w:val="24"/>
        </w:rPr>
        <w:t>2、成交供应商在响应文件中承诺并经招标人认定的项目经理及专业技术人员必须是本单位职工（在本单位缴纳社会保障金）和该项目实施现场的实际操作者，应具有类似本项目的实施经验，并应在软件应用调研、安装、试运行等期间常驻项目现场。未经采购人同意，成交供应商不得调换或撤离上述人员。如采购人认为有必要，可要求成交供应商对上述人员中的部分人员作出更好的调整。</w:t>
      </w:r>
    </w:p>
    <w:p>
      <w:pPr>
        <w:pStyle w:val="80"/>
        <w:ind w:firstLine="480"/>
        <w:rPr>
          <w:rFonts w:hint="eastAsia"/>
          <w:sz w:val="24"/>
          <w:szCs w:val="24"/>
        </w:rPr>
      </w:pPr>
      <w:r>
        <w:rPr>
          <w:rFonts w:hint="eastAsia"/>
          <w:sz w:val="24"/>
          <w:szCs w:val="24"/>
        </w:rPr>
        <w:t>3、成交供应商在项目实施期间，应按项目实际进度与环节落实所对应项目整体及各环节管理工作，按照规范做好项目实施期间相关管理与实施记录。</w:t>
      </w:r>
    </w:p>
    <w:p>
      <w:pPr>
        <w:pStyle w:val="80"/>
        <w:ind w:firstLine="480"/>
        <w:rPr>
          <w:rFonts w:hint="eastAsia"/>
          <w:sz w:val="24"/>
          <w:szCs w:val="24"/>
        </w:rPr>
      </w:pPr>
      <w:r>
        <w:rPr>
          <w:rFonts w:hint="eastAsia"/>
          <w:sz w:val="24"/>
          <w:szCs w:val="24"/>
        </w:rPr>
        <w:t>4、参与本项目的工作人员应严格遵循采购人的安全制度，保障采购人资料和设备的安全。成交供应商如需进入采购人机房工作，只能在采购人规定的工作区域内对项目涉及的设备进行操作，严禁触动与项目无关的任何设备（包括任何操作行为），如需跨区操作必须得到采购人项目联系人确认。</w:t>
      </w:r>
    </w:p>
    <w:p>
      <w:pPr>
        <w:pStyle w:val="80"/>
        <w:ind w:firstLine="480"/>
        <w:rPr>
          <w:rFonts w:hint="eastAsia"/>
          <w:sz w:val="24"/>
          <w:szCs w:val="24"/>
        </w:rPr>
      </w:pPr>
      <w:r>
        <w:rPr>
          <w:rFonts w:hint="eastAsia"/>
          <w:sz w:val="24"/>
          <w:szCs w:val="24"/>
        </w:rPr>
        <w:t>5、成交供应商在项目实施期间必须遵守采购人的规章制度并提供实施人员名单。</w:t>
      </w:r>
    </w:p>
    <w:p>
      <w:pPr>
        <w:pStyle w:val="80"/>
        <w:ind w:firstLine="480"/>
        <w:rPr>
          <w:rFonts w:hint="eastAsia"/>
          <w:sz w:val="24"/>
          <w:szCs w:val="24"/>
        </w:rPr>
      </w:pPr>
      <w:r>
        <w:rPr>
          <w:rFonts w:hint="eastAsia"/>
          <w:sz w:val="24"/>
          <w:szCs w:val="24"/>
        </w:rPr>
        <w:t>6、各供应商在响应文件中要结合本项目的特点和采购人上述的具体要求制定相应的管理措施，并在报价中列支相应的费用清单，供应商报价中未列支上述费用清单的，上述费用视为已包含在供应商的总报价中。</w:t>
      </w:r>
    </w:p>
    <w:p>
      <w:pPr>
        <w:pStyle w:val="80"/>
        <w:ind w:firstLine="480"/>
        <w:rPr>
          <w:rFonts w:hint="eastAsia"/>
        </w:rPr>
      </w:pPr>
      <w:r>
        <w:rPr>
          <w:rFonts w:hint="eastAsia"/>
          <w:sz w:val="24"/>
          <w:szCs w:val="24"/>
        </w:rPr>
        <w:t>7、本项目软件开发及调试将纳入采购人的管理范围，成交供应商在此过程中须服从上述单位的管理协调。</w:t>
      </w:r>
    </w:p>
    <w:p>
      <w:pPr>
        <w:pStyle w:val="2"/>
        <w:rPr>
          <w:rFonts w:hint="eastAsia"/>
        </w:rPr>
      </w:pPr>
      <w:bookmarkStart w:id="35" w:name="_Toc68798863"/>
      <w:r>
        <w:rPr>
          <w:rFonts w:hint="eastAsia"/>
        </w:rPr>
        <w:t>附录</w:t>
      </w:r>
      <w:bookmarkEnd w:id="35"/>
    </w:p>
    <w:p>
      <w:pPr>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《政务网络安全监测平台总体技术要求》</w:t>
      </w:r>
    </w:p>
    <w:p>
      <w:pPr>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55.4pt;width:76.4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pPr>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2、《上海市电子政务外网建设和运行管理指南（试行）》</w:t>
      </w:r>
    </w:p>
    <w:p>
      <w:pPr>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55.4pt;width:76.45pt;" o:ole="t" filled="f" o:preferrelative="t" stroked="f" coordsize="21600,21600">
            <v:path/>
            <v:fill on="f" focussize="0,0"/>
            <v:stroke on="f" joinstyle="miter"/>
            <v:imagedata r:id="rId18" o:title=""/>
            <o:lock v:ext="edit" aspectratio="t"/>
            <w10:wrap type="none"/>
            <w10:anchorlock/>
          </v:shape>
          <o:OLEObject Type="Embed" ProgID="Package" ShapeID="_x0000_i1027" DrawAspect="Icon" ObjectID="_1468075727" r:id="rId17">
            <o:LockedField>false</o:LockedField>
          </o:OLEObject>
        </w:object>
      </w:r>
    </w:p>
    <w:p>
      <w:pPr>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3、《低代码相关要求（试行）》</w:t>
      </w:r>
    </w:p>
    <w:p>
      <w:pPr>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4、其他标准</w:t>
      </w:r>
    </w:p>
    <w:p>
      <w:pPr>
        <w:ind w:firstLine="0" w:firstLineChars="0"/>
        <w:rPr>
          <w:rFonts w:hint="eastAsia"/>
          <w:color w:val="000000" w:themeColor="text1"/>
          <w14:textFill>
            <w14:solidFill>
              <w14:schemeClr w14:val="tx1"/>
            </w14:solidFill>
          </w14:textFill>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1F00FF" w:csb1="FFFF0000"/>
  </w:font>
  <w:font w:name="仿宋">
    <w:panose1 w:val="02010609060101010101"/>
    <w:charset w:val="86"/>
    <w:family w:val="modern"/>
    <w:pitch w:val="default"/>
    <w:sig w:usb0="800002BF" w:usb1="38CF7CFA" w:usb2="00000016" w:usb3="00000000" w:csb0="00040001" w:csb1="00000000"/>
  </w:font>
  <w:font w:name="Calibri Light">
    <w:altName w:val="Century Gothic"/>
    <w:panose1 w:val="020F0302020204030204"/>
    <w:charset w:val="00"/>
    <w:family w:val="swiss"/>
    <w:pitch w:val="default"/>
    <w:sig w:usb0="00000000" w:usb1="00000000" w:usb2="00000009" w:usb3="00000000" w:csb0="000001FF" w:csb1="00000000"/>
  </w:font>
  <w:font w:name="Century Gothic">
    <w:panose1 w:val="020B0502020202020204"/>
    <w:charset w:val="00"/>
    <w:family w:val="auto"/>
    <w:pitch w:val="default"/>
    <w:sig w:usb0="00000287" w:usb1="00000000" w:usb2="00000000" w:usb3="00000000" w:csb0="2000009F" w:csb1="DFD70000"/>
  </w:font>
  <w:font w:name="等线 Light">
    <w:altName w:val="宋体"/>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icrosoft YaHei UI">
    <w:altName w:val="微软雅黑"/>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A0F3C52" w:usb2="00000016" w:usb3="00000000" w:csb0="0004001F" w:csb1="00000000"/>
  </w:font>
  <w:font w:name="Microsoft Sans Serif">
    <w:panose1 w:val="020B0604020202020204"/>
    <w:charset w:val="00"/>
    <w:family w:val="swiss"/>
    <w:pitch w:val="default"/>
    <w:sig w:usb0="61007BDF" w:usb1="80000000" w:usb2="00000008"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9FFEE70C"/>
    <w:multiLevelType w:val="singleLevel"/>
    <w:tmpl w:val="9FFEE70C"/>
    <w:lvl w:ilvl="0" w:tentative="0">
      <w:start w:val="1"/>
      <w:numFmt w:val="decimal"/>
      <w:lvlText w:val="%1."/>
      <w:lvlJc w:val="left"/>
      <w:pPr>
        <w:tabs>
          <w:tab w:val="left" w:pos="312"/>
        </w:tabs>
      </w:pPr>
    </w:lvl>
  </w:abstractNum>
  <w:abstractNum w:abstractNumId="2">
    <w:nsid w:val="A9E92620"/>
    <w:multiLevelType w:val="singleLevel"/>
    <w:tmpl w:val="A9E92620"/>
    <w:lvl w:ilvl="0" w:tentative="0">
      <w:start w:val="1"/>
      <w:numFmt w:val="decimal"/>
      <w:lvlText w:val="%1."/>
      <w:lvlJc w:val="left"/>
      <w:pPr>
        <w:tabs>
          <w:tab w:val="left" w:pos="312"/>
        </w:tabs>
      </w:pPr>
    </w:lvl>
  </w:abstractNum>
  <w:abstractNum w:abstractNumId="3">
    <w:nsid w:val="0E13274D"/>
    <w:multiLevelType w:val="multilevel"/>
    <w:tmpl w:val="0E13274D"/>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18C3201A"/>
    <w:multiLevelType w:val="multilevel"/>
    <w:tmpl w:val="18C3201A"/>
    <w:lvl w:ilvl="0" w:tentative="0">
      <w:start w:val="1"/>
      <w:numFmt w:val="decimal"/>
      <w:lvlText w:val="3.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480"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6"/>
  </w:num>
  <w:num w:numId="2">
    <w:abstractNumId w:val="5"/>
  </w:num>
  <w:num w:numId="3">
    <w:abstractNumId w:val="4"/>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ZhZTM4MDQ0MjE0NzZkMDgxNGZjMjYxNzEzNTkwZWIifQ=="/>
  </w:docVars>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08E"/>
    <w:rsid w:val="000574A8"/>
    <w:rsid w:val="000574F8"/>
    <w:rsid w:val="00057A49"/>
    <w:rsid w:val="0006231F"/>
    <w:rsid w:val="00062A05"/>
    <w:rsid w:val="00062EE6"/>
    <w:rsid w:val="0006344E"/>
    <w:rsid w:val="000649E6"/>
    <w:rsid w:val="000677B7"/>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0EE"/>
    <w:rsid w:val="00091CD1"/>
    <w:rsid w:val="0009460E"/>
    <w:rsid w:val="000951D4"/>
    <w:rsid w:val="000A2146"/>
    <w:rsid w:val="000A262E"/>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63EB"/>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2C17"/>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87419"/>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44D4"/>
    <w:rsid w:val="001C6028"/>
    <w:rsid w:val="001C6365"/>
    <w:rsid w:val="001C7F57"/>
    <w:rsid w:val="001D0E79"/>
    <w:rsid w:val="001D6049"/>
    <w:rsid w:val="001D7339"/>
    <w:rsid w:val="001E0BC7"/>
    <w:rsid w:val="001E2750"/>
    <w:rsid w:val="001E4343"/>
    <w:rsid w:val="001E52BB"/>
    <w:rsid w:val="001E660A"/>
    <w:rsid w:val="001F05D6"/>
    <w:rsid w:val="001F146A"/>
    <w:rsid w:val="001F5B0A"/>
    <w:rsid w:val="001F640F"/>
    <w:rsid w:val="001F6794"/>
    <w:rsid w:val="001F6F65"/>
    <w:rsid w:val="002002DF"/>
    <w:rsid w:val="00203A6F"/>
    <w:rsid w:val="00205646"/>
    <w:rsid w:val="002063F7"/>
    <w:rsid w:val="002129E5"/>
    <w:rsid w:val="00212AA4"/>
    <w:rsid w:val="00212E13"/>
    <w:rsid w:val="00213A1C"/>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44B5"/>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1B4"/>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0AE"/>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394D"/>
    <w:rsid w:val="00385AEF"/>
    <w:rsid w:val="003860EA"/>
    <w:rsid w:val="0038781A"/>
    <w:rsid w:val="0039080B"/>
    <w:rsid w:val="0039326E"/>
    <w:rsid w:val="00394E22"/>
    <w:rsid w:val="003954D7"/>
    <w:rsid w:val="003967A4"/>
    <w:rsid w:val="00397FA3"/>
    <w:rsid w:val="003A1596"/>
    <w:rsid w:val="003A317E"/>
    <w:rsid w:val="003A345B"/>
    <w:rsid w:val="003A49EE"/>
    <w:rsid w:val="003A674D"/>
    <w:rsid w:val="003A6839"/>
    <w:rsid w:val="003A7123"/>
    <w:rsid w:val="003B102E"/>
    <w:rsid w:val="003B2167"/>
    <w:rsid w:val="003B5F5D"/>
    <w:rsid w:val="003B62C8"/>
    <w:rsid w:val="003C001C"/>
    <w:rsid w:val="003C0C62"/>
    <w:rsid w:val="003C12DC"/>
    <w:rsid w:val="003C1B33"/>
    <w:rsid w:val="003C2CDA"/>
    <w:rsid w:val="003D000A"/>
    <w:rsid w:val="003D31E9"/>
    <w:rsid w:val="003D544E"/>
    <w:rsid w:val="003D5980"/>
    <w:rsid w:val="003E0842"/>
    <w:rsid w:val="003E13B0"/>
    <w:rsid w:val="003E2580"/>
    <w:rsid w:val="003E3DEE"/>
    <w:rsid w:val="003E3EBB"/>
    <w:rsid w:val="003E4A4C"/>
    <w:rsid w:val="003E4CBA"/>
    <w:rsid w:val="003E4D13"/>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3FA4"/>
    <w:rsid w:val="00456784"/>
    <w:rsid w:val="00456DCA"/>
    <w:rsid w:val="00461140"/>
    <w:rsid w:val="004611DB"/>
    <w:rsid w:val="004658B0"/>
    <w:rsid w:val="0046614B"/>
    <w:rsid w:val="00467FD7"/>
    <w:rsid w:val="00470073"/>
    <w:rsid w:val="00471C66"/>
    <w:rsid w:val="00472661"/>
    <w:rsid w:val="004730F8"/>
    <w:rsid w:val="00474353"/>
    <w:rsid w:val="00474555"/>
    <w:rsid w:val="004750F4"/>
    <w:rsid w:val="00476CB1"/>
    <w:rsid w:val="00480A48"/>
    <w:rsid w:val="00482501"/>
    <w:rsid w:val="00482E7D"/>
    <w:rsid w:val="00484395"/>
    <w:rsid w:val="004865FB"/>
    <w:rsid w:val="00486C03"/>
    <w:rsid w:val="00491AB3"/>
    <w:rsid w:val="004937DD"/>
    <w:rsid w:val="00495B12"/>
    <w:rsid w:val="00497A33"/>
    <w:rsid w:val="004A1112"/>
    <w:rsid w:val="004A1DA0"/>
    <w:rsid w:val="004A1F20"/>
    <w:rsid w:val="004A2393"/>
    <w:rsid w:val="004A3569"/>
    <w:rsid w:val="004A452A"/>
    <w:rsid w:val="004A5F2C"/>
    <w:rsid w:val="004A6E4F"/>
    <w:rsid w:val="004A720D"/>
    <w:rsid w:val="004B00D0"/>
    <w:rsid w:val="004B019B"/>
    <w:rsid w:val="004B6084"/>
    <w:rsid w:val="004B7AE0"/>
    <w:rsid w:val="004C0BC4"/>
    <w:rsid w:val="004C260D"/>
    <w:rsid w:val="004C2D47"/>
    <w:rsid w:val="004C4357"/>
    <w:rsid w:val="004C4477"/>
    <w:rsid w:val="004C5313"/>
    <w:rsid w:val="004C5730"/>
    <w:rsid w:val="004C6397"/>
    <w:rsid w:val="004C668F"/>
    <w:rsid w:val="004C682B"/>
    <w:rsid w:val="004D142C"/>
    <w:rsid w:val="004D29F7"/>
    <w:rsid w:val="004D36D8"/>
    <w:rsid w:val="004D4C5C"/>
    <w:rsid w:val="004D5AB0"/>
    <w:rsid w:val="004D5EAE"/>
    <w:rsid w:val="004D7A0E"/>
    <w:rsid w:val="004D7D42"/>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3BBE"/>
    <w:rsid w:val="004F40BB"/>
    <w:rsid w:val="004F449F"/>
    <w:rsid w:val="004F4E7E"/>
    <w:rsid w:val="004F63AB"/>
    <w:rsid w:val="004F6B76"/>
    <w:rsid w:val="004F6C7C"/>
    <w:rsid w:val="004F7F1A"/>
    <w:rsid w:val="004F7FBB"/>
    <w:rsid w:val="00502EC8"/>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3C5A"/>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049A"/>
    <w:rsid w:val="005A2AEC"/>
    <w:rsid w:val="005A412D"/>
    <w:rsid w:val="005A5212"/>
    <w:rsid w:val="005A79AD"/>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441"/>
    <w:rsid w:val="005D3734"/>
    <w:rsid w:val="005D4F16"/>
    <w:rsid w:val="005D5A53"/>
    <w:rsid w:val="005D5DA0"/>
    <w:rsid w:val="005D7A86"/>
    <w:rsid w:val="005D7FBD"/>
    <w:rsid w:val="005E19B4"/>
    <w:rsid w:val="005E1D6B"/>
    <w:rsid w:val="005E227A"/>
    <w:rsid w:val="005E2CF8"/>
    <w:rsid w:val="005E3126"/>
    <w:rsid w:val="005E7075"/>
    <w:rsid w:val="005E75A7"/>
    <w:rsid w:val="005F36F7"/>
    <w:rsid w:val="005F38E2"/>
    <w:rsid w:val="005F3EE6"/>
    <w:rsid w:val="005F6736"/>
    <w:rsid w:val="00602A4C"/>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1CB4"/>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2DE7"/>
    <w:rsid w:val="00664B26"/>
    <w:rsid w:val="0066596B"/>
    <w:rsid w:val="00670295"/>
    <w:rsid w:val="006704F5"/>
    <w:rsid w:val="00670BF9"/>
    <w:rsid w:val="00671579"/>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6F49C6"/>
    <w:rsid w:val="00703C00"/>
    <w:rsid w:val="007057CC"/>
    <w:rsid w:val="007066F2"/>
    <w:rsid w:val="00706AE5"/>
    <w:rsid w:val="0070740A"/>
    <w:rsid w:val="00710A70"/>
    <w:rsid w:val="00711F93"/>
    <w:rsid w:val="00712940"/>
    <w:rsid w:val="0071428C"/>
    <w:rsid w:val="00715A16"/>
    <w:rsid w:val="007164B0"/>
    <w:rsid w:val="007166FF"/>
    <w:rsid w:val="007260CC"/>
    <w:rsid w:val="00726543"/>
    <w:rsid w:val="0073353E"/>
    <w:rsid w:val="00735DA9"/>
    <w:rsid w:val="00736633"/>
    <w:rsid w:val="00741281"/>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2CA6"/>
    <w:rsid w:val="007B306F"/>
    <w:rsid w:val="007B4714"/>
    <w:rsid w:val="007B4E82"/>
    <w:rsid w:val="007C1996"/>
    <w:rsid w:val="007C3773"/>
    <w:rsid w:val="007C3F1F"/>
    <w:rsid w:val="007D2D0D"/>
    <w:rsid w:val="007D3325"/>
    <w:rsid w:val="007D3818"/>
    <w:rsid w:val="007D6DC5"/>
    <w:rsid w:val="007D7425"/>
    <w:rsid w:val="007D74F7"/>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694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1F6"/>
    <w:rsid w:val="008223C2"/>
    <w:rsid w:val="008250A2"/>
    <w:rsid w:val="00825D64"/>
    <w:rsid w:val="0082650B"/>
    <w:rsid w:val="008301CE"/>
    <w:rsid w:val="008312E3"/>
    <w:rsid w:val="00831D5B"/>
    <w:rsid w:val="00832DD6"/>
    <w:rsid w:val="00832F0C"/>
    <w:rsid w:val="008336F2"/>
    <w:rsid w:val="008345D9"/>
    <w:rsid w:val="008347CB"/>
    <w:rsid w:val="00835647"/>
    <w:rsid w:val="008371A3"/>
    <w:rsid w:val="00837A2E"/>
    <w:rsid w:val="00841558"/>
    <w:rsid w:val="00842A68"/>
    <w:rsid w:val="008435BA"/>
    <w:rsid w:val="0084558B"/>
    <w:rsid w:val="0084654A"/>
    <w:rsid w:val="00847654"/>
    <w:rsid w:val="00847FE6"/>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47A9"/>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3D0F"/>
    <w:rsid w:val="008F5EB5"/>
    <w:rsid w:val="008F678C"/>
    <w:rsid w:val="008F75A7"/>
    <w:rsid w:val="008F7E5A"/>
    <w:rsid w:val="00900A7F"/>
    <w:rsid w:val="009036EE"/>
    <w:rsid w:val="00905815"/>
    <w:rsid w:val="00905D1D"/>
    <w:rsid w:val="0091016D"/>
    <w:rsid w:val="009108A7"/>
    <w:rsid w:val="00910C98"/>
    <w:rsid w:val="00911910"/>
    <w:rsid w:val="00911A86"/>
    <w:rsid w:val="00912A58"/>
    <w:rsid w:val="00913908"/>
    <w:rsid w:val="00913D26"/>
    <w:rsid w:val="0091438B"/>
    <w:rsid w:val="009147E3"/>
    <w:rsid w:val="00920FD2"/>
    <w:rsid w:val="00923A43"/>
    <w:rsid w:val="0092439C"/>
    <w:rsid w:val="0092498E"/>
    <w:rsid w:val="00925B91"/>
    <w:rsid w:val="00934461"/>
    <w:rsid w:val="0093478B"/>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80E"/>
    <w:rsid w:val="0099796C"/>
    <w:rsid w:val="009A194E"/>
    <w:rsid w:val="009A1EA2"/>
    <w:rsid w:val="009A209E"/>
    <w:rsid w:val="009A3788"/>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E7F31"/>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4A3"/>
    <w:rsid w:val="00A35AF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05FC"/>
    <w:rsid w:val="00A7111E"/>
    <w:rsid w:val="00A755B6"/>
    <w:rsid w:val="00A75B1A"/>
    <w:rsid w:val="00A80ED4"/>
    <w:rsid w:val="00A816C4"/>
    <w:rsid w:val="00A82981"/>
    <w:rsid w:val="00A8338F"/>
    <w:rsid w:val="00A85C38"/>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BBB"/>
    <w:rsid w:val="00AE2F98"/>
    <w:rsid w:val="00AE3602"/>
    <w:rsid w:val="00AE5342"/>
    <w:rsid w:val="00AE5987"/>
    <w:rsid w:val="00AE5EE4"/>
    <w:rsid w:val="00AE6472"/>
    <w:rsid w:val="00AF1345"/>
    <w:rsid w:val="00AF38A8"/>
    <w:rsid w:val="00AF63EB"/>
    <w:rsid w:val="00B016D2"/>
    <w:rsid w:val="00B018EC"/>
    <w:rsid w:val="00B060C7"/>
    <w:rsid w:val="00B11AB7"/>
    <w:rsid w:val="00B12213"/>
    <w:rsid w:val="00B13710"/>
    <w:rsid w:val="00B13E52"/>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5D45"/>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4726"/>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2A85"/>
    <w:rsid w:val="00BF38E0"/>
    <w:rsid w:val="00BF44FA"/>
    <w:rsid w:val="00BF57E1"/>
    <w:rsid w:val="00C003B4"/>
    <w:rsid w:val="00C00A5F"/>
    <w:rsid w:val="00C01FB0"/>
    <w:rsid w:val="00C042E0"/>
    <w:rsid w:val="00C051D9"/>
    <w:rsid w:val="00C06333"/>
    <w:rsid w:val="00C06F68"/>
    <w:rsid w:val="00C075BA"/>
    <w:rsid w:val="00C10A3A"/>
    <w:rsid w:val="00C11E20"/>
    <w:rsid w:val="00C15D16"/>
    <w:rsid w:val="00C20015"/>
    <w:rsid w:val="00C2159C"/>
    <w:rsid w:val="00C247DD"/>
    <w:rsid w:val="00C25B43"/>
    <w:rsid w:val="00C26A54"/>
    <w:rsid w:val="00C30692"/>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4061"/>
    <w:rsid w:val="00C55143"/>
    <w:rsid w:val="00C5611B"/>
    <w:rsid w:val="00C5695E"/>
    <w:rsid w:val="00C61528"/>
    <w:rsid w:val="00C63457"/>
    <w:rsid w:val="00C64964"/>
    <w:rsid w:val="00C65EC3"/>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5580"/>
    <w:rsid w:val="00CB69E6"/>
    <w:rsid w:val="00CB761B"/>
    <w:rsid w:val="00CB7E33"/>
    <w:rsid w:val="00CC13DF"/>
    <w:rsid w:val="00CC1EEE"/>
    <w:rsid w:val="00CC3E4A"/>
    <w:rsid w:val="00CC562B"/>
    <w:rsid w:val="00CC6C15"/>
    <w:rsid w:val="00CC7FCF"/>
    <w:rsid w:val="00CD2749"/>
    <w:rsid w:val="00CD2A60"/>
    <w:rsid w:val="00CD306F"/>
    <w:rsid w:val="00CD3971"/>
    <w:rsid w:val="00CD3DAB"/>
    <w:rsid w:val="00CD4DCE"/>
    <w:rsid w:val="00CE06E2"/>
    <w:rsid w:val="00CE0DF1"/>
    <w:rsid w:val="00CE3629"/>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6E3"/>
    <w:rsid w:val="00D2472B"/>
    <w:rsid w:val="00D253DD"/>
    <w:rsid w:val="00D26FFA"/>
    <w:rsid w:val="00D3215D"/>
    <w:rsid w:val="00D33352"/>
    <w:rsid w:val="00D347D9"/>
    <w:rsid w:val="00D35565"/>
    <w:rsid w:val="00D36A19"/>
    <w:rsid w:val="00D36F34"/>
    <w:rsid w:val="00D40DCF"/>
    <w:rsid w:val="00D41075"/>
    <w:rsid w:val="00D41C76"/>
    <w:rsid w:val="00D41DD8"/>
    <w:rsid w:val="00D4222C"/>
    <w:rsid w:val="00D425CE"/>
    <w:rsid w:val="00D42F40"/>
    <w:rsid w:val="00D4358D"/>
    <w:rsid w:val="00D4396C"/>
    <w:rsid w:val="00D4446F"/>
    <w:rsid w:val="00D44B55"/>
    <w:rsid w:val="00D45490"/>
    <w:rsid w:val="00D457B8"/>
    <w:rsid w:val="00D457E1"/>
    <w:rsid w:val="00D47BEB"/>
    <w:rsid w:val="00D50487"/>
    <w:rsid w:val="00D50563"/>
    <w:rsid w:val="00D50F50"/>
    <w:rsid w:val="00D51F13"/>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3E66"/>
    <w:rsid w:val="00D84D5F"/>
    <w:rsid w:val="00D851E2"/>
    <w:rsid w:val="00D87FFA"/>
    <w:rsid w:val="00D91419"/>
    <w:rsid w:val="00D92245"/>
    <w:rsid w:val="00D92A09"/>
    <w:rsid w:val="00D92D2A"/>
    <w:rsid w:val="00D92EEC"/>
    <w:rsid w:val="00D93470"/>
    <w:rsid w:val="00D9395F"/>
    <w:rsid w:val="00D93D55"/>
    <w:rsid w:val="00D941FA"/>
    <w:rsid w:val="00D94B59"/>
    <w:rsid w:val="00D95315"/>
    <w:rsid w:val="00D95EAB"/>
    <w:rsid w:val="00D969EA"/>
    <w:rsid w:val="00DA0B39"/>
    <w:rsid w:val="00DA1203"/>
    <w:rsid w:val="00DA2316"/>
    <w:rsid w:val="00DA25E0"/>
    <w:rsid w:val="00DA2700"/>
    <w:rsid w:val="00DA3001"/>
    <w:rsid w:val="00DA3C5D"/>
    <w:rsid w:val="00DA3EFF"/>
    <w:rsid w:val="00DA7769"/>
    <w:rsid w:val="00DB08C6"/>
    <w:rsid w:val="00DB0B54"/>
    <w:rsid w:val="00DB18E0"/>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4F2"/>
    <w:rsid w:val="00DF4D50"/>
    <w:rsid w:val="00DF538C"/>
    <w:rsid w:val="00DF7559"/>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1D41"/>
    <w:rsid w:val="00E84C91"/>
    <w:rsid w:val="00E84E60"/>
    <w:rsid w:val="00E8556E"/>
    <w:rsid w:val="00E86B2D"/>
    <w:rsid w:val="00E86F4D"/>
    <w:rsid w:val="00E87D08"/>
    <w:rsid w:val="00E907EB"/>
    <w:rsid w:val="00E90D0E"/>
    <w:rsid w:val="00E91B2D"/>
    <w:rsid w:val="00E92FCA"/>
    <w:rsid w:val="00E95CAA"/>
    <w:rsid w:val="00EA0A39"/>
    <w:rsid w:val="00EA0EB2"/>
    <w:rsid w:val="00EA236F"/>
    <w:rsid w:val="00EA3023"/>
    <w:rsid w:val="00EA3E49"/>
    <w:rsid w:val="00EA3FC8"/>
    <w:rsid w:val="00EA511B"/>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17D"/>
    <w:rsid w:val="00EF0A22"/>
    <w:rsid w:val="00EF1267"/>
    <w:rsid w:val="00EF180C"/>
    <w:rsid w:val="00EF3B6B"/>
    <w:rsid w:val="00EF4B43"/>
    <w:rsid w:val="00EF6750"/>
    <w:rsid w:val="00EF770B"/>
    <w:rsid w:val="00F02836"/>
    <w:rsid w:val="00F02FB5"/>
    <w:rsid w:val="00F0534E"/>
    <w:rsid w:val="00F05C30"/>
    <w:rsid w:val="00F10F1B"/>
    <w:rsid w:val="00F13398"/>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077E"/>
    <w:rsid w:val="00FC07F2"/>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9F5FA6"/>
    <w:rsid w:val="09305ADA"/>
    <w:rsid w:val="0E8013B7"/>
    <w:rsid w:val="10D604C6"/>
    <w:rsid w:val="11B515E0"/>
    <w:rsid w:val="12DF30A3"/>
    <w:rsid w:val="13A53267"/>
    <w:rsid w:val="13F970D2"/>
    <w:rsid w:val="14AA4136"/>
    <w:rsid w:val="163A420B"/>
    <w:rsid w:val="18BF12D8"/>
    <w:rsid w:val="19413B26"/>
    <w:rsid w:val="1C6D3688"/>
    <w:rsid w:val="1C974DF7"/>
    <w:rsid w:val="1CC63D0A"/>
    <w:rsid w:val="1DC2081A"/>
    <w:rsid w:val="1DD94266"/>
    <w:rsid w:val="1F9D0947"/>
    <w:rsid w:val="1FFB29C6"/>
    <w:rsid w:val="22AF3620"/>
    <w:rsid w:val="22E70AD4"/>
    <w:rsid w:val="24F1508D"/>
    <w:rsid w:val="266F634F"/>
    <w:rsid w:val="291059EA"/>
    <w:rsid w:val="2BBF12EC"/>
    <w:rsid w:val="2BC649D9"/>
    <w:rsid w:val="2D836AC6"/>
    <w:rsid w:val="3515160D"/>
    <w:rsid w:val="3C7D00D8"/>
    <w:rsid w:val="3CA06C0C"/>
    <w:rsid w:val="3E7E085A"/>
    <w:rsid w:val="3EA25851"/>
    <w:rsid w:val="3F6C3757"/>
    <w:rsid w:val="3FF5A538"/>
    <w:rsid w:val="405D6A10"/>
    <w:rsid w:val="41DA6594"/>
    <w:rsid w:val="43B7C137"/>
    <w:rsid w:val="444C1A75"/>
    <w:rsid w:val="44A3526F"/>
    <w:rsid w:val="44B032F4"/>
    <w:rsid w:val="457D25F7"/>
    <w:rsid w:val="468341CD"/>
    <w:rsid w:val="472C2589"/>
    <w:rsid w:val="479F6582"/>
    <w:rsid w:val="4A760AEB"/>
    <w:rsid w:val="4DEC70AC"/>
    <w:rsid w:val="4F3162CA"/>
    <w:rsid w:val="4F6B1294"/>
    <w:rsid w:val="50D95873"/>
    <w:rsid w:val="526102AF"/>
    <w:rsid w:val="528444DA"/>
    <w:rsid w:val="537745D5"/>
    <w:rsid w:val="552306F6"/>
    <w:rsid w:val="56E352D5"/>
    <w:rsid w:val="57E435FE"/>
    <w:rsid w:val="582D0655"/>
    <w:rsid w:val="5951205C"/>
    <w:rsid w:val="59D079E8"/>
    <w:rsid w:val="59D40847"/>
    <w:rsid w:val="5A73E6B0"/>
    <w:rsid w:val="5AE37F25"/>
    <w:rsid w:val="5BCB0BC6"/>
    <w:rsid w:val="5CB23D47"/>
    <w:rsid w:val="5FAF09C4"/>
    <w:rsid w:val="608C4642"/>
    <w:rsid w:val="62795572"/>
    <w:rsid w:val="64DD6417"/>
    <w:rsid w:val="66004745"/>
    <w:rsid w:val="6A567F20"/>
    <w:rsid w:val="6CD97953"/>
    <w:rsid w:val="6ED30FD7"/>
    <w:rsid w:val="726773D4"/>
    <w:rsid w:val="727D78FD"/>
    <w:rsid w:val="73CC655F"/>
    <w:rsid w:val="75957445"/>
    <w:rsid w:val="75D01AE1"/>
    <w:rsid w:val="77524363"/>
    <w:rsid w:val="77B917B5"/>
    <w:rsid w:val="78703975"/>
    <w:rsid w:val="79BB2536"/>
    <w:rsid w:val="7BE420FD"/>
    <w:rsid w:val="7D0D296B"/>
    <w:rsid w:val="7D4E0B54"/>
    <w:rsid w:val="7D503E78"/>
    <w:rsid w:val="7DAB1E57"/>
    <w:rsid w:val="7DFB8521"/>
    <w:rsid w:val="7E0160D4"/>
    <w:rsid w:val="97BFBD99"/>
    <w:rsid w:val="BBFFA3DB"/>
    <w:rsid w:val="BDFF9A52"/>
    <w:rsid w:val="CF6F6FD3"/>
    <w:rsid w:val="D04B56C0"/>
    <w:rsid w:val="D6AF953B"/>
    <w:rsid w:val="D9F75A4C"/>
    <w:rsid w:val="DFDEF091"/>
    <w:rsid w:val="DFFB915D"/>
    <w:rsid w:val="DFFF04A4"/>
    <w:rsid w:val="EDFC541B"/>
    <w:rsid w:val="F4EF9C4D"/>
    <w:rsid w:val="FBFFEB16"/>
    <w:rsid w:val="FDFAD96B"/>
    <w:rsid w:val="FFF39583"/>
    <w:rsid w:val="FFF6E358"/>
    <w:rsid w:val="FFFF67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qFormat/>
    <w:uiPriority w:val="34"/>
    <w:pPr>
      <w:spacing w:line="240" w:lineRule="auto"/>
      <w:ind w:firstLine="420"/>
    </w:pPr>
    <w:rPr>
      <w:rFonts w:ascii="Calibri" w:hAnsi="Calibri"/>
      <w:sz w:val="21"/>
      <w:szCs w:val="22"/>
    </w:rPr>
  </w:style>
  <w:style w:type="paragraph" w:customStyle="1" w:styleId="135">
    <w:name w:val="修订2"/>
    <w:hidden/>
    <w:unhideWhenUsed/>
    <w:qFormat/>
    <w:uiPriority w:val="99"/>
    <w:rPr>
      <w:rFonts w:ascii="宋体" w:hAnsi="宋体" w:eastAsia="宋体" w:cs="Times New Roman"/>
      <w:kern w:val="2"/>
      <w:sz w:val="24"/>
      <w:szCs w:val="24"/>
      <w:lang w:val="en-US" w:eastAsia="zh-CN" w:bidi="ar-SA"/>
    </w:rPr>
  </w:style>
  <w:style w:type="paragraph" w:customStyle="1" w:styleId="136">
    <w:name w:val="修订3"/>
    <w:hidden/>
    <w:unhideWhenUsed/>
    <w:qFormat/>
    <w:uiPriority w:val="99"/>
    <w:rPr>
      <w:rFonts w:ascii="宋体" w:hAnsi="宋体" w:eastAsia="宋体" w:cs="Times New Roman"/>
      <w:kern w:val="2"/>
      <w:sz w:val="24"/>
      <w:szCs w:val="24"/>
      <w:lang w:val="en-US" w:eastAsia="zh-CN" w:bidi="ar-SA"/>
    </w:rPr>
  </w:style>
  <w:style w:type="paragraph" w:customStyle="1" w:styleId="137">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emf"/><Relationship Id="rId13" Type="http://schemas.openxmlformats.org/officeDocument/2006/relationships/package" Target="embeddings/Microsoft_Visio___1.vsdx"/><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Normal.dotm</Template>
  <Pages>26</Pages>
  <Words>2878</Words>
  <Characters>16409</Characters>
  <Lines>136</Lines>
  <Paragraphs>38</Paragraphs>
  <TotalTime>27</TotalTime>
  <ScaleCrop>false</ScaleCrop>
  <LinksUpToDate>false</LinksUpToDate>
  <CharactersWithSpaces>19249</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2026-01-07T16:44:00Z</dcterms:created>
  <dc:creator>gtig_tzb</dc:creator>
  <cp:lastModifiedBy>高际航</cp:lastModifiedBy>
  <cp:lastPrinted>2020-08-10T04:08:00Z</cp:lastPrinted>
  <dcterms:modified xsi:type="dcterms:W3CDTF">2026-04-03T09:19:39Z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A0A0C254014E78F8D563CB69A4FD6455_43</vt:lpwstr>
  </property>
</Properties>
</file>