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60" w:after="60"/>
        <w:rPr>
          <w:rFonts w:hint="eastAsia"/>
        </w:rPr>
      </w:pPr>
    </w:p>
    <w:p>
      <w:pPr>
        <w:spacing w:before="60" w:after="60"/>
        <w:rPr>
          <w:rFonts w:hint="eastAsia"/>
        </w:rPr>
      </w:pPr>
    </w:p>
    <w:p>
      <w:pPr>
        <w:spacing w:before="600" w:after="200"/>
        <w:ind w:firstLine="0"/>
        <w:jc w:val="center"/>
        <w:rPr>
          <w:rFonts w:hint="eastAsia"/>
          <w:sz w:val="52"/>
          <w:szCs w:val="52"/>
        </w:rPr>
      </w:pPr>
      <w:r>
        <w:rPr>
          <w:rFonts w:ascii="黑体" w:hAnsi="黑体" w:eastAsia="黑体" w:cs="黑体"/>
          <w:b/>
          <w:bCs/>
          <w:spacing w:val="1"/>
          <w:w w:val="97"/>
          <w:kern w:val="0"/>
          <w:sz w:val="52"/>
          <w:szCs w:val="52"/>
          <w:fitText w:val="9620" w:id="557784830"/>
        </w:rPr>
        <w:t>临港新片区国际数据服务管理系统建设项</w:t>
      </w:r>
      <w:r>
        <w:rPr>
          <w:rFonts w:hint="eastAsia" w:ascii="黑体" w:hAnsi="黑体" w:eastAsia="黑体" w:cs="黑体"/>
          <w:b/>
          <w:bCs/>
          <w:spacing w:val="6"/>
          <w:w w:val="97"/>
          <w:kern w:val="0"/>
          <w:sz w:val="52"/>
          <w:szCs w:val="52"/>
          <w:fitText w:val="9620" w:id="557784830"/>
        </w:rPr>
        <w:t>目</w:t>
      </w:r>
    </w:p>
    <w:p>
      <w:pPr>
        <w:spacing w:before="100" w:after="400"/>
        <w:jc w:val="center"/>
        <w:rPr>
          <w:rFonts w:hint="eastAsia"/>
        </w:rPr>
      </w:pPr>
      <w:r>
        <w:rPr>
          <w:rFonts w:ascii="黑体" w:hAnsi="黑体" w:eastAsia="黑体" w:cs="黑体"/>
          <w:b/>
          <w:bCs/>
          <w:sz w:val="44"/>
          <w:szCs w:val="44"/>
        </w:rPr>
        <w:t>采 购 需 求</w:t>
      </w:r>
    </w:p>
    <w:p>
      <w:pPr>
        <w:spacing w:before="60" w:after="60"/>
        <w:rPr>
          <w:rFonts w:hint="eastAsia"/>
        </w:rPr>
      </w:pPr>
    </w:p>
    <w:p>
      <w:pPr>
        <w:spacing w:before="60" w:after="60"/>
        <w:rPr>
          <w:rFonts w:hint="eastAsia"/>
        </w:rPr>
      </w:pPr>
    </w:p>
    <w:p>
      <w:pPr>
        <w:spacing w:before="60" w:after="60"/>
        <w:rPr>
          <w:rFonts w:hint="eastAsia"/>
        </w:rPr>
      </w:pPr>
    </w:p>
    <w:p>
      <w:pPr>
        <w:spacing w:before="100" w:after="60"/>
        <w:jc w:val="center"/>
        <w:rPr>
          <w:rFonts w:hint="eastAsia"/>
        </w:rPr>
      </w:pPr>
      <w:r>
        <w:rPr>
          <w:sz w:val="28"/>
          <w:szCs w:val="28"/>
        </w:rPr>
        <w:t>建设单位：上海市临港新片区大数据中心</w:t>
      </w:r>
    </w:p>
    <w:p>
      <w:pPr>
        <w:rPr>
          <w:rFonts w:hint="eastAsia"/>
        </w:rPr>
      </w:pPr>
      <w:r>
        <w:br w:type="page"/>
      </w:r>
    </w:p>
    <w:p>
      <w:pPr>
        <w:pStyle w:val="2"/>
        <w:spacing w:before="200" w:after="200"/>
        <w:rPr>
          <w:rFonts w:hint="eastAsia"/>
        </w:rPr>
      </w:pPr>
      <w:r>
        <w:t>一、基本情况</w:t>
      </w:r>
    </w:p>
    <w:p>
      <w:pPr>
        <w:pStyle w:val="3"/>
        <w:spacing w:before="160" w:after="160"/>
        <w:rPr>
          <w:rFonts w:hint="eastAsia"/>
        </w:rPr>
      </w:pPr>
      <w:r>
        <w:t>1.1 项目建设背景</w:t>
      </w:r>
    </w:p>
    <w:p>
      <w:pPr>
        <w:rPr>
          <w:rFonts w:hint="eastAsia"/>
        </w:rPr>
      </w:pPr>
      <w:r>
        <w:t>数字经济是以数据资源为关键要素，以现代信息网络为主要载体，以信息通信技术融合应用、全要素数字化转型为重要推动力，促进公平与效率更加统一的新经济形态。党的十八大以来，以</w:t>
      </w:r>
      <w:bookmarkStart w:id="0" w:name="_GoBack"/>
      <w:bookmarkEnd w:id="0"/>
      <w:r>
        <w:rPr>
          <w:rFonts w:hint="eastAsia"/>
          <w:lang w:eastAsia="zh-CN"/>
        </w:rPr>
        <w:t>总书记</w:t>
      </w:r>
      <w:r>
        <w:t>为核心的党中央高度重视发展数字经济，并将其上升为国家战略。相继发布了《中华人民共和国国民经济和社会发展第十四个五年规划和2035年远景目标纲要》《“十四五”数字经济发展规划》《数字中国建设整体布局规划》，构成了我国发展数字经济的顶层设计体系。</w:t>
      </w:r>
    </w:p>
    <w:p>
      <w:pPr>
        <w:rPr>
          <w:rFonts w:hint="eastAsia"/>
        </w:rPr>
      </w:pPr>
      <w:r>
        <w:t>上海作为我国改革开放的前沿阵地和深度链接全球的国际大都市，一直以来都是重大国家战略集中承载地。《上海市推动数字贸易和服务贸易高质量发展的实施方案》提出，全面推动数字贸易改革、开放、创新，打造深度链接全球的数字贸易国际枢纽港。《关于制定上海市国民经济和社会发展第十五个五年规划的建议》中也明确指出，加快发展数字贸易，推动数字产品和数字服务出口，培育跨境云服务、数字内容交付、数据加工等新增长点，高标准建设国际数据经济产业园。</w:t>
      </w:r>
    </w:p>
    <w:p>
      <w:pPr>
        <w:rPr>
          <w:rFonts w:hint="eastAsia"/>
        </w:rPr>
      </w:pPr>
      <w:r>
        <w:t>临港新片区将数据产业当作优先发展的重点产业，着眼于国际规则对接、企业集聚发展、产业生态培育和优化配套服务，出台一系列专项扶持政策。2025年8月，发布了《中国（上海）自由贸易试验区临港新片区国际数据加工枢纽建设方案》，明确指出，要深化国际数据规则对接与产业合作、健全国际数据加工枢纽创新管理体系、培育发展多元国际数据服务业态、夯实国际数据服务基础设施底座、打造国际数据服务高质量发展生态。临港新片区管委会已将启动国际数据综合服务和监督平台建设纳入2026年度重点工作任务，通过平台建设、测试验证与市场化部署，推动数据要素跨境有序流动，支撑国际数据港核心承载区建设。</w:t>
      </w:r>
    </w:p>
    <w:p>
      <w:pPr>
        <w:rPr>
          <w:rFonts w:hint="eastAsia"/>
        </w:rPr>
      </w:pPr>
      <w:r>
        <w:t>本项目为落实《中国（上海）自由贸易试验区临港新片区管理委员会2026年工作要点》中“强化国际数据中心跨境离岸功能”和《中国（上海）自由贸易试验区临港新片区国际数据加工枢纽建设方案》中“健全国际数据业务安全管理机制”等工作要求，建设临港新片区国际数据服务管理系统，推动数据要素高水平开放，拉动临港新片区数字产业集群发展，健全数据业务安全管理并对接国际规则。</w:t>
      </w:r>
    </w:p>
    <w:p>
      <w:pPr>
        <w:pStyle w:val="3"/>
        <w:spacing w:before="160" w:after="160"/>
        <w:rPr>
          <w:rFonts w:hint="eastAsia"/>
        </w:rPr>
      </w:pPr>
      <w:r>
        <w:t>1.2 项目基本信息</w:t>
      </w:r>
    </w:p>
    <w:p>
      <w:pPr>
        <w:rPr>
          <w:rFonts w:hint="eastAsia"/>
        </w:rPr>
      </w:pPr>
      <w:r>
        <w:t>项目名称：临港新片区国际数据服务管理系统建设项目</w:t>
      </w:r>
    </w:p>
    <w:p>
      <w:pPr>
        <w:rPr>
          <w:rFonts w:hint="eastAsia"/>
        </w:rPr>
      </w:pPr>
      <w:r>
        <w:t>建设单位：上海市临港新片区行政服务中心（上海市临港新片区大数据中心）</w:t>
      </w:r>
    </w:p>
    <w:p>
      <w:pPr>
        <w:rPr>
          <w:rFonts w:hint="eastAsia"/>
        </w:rPr>
      </w:pPr>
      <w:r>
        <w:t>建设期限：自合同签订之日起8个月内完成建设内容并通过验收。</w:t>
      </w:r>
    </w:p>
    <w:p>
      <w:pPr>
        <w:rPr>
          <w:rFonts w:hint="eastAsia"/>
        </w:rPr>
      </w:pPr>
      <w:r>
        <w:rPr>
          <w:rFonts w:hint="eastAsia"/>
        </w:rPr>
        <w:t>质保期限：软件自项目验收后1年；硬件设备自项目验收后不少于3年。</w:t>
      </w:r>
    </w:p>
    <w:p>
      <w:pPr>
        <w:rPr>
          <w:rFonts w:hint="eastAsia"/>
        </w:rPr>
      </w:pPr>
      <w:r>
        <w:t>建设地点：上海市浦东新区申港大道200号</w:t>
      </w:r>
    </w:p>
    <w:p>
      <w:pPr>
        <w:rPr>
          <w:rFonts w:hint="eastAsia"/>
        </w:rPr>
      </w:pPr>
      <w:r>
        <w:br w:type="page"/>
      </w:r>
    </w:p>
    <w:p>
      <w:pPr>
        <w:pStyle w:val="2"/>
        <w:spacing w:before="200" w:after="200"/>
        <w:rPr>
          <w:rFonts w:hint="eastAsia"/>
        </w:rPr>
      </w:pPr>
      <w:r>
        <w:t>二、建设目标</w:t>
      </w:r>
    </w:p>
    <w:p>
      <w:pPr>
        <w:rPr>
          <w:rFonts w:hint="eastAsia"/>
        </w:rPr>
      </w:pPr>
      <w:r>
        <w:t>本项目作为国际数据港建设的重要组成部分，核心承接国际数据加工枢纽相关服务职能，深度贯彻落实《中国（上海）自由贸易试验区临港新片区国际数据加工枢纽建设方案》要求，聚焦健全国际数据加工枢纽创新管理体系、培育多元国际数据服务业态、打造国际数据服务高质量发展生态三大核心任务。</w:t>
      </w:r>
    </w:p>
    <w:p>
      <w:pPr>
        <w:rPr>
          <w:rFonts w:hint="eastAsia"/>
        </w:rPr>
      </w:pPr>
      <w:r>
        <w:t>项目围绕国际数据中心业务运营合规管理要求，整合跨境合规、国际业务对接、传输通道保障、算力资源统筹、增值电信服务、企业载体培育等核心领域优质服务资源，建设集业务备案审批、业态融合集聚、安全闭环管控于一体的临港新片区国际数据服务管理系统，全面赋能国际数据业务合规管理、业态培育升级、安全管理创新，确保国际数据业务实现“放得开、用得好、管得住”，具体实现以下三大目标：</w:t>
      </w:r>
    </w:p>
    <w:p>
      <w:pPr>
        <w:rPr>
          <w:rFonts w:hint="eastAsia"/>
        </w:rPr>
      </w:pPr>
      <w:r>
        <w:t>（1）统览国际数据服务资源。整合政府与市场各类优质资源，覆盖跨境合规、国际业务对接、传输通道保障、算力资源统筹、增值电信服务、企业载体培育等核心领域，同时整合前期已形成的数据跨境流动服务能力，同步纳入法律、财务、人力等产业落地配套服务资源，通过本项目实现一站式、一揽子服务供给，为国际数据产业发展提供全方位支撑。</w:t>
      </w:r>
    </w:p>
    <w:p>
      <w:pPr>
        <w:rPr>
          <w:rFonts w:hint="eastAsia"/>
        </w:rPr>
      </w:pPr>
      <w:r>
        <w:t>（2）通办国际数据相关业务。聚焦国际数据中心建设运营、国际数据服务企业及产品准入（建设运营方）、国际数据业务运营（业务开展方）全流程，覆盖备案、续期、变更、终止等关键业务环节，同时对接临港新片区管委会、跨境服务中心的审核审批工作，通过本项目构建“申报-审核-办结”一站式服务闭环，提升业务办理效率与便捷度。</w:t>
      </w:r>
    </w:p>
    <w:p>
      <w:pPr>
        <w:rPr>
          <w:rFonts w:hint="eastAsia"/>
        </w:rPr>
      </w:pPr>
      <w:r>
        <w:t>（3）统管国际数据中心运营。聚焦国际数据中心三级节点（核心节点、边缘节点、业务专区）日常规范运营，紧扣国际数据业务安全合规开展要求，遵循管理分层、功能分层的设计理念，构建透明化、轻量化管理模式及问题处置闭环机制，通过本项目实现国际数据中心与相关业务的一体化协同治理，保障业务安全有序开展。</w:t>
      </w:r>
    </w:p>
    <w:p>
      <w:pPr>
        <w:rPr>
          <w:rFonts w:hint="eastAsia"/>
        </w:rPr>
      </w:pPr>
      <w:r>
        <w:br w:type="page"/>
      </w:r>
    </w:p>
    <w:p>
      <w:pPr>
        <w:pStyle w:val="2"/>
        <w:spacing w:before="200" w:after="200"/>
        <w:rPr>
          <w:rFonts w:hint="eastAsia"/>
        </w:rPr>
      </w:pPr>
      <w:r>
        <w:t>三、技术要求</w:t>
      </w:r>
    </w:p>
    <w:p>
      <w:pPr>
        <w:rPr>
          <w:rFonts w:hint="eastAsia"/>
        </w:rPr>
      </w:pPr>
      <w:r>
        <w:t>基于本项目使用对象、应用场景、未来趋势，根据目前大型应用系统软硬件的特点，结合大型应用系统建设的经验，系统采用B/S架构。本项目建设所采用技术路线的思路为：应用系统开发采用国际标准的先进技术，软件和系统平台采用具有我国自主知识产权的软件、硬件产品。</w:t>
      </w:r>
    </w:p>
    <w:p>
      <w:pPr>
        <w:ind w:firstLine="500"/>
        <w:rPr>
          <w:rFonts w:hint="eastAsia"/>
        </w:rPr>
      </w:pPr>
      <w:r>
        <w:rPr>
          <w:rFonts w:hint="eastAsia"/>
        </w:rPr>
        <w:t>在系统的设计、开发和运行过程中，应遵循以下技术原则：</w:t>
      </w:r>
    </w:p>
    <w:p>
      <w:pPr>
        <w:ind w:firstLine="500"/>
        <w:rPr>
          <w:rFonts w:hint="eastAsia"/>
        </w:rPr>
      </w:pPr>
      <w:r>
        <w:rPr>
          <w:rFonts w:hint="eastAsia"/>
        </w:rPr>
        <w:t>（1）采用多层架构的B/S结构，实现前后端分离；</w:t>
      </w:r>
    </w:p>
    <w:p>
      <w:pPr>
        <w:ind w:firstLine="500"/>
        <w:rPr>
          <w:rFonts w:hint="eastAsia"/>
        </w:rPr>
      </w:pPr>
      <w:r>
        <w:rPr>
          <w:rFonts w:hint="eastAsia"/>
        </w:rPr>
        <w:t>（2）采用微服务架构，实现服务拆分与独立部署，提升系统的可维护性和可扩展性；</w:t>
      </w:r>
    </w:p>
    <w:p>
      <w:pPr>
        <w:ind w:firstLine="500"/>
        <w:rPr>
          <w:rFonts w:hint="eastAsia"/>
        </w:rPr>
      </w:pPr>
      <w:r>
        <w:rPr>
          <w:rFonts w:hint="eastAsia"/>
        </w:rPr>
        <w:t>（3）采用组件化开发技术，提高系统的灵活性和可复用性；</w:t>
      </w:r>
    </w:p>
    <w:p>
      <w:pPr>
        <w:ind w:firstLine="500"/>
        <w:rPr>
          <w:rFonts w:hint="eastAsia"/>
        </w:rPr>
      </w:pPr>
      <w:r>
        <w:rPr>
          <w:rFonts w:hint="eastAsia"/>
        </w:rPr>
        <w:t>（4）采用中间件技术，提高系统的可靠性和稳定性；</w:t>
      </w:r>
    </w:p>
    <w:p>
      <w:pPr>
        <w:ind w:firstLine="500"/>
        <w:rPr>
          <w:rFonts w:hint="eastAsia"/>
        </w:rPr>
      </w:pPr>
      <w:r>
        <w:rPr>
          <w:rFonts w:hint="eastAsia"/>
        </w:rPr>
        <w:t>（5）支持国产操作系统和国产CPU架构；</w:t>
      </w:r>
    </w:p>
    <w:p>
      <w:pPr>
        <w:ind w:firstLine="500"/>
        <w:rPr>
          <w:rFonts w:hint="eastAsia"/>
        </w:rPr>
      </w:pPr>
      <w:r>
        <w:rPr>
          <w:rFonts w:hint="eastAsia"/>
        </w:rPr>
        <w:t>（6）采用国产数据库，结合多种数据存储技术满足不同场景数据存储与检索需求；</w:t>
      </w:r>
    </w:p>
    <w:p>
      <w:pPr>
        <w:ind w:firstLine="500"/>
        <w:rPr>
          <w:rFonts w:hint="eastAsia"/>
        </w:rPr>
      </w:pPr>
      <w:r>
        <w:rPr>
          <w:rFonts w:hint="eastAsia"/>
        </w:rPr>
        <w:t>（7）采用国产中间件；</w:t>
      </w:r>
    </w:p>
    <w:p>
      <w:pPr>
        <w:ind w:firstLine="500"/>
        <w:rPr>
          <w:rFonts w:hint="eastAsia"/>
        </w:rPr>
      </w:pPr>
      <w:r>
        <w:rPr>
          <w:rFonts w:hint="eastAsia"/>
        </w:rPr>
        <w:t>（8）服务器采用国产服务器；</w:t>
      </w:r>
    </w:p>
    <w:p>
      <w:pPr>
        <w:ind w:firstLine="500"/>
        <w:rPr>
          <w:rFonts w:hint="eastAsia"/>
        </w:rPr>
      </w:pPr>
      <w:r>
        <w:rPr>
          <w:rFonts w:hint="eastAsia"/>
        </w:rPr>
        <w:t>（9）采用标准化的数据交换接口，实现信息资源整合；</w:t>
      </w:r>
    </w:p>
    <w:p>
      <w:pPr>
        <w:ind w:firstLine="500"/>
        <w:rPr>
          <w:rFonts w:hint="eastAsia"/>
        </w:rPr>
      </w:pPr>
      <w:r>
        <w:rPr>
          <w:rFonts w:hint="eastAsia"/>
        </w:rPr>
        <w:t>（10）采用信息开放等级划分、权限许可和角色认证的方法，建立系统安全机制。</w:t>
      </w:r>
    </w:p>
    <w:p>
      <w:pPr>
        <w:ind w:firstLine="500"/>
        <w:rPr>
          <w:rFonts w:hint="eastAsia"/>
        </w:rPr>
      </w:pPr>
      <w:r>
        <w:rPr>
          <w:rFonts w:hint="eastAsia"/>
        </w:rPr>
        <w:t>本项目应用系统开发应满足网络安全等级保护要求，部署在政务云机房和符合网络安全要求的监管办公区内。其中，政务云机房部署备案监管子系统、国际业务聚合子系统、纳管数据便捷流通系统及公共能力模块；符合网络安全要求的监管办公区（国际数据中心网络环境）部署运营管理子系统及公共能力模块（用户通信等）。两个环境物理完全隔离，不存在任何形式的数据交互。</w:t>
      </w:r>
      <w:r>
        <w:br w:type="page"/>
      </w:r>
    </w:p>
    <w:p>
      <w:pPr>
        <w:pStyle w:val="2"/>
        <w:spacing w:before="200" w:after="200"/>
        <w:rPr>
          <w:rFonts w:hint="eastAsia"/>
        </w:rPr>
      </w:pPr>
      <w:r>
        <w:t>四、采购范围及内容</w:t>
      </w:r>
    </w:p>
    <w:p>
      <w:pPr>
        <w:rPr>
          <w:rFonts w:hint="eastAsia"/>
        </w:rPr>
      </w:pPr>
      <w:r>
        <w:rPr>
          <w:rFonts w:hint="eastAsia"/>
        </w:rPr>
        <w:t>1.软件开发</w:t>
      </w:r>
    </w:p>
    <w:p>
      <w:pPr>
        <w:rPr>
          <w:rFonts w:hint="eastAsia"/>
        </w:rPr>
      </w:pPr>
      <w:r>
        <w:rPr>
          <w:rFonts w:hint="eastAsia"/>
        </w:rPr>
        <w:t>1）国际数据中心运营管理系统（国际数据中心网络），包括：出入管理、体征数据监测、风险监测、监控视频管理、风险处置管理、数据可视化看板和系统对接等。</w:t>
      </w:r>
    </w:p>
    <w:p>
      <w:pPr>
        <w:rPr>
          <w:rFonts w:hint="eastAsia"/>
        </w:rPr>
      </w:pPr>
      <w:r>
        <w:rPr>
          <w:rFonts w:hint="eastAsia"/>
        </w:rPr>
        <w:t>2）国际数据服务管理系统（政务云环境），包括：备案监管子系统和国际业务聚合子系统。</w:t>
      </w:r>
    </w:p>
    <w:p>
      <w:pPr>
        <w:rPr>
          <w:rFonts w:hint="eastAsia"/>
        </w:rPr>
      </w:pPr>
      <w:r>
        <w:rPr>
          <w:rFonts w:hint="eastAsia"/>
        </w:rPr>
        <w:t>3）公共能力建设，包括：纳管数据便捷流通公共服务管理系统和配套公共能力模块。</w:t>
      </w:r>
    </w:p>
    <w:p>
      <w:pPr>
        <w:rPr>
          <w:rFonts w:hint="eastAsia"/>
        </w:rPr>
      </w:pPr>
      <w:r>
        <w:rPr>
          <w:rFonts w:hint="eastAsia"/>
        </w:rPr>
        <w:t>2.成品软件，包括：关系数据库、操作系统和中间件。</w:t>
      </w:r>
    </w:p>
    <w:p>
      <w:pPr>
        <w:rPr>
          <w:rFonts w:hint="eastAsia"/>
        </w:rPr>
      </w:pPr>
      <w:r>
        <w:rPr>
          <w:rFonts w:hint="eastAsia"/>
        </w:rPr>
        <w:t>3.安全产品，包括：边界防火墙、日志审计、运维审计、终端杀毒和运维管理。</w:t>
      </w:r>
    </w:p>
    <w:p>
      <w:pPr>
        <w:rPr>
          <w:rFonts w:hint="eastAsia"/>
        </w:rPr>
      </w:pPr>
      <w:r>
        <w:rPr>
          <w:rFonts w:hint="eastAsia"/>
        </w:rPr>
        <w:t>4.硬件设备</w:t>
      </w:r>
    </w:p>
    <w:p>
      <w:pPr>
        <w:rPr>
          <w:rFonts w:hint="eastAsia"/>
        </w:rPr>
      </w:pPr>
      <w:r>
        <w:rPr>
          <w:rFonts w:hint="eastAsia"/>
        </w:rPr>
        <w:t>1）物理机，包括：服务器、业务交换机、管理交换机。</w:t>
      </w:r>
    </w:p>
    <w:p>
      <w:pPr>
        <w:rPr>
          <w:rFonts w:hint="eastAsia"/>
        </w:rPr>
      </w:pPr>
      <w:r>
        <w:rPr>
          <w:rFonts w:hint="eastAsia"/>
        </w:rPr>
        <w:t>2）大屏及其配套设备间建设，包括：LED 大屏系统、监管办公区改造、UPS 电源系统、设备间精密空调系统、设备间动力环境监测系统、设备间内部改造等。</w:t>
      </w:r>
    </w:p>
    <w:p>
      <w:pPr>
        <w:pStyle w:val="3"/>
        <w:spacing w:before="160" w:after="160"/>
        <w:rPr>
          <w:rFonts w:hint="eastAsia"/>
        </w:rPr>
      </w:pPr>
      <w:r>
        <w:t>4.1 软件开发</w:t>
      </w:r>
    </w:p>
    <w:p>
      <w:pPr>
        <w:rPr>
          <w:rFonts w:hint="eastAsia"/>
        </w:rPr>
      </w:pPr>
      <w:r>
        <w:rPr>
          <w:rFonts w:hint="eastAsia"/>
        </w:rPr>
        <w:t>本项目的软件开发包括国际数据中心运营管理系统（国际数据中心网络）、国际数据服务管理系统（政务云环境）以及公共能力建设。</w:t>
      </w:r>
    </w:p>
    <w:p>
      <w:pPr>
        <w:rPr>
          <w:rFonts w:hint="eastAsia"/>
        </w:rPr>
      </w:pPr>
      <w:r>
        <w:rPr>
          <w:rFonts w:hint="eastAsia"/>
        </w:rPr>
        <w:t>1）国际数据中心运营管理系统（国际数据中心网络）</w:t>
      </w:r>
    </w:p>
    <w:p>
      <w:pPr>
        <w:rPr>
          <w:rFonts w:hint="eastAsia"/>
          <w:szCs w:val="24"/>
        </w:rPr>
      </w:pPr>
      <w:r>
        <w:rPr>
          <w:rFonts w:hint="eastAsia"/>
          <w:szCs w:val="24"/>
        </w:rPr>
        <w:t>本系统为平台安全稳定运行核心支撑模块，实现国际数据专区物理及网络空间一体化安全管控、全流程闭环安全监管，包含出入管理、体征数据监测、风险监测、监控视频管理、风险处置管理、数据可视化看板、系统对接等模块。具体功能清单如下：</w:t>
      </w:r>
    </w:p>
    <w:p>
      <w:pPr>
        <w:rPr>
          <w:rFonts w:hint="eastAsia"/>
          <w:szCs w:val="24"/>
        </w:rPr>
      </w:pPr>
      <w:r>
        <w:rPr>
          <w:rFonts w:hint="eastAsia"/>
          <w:szCs w:val="24"/>
        </w:rPr>
        <w:t>（1）出入管理</w:t>
      </w:r>
    </w:p>
    <w:p>
      <w:pPr>
        <w:rPr>
          <w:rFonts w:hint="eastAsia"/>
          <w:szCs w:val="24"/>
        </w:rPr>
      </w:pPr>
      <w:r>
        <w:rPr>
          <w:rFonts w:hint="eastAsia"/>
          <w:szCs w:val="24"/>
        </w:rPr>
        <w:t>支持对国际数据中心各类进出人员进行基础信息登记与记录管理，包括人员姓名、所属单位、联系方式、进出事由、进出区域等信息的登记与查询统计。</w:t>
      </w:r>
    </w:p>
    <w:p>
      <w:pPr>
        <w:rPr>
          <w:rFonts w:hint="eastAsia"/>
          <w:szCs w:val="24"/>
        </w:rPr>
      </w:pPr>
      <w:r>
        <w:rPr>
          <w:rFonts w:hint="eastAsia"/>
          <w:szCs w:val="24"/>
        </w:rPr>
        <w:t>（2）体征数据监测</w:t>
      </w:r>
    </w:p>
    <w:p>
      <w:pPr>
        <w:rPr>
          <w:rFonts w:hint="eastAsia"/>
          <w:szCs w:val="24"/>
        </w:rPr>
      </w:pPr>
      <w:r>
        <w:rPr>
          <w:rFonts w:hint="eastAsia"/>
          <w:szCs w:val="24"/>
        </w:rPr>
        <w:t>对国际数据中心各节点运行体征数据进行接入监测与管理，包括数据类型定义、采集接口管理、阈值配置、异常报警及日志记录等，保障数据接入规范与运行可追溯。</w:t>
      </w:r>
    </w:p>
    <w:p>
      <w:pPr>
        <w:rPr>
          <w:rFonts w:hint="eastAsia"/>
          <w:szCs w:val="24"/>
        </w:rPr>
      </w:pPr>
      <w:r>
        <w:rPr>
          <w:rFonts w:hint="eastAsia"/>
          <w:szCs w:val="24"/>
        </w:rPr>
        <w:t>（3）风险监测</w:t>
      </w:r>
    </w:p>
    <w:p>
      <w:pPr>
        <w:rPr>
          <w:rFonts w:hint="eastAsia"/>
          <w:szCs w:val="24"/>
        </w:rPr>
      </w:pPr>
      <w:r>
        <w:rPr>
          <w:rFonts w:hint="eastAsia"/>
          <w:szCs w:val="24"/>
        </w:rPr>
        <w:t>对国际数据中心运行风险进行实时监测与预警，包括风险规则配置、监测引擎、风险预警分级、风险事件全生命周期管理、风险复盘归档及可视化监测。</w:t>
      </w:r>
    </w:p>
    <w:p>
      <w:pPr>
        <w:rPr>
          <w:rFonts w:hint="eastAsia"/>
          <w:szCs w:val="24"/>
        </w:rPr>
      </w:pPr>
      <w:r>
        <w:rPr>
          <w:rFonts w:hint="eastAsia"/>
          <w:szCs w:val="24"/>
        </w:rPr>
        <w:t>（4）监控视频管理</w:t>
      </w:r>
    </w:p>
    <w:p>
      <w:pPr>
        <w:rPr>
          <w:rFonts w:hint="eastAsia"/>
          <w:szCs w:val="24"/>
        </w:rPr>
      </w:pPr>
      <w:r>
        <w:rPr>
          <w:rFonts w:hint="eastAsia"/>
          <w:szCs w:val="24"/>
        </w:rPr>
        <w:t>对国际数据中心各节点及业务专区的监控视频进行统一管理，包括视频系统接入、视频列表展示、实时播放、历史回放及异常预警。</w:t>
      </w:r>
    </w:p>
    <w:p>
      <w:pPr>
        <w:rPr>
          <w:rFonts w:hint="eastAsia"/>
          <w:szCs w:val="24"/>
        </w:rPr>
      </w:pPr>
      <w:r>
        <w:rPr>
          <w:rFonts w:hint="eastAsia"/>
          <w:szCs w:val="24"/>
        </w:rPr>
        <w:t>（5）风险处置管理</w:t>
      </w:r>
    </w:p>
    <w:p>
      <w:pPr>
        <w:rPr>
          <w:rFonts w:hint="eastAsia"/>
          <w:szCs w:val="24"/>
        </w:rPr>
      </w:pPr>
      <w:r>
        <w:rPr>
          <w:rFonts w:hint="eastAsia"/>
          <w:szCs w:val="24"/>
        </w:rPr>
        <w:t>对识别到的风险事件进行处置闭环管理，包括处置通知管理、各节点/专区通知接收管理、处置结果上传与审核闭环。</w:t>
      </w:r>
    </w:p>
    <w:p>
      <w:pPr>
        <w:rPr>
          <w:rFonts w:hint="eastAsia"/>
          <w:szCs w:val="24"/>
        </w:rPr>
      </w:pPr>
      <w:r>
        <w:rPr>
          <w:rFonts w:hint="eastAsia"/>
          <w:szCs w:val="24"/>
        </w:rPr>
        <w:t>（6）数据可视化看板</w:t>
      </w:r>
    </w:p>
    <w:p>
      <w:pPr>
        <w:rPr>
          <w:rFonts w:hint="eastAsia"/>
          <w:szCs w:val="24"/>
        </w:rPr>
      </w:pPr>
      <w:r>
        <w:rPr>
          <w:rFonts w:hint="eastAsia"/>
          <w:szCs w:val="24"/>
        </w:rPr>
        <w:t>以可视化大屏方式集中展示国际数据中心运营态势，包括汇总统计、业务运营态势、网络安全态势、地理空间分布、风险报警、监控视频集成及网络流量监测等。</w:t>
      </w:r>
    </w:p>
    <w:p>
      <w:pPr>
        <w:rPr>
          <w:rFonts w:hint="eastAsia"/>
          <w:szCs w:val="24"/>
        </w:rPr>
      </w:pPr>
      <w:r>
        <w:rPr>
          <w:rFonts w:hint="eastAsia"/>
          <w:szCs w:val="24"/>
        </w:rPr>
        <w:t>（7）系统对接</w:t>
      </w:r>
    </w:p>
    <w:p>
      <w:pPr>
        <w:rPr>
          <w:rFonts w:hint="eastAsia"/>
          <w:szCs w:val="24"/>
        </w:rPr>
      </w:pPr>
      <w:r>
        <w:rPr>
          <w:rFonts w:hint="eastAsia"/>
          <w:szCs w:val="24"/>
        </w:rPr>
        <w:t>实现与国际数据中心现有系统的对接，包括机房管理系统、门禁管理系统、网络安全防护设备、监控视频系统等，获取运行数据与状态信息。</w:t>
      </w:r>
    </w:p>
    <w:p>
      <w:pPr>
        <w:rPr>
          <w:rFonts w:hint="eastAsia"/>
        </w:rPr>
      </w:pPr>
      <w:r>
        <w:rPr>
          <w:rFonts w:hint="eastAsia"/>
          <w:szCs w:val="24"/>
        </w:rPr>
        <w:t>2）</w:t>
      </w:r>
      <w:r>
        <w:rPr>
          <w:rFonts w:hint="eastAsia"/>
        </w:rPr>
        <w:t>国际数据服务管理系统（政务云环境）</w:t>
      </w:r>
    </w:p>
    <w:p>
      <w:pPr>
        <w:rPr>
          <w:rFonts w:hint="eastAsia"/>
          <w:szCs w:val="24"/>
        </w:rPr>
      </w:pPr>
      <w:r>
        <w:rPr>
          <w:rFonts w:hint="eastAsia"/>
          <w:szCs w:val="24"/>
        </w:rPr>
        <w:t>（1）备案监管子系统</w:t>
      </w:r>
    </w:p>
    <w:p>
      <w:pPr>
        <w:rPr>
          <w:rFonts w:hint="eastAsia"/>
          <w:szCs w:val="24"/>
        </w:rPr>
      </w:pPr>
      <w:r>
        <w:rPr>
          <w:rFonts w:hint="eastAsia"/>
          <w:szCs w:val="24"/>
        </w:rPr>
        <w:t>备案监管子系统面向监管部门及备案主体搭建数据跨境业务线上审批与闭环监管一体化体系，覆盖全类型备案线上申报、全流程线上审核审批、备案场景精细化管控、数字化监督检查、政策资讯发布及智能监管分析全流程能力，支撑备案全生命周期线上办理、审批流转留痕归档、业务合规常态化督查与监管数据智能研判。</w:t>
      </w:r>
      <w:r>
        <w:rPr>
          <w:szCs w:val="24"/>
        </w:rPr>
        <w:t>并提供用户指引（备案审批流程可视化指引、政策与模板文件下载）、用户承诺管理（承诺文件上传与管理、承诺备案归档、备案记录查询）、接收方／中转国家IP地址信息录入（兼容IP地址与域名两种方式，并支持与边缘节点、业务专区信息形成逻辑关联）等能力。</w:t>
      </w:r>
    </w:p>
    <w:p>
      <w:pPr>
        <w:rPr>
          <w:rFonts w:hint="eastAsia"/>
          <w:szCs w:val="24"/>
        </w:rPr>
      </w:pPr>
      <w:r>
        <w:rPr>
          <w:rFonts w:hint="eastAsia"/>
          <w:szCs w:val="24"/>
        </w:rPr>
        <w:t>（2）国际业务聚合子系统</w:t>
      </w:r>
    </w:p>
    <w:p>
      <w:pPr>
        <w:rPr>
          <w:rFonts w:hint="eastAsia"/>
          <w:szCs w:val="24"/>
        </w:rPr>
      </w:pPr>
      <w:r>
        <w:rPr>
          <w:rFonts w:hint="eastAsia"/>
          <w:szCs w:val="24"/>
        </w:rPr>
        <w:t>国际业务聚合子系统打造一体化国际数据服务线上门户与供需资源市场，统筹实现各类合规数据服务统一归集展示、多维度检索、在线咨询与供需对接，支持服务提供方主体信息统一管理并同步备案监管数据，提供服务能力发布、审核、上下架及版本全生命周期管控与标准化合规校验，具备企业多维度智能画像研判、平台生态运行指标监测统计、服务评价管理、质量趋势分析及基于大模型的自然语言智能数据分析、可视化报表导出等生态运维配套能力。</w:t>
      </w:r>
    </w:p>
    <w:p>
      <w:pPr>
        <w:rPr>
          <w:rFonts w:hint="eastAsia"/>
        </w:rPr>
      </w:pPr>
      <w:r>
        <w:rPr>
          <w:rFonts w:hint="eastAsia"/>
        </w:rPr>
        <w:t>3）公共能力建设</w:t>
      </w:r>
    </w:p>
    <w:p>
      <w:pPr>
        <w:rPr>
          <w:rFonts w:hint="eastAsia"/>
          <w:szCs w:val="24"/>
        </w:rPr>
      </w:pPr>
      <w:r>
        <w:rPr>
          <w:rFonts w:hint="eastAsia"/>
          <w:szCs w:val="24"/>
        </w:rPr>
        <w:t>（1）纳管数据便捷流通公共服务管理系统</w:t>
      </w:r>
    </w:p>
    <w:p>
      <w:pPr>
        <w:rPr>
          <w:rFonts w:hint="eastAsia"/>
          <w:szCs w:val="24"/>
        </w:rPr>
      </w:pPr>
      <w:r>
        <w:rPr>
          <w:szCs w:val="24"/>
        </w:rPr>
        <w:t>实现与临港新片区数据便捷流通公共服务管理系统的纳管对接，包括：①对接基础配置（系统基础信息登记、对接核心参数配置，支持参数测试与动态修改）；②接口适配对接（核心接口注册与映射、接口模拟调用与参数调试校验，反馈调用结果及错误信息）；③基础数据同步（明确同步范围与全量／增量同步方式，实现双方系统数据格式自动转换与标准化处理）。</w:t>
      </w:r>
    </w:p>
    <w:p>
      <w:pPr>
        <w:rPr>
          <w:rFonts w:hint="eastAsia"/>
          <w:szCs w:val="24"/>
        </w:rPr>
      </w:pPr>
      <w:r>
        <w:rPr>
          <w:rFonts w:hint="eastAsia"/>
          <w:szCs w:val="24"/>
        </w:rPr>
        <w:t>（2）配套公共能力模块</w:t>
      </w:r>
    </w:p>
    <w:p>
      <w:pPr>
        <w:rPr>
          <w:rFonts w:hint="eastAsia"/>
          <w:szCs w:val="24"/>
        </w:rPr>
      </w:pPr>
      <w:r>
        <w:rPr>
          <w:rFonts w:hint="eastAsia"/>
          <w:szCs w:val="24"/>
        </w:rPr>
        <w:t>配套公共能力模块为平台各业务子系统提供统一底层基础支撑能力，实现全平台一体化管控，避免功能重复建设，具备全平台统一身份认证、分级角色权限管控、网关安全防护、全局系统参数配置、全量操作日志审计追溯、</w:t>
      </w:r>
      <w:r>
        <w:rPr>
          <w:szCs w:val="24"/>
        </w:rPr>
        <w:t>对接临港新片区大数据中心</w:t>
      </w:r>
      <w:r>
        <w:rPr>
          <w:rFonts w:hint="eastAsia"/>
          <w:szCs w:val="24"/>
        </w:rPr>
        <w:t>既有</w:t>
      </w:r>
      <w:r>
        <w:rPr>
          <w:szCs w:val="24"/>
        </w:rPr>
        <w:t>的短信服务（用于身份验证码下发与业务通知）</w:t>
      </w:r>
      <w:r>
        <w:rPr>
          <w:rFonts w:hint="eastAsia"/>
          <w:szCs w:val="24"/>
        </w:rPr>
        <w:t>、多外部系统集成对接与工作流统一管理功能，同时支撑平台内点对点即时图文、音视频通信、安全文件传输及沟通记录留存等协同服务能力。</w:t>
      </w:r>
    </w:p>
    <w:p>
      <w:pPr>
        <w:rPr>
          <w:rFonts w:hint="eastAsia"/>
          <w:szCs w:val="24"/>
        </w:rPr>
      </w:pPr>
      <w:r>
        <w:rPr>
          <w:szCs w:val="24"/>
        </w:rPr>
        <w:t>具体功能清单如下：</w:t>
      </w:r>
    </w:p>
    <w:tbl>
      <w:tblPr>
        <w:tblStyle w:val="15"/>
        <w:tblW w:w="499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697"/>
        <w:gridCol w:w="2064"/>
        <w:gridCol w:w="58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880" w:type="pct"/>
            <w:tcBorders>
              <w:top w:val="single" w:color="000000" w:sz="0" w:space="0"/>
              <w:left w:val="single" w:color="000000" w:sz="0" w:space="0"/>
              <w:bottom w:val="single" w:color="000000" w:sz="0" w:space="0"/>
              <w:right w:val="single" w:color="000000" w:sz="0" w:space="0"/>
            </w:tcBorders>
            <w:shd w:val="clear" w:color="auto" w:fill="D9E2F3"/>
            <w:vAlign w:val="center"/>
          </w:tcPr>
          <w:p>
            <w:pPr>
              <w:spacing w:line="360" w:lineRule="auto"/>
              <w:ind w:left="120" w:leftChars="50" w:right="120" w:rightChars="50" w:firstLine="0"/>
              <w:jc w:val="center"/>
              <w:rPr>
                <w:rFonts w:hint="eastAsia"/>
                <w:szCs w:val="24"/>
              </w:rPr>
            </w:pPr>
            <w:r>
              <w:rPr>
                <w:b/>
                <w:bCs/>
                <w:szCs w:val="24"/>
              </w:rPr>
              <w:t>子系统/模块</w:t>
            </w:r>
          </w:p>
        </w:tc>
        <w:tc>
          <w:tcPr>
            <w:tcW w:w="1070" w:type="pct"/>
            <w:tcBorders>
              <w:top w:val="single" w:color="000000" w:sz="0" w:space="0"/>
              <w:left w:val="single" w:color="000000" w:sz="0" w:space="0"/>
              <w:bottom w:val="single" w:color="000000" w:sz="0" w:space="0"/>
              <w:right w:val="single" w:color="000000" w:sz="0" w:space="0"/>
            </w:tcBorders>
            <w:shd w:val="clear" w:color="auto" w:fill="D9E2F3"/>
            <w:vAlign w:val="center"/>
          </w:tcPr>
          <w:p>
            <w:pPr>
              <w:spacing w:line="360" w:lineRule="auto"/>
              <w:ind w:left="120" w:leftChars="50" w:right="120" w:rightChars="50" w:firstLine="0"/>
              <w:jc w:val="center"/>
              <w:rPr>
                <w:rFonts w:hint="eastAsia"/>
                <w:szCs w:val="24"/>
              </w:rPr>
            </w:pPr>
            <w:r>
              <w:rPr>
                <w:b/>
                <w:bCs/>
                <w:szCs w:val="24"/>
              </w:rPr>
              <w:t>功能模块</w:t>
            </w:r>
          </w:p>
        </w:tc>
        <w:tc>
          <w:tcPr>
            <w:tcW w:w="3049" w:type="pct"/>
            <w:tcBorders>
              <w:top w:val="single" w:color="000000" w:sz="0" w:space="0"/>
              <w:left w:val="single" w:color="000000" w:sz="0" w:space="0"/>
              <w:bottom w:val="single" w:color="000000" w:sz="0" w:space="0"/>
              <w:right w:val="single" w:color="000000" w:sz="0" w:space="0"/>
            </w:tcBorders>
            <w:shd w:val="clear" w:color="auto" w:fill="D9E2F3"/>
            <w:vAlign w:val="center"/>
          </w:tcPr>
          <w:p>
            <w:pPr>
              <w:spacing w:line="360" w:lineRule="auto"/>
              <w:ind w:left="120" w:leftChars="50" w:right="120" w:rightChars="50" w:firstLine="0"/>
              <w:jc w:val="center"/>
              <w:rPr>
                <w:rFonts w:hint="eastAsia"/>
                <w:szCs w:val="24"/>
              </w:rPr>
            </w:pPr>
            <w:r>
              <w:rPr>
                <w:b/>
                <w:bCs/>
                <w:szCs w:val="24"/>
              </w:rPr>
              <w:t>功能说明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80" w:type="pct"/>
            <w:vMerge w:val="restart"/>
            <w:tcBorders>
              <w:top w:val="single" w:color="000000" w:sz="0" w:space="0"/>
              <w:left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r>
              <w:rPr>
                <w:rFonts w:hint="eastAsia"/>
              </w:rPr>
              <w:t>国际数据中心运营管理系统（国际数据中心网络）</w:t>
            </w:r>
          </w:p>
        </w:tc>
        <w:tc>
          <w:tcPr>
            <w:tcW w:w="1070" w:type="pct"/>
            <w:tcBorders>
              <w:top w:val="single" w:color="000000" w:sz="0" w:space="0"/>
              <w:left w:val="single" w:color="000000" w:sz="0" w:space="0"/>
              <w:bottom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r>
              <w:t>出入管理</w:t>
            </w:r>
          </w:p>
        </w:tc>
        <w:tc>
          <w:tcPr>
            <w:tcW w:w="3049" w:type="pct"/>
            <w:tcBorders>
              <w:top w:val="single" w:color="000000" w:sz="0" w:space="0"/>
              <w:left w:val="single" w:color="000000" w:sz="0" w:space="0"/>
              <w:bottom w:val="single" w:color="000000" w:sz="0" w:space="0"/>
              <w:right w:val="single" w:color="000000" w:sz="0" w:space="0"/>
            </w:tcBorders>
            <w:vAlign w:val="center"/>
          </w:tcPr>
          <w:p>
            <w:pPr>
              <w:spacing w:line="360" w:lineRule="auto"/>
              <w:ind w:left="120" w:leftChars="50" w:right="120" w:rightChars="50" w:firstLine="0"/>
              <w:rPr>
                <w:rFonts w:hint="eastAsia"/>
                <w:szCs w:val="24"/>
              </w:rPr>
            </w:pPr>
            <w:r>
              <w:t>支持对国际数据中心各类进出人员进行基础信息登记与记录管理，包括人员姓名、所属单位、联系方式、进出事由、进出区域等信息的登记与查询统计。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80" w:type="pct"/>
            <w:vMerge w:val="continue"/>
            <w:tcBorders>
              <w:left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p>
        </w:tc>
        <w:tc>
          <w:tcPr>
            <w:tcW w:w="1070" w:type="pct"/>
            <w:tcBorders>
              <w:top w:val="single" w:color="000000" w:sz="0" w:space="0"/>
              <w:left w:val="single" w:color="000000" w:sz="0" w:space="0"/>
              <w:bottom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r>
              <w:t>体征数据监测</w:t>
            </w:r>
          </w:p>
        </w:tc>
        <w:tc>
          <w:tcPr>
            <w:tcW w:w="3049" w:type="pct"/>
            <w:tcBorders>
              <w:top w:val="single" w:color="000000" w:sz="0" w:space="0"/>
              <w:left w:val="single" w:color="000000" w:sz="0" w:space="0"/>
              <w:bottom w:val="single" w:color="000000" w:sz="0" w:space="0"/>
              <w:right w:val="single" w:color="000000" w:sz="0" w:space="0"/>
            </w:tcBorders>
            <w:vAlign w:val="center"/>
          </w:tcPr>
          <w:p>
            <w:pPr>
              <w:spacing w:line="360" w:lineRule="auto"/>
              <w:ind w:left="120" w:leftChars="50" w:right="120" w:rightChars="50" w:firstLine="0"/>
              <w:rPr>
                <w:rFonts w:hint="eastAsia"/>
                <w:szCs w:val="24"/>
              </w:rPr>
            </w:pPr>
            <w:r>
              <w:t>对国际数据中心各节点运行体征数据进行接入监测与管理，包括数据类型定义、采集接口管理、阈值配置、异常报警及日志记录等，保障数据接入规范与运行可追溯。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80" w:type="pct"/>
            <w:vMerge w:val="continue"/>
            <w:tcBorders>
              <w:left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p>
        </w:tc>
        <w:tc>
          <w:tcPr>
            <w:tcW w:w="1070" w:type="pct"/>
            <w:tcBorders>
              <w:top w:val="single" w:color="000000" w:sz="0" w:space="0"/>
              <w:left w:val="single" w:color="000000" w:sz="0" w:space="0"/>
              <w:bottom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r>
              <w:t>风险监测</w:t>
            </w:r>
          </w:p>
        </w:tc>
        <w:tc>
          <w:tcPr>
            <w:tcW w:w="3049" w:type="pct"/>
            <w:tcBorders>
              <w:top w:val="single" w:color="000000" w:sz="0" w:space="0"/>
              <w:left w:val="single" w:color="000000" w:sz="0" w:space="0"/>
              <w:bottom w:val="single" w:color="000000" w:sz="0" w:space="0"/>
              <w:right w:val="single" w:color="000000" w:sz="0" w:space="0"/>
            </w:tcBorders>
            <w:vAlign w:val="center"/>
          </w:tcPr>
          <w:p>
            <w:pPr>
              <w:spacing w:line="360" w:lineRule="auto"/>
              <w:ind w:left="120" w:leftChars="50" w:right="120" w:rightChars="50" w:firstLine="0"/>
              <w:rPr>
                <w:rFonts w:hint="eastAsia"/>
                <w:szCs w:val="24"/>
              </w:rPr>
            </w:pPr>
            <w:r>
              <w:t>对国际数据中心运行风险进行实时监测与预警，包括风险规则配置、监测引擎、风险预警分级、风险事件全生命周期管理、风险复盘归档及可视化监测。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80" w:type="pct"/>
            <w:vMerge w:val="continue"/>
            <w:tcBorders>
              <w:left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p>
        </w:tc>
        <w:tc>
          <w:tcPr>
            <w:tcW w:w="1070" w:type="pct"/>
            <w:tcBorders>
              <w:top w:val="single" w:color="000000" w:sz="0" w:space="0"/>
              <w:left w:val="single" w:color="000000" w:sz="0" w:space="0"/>
              <w:bottom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r>
              <w:t>监控视频管理</w:t>
            </w:r>
          </w:p>
        </w:tc>
        <w:tc>
          <w:tcPr>
            <w:tcW w:w="3049" w:type="pct"/>
            <w:tcBorders>
              <w:top w:val="single" w:color="000000" w:sz="0" w:space="0"/>
              <w:left w:val="single" w:color="000000" w:sz="0" w:space="0"/>
              <w:bottom w:val="single" w:color="000000" w:sz="0" w:space="0"/>
              <w:right w:val="single" w:color="000000" w:sz="0" w:space="0"/>
            </w:tcBorders>
            <w:vAlign w:val="center"/>
          </w:tcPr>
          <w:p>
            <w:pPr>
              <w:spacing w:line="360" w:lineRule="auto"/>
              <w:ind w:left="120" w:leftChars="50" w:right="120" w:rightChars="50" w:firstLine="0"/>
              <w:rPr>
                <w:rFonts w:hint="eastAsia"/>
                <w:szCs w:val="24"/>
              </w:rPr>
            </w:pPr>
            <w:r>
              <w:t>对国际数据中心各节点及业务专区的监控视频进行统一管理，包括视频系统接入、视频列表展示、实时播放、历史回放及异常预警。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80" w:type="pct"/>
            <w:vMerge w:val="continue"/>
            <w:tcBorders>
              <w:left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p>
        </w:tc>
        <w:tc>
          <w:tcPr>
            <w:tcW w:w="1070" w:type="pct"/>
            <w:tcBorders>
              <w:top w:val="single" w:color="000000" w:sz="0" w:space="0"/>
              <w:left w:val="single" w:color="000000" w:sz="0" w:space="0"/>
              <w:bottom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r>
              <w:t>风险处置管理</w:t>
            </w:r>
          </w:p>
        </w:tc>
        <w:tc>
          <w:tcPr>
            <w:tcW w:w="3049" w:type="pct"/>
            <w:tcBorders>
              <w:top w:val="single" w:color="000000" w:sz="0" w:space="0"/>
              <w:left w:val="single" w:color="000000" w:sz="0" w:space="0"/>
              <w:bottom w:val="single" w:color="000000" w:sz="0" w:space="0"/>
              <w:right w:val="single" w:color="000000" w:sz="0" w:space="0"/>
            </w:tcBorders>
            <w:vAlign w:val="center"/>
          </w:tcPr>
          <w:p>
            <w:pPr>
              <w:spacing w:line="360" w:lineRule="auto"/>
              <w:ind w:left="120" w:leftChars="50" w:right="120" w:rightChars="50" w:firstLine="0"/>
              <w:rPr>
                <w:rFonts w:hint="eastAsia"/>
                <w:szCs w:val="24"/>
              </w:rPr>
            </w:pPr>
            <w:r>
              <w:t>对识别到的风险事件进行处置闭环管理，包括处置通知管理、各节点/专区通知接收管理、处置结果上传与审核闭环。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80" w:type="pct"/>
            <w:vMerge w:val="continue"/>
            <w:tcBorders>
              <w:left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p>
        </w:tc>
        <w:tc>
          <w:tcPr>
            <w:tcW w:w="1070" w:type="pct"/>
            <w:tcBorders>
              <w:top w:val="single" w:color="000000" w:sz="0" w:space="0"/>
              <w:left w:val="single" w:color="000000" w:sz="0" w:space="0"/>
              <w:bottom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r>
              <w:t>数据可视化看板</w:t>
            </w:r>
          </w:p>
        </w:tc>
        <w:tc>
          <w:tcPr>
            <w:tcW w:w="3049" w:type="pct"/>
            <w:tcBorders>
              <w:top w:val="single" w:color="000000" w:sz="0" w:space="0"/>
              <w:left w:val="single" w:color="000000" w:sz="0" w:space="0"/>
              <w:bottom w:val="single" w:color="000000" w:sz="0" w:space="0"/>
              <w:right w:val="single" w:color="000000" w:sz="0" w:space="0"/>
            </w:tcBorders>
            <w:vAlign w:val="center"/>
          </w:tcPr>
          <w:p>
            <w:pPr>
              <w:spacing w:line="360" w:lineRule="auto"/>
              <w:ind w:left="120" w:leftChars="50" w:right="120" w:rightChars="50" w:firstLine="0"/>
              <w:rPr>
                <w:rFonts w:hint="eastAsia"/>
                <w:szCs w:val="24"/>
              </w:rPr>
            </w:pPr>
            <w:r>
              <w:t>以可视化大屏方式集中展示国际数据中心运营态势，包括汇总统计、业务运营态势、网络安全态势、地理空间分布、风险报警、监控视频集成及网络流量监测等。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80" w:type="pct"/>
            <w:vMerge w:val="continue"/>
            <w:tcBorders>
              <w:left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p>
        </w:tc>
        <w:tc>
          <w:tcPr>
            <w:tcW w:w="1070" w:type="pct"/>
            <w:tcBorders>
              <w:top w:val="single" w:color="000000" w:sz="0" w:space="0"/>
              <w:left w:val="single" w:color="000000" w:sz="0" w:space="0"/>
              <w:bottom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r>
              <w:t>系统对接</w:t>
            </w:r>
          </w:p>
        </w:tc>
        <w:tc>
          <w:tcPr>
            <w:tcW w:w="3049" w:type="pct"/>
            <w:tcBorders>
              <w:top w:val="single" w:color="000000" w:sz="0" w:space="0"/>
              <w:left w:val="single" w:color="000000" w:sz="0" w:space="0"/>
              <w:bottom w:val="single" w:color="000000" w:sz="0" w:space="0"/>
              <w:right w:val="single" w:color="000000" w:sz="0" w:space="0"/>
            </w:tcBorders>
            <w:vAlign w:val="center"/>
          </w:tcPr>
          <w:p>
            <w:pPr>
              <w:spacing w:line="360" w:lineRule="auto"/>
              <w:ind w:left="120" w:leftChars="50" w:right="120" w:rightChars="50" w:firstLine="0"/>
              <w:rPr>
                <w:rFonts w:hint="eastAsia"/>
                <w:szCs w:val="24"/>
              </w:rPr>
            </w:pPr>
            <w:r>
              <w:t>实现与国际数据中心现有系统的对接，包括机房管理系统、门禁管理系统、网络安全防护设备、监控视频系统等，获取运行数据与状态信息。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80" w:type="pct"/>
            <w:vMerge w:val="restart"/>
            <w:tcBorders>
              <w:top w:val="single" w:color="000000" w:sz="0" w:space="0"/>
              <w:left w:val="single" w:color="000000" w:sz="0" w:space="0"/>
              <w:right w:val="single" w:color="000000" w:sz="0" w:space="0"/>
            </w:tcBorders>
            <w:vAlign w:val="center"/>
          </w:tcPr>
          <w:p>
            <w:pPr>
              <w:spacing w:line="360" w:lineRule="auto"/>
              <w:ind w:right="120" w:rightChars="50" w:firstLine="0"/>
              <w:jc w:val="center"/>
              <w:rPr>
                <w:rFonts w:hint="eastAsia"/>
                <w:szCs w:val="24"/>
              </w:rPr>
            </w:pPr>
            <w:r>
              <w:rPr>
                <w:rFonts w:hint="eastAsia"/>
              </w:rPr>
              <w:t>国际数据服务管理系统（政务云环境）</w:t>
            </w:r>
          </w:p>
        </w:tc>
        <w:tc>
          <w:tcPr>
            <w:tcW w:w="1070" w:type="pct"/>
            <w:tcBorders>
              <w:top w:val="single" w:color="000000" w:sz="0" w:space="0"/>
              <w:left w:val="single" w:color="000000" w:sz="0" w:space="0"/>
              <w:bottom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r>
              <w:rPr>
                <w:rFonts w:hint="eastAsia"/>
              </w:rPr>
              <w:t>备案监管子系统</w:t>
            </w:r>
          </w:p>
        </w:tc>
        <w:tc>
          <w:tcPr>
            <w:tcW w:w="3049" w:type="pct"/>
            <w:tcBorders>
              <w:top w:val="single" w:color="000000" w:sz="0" w:space="0"/>
              <w:left w:val="single" w:color="000000" w:sz="0" w:space="0"/>
              <w:bottom w:val="single" w:color="000000" w:sz="0" w:space="0"/>
              <w:right w:val="single" w:color="000000" w:sz="0" w:space="0"/>
            </w:tcBorders>
            <w:vAlign w:val="center"/>
          </w:tcPr>
          <w:p>
            <w:pPr>
              <w:spacing w:line="360" w:lineRule="auto"/>
              <w:ind w:left="120" w:leftChars="50" w:right="120" w:rightChars="50" w:firstLine="0"/>
              <w:jc w:val="left"/>
              <w:rPr>
                <w:rFonts w:hint="eastAsia"/>
                <w:szCs w:val="24"/>
              </w:rPr>
            </w:pPr>
            <w:r>
              <w:rPr>
                <w:rFonts w:hint="eastAsia"/>
              </w:rPr>
              <w:t>备案监管子系统面向监管部门及备案主体搭建数据跨境业务线上审批与闭环监管一体化体系，覆盖全类型备案线上申报、全流程线上审核审批、备案场景精细化管控、数字化监督检查、政策资讯发布及智能监管分析全流程能力，支撑备案全生命周期线上办理、审批流转留痕归档、业务合规常态化督查与监管数据智能研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80" w:type="pct"/>
            <w:vMerge w:val="continue"/>
            <w:tcBorders>
              <w:left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p>
        </w:tc>
        <w:tc>
          <w:tcPr>
            <w:tcW w:w="1070" w:type="pct"/>
            <w:tcBorders>
              <w:top w:val="single" w:color="000000" w:sz="0" w:space="0"/>
              <w:left w:val="single" w:color="000000" w:sz="0" w:space="0"/>
              <w:bottom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r>
              <w:rPr>
                <w:rFonts w:hint="eastAsia"/>
                <w:szCs w:val="24"/>
              </w:rPr>
              <w:t>国际业务聚合子系统</w:t>
            </w:r>
          </w:p>
        </w:tc>
        <w:tc>
          <w:tcPr>
            <w:tcW w:w="3049" w:type="pct"/>
            <w:tcBorders>
              <w:top w:val="single" w:color="000000" w:sz="0" w:space="0"/>
              <w:left w:val="single" w:color="000000" w:sz="0" w:space="0"/>
              <w:bottom w:val="single" w:color="000000" w:sz="0" w:space="0"/>
              <w:right w:val="single" w:color="000000" w:sz="0" w:space="0"/>
            </w:tcBorders>
            <w:vAlign w:val="center"/>
          </w:tcPr>
          <w:p>
            <w:pPr>
              <w:spacing w:line="360" w:lineRule="auto"/>
              <w:ind w:left="120" w:leftChars="50" w:right="120" w:rightChars="50" w:firstLine="0"/>
              <w:jc w:val="left"/>
              <w:rPr>
                <w:rFonts w:hint="eastAsia"/>
                <w:szCs w:val="24"/>
              </w:rPr>
            </w:pPr>
            <w:r>
              <w:rPr>
                <w:rFonts w:hint="eastAsia"/>
              </w:rPr>
              <w:t>国际业务聚合子系统打造一体化国际数据服务线上门户与供需资源市场，统筹实现各类合规数据服务统一归集展示、多维度检索、在线咨询与供需对接，支持服务提供方主体信息统一管理并同步备案监管数据，提供服务能力发布、审核、上下架及版本全生命周期管控与标准化合规校验，具备企业多维度智能画像研判、平台生态运行指标监测统计、服务评价管理、质量趋势分析及基于大模型的自然语言智能数据分析、可视化报表导出等生态运维配套能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80" w:type="pct"/>
            <w:vMerge w:val="restart"/>
            <w:tcBorders>
              <w:top w:val="single" w:color="000000" w:sz="0" w:space="0"/>
              <w:left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r>
              <w:rPr>
                <w:rFonts w:hint="eastAsia"/>
              </w:rPr>
              <w:t>公共能力建设</w:t>
            </w:r>
          </w:p>
        </w:tc>
        <w:tc>
          <w:tcPr>
            <w:tcW w:w="1070" w:type="pct"/>
            <w:tcBorders>
              <w:top w:val="single" w:color="000000" w:sz="0" w:space="0"/>
              <w:left w:val="single" w:color="000000" w:sz="0" w:space="0"/>
              <w:bottom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r>
              <w:rPr>
                <w:rFonts w:hint="eastAsia"/>
              </w:rPr>
              <w:t>纳管数据便捷流通公共服务管理系统</w:t>
            </w:r>
          </w:p>
        </w:tc>
        <w:tc>
          <w:tcPr>
            <w:tcW w:w="3049" w:type="pct"/>
            <w:tcBorders>
              <w:top w:val="single" w:color="000000" w:sz="0" w:space="0"/>
              <w:left w:val="single" w:color="000000" w:sz="0" w:space="0"/>
              <w:bottom w:val="single" w:color="000000" w:sz="0" w:space="0"/>
              <w:right w:val="single" w:color="000000" w:sz="0" w:space="0"/>
            </w:tcBorders>
            <w:vAlign w:val="center"/>
          </w:tcPr>
          <w:p>
            <w:pPr>
              <w:spacing w:line="360" w:lineRule="auto"/>
              <w:ind w:left="120" w:leftChars="50" w:right="120" w:rightChars="50" w:firstLine="0"/>
              <w:jc w:val="left"/>
              <w:rPr>
                <w:rFonts w:hint="eastAsia"/>
                <w:szCs w:val="24"/>
              </w:rPr>
            </w:pPr>
            <w:r>
              <w:rPr>
                <w:szCs w:val="24"/>
              </w:rPr>
              <w:t>实现与临港新片区数据便捷流通公共服务管理系统的纳管对接，包括实现与临港新片区数据便捷流通公共服务管理系统单点登录打通等建设。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80" w:type="pct"/>
            <w:vMerge w:val="continue"/>
            <w:tcBorders>
              <w:left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p>
        </w:tc>
        <w:tc>
          <w:tcPr>
            <w:tcW w:w="1070" w:type="pct"/>
            <w:tcBorders>
              <w:top w:val="single" w:color="000000" w:sz="0" w:space="0"/>
              <w:left w:val="single" w:color="000000" w:sz="0" w:space="0"/>
              <w:bottom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r>
              <w:rPr>
                <w:rFonts w:hint="eastAsia"/>
              </w:rPr>
              <w:t>配套公共能力模块</w:t>
            </w:r>
          </w:p>
        </w:tc>
        <w:tc>
          <w:tcPr>
            <w:tcW w:w="3049" w:type="pct"/>
            <w:tcBorders>
              <w:top w:val="single" w:color="000000" w:sz="0" w:space="0"/>
              <w:left w:val="single" w:color="000000" w:sz="0" w:space="0"/>
              <w:bottom w:val="single" w:color="000000" w:sz="0" w:space="0"/>
              <w:right w:val="single" w:color="000000" w:sz="0" w:space="0"/>
            </w:tcBorders>
            <w:vAlign w:val="center"/>
          </w:tcPr>
          <w:p>
            <w:pPr>
              <w:spacing w:line="360" w:lineRule="auto"/>
              <w:ind w:left="120" w:leftChars="50" w:right="120" w:rightChars="50" w:firstLine="0"/>
              <w:jc w:val="left"/>
              <w:rPr>
                <w:rFonts w:hint="eastAsia"/>
                <w:szCs w:val="24"/>
              </w:rPr>
            </w:pPr>
            <w:r>
              <w:rPr>
                <w:rFonts w:hint="eastAsia"/>
                <w:szCs w:val="24"/>
              </w:rPr>
              <w:t>配套公共能力模块为平台各业务子系统提供统一底层基础支撑能力，实现全平台一体化管控，避免功能重复建设，具备全平台统一身份认证、分级角色权限管控、网关安全防护、全局系统参数配置、全量操作日志审计追溯、</w:t>
            </w:r>
            <w:r>
              <w:rPr>
                <w:szCs w:val="24"/>
              </w:rPr>
              <w:t>对接临港新片区大数据中心已建成的短信服务（用于身份验证码下发与业务通知）</w:t>
            </w:r>
            <w:r>
              <w:rPr>
                <w:rFonts w:hint="eastAsia"/>
                <w:szCs w:val="24"/>
              </w:rPr>
              <w:t>、多外部系统集成对接与工作流统一管理功能，同时支撑平台内点对点即时图文、音视频通信、安全文件传输及沟通记录留存等协同服务能力。</w:t>
            </w:r>
          </w:p>
        </w:tc>
      </w:tr>
    </w:tbl>
    <w:p>
      <w:pPr>
        <w:rPr>
          <w:rFonts w:hint="eastAsia"/>
        </w:rPr>
      </w:pPr>
    </w:p>
    <w:p>
      <w:pPr>
        <w:pStyle w:val="3"/>
        <w:spacing w:before="160" w:after="160"/>
        <w:rPr>
          <w:rFonts w:hint="eastAsia"/>
        </w:rPr>
      </w:pPr>
      <w:r>
        <w:t>4.2 成品软件</w:t>
      </w:r>
    </w:p>
    <w:p>
      <w:pPr>
        <w:rPr>
          <w:rFonts w:hint="eastAsia"/>
          <w:szCs w:val="24"/>
        </w:rPr>
      </w:pPr>
      <w:r>
        <w:rPr>
          <w:szCs w:val="24"/>
        </w:rPr>
        <w:t>本项目</w:t>
      </w:r>
      <w:r>
        <w:rPr>
          <w:rFonts w:hint="eastAsia"/>
          <w:szCs w:val="24"/>
        </w:rPr>
        <w:t>选用的成品软件</w:t>
      </w:r>
      <w:r>
        <w:rPr>
          <w:szCs w:val="24"/>
        </w:rPr>
        <w:t>建设应满足</w:t>
      </w:r>
      <w:r>
        <w:rPr>
          <w:rFonts w:hint="eastAsia"/>
          <w:szCs w:val="24"/>
          <w:lang w:eastAsia="zh-CN"/>
        </w:rPr>
        <w:t>XC</w:t>
      </w:r>
      <w:r>
        <w:rPr>
          <w:szCs w:val="24"/>
        </w:rPr>
        <w:t>要求，采用具有我国自主知识产权的软件产品。包括关系数据库、操作系统和中间件。</w:t>
      </w:r>
    </w:p>
    <w:p>
      <w:pPr>
        <w:rPr>
          <w:rFonts w:hint="eastAsia"/>
          <w:szCs w:val="24"/>
        </w:rPr>
      </w:pPr>
      <w:r>
        <w:rPr>
          <w:rFonts w:hint="eastAsia"/>
          <w:szCs w:val="24"/>
        </w:rPr>
        <w:t>1</w:t>
      </w:r>
      <w:r>
        <w:rPr>
          <w:szCs w:val="24"/>
        </w:rPr>
        <w:t>）关系数据库</w:t>
      </w:r>
    </w:p>
    <w:p>
      <w:pPr>
        <w:rPr>
          <w:rFonts w:hint="eastAsia"/>
          <w:szCs w:val="24"/>
        </w:rPr>
      </w:pPr>
      <w:r>
        <w:rPr>
          <w:szCs w:val="24"/>
        </w:rPr>
        <w:t>国产关系型数据库，兼容SQL标准，支持高并发事务处理与高可用部署，兼容国产操作系统与国产CPU架构。</w:t>
      </w:r>
    </w:p>
    <w:p>
      <w:pPr>
        <w:rPr>
          <w:rFonts w:hint="eastAsia"/>
          <w:szCs w:val="24"/>
        </w:rPr>
      </w:pPr>
      <w:r>
        <w:rPr>
          <w:rFonts w:hint="eastAsia"/>
          <w:szCs w:val="24"/>
        </w:rPr>
        <w:t>2</w:t>
      </w:r>
      <w:r>
        <w:rPr>
          <w:szCs w:val="24"/>
        </w:rPr>
        <w:t>）操作系统</w:t>
      </w:r>
    </w:p>
    <w:p>
      <w:pPr>
        <w:rPr>
          <w:rFonts w:hint="eastAsia"/>
          <w:szCs w:val="24"/>
        </w:rPr>
      </w:pPr>
      <w:r>
        <w:rPr>
          <w:szCs w:val="24"/>
        </w:rPr>
        <w:t>支持国产CPU架构的服务器操作系统，提供图形化与命令行管理接口，支持系统配置备份、故障诊断与日志审计等功能。</w:t>
      </w:r>
    </w:p>
    <w:p>
      <w:pPr>
        <w:rPr>
          <w:rFonts w:hint="eastAsia"/>
          <w:szCs w:val="24"/>
        </w:rPr>
      </w:pPr>
      <w:r>
        <w:rPr>
          <w:szCs w:val="24"/>
        </w:rPr>
        <w:t>3）中间件</w:t>
      </w:r>
    </w:p>
    <w:p>
      <w:pPr>
        <w:rPr>
          <w:rFonts w:hint="eastAsia"/>
          <w:szCs w:val="24"/>
        </w:rPr>
      </w:pPr>
      <w:r>
        <w:rPr>
          <w:szCs w:val="24"/>
        </w:rPr>
        <w:t>国产应用中间件，支持Java EE规范，具备负载均衡、分布式事务管理、安全认证等功能，兼容国产操作系统、国产CPU与国产数据库。</w:t>
      </w:r>
    </w:p>
    <w:p>
      <w:pPr>
        <w:rPr>
          <w:rFonts w:hint="eastAsia"/>
          <w:szCs w:val="24"/>
        </w:rPr>
      </w:pPr>
      <w:r>
        <w:rPr>
          <w:szCs w:val="24"/>
        </w:rPr>
        <w:t>具体能力要求如下：</w:t>
      </w:r>
    </w:p>
    <w:tbl>
      <w:tblPr>
        <w:tblStyle w:val="1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024"/>
        <w:gridCol w:w="7641"/>
        <w:gridCol w:w="9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530" w:type="pct"/>
            <w:tcBorders>
              <w:top w:val="single" w:color="000000" w:sz="0" w:space="0"/>
              <w:left w:val="single" w:color="000000" w:sz="0" w:space="0"/>
              <w:bottom w:val="single" w:color="000000" w:sz="0" w:space="0"/>
              <w:right w:val="single" w:color="000000" w:sz="0" w:space="0"/>
            </w:tcBorders>
            <w:shd w:val="clear" w:color="auto" w:fill="D9E2F3"/>
            <w:vAlign w:val="center"/>
          </w:tcPr>
          <w:p>
            <w:pPr>
              <w:spacing w:line="480" w:lineRule="auto"/>
              <w:ind w:left="120" w:leftChars="50" w:right="120" w:rightChars="50" w:firstLine="0"/>
              <w:jc w:val="center"/>
              <w:rPr>
                <w:rFonts w:hint="eastAsia"/>
              </w:rPr>
            </w:pPr>
            <w:r>
              <w:rPr>
                <w:rFonts w:hint="eastAsia"/>
                <w:b/>
                <w:bCs/>
                <w:szCs w:val="24"/>
              </w:rPr>
              <w:t>能力类别</w:t>
            </w:r>
          </w:p>
        </w:tc>
        <w:tc>
          <w:tcPr>
            <w:tcW w:w="3956" w:type="pct"/>
            <w:tcBorders>
              <w:top w:val="single" w:color="000000" w:sz="0" w:space="0"/>
              <w:left w:val="single" w:color="000000" w:sz="0" w:space="0"/>
              <w:bottom w:val="single" w:color="000000" w:sz="0" w:space="0"/>
              <w:right w:val="single" w:color="000000" w:sz="0" w:space="0"/>
            </w:tcBorders>
            <w:shd w:val="clear" w:color="auto" w:fill="D9E2F3"/>
            <w:vAlign w:val="center"/>
          </w:tcPr>
          <w:p>
            <w:pPr>
              <w:spacing w:line="480" w:lineRule="auto"/>
              <w:ind w:left="120" w:leftChars="50" w:right="120" w:rightChars="50" w:firstLine="0"/>
              <w:jc w:val="center"/>
              <w:rPr>
                <w:rFonts w:hint="eastAsia"/>
              </w:rPr>
            </w:pPr>
            <w:r>
              <w:rPr>
                <w:rFonts w:hint="eastAsia"/>
                <w:b/>
                <w:bCs/>
                <w:szCs w:val="24"/>
              </w:rPr>
              <w:t>要求说明</w:t>
            </w:r>
          </w:p>
        </w:tc>
        <w:tc>
          <w:tcPr>
            <w:tcW w:w="514" w:type="pct"/>
            <w:tcBorders>
              <w:top w:val="single" w:color="000000" w:sz="0" w:space="0"/>
              <w:left w:val="single" w:color="000000" w:sz="0" w:space="0"/>
              <w:bottom w:val="single" w:color="000000" w:sz="0" w:space="0"/>
              <w:right w:val="single" w:color="000000" w:sz="0" w:space="0"/>
            </w:tcBorders>
            <w:shd w:val="clear" w:color="auto" w:fill="D9E2F3"/>
            <w:vAlign w:val="center"/>
          </w:tcPr>
          <w:p>
            <w:pPr>
              <w:spacing w:line="480" w:lineRule="auto"/>
              <w:ind w:right="120" w:rightChars="50" w:firstLine="0"/>
              <w:jc w:val="center"/>
              <w:rPr>
                <w:rFonts w:hint="eastAsia"/>
                <w:b/>
                <w:bCs/>
                <w:szCs w:val="24"/>
              </w:rPr>
            </w:pPr>
            <w:r>
              <w:rPr>
                <w:rFonts w:hint="eastAsia"/>
                <w:b/>
                <w:bCs/>
                <w:szCs w:val="24"/>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0" w:type="pct"/>
            <w:tcBorders>
              <w:top w:val="single" w:color="000000" w:sz="0" w:space="0"/>
              <w:left w:val="single" w:color="000000" w:sz="0" w:space="0"/>
              <w:bottom w:val="single" w:color="000000" w:sz="0" w:space="0"/>
              <w:right w:val="single" w:color="000000" w:sz="0" w:space="0"/>
            </w:tcBorders>
            <w:vAlign w:val="center"/>
          </w:tcPr>
          <w:p>
            <w:pPr>
              <w:spacing w:line="480" w:lineRule="auto"/>
              <w:ind w:left="120" w:leftChars="50" w:right="120" w:rightChars="50" w:firstLine="0"/>
              <w:jc w:val="center"/>
              <w:rPr>
                <w:rFonts w:hint="eastAsia"/>
              </w:rPr>
            </w:pPr>
            <w:r>
              <w:rPr>
                <w:rFonts w:hint="eastAsia"/>
                <w:szCs w:val="24"/>
              </w:rPr>
              <w:t>关系型数据库</w:t>
            </w:r>
          </w:p>
        </w:tc>
        <w:tc>
          <w:tcPr>
            <w:tcW w:w="3956" w:type="pct"/>
            <w:tcBorders>
              <w:top w:val="single" w:color="000000" w:sz="0" w:space="0"/>
              <w:left w:val="single" w:color="000000" w:sz="0" w:space="0"/>
              <w:bottom w:val="single" w:color="000000" w:sz="0" w:space="0"/>
              <w:right w:val="single" w:color="000000" w:sz="0" w:space="0"/>
            </w:tcBorders>
            <w:vAlign w:val="center"/>
          </w:tcPr>
          <w:p>
            <w:pPr>
              <w:spacing w:line="360" w:lineRule="auto"/>
              <w:ind w:left="120" w:leftChars="50" w:right="120" w:rightChars="50" w:firstLine="0"/>
              <w:rPr>
                <w:rFonts w:hint="eastAsia"/>
              </w:rPr>
            </w:pPr>
            <w:r>
              <w:rPr>
                <w:rFonts w:hint="eastAsia"/>
                <w:szCs w:val="24"/>
              </w:rPr>
              <w:t>选用国产关系型数据库，兼容SQL标准，支持大规模并发事务处理（TPS≥5000），具备数据备份、恢复与高可用特性，支持主从复制、集群部署及故障自动切换，保障数据服务连续性；兼容国产操作系统与国产CPU架构。</w:t>
            </w:r>
          </w:p>
        </w:tc>
        <w:tc>
          <w:tcPr>
            <w:tcW w:w="514" w:type="pct"/>
            <w:tcBorders>
              <w:top w:val="single" w:color="000000" w:sz="0" w:space="0"/>
              <w:left w:val="single" w:color="000000" w:sz="0" w:space="0"/>
              <w:bottom w:val="single" w:color="000000" w:sz="0" w:space="0"/>
              <w:right w:val="single" w:color="000000" w:sz="0" w:space="0"/>
            </w:tcBorders>
            <w:vAlign w:val="center"/>
          </w:tcPr>
          <w:p>
            <w:pPr>
              <w:spacing w:line="360" w:lineRule="auto"/>
              <w:ind w:right="120" w:rightChars="50" w:firstLine="0"/>
              <w:jc w:val="center"/>
              <w:rPr>
                <w:rFonts w:hint="eastAsia"/>
                <w:szCs w:val="24"/>
              </w:rPr>
            </w:pPr>
            <w:r>
              <w:rPr>
                <w:rFonts w:hint="eastAsia"/>
                <w:szCs w:val="24"/>
              </w:rPr>
              <w:t>2套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0" w:type="pct"/>
            <w:tcBorders>
              <w:top w:val="single" w:color="000000" w:sz="0" w:space="0"/>
              <w:left w:val="single" w:color="000000" w:sz="0" w:space="0"/>
              <w:bottom w:val="single" w:color="000000" w:sz="0" w:space="0"/>
              <w:right w:val="single" w:color="000000" w:sz="0" w:space="0"/>
            </w:tcBorders>
            <w:vAlign w:val="center"/>
          </w:tcPr>
          <w:p>
            <w:pPr>
              <w:spacing w:line="480" w:lineRule="auto"/>
              <w:ind w:left="120" w:leftChars="50" w:right="120" w:rightChars="50" w:firstLine="0"/>
              <w:jc w:val="center"/>
              <w:rPr>
                <w:rFonts w:hint="eastAsia"/>
              </w:rPr>
            </w:pPr>
            <w:r>
              <w:rPr>
                <w:rFonts w:hint="eastAsia"/>
                <w:szCs w:val="24"/>
              </w:rPr>
              <w:t>操作系统</w:t>
            </w:r>
          </w:p>
        </w:tc>
        <w:tc>
          <w:tcPr>
            <w:tcW w:w="3956" w:type="pct"/>
            <w:tcBorders>
              <w:top w:val="single" w:color="000000" w:sz="0" w:space="0"/>
              <w:left w:val="single" w:color="000000" w:sz="0" w:space="0"/>
              <w:bottom w:val="single" w:color="000000" w:sz="0" w:space="0"/>
              <w:right w:val="single" w:color="000000" w:sz="0" w:space="0"/>
            </w:tcBorders>
            <w:vAlign w:val="center"/>
          </w:tcPr>
          <w:p>
            <w:pPr>
              <w:spacing w:line="360" w:lineRule="auto"/>
              <w:ind w:left="120" w:leftChars="50" w:right="120" w:rightChars="50" w:firstLine="0"/>
              <w:rPr>
                <w:rFonts w:hint="eastAsia"/>
              </w:rPr>
            </w:pPr>
            <w:r>
              <w:rPr>
                <w:rFonts w:hint="eastAsia"/>
                <w:szCs w:val="24"/>
              </w:rPr>
              <w:t>支持国产CPU架构的服务器操作系统，提供图形化桌面管理工具与命令行管理接口，支持系统配置备份、故障诊断、日志审计等功能。</w:t>
            </w:r>
          </w:p>
        </w:tc>
        <w:tc>
          <w:tcPr>
            <w:tcW w:w="514" w:type="pct"/>
            <w:tcBorders>
              <w:top w:val="single" w:color="000000" w:sz="0" w:space="0"/>
              <w:left w:val="single" w:color="000000" w:sz="0" w:space="0"/>
              <w:bottom w:val="single" w:color="000000" w:sz="0" w:space="0"/>
              <w:right w:val="single" w:color="000000" w:sz="0" w:space="0"/>
            </w:tcBorders>
            <w:vAlign w:val="center"/>
          </w:tcPr>
          <w:p>
            <w:pPr>
              <w:spacing w:line="360" w:lineRule="auto"/>
              <w:ind w:right="120" w:rightChars="50" w:firstLine="0"/>
              <w:jc w:val="center"/>
              <w:rPr>
                <w:rFonts w:hint="eastAsia"/>
                <w:szCs w:val="24"/>
              </w:rPr>
            </w:pPr>
            <w:r>
              <w:rPr>
                <w:rFonts w:hint="eastAsia"/>
                <w:szCs w:val="24"/>
              </w:rPr>
              <w:t>8套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30" w:type="pct"/>
            <w:tcBorders>
              <w:top w:val="single" w:color="000000" w:sz="0" w:space="0"/>
              <w:left w:val="single" w:color="000000" w:sz="0" w:space="0"/>
              <w:bottom w:val="single" w:color="000000" w:sz="0" w:space="0"/>
              <w:right w:val="single" w:color="000000" w:sz="0" w:space="0"/>
            </w:tcBorders>
            <w:vAlign w:val="center"/>
          </w:tcPr>
          <w:p>
            <w:pPr>
              <w:spacing w:line="480" w:lineRule="auto"/>
              <w:ind w:left="120" w:leftChars="50" w:right="120" w:rightChars="50" w:firstLine="0"/>
              <w:jc w:val="center"/>
              <w:rPr>
                <w:rFonts w:hint="eastAsia"/>
              </w:rPr>
            </w:pPr>
            <w:r>
              <w:rPr>
                <w:rFonts w:hint="eastAsia"/>
                <w:szCs w:val="24"/>
              </w:rPr>
              <w:t>应用中间件</w:t>
            </w:r>
          </w:p>
        </w:tc>
        <w:tc>
          <w:tcPr>
            <w:tcW w:w="3956" w:type="pct"/>
            <w:tcBorders>
              <w:top w:val="single" w:color="000000" w:sz="0" w:space="0"/>
              <w:left w:val="single" w:color="000000" w:sz="0" w:space="0"/>
              <w:bottom w:val="single" w:color="000000" w:sz="0" w:space="0"/>
              <w:right w:val="single" w:color="000000" w:sz="0" w:space="0"/>
            </w:tcBorders>
            <w:vAlign w:val="center"/>
          </w:tcPr>
          <w:p>
            <w:pPr>
              <w:spacing w:line="360" w:lineRule="auto"/>
              <w:ind w:left="120" w:leftChars="50" w:right="120" w:rightChars="50" w:firstLine="0"/>
              <w:rPr>
                <w:rFonts w:hint="eastAsia"/>
              </w:rPr>
            </w:pPr>
            <w:r>
              <w:rPr>
                <w:rFonts w:hint="eastAsia"/>
              </w:rPr>
              <w:t>选用国产应用中间件，支持Java EE规范，具备负载均衡、分布式事务管理、缓存管理、安全认证（支持USBKey、短信验证码）、会话共享等功能；支持分布式应用部署，节点负载分担与故障自动恢复；单节点最大并发连接数≥1万，每秒处理请求数≥5000；兼容国产操作系统、国产CPU与国产数据库。</w:t>
            </w:r>
          </w:p>
        </w:tc>
        <w:tc>
          <w:tcPr>
            <w:tcW w:w="514" w:type="pct"/>
            <w:tcBorders>
              <w:top w:val="single" w:color="000000" w:sz="0" w:space="0"/>
              <w:left w:val="single" w:color="000000" w:sz="0" w:space="0"/>
              <w:bottom w:val="single" w:color="000000" w:sz="0" w:space="0"/>
              <w:right w:val="single" w:color="000000" w:sz="0" w:space="0"/>
            </w:tcBorders>
            <w:vAlign w:val="center"/>
          </w:tcPr>
          <w:p>
            <w:pPr>
              <w:spacing w:line="360" w:lineRule="auto"/>
              <w:ind w:right="120" w:rightChars="50" w:firstLine="0"/>
              <w:jc w:val="center"/>
              <w:rPr>
                <w:rFonts w:hint="eastAsia"/>
              </w:rPr>
            </w:pPr>
            <w:r>
              <w:rPr>
                <w:rFonts w:hint="eastAsia"/>
              </w:rPr>
              <w:t>8套</w:t>
            </w:r>
          </w:p>
        </w:tc>
      </w:tr>
    </w:tbl>
    <w:p>
      <w:pPr>
        <w:rPr>
          <w:rFonts w:hint="eastAsia"/>
        </w:rPr>
      </w:pPr>
    </w:p>
    <w:p>
      <w:pPr>
        <w:pStyle w:val="3"/>
        <w:spacing w:before="160" w:after="160"/>
        <w:rPr>
          <w:rFonts w:hint="eastAsia"/>
        </w:rPr>
      </w:pPr>
      <w:r>
        <w:t>4.3 安全</w:t>
      </w:r>
      <w:r>
        <w:rPr>
          <w:rFonts w:hint="eastAsia"/>
        </w:rPr>
        <w:t>产品</w:t>
      </w:r>
    </w:p>
    <w:p>
      <w:pPr>
        <w:pStyle w:val="8"/>
        <w:jc w:val="both"/>
        <w:rPr>
          <w:rFonts w:hint="eastAsia"/>
          <w:szCs w:val="24"/>
        </w:rPr>
      </w:pPr>
      <w:r>
        <w:rPr>
          <w:szCs w:val="24"/>
        </w:rPr>
        <w:t>本项目安全</w:t>
      </w:r>
      <w:r>
        <w:rPr>
          <w:rFonts w:hint="eastAsia"/>
          <w:szCs w:val="24"/>
        </w:rPr>
        <w:t>需</w:t>
      </w:r>
      <w:r>
        <w:rPr>
          <w:szCs w:val="24"/>
        </w:rPr>
        <w:t>配套部署安全防护设施</w:t>
      </w:r>
      <w:r>
        <w:rPr>
          <w:rFonts w:hint="eastAsia"/>
          <w:szCs w:val="24"/>
        </w:rPr>
        <w:t>，</w:t>
      </w:r>
      <w:r>
        <w:rPr>
          <w:szCs w:val="24"/>
        </w:rPr>
        <w:t>包括边界防火墙、日志审计、运维审计、终端杀毒和运维管理。</w:t>
      </w:r>
    </w:p>
    <w:p>
      <w:pPr>
        <w:rPr>
          <w:rFonts w:hint="eastAsia"/>
          <w:szCs w:val="24"/>
        </w:rPr>
      </w:pPr>
      <w:r>
        <w:rPr>
          <w:szCs w:val="24"/>
        </w:rPr>
        <w:t>1）边界防火墙</w:t>
      </w:r>
    </w:p>
    <w:p>
      <w:pPr>
        <w:rPr>
          <w:rFonts w:hint="eastAsia"/>
          <w:szCs w:val="24"/>
        </w:rPr>
      </w:pPr>
      <w:r>
        <w:rPr>
          <w:szCs w:val="24"/>
        </w:rPr>
        <w:t>具备网络边界访问控制与安全防护能力，支持入侵检测与防御，防御各类常见网络攻击。</w:t>
      </w:r>
    </w:p>
    <w:p>
      <w:pPr>
        <w:rPr>
          <w:rFonts w:hint="eastAsia"/>
          <w:szCs w:val="24"/>
        </w:rPr>
      </w:pPr>
      <w:r>
        <w:rPr>
          <w:szCs w:val="24"/>
        </w:rPr>
        <w:t>2）日志审计</w:t>
      </w:r>
    </w:p>
    <w:p>
      <w:pPr>
        <w:rPr>
          <w:rFonts w:hint="eastAsia"/>
          <w:szCs w:val="24"/>
        </w:rPr>
      </w:pPr>
      <w:r>
        <w:rPr>
          <w:szCs w:val="24"/>
        </w:rPr>
        <w:t>具备网络安全日志采集、存储与分析能力，支持多维度安全状况审计与回查。</w:t>
      </w:r>
    </w:p>
    <w:p>
      <w:pPr>
        <w:rPr>
          <w:rFonts w:hint="eastAsia"/>
          <w:szCs w:val="24"/>
        </w:rPr>
      </w:pPr>
      <w:r>
        <w:rPr>
          <w:szCs w:val="24"/>
        </w:rPr>
        <w:t>3）运维审计</w:t>
      </w:r>
    </w:p>
    <w:p>
      <w:pPr>
        <w:rPr>
          <w:rFonts w:hint="eastAsia"/>
          <w:szCs w:val="24"/>
        </w:rPr>
      </w:pPr>
      <w:r>
        <w:rPr>
          <w:szCs w:val="24"/>
        </w:rPr>
        <w:t>具备运维操作审计能力，支持多协议运维代理，实现运维人员身份认证、操作录制与回放，以及数据流转全链路审计。</w:t>
      </w:r>
    </w:p>
    <w:p>
      <w:pPr>
        <w:rPr>
          <w:rFonts w:hint="eastAsia"/>
          <w:szCs w:val="24"/>
        </w:rPr>
      </w:pPr>
      <w:r>
        <w:rPr>
          <w:szCs w:val="24"/>
        </w:rPr>
        <w:t>4）终端杀毒</w:t>
      </w:r>
    </w:p>
    <w:p>
      <w:pPr>
        <w:rPr>
          <w:rFonts w:hint="eastAsia"/>
          <w:szCs w:val="24"/>
        </w:rPr>
      </w:pPr>
      <w:r>
        <w:rPr>
          <w:szCs w:val="24"/>
        </w:rPr>
        <w:t>具备终端病毒查杀与主机安全防护能力，采用内核驱动级威胁防护，兼容国产操作系统与国产CPU架构。</w:t>
      </w:r>
    </w:p>
    <w:p>
      <w:pPr>
        <w:rPr>
          <w:rFonts w:hint="eastAsia"/>
          <w:szCs w:val="24"/>
        </w:rPr>
      </w:pPr>
      <w:r>
        <w:rPr>
          <w:szCs w:val="24"/>
        </w:rPr>
        <w:t>5）运维管理</w:t>
      </w:r>
    </w:p>
    <w:p>
      <w:pPr>
        <w:rPr>
          <w:rFonts w:hint="eastAsia"/>
          <w:szCs w:val="24"/>
        </w:rPr>
      </w:pPr>
      <w:r>
        <w:rPr>
          <w:szCs w:val="24"/>
        </w:rPr>
        <w:t>具备IT基础设施统一监控与运维管理能力，实现对服务器、网络设备、安全设备等的集中化管理与智能告警关联。</w:t>
      </w:r>
    </w:p>
    <w:p>
      <w:pPr>
        <w:rPr>
          <w:rFonts w:hint="eastAsia"/>
        </w:rPr>
      </w:pPr>
      <w:r>
        <w:rPr>
          <w:szCs w:val="24"/>
        </w:rPr>
        <w:t>具体能力要求如下：</w:t>
      </w:r>
    </w:p>
    <w:tbl>
      <w:tblPr>
        <w:tblStyle w:val="1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979"/>
        <w:gridCol w:w="7686"/>
        <w:gridCol w:w="9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507" w:type="pct"/>
            <w:tcBorders>
              <w:top w:val="single" w:color="000000" w:sz="0" w:space="0"/>
              <w:left w:val="single" w:color="000000" w:sz="0" w:space="0"/>
              <w:bottom w:val="single" w:color="000000" w:sz="0" w:space="0"/>
              <w:right w:val="single" w:color="000000" w:sz="0" w:space="0"/>
            </w:tcBorders>
            <w:shd w:val="clear" w:color="auto" w:fill="D9E2F3"/>
            <w:vAlign w:val="center"/>
          </w:tcPr>
          <w:p>
            <w:pPr>
              <w:spacing w:line="360" w:lineRule="auto"/>
              <w:ind w:left="120" w:leftChars="50" w:right="120" w:rightChars="50" w:firstLine="0"/>
              <w:jc w:val="center"/>
              <w:rPr>
                <w:rFonts w:hint="eastAsia"/>
                <w:szCs w:val="24"/>
              </w:rPr>
            </w:pPr>
            <w:r>
              <w:rPr>
                <w:b/>
                <w:bCs/>
                <w:szCs w:val="24"/>
              </w:rPr>
              <w:t>能力类别</w:t>
            </w:r>
          </w:p>
        </w:tc>
        <w:tc>
          <w:tcPr>
            <w:tcW w:w="3979" w:type="pct"/>
            <w:tcBorders>
              <w:top w:val="single" w:color="000000" w:sz="0" w:space="0"/>
              <w:left w:val="single" w:color="000000" w:sz="0" w:space="0"/>
              <w:bottom w:val="single" w:color="000000" w:sz="0" w:space="0"/>
              <w:right w:val="single" w:color="000000" w:sz="0" w:space="0"/>
            </w:tcBorders>
            <w:shd w:val="clear" w:color="auto" w:fill="D9E2F3"/>
            <w:vAlign w:val="center"/>
          </w:tcPr>
          <w:p>
            <w:pPr>
              <w:spacing w:line="360" w:lineRule="auto"/>
              <w:ind w:left="120" w:leftChars="50" w:right="120" w:rightChars="50" w:firstLine="0"/>
              <w:jc w:val="center"/>
              <w:rPr>
                <w:rFonts w:hint="eastAsia"/>
                <w:szCs w:val="24"/>
              </w:rPr>
            </w:pPr>
            <w:r>
              <w:rPr>
                <w:b/>
                <w:bCs/>
                <w:szCs w:val="24"/>
              </w:rPr>
              <w:t>要求说明</w:t>
            </w:r>
          </w:p>
        </w:tc>
        <w:tc>
          <w:tcPr>
            <w:tcW w:w="514" w:type="pct"/>
            <w:tcBorders>
              <w:top w:val="single" w:color="000000" w:sz="0" w:space="0"/>
              <w:left w:val="single" w:color="000000" w:sz="0" w:space="0"/>
              <w:bottom w:val="single" w:color="000000" w:sz="0" w:space="0"/>
              <w:right w:val="single" w:color="000000" w:sz="0" w:space="0"/>
            </w:tcBorders>
            <w:shd w:val="clear" w:color="auto" w:fill="D9E2F3"/>
            <w:vAlign w:val="center"/>
          </w:tcPr>
          <w:p>
            <w:pPr>
              <w:spacing w:line="360" w:lineRule="auto"/>
              <w:ind w:left="120" w:leftChars="50" w:right="120" w:rightChars="50" w:firstLine="0"/>
              <w:jc w:val="center"/>
              <w:rPr>
                <w:rFonts w:hint="eastAsia"/>
                <w:b/>
                <w:bCs/>
                <w:szCs w:val="24"/>
              </w:rPr>
            </w:pPr>
            <w:r>
              <w:rPr>
                <w:rFonts w:hint="eastAsia"/>
                <w:b/>
                <w:bCs/>
                <w:szCs w:val="24"/>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07" w:type="pct"/>
            <w:tcBorders>
              <w:top w:val="single" w:color="000000" w:sz="0" w:space="0"/>
              <w:left w:val="single" w:color="000000" w:sz="0" w:space="0"/>
              <w:bottom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r>
              <w:rPr>
                <w:szCs w:val="24"/>
              </w:rPr>
              <w:t>边界防火墙</w:t>
            </w:r>
          </w:p>
        </w:tc>
        <w:tc>
          <w:tcPr>
            <w:tcW w:w="3979" w:type="pct"/>
            <w:tcBorders>
              <w:top w:val="single" w:color="000000" w:sz="0" w:space="0"/>
              <w:left w:val="single" w:color="000000" w:sz="0" w:space="0"/>
              <w:bottom w:val="single" w:color="000000" w:sz="0" w:space="0"/>
              <w:right w:val="single" w:color="000000" w:sz="0" w:space="0"/>
            </w:tcBorders>
            <w:vAlign w:val="center"/>
          </w:tcPr>
          <w:p>
            <w:pPr>
              <w:spacing w:line="360" w:lineRule="auto"/>
              <w:ind w:left="120" w:leftChars="50" w:right="120" w:rightChars="50" w:firstLine="0"/>
              <w:rPr>
                <w:rFonts w:hint="eastAsia"/>
                <w:color w:val="FF0000"/>
                <w:szCs w:val="24"/>
                <w:lang w:eastAsia="zh-CN"/>
              </w:rPr>
            </w:pPr>
            <w:r>
              <w:rPr>
                <w:rFonts w:hint="eastAsia" w:ascii="Segoe UI" w:hAnsi="Segoe UI" w:cs="Segoe UI"/>
                <w:color w:val="FF0000"/>
                <w:kern w:val="2"/>
                <w:sz w:val="21"/>
                <w:szCs w:val="24"/>
                <w:shd w:val="clear" w:color="auto" w:fill="FFFFFF"/>
                <w:lang w:bidi="ar"/>
              </w:rPr>
              <w:t>▲</w:t>
            </w:r>
            <w:r>
              <w:rPr>
                <w:color w:val="FF0000"/>
                <w:szCs w:val="24"/>
              </w:rPr>
              <w:t>具备网络边界访问控制与安全防护能力，支持多种网络接口（千兆电口、万兆光口等）</w:t>
            </w:r>
            <w:r>
              <w:rPr>
                <w:rFonts w:hint="eastAsia"/>
                <w:color w:val="FF0000"/>
                <w:szCs w:val="24"/>
                <w:lang w:eastAsia="zh-CN"/>
              </w:rPr>
              <w:t>，</w:t>
            </w:r>
            <w:r>
              <w:rPr>
                <w:color w:val="FF0000"/>
                <w:szCs w:val="24"/>
              </w:rPr>
              <w:t>具备入侵检测与防御能力</w:t>
            </w:r>
            <w:r>
              <w:rPr>
                <w:rFonts w:hint="eastAsia"/>
                <w:color w:val="FF0000"/>
                <w:szCs w:val="24"/>
                <w:lang w:eastAsia="zh-CN"/>
              </w:rPr>
              <w:t>。</w:t>
            </w:r>
          </w:p>
          <w:p>
            <w:pPr>
              <w:spacing w:line="360" w:lineRule="auto"/>
              <w:ind w:left="120" w:leftChars="50" w:right="120" w:rightChars="50" w:firstLine="0"/>
              <w:rPr>
                <w:rFonts w:hint="eastAsia" w:eastAsia="宋体"/>
                <w:szCs w:val="24"/>
                <w:lang w:val="en-US" w:eastAsia="zh-CN"/>
              </w:rPr>
            </w:pPr>
            <w:r>
              <w:rPr>
                <w:rFonts w:hint="eastAsia" w:ascii="Segoe UI" w:hAnsi="Segoe UI" w:cs="Segoe UI"/>
                <w:color w:val="FF0000"/>
                <w:kern w:val="2"/>
                <w:sz w:val="21"/>
                <w:szCs w:val="24"/>
                <w:shd w:val="clear" w:color="auto" w:fill="FFFFFF"/>
                <w:lang w:bidi="ar"/>
              </w:rPr>
              <w:t>▲</w:t>
            </w:r>
            <w:r>
              <w:rPr>
                <w:color w:val="FF0000"/>
                <w:szCs w:val="24"/>
              </w:rPr>
              <w:t>4层吞吐不低于10Gbps</w:t>
            </w:r>
            <w:r>
              <w:rPr>
                <w:rFonts w:hint="eastAsia"/>
                <w:color w:val="FF0000"/>
                <w:szCs w:val="24"/>
                <w:lang w:eastAsia="zh-CN"/>
              </w:rPr>
              <w:t>，</w:t>
            </w:r>
            <w:r>
              <w:rPr>
                <w:color w:val="FF0000"/>
                <w:szCs w:val="24"/>
              </w:rPr>
              <w:t>7层全威胁吞吐不低于4.5Gbps</w:t>
            </w:r>
            <w:r>
              <w:rPr>
                <w:rFonts w:hint="eastAsia"/>
                <w:color w:val="auto"/>
                <w:szCs w:val="24"/>
                <w:lang w:eastAsia="zh-CN"/>
              </w:rPr>
              <w:t>。</w:t>
            </w:r>
          </w:p>
          <w:p>
            <w:pPr>
              <w:spacing w:line="360" w:lineRule="auto"/>
              <w:ind w:left="120" w:leftChars="50" w:right="120" w:rightChars="50" w:firstLine="0"/>
              <w:rPr>
                <w:szCs w:val="24"/>
              </w:rPr>
            </w:pPr>
            <w:r>
              <w:rPr>
                <w:rFonts w:hint="eastAsia" w:ascii="Segoe UI" w:hAnsi="Segoe UI" w:cs="Segoe UI"/>
                <w:color w:val="FF0000"/>
                <w:kern w:val="2"/>
                <w:sz w:val="21"/>
                <w:szCs w:val="24"/>
                <w:shd w:val="clear" w:color="auto" w:fill="FFFFFF"/>
                <w:lang w:bidi="ar"/>
              </w:rPr>
              <w:t>▲</w:t>
            </w:r>
            <w:r>
              <w:rPr>
                <w:color w:val="FF0000"/>
                <w:szCs w:val="24"/>
              </w:rPr>
              <w:t>含SSL VPN用户授权及IPS特征库升级授权（不少于3年）；</w:t>
            </w:r>
          </w:p>
          <w:p>
            <w:pPr>
              <w:spacing w:line="360" w:lineRule="auto"/>
              <w:ind w:left="120" w:leftChars="50" w:right="120" w:rightChars="50" w:firstLine="0"/>
              <w:rPr>
                <w:rFonts w:hint="eastAsia"/>
                <w:szCs w:val="24"/>
              </w:rPr>
            </w:pPr>
            <w:r>
              <w:rPr>
                <w:szCs w:val="24"/>
              </w:rPr>
              <w:t>防御黑客攻击、蠕虫/病毒、木马、恶意代码、DoS/DDoS等常见攻击。</w:t>
            </w:r>
          </w:p>
        </w:tc>
        <w:tc>
          <w:tcPr>
            <w:tcW w:w="514" w:type="pct"/>
            <w:tcBorders>
              <w:top w:val="single" w:color="000000" w:sz="0" w:space="0"/>
              <w:left w:val="single" w:color="000000" w:sz="0" w:space="0"/>
              <w:bottom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r>
              <w:rPr>
                <w:rFonts w:hint="eastAsia"/>
                <w:szCs w:val="24"/>
              </w:rPr>
              <w:t>2台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07" w:type="pct"/>
            <w:tcBorders>
              <w:top w:val="single" w:color="000000" w:sz="0" w:space="0"/>
              <w:left w:val="single" w:color="000000" w:sz="0" w:space="0"/>
              <w:bottom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r>
              <w:rPr>
                <w:szCs w:val="24"/>
              </w:rPr>
              <w:t>日志审计</w:t>
            </w:r>
          </w:p>
        </w:tc>
        <w:tc>
          <w:tcPr>
            <w:tcW w:w="3979" w:type="pct"/>
            <w:tcBorders>
              <w:top w:val="single" w:color="000000" w:sz="0" w:space="0"/>
              <w:left w:val="single" w:color="000000" w:sz="0" w:space="0"/>
              <w:bottom w:val="single" w:color="000000" w:sz="0" w:space="0"/>
              <w:right w:val="single" w:color="000000" w:sz="0" w:space="0"/>
            </w:tcBorders>
            <w:vAlign w:val="center"/>
          </w:tcPr>
          <w:p>
            <w:pPr>
              <w:spacing w:line="360" w:lineRule="auto"/>
              <w:ind w:left="120" w:leftChars="50" w:right="120" w:rightChars="50" w:firstLine="0"/>
              <w:rPr>
                <w:rFonts w:hint="eastAsia"/>
                <w:szCs w:val="24"/>
              </w:rPr>
            </w:pPr>
            <w:r>
              <w:rPr>
                <w:szCs w:val="24"/>
              </w:rPr>
              <w:t>具备网络安全日志采集、存储与分析能力，协助安全管理人员迅速准确地识别安全事件，支持从各个角度对安全状况进行审计和回查；日志节点授权不少于32个。</w:t>
            </w:r>
          </w:p>
        </w:tc>
        <w:tc>
          <w:tcPr>
            <w:tcW w:w="514" w:type="pct"/>
            <w:tcBorders>
              <w:top w:val="single" w:color="000000" w:sz="0" w:space="0"/>
              <w:left w:val="single" w:color="000000" w:sz="0" w:space="0"/>
              <w:bottom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r>
              <w:rPr>
                <w:rFonts w:hint="eastAsia"/>
                <w:szCs w:val="24"/>
              </w:rPr>
              <w:t>1台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07" w:type="pct"/>
            <w:tcBorders>
              <w:top w:val="single" w:color="000000" w:sz="0" w:space="0"/>
              <w:left w:val="single" w:color="000000" w:sz="0" w:space="0"/>
              <w:bottom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r>
              <w:rPr>
                <w:szCs w:val="24"/>
              </w:rPr>
              <w:t>运维审计</w:t>
            </w:r>
          </w:p>
        </w:tc>
        <w:tc>
          <w:tcPr>
            <w:tcW w:w="3979" w:type="pct"/>
            <w:tcBorders>
              <w:top w:val="single" w:color="000000" w:sz="0" w:space="0"/>
              <w:left w:val="single" w:color="000000" w:sz="0" w:space="0"/>
              <w:bottom w:val="single" w:color="000000" w:sz="0" w:space="0"/>
              <w:right w:val="single" w:color="000000" w:sz="0" w:space="0"/>
            </w:tcBorders>
            <w:vAlign w:val="center"/>
          </w:tcPr>
          <w:p>
            <w:pPr>
              <w:spacing w:line="360" w:lineRule="auto"/>
              <w:ind w:left="120" w:leftChars="50" w:right="120" w:rightChars="50" w:firstLine="0"/>
              <w:rPr>
                <w:rFonts w:hint="eastAsia"/>
                <w:szCs w:val="24"/>
              </w:rPr>
            </w:pPr>
            <w:r>
              <w:rPr>
                <w:szCs w:val="24"/>
              </w:rPr>
              <w:t>具备运维操作审计能力，支持多协议运维代理，实现运维人员身份认证、操作录制与回放；通过实时分析用户对数据库的访问行为，实现数据流转的全链路审计，为安全事件的追踪溯源提供依据；资产纳管数量不少于300个（可扩容），配置冗余电源及存储扩容能力。</w:t>
            </w:r>
          </w:p>
        </w:tc>
        <w:tc>
          <w:tcPr>
            <w:tcW w:w="514" w:type="pct"/>
            <w:tcBorders>
              <w:top w:val="single" w:color="000000" w:sz="0" w:space="0"/>
              <w:left w:val="single" w:color="000000" w:sz="0" w:space="0"/>
              <w:bottom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r>
              <w:rPr>
                <w:rFonts w:hint="eastAsia"/>
                <w:szCs w:val="24"/>
              </w:rPr>
              <w:t>1台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07" w:type="pct"/>
            <w:tcBorders>
              <w:top w:val="single" w:color="000000" w:sz="0" w:space="0"/>
              <w:left w:val="single" w:color="000000" w:sz="0" w:space="0"/>
              <w:bottom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r>
              <w:rPr>
                <w:szCs w:val="24"/>
              </w:rPr>
              <w:t>终端杀毒</w:t>
            </w:r>
          </w:p>
        </w:tc>
        <w:tc>
          <w:tcPr>
            <w:tcW w:w="3979" w:type="pct"/>
            <w:tcBorders>
              <w:top w:val="single" w:color="000000" w:sz="0" w:space="0"/>
              <w:left w:val="single" w:color="000000" w:sz="0" w:space="0"/>
              <w:bottom w:val="single" w:color="000000" w:sz="0" w:space="0"/>
              <w:right w:val="single" w:color="000000" w:sz="0" w:space="0"/>
            </w:tcBorders>
            <w:vAlign w:val="center"/>
          </w:tcPr>
          <w:p>
            <w:pPr>
              <w:spacing w:line="360" w:lineRule="auto"/>
              <w:ind w:left="120" w:leftChars="50" w:right="120" w:rightChars="50" w:firstLine="0"/>
              <w:rPr>
                <w:rFonts w:hint="eastAsia"/>
                <w:szCs w:val="24"/>
              </w:rPr>
            </w:pPr>
            <w:r>
              <w:rPr>
                <w:szCs w:val="24"/>
              </w:rPr>
              <w:t>具备终端病毒查杀与主机安全防护能力，采用内核驱动级威胁防护，支持勒索病毒和挖矿病毒增强级防护；支持隔离文件集中管理、爆发处理与事件通知；兼容国产操作系统（麒麟、统信）与国产CPU架构（x86、ARM）；提供不少于32台主机节点的3年安全防护授权。</w:t>
            </w:r>
          </w:p>
        </w:tc>
        <w:tc>
          <w:tcPr>
            <w:tcW w:w="514" w:type="pct"/>
            <w:tcBorders>
              <w:top w:val="single" w:color="000000" w:sz="0" w:space="0"/>
              <w:left w:val="single" w:color="000000" w:sz="0" w:space="0"/>
              <w:bottom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r>
              <w:rPr>
                <w:rFonts w:hint="eastAsia"/>
                <w:szCs w:val="24"/>
              </w:rPr>
              <w:t>1套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07" w:type="pct"/>
            <w:tcBorders>
              <w:top w:val="single" w:color="000000" w:sz="0" w:space="0"/>
              <w:left w:val="single" w:color="000000" w:sz="0" w:space="0"/>
              <w:bottom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r>
              <w:rPr>
                <w:szCs w:val="24"/>
              </w:rPr>
              <w:t>运维管理</w:t>
            </w:r>
          </w:p>
        </w:tc>
        <w:tc>
          <w:tcPr>
            <w:tcW w:w="3979" w:type="pct"/>
            <w:tcBorders>
              <w:top w:val="single" w:color="000000" w:sz="0" w:space="0"/>
              <w:left w:val="single" w:color="000000" w:sz="0" w:space="0"/>
              <w:bottom w:val="single" w:color="000000" w:sz="0" w:space="0"/>
              <w:right w:val="single" w:color="000000" w:sz="0" w:space="0"/>
            </w:tcBorders>
            <w:vAlign w:val="center"/>
          </w:tcPr>
          <w:p>
            <w:pPr>
              <w:spacing w:line="360" w:lineRule="auto"/>
              <w:ind w:left="120" w:leftChars="50" w:right="120" w:rightChars="50" w:firstLine="0"/>
              <w:rPr>
                <w:rFonts w:hint="eastAsia"/>
                <w:szCs w:val="24"/>
              </w:rPr>
            </w:pPr>
            <w:r>
              <w:rPr>
                <w:szCs w:val="24"/>
              </w:rPr>
              <w:t>具备IT基础设施统一监控与运维管理能力，实现对服务器、网络设备、安全设备等的集中化管理，包括拓扑管理、故障管理、性能管理、告警管理等功能；支持智能告警关联与过滤，有效压缩海量告警；网元管理授权不少于150个。</w:t>
            </w:r>
          </w:p>
        </w:tc>
        <w:tc>
          <w:tcPr>
            <w:tcW w:w="514" w:type="pct"/>
            <w:tcBorders>
              <w:top w:val="single" w:color="000000" w:sz="0" w:space="0"/>
              <w:left w:val="single" w:color="000000" w:sz="0" w:space="0"/>
              <w:bottom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r>
              <w:rPr>
                <w:rFonts w:hint="eastAsia"/>
                <w:szCs w:val="24"/>
              </w:rPr>
              <w:t>1套</w:t>
            </w:r>
          </w:p>
        </w:tc>
      </w:tr>
    </w:tbl>
    <w:p>
      <w:pPr>
        <w:ind w:firstLine="0"/>
        <w:rPr>
          <w:rFonts w:hint="eastAsia"/>
        </w:rPr>
      </w:pPr>
    </w:p>
    <w:p>
      <w:pPr>
        <w:pStyle w:val="3"/>
        <w:spacing w:before="160" w:after="160"/>
        <w:rPr>
          <w:rFonts w:hint="eastAsia"/>
        </w:rPr>
      </w:pPr>
      <w:r>
        <w:t xml:space="preserve">4.4 </w:t>
      </w:r>
      <w:r>
        <w:rPr>
          <w:rFonts w:hint="eastAsia"/>
        </w:rPr>
        <w:t>硬件设备</w:t>
      </w:r>
      <w:r>
        <w:t>要求</w:t>
      </w:r>
    </w:p>
    <w:p>
      <w:pPr>
        <w:rPr>
          <w:rFonts w:hint="eastAsia"/>
          <w:szCs w:val="24"/>
        </w:rPr>
      </w:pPr>
      <w:r>
        <w:rPr>
          <w:szCs w:val="24"/>
        </w:rPr>
        <w:t>本项目硬件设备包括物理机和大屏及其配套设备间建设两部分。</w:t>
      </w:r>
    </w:p>
    <w:p>
      <w:pPr>
        <w:rPr>
          <w:rFonts w:hint="eastAsia"/>
          <w:szCs w:val="24"/>
        </w:rPr>
      </w:pPr>
      <w:r>
        <w:rPr>
          <w:szCs w:val="24"/>
        </w:rPr>
        <w:t>1）物理机</w:t>
      </w:r>
    </w:p>
    <w:p>
      <w:pPr>
        <w:rPr>
          <w:rFonts w:hint="eastAsia"/>
          <w:szCs w:val="24"/>
        </w:rPr>
      </w:pPr>
      <w:r>
        <w:rPr>
          <w:rFonts w:hint="eastAsia"/>
          <w:szCs w:val="24"/>
        </w:rPr>
        <w:t>包括服务器、业务交换机和管理交换机。</w:t>
      </w:r>
    </w:p>
    <w:p>
      <w:pPr>
        <w:rPr>
          <w:rFonts w:hint="eastAsia"/>
          <w:szCs w:val="24"/>
        </w:rPr>
      </w:pPr>
      <w:r>
        <w:rPr>
          <w:rFonts w:hint="eastAsia"/>
          <w:szCs w:val="24"/>
        </w:rPr>
        <w:t>（1）服务器</w:t>
      </w:r>
    </w:p>
    <w:p>
      <w:pPr>
        <w:rPr>
          <w:rFonts w:hint="eastAsia"/>
          <w:szCs w:val="24"/>
        </w:rPr>
      </w:pPr>
      <w:r>
        <w:rPr>
          <w:rFonts w:hint="eastAsia"/>
          <w:szCs w:val="24"/>
        </w:rPr>
        <w:t>用于支撑国际数据中心网络环境下应用系统的部署与运行。根据项目业务峰值需求，服务器合计CPU计算资源不低于120核、内存资源不低于350GB、业务逻辑存储容量不低于20TB、整体业务带宽不低于840Mbps；支持国产CPU架构，双电源冗余配置。</w:t>
      </w:r>
    </w:p>
    <w:p>
      <w:pPr>
        <w:rPr>
          <w:rFonts w:hint="eastAsia"/>
          <w:szCs w:val="24"/>
        </w:rPr>
      </w:pPr>
      <w:r>
        <w:rPr>
          <w:rFonts w:hint="eastAsia"/>
          <w:szCs w:val="24"/>
        </w:rPr>
        <w:t>（2）业务交换机</w:t>
      </w:r>
    </w:p>
    <w:p>
      <w:pPr>
        <w:rPr>
          <w:rFonts w:hint="eastAsia"/>
          <w:szCs w:val="24"/>
        </w:rPr>
      </w:pPr>
      <w:r>
        <w:rPr>
          <w:rFonts w:hint="eastAsia"/>
          <w:szCs w:val="24"/>
        </w:rPr>
        <w:t>支持万兆端口互联，端口数不少于24个SFP28端口和8个QSFP28端口，支持VLAN划分、QoS流量控制、链路聚合，满足业务网络万兆接入需求。</w:t>
      </w:r>
    </w:p>
    <w:p>
      <w:pPr>
        <w:rPr>
          <w:rFonts w:hint="eastAsia"/>
          <w:szCs w:val="24"/>
        </w:rPr>
      </w:pPr>
      <w:r>
        <w:rPr>
          <w:rFonts w:hint="eastAsia"/>
          <w:szCs w:val="24"/>
        </w:rPr>
        <w:t>（3）管理交换机</w:t>
      </w:r>
    </w:p>
    <w:p>
      <w:pPr>
        <w:rPr>
          <w:rFonts w:hint="eastAsia"/>
          <w:szCs w:val="24"/>
        </w:rPr>
      </w:pPr>
      <w:r>
        <w:rPr>
          <w:rFonts w:hint="eastAsia"/>
          <w:szCs w:val="24"/>
        </w:rPr>
        <w:t>支持千兆电口与万兆光口，端口数不少于24个千兆电口和4个万兆光口，满足设备管理与运维通信需求。</w:t>
      </w:r>
    </w:p>
    <w:p>
      <w:pPr>
        <w:rPr>
          <w:rFonts w:hint="eastAsia"/>
          <w:szCs w:val="24"/>
        </w:rPr>
      </w:pPr>
      <w:r>
        <w:rPr>
          <w:szCs w:val="24"/>
        </w:rPr>
        <w:t>2）大屏及其配套设备间建设</w:t>
      </w:r>
    </w:p>
    <w:p>
      <w:pPr>
        <w:rPr>
          <w:rFonts w:hint="eastAsia"/>
          <w:szCs w:val="24"/>
        </w:rPr>
      </w:pPr>
      <w:r>
        <w:rPr>
          <w:szCs w:val="24"/>
        </w:rPr>
        <w:t>包括LED大屏系统、监管办公区改造、UPS电源系统、设备间精密空调系统、设备间动力环境监测系统和设备间内部改造，用于建设国际数据中心运营指挥与监控展示环境。</w:t>
      </w:r>
    </w:p>
    <w:p>
      <w:pPr>
        <w:rPr>
          <w:rFonts w:hint="eastAsia"/>
          <w:szCs w:val="24"/>
        </w:rPr>
      </w:pPr>
      <w:r>
        <w:rPr>
          <w:rFonts w:hint="eastAsia"/>
          <w:szCs w:val="24"/>
        </w:rPr>
        <w:t>（1）LED 大屏系统</w:t>
      </w:r>
    </w:p>
    <w:p>
      <w:pPr>
        <w:rPr>
          <w:rFonts w:hint="eastAsia"/>
          <w:szCs w:val="24"/>
        </w:rPr>
      </w:pPr>
      <w:r>
        <w:rPr>
          <w:rFonts w:hint="eastAsia"/>
          <w:szCs w:val="24"/>
        </w:rPr>
        <w:t>LED显示屏面积不低于4m×2.4m，像素间距不大于1.53mm，亮度不低于500nits，支持4K信号输入与千兆网口输出；配套视频处理器（支持4K信号输入、千兆网口输出）、视频接收卡、配电柜、强电及弱电线缆敷设、定制钢结构及配套辅材。</w:t>
      </w:r>
    </w:p>
    <w:p>
      <w:pPr>
        <w:rPr>
          <w:rFonts w:hint="eastAsia"/>
          <w:szCs w:val="24"/>
        </w:rPr>
      </w:pPr>
      <w:r>
        <w:rPr>
          <w:rFonts w:hint="eastAsia"/>
          <w:szCs w:val="24"/>
        </w:rPr>
        <w:t>（2）监管办公区改造</w:t>
      </w:r>
    </w:p>
    <w:p>
      <w:pPr>
        <w:rPr>
          <w:rFonts w:hint="eastAsia"/>
          <w:szCs w:val="24"/>
        </w:rPr>
      </w:pPr>
      <w:r>
        <w:rPr>
          <w:rFonts w:hint="eastAsia"/>
          <w:szCs w:val="24"/>
        </w:rPr>
        <w:t>大屏隔墙及防火门满足拼接单元安装承重需求；控制电脑含国产操作系统；操作台符合人体工学设计；配套显示器、键鼠、KVM切换器、网络交换机；玻璃隔墙（房间及走廊）；电动门。</w:t>
      </w:r>
    </w:p>
    <w:p>
      <w:pPr>
        <w:rPr>
          <w:rFonts w:hint="eastAsia"/>
          <w:szCs w:val="24"/>
        </w:rPr>
      </w:pPr>
      <w:r>
        <w:rPr>
          <w:rFonts w:hint="eastAsia"/>
          <w:szCs w:val="24"/>
        </w:rPr>
        <w:t>安防方面：支持国密算法的高清摄像机不少于2台，</w:t>
      </w:r>
      <w:r>
        <w:rPr>
          <w:szCs w:val="24"/>
        </w:rPr>
        <w:t>网络视频录像机1台：整机具有商密二级证书，内置通过国家密码局检测认证的安全芯片，支持SM2/SM3/SM4国家商用密码算法；支持基于数字证书的设备接入认证与国家商用密码算法信令认证；内置二级密码模块，可配套加密平台，满足密评三级视频数据存储完整性要求；支持芯片安全校验与算法安全校验（开机自检、使用时自检、定期自检）</w:t>
      </w:r>
      <w:r>
        <w:rPr>
          <w:rFonts w:hint="eastAsia"/>
          <w:szCs w:val="24"/>
        </w:rPr>
        <w:t>；门禁系统支持人脸+卡双因子认证及国密CPU加密，全频段信号屏蔽器1台。</w:t>
      </w:r>
    </w:p>
    <w:p>
      <w:pPr>
        <w:rPr>
          <w:rFonts w:hint="eastAsia"/>
          <w:szCs w:val="24"/>
        </w:rPr>
      </w:pPr>
      <w:r>
        <w:rPr>
          <w:rFonts w:hint="eastAsia"/>
          <w:szCs w:val="24"/>
        </w:rPr>
        <w:t>（3）UPS 电源系统</w:t>
      </w:r>
    </w:p>
    <w:p>
      <w:pPr>
        <w:rPr>
          <w:rFonts w:hint="eastAsia"/>
          <w:szCs w:val="24"/>
        </w:rPr>
      </w:pPr>
      <w:r>
        <w:rPr>
          <w:szCs w:val="24"/>
        </w:rPr>
        <w:t>UPS主机容量不低于12KW，可维持不少于1小时不间断供电；配套蓄电池组。</w:t>
      </w:r>
    </w:p>
    <w:p>
      <w:pPr>
        <w:rPr>
          <w:rFonts w:hint="eastAsia"/>
          <w:szCs w:val="24"/>
        </w:rPr>
      </w:pPr>
      <w:r>
        <w:rPr>
          <w:rFonts w:hint="eastAsia"/>
          <w:szCs w:val="24"/>
        </w:rPr>
        <w:t>（4）设备间精密空调系统</w:t>
      </w:r>
    </w:p>
    <w:p>
      <w:pPr>
        <w:rPr>
          <w:rFonts w:hint="eastAsia"/>
          <w:szCs w:val="24"/>
        </w:rPr>
      </w:pPr>
      <w:r>
        <w:rPr>
          <w:szCs w:val="24"/>
        </w:rPr>
        <w:t>精密空调制冷量不低于7.5KW，控温精准，满足机房7×24小时不间断运行需求，温度控制在18–24℃标准区间；配合防静电地板下送风、上回风方式形成高效空气循环。</w:t>
      </w:r>
    </w:p>
    <w:p>
      <w:pPr>
        <w:rPr>
          <w:rFonts w:hint="eastAsia"/>
          <w:szCs w:val="24"/>
        </w:rPr>
      </w:pPr>
      <w:r>
        <w:rPr>
          <w:rFonts w:hint="eastAsia"/>
          <w:szCs w:val="24"/>
        </w:rPr>
        <w:t>（5）设备间动力环境监测系统</w:t>
      </w:r>
    </w:p>
    <w:p>
      <w:pPr>
        <w:rPr>
          <w:rFonts w:hint="eastAsia"/>
          <w:szCs w:val="24"/>
        </w:rPr>
      </w:pPr>
      <w:r>
        <w:rPr>
          <w:szCs w:val="24"/>
        </w:rPr>
        <w:t>具备12个RS485独立隔离通讯接口，实时监控机房温湿度、门磁、烟雾、漏水、市电断电等状态并触发告警；支持以太网WEB方式监控，实现E-mail邮件告警、语音及短信告警；提供SNMP、MODBUS TCP、JSON等二次开发接口；对UPS、配电柜、精密空调等智能设备及环境实现集中监控管理。配套温湿度传感器、烟感探测器、漏水检测传感器等。</w:t>
      </w:r>
    </w:p>
    <w:p>
      <w:pPr>
        <w:rPr>
          <w:rFonts w:hint="eastAsia"/>
          <w:szCs w:val="24"/>
        </w:rPr>
      </w:pPr>
      <w:r>
        <w:rPr>
          <w:rFonts w:hint="eastAsia"/>
          <w:szCs w:val="24"/>
        </w:rPr>
        <w:t>（6）设备间内部改造</w:t>
      </w:r>
    </w:p>
    <w:p>
      <w:pPr>
        <w:rPr>
          <w:rFonts w:hint="eastAsia"/>
          <w:szCs w:val="24"/>
        </w:rPr>
      </w:pPr>
      <w:r>
        <w:rPr>
          <w:szCs w:val="24"/>
        </w:rPr>
        <w:t>铺设防静电地板（国标600×600×35mm全钢抗静电地板，承重不低于1200KG）及地板支架；配置设备机柜（不少于2台）；强电电缆及配电箱（含空开漏保及电表）；防火桥架；机房吊顶和防水处理；二氧化碳灭火器（B类、E类）；弱电系统布管布线。</w:t>
      </w:r>
    </w:p>
    <w:p>
      <w:pPr>
        <w:rPr>
          <w:rFonts w:hint="eastAsia"/>
          <w:szCs w:val="24"/>
        </w:rPr>
      </w:pPr>
      <w:r>
        <w:rPr>
          <w:szCs w:val="24"/>
        </w:rPr>
        <w:t>具体能力要求如下：</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891"/>
        <w:gridCol w:w="972"/>
        <w:gridCol w:w="1965"/>
        <w:gridCol w:w="4809"/>
        <w:gridCol w:w="9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891" w:type="dxa"/>
            <w:tcBorders>
              <w:top w:val="single" w:color="000000" w:sz="0" w:space="0"/>
              <w:left w:val="single" w:color="000000" w:sz="0" w:space="0"/>
              <w:bottom w:val="single" w:color="000000" w:sz="0" w:space="0"/>
              <w:right w:val="single" w:color="000000" w:sz="0" w:space="0"/>
            </w:tcBorders>
            <w:shd w:val="clear" w:color="auto" w:fill="D9E2F3"/>
            <w:vAlign w:val="center"/>
          </w:tcPr>
          <w:p>
            <w:pPr>
              <w:spacing w:line="360" w:lineRule="auto"/>
              <w:ind w:left="120" w:leftChars="50" w:right="120" w:rightChars="50" w:firstLine="0"/>
              <w:jc w:val="center"/>
              <w:rPr>
                <w:rFonts w:hint="eastAsia"/>
                <w:b/>
                <w:bCs/>
                <w:szCs w:val="24"/>
              </w:rPr>
            </w:pPr>
            <w:r>
              <w:rPr>
                <w:rFonts w:hint="eastAsia"/>
                <w:b/>
                <w:bCs/>
                <w:szCs w:val="24"/>
              </w:rPr>
              <w:t>硬件设备</w:t>
            </w:r>
          </w:p>
        </w:tc>
        <w:tc>
          <w:tcPr>
            <w:tcW w:w="972" w:type="dxa"/>
            <w:tcBorders>
              <w:top w:val="single" w:color="000000" w:sz="0" w:space="0"/>
              <w:left w:val="single" w:color="000000" w:sz="0" w:space="0"/>
              <w:bottom w:val="single" w:color="000000" w:sz="0" w:space="0"/>
              <w:right w:val="single" w:color="000000" w:sz="0" w:space="0"/>
            </w:tcBorders>
            <w:shd w:val="clear" w:color="auto" w:fill="D9E2F3"/>
            <w:vAlign w:val="center"/>
          </w:tcPr>
          <w:p>
            <w:pPr>
              <w:spacing w:line="360" w:lineRule="auto"/>
              <w:ind w:left="120" w:leftChars="50" w:right="120" w:rightChars="50" w:firstLine="0"/>
              <w:jc w:val="center"/>
              <w:rPr>
                <w:rFonts w:hint="eastAsia"/>
                <w:szCs w:val="24"/>
              </w:rPr>
            </w:pPr>
            <w:r>
              <w:rPr>
                <w:rFonts w:hint="eastAsia"/>
                <w:b/>
                <w:bCs/>
                <w:szCs w:val="24"/>
              </w:rPr>
              <w:t>内容</w:t>
            </w:r>
          </w:p>
        </w:tc>
        <w:tc>
          <w:tcPr>
            <w:tcW w:w="6774" w:type="dxa"/>
            <w:gridSpan w:val="2"/>
            <w:tcBorders>
              <w:top w:val="single" w:color="000000" w:sz="0" w:space="0"/>
              <w:left w:val="single" w:color="000000" w:sz="0" w:space="0"/>
              <w:bottom w:val="single" w:color="000000" w:sz="0" w:space="0"/>
              <w:right w:val="single" w:color="000000" w:sz="0" w:space="0"/>
            </w:tcBorders>
            <w:shd w:val="clear" w:color="auto" w:fill="D9E2F3"/>
            <w:vAlign w:val="center"/>
          </w:tcPr>
          <w:p>
            <w:pPr>
              <w:spacing w:line="360" w:lineRule="auto"/>
              <w:ind w:left="120" w:leftChars="50" w:right="120" w:rightChars="50" w:firstLine="0"/>
              <w:jc w:val="center"/>
              <w:rPr>
                <w:rFonts w:hint="eastAsia"/>
                <w:szCs w:val="24"/>
              </w:rPr>
            </w:pPr>
            <w:r>
              <w:rPr>
                <w:b/>
                <w:bCs/>
                <w:szCs w:val="24"/>
              </w:rPr>
              <w:t>要求说明</w:t>
            </w:r>
          </w:p>
        </w:tc>
        <w:tc>
          <w:tcPr>
            <w:tcW w:w="991" w:type="dxa"/>
            <w:tcBorders>
              <w:top w:val="single" w:color="000000" w:sz="0" w:space="0"/>
              <w:left w:val="single" w:color="000000" w:sz="0" w:space="0"/>
              <w:bottom w:val="single" w:color="000000" w:sz="0" w:space="0"/>
              <w:right w:val="single" w:color="000000" w:sz="0" w:space="0"/>
            </w:tcBorders>
            <w:shd w:val="clear" w:color="auto" w:fill="D9E2F3"/>
            <w:vAlign w:val="center"/>
          </w:tcPr>
          <w:p>
            <w:pPr>
              <w:spacing w:line="360" w:lineRule="auto"/>
              <w:ind w:left="120" w:leftChars="50" w:right="120" w:rightChars="50" w:firstLine="0"/>
              <w:jc w:val="center"/>
              <w:rPr>
                <w:rFonts w:hint="eastAsia"/>
                <w:b/>
                <w:bCs/>
                <w:szCs w:val="24"/>
              </w:rPr>
            </w:pPr>
            <w:r>
              <w:rPr>
                <w:rFonts w:hint="eastAsia"/>
                <w:b/>
                <w:bCs/>
                <w:szCs w:val="24"/>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91" w:type="dxa"/>
            <w:vMerge w:val="restart"/>
            <w:tcBorders>
              <w:top w:val="single" w:color="000000" w:sz="0" w:space="0"/>
              <w:left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r>
              <w:rPr>
                <w:szCs w:val="24"/>
              </w:rPr>
              <w:t>物理机</w:t>
            </w:r>
          </w:p>
        </w:tc>
        <w:tc>
          <w:tcPr>
            <w:tcW w:w="972" w:type="dxa"/>
            <w:tcBorders>
              <w:top w:val="single" w:color="000000" w:sz="0" w:space="0"/>
              <w:left w:val="single" w:color="000000" w:sz="0" w:space="0"/>
              <w:bottom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r>
              <w:rPr>
                <w:szCs w:val="24"/>
              </w:rPr>
              <w:t>服务器</w:t>
            </w:r>
          </w:p>
        </w:tc>
        <w:tc>
          <w:tcPr>
            <w:tcW w:w="6774" w:type="dxa"/>
            <w:gridSpan w:val="2"/>
            <w:tcBorders>
              <w:top w:val="single" w:color="000000" w:sz="0" w:space="0"/>
              <w:left w:val="single" w:color="000000" w:sz="0" w:space="0"/>
              <w:bottom w:val="single" w:color="000000" w:sz="0" w:space="0"/>
              <w:right w:val="single" w:color="000000" w:sz="0" w:space="0"/>
            </w:tcBorders>
            <w:vAlign w:val="center"/>
          </w:tcPr>
          <w:p>
            <w:pPr>
              <w:spacing w:line="360" w:lineRule="auto"/>
              <w:ind w:left="120" w:leftChars="50" w:right="120" w:rightChars="50" w:firstLine="0"/>
              <w:rPr>
                <w:rFonts w:hint="eastAsia"/>
                <w:szCs w:val="24"/>
              </w:rPr>
            </w:pPr>
            <w:r>
              <w:rPr>
                <w:rFonts w:hint="eastAsia"/>
                <w:szCs w:val="24"/>
              </w:rPr>
              <w:t>用于支撑国际数据中心网络环境下应用系统的部署与运行。根据项目业务峰值需求，服务器合计CPU计算资源不低于120核、内存资源不低于350GB、业务逻辑存储容量不低于20TB、整体业务带宽不低于840Mbps；支持国产CPU架构，双电源冗余配置。</w:t>
            </w:r>
          </w:p>
        </w:tc>
        <w:tc>
          <w:tcPr>
            <w:tcW w:w="991" w:type="dxa"/>
            <w:tcBorders>
              <w:top w:val="single" w:color="000000" w:sz="0" w:space="0"/>
              <w:left w:val="single" w:color="000000" w:sz="0" w:space="0"/>
              <w:bottom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r>
              <w:rPr>
                <w:rFonts w:hint="eastAsia"/>
                <w:szCs w:val="24"/>
              </w:rPr>
              <w:t>8台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91" w:type="dxa"/>
            <w:vMerge w:val="continue"/>
            <w:tcBorders>
              <w:left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p>
        </w:tc>
        <w:tc>
          <w:tcPr>
            <w:tcW w:w="972" w:type="dxa"/>
            <w:tcBorders>
              <w:top w:val="single" w:color="000000" w:sz="0" w:space="0"/>
              <w:left w:val="single" w:color="000000" w:sz="0" w:space="0"/>
              <w:bottom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r>
              <w:rPr>
                <w:szCs w:val="24"/>
              </w:rPr>
              <w:t>业务交换机</w:t>
            </w:r>
          </w:p>
        </w:tc>
        <w:tc>
          <w:tcPr>
            <w:tcW w:w="6774" w:type="dxa"/>
            <w:gridSpan w:val="2"/>
            <w:tcBorders>
              <w:top w:val="single" w:color="000000" w:sz="0" w:space="0"/>
              <w:left w:val="single" w:color="000000" w:sz="0" w:space="0"/>
              <w:bottom w:val="single" w:color="000000" w:sz="0" w:space="0"/>
              <w:right w:val="single" w:color="000000" w:sz="0" w:space="0"/>
            </w:tcBorders>
            <w:vAlign w:val="center"/>
          </w:tcPr>
          <w:p>
            <w:pPr>
              <w:spacing w:line="360" w:lineRule="auto"/>
              <w:ind w:left="120" w:leftChars="50" w:right="120" w:rightChars="50" w:firstLine="0"/>
              <w:rPr>
                <w:rFonts w:hint="eastAsia"/>
                <w:szCs w:val="24"/>
              </w:rPr>
            </w:pPr>
            <w:r>
              <w:rPr>
                <w:szCs w:val="24"/>
              </w:rPr>
              <w:t>支持万兆端口互联，端口数不少于24个SFP28端口和8个QSFP28端口，支持VLAN划分、QoS流量控制、链路聚合，满足业务网络万兆接入需求。</w:t>
            </w:r>
          </w:p>
        </w:tc>
        <w:tc>
          <w:tcPr>
            <w:tcW w:w="991" w:type="dxa"/>
            <w:tcBorders>
              <w:top w:val="single" w:color="000000" w:sz="0" w:space="0"/>
              <w:left w:val="single" w:color="000000" w:sz="0" w:space="0"/>
              <w:bottom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r>
              <w:rPr>
                <w:rFonts w:hint="eastAsia"/>
                <w:szCs w:val="24"/>
              </w:rPr>
              <w:t>2台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91" w:type="dxa"/>
            <w:vMerge w:val="continue"/>
            <w:tcBorders>
              <w:left w:val="single" w:color="000000" w:sz="0" w:space="0"/>
              <w:bottom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p>
        </w:tc>
        <w:tc>
          <w:tcPr>
            <w:tcW w:w="972" w:type="dxa"/>
            <w:tcBorders>
              <w:top w:val="single" w:color="000000" w:sz="0" w:space="0"/>
              <w:left w:val="single" w:color="000000" w:sz="0" w:space="0"/>
              <w:bottom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r>
              <w:rPr>
                <w:szCs w:val="24"/>
              </w:rPr>
              <w:t>管理交换机</w:t>
            </w:r>
          </w:p>
        </w:tc>
        <w:tc>
          <w:tcPr>
            <w:tcW w:w="6774" w:type="dxa"/>
            <w:gridSpan w:val="2"/>
            <w:tcBorders>
              <w:top w:val="single" w:color="000000" w:sz="0" w:space="0"/>
              <w:left w:val="single" w:color="000000" w:sz="0" w:space="0"/>
              <w:bottom w:val="single" w:color="000000" w:sz="0" w:space="0"/>
              <w:right w:val="single" w:color="000000" w:sz="0" w:space="0"/>
            </w:tcBorders>
            <w:vAlign w:val="center"/>
          </w:tcPr>
          <w:p>
            <w:pPr>
              <w:spacing w:line="360" w:lineRule="auto"/>
              <w:ind w:left="120" w:leftChars="50" w:right="120" w:rightChars="50" w:firstLine="0"/>
              <w:rPr>
                <w:rFonts w:hint="eastAsia"/>
                <w:szCs w:val="24"/>
              </w:rPr>
            </w:pPr>
            <w:r>
              <w:rPr>
                <w:szCs w:val="24"/>
              </w:rPr>
              <w:t>支持千兆电口与万兆光口，端口数不少于24个千兆电口和4个万兆光口，满足设备管理与运维通信需求。</w:t>
            </w:r>
          </w:p>
        </w:tc>
        <w:tc>
          <w:tcPr>
            <w:tcW w:w="991" w:type="dxa"/>
            <w:tcBorders>
              <w:top w:val="single" w:color="000000" w:sz="0" w:space="0"/>
              <w:left w:val="single" w:color="000000" w:sz="0" w:space="0"/>
              <w:bottom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r>
              <w:rPr>
                <w:rFonts w:hint="eastAsia"/>
                <w:szCs w:val="24"/>
              </w:rPr>
              <w:t>1台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91" w:type="dxa"/>
            <w:vMerge w:val="restart"/>
            <w:tcBorders>
              <w:top w:val="single" w:color="000000" w:sz="0" w:space="0"/>
              <w:left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r>
              <w:rPr>
                <w:rFonts w:hint="eastAsia"/>
                <w:szCs w:val="24"/>
              </w:rPr>
              <w:t>大屏及其配套设备间建设</w:t>
            </w:r>
          </w:p>
        </w:tc>
        <w:tc>
          <w:tcPr>
            <w:tcW w:w="972" w:type="dxa"/>
            <w:tcBorders>
              <w:top w:val="single" w:color="000000" w:sz="0" w:space="0"/>
              <w:left w:val="single" w:color="000000" w:sz="0" w:space="0"/>
              <w:bottom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r>
              <w:rPr>
                <w:szCs w:val="24"/>
              </w:rPr>
              <w:t>LED大屏系统</w:t>
            </w:r>
          </w:p>
        </w:tc>
        <w:tc>
          <w:tcPr>
            <w:tcW w:w="6774" w:type="dxa"/>
            <w:gridSpan w:val="2"/>
            <w:tcBorders>
              <w:top w:val="single" w:color="000000" w:sz="0" w:space="0"/>
              <w:left w:val="single" w:color="000000" w:sz="0" w:space="0"/>
              <w:bottom w:val="single" w:color="000000" w:sz="0" w:space="0"/>
              <w:right w:val="single" w:color="000000" w:sz="0" w:space="0"/>
            </w:tcBorders>
            <w:vAlign w:val="center"/>
          </w:tcPr>
          <w:p>
            <w:pPr>
              <w:spacing w:line="360" w:lineRule="auto"/>
              <w:ind w:left="120" w:leftChars="50" w:right="120" w:rightChars="50" w:firstLine="0"/>
              <w:rPr>
                <w:rFonts w:hint="eastAsia"/>
                <w:szCs w:val="24"/>
              </w:rPr>
            </w:pPr>
            <w:r>
              <w:rPr>
                <w:szCs w:val="24"/>
              </w:rPr>
              <w:t>LED显示屏面积不低于4m×2.4m，像素间距不大于1.53mm，亮度不低于500nits，支持4K信号输入与千兆网口输出；配套视频处理器（支持4K信号输入、千兆网口输出）、视频接收卡、配电柜、强电及弱电线缆敷设、定制钢结构及配套辅材。</w:t>
            </w:r>
          </w:p>
        </w:tc>
        <w:tc>
          <w:tcPr>
            <w:tcW w:w="991" w:type="dxa"/>
            <w:tcBorders>
              <w:top w:val="single" w:color="000000" w:sz="0" w:space="0"/>
              <w:left w:val="single" w:color="000000" w:sz="0" w:space="0"/>
              <w:bottom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r>
              <w:rPr>
                <w:rFonts w:hint="eastAsia"/>
                <w:szCs w:val="24"/>
              </w:rPr>
              <w:t>1套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79" w:hRule="atLeast"/>
        </w:trPr>
        <w:tc>
          <w:tcPr>
            <w:tcW w:w="891" w:type="dxa"/>
            <w:vMerge w:val="continue"/>
            <w:tcBorders>
              <w:left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p>
        </w:tc>
        <w:tc>
          <w:tcPr>
            <w:tcW w:w="972" w:type="dxa"/>
            <w:vMerge w:val="restart"/>
            <w:tcBorders>
              <w:top w:val="single" w:color="000000" w:sz="0" w:space="0"/>
              <w:left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r>
              <w:rPr>
                <w:szCs w:val="24"/>
              </w:rPr>
              <w:t>监管办公区改造</w:t>
            </w:r>
          </w:p>
        </w:tc>
        <w:tc>
          <w:tcPr>
            <w:tcW w:w="1965" w:type="dxa"/>
            <w:tcBorders>
              <w:top w:val="single" w:color="000000" w:sz="0" w:space="0"/>
              <w:left w:val="single" w:color="000000" w:sz="0" w:space="0"/>
              <w:right w:val="single" w:color="000000" w:sz="0" w:space="0"/>
            </w:tcBorders>
            <w:vAlign w:val="center"/>
          </w:tcPr>
          <w:p>
            <w:pPr>
              <w:spacing w:line="360" w:lineRule="auto"/>
              <w:ind w:left="120" w:leftChars="50" w:right="120" w:rightChars="50" w:firstLine="0"/>
              <w:rPr>
                <w:rFonts w:hint="eastAsia"/>
                <w:szCs w:val="24"/>
              </w:rPr>
            </w:pPr>
            <w:r>
              <w:rPr>
                <w:szCs w:val="24"/>
              </w:rPr>
              <w:t>大屏隔墙及防火门</w:t>
            </w:r>
          </w:p>
        </w:tc>
        <w:tc>
          <w:tcPr>
            <w:tcW w:w="4809" w:type="dxa"/>
            <w:tcBorders>
              <w:top w:val="single" w:color="000000" w:sz="0" w:space="0"/>
              <w:left w:val="single" w:color="000000" w:sz="0" w:space="0"/>
              <w:right w:val="single" w:color="000000" w:sz="0" w:space="0"/>
            </w:tcBorders>
            <w:vAlign w:val="center"/>
          </w:tcPr>
          <w:p>
            <w:pPr>
              <w:spacing w:line="360" w:lineRule="auto"/>
              <w:ind w:left="120" w:leftChars="50" w:right="120" w:rightChars="50" w:firstLine="0"/>
              <w:rPr>
                <w:rFonts w:hint="eastAsia"/>
                <w:szCs w:val="24"/>
              </w:rPr>
            </w:pPr>
            <w:r>
              <w:rPr>
                <w:szCs w:val="24"/>
              </w:rPr>
              <w:t>墙体满足拼接单元安装承重需求</w:t>
            </w:r>
          </w:p>
        </w:tc>
        <w:tc>
          <w:tcPr>
            <w:tcW w:w="991" w:type="dxa"/>
            <w:tcBorders>
              <w:top w:val="single" w:color="000000" w:sz="0" w:space="0"/>
              <w:left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r>
              <w:rPr>
                <w:rFonts w:hint="eastAsia"/>
                <w:szCs w:val="24"/>
              </w:rPr>
              <w:t>1面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35" w:hRule="atLeast"/>
        </w:trPr>
        <w:tc>
          <w:tcPr>
            <w:tcW w:w="891" w:type="dxa"/>
            <w:vMerge w:val="continue"/>
            <w:tcBorders>
              <w:left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p>
        </w:tc>
        <w:tc>
          <w:tcPr>
            <w:tcW w:w="972" w:type="dxa"/>
            <w:vMerge w:val="continue"/>
            <w:tcBorders>
              <w:left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p>
        </w:tc>
        <w:tc>
          <w:tcPr>
            <w:tcW w:w="1965" w:type="dxa"/>
            <w:tcBorders>
              <w:top w:val="single" w:color="000000" w:sz="0" w:space="0"/>
              <w:left w:val="single" w:color="000000" w:sz="0" w:space="0"/>
              <w:bottom w:val="single" w:color="000000" w:sz="0" w:space="0"/>
              <w:right w:val="single" w:color="000000" w:sz="0" w:space="0"/>
            </w:tcBorders>
            <w:vAlign w:val="center"/>
          </w:tcPr>
          <w:p>
            <w:pPr>
              <w:spacing w:line="360" w:lineRule="auto"/>
              <w:ind w:left="120" w:leftChars="50" w:right="120" w:rightChars="50" w:firstLine="0"/>
              <w:rPr>
                <w:rFonts w:hint="eastAsia"/>
                <w:szCs w:val="24"/>
              </w:rPr>
            </w:pPr>
            <w:r>
              <w:rPr>
                <w:szCs w:val="24"/>
              </w:rPr>
              <w:t>控制电脑</w:t>
            </w:r>
          </w:p>
        </w:tc>
        <w:tc>
          <w:tcPr>
            <w:tcW w:w="4809" w:type="dxa"/>
            <w:tcBorders>
              <w:top w:val="single" w:color="000000" w:sz="0" w:space="0"/>
              <w:left w:val="single" w:color="000000" w:sz="0" w:space="0"/>
              <w:bottom w:val="single" w:color="000000" w:sz="0" w:space="0"/>
              <w:right w:val="single" w:color="000000" w:sz="0" w:space="0"/>
            </w:tcBorders>
            <w:vAlign w:val="center"/>
          </w:tcPr>
          <w:p>
            <w:pPr>
              <w:spacing w:line="360" w:lineRule="auto"/>
              <w:ind w:left="120" w:leftChars="50" w:right="120" w:rightChars="50" w:firstLine="0"/>
              <w:rPr>
                <w:rFonts w:hint="eastAsia"/>
                <w:szCs w:val="24"/>
              </w:rPr>
            </w:pPr>
            <w:r>
              <w:rPr>
                <w:szCs w:val="24"/>
              </w:rPr>
              <w:t>处理器：8核/8线程/2.7GHz；内存：8GB，3200速率，DDR4，2个内存插槽，最大支持32GB内存；SSD硬盘：1个256GSSD；显卡：独立显卡，显存容量2GB；显示器：23.8英寸，分辨率1920x1080，刷新率75Hz，1个HDMI，1个VGA视频接口；含系统。</w:t>
            </w:r>
          </w:p>
        </w:tc>
        <w:tc>
          <w:tcPr>
            <w:tcW w:w="991" w:type="dxa"/>
            <w:tcBorders>
              <w:left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r>
              <w:rPr>
                <w:rFonts w:hint="eastAsia"/>
                <w:szCs w:val="24"/>
              </w:rPr>
              <w:t>1台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35" w:hRule="atLeast"/>
        </w:trPr>
        <w:tc>
          <w:tcPr>
            <w:tcW w:w="891" w:type="dxa"/>
            <w:vMerge w:val="continue"/>
            <w:tcBorders>
              <w:left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p>
        </w:tc>
        <w:tc>
          <w:tcPr>
            <w:tcW w:w="972" w:type="dxa"/>
            <w:vMerge w:val="continue"/>
            <w:tcBorders>
              <w:left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p>
        </w:tc>
        <w:tc>
          <w:tcPr>
            <w:tcW w:w="1965" w:type="dxa"/>
            <w:tcBorders>
              <w:top w:val="single" w:color="000000" w:sz="0" w:space="0"/>
              <w:left w:val="single" w:color="000000" w:sz="0" w:space="0"/>
              <w:bottom w:val="single" w:color="000000" w:sz="0" w:space="0"/>
              <w:right w:val="single" w:color="000000" w:sz="0" w:space="0"/>
            </w:tcBorders>
            <w:vAlign w:val="center"/>
          </w:tcPr>
          <w:p>
            <w:pPr>
              <w:spacing w:line="360" w:lineRule="auto"/>
              <w:ind w:left="120" w:leftChars="50" w:right="120" w:rightChars="50" w:firstLine="0"/>
              <w:rPr>
                <w:rFonts w:hint="eastAsia"/>
                <w:szCs w:val="24"/>
              </w:rPr>
            </w:pPr>
            <w:r>
              <w:rPr>
                <w:szCs w:val="24"/>
              </w:rPr>
              <w:t>操作台（定制）</w:t>
            </w:r>
          </w:p>
        </w:tc>
        <w:tc>
          <w:tcPr>
            <w:tcW w:w="4809" w:type="dxa"/>
            <w:tcBorders>
              <w:top w:val="single" w:color="000000" w:sz="0" w:space="0"/>
              <w:left w:val="single" w:color="000000" w:sz="0" w:space="0"/>
              <w:bottom w:val="single" w:color="000000" w:sz="0" w:space="0"/>
              <w:right w:val="single" w:color="000000" w:sz="0" w:space="0"/>
            </w:tcBorders>
            <w:vAlign w:val="center"/>
          </w:tcPr>
          <w:p>
            <w:pPr>
              <w:spacing w:line="360" w:lineRule="auto"/>
              <w:ind w:left="120" w:leftChars="50" w:right="120" w:rightChars="50" w:firstLine="0"/>
              <w:rPr>
                <w:rFonts w:hint="eastAsia"/>
                <w:szCs w:val="24"/>
              </w:rPr>
            </w:pPr>
            <w:r>
              <w:rPr>
                <w:rFonts w:hint="eastAsia"/>
                <w:szCs w:val="24"/>
              </w:rPr>
              <w:t>钢木结构，符合人体工学设计；尺寸约2400×800×750mm，带线缆管理、散热孔、可调脚轮</w:t>
            </w:r>
          </w:p>
        </w:tc>
        <w:tc>
          <w:tcPr>
            <w:tcW w:w="991" w:type="dxa"/>
            <w:tcBorders>
              <w:left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r>
              <w:rPr>
                <w:rFonts w:hint="eastAsia"/>
                <w:szCs w:val="24"/>
              </w:rPr>
              <w:t>1套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35" w:hRule="atLeast"/>
        </w:trPr>
        <w:tc>
          <w:tcPr>
            <w:tcW w:w="891" w:type="dxa"/>
            <w:vMerge w:val="continue"/>
            <w:tcBorders>
              <w:left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p>
        </w:tc>
        <w:tc>
          <w:tcPr>
            <w:tcW w:w="972" w:type="dxa"/>
            <w:vMerge w:val="continue"/>
            <w:tcBorders>
              <w:left w:val="single" w:color="000000" w:sz="0" w:space="0"/>
              <w:bottom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p>
        </w:tc>
        <w:tc>
          <w:tcPr>
            <w:tcW w:w="1965" w:type="dxa"/>
            <w:tcBorders>
              <w:top w:val="single" w:color="000000" w:sz="0" w:space="0"/>
              <w:left w:val="single" w:color="000000" w:sz="0" w:space="0"/>
              <w:bottom w:val="single" w:color="000000" w:sz="0" w:space="0"/>
              <w:right w:val="single" w:color="000000" w:sz="0" w:space="0"/>
            </w:tcBorders>
            <w:vAlign w:val="center"/>
          </w:tcPr>
          <w:p>
            <w:pPr>
              <w:spacing w:line="360" w:lineRule="auto"/>
              <w:ind w:left="120" w:leftChars="50" w:right="120" w:rightChars="50" w:firstLine="0"/>
              <w:rPr>
                <w:rFonts w:hint="eastAsia"/>
                <w:szCs w:val="24"/>
              </w:rPr>
            </w:pPr>
            <w:r>
              <w:rPr>
                <w:szCs w:val="24"/>
              </w:rPr>
              <w:t>显示器</w:t>
            </w:r>
          </w:p>
        </w:tc>
        <w:tc>
          <w:tcPr>
            <w:tcW w:w="4809" w:type="dxa"/>
            <w:tcBorders>
              <w:top w:val="single" w:color="000000" w:sz="0" w:space="0"/>
              <w:left w:val="single" w:color="000000" w:sz="0" w:space="0"/>
              <w:bottom w:val="single" w:color="000000" w:sz="0" w:space="0"/>
              <w:right w:val="single" w:color="000000" w:sz="0" w:space="0"/>
            </w:tcBorders>
            <w:vAlign w:val="center"/>
          </w:tcPr>
          <w:p>
            <w:pPr>
              <w:spacing w:line="360" w:lineRule="auto"/>
              <w:ind w:left="120" w:leftChars="50" w:right="120" w:rightChars="50" w:firstLine="0"/>
              <w:rPr>
                <w:rFonts w:hint="eastAsia"/>
                <w:szCs w:val="24"/>
              </w:rPr>
            </w:pPr>
            <w:r>
              <w:rPr>
                <w:rFonts w:hint="eastAsia"/>
                <w:szCs w:val="24"/>
              </w:rPr>
              <w:t>23.8英寸IPS，4K，60Hz，窄边框，配DP+HDMI 接口</w:t>
            </w:r>
          </w:p>
        </w:tc>
        <w:tc>
          <w:tcPr>
            <w:tcW w:w="991" w:type="dxa"/>
            <w:tcBorders>
              <w:left w:val="single" w:color="000000" w:sz="0" w:space="0"/>
              <w:bottom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r>
              <w:rPr>
                <w:rFonts w:hint="eastAsia"/>
                <w:szCs w:val="24"/>
              </w:rPr>
              <w:t>3台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35" w:hRule="atLeast"/>
        </w:trPr>
        <w:tc>
          <w:tcPr>
            <w:tcW w:w="891" w:type="dxa"/>
            <w:vMerge w:val="continue"/>
            <w:tcBorders>
              <w:left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p>
        </w:tc>
        <w:tc>
          <w:tcPr>
            <w:tcW w:w="972" w:type="dxa"/>
            <w:vMerge w:val="continue"/>
            <w:tcBorders>
              <w:left w:val="single" w:color="000000" w:sz="0" w:space="0"/>
              <w:bottom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p>
        </w:tc>
        <w:tc>
          <w:tcPr>
            <w:tcW w:w="1965" w:type="dxa"/>
            <w:tcBorders>
              <w:top w:val="single" w:color="000000" w:sz="0" w:space="0"/>
              <w:left w:val="single" w:color="000000" w:sz="0" w:space="0"/>
              <w:bottom w:val="single" w:color="000000" w:sz="0" w:space="0"/>
              <w:right w:val="single" w:color="000000" w:sz="0" w:space="0"/>
            </w:tcBorders>
            <w:vAlign w:val="center"/>
          </w:tcPr>
          <w:p>
            <w:pPr>
              <w:spacing w:line="360" w:lineRule="auto"/>
              <w:ind w:left="120" w:leftChars="50" w:right="120" w:rightChars="50" w:firstLine="0"/>
              <w:rPr>
                <w:rFonts w:hint="eastAsia"/>
                <w:szCs w:val="24"/>
              </w:rPr>
            </w:pPr>
            <w:r>
              <w:rPr>
                <w:rFonts w:hint="eastAsia"/>
                <w:szCs w:val="24"/>
              </w:rPr>
              <w:t>键鼠套装</w:t>
            </w:r>
          </w:p>
        </w:tc>
        <w:tc>
          <w:tcPr>
            <w:tcW w:w="4809" w:type="dxa"/>
            <w:tcBorders>
              <w:top w:val="single" w:color="000000" w:sz="0" w:space="0"/>
              <w:left w:val="single" w:color="000000" w:sz="0" w:space="0"/>
              <w:bottom w:val="single" w:color="000000" w:sz="0" w:space="0"/>
              <w:right w:val="single" w:color="000000" w:sz="0" w:space="0"/>
            </w:tcBorders>
            <w:vAlign w:val="center"/>
          </w:tcPr>
          <w:p>
            <w:pPr>
              <w:spacing w:line="360" w:lineRule="auto"/>
              <w:ind w:left="120" w:leftChars="50" w:right="120" w:rightChars="50" w:firstLine="0"/>
              <w:rPr>
                <w:rFonts w:hint="eastAsia"/>
                <w:szCs w:val="24"/>
              </w:rPr>
            </w:pPr>
            <w:r>
              <w:rPr>
                <w:rFonts w:hint="eastAsia"/>
                <w:szCs w:val="24"/>
              </w:rPr>
              <w:t>有线黑色、耐用型静音</w:t>
            </w:r>
          </w:p>
        </w:tc>
        <w:tc>
          <w:tcPr>
            <w:tcW w:w="991" w:type="dxa"/>
            <w:tcBorders>
              <w:left w:val="single" w:color="000000" w:sz="0" w:space="0"/>
              <w:bottom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r>
              <w:rPr>
                <w:rFonts w:hint="eastAsia"/>
                <w:szCs w:val="24"/>
              </w:rPr>
              <w:t>3套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35" w:hRule="atLeast"/>
        </w:trPr>
        <w:tc>
          <w:tcPr>
            <w:tcW w:w="891" w:type="dxa"/>
            <w:vMerge w:val="continue"/>
            <w:tcBorders>
              <w:left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p>
        </w:tc>
        <w:tc>
          <w:tcPr>
            <w:tcW w:w="972" w:type="dxa"/>
            <w:vMerge w:val="continue"/>
            <w:tcBorders>
              <w:left w:val="single" w:color="000000" w:sz="0" w:space="0"/>
              <w:bottom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p>
        </w:tc>
        <w:tc>
          <w:tcPr>
            <w:tcW w:w="1965" w:type="dxa"/>
            <w:tcBorders>
              <w:top w:val="single" w:color="000000" w:sz="0" w:space="0"/>
              <w:left w:val="single" w:color="000000" w:sz="0" w:space="0"/>
              <w:bottom w:val="single" w:color="000000" w:sz="0" w:space="0"/>
              <w:right w:val="single" w:color="000000" w:sz="0" w:space="0"/>
            </w:tcBorders>
            <w:vAlign w:val="center"/>
          </w:tcPr>
          <w:p>
            <w:pPr>
              <w:spacing w:line="360" w:lineRule="auto"/>
              <w:ind w:left="120" w:leftChars="50" w:right="120" w:rightChars="50" w:firstLine="0"/>
              <w:rPr>
                <w:rFonts w:hint="eastAsia"/>
                <w:szCs w:val="24"/>
              </w:rPr>
            </w:pPr>
            <w:r>
              <w:rPr>
                <w:szCs w:val="24"/>
              </w:rPr>
              <w:t>KVM 切换器</w:t>
            </w:r>
          </w:p>
        </w:tc>
        <w:tc>
          <w:tcPr>
            <w:tcW w:w="4809" w:type="dxa"/>
            <w:tcBorders>
              <w:top w:val="single" w:color="000000" w:sz="0" w:space="0"/>
              <w:left w:val="single" w:color="000000" w:sz="0" w:space="0"/>
              <w:bottom w:val="single" w:color="000000" w:sz="0" w:space="0"/>
              <w:right w:val="single" w:color="000000" w:sz="0" w:space="0"/>
            </w:tcBorders>
            <w:vAlign w:val="center"/>
          </w:tcPr>
          <w:p>
            <w:pPr>
              <w:spacing w:line="360" w:lineRule="auto"/>
              <w:ind w:left="120" w:leftChars="50" w:right="120" w:rightChars="50" w:firstLine="0"/>
              <w:rPr>
                <w:rFonts w:hint="eastAsia"/>
                <w:szCs w:val="24"/>
              </w:rPr>
            </w:pPr>
            <w:r>
              <w:rPr>
                <w:rFonts w:hint="eastAsia"/>
                <w:szCs w:val="24"/>
              </w:rPr>
              <w:t>4 口 USB HDMI KVM，支持热键切换</w:t>
            </w:r>
          </w:p>
        </w:tc>
        <w:tc>
          <w:tcPr>
            <w:tcW w:w="991" w:type="dxa"/>
            <w:tcBorders>
              <w:left w:val="single" w:color="000000" w:sz="0" w:space="0"/>
              <w:bottom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r>
              <w:rPr>
                <w:rFonts w:hint="eastAsia"/>
                <w:szCs w:val="24"/>
              </w:rPr>
              <w:t>1台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35" w:hRule="atLeast"/>
        </w:trPr>
        <w:tc>
          <w:tcPr>
            <w:tcW w:w="891" w:type="dxa"/>
            <w:vMerge w:val="continue"/>
            <w:tcBorders>
              <w:left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p>
        </w:tc>
        <w:tc>
          <w:tcPr>
            <w:tcW w:w="972" w:type="dxa"/>
            <w:vMerge w:val="continue"/>
            <w:tcBorders>
              <w:left w:val="single" w:color="000000" w:sz="0" w:space="0"/>
              <w:bottom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p>
        </w:tc>
        <w:tc>
          <w:tcPr>
            <w:tcW w:w="1965" w:type="dxa"/>
            <w:tcBorders>
              <w:top w:val="single" w:color="000000" w:sz="0" w:space="0"/>
              <w:left w:val="single" w:color="000000" w:sz="0" w:space="0"/>
              <w:bottom w:val="single" w:color="000000" w:sz="0" w:space="0"/>
              <w:right w:val="single" w:color="000000" w:sz="0" w:space="0"/>
            </w:tcBorders>
            <w:vAlign w:val="center"/>
          </w:tcPr>
          <w:p>
            <w:pPr>
              <w:spacing w:line="360" w:lineRule="auto"/>
              <w:ind w:left="120" w:leftChars="50" w:right="120" w:rightChars="50" w:firstLine="0"/>
              <w:rPr>
                <w:rFonts w:hint="eastAsia"/>
                <w:szCs w:val="24"/>
              </w:rPr>
            </w:pPr>
            <w:r>
              <w:rPr>
                <w:szCs w:val="24"/>
              </w:rPr>
              <w:t>网络交换机</w:t>
            </w:r>
          </w:p>
        </w:tc>
        <w:tc>
          <w:tcPr>
            <w:tcW w:w="4809" w:type="dxa"/>
            <w:tcBorders>
              <w:top w:val="single" w:color="000000" w:sz="0" w:space="0"/>
              <w:left w:val="single" w:color="000000" w:sz="0" w:space="0"/>
              <w:bottom w:val="single" w:color="000000" w:sz="0" w:space="0"/>
              <w:right w:val="single" w:color="000000" w:sz="0" w:space="0"/>
            </w:tcBorders>
            <w:vAlign w:val="center"/>
          </w:tcPr>
          <w:p>
            <w:pPr>
              <w:spacing w:line="360" w:lineRule="auto"/>
              <w:ind w:left="120" w:leftChars="50" w:right="120" w:rightChars="50" w:firstLine="0"/>
              <w:rPr>
                <w:rFonts w:hint="eastAsia"/>
                <w:szCs w:val="24"/>
              </w:rPr>
            </w:pPr>
            <w:r>
              <w:rPr>
                <w:rFonts w:hint="eastAsia"/>
                <w:szCs w:val="24"/>
              </w:rPr>
              <w:t>千兆24口全千兆管理型交换机</w:t>
            </w:r>
          </w:p>
        </w:tc>
        <w:tc>
          <w:tcPr>
            <w:tcW w:w="991" w:type="dxa"/>
            <w:tcBorders>
              <w:left w:val="single" w:color="000000" w:sz="0" w:space="0"/>
              <w:bottom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r>
              <w:rPr>
                <w:rFonts w:hint="eastAsia"/>
                <w:szCs w:val="24"/>
              </w:rPr>
              <w:t>1台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35" w:hRule="atLeast"/>
        </w:trPr>
        <w:tc>
          <w:tcPr>
            <w:tcW w:w="891" w:type="dxa"/>
            <w:vMerge w:val="continue"/>
            <w:tcBorders>
              <w:left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p>
        </w:tc>
        <w:tc>
          <w:tcPr>
            <w:tcW w:w="972" w:type="dxa"/>
            <w:vMerge w:val="continue"/>
            <w:tcBorders>
              <w:left w:val="single" w:color="000000" w:sz="0" w:space="0"/>
              <w:bottom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p>
        </w:tc>
        <w:tc>
          <w:tcPr>
            <w:tcW w:w="1965" w:type="dxa"/>
            <w:tcBorders>
              <w:top w:val="single" w:color="000000" w:sz="0" w:space="0"/>
              <w:left w:val="single" w:color="000000" w:sz="0" w:space="0"/>
              <w:bottom w:val="single" w:color="000000" w:sz="0" w:space="0"/>
              <w:right w:val="single" w:color="000000" w:sz="0" w:space="0"/>
            </w:tcBorders>
            <w:vAlign w:val="center"/>
          </w:tcPr>
          <w:p>
            <w:pPr>
              <w:spacing w:line="360" w:lineRule="auto"/>
              <w:ind w:left="120" w:leftChars="50" w:right="120" w:rightChars="50" w:firstLine="0"/>
              <w:rPr>
                <w:rFonts w:hint="eastAsia"/>
                <w:szCs w:val="24"/>
              </w:rPr>
            </w:pPr>
            <w:r>
              <w:rPr>
                <w:rFonts w:hint="eastAsia"/>
                <w:szCs w:val="24"/>
              </w:rPr>
              <w:t>房间玻璃隔墙</w:t>
            </w:r>
          </w:p>
        </w:tc>
        <w:tc>
          <w:tcPr>
            <w:tcW w:w="4809" w:type="dxa"/>
            <w:tcBorders>
              <w:top w:val="single" w:color="000000" w:sz="0" w:space="0"/>
              <w:left w:val="single" w:color="000000" w:sz="0" w:space="0"/>
              <w:bottom w:val="single" w:color="000000" w:sz="0" w:space="0"/>
              <w:right w:val="single" w:color="000000" w:sz="0" w:space="0"/>
            </w:tcBorders>
            <w:vAlign w:val="center"/>
          </w:tcPr>
          <w:p>
            <w:pPr>
              <w:spacing w:line="360" w:lineRule="auto"/>
              <w:ind w:left="120" w:leftChars="50" w:right="120" w:rightChars="50" w:firstLine="0"/>
              <w:rPr>
                <w:rFonts w:hint="eastAsia"/>
                <w:szCs w:val="24"/>
              </w:rPr>
            </w:pPr>
            <w:r>
              <w:rPr>
                <w:szCs w:val="24"/>
              </w:rPr>
              <w:t>长 10.5 米高 5 米；超白加厚（1.5 厘米）</w:t>
            </w:r>
            <w:r>
              <w:rPr>
                <w:rFonts w:hint="eastAsia"/>
                <w:szCs w:val="24"/>
              </w:rPr>
              <w:t>（含贴膜）</w:t>
            </w:r>
          </w:p>
        </w:tc>
        <w:tc>
          <w:tcPr>
            <w:tcW w:w="991" w:type="dxa"/>
            <w:tcBorders>
              <w:left w:val="single" w:color="000000" w:sz="0" w:space="0"/>
              <w:bottom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r>
              <w:rPr>
                <w:rFonts w:hint="eastAsia"/>
                <w:szCs w:val="24"/>
              </w:rPr>
              <w:t>51.8平米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35" w:hRule="atLeast"/>
        </w:trPr>
        <w:tc>
          <w:tcPr>
            <w:tcW w:w="891" w:type="dxa"/>
            <w:vMerge w:val="continue"/>
            <w:tcBorders>
              <w:left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p>
        </w:tc>
        <w:tc>
          <w:tcPr>
            <w:tcW w:w="972" w:type="dxa"/>
            <w:vMerge w:val="continue"/>
            <w:tcBorders>
              <w:left w:val="single" w:color="000000" w:sz="0" w:space="0"/>
              <w:bottom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p>
        </w:tc>
        <w:tc>
          <w:tcPr>
            <w:tcW w:w="1965" w:type="dxa"/>
            <w:tcBorders>
              <w:top w:val="single" w:color="000000" w:sz="0" w:space="0"/>
              <w:left w:val="single" w:color="000000" w:sz="0" w:space="0"/>
              <w:bottom w:val="single" w:color="000000" w:sz="0" w:space="0"/>
              <w:right w:val="single" w:color="000000" w:sz="0" w:space="0"/>
            </w:tcBorders>
            <w:vAlign w:val="center"/>
          </w:tcPr>
          <w:p>
            <w:pPr>
              <w:spacing w:line="360" w:lineRule="auto"/>
              <w:ind w:left="120" w:leftChars="50" w:right="120" w:rightChars="50" w:firstLine="0"/>
              <w:rPr>
                <w:rFonts w:hint="eastAsia"/>
                <w:szCs w:val="24"/>
              </w:rPr>
            </w:pPr>
            <w:r>
              <w:rPr>
                <w:szCs w:val="24"/>
              </w:rPr>
              <w:t>走廊玻璃隔墙</w:t>
            </w:r>
          </w:p>
        </w:tc>
        <w:tc>
          <w:tcPr>
            <w:tcW w:w="4809" w:type="dxa"/>
            <w:tcBorders>
              <w:top w:val="single" w:color="000000" w:sz="0" w:space="0"/>
              <w:left w:val="single" w:color="000000" w:sz="0" w:space="0"/>
              <w:bottom w:val="single" w:color="000000" w:sz="0" w:space="0"/>
              <w:right w:val="single" w:color="000000" w:sz="0" w:space="0"/>
            </w:tcBorders>
            <w:vAlign w:val="center"/>
          </w:tcPr>
          <w:p>
            <w:pPr>
              <w:spacing w:line="360" w:lineRule="auto"/>
              <w:ind w:left="120" w:leftChars="50" w:right="120" w:rightChars="50" w:firstLine="0"/>
              <w:rPr>
                <w:rFonts w:hint="eastAsia"/>
                <w:szCs w:val="24"/>
              </w:rPr>
            </w:pPr>
            <w:r>
              <w:rPr>
                <w:szCs w:val="24"/>
              </w:rPr>
              <w:t>长 4.8 米高 5 米；超白加厚（1.5 厘米）</w:t>
            </w:r>
            <w:r>
              <w:rPr>
                <w:rFonts w:hint="eastAsia"/>
                <w:szCs w:val="24"/>
              </w:rPr>
              <w:t>（含贴膜）</w:t>
            </w:r>
          </w:p>
        </w:tc>
        <w:tc>
          <w:tcPr>
            <w:tcW w:w="991" w:type="dxa"/>
            <w:tcBorders>
              <w:left w:val="single" w:color="000000" w:sz="0" w:space="0"/>
              <w:bottom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r>
              <w:rPr>
                <w:rFonts w:hint="eastAsia"/>
                <w:szCs w:val="24"/>
              </w:rPr>
              <w:t>24平米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35" w:hRule="atLeast"/>
        </w:trPr>
        <w:tc>
          <w:tcPr>
            <w:tcW w:w="891" w:type="dxa"/>
            <w:vMerge w:val="continue"/>
            <w:tcBorders>
              <w:left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p>
        </w:tc>
        <w:tc>
          <w:tcPr>
            <w:tcW w:w="972" w:type="dxa"/>
            <w:vMerge w:val="continue"/>
            <w:tcBorders>
              <w:left w:val="single" w:color="000000" w:sz="0" w:space="0"/>
              <w:bottom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p>
        </w:tc>
        <w:tc>
          <w:tcPr>
            <w:tcW w:w="1965" w:type="dxa"/>
            <w:tcBorders>
              <w:top w:val="single" w:color="000000" w:sz="0" w:space="0"/>
              <w:left w:val="single" w:color="000000" w:sz="0" w:space="0"/>
              <w:bottom w:val="single" w:color="000000" w:sz="0" w:space="0"/>
              <w:right w:val="single" w:color="000000" w:sz="0" w:space="0"/>
            </w:tcBorders>
            <w:vAlign w:val="center"/>
          </w:tcPr>
          <w:p>
            <w:pPr>
              <w:spacing w:line="360" w:lineRule="auto"/>
              <w:ind w:left="120" w:leftChars="50" w:right="120" w:rightChars="50" w:firstLine="0"/>
              <w:rPr>
                <w:rFonts w:hint="eastAsia"/>
                <w:szCs w:val="24"/>
              </w:rPr>
            </w:pPr>
            <w:r>
              <w:rPr>
                <w:szCs w:val="24"/>
              </w:rPr>
              <w:t>电动门</w:t>
            </w:r>
          </w:p>
        </w:tc>
        <w:tc>
          <w:tcPr>
            <w:tcW w:w="4809" w:type="dxa"/>
            <w:tcBorders>
              <w:top w:val="single" w:color="000000" w:sz="0" w:space="0"/>
              <w:left w:val="single" w:color="000000" w:sz="0" w:space="0"/>
              <w:bottom w:val="single" w:color="000000" w:sz="0" w:space="0"/>
              <w:right w:val="single" w:color="000000" w:sz="0" w:space="0"/>
            </w:tcBorders>
            <w:vAlign w:val="center"/>
          </w:tcPr>
          <w:p>
            <w:pPr>
              <w:spacing w:line="360" w:lineRule="auto"/>
              <w:ind w:left="120" w:leftChars="50" w:right="120" w:rightChars="50" w:firstLine="0"/>
              <w:rPr>
                <w:rFonts w:hint="eastAsia"/>
                <w:szCs w:val="24"/>
              </w:rPr>
            </w:pPr>
            <w:r>
              <w:rPr>
                <w:szCs w:val="24"/>
              </w:rPr>
              <w:t>长度 2.4 米（房间及走廊）</w:t>
            </w:r>
          </w:p>
        </w:tc>
        <w:tc>
          <w:tcPr>
            <w:tcW w:w="991" w:type="dxa"/>
            <w:tcBorders>
              <w:left w:val="single" w:color="000000" w:sz="0" w:space="0"/>
              <w:bottom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r>
              <w:rPr>
                <w:rFonts w:hint="eastAsia"/>
                <w:szCs w:val="24"/>
              </w:rPr>
              <w:t>2套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35" w:hRule="atLeast"/>
        </w:trPr>
        <w:tc>
          <w:tcPr>
            <w:tcW w:w="891" w:type="dxa"/>
            <w:vMerge w:val="continue"/>
            <w:tcBorders>
              <w:left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p>
        </w:tc>
        <w:tc>
          <w:tcPr>
            <w:tcW w:w="972" w:type="dxa"/>
            <w:vMerge w:val="continue"/>
            <w:tcBorders>
              <w:left w:val="single" w:color="000000" w:sz="0" w:space="0"/>
              <w:bottom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p>
        </w:tc>
        <w:tc>
          <w:tcPr>
            <w:tcW w:w="1965" w:type="dxa"/>
            <w:tcBorders>
              <w:top w:val="single" w:color="000000" w:sz="0" w:space="0"/>
              <w:left w:val="single" w:color="000000" w:sz="0" w:space="0"/>
              <w:bottom w:val="single" w:color="000000" w:sz="0" w:space="0"/>
              <w:right w:val="single" w:color="000000" w:sz="0" w:space="0"/>
            </w:tcBorders>
            <w:vAlign w:val="center"/>
          </w:tcPr>
          <w:p>
            <w:pPr>
              <w:spacing w:line="360" w:lineRule="auto"/>
              <w:ind w:left="120" w:leftChars="50" w:right="120" w:rightChars="50" w:firstLine="0"/>
              <w:rPr>
                <w:rFonts w:hint="eastAsia"/>
                <w:szCs w:val="24"/>
              </w:rPr>
            </w:pPr>
            <w:r>
              <w:rPr>
                <w:szCs w:val="24"/>
              </w:rPr>
              <w:t>高清摄像机</w:t>
            </w:r>
          </w:p>
        </w:tc>
        <w:tc>
          <w:tcPr>
            <w:tcW w:w="4809" w:type="dxa"/>
            <w:tcBorders>
              <w:top w:val="single" w:color="000000" w:sz="0" w:space="0"/>
              <w:left w:val="single" w:color="000000" w:sz="0" w:space="0"/>
              <w:bottom w:val="single" w:color="000000" w:sz="0" w:space="0"/>
              <w:right w:val="single" w:color="000000" w:sz="0" w:space="0"/>
            </w:tcBorders>
            <w:vAlign w:val="center"/>
          </w:tcPr>
          <w:p>
            <w:pPr>
              <w:spacing w:line="360" w:lineRule="auto"/>
              <w:ind w:left="120" w:leftChars="50" w:right="120" w:rightChars="50" w:firstLine="0"/>
              <w:rPr>
                <w:rFonts w:hint="eastAsia"/>
                <w:szCs w:val="24"/>
              </w:rPr>
            </w:pPr>
            <w:r>
              <w:rPr>
                <w:rFonts w:hint="eastAsia"/>
                <w:szCs w:val="24"/>
              </w:rPr>
              <w:t>人脸抓拍摄像机，国密35114网络摄像机400 万智能变焦半球网络摄像机。</w:t>
            </w:r>
          </w:p>
          <w:p>
            <w:pPr>
              <w:spacing w:line="360" w:lineRule="auto"/>
              <w:ind w:left="120" w:leftChars="50" w:right="120" w:rightChars="50" w:firstLine="0"/>
              <w:rPr>
                <w:rFonts w:hint="eastAsia"/>
                <w:szCs w:val="24"/>
              </w:rPr>
            </w:pPr>
            <w:r>
              <w:rPr>
                <w:rFonts w:hint="eastAsia"/>
                <w:szCs w:val="24"/>
              </w:rPr>
              <w:t>采用深度学习硬件及算法，提供准确的人车分类侦测，支持越界侦测，区域入侵侦测，进入区域侦测和离开区域侦测，支持声音报警联动人脸抓拍：支持对不同目标进行检测、抓拍；最高分辨率可达2688×1520@25 fps，在该分辨率下可输出实时图像。</w:t>
            </w:r>
          </w:p>
          <w:p>
            <w:pPr>
              <w:spacing w:line="360" w:lineRule="auto"/>
              <w:ind w:left="120" w:leftChars="50" w:right="120" w:rightChars="50" w:firstLine="0"/>
              <w:rPr>
                <w:rFonts w:hint="eastAsia"/>
                <w:szCs w:val="24"/>
              </w:rPr>
            </w:pPr>
            <w:r>
              <w:rPr>
                <w:rFonts w:hint="eastAsia"/>
                <w:szCs w:val="24"/>
              </w:rPr>
              <w:t>支持背光补偿，强光抑制，3D 数字降噪，120 dB宽动态；支持电动变焦；采用高效阵列红外灯，照射距离最远可达30m；1 个内置麦克风，1个内置扬声器，支持双向语音对讲。支持1路报警输入，1路报警输出（报警输出最大支持AC24 V/DC24V，1A），1 路音频输入，1 路音频输出支持最大 256 GB MicroSD / MicroSDHC / MicroSDXC 卡本地存储支持 DC12V，100 mA电源输出，可用于拾音器供电符合 IP66 防尘防水及IK10 防暴设计，可靠性高支持 GB35114 A 级安全加密</w:t>
            </w:r>
          </w:p>
        </w:tc>
        <w:tc>
          <w:tcPr>
            <w:tcW w:w="991" w:type="dxa"/>
            <w:tcBorders>
              <w:left w:val="single" w:color="000000" w:sz="0" w:space="0"/>
              <w:bottom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r>
              <w:rPr>
                <w:rFonts w:hint="eastAsia"/>
                <w:szCs w:val="24"/>
              </w:rPr>
              <w:t>2台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35" w:hRule="atLeast"/>
        </w:trPr>
        <w:tc>
          <w:tcPr>
            <w:tcW w:w="891" w:type="dxa"/>
            <w:vMerge w:val="continue"/>
            <w:tcBorders>
              <w:left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p>
        </w:tc>
        <w:tc>
          <w:tcPr>
            <w:tcW w:w="972" w:type="dxa"/>
            <w:vMerge w:val="continue"/>
            <w:tcBorders>
              <w:left w:val="single" w:color="000000" w:sz="0" w:space="0"/>
              <w:bottom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p>
        </w:tc>
        <w:tc>
          <w:tcPr>
            <w:tcW w:w="1965" w:type="dxa"/>
            <w:tcBorders>
              <w:top w:val="single" w:color="000000" w:sz="0" w:space="0"/>
              <w:left w:val="single" w:color="000000" w:sz="0" w:space="0"/>
              <w:bottom w:val="single" w:color="000000" w:sz="0" w:space="0"/>
              <w:right w:val="single" w:color="000000" w:sz="0" w:space="0"/>
            </w:tcBorders>
            <w:vAlign w:val="center"/>
          </w:tcPr>
          <w:p>
            <w:pPr>
              <w:spacing w:line="360" w:lineRule="auto"/>
              <w:ind w:left="120" w:leftChars="50" w:right="120" w:rightChars="50" w:firstLine="0"/>
              <w:rPr>
                <w:rFonts w:hint="eastAsia"/>
                <w:szCs w:val="24"/>
              </w:rPr>
            </w:pPr>
            <w:r>
              <w:rPr>
                <w:rFonts w:hint="eastAsia"/>
                <w:szCs w:val="24"/>
              </w:rPr>
              <w:t>机房密评NVR</w:t>
            </w:r>
          </w:p>
        </w:tc>
        <w:tc>
          <w:tcPr>
            <w:tcW w:w="4809" w:type="dxa"/>
            <w:tcBorders>
              <w:top w:val="single" w:color="000000" w:sz="0" w:space="0"/>
              <w:left w:val="single" w:color="000000" w:sz="0" w:space="0"/>
              <w:bottom w:val="single" w:color="000000" w:sz="0" w:space="0"/>
              <w:right w:val="single" w:color="000000" w:sz="0" w:space="0"/>
            </w:tcBorders>
            <w:vAlign w:val="center"/>
          </w:tcPr>
          <w:p>
            <w:pPr>
              <w:spacing w:line="360" w:lineRule="auto"/>
              <w:ind w:left="120" w:leftChars="50" w:right="120" w:rightChars="50" w:firstLine="0"/>
              <w:rPr>
                <w:rFonts w:hint="eastAsia"/>
                <w:szCs w:val="24"/>
              </w:rPr>
            </w:pPr>
            <w:r>
              <w:rPr>
                <w:rFonts w:hint="eastAsia"/>
                <w:szCs w:val="24"/>
              </w:rPr>
              <w:t>网络硬盘录像机，</w:t>
            </w:r>
          </w:p>
          <w:p>
            <w:pPr>
              <w:spacing w:line="360" w:lineRule="auto"/>
              <w:ind w:left="120" w:leftChars="50" w:right="120" w:rightChars="50" w:firstLine="0"/>
              <w:rPr>
                <w:rFonts w:hint="eastAsia"/>
                <w:szCs w:val="24"/>
              </w:rPr>
            </w:pPr>
            <w:r>
              <w:rPr>
                <w:rFonts w:hint="eastAsia" w:ascii="Segoe UI" w:hAnsi="Segoe UI" w:cs="Segoe UI"/>
                <w:color w:val="FF0000"/>
                <w:kern w:val="2"/>
                <w:sz w:val="21"/>
                <w:szCs w:val="24"/>
                <w:shd w:val="clear" w:color="auto" w:fill="FFFFFF"/>
                <w:lang w:bidi="ar"/>
              </w:rPr>
              <w:t>▲</w:t>
            </w:r>
            <w:r>
              <w:rPr>
                <w:rFonts w:hint="eastAsia"/>
                <w:color w:val="FF0000"/>
                <w:szCs w:val="24"/>
              </w:rPr>
              <w:t>整机具有商密二级证书</w:t>
            </w:r>
            <w:r>
              <w:rPr>
                <w:rFonts w:hint="eastAsia"/>
                <w:color w:val="FF0000"/>
                <w:szCs w:val="24"/>
                <w:lang w:eastAsia="zh-CN"/>
              </w:rPr>
              <w:t>，</w:t>
            </w:r>
            <w:r>
              <w:rPr>
                <w:rFonts w:hint="eastAsia"/>
                <w:color w:val="FF0000"/>
                <w:szCs w:val="24"/>
              </w:rPr>
              <w:t>内置通过国家密码局检测认证的安全芯片，支持 SM2/SM3/SM4 等国家商用密码算法；</w:t>
            </w:r>
          </w:p>
          <w:p>
            <w:pPr>
              <w:spacing w:line="360" w:lineRule="auto"/>
              <w:ind w:left="120" w:leftChars="50" w:right="120" w:rightChars="50" w:firstLine="0"/>
              <w:rPr>
                <w:rFonts w:hint="eastAsia"/>
                <w:szCs w:val="24"/>
              </w:rPr>
            </w:pPr>
            <w:r>
              <w:rPr>
                <w:rFonts w:hint="eastAsia"/>
                <w:szCs w:val="24"/>
              </w:rPr>
              <w:t>支持基于数字证书的设备接入认证能力；支持基于国家商用密码算法的信令认证能力；支持符合国家商用密码算法标准的证书请求文件导出；支持符合国家商用密码算法标准的数字证书导入管理，用于平台/设备接入认证；内置二级密码模块，可配套加密平台，满足密评三级视频数据存储完整性要求；支持芯片安全校验能力，包括随机数有效性检测，算法符合性检测等；支持算法安全校验能力，包括开机自检，使用时自检和定期自检等。</w:t>
            </w:r>
          </w:p>
        </w:tc>
        <w:tc>
          <w:tcPr>
            <w:tcW w:w="991" w:type="dxa"/>
            <w:tcBorders>
              <w:left w:val="single" w:color="000000" w:sz="0" w:space="0"/>
              <w:bottom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r>
              <w:rPr>
                <w:rFonts w:hint="eastAsia"/>
                <w:szCs w:val="24"/>
              </w:rPr>
              <w:t>1台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35" w:hRule="atLeast"/>
        </w:trPr>
        <w:tc>
          <w:tcPr>
            <w:tcW w:w="891" w:type="dxa"/>
            <w:vMerge w:val="continue"/>
            <w:tcBorders>
              <w:left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p>
        </w:tc>
        <w:tc>
          <w:tcPr>
            <w:tcW w:w="972" w:type="dxa"/>
            <w:vMerge w:val="continue"/>
            <w:tcBorders>
              <w:left w:val="single" w:color="000000" w:sz="0" w:space="0"/>
              <w:bottom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p>
        </w:tc>
        <w:tc>
          <w:tcPr>
            <w:tcW w:w="1965" w:type="dxa"/>
            <w:tcBorders>
              <w:top w:val="single" w:color="000000" w:sz="0" w:space="0"/>
              <w:left w:val="single" w:color="000000" w:sz="0" w:space="0"/>
              <w:bottom w:val="single" w:color="000000" w:sz="0" w:space="0"/>
              <w:right w:val="single" w:color="000000" w:sz="0" w:space="0"/>
            </w:tcBorders>
            <w:vAlign w:val="center"/>
          </w:tcPr>
          <w:p>
            <w:pPr>
              <w:spacing w:line="360" w:lineRule="auto"/>
              <w:ind w:left="120" w:leftChars="50" w:right="120" w:rightChars="50" w:firstLine="0"/>
              <w:rPr>
                <w:rFonts w:hint="eastAsia"/>
                <w:szCs w:val="24"/>
              </w:rPr>
            </w:pPr>
            <w:r>
              <w:rPr>
                <w:szCs w:val="24"/>
              </w:rPr>
              <w:t>存储硬盘</w:t>
            </w:r>
          </w:p>
        </w:tc>
        <w:tc>
          <w:tcPr>
            <w:tcW w:w="4809" w:type="dxa"/>
            <w:tcBorders>
              <w:top w:val="single" w:color="000000" w:sz="0" w:space="0"/>
              <w:left w:val="single" w:color="000000" w:sz="0" w:space="0"/>
              <w:bottom w:val="single" w:color="000000" w:sz="0" w:space="0"/>
              <w:right w:val="single" w:color="000000" w:sz="0" w:space="0"/>
            </w:tcBorders>
            <w:vAlign w:val="center"/>
          </w:tcPr>
          <w:p>
            <w:pPr>
              <w:spacing w:line="360" w:lineRule="auto"/>
              <w:ind w:left="120" w:leftChars="50" w:right="120" w:rightChars="50" w:firstLine="0"/>
              <w:rPr>
                <w:rFonts w:hint="eastAsia"/>
                <w:szCs w:val="24"/>
              </w:rPr>
            </w:pPr>
            <w:r>
              <w:rPr>
                <w:szCs w:val="24"/>
              </w:rPr>
              <w:t>8T 监控专用存储硬盘</w:t>
            </w:r>
          </w:p>
        </w:tc>
        <w:tc>
          <w:tcPr>
            <w:tcW w:w="991" w:type="dxa"/>
            <w:tcBorders>
              <w:left w:val="single" w:color="000000" w:sz="0" w:space="0"/>
              <w:bottom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r>
              <w:rPr>
                <w:rFonts w:hint="eastAsia"/>
                <w:szCs w:val="24"/>
              </w:rPr>
              <w:t>2台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35" w:hRule="atLeast"/>
        </w:trPr>
        <w:tc>
          <w:tcPr>
            <w:tcW w:w="891" w:type="dxa"/>
            <w:vMerge w:val="continue"/>
            <w:tcBorders>
              <w:left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p>
        </w:tc>
        <w:tc>
          <w:tcPr>
            <w:tcW w:w="972" w:type="dxa"/>
            <w:vMerge w:val="continue"/>
            <w:tcBorders>
              <w:left w:val="single" w:color="000000" w:sz="0" w:space="0"/>
              <w:bottom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p>
        </w:tc>
        <w:tc>
          <w:tcPr>
            <w:tcW w:w="1965" w:type="dxa"/>
            <w:tcBorders>
              <w:top w:val="single" w:color="000000" w:sz="0" w:space="0"/>
              <w:left w:val="single" w:color="000000" w:sz="0" w:space="0"/>
              <w:bottom w:val="single" w:color="000000" w:sz="0" w:space="0"/>
              <w:right w:val="single" w:color="000000" w:sz="0" w:space="0"/>
            </w:tcBorders>
            <w:vAlign w:val="center"/>
          </w:tcPr>
          <w:p>
            <w:pPr>
              <w:spacing w:line="360" w:lineRule="auto"/>
              <w:ind w:left="120" w:leftChars="50" w:right="120" w:rightChars="50" w:firstLine="0"/>
              <w:rPr>
                <w:rFonts w:hint="eastAsia"/>
                <w:szCs w:val="24"/>
              </w:rPr>
            </w:pPr>
            <w:r>
              <w:rPr>
                <w:szCs w:val="24"/>
              </w:rPr>
              <w:t>门禁系统</w:t>
            </w:r>
          </w:p>
        </w:tc>
        <w:tc>
          <w:tcPr>
            <w:tcW w:w="4809" w:type="dxa"/>
            <w:tcBorders>
              <w:top w:val="single" w:color="000000" w:sz="0" w:space="0"/>
              <w:left w:val="single" w:color="000000" w:sz="0" w:space="0"/>
              <w:bottom w:val="single" w:color="000000" w:sz="0" w:space="0"/>
              <w:right w:val="single" w:color="000000" w:sz="0" w:space="0"/>
            </w:tcBorders>
            <w:vAlign w:val="center"/>
          </w:tcPr>
          <w:p>
            <w:pPr>
              <w:spacing w:line="360" w:lineRule="auto"/>
              <w:ind w:left="120" w:leftChars="50" w:right="120" w:rightChars="50" w:firstLine="0"/>
              <w:rPr>
                <w:rFonts w:hint="eastAsia"/>
                <w:szCs w:val="24"/>
              </w:rPr>
            </w:pPr>
            <w:r>
              <w:rPr>
                <w:szCs w:val="24"/>
              </w:rPr>
              <w:t>人脸+卡，国密 CPU 加密+发卡器</w:t>
            </w:r>
            <w:r>
              <w:rPr>
                <w:rFonts w:hint="eastAsia"/>
                <w:szCs w:val="24"/>
              </w:rPr>
              <w:t>，</w:t>
            </w:r>
            <w:r>
              <w:rPr>
                <w:szCs w:val="24"/>
              </w:rPr>
              <w:t>包含门禁、磁力锁、出门开关灯</w:t>
            </w:r>
          </w:p>
        </w:tc>
        <w:tc>
          <w:tcPr>
            <w:tcW w:w="991" w:type="dxa"/>
            <w:tcBorders>
              <w:left w:val="single" w:color="000000" w:sz="0" w:space="0"/>
              <w:bottom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r>
              <w:rPr>
                <w:rFonts w:hint="eastAsia"/>
                <w:szCs w:val="24"/>
              </w:rPr>
              <w:t>2套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35" w:hRule="atLeast"/>
        </w:trPr>
        <w:tc>
          <w:tcPr>
            <w:tcW w:w="891" w:type="dxa"/>
            <w:vMerge w:val="continue"/>
            <w:tcBorders>
              <w:left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p>
        </w:tc>
        <w:tc>
          <w:tcPr>
            <w:tcW w:w="972" w:type="dxa"/>
            <w:vMerge w:val="continue"/>
            <w:tcBorders>
              <w:left w:val="single" w:color="000000" w:sz="0" w:space="0"/>
              <w:bottom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p>
        </w:tc>
        <w:tc>
          <w:tcPr>
            <w:tcW w:w="1965" w:type="dxa"/>
            <w:tcBorders>
              <w:top w:val="single" w:color="000000" w:sz="0" w:space="0"/>
              <w:left w:val="single" w:color="000000" w:sz="0" w:space="0"/>
              <w:bottom w:val="single" w:color="000000" w:sz="0" w:space="0"/>
              <w:right w:val="single" w:color="000000" w:sz="0" w:space="0"/>
            </w:tcBorders>
            <w:vAlign w:val="center"/>
          </w:tcPr>
          <w:p>
            <w:pPr>
              <w:spacing w:line="360" w:lineRule="auto"/>
              <w:ind w:left="120" w:leftChars="50" w:right="120" w:rightChars="50" w:firstLine="0"/>
              <w:rPr>
                <w:rFonts w:hint="eastAsia"/>
                <w:szCs w:val="24"/>
              </w:rPr>
            </w:pPr>
            <w:r>
              <w:rPr>
                <w:szCs w:val="24"/>
              </w:rPr>
              <w:t>信号屏蔽器</w:t>
            </w:r>
          </w:p>
        </w:tc>
        <w:tc>
          <w:tcPr>
            <w:tcW w:w="4809" w:type="dxa"/>
            <w:tcBorders>
              <w:top w:val="single" w:color="000000" w:sz="0" w:space="0"/>
              <w:left w:val="single" w:color="000000" w:sz="0" w:space="0"/>
              <w:bottom w:val="single" w:color="000000" w:sz="0" w:space="0"/>
              <w:right w:val="single" w:color="000000" w:sz="0" w:space="0"/>
            </w:tcBorders>
            <w:vAlign w:val="center"/>
          </w:tcPr>
          <w:p>
            <w:pPr>
              <w:spacing w:line="360" w:lineRule="auto"/>
              <w:ind w:left="120" w:leftChars="50" w:right="120" w:rightChars="50" w:firstLine="0"/>
              <w:rPr>
                <w:rFonts w:hint="eastAsia"/>
                <w:szCs w:val="24"/>
              </w:rPr>
            </w:pPr>
            <w:r>
              <w:rPr>
                <w:szCs w:val="24"/>
              </w:rPr>
              <w:t>全频段通信信号屏蔽器</w:t>
            </w:r>
          </w:p>
        </w:tc>
        <w:tc>
          <w:tcPr>
            <w:tcW w:w="991" w:type="dxa"/>
            <w:tcBorders>
              <w:left w:val="single" w:color="000000" w:sz="0" w:space="0"/>
              <w:bottom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r>
              <w:rPr>
                <w:rFonts w:hint="eastAsia"/>
                <w:szCs w:val="24"/>
              </w:rPr>
              <w:t>1台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33" w:hRule="atLeast"/>
        </w:trPr>
        <w:tc>
          <w:tcPr>
            <w:tcW w:w="891" w:type="dxa"/>
            <w:vMerge w:val="continue"/>
            <w:tcBorders>
              <w:left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p>
        </w:tc>
        <w:tc>
          <w:tcPr>
            <w:tcW w:w="972" w:type="dxa"/>
            <w:vMerge w:val="restart"/>
            <w:tcBorders>
              <w:top w:val="single" w:color="000000" w:sz="0" w:space="0"/>
              <w:left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r>
              <w:rPr>
                <w:szCs w:val="24"/>
              </w:rPr>
              <w:t>UPS电源系统</w:t>
            </w:r>
          </w:p>
        </w:tc>
        <w:tc>
          <w:tcPr>
            <w:tcW w:w="1965" w:type="dxa"/>
            <w:tcBorders>
              <w:top w:val="single" w:color="000000" w:sz="0" w:space="0"/>
              <w:left w:val="single" w:color="000000" w:sz="0" w:space="0"/>
              <w:bottom w:val="single" w:color="000000" w:sz="0" w:space="0"/>
              <w:right w:val="single" w:color="000000" w:sz="0" w:space="0"/>
            </w:tcBorders>
            <w:vAlign w:val="center"/>
          </w:tcPr>
          <w:p>
            <w:pPr>
              <w:spacing w:line="360" w:lineRule="auto"/>
              <w:ind w:left="120" w:leftChars="50" w:right="120" w:rightChars="50" w:firstLine="0"/>
              <w:rPr>
                <w:rFonts w:hint="eastAsia"/>
                <w:szCs w:val="24"/>
              </w:rPr>
            </w:pPr>
            <w:r>
              <w:rPr>
                <w:szCs w:val="24"/>
              </w:rPr>
              <w:t>UPS 电源主机</w:t>
            </w:r>
          </w:p>
        </w:tc>
        <w:tc>
          <w:tcPr>
            <w:tcW w:w="4809" w:type="dxa"/>
            <w:tcBorders>
              <w:top w:val="single" w:color="000000" w:sz="0" w:space="0"/>
              <w:left w:val="single" w:color="000000" w:sz="0" w:space="0"/>
              <w:bottom w:val="single" w:color="000000" w:sz="0" w:space="0"/>
              <w:right w:val="single" w:color="000000" w:sz="0" w:space="0"/>
            </w:tcBorders>
            <w:vAlign w:val="center"/>
          </w:tcPr>
          <w:p>
            <w:pPr>
              <w:spacing w:line="360" w:lineRule="auto"/>
              <w:ind w:left="120" w:leftChars="50" w:right="120" w:rightChars="50" w:firstLine="0"/>
              <w:rPr>
                <w:rFonts w:hint="eastAsia"/>
                <w:szCs w:val="24"/>
              </w:rPr>
            </w:pPr>
            <w:r>
              <w:rPr>
                <w:szCs w:val="24"/>
              </w:rPr>
              <w:t>UPS 主机；容量：12KW</w:t>
            </w:r>
          </w:p>
        </w:tc>
        <w:tc>
          <w:tcPr>
            <w:tcW w:w="991" w:type="dxa"/>
            <w:tcBorders>
              <w:top w:val="single" w:color="000000" w:sz="0" w:space="0"/>
              <w:left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r>
              <w:rPr>
                <w:rFonts w:hint="eastAsia"/>
                <w:szCs w:val="24"/>
              </w:rPr>
              <w:t>1台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33" w:hRule="atLeast"/>
        </w:trPr>
        <w:tc>
          <w:tcPr>
            <w:tcW w:w="891" w:type="dxa"/>
            <w:vMerge w:val="continue"/>
            <w:tcBorders>
              <w:left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p>
        </w:tc>
        <w:tc>
          <w:tcPr>
            <w:tcW w:w="972" w:type="dxa"/>
            <w:vMerge w:val="continue"/>
            <w:tcBorders>
              <w:left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p>
        </w:tc>
        <w:tc>
          <w:tcPr>
            <w:tcW w:w="1965" w:type="dxa"/>
            <w:tcBorders>
              <w:top w:val="single" w:color="000000" w:sz="0" w:space="0"/>
              <w:left w:val="single" w:color="000000" w:sz="0" w:space="0"/>
              <w:bottom w:val="single" w:color="000000" w:sz="0" w:space="0"/>
              <w:right w:val="single" w:color="000000" w:sz="0" w:space="0"/>
            </w:tcBorders>
            <w:vAlign w:val="center"/>
          </w:tcPr>
          <w:p>
            <w:pPr>
              <w:spacing w:line="360" w:lineRule="auto"/>
              <w:ind w:left="120" w:leftChars="50" w:right="120" w:rightChars="50" w:firstLine="0"/>
              <w:rPr>
                <w:rFonts w:hint="eastAsia"/>
                <w:color w:val="FF0000"/>
                <w:szCs w:val="24"/>
              </w:rPr>
            </w:pPr>
            <w:r>
              <w:rPr>
                <w:szCs w:val="24"/>
              </w:rPr>
              <w:t>蓄电池</w:t>
            </w:r>
          </w:p>
        </w:tc>
        <w:tc>
          <w:tcPr>
            <w:tcW w:w="4809" w:type="dxa"/>
            <w:tcBorders>
              <w:top w:val="single" w:color="000000" w:sz="0" w:space="0"/>
              <w:left w:val="single" w:color="000000" w:sz="0" w:space="0"/>
              <w:bottom w:val="single" w:color="000000" w:sz="0" w:space="0"/>
              <w:right w:val="single" w:color="000000" w:sz="0" w:space="0"/>
            </w:tcBorders>
            <w:vAlign w:val="center"/>
          </w:tcPr>
          <w:p>
            <w:pPr>
              <w:spacing w:line="360" w:lineRule="auto"/>
              <w:ind w:left="120" w:leftChars="50" w:right="120" w:rightChars="50" w:firstLine="0"/>
              <w:rPr>
                <w:rFonts w:hint="eastAsia"/>
                <w:color w:val="FF0000"/>
                <w:szCs w:val="24"/>
              </w:rPr>
            </w:pPr>
            <w:r>
              <w:rPr>
                <w:szCs w:val="24"/>
              </w:rPr>
              <w:t>容量</w:t>
            </w:r>
            <w:r>
              <w:rPr>
                <w:rFonts w:hint="eastAsia"/>
                <w:szCs w:val="24"/>
              </w:rPr>
              <w:t>：</w:t>
            </w:r>
            <w:r>
              <w:rPr>
                <w:szCs w:val="24"/>
              </w:rPr>
              <w:t>60 分钟</w:t>
            </w:r>
          </w:p>
        </w:tc>
        <w:tc>
          <w:tcPr>
            <w:tcW w:w="991" w:type="dxa"/>
            <w:tcBorders>
              <w:left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r>
              <w:rPr>
                <w:rFonts w:hint="eastAsia"/>
                <w:szCs w:val="24"/>
              </w:rPr>
              <w:t>16节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33" w:hRule="atLeast"/>
        </w:trPr>
        <w:tc>
          <w:tcPr>
            <w:tcW w:w="891" w:type="dxa"/>
            <w:vMerge w:val="continue"/>
            <w:tcBorders>
              <w:left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p>
        </w:tc>
        <w:tc>
          <w:tcPr>
            <w:tcW w:w="972" w:type="dxa"/>
            <w:vMerge w:val="continue"/>
            <w:tcBorders>
              <w:left w:val="single" w:color="000000" w:sz="0" w:space="0"/>
              <w:bottom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p>
        </w:tc>
        <w:tc>
          <w:tcPr>
            <w:tcW w:w="1965" w:type="dxa"/>
            <w:tcBorders>
              <w:top w:val="single" w:color="000000" w:sz="0" w:space="0"/>
              <w:left w:val="single" w:color="000000" w:sz="0" w:space="0"/>
              <w:bottom w:val="single" w:color="000000" w:sz="0" w:space="0"/>
              <w:right w:val="single" w:color="000000" w:sz="0" w:space="0"/>
            </w:tcBorders>
            <w:vAlign w:val="center"/>
          </w:tcPr>
          <w:p>
            <w:pPr>
              <w:spacing w:line="360" w:lineRule="auto"/>
              <w:ind w:left="120" w:leftChars="50" w:right="120" w:rightChars="50" w:firstLine="0"/>
              <w:rPr>
                <w:rFonts w:hint="eastAsia"/>
                <w:szCs w:val="24"/>
              </w:rPr>
            </w:pPr>
            <w:r>
              <w:rPr>
                <w:szCs w:val="24"/>
              </w:rPr>
              <w:t>辅材</w:t>
            </w:r>
          </w:p>
        </w:tc>
        <w:tc>
          <w:tcPr>
            <w:tcW w:w="4809" w:type="dxa"/>
            <w:tcBorders>
              <w:top w:val="single" w:color="000000" w:sz="0" w:space="0"/>
              <w:left w:val="single" w:color="000000" w:sz="0" w:space="0"/>
              <w:bottom w:val="single" w:color="000000" w:sz="0" w:space="0"/>
              <w:right w:val="single" w:color="000000" w:sz="0" w:space="0"/>
            </w:tcBorders>
            <w:vAlign w:val="center"/>
          </w:tcPr>
          <w:p>
            <w:pPr>
              <w:spacing w:line="360" w:lineRule="auto"/>
              <w:ind w:left="120" w:leftChars="50" w:right="120" w:rightChars="50" w:firstLine="0"/>
              <w:rPr>
                <w:rFonts w:hint="eastAsia"/>
                <w:szCs w:val="24"/>
              </w:rPr>
            </w:pPr>
            <w:r>
              <w:rPr>
                <w:rFonts w:hint="eastAsia"/>
                <w:szCs w:val="24"/>
              </w:rPr>
              <w:t>含 A16 电池架及各类辅材等</w:t>
            </w:r>
          </w:p>
        </w:tc>
        <w:tc>
          <w:tcPr>
            <w:tcW w:w="991" w:type="dxa"/>
            <w:tcBorders>
              <w:left w:val="single" w:color="000000" w:sz="0" w:space="0"/>
              <w:bottom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r>
              <w:rPr>
                <w:rFonts w:hint="eastAsia"/>
                <w:szCs w:val="24"/>
              </w:rPr>
              <w:t>1套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36" w:hRule="atLeast"/>
        </w:trPr>
        <w:tc>
          <w:tcPr>
            <w:tcW w:w="891" w:type="dxa"/>
            <w:vMerge w:val="continue"/>
            <w:tcBorders>
              <w:left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p>
        </w:tc>
        <w:tc>
          <w:tcPr>
            <w:tcW w:w="972" w:type="dxa"/>
            <w:vMerge w:val="restart"/>
            <w:tcBorders>
              <w:top w:val="single" w:color="000000" w:sz="0" w:space="0"/>
              <w:left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r>
              <w:rPr>
                <w:szCs w:val="24"/>
              </w:rPr>
              <w:t>设备间精密空调系统</w:t>
            </w:r>
          </w:p>
        </w:tc>
        <w:tc>
          <w:tcPr>
            <w:tcW w:w="1965" w:type="dxa"/>
            <w:tcBorders>
              <w:top w:val="single" w:color="000000" w:sz="0" w:space="0"/>
              <w:left w:val="single" w:color="000000" w:sz="0" w:space="0"/>
              <w:bottom w:val="single" w:color="000000" w:sz="0" w:space="0"/>
              <w:right w:val="single" w:color="000000" w:sz="0" w:space="0"/>
            </w:tcBorders>
            <w:vAlign w:val="center"/>
          </w:tcPr>
          <w:p>
            <w:pPr>
              <w:spacing w:line="360" w:lineRule="auto"/>
              <w:ind w:left="120" w:leftChars="50" w:right="120" w:rightChars="50" w:firstLine="0"/>
              <w:rPr>
                <w:rFonts w:hint="eastAsia"/>
                <w:szCs w:val="24"/>
              </w:rPr>
            </w:pPr>
            <w:r>
              <w:rPr>
                <w:szCs w:val="24"/>
              </w:rPr>
              <w:t>精密空调系</w:t>
            </w:r>
            <w:r>
              <w:rPr>
                <w:rFonts w:hint="eastAsia"/>
                <w:szCs w:val="24"/>
              </w:rPr>
              <w:t>统</w:t>
            </w:r>
          </w:p>
        </w:tc>
        <w:tc>
          <w:tcPr>
            <w:tcW w:w="4809" w:type="dxa"/>
            <w:tcBorders>
              <w:top w:val="single" w:color="000000" w:sz="0" w:space="0"/>
              <w:left w:val="single" w:color="000000" w:sz="0" w:space="0"/>
              <w:bottom w:val="single" w:color="000000" w:sz="0" w:space="0"/>
              <w:right w:val="single" w:color="000000" w:sz="0" w:space="0"/>
            </w:tcBorders>
            <w:vAlign w:val="center"/>
          </w:tcPr>
          <w:p>
            <w:pPr>
              <w:spacing w:line="360" w:lineRule="auto"/>
              <w:ind w:left="120" w:leftChars="50" w:right="120" w:rightChars="50" w:firstLine="0"/>
              <w:rPr>
                <w:rFonts w:hint="eastAsia"/>
                <w:szCs w:val="24"/>
              </w:rPr>
            </w:pPr>
            <w:r>
              <w:rPr>
                <w:szCs w:val="24"/>
              </w:rPr>
              <w:t>机房精密空调；制冷量：7.5KW(三匹)</w:t>
            </w:r>
          </w:p>
        </w:tc>
        <w:tc>
          <w:tcPr>
            <w:tcW w:w="991" w:type="dxa"/>
            <w:tcBorders>
              <w:top w:val="single" w:color="000000" w:sz="0" w:space="0"/>
              <w:left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r>
              <w:rPr>
                <w:rFonts w:hint="eastAsia"/>
                <w:szCs w:val="24"/>
              </w:rPr>
              <w:t>1套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35" w:hRule="atLeast"/>
        </w:trPr>
        <w:tc>
          <w:tcPr>
            <w:tcW w:w="891" w:type="dxa"/>
            <w:vMerge w:val="continue"/>
            <w:tcBorders>
              <w:left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p>
        </w:tc>
        <w:tc>
          <w:tcPr>
            <w:tcW w:w="972" w:type="dxa"/>
            <w:vMerge w:val="continue"/>
            <w:tcBorders>
              <w:left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p>
        </w:tc>
        <w:tc>
          <w:tcPr>
            <w:tcW w:w="1965" w:type="dxa"/>
            <w:tcBorders>
              <w:top w:val="single" w:color="000000" w:sz="0" w:space="0"/>
              <w:left w:val="single" w:color="000000" w:sz="0" w:space="0"/>
              <w:bottom w:val="single" w:color="000000" w:sz="0" w:space="0"/>
              <w:right w:val="single" w:color="000000" w:sz="0" w:space="0"/>
            </w:tcBorders>
            <w:vAlign w:val="center"/>
          </w:tcPr>
          <w:p>
            <w:pPr>
              <w:spacing w:line="360" w:lineRule="auto"/>
              <w:ind w:left="120" w:leftChars="50" w:right="120" w:rightChars="50" w:firstLine="0"/>
              <w:rPr>
                <w:rFonts w:hint="eastAsia"/>
                <w:szCs w:val="24"/>
              </w:rPr>
            </w:pPr>
            <w:r>
              <w:rPr>
                <w:szCs w:val="24"/>
              </w:rPr>
              <w:t>铜管</w:t>
            </w:r>
          </w:p>
        </w:tc>
        <w:tc>
          <w:tcPr>
            <w:tcW w:w="4809" w:type="dxa"/>
            <w:tcBorders>
              <w:top w:val="single" w:color="000000" w:sz="0" w:space="0"/>
              <w:left w:val="single" w:color="000000" w:sz="0" w:space="0"/>
              <w:bottom w:val="single" w:color="000000" w:sz="0" w:space="0"/>
              <w:right w:val="single" w:color="000000" w:sz="0" w:space="0"/>
            </w:tcBorders>
            <w:vAlign w:val="center"/>
          </w:tcPr>
          <w:p>
            <w:pPr>
              <w:spacing w:line="360" w:lineRule="auto"/>
              <w:ind w:left="120" w:leftChars="50" w:right="120" w:rightChars="50" w:firstLine="0"/>
              <w:rPr>
                <w:rFonts w:hint="eastAsia"/>
                <w:szCs w:val="24"/>
              </w:rPr>
            </w:pPr>
            <w:r>
              <w:rPr>
                <w:szCs w:val="24"/>
              </w:rPr>
              <w:t>铜管 12/16（含电源线、保湿、吊杆）</w:t>
            </w:r>
          </w:p>
        </w:tc>
        <w:tc>
          <w:tcPr>
            <w:tcW w:w="991" w:type="dxa"/>
            <w:tcBorders>
              <w:left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r>
              <w:rPr>
                <w:rFonts w:hint="eastAsia"/>
                <w:szCs w:val="24"/>
              </w:rPr>
              <w:t>15米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35" w:hRule="atLeast"/>
        </w:trPr>
        <w:tc>
          <w:tcPr>
            <w:tcW w:w="891" w:type="dxa"/>
            <w:vMerge w:val="continue"/>
            <w:tcBorders>
              <w:left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p>
        </w:tc>
        <w:tc>
          <w:tcPr>
            <w:tcW w:w="972" w:type="dxa"/>
            <w:vMerge w:val="continue"/>
            <w:tcBorders>
              <w:left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p>
        </w:tc>
        <w:tc>
          <w:tcPr>
            <w:tcW w:w="1965" w:type="dxa"/>
            <w:tcBorders>
              <w:top w:val="single" w:color="000000" w:sz="0" w:space="0"/>
              <w:left w:val="single" w:color="000000" w:sz="0" w:space="0"/>
              <w:bottom w:val="single" w:color="000000" w:sz="0" w:space="0"/>
              <w:right w:val="single" w:color="000000" w:sz="0" w:space="0"/>
            </w:tcBorders>
            <w:vAlign w:val="center"/>
          </w:tcPr>
          <w:p>
            <w:pPr>
              <w:spacing w:line="360" w:lineRule="auto"/>
              <w:ind w:left="120" w:leftChars="50" w:right="120" w:rightChars="50" w:firstLine="0"/>
              <w:rPr>
                <w:rFonts w:hint="eastAsia"/>
                <w:szCs w:val="24"/>
              </w:rPr>
            </w:pPr>
            <w:r>
              <w:rPr>
                <w:szCs w:val="24"/>
              </w:rPr>
              <w:t>排水</w:t>
            </w:r>
          </w:p>
        </w:tc>
        <w:tc>
          <w:tcPr>
            <w:tcW w:w="4809" w:type="dxa"/>
            <w:tcBorders>
              <w:top w:val="single" w:color="000000" w:sz="0" w:space="0"/>
              <w:left w:val="single" w:color="000000" w:sz="0" w:space="0"/>
              <w:bottom w:val="single" w:color="000000" w:sz="0" w:space="0"/>
              <w:right w:val="single" w:color="000000" w:sz="0" w:space="0"/>
            </w:tcBorders>
            <w:vAlign w:val="center"/>
          </w:tcPr>
          <w:p>
            <w:pPr>
              <w:spacing w:line="360" w:lineRule="auto"/>
              <w:ind w:left="120" w:leftChars="50" w:right="120" w:rightChars="50" w:firstLine="0"/>
              <w:rPr>
                <w:rFonts w:hint="eastAsia"/>
                <w:szCs w:val="24"/>
              </w:rPr>
            </w:pPr>
            <w:r>
              <w:rPr>
                <w:szCs w:val="24"/>
              </w:rPr>
              <w:t>机房内（含开槽打孔）</w:t>
            </w:r>
          </w:p>
        </w:tc>
        <w:tc>
          <w:tcPr>
            <w:tcW w:w="991" w:type="dxa"/>
            <w:tcBorders>
              <w:left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r>
              <w:rPr>
                <w:rFonts w:hint="eastAsia"/>
                <w:szCs w:val="24"/>
              </w:rPr>
              <w:t>1套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35" w:hRule="atLeast"/>
        </w:trPr>
        <w:tc>
          <w:tcPr>
            <w:tcW w:w="891" w:type="dxa"/>
            <w:vMerge w:val="continue"/>
            <w:tcBorders>
              <w:left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p>
        </w:tc>
        <w:tc>
          <w:tcPr>
            <w:tcW w:w="972" w:type="dxa"/>
            <w:vMerge w:val="continue"/>
            <w:tcBorders>
              <w:left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p>
        </w:tc>
        <w:tc>
          <w:tcPr>
            <w:tcW w:w="1965" w:type="dxa"/>
            <w:tcBorders>
              <w:top w:val="single" w:color="000000" w:sz="0" w:space="0"/>
              <w:left w:val="single" w:color="000000" w:sz="0" w:space="0"/>
              <w:bottom w:val="single" w:color="000000" w:sz="0" w:space="0"/>
              <w:right w:val="single" w:color="000000" w:sz="0" w:space="0"/>
            </w:tcBorders>
            <w:vAlign w:val="center"/>
          </w:tcPr>
          <w:p>
            <w:pPr>
              <w:spacing w:line="360" w:lineRule="auto"/>
              <w:ind w:left="120" w:leftChars="50" w:right="120" w:rightChars="50" w:firstLine="0"/>
              <w:rPr>
                <w:rFonts w:hint="eastAsia"/>
                <w:szCs w:val="24"/>
              </w:rPr>
            </w:pPr>
            <w:r>
              <w:rPr>
                <w:szCs w:val="24"/>
              </w:rPr>
              <w:t>制冷剂</w:t>
            </w:r>
          </w:p>
        </w:tc>
        <w:tc>
          <w:tcPr>
            <w:tcW w:w="4809" w:type="dxa"/>
            <w:tcBorders>
              <w:top w:val="single" w:color="000000" w:sz="0" w:space="0"/>
              <w:left w:val="single" w:color="000000" w:sz="0" w:space="0"/>
              <w:bottom w:val="single" w:color="000000" w:sz="0" w:space="0"/>
              <w:right w:val="single" w:color="000000" w:sz="0" w:space="0"/>
            </w:tcBorders>
            <w:vAlign w:val="center"/>
          </w:tcPr>
          <w:p>
            <w:pPr>
              <w:spacing w:line="360" w:lineRule="auto"/>
              <w:ind w:left="120" w:leftChars="50" w:right="120" w:rightChars="50" w:firstLine="0"/>
              <w:rPr>
                <w:rFonts w:hint="eastAsia"/>
                <w:szCs w:val="24"/>
              </w:rPr>
            </w:pPr>
            <w:r>
              <w:rPr>
                <w:szCs w:val="24"/>
              </w:rPr>
              <w:t>专用制冷剂</w:t>
            </w:r>
          </w:p>
        </w:tc>
        <w:tc>
          <w:tcPr>
            <w:tcW w:w="991" w:type="dxa"/>
            <w:tcBorders>
              <w:left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r>
              <w:rPr>
                <w:rFonts w:hint="eastAsia"/>
                <w:szCs w:val="24"/>
              </w:rPr>
              <w:t>1节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35" w:hRule="atLeast"/>
        </w:trPr>
        <w:tc>
          <w:tcPr>
            <w:tcW w:w="891" w:type="dxa"/>
            <w:vMerge w:val="continue"/>
            <w:tcBorders>
              <w:left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p>
        </w:tc>
        <w:tc>
          <w:tcPr>
            <w:tcW w:w="972" w:type="dxa"/>
            <w:vMerge w:val="continue"/>
            <w:tcBorders>
              <w:left w:val="single" w:color="000000" w:sz="0" w:space="0"/>
              <w:bottom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p>
        </w:tc>
        <w:tc>
          <w:tcPr>
            <w:tcW w:w="1965" w:type="dxa"/>
            <w:tcBorders>
              <w:top w:val="single" w:color="000000" w:sz="0" w:space="0"/>
              <w:left w:val="single" w:color="000000" w:sz="0" w:space="0"/>
              <w:bottom w:val="single" w:color="000000" w:sz="0" w:space="0"/>
              <w:right w:val="single" w:color="000000" w:sz="0" w:space="0"/>
            </w:tcBorders>
            <w:vAlign w:val="center"/>
          </w:tcPr>
          <w:p>
            <w:pPr>
              <w:spacing w:line="360" w:lineRule="auto"/>
              <w:ind w:left="120" w:leftChars="50" w:right="120" w:rightChars="50" w:firstLine="0"/>
              <w:rPr>
                <w:rFonts w:hint="eastAsia"/>
                <w:szCs w:val="24"/>
              </w:rPr>
            </w:pPr>
            <w:r>
              <w:rPr>
                <w:szCs w:val="24"/>
              </w:rPr>
              <w:t>辅材</w:t>
            </w:r>
          </w:p>
        </w:tc>
        <w:tc>
          <w:tcPr>
            <w:tcW w:w="4809" w:type="dxa"/>
            <w:tcBorders>
              <w:top w:val="single" w:color="000000" w:sz="0" w:space="0"/>
              <w:left w:val="single" w:color="000000" w:sz="0" w:space="0"/>
              <w:bottom w:val="single" w:color="000000" w:sz="0" w:space="0"/>
              <w:right w:val="single" w:color="000000" w:sz="0" w:space="0"/>
            </w:tcBorders>
            <w:vAlign w:val="center"/>
          </w:tcPr>
          <w:p>
            <w:pPr>
              <w:spacing w:line="360" w:lineRule="auto"/>
              <w:ind w:left="120" w:leftChars="50" w:right="120" w:rightChars="50" w:firstLine="0"/>
              <w:rPr>
                <w:rFonts w:hint="eastAsia"/>
                <w:szCs w:val="24"/>
              </w:rPr>
            </w:pPr>
            <w:r>
              <w:rPr>
                <w:rFonts w:hint="eastAsia"/>
                <w:szCs w:val="24"/>
              </w:rPr>
              <w:t>外机支架/打孔、设备运输、附件耗材等</w:t>
            </w:r>
          </w:p>
        </w:tc>
        <w:tc>
          <w:tcPr>
            <w:tcW w:w="991" w:type="dxa"/>
            <w:tcBorders>
              <w:left w:val="single" w:color="000000" w:sz="0" w:space="0"/>
              <w:bottom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r>
              <w:rPr>
                <w:rFonts w:hint="eastAsia"/>
                <w:szCs w:val="24"/>
              </w:rPr>
              <w:t>1套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73" w:hRule="atLeast"/>
        </w:trPr>
        <w:tc>
          <w:tcPr>
            <w:tcW w:w="891" w:type="dxa"/>
            <w:vMerge w:val="continue"/>
            <w:tcBorders>
              <w:left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p>
        </w:tc>
        <w:tc>
          <w:tcPr>
            <w:tcW w:w="972" w:type="dxa"/>
            <w:vMerge w:val="restart"/>
            <w:tcBorders>
              <w:top w:val="single" w:color="000000" w:sz="0" w:space="0"/>
              <w:left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r>
              <w:rPr>
                <w:szCs w:val="24"/>
              </w:rPr>
              <w:t>设备间动力环境监测系统</w:t>
            </w:r>
          </w:p>
        </w:tc>
        <w:tc>
          <w:tcPr>
            <w:tcW w:w="1965" w:type="dxa"/>
            <w:tcBorders>
              <w:top w:val="single" w:color="000000" w:sz="0" w:space="0"/>
              <w:left w:val="single" w:color="000000" w:sz="0" w:space="0"/>
              <w:bottom w:val="single" w:color="000000" w:sz="0" w:space="0"/>
              <w:right w:val="single" w:color="000000" w:sz="0" w:space="0"/>
            </w:tcBorders>
            <w:vAlign w:val="center"/>
          </w:tcPr>
          <w:p>
            <w:pPr>
              <w:spacing w:line="360" w:lineRule="auto"/>
              <w:ind w:left="120" w:leftChars="50" w:right="120" w:rightChars="50" w:firstLine="0"/>
              <w:rPr>
                <w:rFonts w:hint="eastAsia"/>
                <w:szCs w:val="24"/>
              </w:rPr>
            </w:pPr>
            <w:r>
              <w:rPr>
                <w:szCs w:val="24"/>
              </w:rPr>
              <w:t>智能机房动力环境监控主机（含监控软件）</w:t>
            </w:r>
          </w:p>
        </w:tc>
        <w:tc>
          <w:tcPr>
            <w:tcW w:w="4809" w:type="dxa"/>
            <w:tcBorders>
              <w:top w:val="single" w:color="000000" w:sz="0" w:space="0"/>
              <w:left w:val="single" w:color="000000" w:sz="0" w:space="0"/>
              <w:bottom w:val="single" w:color="000000" w:sz="0" w:space="0"/>
              <w:right w:val="single" w:color="000000" w:sz="0" w:space="0"/>
            </w:tcBorders>
            <w:vAlign w:val="center"/>
          </w:tcPr>
          <w:p>
            <w:pPr>
              <w:spacing w:line="360" w:lineRule="auto"/>
              <w:ind w:left="120" w:leftChars="50" w:right="120" w:rightChars="50" w:firstLine="0"/>
              <w:rPr>
                <w:rFonts w:hint="eastAsia"/>
                <w:szCs w:val="24"/>
              </w:rPr>
            </w:pPr>
            <w:r>
              <w:rPr>
                <w:szCs w:val="24"/>
              </w:rPr>
              <w:t>1U/19 寸机架式；系统具备12个RS485独立隔离通讯接口可监控机房环境温湿度、门磁、烟雾、漏水、市电断电等各类传感器检测对应的告警状态，同时这 12个 RS485 独立隔离接口亦具备独立的供电输出，管理系统通过以太网WEB方式对设备进行监控，并可实现E-mail邮件告警，可接语音短信模块，实现语音及短信告警，并可通过语音主动查询机房的实时告警状态。产品提供丰富的二次开发接口，</w:t>
            </w:r>
            <w:r>
              <w:rPr>
                <w:rFonts w:hint="eastAsia"/>
                <w:szCs w:val="24"/>
              </w:rPr>
              <w:t>可</w:t>
            </w:r>
            <w:r>
              <w:rPr>
                <w:szCs w:val="24"/>
              </w:rPr>
              <w:t>接入已有的监控系统当中，亦可通过提供的接口数据来开发相关的监控界面。也可以支持定制开发监控后台界面。</w:t>
            </w:r>
          </w:p>
          <w:p>
            <w:pPr>
              <w:spacing w:line="360" w:lineRule="auto"/>
              <w:ind w:left="120" w:leftChars="50" w:right="120" w:rightChars="50" w:firstLine="0"/>
              <w:rPr>
                <w:rFonts w:hint="eastAsia"/>
                <w:szCs w:val="24"/>
              </w:rPr>
            </w:pPr>
            <w:r>
              <w:rPr>
                <w:szCs w:val="24"/>
              </w:rPr>
              <w:t>对机房的各种智能设备,如 UPS、配电柜、精密空调等智能设备、环境（如温湿度、漏水、烟感、红外等）实现全方位的统一集中监控管理，提供美观友好的监控画面，实现自动远程报警。具有多用户权限管理功能</w:t>
            </w:r>
            <w:r>
              <w:rPr>
                <w:rFonts w:hint="eastAsia"/>
                <w:szCs w:val="24"/>
              </w:rPr>
              <w:t>。</w:t>
            </w:r>
          </w:p>
        </w:tc>
        <w:tc>
          <w:tcPr>
            <w:tcW w:w="991" w:type="dxa"/>
            <w:tcBorders>
              <w:top w:val="single" w:color="000000" w:sz="0" w:space="0"/>
              <w:left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r>
              <w:rPr>
                <w:rFonts w:hint="eastAsia"/>
                <w:szCs w:val="24"/>
              </w:rPr>
              <w:t>1套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67" w:hRule="atLeast"/>
        </w:trPr>
        <w:tc>
          <w:tcPr>
            <w:tcW w:w="891" w:type="dxa"/>
            <w:vMerge w:val="continue"/>
            <w:tcBorders>
              <w:left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p>
        </w:tc>
        <w:tc>
          <w:tcPr>
            <w:tcW w:w="972" w:type="dxa"/>
            <w:vMerge w:val="continue"/>
            <w:tcBorders>
              <w:left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p>
        </w:tc>
        <w:tc>
          <w:tcPr>
            <w:tcW w:w="1965" w:type="dxa"/>
            <w:tcBorders>
              <w:top w:val="single" w:color="000000" w:sz="0" w:space="0"/>
              <w:left w:val="single" w:color="000000" w:sz="0" w:space="0"/>
              <w:bottom w:val="single" w:color="000000" w:sz="0" w:space="0"/>
              <w:right w:val="single" w:color="000000" w:sz="0" w:space="0"/>
            </w:tcBorders>
            <w:vAlign w:val="center"/>
          </w:tcPr>
          <w:p>
            <w:pPr>
              <w:spacing w:line="360" w:lineRule="auto"/>
              <w:ind w:left="120" w:leftChars="50" w:right="120" w:rightChars="50" w:firstLine="0"/>
              <w:rPr>
                <w:rFonts w:hint="eastAsia"/>
                <w:szCs w:val="24"/>
              </w:rPr>
            </w:pPr>
            <w:r>
              <w:rPr>
                <w:szCs w:val="24"/>
              </w:rPr>
              <w:t>UPS 协议转换监控模块</w:t>
            </w:r>
          </w:p>
        </w:tc>
        <w:tc>
          <w:tcPr>
            <w:tcW w:w="4809" w:type="dxa"/>
            <w:tcBorders>
              <w:top w:val="single" w:color="000000" w:sz="0" w:space="0"/>
              <w:left w:val="single" w:color="000000" w:sz="0" w:space="0"/>
              <w:bottom w:val="single" w:color="000000" w:sz="0" w:space="0"/>
              <w:right w:val="single" w:color="000000" w:sz="0" w:space="0"/>
            </w:tcBorders>
            <w:vAlign w:val="center"/>
          </w:tcPr>
          <w:p>
            <w:pPr>
              <w:spacing w:line="360" w:lineRule="auto"/>
              <w:ind w:left="120" w:leftChars="50" w:right="120" w:rightChars="50" w:firstLine="0"/>
              <w:rPr>
                <w:rFonts w:hint="eastAsia"/>
                <w:szCs w:val="24"/>
              </w:rPr>
            </w:pPr>
            <w:r>
              <w:rPr>
                <w:szCs w:val="24"/>
              </w:rPr>
              <w:t>提供UPS原厂232 串口通信协议，可以采集UPS的输入电压、输出电压、输入频率、温度、负载、电池电压、电池容量、市电状态、电池状态、故障状态等状态参量</w:t>
            </w:r>
            <w:r>
              <w:rPr>
                <w:rFonts w:hint="eastAsia"/>
                <w:szCs w:val="24"/>
              </w:rPr>
              <w:t>。</w:t>
            </w:r>
          </w:p>
        </w:tc>
        <w:tc>
          <w:tcPr>
            <w:tcW w:w="991" w:type="dxa"/>
            <w:tcBorders>
              <w:left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r>
              <w:rPr>
                <w:rFonts w:hint="eastAsia"/>
                <w:szCs w:val="24"/>
              </w:rPr>
              <w:t>1套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67" w:hRule="atLeast"/>
        </w:trPr>
        <w:tc>
          <w:tcPr>
            <w:tcW w:w="891" w:type="dxa"/>
            <w:vMerge w:val="continue"/>
            <w:tcBorders>
              <w:left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p>
        </w:tc>
        <w:tc>
          <w:tcPr>
            <w:tcW w:w="972" w:type="dxa"/>
            <w:vMerge w:val="continue"/>
            <w:tcBorders>
              <w:left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p>
        </w:tc>
        <w:tc>
          <w:tcPr>
            <w:tcW w:w="1965" w:type="dxa"/>
            <w:tcBorders>
              <w:top w:val="single" w:color="000000" w:sz="0" w:space="0"/>
              <w:left w:val="single" w:color="000000" w:sz="0" w:space="0"/>
              <w:bottom w:val="single" w:color="000000" w:sz="0" w:space="0"/>
              <w:right w:val="single" w:color="000000" w:sz="0" w:space="0"/>
            </w:tcBorders>
            <w:vAlign w:val="center"/>
          </w:tcPr>
          <w:p>
            <w:pPr>
              <w:spacing w:line="360" w:lineRule="auto"/>
              <w:ind w:left="120" w:leftChars="50" w:right="120" w:rightChars="50" w:firstLine="0"/>
              <w:rPr>
                <w:rFonts w:hint="eastAsia"/>
                <w:szCs w:val="24"/>
              </w:rPr>
            </w:pPr>
            <w:r>
              <w:rPr>
                <w:szCs w:val="24"/>
              </w:rPr>
              <w:t>精密空调网络管理模块</w:t>
            </w:r>
          </w:p>
        </w:tc>
        <w:tc>
          <w:tcPr>
            <w:tcW w:w="4809" w:type="dxa"/>
            <w:tcBorders>
              <w:top w:val="single" w:color="000000" w:sz="0" w:space="0"/>
              <w:left w:val="single" w:color="000000" w:sz="0" w:space="0"/>
              <w:bottom w:val="single" w:color="000000" w:sz="0" w:space="0"/>
              <w:right w:val="single" w:color="000000" w:sz="0" w:space="0"/>
            </w:tcBorders>
            <w:vAlign w:val="center"/>
          </w:tcPr>
          <w:p>
            <w:pPr>
              <w:spacing w:line="360" w:lineRule="auto"/>
              <w:ind w:left="120" w:leftChars="50" w:right="120" w:rightChars="50" w:firstLine="0"/>
              <w:rPr>
                <w:rFonts w:hint="eastAsia"/>
                <w:szCs w:val="24"/>
              </w:rPr>
            </w:pPr>
            <w:r>
              <w:rPr>
                <w:szCs w:val="24"/>
              </w:rPr>
              <w:t>通过精密空调智能通讯接口，实时监控精密空调的温度、湿度等参数，风机、压缩机、加热器、加湿器等状态</w:t>
            </w:r>
          </w:p>
        </w:tc>
        <w:tc>
          <w:tcPr>
            <w:tcW w:w="991" w:type="dxa"/>
            <w:tcBorders>
              <w:left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r>
              <w:rPr>
                <w:rFonts w:hint="eastAsia"/>
                <w:szCs w:val="24"/>
              </w:rPr>
              <w:t>1个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67" w:hRule="atLeast"/>
        </w:trPr>
        <w:tc>
          <w:tcPr>
            <w:tcW w:w="891" w:type="dxa"/>
            <w:vMerge w:val="continue"/>
            <w:tcBorders>
              <w:left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p>
        </w:tc>
        <w:tc>
          <w:tcPr>
            <w:tcW w:w="972" w:type="dxa"/>
            <w:vMerge w:val="continue"/>
            <w:tcBorders>
              <w:left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p>
        </w:tc>
        <w:tc>
          <w:tcPr>
            <w:tcW w:w="1965" w:type="dxa"/>
            <w:tcBorders>
              <w:top w:val="single" w:color="000000" w:sz="0" w:space="0"/>
              <w:left w:val="single" w:color="000000" w:sz="0" w:space="0"/>
              <w:bottom w:val="single" w:color="000000" w:sz="0" w:space="0"/>
              <w:right w:val="single" w:color="000000" w:sz="0" w:space="0"/>
            </w:tcBorders>
            <w:vAlign w:val="center"/>
          </w:tcPr>
          <w:p>
            <w:pPr>
              <w:spacing w:line="360" w:lineRule="auto"/>
              <w:ind w:left="120" w:leftChars="50" w:right="120" w:rightChars="50" w:firstLine="0"/>
              <w:rPr>
                <w:rFonts w:hint="eastAsia"/>
                <w:szCs w:val="24"/>
              </w:rPr>
            </w:pPr>
            <w:r>
              <w:rPr>
                <w:szCs w:val="24"/>
              </w:rPr>
              <w:t>精密空调监测系统定制协议开发（单个）</w:t>
            </w:r>
          </w:p>
        </w:tc>
        <w:tc>
          <w:tcPr>
            <w:tcW w:w="4809" w:type="dxa"/>
            <w:tcBorders>
              <w:top w:val="single" w:color="000000" w:sz="0" w:space="0"/>
              <w:left w:val="single" w:color="000000" w:sz="0" w:space="0"/>
              <w:bottom w:val="single" w:color="000000" w:sz="0" w:space="0"/>
              <w:right w:val="single" w:color="000000" w:sz="0" w:space="0"/>
            </w:tcBorders>
            <w:vAlign w:val="center"/>
          </w:tcPr>
          <w:p>
            <w:pPr>
              <w:spacing w:line="360" w:lineRule="auto"/>
              <w:ind w:left="120" w:leftChars="50" w:right="120" w:rightChars="50" w:firstLine="0"/>
              <w:rPr>
                <w:rFonts w:hint="eastAsia"/>
                <w:szCs w:val="24"/>
              </w:rPr>
            </w:pPr>
            <w:r>
              <w:rPr>
                <w:szCs w:val="24"/>
              </w:rPr>
              <w:t>采集到的数据通过TCP/IP 向后台软件上报</w:t>
            </w:r>
            <w:r>
              <w:rPr>
                <w:rFonts w:hint="eastAsia"/>
                <w:szCs w:val="24"/>
              </w:rPr>
              <w:t>，</w:t>
            </w:r>
            <w:r>
              <w:rPr>
                <w:szCs w:val="24"/>
              </w:rPr>
              <w:t>可通过 Web 浏览精密空调的运行数据</w:t>
            </w:r>
          </w:p>
        </w:tc>
        <w:tc>
          <w:tcPr>
            <w:tcW w:w="991" w:type="dxa"/>
            <w:tcBorders>
              <w:left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r>
              <w:rPr>
                <w:rFonts w:hint="eastAsia"/>
                <w:szCs w:val="24"/>
              </w:rPr>
              <w:t>1套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67" w:hRule="atLeast"/>
        </w:trPr>
        <w:tc>
          <w:tcPr>
            <w:tcW w:w="891" w:type="dxa"/>
            <w:vMerge w:val="continue"/>
            <w:tcBorders>
              <w:left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p>
        </w:tc>
        <w:tc>
          <w:tcPr>
            <w:tcW w:w="972" w:type="dxa"/>
            <w:vMerge w:val="continue"/>
            <w:tcBorders>
              <w:left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p>
        </w:tc>
        <w:tc>
          <w:tcPr>
            <w:tcW w:w="1965" w:type="dxa"/>
            <w:tcBorders>
              <w:top w:val="single" w:color="000000" w:sz="0" w:space="0"/>
              <w:left w:val="single" w:color="000000" w:sz="0" w:space="0"/>
              <w:bottom w:val="single" w:color="000000" w:sz="0" w:space="0"/>
              <w:right w:val="single" w:color="000000" w:sz="0" w:space="0"/>
            </w:tcBorders>
            <w:vAlign w:val="center"/>
          </w:tcPr>
          <w:p>
            <w:pPr>
              <w:spacing w:line="360" w:lineRule="auto"/>
              <w:ind w:left="120" w:leftChars="50" w:right="120" w:rightChars="50" w:firstLine="0"/>
              <w:rPr>
                <w:rFonts w:hint="eastAsia"/>
                <w:szCs w:val="24"/>
              </w:rPr>
            </w:pPr>
            <w:r>
              <w:rPr>
                <w:szCs w:val="24"/>
              </w:rPr>
              <w:t>配电监测系统三相多功能电力仪表及电量系统监测软件</w:t>
            </w:r>
          </w:p>
        </w:tc>
        <w:tc>
          <w:tcPr>
            <w:tcW w:w="4809" w:type="dxa"/>
            <w:tcBorders>
              <w:top w:val="single" w:color="000000" w:sz="0" w:space="0"/>
              <w:left w:val="single" w:color="000000" w:sz="0" w:space="0"/>
              <w:bottom w:val="single" w:color="000000" w:sz="0" w:space="0"/>
              <w:right w:val="single" w:color="000000" w:sz="0" w:space="0"/>
            </w:tcBorders>
            <w:vAlign w:val="center"/>
          </w:tcPr>
          <w:p>
            <w:pPr>
              <w:spacing w:line="360" w:lineRule="auto"/>
              <w:ind w:left="120" w:leftChars="50" w:right="120" w:rightChars="50" w:firstLine="0"/>
              <w:rPr>
                <w:rFonts w:hint="eastAsia"/>
                <w:szCs w:val="24"/>
              </w:rPr>
            </w:pPr>
            <w:r>
              <w:rPr>
                <w:szCs w:val="24"/>
              </w:rPr>
              <w:t>具有可编程测量、显示、数字通讯和电能脉冲输出等功能的多功能电力仪表。可检测各相电流、各相相电压、各相线电压、各相有功无功率，正、反向有无电能,测量精度为 0.5 级、实现 LED现场显示和远程RS-485 数字接口通讯</w:t>
            </w:r>
            <w:r>
              <w:rPr>
                <w:rFonts w:hint="eastAsia"/>
                <w:szCs w:val="24"/>
              </w:rPr>
              <w:t>。</w:t>
            </w:r>
          </w:p>
        </w:tc>
        <w:tc>
          <w:tcPr>
            <w:tcW w:w="991" w:type="dxa"/>
            <w:tcBorders>
              <w:left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r>
              <w:rPr>
                <w:rFonts w:hint="eastAsia"/>
                <w:szCs w:val="24"/>
              </w:rPr>
              <w:t>1套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67" w:hRule="atLeast"/>
        </w:trPr>
        <w:tc>
          <w:tcPr>
            <w:tcW w:w="891" w:type="dxa"/>
            <w:vMerge w:val="continue"/>
            <w:tcBorders>
              <w:left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p>
        </w:tc>
        <w:tc>
          <w:tcPr>
            <w:tcW w:w="972" w:type="dxa"/>
            <w:vMerge w:val="continue"/>
            <w:tcBorders>
              <w:left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p>
        </w:tc>
        <w:tc>
          <w:tcPr>
            <w:tcW w:w="1965" w:type="dxa"/>
            <w:tcBorders>
              <w:top w:val="single" w:color="000000" w:sz="0" w:space="0"/>
              <w:left w:val="single" w:color="000000" w:sz="0" w:space="0"/>
              <w:bottom w:val="single" w:color="000000" w:sz="0" w:space="0"/>
              <w:right w:val="single" w:color="000000" w:sz="0" w:space="0"/>
            </w:tcBorders>
            <w:vAlign w:val="center"/>
          </w:tcPr>
          <w:p>
            <w:pPr>
              <w:spacing w:line="360" w:lineRule="auto"/>
              <w:ind w:left="120" w:leftChars="50" w:right="120" w:rightChars="50" w:firstLine="0"/>
              <w:rPr>
                <w:rFonts w:hint="eastAsia"/>
                <w:szCs w:val="24"/>
              </w:rPr>
            </w:pPr>
            <w:r>
              <w:rPr>
                <w:szCs w:val="24"/>
              </w:rPr>
              <w:t>温湿度检测系统</w:t>
            </w:r>
          </w:p>
        </w:tc>
        <w:tc>
          <w:tcPr>
            <w:tcW w:w="4809" w:type="dxa"/>
            <w:tcBorders>
              <w:top w:val="single" w:color="000000" w:sz="0" w:space="0"/>
              <w:left w:val="single" w:color="000000" w:sz="0" w:space="0"/>
              <w:bottom w:val="single" w:color="000000" w:sz="0" w:space="0"/>
              <w:right w:val="single" w:color="000000" w:sz="0" w:space="0"/>
            </w:tcBorders>
            <w:vAlign w:val="center"/>
          </w:tcPr>
          <w:p>
            <w:pPr>
              <w:spacing w:line="360" w:lineRule="auto"/>
              <w:ind w:left="120" w:leftChars="50" w:right="120" w:rightChars="50" w:firstLine="0"/>
              <w:rPr>
                <w:rFonts w:hint="eastAsia"/>
                <w:szCs w:val="24"/>
              </w:rPr>
            </w:pPr>
            <w:r>
              <w:rPr>
                <w:szCs w:val="24"/>
              </w:rPr>
              <w:t>同时监测机房温度和湿度，彩色 LCD 大屏显示设计，有效面积 15-20 ㎡</w:t>
            </w:r>
            <w:r>
              <w:rPr>
                <w:rFonts w:hint="eastAsia"/>
                <w:szCs w:val="24"/>
              </w:rPr>
              <w:t>，</w:t>
            </w:r>
            <w:r>
              <w:rPr>
                <w:szCs w:val="24"/>
              </w:rPr>
              <w:t>温度采样精度±1℃；温度采样精度±3%。测量范围温度：-20℃~70℃</w:t>
            </w:r>
            <w:r>
              <w:rPr>
                <w:rFonts w:hint="eastAsia"/>
                <w:szCs w:val="24"/>
              </w:rPr>
              <w:t>，</w:t>
            </w:r>
            <w:r>
              <w:rPr>
                <w:szCs w:val="24"/>
              </w:rPr>
              <w:t>湿度：0~100％</w:t>
            </w:r>
            <w:r>
              <w:rPr>
                <w:rFonts w:hint="eastAsia"/>
                <w:szCs w:val="24"/>
              </w:rPr>
              <w:t>。</w:t>
            </w:r>
            <w:r>
              <w:rPr>
                <w:szCs w:val="24"/>
              </w:rPr>
              <w:t>监控软件可实时监控机房的温度、湿度；可设置每一个温湿度的阈值，即上限、下限，保证机房任何一处位置的温度、湿度的异常可第一时间监控及报警。</w:t>
            </w:r>
          </w:p>
        </w:tc>
        <w:tc>
          <w:tcPr>
            <w:tcW w:w="991" w:type="dxa"/>
            <w:tcBorders>
              <w:left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r>
              <w:rPr>
                <w:rFonts w:hint="eastAsia"/>
                <w:szCs w:val="24"/>
              </w:rPr>
              <w:t>1套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67" w:hRule="atLeast"/>
        </w:trPr>
        <w:tc>
          <w:tcPr>
            <w:tcW w:w="891" w:type="dxa"/>
            <w:vMerge w:val="continue"/>
            <w:tcBorders>
              <w:left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p>
        </w:tc>
        <w:tc>
          <w:tcPr>
            <w:tcW w:w="972" w:type="dxa"/>
            <w:vMerge w:val="continue"/>
            <w:tcBorders>
              <w:left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p>
        </w:tc>
        <w:tc>
          <w:tcPr>
            <w:tcW w:w="1965" w:type="dxa"/>
            <w:tcBorders>
              <w:top w:val="single" w:color="000000" w:sz="0" w:space="0"/>
              <w:left w:val="single" w:color="000000" w:sz="0" w:space="0"/>
              <w:bottom w:val="single" w:color="000000" w:sz="0" w:space="0"/>
              <w:right w:val="single" w:color="000000" w:sz="0" w:space="0"/>
            </w:tcBorders>
            <w:vAlign w:val="center"/>
          </w:tcPr>
          <w:p>
            <w:pPr>
              <w:spacing w:line="360" w:lineRule="auto"/>
              <w:ind w:left="120" w:leftChars="50" w:right="120" w:rightChars="50" w:firstLine="0"/>
              <w:rPr>
                <w:rFonts w:hint="eastAsia"/>
                <w:szCs w:val="24"/>
              </w:rPr>
            </w:pPr>
            <w:r>
              <w:rPr>
                <w:szCs w:val="24"/>
              </w:rPr>
              <w:t>温湿度监测系统-12V开关电源</w:t>
            </w:r>
          </w:p>
        </w:tc>
        <w:tc>
          <w:tcPr>
            <w:tcW w:w="4809" w:type="dxa"/>
            <w:tcBorders>
              <w:top w:val="single" w:color="000000" w:sz="0" w:space="0"/>
              <w:left w:val="single" w:color="000000" w:sz="0" w:space="0"/>
              <w:bottom w:val="single" w:color="000000" w:sz="0" w:space="0"/>
              <w:right w:val="single" w:color="000000" w:sz="0" w:space="0"/>
            </w:tcBorders>
            <w:vAlign w:val="center"/>
          </w:tcPr>
          <w:p>
            <w:pPr>
              <w:spacing w:line="360" w:lineRule="auto"/>
              <w:ind w:left="120" w:leftChars="50" w:right="120" w:rightChars="50" w:firstLine="0"/>
              <w:rPr>
                <w:rFonts w:hint="eastAsia"/>
                <w:szCs w:val="24"/>
              </w:rPr>
            </w:pPr>
            <w:r>
              <w:rPr>
                <w:szCs w:val="24"/>
              </w:rPr>
              <w:t>用于开关量传感器，温湿度传感器模块外部串联供电使用。</w:t>
            </w:r>
          </w:p>
        </w:tc>
        <w:tc>
          <w:tcPr>
            <w:tcW w:w="991" w:type="dxa"/>
            <w:tcBorders>
              <w:left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r>
              <w:rPr>
                <w:rFonts w:hint="eastAsia"/>
                <w:szCs w:val="24"/>
              </w:rPr>
              <w:t>1个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67" w:hRule="atLeast"/>
        </w:trPr>
        <w:tc>
          <w:tcPr>
            <w:tcW w:w="891" w:type="dxa"/>
            <w:vMerge w:val="continue"/>
            <w:tcBorders>
              <w:left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p>
        </w:tc>
        <w:tc>
          <w:tcPr>
            <w:tcW w:w="972" w:type="dxa"/>
            <w:vMerge w:val="continue"/>
            <w:tcBorders>
              <w:left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p>
        </w:tc>
        <w:tc>
          <w:tcPr>
            <w:tcW w:w="1965" w:type="dxa"/>
            <w:tcBorders>
              <w:top w:val="single" w:color="000000" w:sz="0" w:space="0"/>
              <w:left w:val="single" w:color="000000" w:sz="0" w:space="0"/>
              <w:bottom w:val="single" w:color="000000" w:sz="0" w:space="0"/>
              <w:right w:val="single" w:color="000000" w:sz="0" w:space="0"/>
            </w:tcBorders>
            <w:vAlign w:val="center"/>
          </w:tcPr>
          <w:p>
            <w:pPr>
              <w:spacing w:line="360" w:lineRule="auto"/>
              <w:ind w:left="120" w:leftChars="50" w:right="120" w:rightChars="50" w:firstLine="0"/>
              <w:rPr>
                <w:rFonts w:hint="eastAsia"/>
                <w:szCs w:val="24"/>
              </w:rPr>
            </w:pPr>
            <w:r>
              <w:rPr>
                <w:szCs w:val="24"/>
              </w:rPr>
              <w:t>线式漏水监测系统</w:t>
            </w:r>
          </w:p>
        </w:tc>
        <w:tc>
          <w:tcPr>
            <w:tcW w:w="4809" w:type="dxa"/>
            <w:tcBorders>
              <w:top w:val="single" w:color="000000" w:sz="0" w:space="0"/>
              <w:left w:val="single" w:color="000000" w:sz="0" w:space="0"/>
              <w:bottom w:val="single" w:color="000000" w:sz="0" w:space="0"/>
              <w:right w:val="single" w:color="000000" w:sz="0" w:space="0"/>
            </w:tcBorders>
            <w:vAlign w:val="center"/>
          </w:tcPr>
          <w:p>
            <w:pPr>
              <w:spacing w:line="360" w:lineRule="auto"/>
              <w:ind w:left="120" w:leftChars="50" w:right="120" w:rightChars="50" w:firstLine="0"/>
              <w:rPr>
                <w:rFonts w:hint="eastAsia"/>
                <w:szCs w:val="24"/>
              </w:rPr>
            </w:pPr>
            <w:r>
              <w:rPr>
                <w:rFonts w:hint="eastAsia"/>
                <w:szCs w:val="24"/>
              </w:rPr>
              <w:t>通讯协议:modbus RTU, （含 5 米漏水检测线）支持1路输出：漏水或开路时输出低电平 0V，否则输出高电平 12V, 支持作为 2 路开关量输入检测，对 GND 检测，检测端口不能接到 VCC电源，正常时每 1 秒闪烁一次。工作温度：-10°C~65°C 储存温度：-40°C ~85°C,工作湿度：不冷凝 10%RH 90%RH,贮存湿度:不冷凝 5%RH95%RH。</w:t>
            </w:r>
          </w:p>
        </w:tc>
        <w:tc>
          <w:tcPr>
            <w:tcW w:w="991" w:type="dxa"/>
            <w:tcBorders>
              <w:left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r>
              <w:rPr>
                <w:rFonts w:hint="eastAsia"/>
                <w:szCs w:val="24"/>
              </w:rPr>
              <w:t>1套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67" w:hRule="atLeast"/>
        </w:trPr>
        <w:tc>
          <w:tcPr>
            <w:tcW w:w="891" w:type="dxa"/>
            <w:vMerge w:val="continue"/>
            <w:tcBorders>
              <w:left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p>
        </w:tc>
        <w:tc>
          <w:tcPr>
            <w:tcW w:w="972" w:type="dxa"/>
            <w:vMerge w:val="continue"/>
            <w:tcBorders>
              <w:left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p>
        </w:tc>
        <w:tc>
          <w:tcPr>
            <w:tcW w:w="1965" w:type="dxa"/>
            <w:tcBorders>
              <w:top w:val="single" w:color="000000" w:sz="0" w:space="0"/>
              <w:left w:val="single" w:color="000000" w:sz="0" w:space="0"/>
              <w:bottom w:val="single" w:color="000000" w:sz="0" w:space="0"/>
              <w:right w:val="single" w:color="000000" w:sz="0" w:space="0"/>
            </w:tcBorders>
            <w:vAlign w:val="center"/>
          </w:tcPr>
          <w:p>
            <w:pPr>
              <w:spacing w:line="360" w:lineRule="auto"/>
              <w:ind w:left="120" w:leftChars="50" w:right="120" w:rightChars="50" w:firstLine="0"/>
              <w:rPr>
                <w:rFonts w:hint="eastAsia"/>
                <w:szCs w:val="24"/>
              </w:rPr>
            </w:pPr>
            <w:r>
              <w:rPr>
                <w:szCs w:val="24"/>
              </w:rPr>
              <w:t>空气质量监测系统-综合环境采集模块</w:t>
            </w:r>
          </w:p>
        </w:tc>
        <w:tc>
          <w:tcPr>
            <w:tcW w:w="4809" w:type="dxa"/>
            <w:tcBorders>
              <w:top w:val="single" w:color="000000" w:sz="0" w:space="0"/>
              <w:left w:val="single" w:color="000000" w:sz="0" w:space="0"/>
              <w:bottom w:val="single" w:color="000000" w:sz="0" w:space="0"/>
              <w:right w:val="single" w:color="000000" w:sz="0" w:space="0"/>
            </w:tcBorders>
            <w:vAlign w:val="center"/>
          </w:tcPr>
          <w:p>
            <w:pPr>
              <w:spacing w:line="360" w:lineRule="auto"/>
              <w:ind w:left="120" w:leftChars="50" w:right="120" w:rightChars="50" w:firstLine="0"/>
              <w:rPr>
                <w:rFonts w:hint="eastAsia"/>
                <w:szCs w:val="24"/>
              </w:rPr>
            </w:pPr>
            <w:r>
              <w:rPr>
                <w:szCs w:val="24"/>
              </w:rPr>
              <w:t>采用高精密传感器及控制芯片，具备高精度、高分辨率、稳定性好的特点；有效面积 15-20㎡，用于检测环境中的温度、湿度、TVOC(有毒气体检测）、环境烟雾；支持宽压DC</w:t>
            </w:r>
            <w:r>
              <w:rPr>
                <w:rFonts w:hint="eastAsia"/>
                <w:szCs w:val="24"/>
              </w:rPr>
              <w:t xml:space="preserve"> </w:t>
            </w:r>
            <w:r>
              <w:rPr>
                <w:szCs w:val="24"/>
              </w:rPr>
              <w:t>5V~24V 直流供电；系统内置看门狗，有效防止系统宕机；RS485 信号通讯，标准Modbus-RTU 协议，支持地址，波特率可设；安装方式：吸顶式/壁挂式；用于检测环境中的温度、湿度、TVOC(有毒气体检测）、环境烟雾等多种要素，基本涵盖了反映空气质量的各项指标。</w:t>
            </w:r>
          </w:p>
        </w:tc>
        <w:tc>
          <w:tcPr>
            <w:tcW w:w="991" w:type="dxa"/>
            <w:tcBorders>
              <w:left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r>
              <w:rPr>
                <w:rFonts w:hint="eastAsia"/>
                <w:szCs w:val="24"/>
              </w:rPr>
              <w:t>1套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67" w:hRule="atLeast"/>
        </w:trPr>
        <w:tc>
          <w:tcPr>
            <w:tcW w:w="891" w:type="dxa"/>
            <w:vMerge w:val="continue"/>
            <w:tcBorders>
              <w:left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p>
        </w:tc>
        <w:tc>
          <w:tcPr>
            <w:tcW w:w="972" w:type="dxa"/>
            <w:vMerge w:val="continue"/>
            <w:tcBorders>
              <w:left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p>
        </w:tc>
        <w:tc>
          <w:tcPr>
            <w:tcW w:w="1965" w:type="dxa"/>
            <w:tcBorders>
              <w:top w:val="single" w:color="000000" w:sz="0" w:space="0"/>
              <w:left w:val="single" w:color="000000" w:sz="0" w:space="0"/>
              <w:bottom w:val="single" w:color="000000" w:sz="0" w:space="0"/>
              <w:right w:val="single" w:color="000000" w:sz="0" w:space="0"/>
            </w:tcBorders>
            <w:vAlign w:val="center"/>
          </w:tcPr>
          <w:p>
            <w:pPr>
              <w:spacing w:line="360" w:lineRule="auto"/>
              <w:ind w:left="120" w:leftChars="50" w:right="120" w:rightChars="50" w:firstLine="0"/>
              <w:rPr>
                <w:rFonts w:hint="eastAsia"/>
                <w:szCs w:val="24"/>
              </w:rPr>
            </w:pPr>
            <w:r>
              <w:rPr>
                <w:rFonts w:hint="eastAsia"/>
                <w:szCs w:val="24"/>
              </w:rPr>
              <w:t>空气质量监测系统-12V开关电源</w:t>
            </w:r>
          </w:p>
        </w:tc>
        <w:tc>
          <w:tcPr>
            <w:tcW w:w="4809" w:type="dxa"/>
            <w:tcBorders>
              <w:top w:val="single" w:color="000000" w:sz="0" w:space="0"/>
              <w:left w:val="single" w:color="000000" w:sz="0" w:space="0"/>
              <w:bottom w:val="single" w:color="000000" w:sz="0" w:space="0"/>
              <w:right w:val="single" w:color="000000" w:sz="0" w:space="0"/>
            </w:tcBorders>
            <w:vAlign w:val="center"/>
          </w:tcPr>
          <w:p>
            <w:pPr>
              <w:spacing w:line="360" w:lineRule="auto"/>
              <w:ind w:left="120" w:leftChars="50" w:right="120" w:rightChars="50" w:firstLine="0"/>
              <w:rPr>
                <w:rFonts w:hint="eastAsia"/>
                <w:szCs w:val="24"/>
              </w:rPr>
            </w:pPr>
            <w:r>
              <w:rPr>
                <w:rFonts w:hint="eastAsia"/>
                <w:szCs w:val="24"/>
              </w:rPr>
              <w:t>用于开关量传感器，传感器模块外部串联供电使用。</w:t>
            </w:r>
          </w:p>
        </w:tc>
        <w:tc>
          <w:tcPr>
            <w:tcW w:w="991" w:type="dxa"/>
            <w:tcBorders>
              <w:left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r>
              <w:rPr>
                <w:rFonts w:hint="eastAsia"/>
                <w:szCs w:val="24"/>
              </w:rPr>
              <w:t>1个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67" w:hRule="atLeast"/>
        </w:trPr>
        <w:tc>
          <w:tcPr>
            <w:tcW w:w="891" w:type="dxa"/>
            <w:vMerge w:val="continue"/>
            <w:tcBorders>
              <w:left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p>
        </w:tc>
        <w:tc>
          <w:tcPr>
            <w:tcW w:w="972" w:type="dxa"/>
            <w:vMerge w:val="continue"/>
            <w:tcBorders>
              <w:left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p>
        </w:tc>
        <w:tc>
          <w:tcPr>
            <w:tcW w:w="1965" w:type="dxa"/>
            <w:tcBorders>
              <w:top w:val="single" w:color="000000" w:sz="0" w:space="0"/>
              <w:left w:val="single" w:color="000000" w:sz="0" w:space="0"/>
              <w:bottom w:val="single" w:color="000000" w:sz="0" w:space="0"/>
              <w:right w:val="single" w:color="000000" w:sz="0" w:space="0"/>
            </w:tcBorders>
            <w:vAlign w:val="center"/>
          </w:tcPr>
          <w:p>
            <w:pPr>
              <w:spacing w:line="360" w:lineRule="auto"/>
              <w:ind w:left="120" w:leftChars="50" w:right="120" w:rightChars="50" w:firstLine="0"/>
              <w:rPr>
                <w:rFonts w:hint="eastAsia"/>
                <w:szCs w:val="24"/>
              </w:rPr>
            </w:pPr>
            <w:r>
              <w:rPr>
                <w:szCs w:val="24"/>
              </w:rPr>
              <w:t>智能声光报警器</w:t>
            </w:r>
          </w:p>
        </w:tc>
        <w:tc>
          <w:tcPr>
            <w:tcW w:w="4809" w:type="dxa"/>
            <w:tcBorders>
              <w:top w:val="single" w:color="000000" w:sz="0" w:space="0"/>
              <w:left w:val="single" w:color="000000" w:sz="0" w:space="0"/>
              <w:bottom w:val="single" w:color="000000" w:sz="0" w:space="0"/>
              <w:right w:val="single" w:color="000000" w:sz="0" w:space="0"/>
            </w:tcBorders>
            <w:vAlign w:val="center"/>
          </w:tcPr>
          <w:p>
            <w:pPr>
              <w:spacing w:line="360" w:lineRule="auto"/>
              <w:ind w:left="120" w:leftChars="50" w:right="120" w:rightChars="50" w:firstLine="0"/>
              <w:rPr>
                <w:rFonts w:hint="eastAsia"/>
                <w:szCs w:val="24"/>
              </w:rPr>
            </w:pPr>
            <w:r>
              <w:rPr>
                <w:rFonts w:hint="eastAsia"/>
                <w:szCs w:val="24"/>
              </w:rPr>
              <w:t>超高亮 LED 灯珠显示醒目三色声光，可根据告警等级显示对应灯源状态判断、带蜂鸣器。当机房出现异常可本地声光蜂鸣告警通知现场值班人员。</w:t>
            </w:r>
          </w:p>
        </w:tc>
        <w:tc>
          <w:tcPr>
            <w:tcW w:w="991" w:type="dxa"/>
            <w:tcBorders>
              <w:left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r>
              <w:rPr>
                <w:rFonts w:hint="eastAsia"/>
                <w:szCs w:val="24"/>
              </w:rPr>
              <w:t>1个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90" w:hRule="atLeast"/>
        </w:trPr>
        <w:tc>
          <w:tcPr>
            <w:tcW w:w="891" w:type="dxa"/>
            <w:vMerge w:val="continue"/>
            <w:tcBorders>
              <w:left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p>
        </w:tc>
        <w:tc>
          <w:tcPr>
            <w:tcW w:w="972" w:type="dxa"/>
            <w:vMerge w:val="continue"/>
            <w:tcBorders>
              <w:left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p>
        </w:tc>
        <w:tc>
          <w:tcPr>
            <w:tcW w:w="1965" w:type="dxa"/>
            <w:tcBorders>
              <w:top w:val="single" w:color="000000" w:sz="0" w:space="0"/>
              <w:left w:val="single" w:color="000000" w:sz="0" w:space="0"/>
              <w:bottom w:val="single" w:color="000000" w:sz="0" w:space="0"/>
              <w:right w:val="single" w:color="000000" w:sz="0" w:space="0"/>
            </w:tcBorders>
            <w:vAlign w:val="center"/>
          </w:tcPr>
          <w:p>
            <w:pPr>
              <w:spacing w:line="360" w:lineRule="auto"/>
              <w:ind w:left="120" w:leftChars="50" w:right="120" w:rightChars="50" w:firstLine="0"/>
              <w:rPr>
                <w:rFonts w:hint="eastAsia"/>
                <w:szCs w:val="24"/>
              </w:rPr>
            </w:pPr>
            <w:r>
              <w:rPr>
                <w:rFonts w:hint="eastAsia"/>
                <w:szCs w:val="24"/>
              </w:rPr>
              <w:t>工业型短信发送终端</w:t>
            </w:r>
          </w:p>
        </w:tc>
        <w:tc>
          <w:tcPr>
            <w:tcW w:w="4809" w:type="dxa"/>
            <w:tcBorders>
              <w:top w:val="single" w:color="000000" w:sz="0" w:space="0"/>
              <w:left w:val="single" w:color="000000" w:sz="0" w:space="0"/>
              <w:bottom w:val="single" w:color="000000" w:sz="0" w:space="0"/>
              <w:right w:val="single" w:color="000000" w:sz="0" w:space="0"/>
            </w:tcBorders>
            <w:vAlign w:val="center"/>
          </w:tcPr>
          <w:p>
            <w:pPr>
              <w:spacing w:line="360" w:lineRule="auto"/>
              <w:ind w:left="120" w:leftChars="50" w:right="120" w:rightChars="50" w:firstLine="0"/>
              <w:rPr>
                <w:rFonts w:hint="eastAsia"/>
                <w:szCs w:val="24"/>
              </w:rPr>
            </w:pPr>
            <w:r>
              <w:rPr>
                <w:rFonts w:hint="eastAsia"/>
                <w:szCs w:val="24"/>
              </w:rPr>
              <w:t>4G 全网通报警器，当机房发生异常，会有短信、语音报警。管理员通过局域网访问网页浏览器浏览动力环境监控页面。</w:t>
            </w:r>
          </w:p>
        </w:tc>
        <w:tc>
          <w:tcPr>
            <w:tcW w:w="991" w:type="dxa"/>
            <w:tcBorders>
              <w:left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r>
              <w:rPr>
                <w:rFonts w:hint="eastAsia"/>
                <w:szCs w:val="24"/>
              </w:rPr>
              <w:t>1套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4" w:hRule="atLeast"/>
        </w:trPr>
        <w:tc>
          <w:tcPr>
            <w:tcW w:w="891" w:type="dxa"/>
            <w:vMerge w:val="continue"/>
            <w:tcBorders>
              <w:left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p>
        </w:tc>
        <w:tc>
          <w:tcPr>
            <w:tcW w:w="972" w:type="dxa"/>
            <w:vMerge w:val="restart"/>
            <w:tcBorders>
              <w:top w:val="single" w:color="000000" w:sz="0" w:space="0"/>
              <w:left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r>
              <w:rPr>
                <w:szCs w:val="24"/>
              </w:rPr>
              <w:t>设备间内部改造</w:t>
            </w:r>
          </w:p>
        </w:tc>
        <w:tc>
          <w:tcPr>
            <w:tcW w:w="1965" w:type="dxa"/>
            <w:tcBorders>
              <w:top w:val="single" w:color="000000" w:sz="0" w:space="0"/>
              <w:left w:val="single" w:color="000000" w:sz="0" w:space="0"/>
              <w:bottom w:val="single" w:color="000000" w:sz="0" w:space="0"/>
              <w:right w:val="single" w:color="000000" w:sz="0" w:space="0"/>
            </w:tcBorders>
            <w:vAlign w:val="center"/>
          </w:tcPr>
          <w:p>
            <w:pPr>
              <w:spacing w:line="360" w:lineRule="auto"/>
              <w:ind w:left="120" w:leftChars="50" w:right="120" w:rightChars="50" w:firstLine="0"/>
              <w:rPr>
                <w:rFonts w:hint="eastAsia"/>
                <w:szCs w:val="24"/>
              </w:rPr>
            </w:pPr>
            <w:r>
              <w:rPr>
                <w:szCs w:val="24"/>
              </w:rPr>
              <w:t>防静电地板</w:t>
            </w:r>
          </w:p>
        </w:tc>
        <w:tc>
          <w:tcPr>
            <w:tcW w:w="4809" w:type="dxa"/>
            <w:tcBorders>
              <w:top w:val="single" w:color="000000" w:sz="0" w:space="0"/>
              <w:left w:val="single" w:color="000000" w:sz="0" w:space="0"/>
              <w:bottom w:val="single" w:color="000000" w:sz="0" w:space="0"/>
              <w:right w:val="single" w:color="000000" w:sz="0" w:space="0"/>
            </w:tcBorders>
            <w:vAlign w:val="center"/>
          </w:tcPr>
          <w:p>
            <w:pPr>
              <w:spacing w:line="360" w:lineRule="auto"/>
              <w:ind w:left="120" w:leftChars="50" w:right="120" w:rightChars="50" w:firstLine="0"/>
              <w:rPr>
                <w:rFonts w:hint="eastAsia"/>
                <w:szCs w:val="24"/>
              </w:rPr>
            </w:pPr>
            <w:r>
              <w:rPr>
                <w:szCs w:val="24"/>
              </w:rPr>
              <w:t>国标 600×600×35 无缝钢制全钢抗静电地板，承重 1200KG</w:t>
            </w:r>
          </w:p>
        </w:tc>
        <w:tc>
          <w:tcPr>
            <w:tcW w:w="991" w:type="dxa"/>
            <w:tcBorders>
              <w:top w:val="single" w:color="000000" w:sz="0" w:space="0"/>
              <w:left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r>
              <w:rPr>
                <w:rFonts w:hint="eastAsia"/>
                <w:szCs w:val="24"/>
              </w:rPr>
              <w:t>10.8平米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4" w:hRule="atLeast"/>
        </w:trPr>
        <w:tc>
          <w:tcPr>
            <w:tcW w:w="891" w:type="dxa"/>
            <w:vMerge w:val="continue"/>
            <w:tcBorders>
              <w:left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p>
        </w:tc>
        <w:tc>
          <w:tcPr>
            <w:tcW w:w="972" w:type="dxa"/>
            <w:vMerge w:val="continue"/>
            <w:tcBorders>
              <w:left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p>
        </w:tc>
        <w:tc>
          <w:tcPr>
            <w:tcW w:w="1965" w:type="dxa"/>
            <w:tcBorders>
              <w:top w:val="single" w:color="000000" w:sz="0" w:space="0"/>
              <w:left w:val="single" w:color="000000" w:sz="0" w:space="0"/>
              <w:bottom w:val="single" w:color="000000" w:sz="0" w:space="0"/>
              <w:right w:val="single" w:color="000000" w:sz="0" w:space="0"/>
            </w:tcBorders>
            <w:vAlign w:val="center"/>
          </w:tcPr>
          <w:p>
            <w:pPr>
              <w:spacing w:line="360" w:lineRule="auto"/>
              <w:ind w:left="120" w:leftChars="50" w:right="120" w:rightChars="50" w:firstLine="0"/>
              <w:rPr>
                <w:rFonts w:hint="eastAsia"/>
                <w:szCs w:val="24"/>
              </w:rPr>
            </w:pPr>
            <w:r>
              <w:rPr>
                <w:szCs w:val="24"/>
              </w:rPr>
              <w:t>地板支架</w:t>
            </w:r>
          </w:p>
        </w:tc>
        <w:tc>
          <w:tcPr>
            <w:tcW w:w="4809" w:type="dxa"/>
            <w:tcBorders>
              <w:top w:val="single" w:color="000000" w:sz="0" w:space="0"/>
              <w:left w:val="single" w:color="000000" w:sz="0" w:space="0"/>
              <w:bottom w:val="single" w:color="000000" w:sz="0" w:space="0"/>
              <w:right w:val="single" w:color="000000" w:sz="0" w:space="0"/>
            </w:tcBorders>
            <w:vAlign w:val="center"/>
          </w:tcPr>
          <w:p>
            <w:pPr>
              <w:spacing w:line="360" w:lineRule="auto"/>
              <w:ind w:left="120" w:leftChars="50" w:right="120" w:rightChars="50" w:firstLine="0"/>
              <w:rPr>
                <w:rFonts w:hint="eastAsia"/>
                <w:szCs w:val="24"/>
              </w:rPr>
            </w:pPr>
            <w:r>
              <w:rPr>
                <w:szCs w:val="24"/>
              </w:rPr>
              <w:t>防静电地板支架</w:t>
            </w:r>
          </w:p>
        </w:tc>
        <w:tc>
          <w:tcPr>
            <w:tcW w:w="991" w:type="dxa"/>
            <w:tcBorders>
              <w:left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r>
              <w:rPr>
                <w:rFonts w:hint="eastAsia"/>
                <w:szCs w:val="24"/>
              </w:rPr>
              <w:t>10.8平米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4" w:hRule="atLeast"/>
        </w:trPr>
        <w:tc>
          <w:tcPr>
            <w:tcW w:w="891" w:type="dxa"/>
            <w:vMerge w:val="continue"/>
            <w:tcBorders>
              <w:left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p>
        </w:tc>
        <w:tc>
          <w:tcPr>
            <w:tcW w:w="972" w:type="dxa"/>
            <w:vMerge w:val="continue"/>
            <w:tcBorders>
              <w:left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p>
        </w:tc>
        <w:tc>
          <w:tcPr>
            <w:tcW w:w="1965" w:type="dxa"/>
            <w:tcBorders>
              <w:top w:val="single" w:color="000000" w:sz="0" w:space="0"/>
              <w:left w:val="single" w:color="000000" w:sz="0" w:space="0"/>
              <w:bottom w:val="single" w:color="000000" w:sz="0" w:space="0"/>
              <w:right w:val="single" w:color="000000" w:sz="0" w:space="0"/>
            </w:tcBorders>
            <w:vAlign w:val="center"/>
          </w:tcPr>
          <w:p>
            <w:pPr>
              <w:spacing w:line="360" w:lineRule="auto"/>
              <w:ind w:left="120" w:leftChars="50" w:right="120" w:rightChars="50" w:firstLine="0"/>
              <w:rPr>
                <w:rFonts w:hint="eastAsia"/>
                <w:szCs w:val="24"/>
              </w:rPr>
            </w:pPr>
            <w:r>
              <w:rPr>
                <w:szCs w:val="24"/>
              </w:rPr>
              <w:t>配电箱</w:t>
            </w:r>
          </w:p>
        </w:tc>
        <w:tc>
          <w:tcPr>
            <w:tcW w:w="4809" w:type="dxa"/>
            <w:tcBorders>
              <w:top w:val="single" w:color="000000" w:sz="0" w:space="0"/>
              <w:left w:val="single" w:color="000000" w:sz="0" w:space="0"/>
              <w:bottom w:val="single" w:color="000000" w:sz="0" w:space="0"/>
              <w:right w:val="single" w:color="000000" w:sz="0" w:space="0"/>
            </w:tcBorders>
            <w:vAlign w:val="center"/>
          </w:tcPr>
          <w:p>
            <w:pPr>
              <w:spacing w:line="360" w:lineRule="auto"/>
              <w:ind w:left="120" w:leftChars="50" w:right="120" w:rightChars="50" w:firstLine="0"/>
              <w:rPr>
                <w:rFonts w:hint="eastAsia"/>
                <w:szCs w:val="24"/>
              </w:rPr>
            </w:pPr>
            <w:r>
              <w:rPr>
                <w:szCs w:val="24"/>
              </w:rPr>
              <w:t>含空开漏保及电表（根据现场需求定制）</w:t>
            </w:r>
          </w:p>
        </w:tc>
        <w:tc>
          <w:tcPr>
            <w:tcW w:w="991" w:type="dxa"/>
            <w:tcBorders>
              <w:left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r>
              <w:rPr>
                <w:rFonts w:hint="eastAsia"/>
                <w:szCs w:val="24"/>
              </w:rPr>
              <w:t>2套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4" w:hRule="atLeast"/>
        </w:trPr>
        <w:tc>
          <w:tcPr>
            <w:tcW w:w="891" w:type="dxa"/>
            <w:vMerge w:val="continue"/>
            <w:tcBorders>
              <w:left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p>
        </w:tc>
        <w:tc>
          <w:tcPr>
            <w:tcW w:w="972" w:type="dxa"/>
            <w:vMerge w:val="continue"/>
            <w:tcBorders>
              <w:left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p>
        </w:tc>
        <w:tc>
          <w:tcPr>
            <w:tcW w:w="1965" w:type="dxa"/>
            <w:tcBorders>
              <w:top w:val="single" w:color="000000" w:sz="0" w:space="0"/>
              <w:left w:val="single" w:color="000000" w:sz="0" w:space="0"/>
              <w:bottom w:val="single" w:color="000000" w:sz="0" w:space="0"/>
              <w:right w:val="single" w:color="000000" w:sz="0" w:space="0"/>
            </w:tcBorders>
            <w:vAlign w:val="center"/>
          </w:tcPr>
          <w:p>
            <w:pPr>
              <w:spacing w:line="360" w:lineRule="auto"/>
              <w:ind w:left="120" w:leftChars="50" w:right="120" w:rightChars="50" w:firstLine="0"/>
              <w:rPr>
                <w:rFonts w:hint="eastAsia"/>
                <w:szCs w:val="24"/>
              </w:rPr>
            </w:pPr>
            <w:r>
              <w:rPr>
                <w:szCs w:val="24"/>
              </w:rPr>
              <w:t>机房吊顶防水</w:t>
            </w:r>
          </w:p>
        </w:tc>
        <w:tc>
          <w:tcPr>
            <w:tcW w:w="4809" w:type="dxa"/>
            <w:tcBorders>
              <w:top w:val="single" w:color="000000" w:sz="0" w:space="0"/>
              <w:left w:val="single" w:color="000000" w:sz="0" w:space="0"/>
              <w:bottom w:val="single" w:color="000000" w:sz="0" w:space="0"/>
              <w:right w:val="single" w:color="000000" w:sz="0" w:space="0"/>
            </w:tcBorders>
            <w:vAlign w:val="center"/>
          </w:tcPr>
          <w:p>
            <w:pPr>
              <w:spacing w:line="360" w:lineRule="auto"/>
              <w:ind w:left="120" w:leftChars="50" w:right="120" w:rightChars="50" w:firstLine="0"/>
              <w:rPr>
                <w:rFonts w:hint="eastAsia"/>
                <w:szCs w:val="24"/>
              </w:rPr>
            </w:pPr>
            <w:r>
              <w:rPr>
                <w:szCs w:val="24"/>
              </w:rPr>
              <w:t>根据现场需求定制机房吊顶和防水</w:t>
            </w:r>
          </w:p>
        </w:tc>
        <w:tc>
          <w:tcPr>
            <w:tcW w:w="991" w:type="dxa"/>
            <w:tcBorders>
              <w:left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r>
              <w:rPr>
                <w:rFonts w:hint="eastAsia"/>
                <w:szCs w:val="24"/>
              </w:rPr>
              <w:t>10.8平米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4" w:hRule="atLeast"/>
        </w:trPr>
        <w:tc>
          <w:tcPr>
            <w:tcW w:w="891" w:type="dxa"/>
            <w:vMerge w:val="continue"/>
            <w:tcBorders>
              <w:left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p>
        </w:tc>
        <w:tc>
          <w:tcPr>
            <w:tcW w:w="972" w:type="dxa"/>
            <w:vMerge w:val="continue"/>
            <w:tcBorders>
              <w:left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p>
        </w:tc>
        <w:tc>
          <w:tcPr>
            <w:tcW w:w="1965" w:type="dxa"/>
            <w:tcBorders>
              <w:top w:val="single" w:color="000000" w:sz="0" w:space="0"/>
              <w:left w:val="single" w:color="000000" w:sz="0" w:space="0"/>
              <w:bottom w:val="single" w:color="000000" w:sz="0" w:space="0"/>
              <w:right w:val="single" w:color="000000" w:sz="0" w:space="0"/>
            </w:tcBorders>
            <w:vAlign w:val="center"/>
          </w:tcPr>
          <w:p>
            <w:pPr>
              <w:spacing w:line="360" w:lineRule="auto"/>
              <w:ind w:left="120" w:leftChars="50" w:right="120" w:rightChars="50" w:firstLine="0"/>
              <w:rPr>
                <w:rFonts w:hint="eastAsia"/>
                <w:szCs w:val="24"/>
              </w:rPr>
            </w:pPr>
            <w:r>
              <w:rPr>
                <w:szCs w:val="24"/>
              </w:rPr>
              <w:t>灭火器</w:t>
            </w:r>
          </w:p>
        </w:tc>
        <w:tc>
          <w:tcPr>
            <w:tcW w:w="4809" w:type="dxa"/>
            <w:tcBorders>
              <w:top w:val="single" w:color="000000" w:sz="0" w:space="0"/>
              <w:left w:val="single" w:color="000000" w:sz="0" w:space="0"/>
              <w:bottom w:val="single" w:color="000000" w:sz="0" w:space="0"/>
              <w:right w:val="single" w:color="000000" w:sz="0" w:space="0"/>
            </w:tcBorders>
            <w:vAlign w:val="center"/>
          </w:tcPr>
          <w:p>
            <w:pPr>
              <w:spacing w:line="360" w:lineRule="auto"/>
              <w:ind w:left="120" w:leftChars="50" w:right="120" w:rightChars="50" w:firstLine="0"/>
              <w:rPr>
                <w:rFonts w:hint="eastAsia"/>
                <w:szCs w:val="24"/>
              </w:rPr>
            </w:pPr>
            <w:r>
              <w:rPr>
                <w:szCs w:val="24"/>
              </w:rPr>
              <w:t>二氧化碳灭火剂，3KG，灭火种类：B 类、E 类</w:t>
            </w:r>
          </w:p>
        </w:tc>
        <w:tc>
          <w:tcPr>
            <w:tcW w:w="991" w:type="dxa"/>
            <w:tcBorders>
              <w:left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r>
              <w:rPr>
                <w:rFonts w:hint="eastAsia"/>
                <w:szCs w:val="24"/>
              </w:rPr>
              <w:t>1只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4" w:hRule="atLeast"/>
        </w:trPr>
        <w:tc>
          <w:tcPr>
            <w:tcW w:w="891" w:type="dxa"/>
            <w:vMerge w:val="continue"/>
            <w:tcBorders>
              <w:left w:val="single" w:color="000000" w:sz="0" w:space="0"/>
              <w:bottom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p>
        </w:tc>
        <w:tc>
          <w:tcPr>
            <w:tcW w:w="972" w:type="dxa"/>
            <w:vMerge w:val="continue"/>
            <w:tcBorders>
              <w:left w:val="single" w:color="000000" w:sz="0" w:space="0"/>
              <w:bottom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p>
        </w:tc>
        <w:tc>
          <w:tcPr>
            <w:tcW w:w="1965" w:type="dxa"/>
            <w:tcBorders>
              <w:top w:val="single" w:color="000000" w:sz="0" w:space="0"/>
              <w:left w:val="single" w:color="000000" w:sz="0" w:space="0"/>
              <w:bottom w:val="single" w:color="000000" w:sz="0" w:space="0"/>
              <w:right w:val="single" w:color="000000" w:sz="0" w:space="0"/>
            </w:tcBorders>
            <w:vAlign w:val="center"/>
          </w:tcPr>
          <w:p>
            <w:pPr>
              <w:spacing w:line="360" w:lineRule="auto"/>
              <w:ind w:left="120" w:leftChars="50" w:right="120" w:rightChars="50" w:firstLine="0"/>
              <w:rPr>
                <w:rFonts w:hint="eastAsia"/>
                <w:szCs w:val="24"/>
              </w:rPr>
            </w:pPr>
            <w:r>
              <w:rPr>
                <w:szCs w:val="24"/>
              </w:rPr>
              <w:t>弱电系统</w:t>
            </w:r>
          </w:p>
        </w:tc>
        <w:tc>
          <w:tcPr>
            <w:tcW w:w="4809" w:type="dxa"/>
            <w:tcBorders>
              <w:top w:val="single" w:color="000000" w:sz="0" w:space="0"/>
              <w:left w:val="single" w:color="000000" w:sz="0" w:space="0"/>
              <w:bottom w:val="single" w:color="000000" w:sz="0" w:space="0"/>
              <w:right w:val="single" w:color="000000" w:sz="0" w:space="0"/>
            </w:tcBorders>
            <w:vAlign w:val="center"/>
          </w:tcPr>
          <w:p>
            <w:pPr>
              <w:spacing w:line="360" w:lineRule="auto"/>
              <w:ind w:left="120" w:leftChars="50" w:right="120" w:rightChars="50" w:firstLine="0"/>
              <w:rPr>
                <w:rFonts w:hint="eastAsia"/>
                <w:szCs w:val="24"/>
              </w:rPr>
            </w:pPr>
            <w:r>
              <w:rPr>
                <w:szCs w:val="24"/>
              </w:rPr>
              <w:t>开槽、布管布线，地毯复原、吊筋、直接、脚手架等辅料</w:t>
            </w:r>
          </w:p>
        </w:tc>
        <w:tc>
          <w:tcPr>
            <w:tcW w:w="991" w:type="dxa"/>
            <w:tcBorders>
              <w:left w:val="single" w:color="000000" w:sz="0" w:space="0"/>
              <w:bottom w:val="single" w:color="000000" w:sz="0" w:space="0"/>
              <w:right w:val="single" w:color="000000" w:sz="0" w:space="0"/>
            </w:tcBorders>
            <w:vAlign w:val="center"/>
          </w:tcPr>
          <w:p>
            <w:pPr>
              <w:spacing w:line="360" w:lineRule="auto"/>
              <w:ind w:left="120" w:leftChars="50" w:right="120" w:rightChars="50" w:firstLine="0"/>
              <w:jc w:val="center"/>
              <w:rPr>
                <w:rFonts w:hint="eastAsia"/>
                <w:szCs w:val="24"/>
              </w:rPr>
            </w:pPr>
            <w:r>
              <w:rPr>
                <w:rFonts w:hint="eastAsia"/>
                <w:szCs w:val="24"/>
              </w:rPr>
              <w:t>1批</w:t>
            </w:r>
          </w:p>
        </w:tc>
      </w:tr>
    </w:tbl>
    <w:p>
      <w:pPr>
        <w:ind w:firstLine="0"/>
        <w:rPr>
          <w:rFonts w:hint="eastAsia"/>
        </w:rPr>
      </w:pPr>
      <w:r>
        <w:br w:type="page"/>
      </w:r>
    </w:p>
    <w:p>
      <w:pPr>
        <w:pStyle w:val="2"/>
        <w:spacing w:before="200" w:after="200"/>
        <w:rPr>
          <w:rFonts w:hint="eastAsia"/>
        </w:rPr>
      </w:pPr>
      <w:r>
        <w:t>五、项目实施服务要求</w:t>
      </w:r>
    </w:p>
    <w:p>
      <w:pPr>
        <w:pStyle w:val="3"/>
        <w:spacing w:before="160" w:after="160"/>
        <w:rPr>
          <w:rFonts w:hint="eastAsia"/>
        </w:rPr>
      </w:pPr>
      <w:r>
        <w:t>5.1 总体要求</w:t>
      </w:r>
    </w:p>
    <w:p>
      <w:pPr>
        <w:rPr>
          <w:rFonts w:hint="eastAsia"/>
        </w:rPr>
      </w:pPr>
      <w:r>
        <w:t>（1）投标人应设有固定的售后服务团队和软件开发团队。</w:t>
      </w:r>
    </w:p>
    <w:p>
      <w:pPr>
        <w:rPr>
          <w:rFonts w:hint="eastAsia"/>
        </w:rPr>
      </w:pPr>
      <w:r>
        <w:t>（2）投标人应本着认真负责态度，组织技术队伍，认真做好项目的实施工作。在签订合同前，提出具体实施、服务、维护以及今后技术支持的措施计划和承诺。</w:t>
      </w:r>
    </w:p>
    <w:p>
      <w:pPr>
        <w:rPr>
          <w:rFonts w:hint="eastAsia"/>
        </w:rPr>
      </w:pPr>
      <w:r>
        <w:t>（3）投标人提供项目实施计划，经采购人同意后，严格执行。如果遇到问题，由项目组提出项目变更说明，经采购人和系统提供商确定后，修改计划。</w:t>
      </w:r>
    </w:p>
    <w:p>
      <w:pPr>
        <w:rPr>
          <w:rFonts w:hint="eastAsia"/>
        </w:rPr>
      </w:pPr>
      <w:r>
        <w:t>（4）投标人应负责在项目验收时将系统的全部有关技术文件、资料、及安装、测试、验收报告等文档汇集成册交付采购人。</w:t>
      </w:r>
    </w:p>
    <w:p>
      <w:pPr>
        <w:rPr>
          <w:rFonts w:hint="eastAsia"/>
        </w:rPr>
      </w:pPr>
      <w:r>
        <w:t>（5）结合实际情况，拟定详细的系统实施计划，承诺保证在合同规定时间内上线及上线后系统平稳运行。</w:t>
      </w:r>
    </w:p>
    <w:p>
      <w:pPr>
        <w:pStyle w:val="3"/>
        <w:spacing w:before="160" w:after="160"/>
        <w:rPr>
          <w:rFonts w:hint="eastAsia"/>
        </w:rPr>
      </w:pPr>
      <w:r>
        <w:t>5.2 质量要求</w:t>
      </w:r>
    </w:p>
    <w:p>
      <w:pPr>
        <w:rPr>
          <w:rFonts w:hint="eastAsia"/>
        </w:rPr>
      </w:pPr>
      <w:r>
        <w:t>（1）中标人所交付软件系统应满足本项目合同文件明确的功能性、使用性要求。软件开发质量标准按照国家标准、招标需求确定，上述标准不一致的，以严格的标准为准。没有国家标准、行业标准和企业标准的，按照通常标准或者符合招标目的的特定标准确定。</w:t>
      </w:r>
    </w:p>
    <w:p>
      <w:pPr>
        <w:rPr>
          <w:rFonts w:hint="eastAsia"/>
        </w:rPr>
      </w:pPr>
      <w:r>
        <w:t>（2）中标人所交付的软件系统还应符合国家和上海市有关系统运行安全之规定。</w:t>
      </w:r>
    </w:p>
    <w:p>
      <w:pPr>
        <w:rPr>
          <w:rFonts w:hint="eastAsia"/>
        </w:rPr>
      </w:pPr>
      <w:r>
        <w:t>（3）在软件开发启动之前，中标人应根据采购人需求进一步进行项目应用调研与开发前分析，双方对现拟需求、投标方案、运行目标及实施计划进行全面回顾与梳理，按实际可操作性进行必要调整，调整结果双方以合同附件形式增补生效。</w:t>
      </w:r>
    </w:p>
    <w:p>
      <w:pPr>
        <w:pStyle w:val="3"/>
        <w:spacing w:before="160" w:after="160"/>
        <w:rPr>
          <w:rFonts w:hint="eastAsia"/>
        </w:rPr>
      </w:pPr>
      <w:r>
        <w:t>5.3 进度要求</w:t>
      </w:r>
    </w:p>
    <w:p>
      <w:pPr>
        <w:rPr>
          <w:rFonts w:hint="eastAsia"/>
        </w:rPr>
      </w:pPr>
      <w:r>
        <w:t>投标人应根据建设内容，分阶段制定合理的时间进度，并且应根据招标方要求进行调整和细化，以完成本项目所有系统的开发、安装、调试及项目整体测试、联调，并在试运行结束后整理验收材料提交完成验收。</w:t>
      </w:r>
    </w:p>
    <w:p>
      <w:pPr>
        <w:rPr>
          <w:rFonts w:hint="eastAsia"/>
        </w:rPr>
      </w:pPr>
      <w:r>
        <w:t>总建设周期为8个月</w:t>
      </w:r>
      <w:r>
        <w:rPr>
          <w:rFonts w:hint="eastAsia"/>
        </w:rPr>
        <w:t>：</w:t>
      </w:r>
    </w:p>
    <w:p>
      <w:pPr>
        <w:rPr>
          <w:rFonts w:hint="eastAsia"/>
        </w:rPr>
      </w:pPr>
      <w:r>
        <w:t>第一阶段为1个月，完成项目规划设计</w:t>
      </w:r>
      <w:r>
        <w:rPr>
          <w:rFonts w:hint="eastAsia"/>
        </w:rPr>
        <w:t>；</w:t>
      </w:r>
    </w:p>
    <w:p>
      <w:pPr>
        <w:rPr>
          <w:rFonts w:hint="eastAsia"/>
        </w:rPr>
      </w:pPr>
      <w:r>
        <w:t>第二阶段为4个月，完成项目开发测试</w:t>
      </w:r>
      <w:r>
        <w:rPr>
          <w:rFonts w:hint="eastAsia"/>
        </w:rPr>
        <w:t>；</w:t>
      </w:r>
    </w:p>
    <w:p>
      <w:pPr>
        <w:rPr>
          <w:rFonts w:hint="eastAsia"/>
        </w:rPr>
      </w:pPr>
      <w:r>
        <w:t>第三阶段为</w:t>
      </w:r>
      <w:r>
        <w:rPr>
          <w:rFonts w:hint="eastAsia"/>
        </w:rPr>
        <w:t>3</w:t>
      </w:r>
      <w:r>
        <w:t>个月</w:t>
      </w:r>
      <w:r>
        <w:rPr>
          <w:rFonts w:hint="eastAsia"/>
          <w:lang w:eastAsia="zh-CN"/>
        </w:rPr>
        <w:t>（至少</w:t>
      </w:r>
      <w:r>
        <w:rPr>
          <w:rFonts w:hint="eastAsia"/>
          <w:lang w:val="en-US" w:eastAsia="zh-CN"/>
        </w:rPr>
        <w:t>90个日历天</w:t>
      </w:r>
      <w:r>
        <w:rPr>
          <w:rFonts w:hint="eastAsia"/>
          <w:lang w:eastAsia="zh-CN"/>
        </w:rPr>
        <w:t>）</w:t>
      </w:r>
      <w:r>
        <w:t>，完成项目试运行和迭代开发</w:t>
      </w:r>
      <w:r>
        <w:rPr>
          <w:rFonts w:hint="eastAsia"/>
        </w:rPr>
        <w:t>，</w:t>
      </w:r>
      <w:r>
        <w:t>并在试运行期内同步整理验收材料、于期满后即时组织验收。</w:t>
      </w:r>
    </w:p>
    <w:p>
      <w:pPr>
        <w:pStyle w:val="3"/>
        <w:spacing w:before="160" w:after="160"/>
        <w:rPr>
          <w:rFonts w:hint="eastAsia"/>
        </w:rPr>
      </w:pPr>
      <w:r>
        <w:t>5.4 验收要求</w:t>
      </w:r>
    </w:p>
    <w:p>
      <w:pPr>
        <w:rPr>
          <w:rFonts w:hint="eastAsia"/>
        </w:rPr>
      </w:pPr>
      <w:r>
        <w:t>（1）中标人应对应用系统进行完善的测试和自验收。同时提供测试文档和自验收文档。</w:t>
      </w:r>
    </w:p>
    <w:p>
      <w:pPr>
        <w:rPr>
          <w:rFonts w:hint="eastAsia"/>
        </w:rPr>
      </w:pPr>
      <w:r>
        <w:t>（2）采购人应依据信息项目工程的条件和性质，按照招标文件明确的要求向中标人提供信息系统的施工、安装和集成环境。</w:t>
      </w:r>
    </w:p>
    <w:p>
      <w:pPr>
        <w:rPr>
          <w:rFonts w:hint="eastAsia"/>
        </w:rPr>
      </w:pPr>
      <w:r>
        <w:t>（3）中标人应负责系统及系统设备在实施现场就位安装和调试、操作培训等的全部工作。</w:t>
      </w:r>
    </w:p>
    <w:p>
      <w:pPr>
        <w:rPr>
          <w:rFonts w:hint="eastAsia"/>
        </w:rPr>
      </w:pPr>
      <w:r>
        <w:t>（4）中标人应在进行系统交付前5个工作日内，以书面方式通知采购人并向采购人提供完整的竣工资料、竣工验收报告及竣工图。</w:t>
      </w:r>
    </w:p>
    <w:p>
      <w:pPr>
        <w:rPr>
          <w:rFonts w:hint="eastAsia"/>
        </w:rPr>
      </w:pPr>
      <w:r>
        <w:t>（5）中标人应按照合同及其附件所约定的内容进行交付，如果约定采购人可以使用或拥有某软件源代码的，中标人应同时交付软件的源代码并不做任何的权利保留。</w:t>
      </w:r>
    </w:p>
    <w:p>
      <w:pPr>
        <w:rPr>
          <w:rFonts w:hint="eastAsia"/>
        </w:rPr>
      </w:pPr>
      <w:r>
        <w:t>（6）中标人须对视频调阅、合规校验等高负载场景开展性能压力测试，并提交压测报告；存储资源须支持动态扩展。</w:t>
      </w:r>
    </w:p>
    <w:p>
      <w:pPr>
        <w:rPr>
          <w:rFonts w:hint="eastAsia"/>
        </w:rPr>
      </w:pPr>
      <w:r>
        <w:rPr>
          <w:rFonts w:hint="eastAsia"/>
        </w:rPr>
        <w:t>（7）</w:t>
      </w:r>
      <w:r>
        <w:t>自系统初步验收通过之日起，采购人拥有不少于90个日历天的系统试运行权利</w:t>
      </w:r>
      <w:r>
        <w:rPr>
          <w:rFonts w:hint="eastAsia"/>
        </w:rPr>
        <w:t>，</w:t>
      </w:r>
      <w:r>
        <w:t>该期间即第三阶段试运行期。</w:t>
      </w:r>
    </w:p>
    <w:p>
      <w:pPr>
        <w:rPr>
          <w:rFonts w:hint="eastAsia"/>
        </w:rPr>
      </w:pPr>
      <w:r>
        <w:t>（</w:t>
      </w:r>
      <w:r>
        <w:rPr>
          <w:rFonts w:hint="eastAsia"/>
        </w:rPr>
        <w:t>8</w:t>
      </w:r>
      <w:r>
        <w:t>）系统试运行完成后，采购人应及时组织系统验收。本项目验收形式为专家验收。</w:t>
      </w:r>
    </w:p>
    <w:p>
      <w:pPr>
        <w:rPr>
          <w:rFonts w:hint="eastAsia"/>
        </w:rPr>
      </w:pPr>
      <w:r>
        <w:rPr>
          <w:rFonts w:hint="eastAsia"/>
        </w:rPr>
        <w:t>（9）绩效指标验收应满足以下指标：</w:t>
      </w:r>
    </w:p>
    <w:p>
      <w:pPr>
        <w:rPr>
          <w:rFonts w:hint="eastAsia"/>
        </w:rPr>
      </w:pPr>
      <w:r>
        <w:rPr>
          <w:rFonts w:hint="eastAsia"/>
        </w:rPr>
        <w:t>产出数量：软件开发完成率100%、硬件产品购置完成率100%、软件产品购置完成率100%；</w:t>
      </w:r>
    </w:p>
    <w:p>
      <w:pPr>
        <w:rPr>
          <w:rFonts w:hint="eastAsia"/>
        </w:rPr>
      </w:pPr>
      <w:r>
        <w:rPr>
          <w:rFonts w:hint="eastAsia"/>
        </w:rPr>
        <w:t>产出质量：一次性验收合格率100%、系统稳定性≥99%、平均故障修复时间＜60分钟、安全事件发生次数0次；</w:t>
      </w:r>
    </w:p>
    <w:p>
      <w:pPr>
        <w:rPr>
          <w:rFonts w:hint="eastAsia"/>
        </w:rPr>
      </w:pPr>
      <w:r>
        <w:rPr>
          <w:rFonts w:hint="eastAsia"/>
        </w:rPr>
        <w:t>产出时效：项目建设周期8个月；</w:t>
      </w:r>
    </w:p>
    <w:p>
      <w:pPr>
        <w:rPr>
          <w:rFonts w:hint="eastAsia"/>
        </w:rPr>
      </w:pPr>
      <w:r>
        <w:rPr>
          <w:rFonts w:hint="eastAsia"/>
        </w:rPr>
        <w:t>用户使用情况：系统用户量≥200个、月活跃用户量≥50个；</w:t>
      </w:r>
    </w:p>
    <w:p>
      <w:pPr>
        <w:rPr>
          <w:rFonts w:hint="eastAsia"/>
        </w:rPr>
      </w:pPr>
      <w:r>
        <w:rPr>
          <w:rFonts w:hint="eastAsia"/>
        </w:rPr>
        <w:t>业务产出：功能模块数量≥150个、管理侧用户量≥20个、赋能企业数≥100家、监督国际数据中心数量≥5家、形成服务包数量≥5个；</w:t>
      </w:r>
    </w:p>
    <w:p>
      <w:pPr>
        <w:rPr>
          <w:rFonts w:hint="eastAsia"/>
        </w:rPr>
      </w:pPr>
      <w:r>
        <w:rPr>
          <w:rFonts w:hint="eastAsia"/>
        </w:rPr>
        <w:t>业务产出质量：平均响应时间不超过2秒、复杂查询与计算响应时间不超过5秒。</w:t>
      </w:r>
    </w:p>
    <w:p>
      <w:pPr>
        <w:pStyle w:val="3"/>
        <w:spacing w:before="160" w:after="160"/>
        <w:rPr>
          <w:rFonts w:hint="eastAsia"/>
        </w:rPr>
      </w:pPr>
      <w:r>
        <w:t>5.5 等级保护要求</w:t>
      </w:r>
    </w:p>
    <w:p>
      <w:pPr>
        <w:rPr>
          <w:rFonts w:hint="eastAsia"/>
        </w:rPr>
      </w:pPr>
      <w:r>
        <w:t>本项目等级保护要求：</w:t>
      </w:r>
      <w:r>
        <w:rPr>
          <w:szCs w:val="24"/>
        </w:rPr>
        <w:t>承载</w:t>
      </w:r>
      <w:r>
        <w:rPr>
          <w:rFonts w:hint="eastAsia"/>
          <w:szCs w:val="24"/>
        </w:rPr>
        <w:t>运行</w:t>
      </w:r>
      <w:r>
        <w:rPr>
          <w:szCs w:val="24"/>
        </w:rPr>
        <w:t>在政务云平台的业务系统，</w:t>
      </w:r>
      <w:r>
        <w:rPr>
          <w:rFonts w:hint="eastAsia"/>
          <w:szCs w:val="24"/>
        </w:rPr>
        <w:t>参照</w:t>
      </w:r>
      <w:r>
        <w:rPr>
          <w:szCs w:val="24"/>
        </w:rPr>
        <w:t>等保二级</w:t>
      </w:r>
      <w:r>
        <w:rPr>
          <w:rFonts w:hint="eastAsia"/>
          <w:szCs w:val="24"/>
        </w:rPr>
        <w:t>要求。</w:t>
      </w:r>
    </w:p>
    <w:p>
      <w:pPr>
        <w:pStyle w:val="3"/>
        <w:spacing w:before="160" w:after="160"/>
        <w:rPr>
          <w:rFonts w:hint="eastAsia"/>
        </w:rPr>
      </w:pPr>
      <w:r>
        <w:t>5.6 密码应用要求</w:t>
      </w:r>
    </w:p>
    <w:p>
      <w:pPr>
        <w:rPr>
          <w:rFonts w:hint="eastAsia"/>
        </w:rPr>
      </w:pPr>
      <w:r>
        <w:t>本项目</w:t>
      </w:r>
      <w:r>
        <w:rPr>
          <w:rFonts w:hint="eastAsia"/>
        </w:rPr>
        <w:t>政务云环境</w:t>
      </w:r>
      <w:r>
        <w:t>密码应用需符合GB/T 39786-2021第</w:t>
      </w:r>
      <w:r>
        <w:rPr>
          <w:rFonts w:hint="eastAsia"/>
        </w:rPr>
        <w:t>二</w:t>
      </w:r>
      <w:r>
        <w:t>级要求。</w:t>
      </w:r>
    </w:p>
    <w:p>
      <w:pPr>
        <w:pStyle w:val="3"/>
        <w:spacing w:before="160" w:after="160"/>
        <w:rPr>
          <w:rFonts w:hint="eastAsia"/>
        </w:rPr>
      </w:pPr>
      <w:r>
        <w:t>5.7 知识产权要求</w:t>
      </w:r>
    </w:p>
    <w:p>
      <w:pPr>
        <w:rPr>
          <w:rFonts w:hint="eastAsia"/>
        </w:rPr>
      </w:pPr>
      <w:r>
        <w:t>（1）本项目中形成的知识产权（包含需求分析、系统设计、软件程序、核心技术、数据标准、接口规范、知识库、专有方法、模板、工具包、培训材料、专有数据、技术文档、服务模式、运作模式等，但不限于上述形式）归建设单位所有。</w:t>
      </w:r>
    </w:p>
    <w:p>
      <w:pPr>
        <w:rPr>
          <w:rFonts w:hint="eastAsia"/>
        </w:rPr>
      </w:pPr>
      <w:r>
        <w:t>（2）本项目中形成的知识产权的申请权、所有权与利益（包括：专利权、商标权、著作权、商业秘密专有权等）归建设单位所有。未经建设单位书面同意，投标人不得以任何形式申请。</w:t>
      </w:r>
    </w:p>
    <w:p>
      <w:pPr>
        <w:rPr>
          <w:rFonts w:hint="eastAsia"/>
        </w:rPr>
      </w:pPr>
      <w:r>
        <w:t>（3）投标人不得以任何形式侵害本项目中形成的知识产权。未经建设单位书面同意，投标人不得以任何形式提供或出售给同行业/同性质单位使用。</w:t>
      </w:r>
    </w:p>
    <w:p>
      <w:pPr>
        <w:rPr>
          <w:rFonts w:hint="eastAsia"/>
        </w:rPr>
      </w:pPr>
      <w:r>
        <w:t>（4）没有建设单位明示的书面同意，投标人不能作出关于本项目或者其条款的任何新闻公告、媒体宣传或其他形式的公开披露。</w:t>
      </w:r>
    </w:p>
    <w:p>
      <w:pPr>
        <w:rPr>
          <w:rFonts w:hint="eastAsia"/>
        </w:rPr>
      </w:pPr>
      <w:r>
        <w:t>（5）投标人提供的产品和服务等不得侵犯任何第三方的知识产权。</w:t>
      </w:r>
    </w:p>
    <w:p>
      <w:pPr>
        <w:pStyle w:val="3"/>
        <w:spacing w:before="160" w:after="160"/>
        <w:rPr>
          <w:rFonts w:hint="eastAsia"/>
        </w:rPr>
      </w:pPr>
      <w:r>
        <w:t>5.</w:t>
      </w:r>
      <w:r>
        <w:rPr>
          <w:rFonts w:hint="eastAsia"/>
        </w:rPr>
        <w:t>8</w:t>
      </w:r>
      <w:r>
        <w:t xml:space="preserve"> 保密要求</w:t>
      </w:r>
    </w:p>
    <w:p>
      <w:pPr>
        <w:rPr>
          <w:rFonts w:hint="eastAsia"/>
        </w:rPr>
      </w:pPr>
      <w:r>
        <w:t>（1）投标人承诺参与本项目的所有服务人员需严格保守与本项目有关的技术秘密和商业秘密，任何涉及建设单位及使用单位的信息，未得到建设单位及使用单位的书面同意，不得对任何第三方展示、举例乃至销售。</w:t>
      </w:r>
    </w:p>
    <w:p>
      <w:pPr>
        <w:rPr>
          <w:rFonts w:hint="eastAsia"/>
        </w:rPr>
      </w:pPr>
      <w:r>
        <w:t>（2）投标人不以实施项目为名，侵害本项目各参与单位的技术、商业秘密或者知识产权。</w:t>
      </w:r>
    </w:p>
    <w:p>
      <w:pPr>
        <w:pStyle w:val="3"/>
        <w:spacing w:before="160" w:after="160"/>
        <w:rPr>
          <w:rFonts w:hint="eastAsia"/>
        </w:rPr>
      </w:pPr>
      <w:r>
        <w:t>5.</w:t>
      </w:r>
      <w:r>
        <w:rPr>
          <w:rFonts w:hint="eastAsia"/>
        </w:rPr>
        <w:t>9</w:t>
      </w:r>
      <w:r>
        <w:t xml:space="preserve"> 技术文件要求</w:t>
      </w:r>
    </w:p>
    <w:p>
      <w:pPr>
        <w:rPr>
          <w:rFonts w:hint="eastAsia"/>
        </w:rPr>
      </w:pPr>
      <w:r>
        <w:t>系统验收后投标人需提供详细的软件相关技术文档、使用说明书、维护手册等文档资料。提供系统应急方案，提供维护和二次开发所需要的源代码及技术支持工具。文档包括但不限于以下内容：</w:t>
      </w:r>
    </w:p>
    <w:p>
      <w:pPr>
        <w:rPr>
          <w:rFonts w:hint="eastAsia"/>
        </w:rPr>
      </w:pPr>
      <w:r>
        <w:t>（1）项目计划书、用户需求说明书、数据字典</w:t>
      </w:r>
    </w:p>
    <w:p>
      <w:pPr>
        <w:rPr>
          <w:rFonts w:hint="eastAsia"/>
        </w:rPr>
      </w:pPr>
      <w:r>
        <w:t>（2）系统设计说明书：包括《概要设计说明书》《详细设计说明书》《数据库设计说明书》</w:t>
      </w:r>
    </w:p>
    <w:p>
      <w:pPr>
        <w:rPr>
          <w:rFonts w:hint="eastAsia"/>
        </w:rPr>
      </w:pPr>
      <w:r>
        <w:t>（3）系统安装、测试报告：包括《安装部署手册》《系统测试报告》等</w:t>
      </w:r>
    </w:p>
    <w:p>
      <w:pPr>
        <w:rPr>
          <w:rFonts w:hint="eastAsia"/>
        </w:rPr>
      </w:pPr>
      <w:r>
        <w:t>（4）使用手册：包括《用户操作手册》《用户培训手册》</w:t>
      </w:r>
    </w:p>
    <w:p>
      <w:pPr>
        <w:rPr>
          <w:rFonts w:hint="eastAsia"/>
        </w:rPr>
      </w:pPr>
      <w:r>
        <w:t>（5）项目验收报告等</w:t>
      </w:r>
    </w:p>
    <w:p>
      <w:pPr>
        <w:rPr>
          <w:rFonts w:hint="eastAsia"/>
        </w:rPr>
      </w:pPr>
      <w:r>
        <w:t>（6）程序源代码</w:t>
      </w:r>
    </w:p>
    <w:p>
      <w:pPr>
        <w:rPr>
          <w:rFonts w:hint="eastAsia"/>
        </w:rPr>
      </w:pPr>
      <w:r>
        <w:rPr>
          <w:rFonts w:hint="eastAsia"/>
        </w:rPr>
        <w:t>（7）</w:t>
      </w:r>
      <w:r>
        <w:t>质保期内，中标人须根据国家、上海市及行业主管部门发布的最新法律法规和政策要求，配合采购人完成平台合规性适配与建设内容完善。</w:t>
      </w:r>
    </w:p>
    <w:p>
      <w:pPr>
        <w:rPr>
          <w:rFonts w:hint="eastAsia"/>
        </w:rPr>
      </w:pPr>
      <w:r>
        <w:br w:type="page"/>
      </w:r>
    </w:p>
    <w:p>
      <w:pPr>
        <w:pStyle w:val="2"/>
        <w:spacing w:before="200" w:after="200"/>
        <w:rPr>
          <w:rFonts w:hint="eastAsia"/>
        </w:rPr>
      </w:pPr>
      <w:r>
        <w:t>六、项目团队要求</w:t>
      </w:r>
    </w:p>
    <w:p>
      <w:pPr>
        <w:rPr>
          <w:rFonts w:hint="eastAsia"/>
        </w:rPr>
      </w:pPr>
      <w:r>
        <w:t>（1）投标人应充分考虑满足本项目的建设要求，提出自身有足够能力实施的方案，根据对项目的理解提供项目实施详细进度计划和项目人员配置管理计划，包括组织结构、项目负责人、组成人员及分工职责，并提供人员简历、资质证书。</w:t>
      </w:r>
    </w:p>
    <w:p>
      <w:pPr>
        <w:rPr>
          <w:rFonts w:hint="eastAsia"/>
        </w:rPr>
      </w:pPr>
      <w:r>
        <w:t>（2）投标人应优先选派具备数字化项目实施经验的项目经理和核心技术人员，组建本项目实施团队人员不少于</w:t>
      </w:r>
      <w:r>
        <w:rPr>
          <w:rFonts w:hint="eastAsia"/>
        </w:rPr>
        <w:t>40</w:t>
      </w:r>
      <w:r>
        <w:t>人，确保项目按计划开发实施完成。</w:t>
      </w:r>
    </w:p>
    <w:p>
      <w:pPr>
        <w:rPr>
          <w:rFonts w:hint="eastAsia"/>
        </w:rPr>
      </w:pPr>
      <w:r>
        <w:rPr>
          <w:rFonts w:hint="eastAsia"/>
        </w:rPr>
        <w:t>（3）</w:t>
      </w:r>
      <w:r>
        <w:t>投标人须提供人月投入计划，并按阶段提供人员</w:t>
      </w:r>
      <w:r>
        <w:rPr>
          <w:rFonts w:hint="eastAsia"/>
        </w:rPr>
        <w:t>工作</w:t>
      </w:r>
      <w:r>
        <w:t>记录</w:t>
      </w:r>
      <w:r>
        <w:rPr>
          <w:rFonts w:hint="eastAsia"/>
        </w:rPr>
        <w:t>。</w:t>
      </w:r>
    </w:p>
    <w:p>
      <w:pPr>
        <w:rPr>
          <w:rFonts w:hint="eastAsia"/>
        </w:rPr>
      </w:pPr>
      <w:r>
        <w:t>（</w:t>
      </w:r>
      <w:r>
        <w:rPr>
          <w:rFonts w:hint="eastAsia"/>
        </w:rPr>
        <w:t>4</w:t>
      </w:r>
      <w:r>
        <w:t>）系统在通过验收前现场需留驻足够的实施人员。</w:t>
      </w:r>
    </w:p>
    <w:p>
      <w:pPr>
        <w:rPr>
          <w:rFonts w:hint="eastAsia"/>
        </w:rPr>
      </w:pPr>
      <w:r>
        <w:t>（</w:t>
      </w:r>
      <w:r>
        <w:rPr>
          <w:rFonts w:hint="eastAsia"/>
        </w:rPr>
        <w:t>5</w:t>
      </w:r>
      <w:r>
        <w:t>）投标人针对本项目成立项目小组，在投标书中提供书面名单，人员一旦得到确认，无特殊理由不得随意变动，其中项目经理具有相当项目经验，项目经理未得到采购人同意的情况下不得随意更换。</w:t>
      </w:r>
    </w:p>
    <w:p>
      <w:pPr>
        <w:rPr>
          <w:rFonts w:hint="eastAsia"/>
        </w:rPr>
      </w:pPr>
      <w:r>
        <w:t>（</w:t>
      </w:r>
      <w:r>
        <w:rPr>
          <w:rFonts w:hint="eastAsia"/>
        </w:rPr>
        <w:t>6</w:t>
      </w:r>
      <w:r>
        <w:t>）采购人有权根据实施情况要求更换项目经理和实施人员。</w:t>
      </w:r>
    </w:p>
    <w:p/>
    <w:p>
      <w:pPr>
        <w:rPr>
          <w:rFonts w:hint="eastAsia"/>
        </w:rPr>
      </w:pPr>
      <w:r>
        <w:t>项目团队配置要求如下：</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771"/>
        <w:gridCol w:w="1576"/>
        <w:gridCol w:w="63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1771" w:type="dxa"/>
            <w:tcBorders>
              <w:top w:val="single" w:color="000000" w:sz="0" w:space="0"/>
              <w:left w:val="single" w:color="000000" w:sz="0" w:space="0"/>
              <w:bottom w:val="single" w:color="000000" w:sz="0" w:space="0"/>
              <w:right w:val="single" w:color="000000" w:sz="0" w:space="0"/>
            </w:tcBorders>
            <w:shd w:val="clear" w:color="auto" w:fill="D9E2F3"/>
            <w:vAlign w:val="center"/>
          </w:tcPr>
          <w:p>
            <w:pPr>
              <w:spacing w:line="360" w:lineRule="auto"/>
              <w:ind w:left="120" w:leftChars="50" w:right="120" w:rightChars="50" w:firstLine="0"/>
              <w:jc w:val="center"/>
              <w:rPr>
                <w:rFonts w:hint="eastAsia"/>
                <w:b/>
                <w:bCs/>
              </w:rPr>
            </w:pPr>
            <w:r>
              <w:rPr>
                <w:b/>
                <w:bCs/>
              </w:rPr>
              <w:t>岗位名称</w:t>
            </w:r>
          </w:p>
        </w:tc>
        <w:tc>
          <w:tcPr>
            <w:tcW w:w="1576" w:type="dxa"/>
            <w:tcBorders>
              <w:top w:val="single" w:color="000000" w:sz="0" w:space="0"/>
              <w:left w:val="single" w:color="000000" w:sz="0" w:space="0"/>
              <w:bottom w:val="single" w:color="000000" w:sz="0" w:space="0"/>
              <w:right w:val="single" w:color="000000" w:sz="0" w:space="0"/>
            </w:tcBorders>
            <w:shd w:val="clear" w:color="auto" w:fill="D9E2F3"/>
            <w:vAlign w:val="center"/>
          </w:tcPr>
          <w:p>
            <w:pPr>
              <w:spacing w:line="360" w:lineRule="auto"/>
              <w:ind w:left="120" w:leftChars="50" w:right="120" w:rightChars="50" w:firstLine="0"/>
              <w:jc w:val="center"/>
              <w:rPr>
                <w:rFonts w:hint="eastAsia"/>
                <w:b/>
                <w:bCs/>
              </w:rPr>
            </w:pPr>
            <w:r>
              <w:rPr>
                <w:b/>
                <w:bCs/>
              </w:rPr>
              <w:t>配置人数</w:t>
            </w:r>
          </w:p>
        </w:tc>
        <w:tc>
          <w:tcPr>
            <w:tcW w:w="6311" w:type="dxa"/>
            <w:tcBorders>
              <w:top w:val="single" w:color="000000" w:sz="0" w:space="0"/>
              <w:left w:val="single" w:color="000000" w:sz="0" w:space="0"/>
              <w:bottom w:val="single" w:color="000000" w:sz="0" w:space="0"/>
              <w:right w:val="single" w:color="000000" w:sz="0" w:space="0"/>
            </w:tcBorders>
            <w:shd w:val="clear" w:color="auto" w:fill="D9E2F3"/>
            <w:vAlign w:val="center"/>
          </w:tcPr>
          <w:p>
            <w:pPr>
              <w:spacing w:line="360" w:lineRule="auto"/>
              <w:ind w:left="120" w:leftChars="50" w:right="120" w:rightChars="50" w:firstLine="0"/>
              <w:jc w:val="center"/>
              <w:rPr>
                <w:rFonts w:hint="eastAsia"/>
                <w:b/>
                <w:bCs/>
              </w:rPr>
            </w:pPr>
            <w:r>
              <w:rPr>
                <w:b/>
                <w:bCs/>
              </w:rPr>
              <w:t>资质要求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771" w:type="dxa"/>
            <w:tcBorders>
              <w:top w:val="single" w:color="000000" w:sz="0" w:space="0"/>
              <w:left w:val="single" w:color="000000" w:sz="0" w:space="0"/>
              <w:bottom w:val="single" w:color="000000" w:sz="0" w:space="0"/>
              <w:right w:val="single" w:color="000000" w:sz="0" w:space="0"/>
            </w:tcBorders>
            <w:vAlign w:val="center"/>
          </w:tcPr>
          <w:p>
            <w:pPr>
              <w:spacing w:line="360" w:lineRule="auto"/>
              <w:ind w:left="120" w:leftChars="50" w:right="120" w:rightChars="50" w:firstLine="0"/>
              <w:rPr>
                <w:rFonts w:hint="eastAsia"/>
              </w:rPr>
            </w:pPr>
            <w:r>
              <w:t>项目负责人</w:t>
            </w:r>
          </w:p>
        </w:tc>
        <w:tc>
          <w:tcPr>
            <w:tcW w:w="1576" w:type="dxa"/>
            <w:tcBorders>
              <w:top w:val="single" w:color="000000" w:sz="0" w:space="0"/>
              <w:left w:val="single" w:color="000000" w:sz="0" w:space="0"/>
              <w:bottom w:val="single" w:color="000000" w:sz="0" w:space="0"/>
              <w:right w:val="single" w:color="000000" w:sz="0" w:space="0"/>
            </w:tcBorders>
            <w:vAlign w:val="center"/>
          </w:tcPr>
          <w:p>
            <w:pPr>
              <w:spacing w:line="360" w:lineRule="auto"/>
              <w:ind w:left="120" w:leftChars="50" w:right="120" w:rightChars="50" w:firstLine="0"/>
              <w:rPr>
                <w:rFonts w:hint="eastAsia"/>
              </w:rPr>
            </w:pPr>
            <w:r>
              <w:t>1人</w:t>
            </w:r>
          </w:p>
        </w:tc>
        <w:tc>
          <w:tcPr>
            <w:tcW w:w="6311" w:type="dxa"/>
            <w:tcBorders>
              <w:top w:val="single" w:color="000000" w:sz="0" w:space="0"/>
              <w:left w:val="single" w:color="000000" w:sz="0" w:space="0"/>
              <w:bottom w:val="single" w:color="000000" w:sz="0" w:space="0"/>
              <w:right w:val="single" w:color="000000" w:sz="0" w:space="0"/>
            </w:tcBorders>
            <w:vAlign w:val="center"/>
          </w:tcPr>
          <w:p>
            <w:pPr>
              <w:numPr>
                <w:ilvl w:val="0"/>
                <w:numId w:val="1"/>
              </w:numPr>
              <w:spacing w:line="360" w:lineRule="auto"/>
              <w:ind w:left="120" w:leftChars="50" w:right="120" w:rightChars="50" w:firstLine="0"/>
            </w:pPr>
            <w:r>
              <w:t>具有计算机相关专业全日制本科</w:t>
            </w:r>
            <w:r>
              <w:rPr>
                <w:rFonts w:hint="eastAsia"/>
                <w:lang w:eastAsia="zh-CN"/>
              </w:rPr>
              <w:t>或</w:t>
            </w:r>
            <w:r>
              <w:t>以上学历</w:t>
            </w:r>
          </w:p>
          <w:p>
            <w:pPr>
              <w:numPr>
                <w:ilvl w:val="0"/>
                <w:numId w:val="1"/>
              </w:numPr>
              <w:spacing w:line="360" w:lineRule="auto"/>
              <w:ind w:left="120" w:leftChars="50" w:right="120" w:rightChars="50" w:firstLine="0"/>
            </w:pPr>
            <w:r>
              <w:t>具有信息系统项目管理师</w:t>
            </w:r>
          </w:p>
          <w:p>
            <w:pPr>
              <w:numPr>
                <w:ilvl w:val="0"/>
                <w:numId w:val="1"/>
              </w:numPr>
              <w:spacing w:line="360" w:lineRule="auto"/>
              <w:ind w:left="120" w:leftChars="50" w:right="120" w:rightChars="50" w:firstLine="0"/>
              <w:rPr>
                <w:rFonts w:hint="eastAsia"/>
              </w:rPr>
            </w:pPr>
            <w:r>
              <w:t>具有5年及以上工作经验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771" w:type="dxa"/>
            <w:tcBorders>
              <w:top w:val="single" w:color="000000" w:sz="0" w:space="0"/>
              <w:left w:val="single" w:color="000000" w:sz="0" w:space="0"/>
              <w:bottom w:val="single" w:color="000000" w:sz="0" w:space="0"/>
              <w:right w:val="single" w:color="000000" w:sz="0" w:space="0"/>
            </w:tcBorders>
            <w:vAlign w:val="center"/>
          </w:tcPr>
          <w:p>
            <w:pPr>
              <w:spacing w:line="360" w:lineRule="auto"/>
              <w:ind w:left="120" w:leftChars="50" w:right="120" w:rightChars="50" w:firstLine="0"/>
              <w:rPr>
                <w:rFonts w:hint="eastAsia"/>
              </w:rPr>
            </w:pPr>
            <w:r>
              <w:t>项目经理</w:t>
            </w:r>
          </w:p>
        </w:tc>
        <w:tc>
          <w:tcPr>
            <w:tcW w:w="1576" w:type="dxa"/>
            <w:tcBorders>
              <w:top w:val="single" w:color="000000" w:sz="0" w:space="0"/>
              <w:left w:val="single" w:color="000000" w:sz="0" w:space="0"/>
              <w:bottom w:val="single" w:color="000000" w:sz="0" w:space="0"/>
              <w:right w:val="single" w:color="000000" w:sz="0" w:space="0"/>
            </w:tcBorders>
            <w:vAlign w:val="center"/>
          </w:tcPr>
          <w:p>
            <w:pPr>
              <w:spacing w:line="360" w:lineRule="auto"/>
              <w:ind w:left="120" w:leftChars="50" w:right="120" w:rightChars="50" w:firstLine="0"/>
              <w:rPr>
                <w:rFonts w:hint="eastAsia"/>
              </w:rPr>
            </w:pPr>
            <w:r>
              <w:t>1人</w:t>
            </w:r>
          </w:p>
        </w:tc>
        <w:tc>
          <w:tcPr>
            <w:tcW w:w="6311" w:type="dxa"/>
            <w:tcBorders>
              <w:top w:val="single" w:color="000000" w:sz="0" w:space="0"/>
              <w:left w:val="single" w:color="000000" w:sz="0" w:space="0"/>
              <w:bottom w:val="single" w:color="000000" w:sz="0" w:space="0"/>
              <w:right w:val="single" w:color="000000" w:sz="0" w:space="0"/>
            </w:tcBorders>
            <w:vAlign w:val="center"/>
          </w:tcPr>
          <w:p>
            <w:pPr>
              <w:numPr>
                <w:ilvl w:val="0"/>
                <w:numId w:val="2"/>
              </w:numPr>
              <w:spacing w:line="360" w:lineRule="auto"/>
              <w:ind w:left="120" w:leftChars="50" w:right="120" w:rightChars="50" w:firstLine="0"/>
            </w:pPr>
            <w:r>
              <w:t>具有计算机相关专业全日制专科</w:t>
            </w:r>
            <w:r>
              <w:rPr>
                <w:rFonts w:hint="eastAsia"/>
                <w:lang w:eastAsia="zh-CN"/>
              </w:rPr>
              <w:t>或</w:t>
            </w:r>
            <w:r>
              <w:t xml:space="preserve">以上学历 </w:t>
            </w:r>
          </w:p>
          <w:p>
            <w:pPr>
              <w:numPr>
                <w:ilvl w:val="0"/>
                <w:numId w:val="2"/>
              </w:numPr>
              <w:spacing w:line="360" w:lineRule="auto"/>
              <w:ind w:left="120" w:leftChars="50" w:right="120" w:rightChars="50" w:firstLine="0"/>
              <w:rPr>
                <w:rFonts w:hint="eastAsia"/>
              </w:rPr>
            </w:pPr>
            <w:r>
              <w:rPr>
                <w:rFonts w:hint="eastAsia"/>
              </w:rPr>
              <w:t>具有高级工程师或同等级别证书</w:t>
            </w:r>
          </w:p>
          <w:p>
            <w:pPr>
              <w:numPr>
                <w:ilvl w:val="0"/>
                <w:numId w:val="2"/>
              </w:numPr>
              <w:spacing w:line="360" w:lineRule="auto"/>
              <w:ind w:left="120" w:leftChars="50" w:right="120" w:rightChars="50" w:firstLine="0"/>
              <w:rPr>
                <w:rFonts w:hint="eastAsia"/>
              </w:rPr>
            </w:pPr>
            <w:r>
              <w:t>具有5年及以上工作经验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771" w:type="dxa"/>
            <w:tcBorders>
              <w:top w:val="single" w:color="000000" w:sz="0" w:space="0"/>
              <w:left w:val="single" w:color="000000" w:sz="0" w:space="0"/>
              <w:bottom w:val="single" w:color="000000" w:sz="0" w:space="0"/>
              <w:right w:val="single" w:color="000000" w:sz="0" w:space="0"/>
            </w:tcBorders>
            <w:vAlign w:val="center"/>
          </w:tcPr>
          <w:p>
            <w:pPr>
              <w:spacing w:line="360" w:lineRule="auto"/>
              <w:ind w:left="120" w:leftChars="50" w:right="120" w:rightChars="50" w:firstLine="0"/>
              <w:rPr>
                <w:rFonts w:hint="eastAsia"/>
              </w:rPr>
            </w:pPr>
            <w:r>
              <w:t>研发人员</w:t>
            </w:r>
          </w:p>
        </w:tc>
        <w:tc>
          <w:tcPr>
            <w:tcW w:w="1576" w:type="dxa"/>
            <w:tcBorders>
              <w:top w:val="single" w:color="000000" w:sz="0" w:space="0"/>
              <w:left w:val="single" w:color="000000" w:sz="0" w:space="0"/>
              <w:bottom w:val="single" w:color="000000" w:sz="0" w:space="0"/>
              <w:right w:val="single" w:color="000000" w:sz="0" w:space="0"/>
            </w:tcBorders>
            <w:vAlign w:val="center"/>
          </w:tcPr>
          <w:p>
            <w:pPr>
              <w:spacing w:line="360" w:lineRule="auto"/>
              <w:ind w:left="120" w:leftChars="50" w:right="120" w:rightChars="50" w:firstLine="0"/>
              <w:rPr>
                <w:rFonts w:hint="eastAsia"/>
                <w:highlight w:val="yellow"/>
              </w:rPr>
            </w:pPr>
            <w:r>
              <w:t>不少于</w:t>
            </w:r>
            <w:r>
              <w:rPr>
                <w:rFonts w:hint="eastAsia"/>
              </w:rPr>
              <w:t>25</w:t>
            </w:r>
            <w:r>
              <w:t>人</w:t>
            </w:r>
          </w:p>
        </w:tc>
        <w:tc>
          <w:tcPr>
            <w:tcW w:w="6311" w:type="dxa"/>
            <w:tcBorders>
              <w:top w:val="single" w:color="000000" w:sz="0" w:space="0"/>
              <w:left w:val="single" w:color="000000" w:sz="0" w:space="0"/>
              <w:bottom w:val="single" w:color="000000" w:sz="0" w:space="0"/>
              <w:right w:val="single" w:color="000000" w:sz="0" w:space="0"/>
            </w:tcBorders>
            <w:vAlign w:val="center"/>
          </w:tcPr>
          <w:p>
            <w:pPr>
              <w:spacing w:line="360" w:lineRule="auto"/>
              <w:ind w:left="120" w:leftChars="50" w:right="120" w:rightChars="50" w:firstLine="0"/>
              <w:rPr>
                <w:rFonts w:hint="eastAsia"/>
              </w:rPr>
            </w:pPr>
            <w:r>
              <w:t>1.研发负责人具有计算机相关专业全日制本科</w:t>
            </w:r>
            <w:r>
              <w:rPr>
                <w:rFonts w:hint="eastAsia"/>
                <w:lang w:eastAsia="zh-CN"/>
              </w:rPr>
              <w:t>或</w:t>
            </w:r>
            <w:r>
              <w:t>以上学历 2.具有3年及以上工作经验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771" w:type="dxa"/>
            <w:tcBorders>
              <w:top w:val="single" w:color="000000" w:sz="0" w:space="0"/>
              <w:left w:val="single" w:color="000000" w:sz="0" w:space="0"/>
              <w:bottom w:val="single" w:color="000000" w:sz="0" w:space="0"/>
              <w:right w:val="single" w:color="000000" w:sz="0" w:space="0"/>
            </w:tcBorders>
            <w:vAlign w:val="center"/>
          </w:tcPr>
          <w:p>
            <w:pPr>
              <w:spacing w:line="360" w:lineRule="auto"/>
              <w:ind w:left="120" w:leftChars="50" w:right="120" w:rightChars="50" w:firstLine="0"/>
              <w:rPr>
                <w:rFonts w:hint="eastAsia"/>
              </w:rPr>
            </w:pPr>
            <w:r>
              <w:t>测试人员</w:t>
            </w:r>
          </w:p>
        </w:tc>
        <w:tc>
          <w:tcPr>
            <w:tcW w:w="1576" w:type="dxa"/>
            <w:tcBorders>
              <w:top w:val="single" w:color="000000" w:sz="0" w:space="0"/>
              <w:left w:val="single" w:color="000000" w:sz="0" w:space="0"/>
              <w:bottom w:val="single" w:color="000000" w:sz="0" w:space="0"/>
              <w:right w:val="single" w:color="000000" w:sz="0" w:space="0"/>
            </w:tcBorders>
            <w:vAlign w:val="center"/>
          </w:tcPr>
          <w:p>
            <w:pPr>
              <w:spacing w:line="360" w:lineRule="auto"/>
              <w:ind w:left="120" w:leftChars="50" w:right="120" w:rightChars="50" w:firstLine="0"/>
              <w:rPr>
                <w:rFonts w:hint="eastAsia"/>
              </w:rPr>
            </w:pPr>
            <w:r>
              <w:t>不少于</w:t>
            </w:r>
            <w:r>
              <w:rPr>
                <w:rFonts w:hint="eastAsia"/>
              </w:rPr>
              <w:t>8</w:t>
            </w:r>
            <w:r>
              <w:t>人</w:t>
            </w:r>
          </w:p>
        </w:tc>
        <w:tc>
          <w:tcPr>
            <w:tcW w:w="6311" w:type="dxa"/>
            <w:tcBorders>
              <w:top w:val="single" w:color="000000" w:sz="0" w:space="0"/>
              <w:left w:val="single" w:color="000000" w:sz="0" w:space="0"/>
              <w:bottom w:val="single" w:color="000000" w:sz="0" w:space="0"/>
              <w:right w:val="single" w:color="000000" w:sz="0" w:space="0"/>
            </w:tcBorders>
            <w:vAlign w:val="center"/>
          </w:tcPr>
          <w:p>
            <w:pPr>
              <w:spacing w:line="360" w:lineRule="auto"/>
              <w:ind w:left="120" w:leftChars="50" w:right="120" w:rightChars="50" w:firstLine="0"/>
              <w:rPr>
                <w:rFonts w:hint="eastAsia"/>
              </w:rPr>
            </w:pPr>
            <w:r>
              <w:t>1.测试负责人具有计算机相关专业全日制本科</w:t>
            </w:r>
            <w:r>
              <w:rPr>
                <w:rFonts w:hint="eastAsia"/>
                <w:lang w:eastAsia="zh-CN"/>
              </w:rPr>
              <w:t>或</w:t>
            </w:r>
            <w:r>
              <w:t>以上学历 2.具有3年及以上工作经验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44" w:hRule="atLeast"/>
        </w:trPr>
        <w:tc>
          <w:tcPr>
            <w:tcW w:w="1771" w:type="dxa"/>
            <w:tcBorders>
              <w:top w:val="single" w:color="000000" w:sz="0" w:space="0"/>
              <w:left w:val="single" w:color="000000" w:sz="0" w:space="0"/>
              <w:bottom w:val="single" w:color="000000" w:sz="0" w:space="0"/>
              <w:right w:val="single" w:color="000000" w:sz="0" w:space="0"/>
            </w:tcBorders>
            <w:vAlign w:val="center"/>
          </w:tcPr>
          <w:p>
            <w:pPr>
              <w:spacing w:line="360" w:lineRule="auto"/>
              <w:ind w:left="120" w:leftChars="50" w:right="120" w:rightChars="50" w:firstLine="0"/>
              <w:rPr>
                <w:rFonts w:hint="eastAsia"/>
              </w:rPr>
            </w:pPr>
            <w:r>
              <w:t>运维人员</w:t>
            </w:r>
          </w:p>
        </w:tc>
        <w:tc>
          <w:tcPr>
            <w:tcW w:w="1576" w:type="dxa"/>
            <w:tcBorders>
              <w:top w:val="single" w:color="000000" w:sz="0" w:space="0"/>
              <w:left w:val="single" w:color="000000" w:sz="0" w:space="0"/>
              <w:bottom w:val="single" w:color="000000" w:sz="0" w:space="0"/>
              <w:right w:val="single" w:color="000000" w:sz="0" w:space="0"/>
            </w:tcBorders>
            <w:vAlign w:val="center"/>
          </w:tcPr>
          <w:p>
            <w:pPr>
              <w:spacing w:line="360" w:lineRule="auto"/>
              <w:ind w:left="120" w:leftChars="50" w:right="120" w:rightChars="50" w:firstLine="0"/>
              <w:rPr>
                <w:rFonts w:hint="eastAsia"/>
              </w:rPr>
            </w:pPr>
            <w:r>
              <w:t>不少于</w:t>
            </w:r>
            <w:r>
              <w:rPr>
                <w:rFonts w:hint="eastAsia"/>
              </w:rPr>
              <w:t>5</w:t>
            </w:r>
            <w:r>
              <w:t>人</w:t>
            </w:r>
          </w:p>
        </w:tc>
        <w:tc>
          <w:tcPr>
            <w:tcW w:w="6311" w:type="dxa"/>
            <w:tcBorders>
              <w:top w:val="single" w:color="000000" w:sz="0" w:space="0"/>
              <w:left w:val="single" w:color="000000" w:sz="0" w:space="0"/>
              <w:bottom w:val="single" w:color="000000" w:sz="0" w:space="0"/>
              <w:right w:val="single" w:color="000000" w:sz="0" w:space="0"/>
            </w:tcBorders>
            <w:vAlign w:val="center"/>
          </w:tcPr>
          <w:p>
            <w:pPr>
              <w:spacing w:line="360" w:lineRule="auto"/>
              <w:ind w:left="120" w:leftChars="50" w:right="120" w:rightChars="50" w:firstLine="0"/>
              <w:rPr>
                <w:rFonts w:hint="eastAsia"/>
              </w:rPr>
            </w:pPr>
            <w:r>
              <w:t>1.具有3年及以上工作经验</w:t>
            </w:r>
          </w:p>
        </w:tc>
      </w:tr>
    </w:tbl>
    <w:p>
      <w:pPr>
        <w:rPr>
          <w:rFonts w:hint="eastAsia" w:ascii="黑体" w:hAnsi="黑体" w:eastAsia="黑体" w:cs="黑体"/>
          <w:b/>
          <w:bCs/>
          <w:sz w:val="36"/>
          <w:szCs w:val="36"/>
        </w:rPr>
      </w:pPr>
      <w:r>
        <w:rPr>
          <w:rFonts w:ascii="黑体" w:hAnsi="黑体" w:eastAsia="黑体" w:cs="黑体"/>
          <w:b/>
          <w:bCs/>
          <w:sz w:val="36"/>
          <w:szCs w:val="36"/>
        </w:rPr>
        <w:br w:type="page"/>
      </w:r>
    </w:p>
    <w:p>
      <w:pPr>
        <w:pStyle w:val="2"/>
        <w:spacing w:before="200" w:after="200"/>
        <w:rPr>
          <w:rFonts w:hint="eastAsia"/>
        </w:rPr>
      </w:pPr>
      <w:r>
        <w:t>七、售后服务要求</w:t>
      </w:r>
    </w:p>
    <w:p>
      <w:pPr>
        <w:rPr>
          <w:rFonts w:hint="eastAsia"/>
        </w:rPr>
      </w:pPr>
      <w:r>
        <w:t>（1）免费质保期自本项目完工验收合格后开始计算，在免费质保期内，由中标人免费承担招标文件提到的系统运行维护工作，维护工作包括但不限于平台的故障修复、定期检查及调优等服务内容，投标人须提供不少于一年的每周7天x8小时技术服务，服务内容及方式包括电话技术服务支持、远程故障修复、定期巡查巡检及调优及必要时现场支持服务。</w:t>
      </w:r>
    </w:p>
    <w:p>
      <w:pPr>
        <w:rPr>
          <w:rFonts w:hint="eastAsia"/>
        </w:rPr>
      </w:pPr>
      <w:r>
        <w:t>（2）对于在免费质保期内找到的系统缺陷，中标人无条件为采购人进行修复。</w:t>
      </w:r>
    </w:p>
    <w:p>
      <w:pPr>
        <w:rPr>
          <w:rFonts w:hint="eastAsia"/>
        </w:rPr>
      </w:pPr>
      <w:r>
        <w:t>（3）免费质保期内，中标人接到维护通知后应在半小时内响应并协助采购人处理问题，1小时内赶赴采购人现场处理问题，除不可抗力因素外，费用全部由中标人承担。</w:t>
      </w:r>
    </w:p>
    <w:p>
      <w:pPr>
        <w:rPr>
          <w:rFonts w:hint="eastAsia"/>
        </w:rPr>
      </w:pPr>
      <w:r>
        <w:t>（4）免费质保期外，中标人接到维护通知后应在1小时内响应并协助采购人处理问题，3小时内赶赴采购人现场处理问题，费用按年计算。</w:t>
      </w:r>
    </w:p>
    <w:p>
      <w:pPr>
        <w:rPr>
          <w:rFonts w:hint="eastAsia" w:ascii="黑体" w:hAnsi="黑体" w:eastAsia="黑体" w:cs="黑体"/>
          <w:b/>
          <w:bCs/>
          <w:sz w:val="36"/>
          <w:szCs w:val="36"/>
        </w:rPr>
      </w:pPr>
      <w:r>
        <w:rPr>
          <w:rFonts w:ascii="黑体" w:hAnsi="黑体" w:eastAsia="黑体" w:cs="黑体"/>
          <w:b/>
          <w:bCs/>
          <w:sz w:val="36"/>
          <w:szCs w:val="36"/>
        </w:rPr>
        <w:br w:type="page"/>
      </w:r>
    </w:p>
    <w:p>
      <w:pPr>
        <w:pStyle w:val="2"/>
        <w:spacing w:before="200" w:after="200"/>
        <w:rPr>
          <w:rFonts w:hint="eastAsia"/>
        </w:rPr>
      </w:pPr>
      <w:r>
        <w:t>八、所有权和使用权要求</w:t>
      </w:r>
    </w:p>
    <w:p>
      <w:pPr>
        <w:rPr>
          <w:rFonts w:hint="eastAsia"/>
        </w:rPr>
      </w:pPr>
      <w:r>
        <w:t>（1）投标人提供软件产品（包括软件载体和文档）和相关系统接口，仅限于采购人使用，未经投标人书面许可不能对外转让。软件不加密，不限制采购人安装次数和安装的终端数量。</w:t>
      </w:r>
    </w:p>
    <w:p>
      <w:pPr>
        <w:rPr>
          <w:rFonts w:hint="eastAsia"/>
        </w:rPr>
      </w:pPr>
      <w:r>
        <w:t>（2）投标人保证对其交付的软件系统享有合法的权利，并且就交付的软件系统不做任何的权利保留。</w:t>
      </w:r>
    </w:p>
    <w:p>
      <w:pPr>
        <w:rPr>
          <w:rFonts w:hint="eastAsia"/>
        </w:rPr>
      </w:pPr>
      <w:r>
        <w:t>（3）投标人需保守因本项目执行而获得的采购人的所有资料秘密，不得利用工作之便外泄资料或做其他用途，否则投标人需承担由此引起的法律责任和赔偿采购人的经济损失。</w:t>
      </w:r>
    </w:p>
    <w:p>
      <w:pPr>
        <w:rPr>
          <w:rFonts w:hint="eastAsia"/>
        </w:rPr>
      </w:pPr>
      <w:r>
        <w:t>（4）投标人应向采购人提供包括源代码和目标代码在内的全部程序。</w:t>
      </w:r>
    </w:p>
    <w:p>
      <w:pPr>
        <w:rPr>
          <w:rFonts w:hint="eastAsia"/>
        </w:rPr>
      </w:pPr>
      <w:r>
        <w:t>（5）除开发者身份权外，项目的软件著作权的其他全部权益属于采购人。此权利担保规定的效力不受所签合同有效期的限制。</w:t>
      </w:r>
    </w:p>
    <w:p>
      <w:pPr>
        <w:rPr>
          <w:rFonts w:hint="eastAsia"/>
        </w:rPr>
      </w:pPr>
    </w:p>
    <w:sectPr>
      <w:headerReference r:id="rId5" w:type="default"/>
      <w:footerReference r:id="rId6" w:type="default"/>
      <w:pgSz w:w="11906" w:h="16838"/>
      <w:pgMar w:top="1134" w:right="1134" w:bottom="1134" w:left="1134" w:header="708" w:footer="708"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7A87" w:usb1="80000000" w:usb2="00000008" w:usb3="00000000" w:csb0="400001FF" w:csb1="FFFF0000"/>
  </w:font>
  <w:font w:name="Symbol">
    <w:panose1 w:val="02000609000000000000"/>
    <w:charset w:val="02"/>
    <w:family w:val="roman"/>
    <w:pitch w:val="default"/>
    <w:sig w:usb0="800000AF" w:usb1="4000204A" w:usb2="00000000" w:usb3="00000000" w:csb0="20000000" w:csb1="00000000"/>
  </w:font>
  <w:font w:name="Calibri">
    <w:panose1 w:val="020F0502020204030204"/>
    <w:charset w:val="00"/>
    <w:family w:val="swiss"/>
    <w:pitch w:val="default"/>
    <w:sig w:usb0="E10002FF" w:usb1="4000ACFF" w:usb2="00000009" w:usb3="00000000" w:csb0="2000019F" w:csb1="00000000"/>
  </w:font>
  <w:font w:name="Segoe UI">
    <w:altName w:val="Gautami"/>
    <w:panose1 w:val="020B0502040204020203"/>
    <w:charset w:val="00"/>
    <w:family w:val="swiss"/>
    <w:pitch w:val="default"/>
    <w:sig w:usb0="00000000" w:usb1="00000000" w:usb2="00000009" w:usb3="00000000" w:csb0="000001FF" w:csb1="00000000"/>
  </w:font>
  <w:font w:name="Gautami">
    <w:panose1 w:val="020B0502040204020203"/>
    <w:charset w:val="00"/>
    <w:family w:val="auto"/>
    <w:pitch w:val="default"/>
    <w:sig w:usb0="002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rPr>
        <w:rFonts w:hint="eastAsia"/>
      </w:rPr>
    </w:pPr>
    <w:r>
      <w:rPr>
        <w:color w:val="888888"/>
        <w:sz w:val="18"/>
        <w:szCs w:val="18"/>
      </w:rPr>
      <w:t xml:space="preserve">第 </w:t>
    </w:r>
    <w:r>
      <w:rPr>
        <w:color w:val="888888"/>
        <w:sz w:val="18"/>
        <w:szCs w:val="18"/>
      </w:rPr>
      <w:fldChar w:fldCharType="begin"/>
    </w:r>
    <w:r>
      <w:rPr>
        <w:color w:val="888888"/>
        <w:sz w:val="18"/>
        <w:szCs w:val="18"/>
      </w:rPr>
      <w:instrText xml:space="preserve">PAGE</w:instrText>
    </w:r>
    <w:r>
      <w:rPr>
        <w:color w:val="888888"/>
        <w:sz w:val="18"/>
        <w:szCs w:val="18"/>
      </w:rPr>
      <w:fldChar w:fldCharType="separate"/>
    </w:r>
    <w:r>
      <w:rPr>
        <w:rFonts w:hint="eastAsia"/>
        <w:color w:val="888888"/>
        <w:sz w:val="18"/>
        <w:szCs w:val="18"/>
      </w:rPr>
      <w:t>1</w:t>
    </w:r>
    <w:r>
      <w:rPr>
        <w:color w:val="888888"/>
        <w:sz w:val="18"/>
        <w:szCs w:val="18"/>
      </w:rPr>
      <w:fldChar w:fldCharType="end"/>
    </w:r>
    <w:r>
      <w:rPr>
        <w:color w:val="888888"/>
        <w:sz w:val="18"/>
        <w:szCs w:val="18"/>
      </w:rPr>
      <w:t xml:space="preserve"> 页</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520" w:lineRule="auto"/>
      </w:pPr>
      <w:r>
        <w:separator/>
      </w:r>
    </w:p>
  </w:footnote>
  <w:footnote w:type="continuationSeparator" w:id="1">
    <w:p>
      <w:pPr>
        <w:spacing w:line="52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rPr>
        <w:rFonts w:hint="eastAsia"/>
      </w:rPr>
    </w:pPr>
    <w:r>
      <w:rPr>
        <w:color w:val="888888"/>
        <w:sz w:val="18"/>
        <w:szCs w:val="18"/>
      </w:rPr>
      <w:t>临港新片区国际数据服务管理系统建设项目 采购需求</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EBCB8"/>
    <w:multiLevelType w:val="singleLevel"/>
    <w:tmpl w:val="FFFEBCB8"/>
    <w:lvl w:ilvl="0" w:tentative="0">
      <w:start w:val="1"/>
      <w:numFmt w:val="decimal"/>
      <w:lvlText w:val="%1."/>
      <w:lvlJc w:val="left"/>
      <w:pPr>
        <w:tabs>
          <w:tab w:val="left" w:pos="312"/>
        </w:tabs>
      </w:pPr>
    </w:lvl>
  </w:abstractNum>
  <w:abstractNum w:abstractNumId="1">
    <w:nsid w:val="7B0E9F75"/>
    <w:multiLevelType w:val="singleLevel"/>
    <w:tmpl w:val="7B0E9F75"/>
    <w:lvl w:ilvl="0" w:tentative="0">
      <w:start w:val="1"/>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bordersDoNotSurroundHeader w:val="1"/>
  <w:bordersDoNotSurroundFooter w:val="1"/>
  <w:documentProtection w:enforcement="0"/>
  <w:defaultTabStop w:val="420"/>
  <w:displayHorizontalDrawingGridEvery w:val="0"/>
  <w:displayVerticalDrawingGridEvery w:val="2"/>
  <w:characterSpacingControl w:val="doNotCompress"/>
  <w:footnotePr>
    <w:footnote w:id="0"/>
    <w:footnote w:id="1"/>
  </w:footnotePr>
  <w:endnotePr>
    <w:endnote w:id="0"/>
    <w:endnote w:id="1"/>
  </w:endnotePr>
  <w:compat>
    <w:balanceSingleByteDoubleByteWidth/>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FCB"/>
    <w:rsid w:val="00051A2A"/>
    <w:rsid w:val="000A15B9"/>
    <w:rsid w:val="000B07CD"/>
    <w:rsid w:val="000B61AD"/>
    <w:rsid w:val="000C09F5"/>
    <w:rsid w:val="001070A7"/>
    <w:rsid w:val="0012096E"/>
    <w:rsid w:val="00174B7B"/>
    <w:rsid w:val="001A27FD"/>
    <w:rsid w:val="002263F1"/>
    <w:rsid w:val="00297B45"/>
    <w:rsid w:val="002C168A"/>
    <w:rsid w:val="00373830"/>
    <w:rsid w:val="00434C86"/>
    <w:rsid w:val="004856D6"/>
    <w:rsid w:val="004935FC"/>
    <w:rsid w:val="004A232E"/>
    <w:rsid w:val="004E13CB"/>
    <w:rsid w:val="004E3BC2"/>
    <w:rsid w:val="004E5F4B"/>
    <w:rsid w:val="005216DD"/>
    <w:rsid w:val="0054502E"/>
    <w:rsid w:val="00580B5B"/>
    <w:rsid w:val="00590214"/>
    <w:rsid w:val="005D2788"/>
    <w:rsid w:val="005F48BA"/>
    <w:rsid w:val="006055E0"/>
    <w:rsid w:val="006B3C87"/>
    <w:rsid w:val="006F44F3"/>
    <w:rsid w:val="00710432"/>
    <w:rsid w:val="0075086F"/>
    <w:rsid w:val="007603FB"/>
    <w:rsid w:val="0078145C"/>
    <w:rsid w:val="00794142"/>
    <w:rsid w:val="00814D15"/>
    <w:rsid w:val="00953FCB"/>
    <w:rsid w:val="00980E7C"/>
    <w:rsid w:val="009C4A44"/>
    <w:rsid w:val="009E2B4F"/>
    <w:rsid w:val="00A151E0"/>
    <w:rsid w:val="00A24E9A"/>
    <w:rsid w:val="00A454B8"/>
    <w:rsid w:val="00A51810"/>
    <w:rsid w:val="00AB5805"/>
    <w:rsid w:val="00AC291F"/>
    <w:rsid w:val="00B03D45"/>
    <w:rsid w:val="00B26255"/>
    <w:rsid w:val="00B35C79"/>
    <w:rsid w:val="00B74AD0"/>
    <w:rsid w:val="00B862B7"/>
    <w:rsid w:val="00B9317D"/>
    <w:rsid w:val="00BF1F31"/>
    <w:rsid w:val="00C0018C"/>
    <w:rsid w:val="00C071B1"/>
    <w:rsid w:val="00C641D3"/>
    <w:rsid w:val="00C77B8F"/>
    <w:rsid w:val="00D24346"/>
    <w:rsid w:val="00D26B09"/>
    <w:rsid w:val="00D53829"/>
    <w:rsid w:val="00D70ABD"/>
    <w:rsid w:val="00DB03AA"/>
    <w:rsid w:val="00DB61A3"/>
    <w:rsid w:val="00DD32A6"/>
    <w:rsid w:val="00DF0144"/>
    <w:rsid w:val="00E80C61"/>
    <w:rsid w:val="00EA0A73"/>
    <w:rsid w:val="00EE38F7"/>
    <w:rsid w:val="00F76166"/>
    <w:rsid w:val="00FC2202"/>
    <w:rsid w:val="010C6CE0"/>
    <w:rsid w:val="014337F8"/>
    <w:rsid w:val="02E6682C"/>
    <w:rsid w:val="03783E0A"/>
    <w:rsid w:val="04810ED3"/>
    <w:rsid w:val="0524705D"/>
    <w:rsid w:val="05642C97"/>
    <w:rsid w:val="056F0AF9"/>
    <w:rsid w:val="05731CF2"/>
    <w:rsid w:val="0577271C"/>
    <w:rsid w:val="07437AFE"/>
    <w:rsid w:val="07F154B7"/>
    <w:rsid w:val="08B2637A"/>
    <w:rsid w:val="09BE25B6"/>
    <w:rsid w:val="0B510739"/>
    <w:rsid w:val="0C4D64AB"/>
    <w:rsid w:val="0C595CF4"/>
    <w:rsid w:val="0EB4355C"/>
    <w:rsid w:val="10C358AD"/>
    <w:rsid w:val="11986AE1"/>
    <w:rsid w:val="14DD3CA8"/>
    <w:rsid w:val="15733BBE"/>
    <w:rsid w:val="16414490"/>
    <w:rsid w:val="16E05D93"/>
    <w:rsid w:val="17042675"/>
    <w:rsid w:val="1C1C076F"/>
    <w:rsid w:val="1CF64E89"/>
    <w:rsid w:val="1E512DEA"/>
    <w:rsid w:val="264A3105"/>
    <w:rsid w:val="28895EBD"/>
    <w:rsid w:val="28BF5068"/>
    <w:rsid w:val="29BF8873"/>
    <w:rsid w:val="2B4104F9"/>
    <w:rsid w:val="2B9852F6"/>
    <w:rsid w:val="2D4D40E2"/>
    <w:rsid w:val="2FAD0CD2"/>
    <w:rsid w:val="32E74997"/>
    <w:rsid w:val="36EE5F2E"/>
    <w:rsid w:val="3B3F5E6D"/>
    <w:rsid w:val="3BCC3699"/>
    <w:rsid w:val="3BE507F9"/>
    <w:rsid w:val="3C3343B9"/>
    <w:rsid w:val="3EF11B43"/>
    <w:rsid w:val="3F1B9463"/>
    <w:rsid w:val="3FF3F995"/>
    <w:rsid w:val="40EB11DB"/>
    <w:rsid w:val="422947EA"/>
    <w:rsid w:val="434A02E4"/>
    <w:rsid w:val="445B7CC3"/>
    <w:rsid w:val="49611977"/>
    <w:rsid w:val="4A202477"/>
    <w:rsid w:val="4A553814"/>
    <w:rsid w:val="4C1A64C4"/>
    <w:rsid w:val="4D325117"/>
    <w:rsid w:val="4FA272C5"/>
    <w:rsid w:val="51480A06"/>
    <w:rsid w:val="51E11708"/>
    <w:rsid w:val="585C7CED"/>
    <w:rsid w:val="5A77414B"/>
    <w:rsid w:val="5CC52489"/>
    <w:rsid w:val="5D043BDE"/>
    <w:rsid w:val="5DBD2E9E"/>
    <w:rsid w:val="5E0B4B0C"/>
    <w:rsid w:val="5F19793A"/>
    <w:rsid w:val="60C45E60"/>
    <w:rsid w:val="650D4FB8"/>
    <w:rsid w:val="679B335A"/>
    <w:rsid w:val="68B0012F"/>
    <w:rsid w:val="69737D41"/>
    <w:rsid w:val="6A933450"/>
    <w:rsid w:val="6C647030"/>
    <w:rsid w:val="6D201BB4"/>
    <w:rsid w:val="6D7D3A31"/>
    <w:rsid w:val="6F0214A8"/>
    <w:rsid w:val="70893AA1"/>
    <w:rsid w:val="71E8138D"/>
    <w:rsid w:val="73742472"/>
    <w:rsid w:val="757C354D"/>
    <w:rsid w:val="75CC5FE3"/>
    <w:rsid w:val="76FC4999"/>
    <w:rsid w:val="777F5F91"/>
    <w:rsid w:val="78FD2481"/>
    <w:rsid w:val="79427FFF"/>
    <w:rsid w:val="79FECADC"/>
    <w:rsid w:val="7A6C09E6"/>
    <w:rsid w:val="7BDB4440"/>
    <w:rsid w:val="7D6A290A"/>
    <w:rsid w:val="7D7FEE9C"/>
    <w:rsid w:val="7D8F7158"/>
    <w:rsid w:val="7F377C89"/>
    <w:rsid w:val="7FAFDCBD"/>
    <w:rsid w:val="7FDFCC0F"/>
    <w:rsid w:val="7FED9E5E"/>
    <w:rsid w:val="B2FB4E8D"/>
    <w:rsid w:val="B7EE2493"/>
    <w:rsid w:val="BEFB1C4D"/>
    <w:rsid w:val="BFFCA36B"/>
    <w:rsid w:val="C5C72B9E"/>
    <w:rsid w:val="EAFF09A6"/>
    <w:rsid w:val="EFFF0130"/>
    <w:rsid w:val="F5FF0D05"/>
    <w:rsid w:val="F77A2B6E"/>
    <w:rsid w:val="FDFF5163"/>
    <w:rsid w:val="FED941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qFormat="1" w:uiPriority="99" w:name="endnote reference"/>
    <w:lsdException w:qFormat="1" w:uiPriority="99"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20" w:lineRule="auto"/>
      <w:ind w:firstLine="640"/>
      <w:jc w:val="both"/>
    </w:pPr>
    <w:rPr>
      <w:rFonts w:ascii="宋体" w:hAnsi="宋体" w:eastAsia="宋体" w:cs="宋体"/>
      <w:sz w:val="24"/>
      <w:szCs w:val="32"/>
      <w:lang w:val="en-US" w:eastAsia="zh-CN" w:bidi="ar-SA"/>
    </w:rPr>
  </w:style>
  <w:style w:type="paragraph" w:styleId="2">
    <w:name w:val="heading 1"/>
    <w:next w:val="1"/>
    <w:qFormat/>
    <w:uiPriority w:val="0"/>
    <w:pPr>
      <w:spacing w:before="240" w:after="240" w:line="520" w:lineRule="auto"/>
      <w:outlineLvl w:val="0"/>
    </w:pPr>
    <w:rPr>
      <w:rFonts w:ascii="黑体" w:hAnsi="黑体" w:eastAsia="黑体" w:cs="黑体"/>
      <w:b/>
      <w:bCs/>
      <w:color w:val="000000"/>
      <w:sz w:val="36"/>
      <w:szCs w:val="36"/>
      <w:lang w:val="en-US" w:eastAsia="zh-CN" w:bidi="ar-SA"/>
    </w:rPr>
  </w:style>
  <w:style w:type="paragraph" w:styleId="3">
    <w:name w:val="heading 2"/>
    <w:next w:val="1"/>
    <w:qFormat/>
    <w:uiPriority w:val="0"/>
    <w:pPr>
      <w:spacing w:before="180" w:after="180" w:line="520" w:lineRule="auto"/>
      <w:outlineLvl w:val="1"/>
    </w:pPr>
    <w:rPr>
      <w:rFonts w:ascii="黑体" w:hAnsi="黑体" w:eastAsia="黑体" w:cs="黑体"/>
      <w:b/>
      <w:bCs/>
      <w:color w:val="000000"/>
      <w:sz w:val="32"/>
      <w:szCs w:val="32"/>
      <w:lang w:val="en-US" w:eastAsia="zh-CN" w:bidi="ar-SA"/>
    </w:rPr>
  </w:style>
  <w:style w:type="paragraph" w:styleId="4">
    <w:name w:val="heading 3"/>
    <w:next w:val="1"/>
    <w:qFormat/>
    <w:uiPriority w:val="0"/>
    <w:pPr>
      <w:spacing w:before="120" w:after="120" w:line="520" w:lineRule="auto"/>
      <w:outlineLvl w:val="2"/>
    </w:pPr>
    <w:rPr>
      <w:rFonts w:ascii="黑体" w:hAnsi="黑体" w:eastAsia="黑体" w:cs="黑体"/>
      <w:b/>
      <w:bCs/>
      <w:color w:val="000000"/>
      <w:sz w:val="32"/>
      <w:szCs w:val="32"/>
      <w:lang w:val="en-US" w:eastAsia="zh-CN" w:bidi="ar-SA"/>
    </w:rPr>
  </w:style>
  <w:style w:type="paragraph" w:styleId="5">
    <w:name w:val="heading 4"/>
    <w:next w:val="1"/>
    <w:qFormat/>
    <w:uiPriority w:val="0"/>
    <w:pPr>
      <w:outlineLvl w:val="3"/>
    </w:pPr>
    <w:rPr>
      <w:rFonts w:ascii="宋体" w:hAnsi="宋体" w:eastAsia="宋体" w:cs="宋体"/>
      <w:i/>
      <w:iCs/>
      <w:color w:val="2E74B5"/>
      <w:sz w:val="32"/>
      <w:szCs w:val="32"/>
      <w:lang w:val="en-US" w:eastAsia="zh-CN" w:bidi="ar-SA"/>
    </w:rPr>
  </w:style>
  <w:style w:type="paragraph" w:styleId="6">
    <w:name w:val="heading 5"/>
    <w:next w:val="1"/>
    <w:qFormat/>
    <w:uiPriority w:val="0"/>
    <w:pPr>
      <w:outlineLvl w:val="4"/>
    </w:pPr>
    <w:rPr>
      <w:rFonts w:ascii="宋体" w:hAnsi="宋体" w:eastAsia="宋体" w:cs="宋体"/>
      <w:color w:val="2E74B5"/>
      <w:sz w:val="32"/>
      <w:szCs w:val="32"/>
      <w:lang w:val="en-US" w:eastAsia="zh-CN" w:bidi="ar-SA"/>
    </w:rPr>
  </w:style>
  <w:style w:type="paragraph" w:styleId="7">
    <w:name w:val="heading 6"/>
    <w:next w:val="1"/>
    <w:qFormat/>
    <w:uiPriority w:val="0"/>
    <w:pPr>
      <w:outlineLvl w:val="5"/>
    </w:pPr>
    <w:rPr>
      <w:rFonts w:ascii="宋体" w:hAnsi="宋体" w:eastAsia="宋体" w:cs="宋体"/>
      <w:color w:val="1F4D78"/>
      <w:sz w:val="32"/>
      <w:szCs w:val="32"/>
      <w:lang w:val="en-US" w:eastAsia="zh-CN" w:bidi="ar-SA"/>
    </w:rPr>
  </w:style>
  <w:style w:type="character" w:default="1" w:styleId="17">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8">
    <w:name w:val="annotation text"/>
    <w:basedOn w:val="1"/>
    <w:link w:val="28"/>
    <w:qFormat/>
    <w:uiPriority w:val="0"/>
    <w:pPr>
      <w:jc w:val="left"/>
    </w:pPr>
  </w:style>
  <w:style w:type="paragraph" w:styleId="9">
    <w:name w:val="endnote text"/>
    <w:link w:val="24"/>
    <w:semiHidden/>
    <w:unhideWhenUsed/>
    <w:qFormat/>
    <w:uiPriority w:val="99"/>
    <w:rPr>
      <w:rFonts w:ascii="宋体" w:hAnsi="宋体" w:eastAsia="宋体" w:cs="宋体"/>
      <w:lang w:val="en-US" w:eastAsia="zh-CN" w:bidi="ar-SA"/>
    </w:rPr>
  </w:style>
  <w:style w:type="paragraph" w:styleId="10">
    <w:name w:val="footer"/>
    <w:basedOn w:val="1"/>
    <w:link w:val="26"/>
    <w:qFormat/>
    <w:uiPriority w:val="0"/>
    <w:pPr>
      <w:tabs>
        <w:tab w:val="center" w:pos="4153"/>
        <w:tab w:val="right" w:pos="8306"/>
      </w:tabs>
      <w:snapToGrid w:val="0"/>
      <w:spacing w:line="240" w:lineRule="auto"/>
      <w:jc w:val="left"/>
    </w:pPr>
    <w:rPr>
      <w:sz w:val="18"/>
      <w:szCs w:val="18"/>
    </w:rPr>
  </w:style>
  <w:style w:type="paragraph" w:styleId="11">
    <w:name w:val="header"/>
    <w:basedOn w:val="1"/>
    <w:link w:val="25"/>
    <w:qFormat/>
    <w:uiPriority w:val="0"/>
    <w:pPr>
      <w:tabs>
        <w:tab w:val="center" w:pos="4153"/>
        <w:tab w:val="right" w:pos="8306"/>
      </w:tabs>
      <w:snapToGrid w:val="0"/>
      <w:spacing w:line="240" w:lineRule="auto"/>
      <w:jc w:val="center"/>
    </w:pPr>
    <w:rPr>
      <w:sz w:val="18"/>
      <w:szCs w:val="18"/>
    </w:rPr>
  </w:style>
  <w:style w:type="paragraph" w:styleId="12">
    <w:name w:val="footnote text"/>
    <w:link w:val="23"/>
    <w:semiHidden/>
    <w:unhideWhenUsed/>
    <w:qFormat/>
    <w:uiPriority w:val="99"/>
    <w:rPr>
      <w:rFonts w:ascii="宋体" w:hAnsi="宋体" w:eastAsia="宋体" w:cs="宋体"/>
      <w:lang w:val="en-US" w:eastAsia="zh-CN" w:bidi="ar-SA"/>
    </w:rPr>
  </w:style>
  <w:style w:type="paragraph" w:styleId="13">
    <w:name w:val="Title"/>
    <w:qFormat/>
    <w:uiPriority w:val="0"/>
    <w:rPr>
      <w:rFonts w:ascii="宋体" w:hAnsi="宋体" w:eastAsia="宋体" w:cs="宋体"/>
      <w:sz w:val="56"/>
      <w:szCs w:val="56"/>
      <w:lang w:val="en-US" w:eastAsia="zh-CN" w:bidi="ar-SA"/>
    </w:rPr>
  </w:style>
  <w:style w:type="paragraph" w:styleId="14">
    <w:name w:val="annotation subject"/>
    <w:basedOn w:val="8"/>
    <w:next w:val="8"/>
    <w:link w:val="29"/>
    <w:qFormat/>
    <w:uiPriority w:val="0"/>
    <w:rPr>
      <w:b/>
      <w:bCs/>
    </w:rPr>
  </w:style>
  <w:style w:type="table" w:styleId="16">
    <w:name w:val="Table Grid"/>
    <w:basedOn w:val="1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endnote reference"/>
    <w:semiHidden/>
    <w:unhideWhenUsed/>
    <w:qFormat/>
    <w:uiPriority w:val="99"/>
    <w:rPr>
      <w:vertAlign w:val="superscript"/>
    </w:rPr>
  </w:style>
  <w:style w:type="character" w:styleId="19">
    <w:name w:val="Hyperlink"/>
    <w:unhideWhenUsed/>
    <w:qFormat/>
    <w:uiPriority w:val="99"/>
    <w:rPr>
      <w:color w:val="0563C1"/>
      <w:u w:val="single"/>
    </w:rPr>
  </w:style>
  <w:style w:type="character" w:styleId="20">
    <w:name w:val="annotation reference"/>
    <w:basedOn w:val="17"/>
    <w:qFormat/>
    <w:uiPriority w:val="0"/>
    <w:rPr>
      <w:sz w:val="21"/>
      <w:szCs w:val="21"/>
    </w:rPr>
  </w:style>
  <w:style w:type="character" w:styleId="21">
    <w:name w:val="footnote reference"/>
    <w:semiHidden/>
    <w:unhideWhenUsed/>
    <w:qFormat/>
    <w:uiPriority w:val="99"/>
    <w:rPr>
      <w:vertAlign w:val="superscript"/>
    </w:rPr>
  </w:style>
  <w:style w:type="paragraph" w:styleId="22">
    <w:name w:val="List Paragraph"/>
    <w:qFormat/>
    <w:uiPriority w:val="0"/>
    <w:rPr>
      <w:rFonts w:ascii="宋体" w:hAnsi="宋体" w:eastAsia="宋体" w:cs="宋体"/>
      <w:sz w:val="32"/>
      <w:szCs w:val="32"/>
      <w:lang w:val="en-US" w:eastAsia="zh-CN" w:bidi="ar-SA"/>
    </w:rPr>
  </w:style>
  <w:style w:type="character" w:customStyle="1" w:styleId="23">
    <w:name w:val="脚注文本 字符"/>
    <w:link w:val="12"/>
    <w:semiHidden/>
    <w:unhideWhenUsed/>
    <w:qFormat/>
    <w:uiPriority w:val="99"/>
    <w:rPr>
      <w:sz w:val="20"/>
      <w:szCs w:val="20"/>
    </w:rPr>
  </w:style>
  <w:style w:type="character" w:customStyle="1" w:styleId="24">
    <w:name w:val="尾注文本 字符"/>
    <w:link w:val="9"/>
    <w:semiHidden/>
    <w:unhideWhenUsed/>
    <w:qFormat/>
    <w:uiPriority w:val="99"/>
    <w:rPr>
      <w:sz w:val="20"/>
      <w:szCs w:val="20"/>
    </w:rPr>
  </w:style>
  <w:style w:type="character" w:customStyle="1" w:styleId="25">
    <w:name w:val="页眉 字符"/>
    <w:basedOn w:val="17"/>
    <w:link w:val="11"/>
    <w:qFormat/>
    <w:uiPriority w:val="0"/>
    <w:rPr>
      <w:rFonts w:ascii="宋体" w:hAnsi="宋体" w:cs="宋体"/>
      <w:sz w:val="18"/>
      <w:szCs w:val="18"/>
    </w:rPr>
  </w:style>
  <w:style w:type="character" w:customStyle="1" w:styleId="26">
    <w:name w:val="页脚 字符"/>
    <w:basedOn w:val="17"/>
    <w:link w:val="10"/>
    <w:qFormat/>
    <w:uiPriority w:val="0"/>
    <w:rPr>
      <w:rFonts w:ascii="宋体" w:hAnsi="宋体" w:cs="宋体"/>
      <w:sz w:val="18"/>
      <w:szCs w:val="18"/>
    </w:rPr>
  </w:style>
  <w:style w:type="paragraph" w:customStyle="1" w:styleId="27">
    <w:name w:val="修订1"/>
    <w:hidden/>
    <w:unhideWhenUsed/>
    <w:qFormat/>
    <w:uiPriority w:val="99"/>
    <w:rPr>
      <w:rFonts w:ascii="宋体" w:hAnsi="宋体" w:eastAsia="宋体" w:cs="宋体"/>
      <w:sz w:val="24"/>
      <w:szCs w:val="32"/>
      <w:lang w:val="en-US" w:eastAsia="zh-CN" w:bidi="ar-SA"/>
    </w:rPr>
  </w:style>
  <w:style w:type="character" w:customStyle="1" w:styleId="28">
    <w:name w:val="批注文字 字符"/>
    <w:basedOn w:val="17"/>
    <w:link w:val="8"/>
    <w:qFormat/>
    <w:uiPriority w:val="0"/>
    <w:rPr>
      <w:rFonts w:ascii="宋体" w:hAnsi="宋体" w:cs="宋体"/>
      <w:sz w:val="24"/>
      <w:szCs w:val="32"/>
    </w:rPr>
  </w:style>
  <w:style w:type="character" w:customStyle="1" w:styleId="29">
    <w:name w:val="批注主题 字符"/>
    <w:basedOn w:val="28"/>
    <w:link w:val="14"/>
    <w:qFormat/>
    <w:uiPriority w:val="0"/>
    <w:rPr>
      <w:rFonts w:ascii="宋体" w:hAnsi="宋体" w:cs="宋体"/>
      <w:b/>
      <w:bCs/>
      <w:sz w:val="24"/>
      <w:szCs w:val="32"/>
    </w:rPr>
  </w:style>
  <w:style w:type="paragraph" w:customStyle="1" w:styleId="30">
    <w:name w:val="修订2"/>
    <w:hidden/>
    <w:unhideWhenUsed/>
    <w:qFormat/>
    <w:uiPriority w:val="99"/>
    <w:rPr>
      <w:rFonts w:ascii="宋体" w:hAnsi="宋体" w:eastAsia="宋体" w:cs="宋体"/>
      <w:sz w:val="24"/>
      <w:szCs w:val="32"/>
      <w:lang w:val="en-US" w:eastAsia="zh-CN" w:bidi="ar-SA"/>
    </w:rPr>
  </w:style>
  <w:style w:type="paragraph" w:customStyle="1" w:styleId="31">
    <w:name w:val="Revision"/>
    <w:hidden/>
    <w:unhideWhenUsed/>
    <w:qFormat/>
    <w:uiPriority w:val="99"/>
    <w:rPr>
      <w:rFonts w:ascii="宋体" w:hAnsi="宋体" w:eastAsia="宋体" w:cs="宋体"/>
      <w:sz w:val="24"/>
      <w:szCs w:val="3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32</Pages>
  <Words>2408</Words>
  <Characters>13731</Characters>
  <Lines>114</Lines>
  <Paragraphs>32</Paragraphs>
  <TotalTime>102</TotalTime>
  <ScaleCrop>false</ScaleCrop>
  <LinksUpToDate>false</LinksUpToDate>
  <CharactersWithSpaces>16107</CharactersWithSpaces>
  <Application>WPS Office_12.8.2.1113_F1E327BC-269C-435d-A152-05C5408002CA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2026-09-16T02:26:00Z</dcterms:created>
  <dc:creator>Un-named</dc:creator>
  <cp:lastModifiedBy>高际航</cp:lastModifiedBy>
  <dcterms:modified xsi:type="dcterms:W3CDTF">2026-09-18T11:45:18Z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D55U9H0F10002","ProduceID":"27cbda9d-ef4a-4161-9090-a64d0dc692bc","ReservedCode1":"c3a68b70-e0e2-4e3d-a364-3c6a58f1438b","ContentPropagator":"001191110102MAD55U9H0F10002","PropagateID":"27cbda9d-ef4a-4161-9090-a64d0dc692bc","ReservedCode2":"c3a68b70-e0e2-4e3d-a364-3c6a58f1438b"}</vt:lpwstr>
  </property>
  <property fmtid="{D5CDD505-2E9C-101B-9397-08002B2CF9AE}" pid="3" name="KSOTemplateDocerSaveRecord">
    <vt:lpwstr>eyJoZGlkIjoiYzMxOTk2MzVlMzYzMWJkZjU2ZTlhM2IyOGQ1Mzc4MzQiLCJ1c2VySWQiOiIzODc5NjMwMDcifQ==</vt:lpwstr>
  </property>
  <property fmtid="{D5CDD505-2E9C-101B-9397-08002B2CF9AE}" pid="4" name="KSOProductBuildVer">
    <vt:lpwstr>2052-12.8.2.1113</vt:lpwstr>
  </property>
  <property fmtid="{D5CDD505-2E9C-101B-9397-08002B2CF9AE}" pid="5" name="ICV">
    <vt:lpwstr>20BD54D8FD57841692DFA86ADFD08528_43</vt:lpwstr>
  </property>
</Properties>
</file>