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B3987">
      <w:pPr>
        <w:ind w:firstLine="0" w:firstLineChars="0"/>
        <w:jc w:val="center"/>
        <w:rPr>
          <w:rFonts w:ascii="黑体" w:hAnsi="黑体" w:eastAsia="黑体"/>
          <w:sz w:val="48"/>
          <w:szCs w:val="48"/>
        </w:rPr>
      </w:pPr>
    </w:p>
    <w:p w14:paraId="22586316">
      <w:pPr>
        <w:ind w:firstLine="0" w:firstLineChars="0"/>
        <w:jc w:val="center"/>
        <w:rPr>
          <w:rFonts w:ascii="黑体" w:hAnsi="黑体" w:eastAsia="黑体"/>
          <w:sz w:val="48"/>
          <w:szCs w:val="48"/>
        </w:rPr>
      </w:pPr>
    </w:p>
    <w:p w14:paraId="09E1BBF4">
      <w:pPr>
        <w:ind w:firstLine="0" w:firstLineChars="0"/>
        <w:jc w:val="center"/>
        <w:outlineLvl w:val="0"/>
        <w:rPr>
          <w:rFonts w:ascii="黑体" w:hAnsi="黑体" w:eastAsia="黑体"/>
          <w:sz w:val="52"/>
          <w:szCs w:val="52"/>
        </w:rPr>
      </w:pPr>
      <w:r>
        <w:rPr>
          <w:rFonts w:hint="eastAsia" w:ascii="黑体" w:hAnsi="黑体" w:eastAsia="黑体"/>
          <w:sz w:val="52"/>
          <w:szCs w:val="52"/>
        </w:rPr>
        <w:t>生态环境综合监管大系统建设项目(2026年升级改造)</w:t>
      </w:r>
    </w:p>
    <w:p w14:paraId="4DF13B5E">
      <w:pPr>
        <w:ind w:firstLine="0" w:firstLineChars="0"/>
        <w:jc w:val="center"/>
        <w:outlineLvl w:val="0"/>
        <w:rPr>
          <w:rFonts w:ascii="黑体" w:hAnsi="黑体" w:eastAsia="黑体"/>
          <w:sz w:val="52"/>
          <w:szCs w:val="52"/>
        </w:rPr>
      </w:pPr>
      <w:r>
        <w:rPr>
          <w:rFonts w:hint="eastAsia" w:ascii="黑体" w:hAnsi="黑体" w:eastAsia="黑体"/>
          <w:sz w:val="52"/>
          <w:szCs w:val="52"/>
        </w:rPr>
        <w:t>采购需求</w:t>
      </w:r>
    </w:p>
    <w:p w14:paraId="5B97E865">
      <w:pPr>
        <w:ind w:firstLine="0" w:firstLineChars="0"/>
        <w:jc w:val="center"/>
        <w:rPr>
          <w:rFonts w:ascii="黑体" w:hAnsi="黑体" w:eastAsia="黑体"/>
          <w:sz w:val="48"/>
          <w:szCs w:val="48"/>
        </w:rPr>
      </w:pPr>
    </w:p>
    <w:p w14:paraId="21FED995">
      <w:pPr>
        <w:ind w:firstLine="0" w:firstLineChars="0"/>
        <w:jc w:val="center"/>
        <w:rPr>
          <w:rFonts w:ascii="黑体" w:hAnsi="黑体" w:eastAsia="黑体"/>
          <w:sz w:val="52"/>
          <w:szCs w:val="52"/>
        </w:rPr>
      </w:pPr>
    </w:p>
    <w:p w14:paraId="6737F1E4">
      <w:pPr>
        <w:ind w:firstLine="1040"/>
        <w:rPr>
          <w:rFonts w:ascii="黑体" w:hAnsi="黑体" w:eastAsia="黑体"/>
          <w:sz w:val="52"/>
          <w:szCs w:val="52"/>
        </w:rPr>
      </w:pPr>
    </w:p>
    <w:p w14:paraId="3A622376"/>
    <w:p w14:paraId="3DF1CBE7"/>
    <w:p w14:paraId="03991767"/>
    <w:p w14:paraId="3C0EE475"/>
    <w:p w14:paraId="598F150D"/>
    <w:p w14:paraId="455CAD4E">
      <w:pPr>
        <w:ind w:firstLine="1040"/>
        <w:rPr>
          <w:rFonts w:ascii="黑体" w:hAnsi="黑体" w:eastAsia="黑体"/>
          <w:sz w:val="52"/>
          <w:szCs w:val="52"/>
        </w:rPr>
      </w:pPr>
    </w:p>
    <w:p w14:paraId="037DB319">
      <w:pPr>
        <w:jc w:val="cente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6603E453">
      <w:pPr>
        <w:pStyle w:val="2"/>
      </w:pPr>
      <w:bookmarkStart w:id="0" w:name="_Toc63785461"/>
      <w:r>
        <w:rPr>
          <w:rFonts w:hint="eastAsia"/>
        </w:rPr>
        <w:t>项目概况</w:t>
      </w:r>
      <w:bookmarkEnd w:id="0"/>
    </w:p>
    <w:p w14:paraId="2B4320D2">
      <w:pPr>
        <w:spacing w:line="560" w:lineRule="exact"/>
      </w:pPr>
      <w:r>
        <w:rPr>
          <w:rFonts w:hint="eastAsia"/>
        </w:rPr>
        <w:t>生态环境综合监管大系统是上海市生态环境局完成系统整合后的三大系统之一，重点聚焦生态环境污染源的管理和环境监测、监管、执法的三监联动。本次升级改造主要是对该大系统下已经建设的上海市环境应急和辐射管理信息系统进行升级改造，并新建上海市生态环境智慧监管协同子系统，以支撑生态环境局“一库、一中心、一张屏”的数字化整体架构建设。</w:t>
      </w:r>
    </w:p>
    <w:p w14:paraId="5354BB15">
      <w:pPr>
        <w:spacing w:line="560" w:lineRule="exact"/>
        <w:outlineLvl w:val="1"/>
      </w:pPr>
      <w:r>
        <w:rPr>
          <w:rFonts w:hint="eastAsia"/>
        </w:rPr>
        <w:t>（一）上海市环境应急和辐射管理信息系统升级改造</w:t>
      </w:r>
    </w:p>
    <w:p w14:paraId="716AFEC9">
      <w:pPr>
        <w:spacing w:line="560" w:lineRule="exact"/>
      </w:pPr>
      <w:r>
        <w:t>上海市环境应急和辐射管理信息系统</w:t>
      </w:r>
      <w:r>
        <w:rPr>
          <w:rFonts w:hint="eastAsia"/>
        </w:rPr>
        <w:t>于2015-2016年建成并交付使用。系统采用的非国产化环境开发和部署，按照应急事件的事前、事中、事后管理任务进行建设，初步实现了应急事件的全过程记录和追溯，但是在风险识别、指挥调度等环节的智慧化程度较低。本次项目建设</w:t>
      </w:r>
      <w:r>
        <w:t>以</w:t>
      </w:r>
      <w:r>
        <w:rPr>
          <w:rFonts w:hint="eastAsia"/>
          <w:lang w:eastAsia="zh-CN"/>
        </w:rPr>
        <w:t>XC</w:t>
      </w:r>
      <w:r>
        <w:t>改造为契机，构建 “统一指挥、平战结合” 的应急管理体系，</w:t>
      </w:r>
      <w:r>
        <w:rPr>
          <w:rFonts w:hint="eastAsia"/>
        </w:rPr>
        <w:t>引入智慧化手段，</w:t>
      </w:r>
      <w:r>
        <w:t>形成全流程</w:t>
      </w:r>
      <w:r>
        <w:rPr>
          <w:rFonts w:hint="eastAsia"/>
        </w:rPr>
        <w:t>高效</w:t>
      </w:r>
      <w:r>
        <w:t>闭环</w:t>
      </w:r>
      <w:r>
        <w:rPr>
          <w:rFonts w:hint="eastAsia"/>
        </w:rPr>
        <w:t>的</w:t>
      </w:r>
      <w:r>
        <w:t>架构。事前融合多源数据建风险数据库，搭智能预警网络；事发快速识别事件，智能关联预案生成处置方案；事中同步现场态势，实现跨部门协同调度；事后</w:t>
      </w:r>
      <w:r>
        <w:rPr>
          <w:rFonts w:hint="eastAsia"/>
        </w:rPr>
        <w:t>智能总结</w:t>
      </w:r>
      <w:r>
        <w:t>并评估预案效果。同时适配</w:t>
      </w:r>
      <w:r>
        <w:rPr>
          <w:rFonts w:hint="eastAsia"/>
          <w:lang w:eastAsia="zh-CN"/>
        </w:rPr>
        <w:t>XC</w:t>
      </w:r>
      <w:r>
        <w:t>技术，建立平战结合机制，固化标准化业务流程。</w:t>
      </w:r>
    </w:p>
    <w:p w14:paraId="48AA811F">
      <w:pPr>
        <w:spacing w:line="560" w:lineRule="exact"/>
        <w:outlineLvl w:val="1"/>
      </w:pPr>
      <w:r>
        <w:rPr>
          <w:rFonts w:hint="eastAsia"/>
        </w:rPr>
        <w:t>（二）上海市生态环境智慧监管协同子系统建设</w:t>
      </w:r>
    </w:p>
    <w:p w14:paraId="70A22966">
      <w:pPr>
        <w:spacing w:line="560" w:lineRule="exact"/>
      </w:pPr>
      <w:r>
        <w:rPr>
          <w:rFonts w:hint="eastAsia"/>
        </w:rPr>
        <w:t>上海市生态环境智慧监管协同子系统是生态环境新一轮数字化转型架构的主要支撑，以构建“环境监管对象协同一个库、环境任务协同一中心、环境管控协同一平台”为核心框架，整合多源数据建环境监管对象库，以 “信用 + 风险” 分级监管，优化营商环境；建设环境任务调度中心，实现跨层级跨部门任务闭环管理；构建数字生态全景驾驶舱，整合全要素数据，打造一体化管控平台，支撑精准决策。从而解决</w:t>
      </w:r>
      <w:r>
        <w:t>环境监管精准化要求与环境监测对象底数不统一的矛盾</w:t>
      </w:r>
      <w:r>
        <w:rPr>
          <w:rFonts w:hint="eastAsia"/>
        </w:rPr>
        <w:t>、</w:t>
      </w:r>
      <w:r>
        <w:t>多跨协同的环境治理思维与目前环境任务碎片化的矛盾</w:t>
      </w:r>
      <w:r>
        <w:rPr>
          <w:rFonts w:hint="eastAsia"/>
        </w:rPr>
        <w:t>、</w:t>
      </w:r>
      <w:r>
        <w:t>一体化环境治理格局与现有环境单要素管理的矛盾</w:t>
      </w:r>
      <w:r>
        <w:rPr>
          <w:rFonts w:hint="eastAsia"/>
        </w:rPr>
        <w:t>等三大问题，推动生态环境数字化转型更上一个台阶。</w:t>
      </w:r>
    </w:p>
    <w:p w14:paraId="4B7459EC">
      <w:pPr>
        <w:spacing w:line="560" w:lineRule="exact"/>
      </w:pPr>
      <w:r>
        <w:rPr>
          <w:rFonts w:hint="eastAsia"/>
        </w:rPr>
        <w:t>建设期限：合同签订之日起至2026年11月30日</w:t>
      </w:r>
    </w:p>
    <w:p w14:paraId="2CF494EC">
      <w:pPr>
        <w:spacing w:line="560" w:lineRule="exact"/>
      </w:pPr>
      <w:r>
        <w:rPr>
          <w:rFonts w:hint="eastAsia"/>
        </w:rPr>
        <w:t>建设地点：三江路55号</w:t>
      </w:r>
    </w:p>
    <w:p w14:paraId="0D042703">
      <w:r>
        <w:t>是否按</w:t>
      </w:r>
      <w:r>
        <w:rPr>
          <w:rFonts w:hint="eastAsia"/>
          <w:lang w:eastAsia="zh-CN"/>
        </w:rPr>
        <w:t>XC</w:t>
      </w:r>
      <w:r>
        <w:t>要求建设：是</w:t>
      </w:r>
    </w:p>
    <w:p w14:paraId="4005998A">
      <w:r>
        <w:rPr>
          <w:rFonts w:hint="eastAsia"/>
        </w:rPr>
        <w:t>运维后所属大系统：生态环境综合监管大系统</w:t>
      </w:r>
    </w:p>
    <w:p w14:paraId="0AEFF85D">
      <w:pPr>
        <w:pStyle w:val="2"/>
      </w:pPr>
      <w:bookmarkStart w:id="1" w:name="_Toc47536644"/>
      <w:bookmarkEnd w:id="1"/>
      <w:bookmarkStart w:id="2" w:name="_Toc47537134"/>
      <w:bookmarkEnd w:id="2"/>
      <w:bookmarkStart w:id="3" w:name="_Toc47536272"/>
      <w:bookmarkEnd w:id="3"/>
      <w:bookmarkStart w:id="4" w:name="_Toc47533256"/>
      <w:bookmarkEnd w:id="4"/>
      <w:bookmarkStart w:id="5" w:name="_Toc47532891"/>
      <w:bookmarkEnd w:id="5"/>
      <w:bookmarkStart w:id="6" w:name="_Toc47539070"/>
      <w:bookmarkEnd w:id="6"/>
      <w:bookmarkStart w:id="7" w:name="_Toc47531634"/>
      <w:bookmarkEnd w:id="7"/>
      <w:bookmarkStart w:id="8" w:name="_Toc47532255"/>
      <w:bookmarkEnd w:id="8"/>
      <w:bookmarkStart w:id="9" w:name="_Toc63785463"/>
      <w:bookmarkStart w:id="10" w:name="_Toc48223882"/>
      <w:r>
        <w:rPr>
          <w:rFonts w:hint="eastAsia"/>
        </w:rPr>
        <w:t>建设目标</w:t>
      </w:r>
      <w:bookmarkEnd w:id="9"/>
      <w:bookmarkEnd w:id="10"/>
    </w:p>
    <w:p w14:paraId="4C37528B">
      <w:pPr>
        <w:outlineLvl w:val="1"/>
      </w:pPr>
      <w:r>
        <w:rPr>
          <w:rFonts w:hint="eastAsia"/>
        </w:rPr>
        <w:t>（一）系统建设目标</w:t>
      </w:r>
    </w:p>
    <w:p w14:paraId="55CEADD7">
      <w:pPr>
        <w:outlineLvl w:val="2"/>
      </w:pPr>
      <w:r>
        <w:rPr>
          <w:rFonts w:hint="eastAsia"/>
        </w:rPr>
        <w:t>（1）上海市环境应急和辐射管理信息系统升级改造目标</w:t>
      </w:r>
    </w:p>
    <w:p w14:paraId="104DA61B">
      <w:r>
        <w:rPr>
          <w:rFonts w:hint="eastAsia"/>
        </w:rPr>
        <w:t>上海市环境应急和辐射管理信息系统以</w:t>
      </w:r>
      <w:r>
        <w:rPr>
          <w:rFonts w:hint="eastAsia"/>
          <w:lang w:eastAsia="zh-CN"/>
        </w:rPr>
        <w:t>XC</w:t>
      </w:r>
      <w:r>
        <w:rPr>
          <w:rFonts w:hint="eastAsia"/>
        </w:rPr>
        <w:t>改造为契机，深化数字技术应用，按“统一指挥、专常兼备”等业务需求，构建态势感知等功能，实现突发事件处置全流程闭环管理，提升生态安全防控和应急响应能力。事前结合物联网等技术整合多源数据，构建全域智能预警网络；事发汇聚信息快速识别事件，自动关联预案并智能调度；事中依托多网融合等技术同步现场情况，实现跨域协同与资源精准调配；事后智能评估并总结经验优化应急策略。</w:t>
      </w:r>
    </w:p>
    <w:p w14:paraId="616CC381">
      <w:pPr>
        <w:outlineLvl w:val="2"/>
      </w:pPr>
      <w:r>
        <w:rPr>
          <w:rFonts w:hint="eastAsia"/>
        </w:rPr>
        <w:t>（2）上海市生态环境智慧监管协同子系统建设目标</w:t>
      </w:r>
    </w:p>
    <w:p w14:paraId="52BAAD71">
      <w:r>
        <w:rPr>
          <w:rFonts w:hint="eastAsia"/>
        </w:rPr>
        <w:t>上海市生态环境智慧监管协同子系统按“环境监管对象协同一个库、环境任务协同一中心、环境管控协同一平台”的“三个1”框架推进建设。其目标为：整合多源数据建成标准统一、动态更新的环境监管对象库，按“信用+风险”实施ABCD四级差异化监管，形成闭环机制以提升监管精准度并优化营商环境；构建环境任务智能调度中心，整合多渠道任务实现“统一归集、精准派单”，联动多部门形成全流程闭环，破解治理“碎片化”难题；以数据为驱动构建数字生态全景驾驶舱，整合全要素环境数据打造一体化管控平台，实现“一屏统览、一键调度”，支撑精准决策以提升系统治理水平。</w:t>
      </w:r>
    </w:p>
    <w:p w14:paraId="3FCE86DB">
      <w:pPr>
        <w:outlineLvl w:val="1"/>
      </w:pPr>
      <w:r>
        <w:rPr>
          <w:rFonts w:hint="eastAsia"/>
        </w:rPr>
        <w:t>（二）系统考核指标</w:t>
      </w:r>
    </w:p>
    <w:tbl>
      <w:tblPr>
        <w:tblStyle w:val="7"/>
        <w:tblW w:w="8314" w:type="dxa"/>
        <w:tblInd w:w="98" w:type="dxa"/>
        <w:tblLayout w:type="fixed"/>
        <w:tblCellMar>
          <w:top w:w="0" w:type="dxa"/>
          <w:left w:w="108" w:type="dxa"/>
          <w:bottom w:w="0" w:type="dxa"/>
          <w:right w:w="108" w:type="dxa"/>
        </w:tblCellMar>
      </w:tblPr>
      <w:tblGrid>
        <w:gridCol w:w="945"/>
        <w:gridCol w:w="754"/>
        <w:gridCol w:w="1615"/>
        <w:gridCol w:w="3457"/>
        <w:gridCol w:w="1543"/>
      </w:tblGrid>
      <w:tr w14:paraId="4AF81DCA">
        <w:tblPrEx>
          <w:tblCellMar>
            <w:top w:w="0" w:type="dxa"/>
            <w:left w:w="108" w:type="dxa"/>
            <w:bottom w:w="0" w:type="dxa"/>
            <w:right w:w="108" w:type="dxa"/>
          </w:tblCellMar>
        </w:tblPrEx>
        <w:trPr>
          <w:trHeight w:val="23" w:hRule="atLeast"/>
        </w:trPr>
        <w:tc>
          <w:tcPr>
            <w:tcW w:w="945" w:type="dxa"/>
            <w:tcBorders>
              <w:top w:val="single" w:color="000000" w:sz="4" w:space="0"/>
              <w:left w:val="single" w:color="000000" w:sz="4" w:space="0"/>
              <w:bottom w:val="single" w:color="auto" w:sz="4" w:space="0"/>
              <w:right w:val="single" w:color="auto" w:sz="4" w:space="0"/>
            </w:tcBorders>
            <w:vAlign w:val="center"/>
          </w:tcPr>
          <w:p w14:paraId="20CA797A">
            <w:pPr>
              <w:pStyle w:val="12"/>
            </w:pPr>
            <w:r>
              <w:rPr>
                <w:rFonts w:hint="eastAsia"/>
              </w:rPr>
              <w:t>一级指标</w:t>
            </w:r>
          </w:p>
        </w:tc>
        <w:tc>
          <w:tcPr>
            <w:tcW w:w="754" w:type="dxa"/>
            <w:tcBorders>
              <w:top w:val="single" w:color="000000" w:sz="4" w:space="0"/>
              <w:left w:val="single" w:color="auto" w:sz="4" w:space="0"/>
              <w:bottom w:val="single" w:color="auto" w:sz="4" w:space="0"/>
              <w:right w:val="single" w:color="000000" w:sz="4" w:space="0"/>
            </w:tcBorders>
            <w:vAlign w:val="center"/>
          </w:tcPr>
          <w:p w14:paraId="752DADA8">
            <w:pPr>
              <w:pStyle w:val="12"/>
            </w:pPr>
            <w:r>
              <w:rPr>
                <w:rFonts w:hint="eastAsia"/>
              </w:rPr>
              <w:t>二级指标</w:t>
            </w:r>
          </w:p>
        </w:tc>
        <w:tc>
          <w:tcPr>
            <w:tcW w:w="1615" w:type="dxa"/>
            <w:tcBorders>
              <w:top w:val="single" w:color="000000" w:sz="4" w:space="0"/>
              <w:left w:val="single" w:color="000000" w:sz="4" w:space="0"/>
              <w:bottom w:val="single" w:color="000000" w:sz="4" w:space="0"/>
              <w:right w:val="single" w:color="000000" w:sz="4" w:space="0"/>
            </w:tcBorders>
            <w:vAlign w:val="center"/>
          </w:tcPr>
          <w:p w14:paraId="18BA37B7">
            <w:pPr>
              <w:pStyle w:val="12"/>
            </w:pPr>
            <w:r>
              <w:rPr>
                <w:rFonts w:hint="eastAsia"/>
              </w:rPr>
              <w:t>三级指标</w:t>
            </w:r>
          </w:p>
        </w:tc>
        <w:tc>
          <w:tcPr>
            <w:tcW w:w="3457" w:type="dxa"/>
            <w:tcBorders>
              <w:top w:val="single" w:color="000000" w:sz="4" w:space="0"/>
              <w:left w:val="single" w:color="000000" w:sz="4" w:space="0"/>
              <w:bottom w:val="single" w:color="000000" w:sz="4" w:space="0"/>
              <w:right w:val="single" w:color="000000" w:sz="4" w:space="0"/>
            </w:tcBorders>
            <w:vAlign w:val="center"/>
          </w:tcPr>
          <w:p w14:paraId="65E85C11">
            <w:pPr>
              <w:pStyle w:val="12"/>
            </w:pPr>
            <w:r>
              <w:rPr>
                <w:rFonts w:hint="eastAsia"/>
              </w:rPr>
              <w:t>四级指标</w:t>
            </w:r>
          </w:p>
        </w:tc>
        <w:tc>
          <w:tcPr>
            <w:tcW w:w="1543" w:type="dxa"/>
            <w:tcBorders>
              <w:top w:val="single" w:color="000000" w:sz="4" w:space="0"/>
              <w:left w:val="single" w:color="000000" w:sz="4" w:space="0"/>
              <w:bottom w:val="single" w:color="000000" w:sz="4" w:space="0"/>
              <w:right w:val="single" w:color="000000" w:sz="4" w:space="0"/>
            </w:tcBorders>
            <w:vAlign w:val="center"/>
          </w:tcPr>
          <w:p w14:paraId="6AA854B7">
            <w:pPr>
              <w:pStyle w:val="12"/>
            </w:pPr>
            <w:r>
              <w:rPr>
                <w:rFonts w:hint="eastAsia"/>
              </w:rPr>
              <w:t>目标值</w:t>
            </w:r>
          </w:p>
        </w:tc>
      </w:tr>
      <w:tr w14:paraId="47247E84">
        <w:tblPrEx>
          <w:tblCellMar>
            <w:top w:w="0" w:type="dxa"/>
            <w:left w:w="108" w:type="dxa"/>
            <w:bottom w:w="0" w:type="dxa"/>
            <w:right w:w="108" w:type="dxa"/>
          </w:tblCellMar>
        </w:tblPrEx>
        <w:trPr>
          <w:trHeight w:val="23" w:hRule="atLeast"/>
        </w:trPr>
        <w:tc>
          <w:tcPr>
            <w:tcW w:w="945" w:type="dxa"/>
            <w:vMerge w:val="restart"/>
            <w:tcBorders>
              <w:top w:val="single" w:color="auto" w:sz="4" w:space="0"/>
              <w:left w:val="single" w:color="000000" w:sz="4" w:space="0"/>
              <w:right w:val="single" w:color="auto" w:sz="4" w:space="0"/>
            </w:tcBorders>
            <w:vAlign w:val="center"/>
          </w:tcPr>
          <w:p w14:paraId="0CAB5DEC">
            <w:pPr>
              <w:pStyle w:val="12"/>
            </w:pPr>
            <w:r>
              <w:rPr>
                <w:rFonts w:hint="eastAsia"/>
              </w:rPr>
              <w:t>通用指标</w:t>
            </w:r>
          </w:p>
        </w:tc>
        <w:tc>
          <w:tcPr>
            <w:tcW w:w="754" w:type="dxa"/>
            <w:vMerge w:val="restart"/>
            <w:tcBorders>
              <w:top w:val="single" w:color="000000" w:sz="4" w:space="0"/>
              <w:left w:val="single" w:color="auto" w:sz="4" w:space="0"/>
              <w:right w:val="single" w:color="000000" w:sz="4" w:space="0"/>
            </w:tcBorders>
            <w:vAlign w:val="center"/>
          </w:tcPr>
          <w:p w14:paraId="50382A29">
            <w:pPr>
              <w:pStyle w:val="12"/>
            </w:pPr>
            <w:r>
              <w:rPr>
                <w:rFonts w:hint="eastAsia"/>
              </w:rPr>
              <w:t>产出指标</w:t>
            </w:r>
          </w:p>
        </w:tc>
        <w:tc>
          <w:tcPr>
            <w:tcW w:w="1615" w:type="dxa"/>
            <w:tcBorders>
              <w:top w:val="single" w:color="000000" w:sz="4" w:space="0"/>
              <w:left w:val="single" w:color="000000" w:sz="4" w:space="0"/>
              <w:right w:val="single" w:color="000000" w:sz="4" w:space="0"/>
            </w:tcBorders>
            <w:vAlign w:val="center"/>
          </w:tcPr>
          <w:p w14:paraId="3F69D5AE">
            <w:pPr>
              <w:pStyle w:val="12"/>
            </w:pPr>
            <w:r>
              <w:rPr>
                <w:rFonts w:hint="eastAsia"/>
              </w:rPr>
              <w:t>产出数量</w:t>
            </w:r>
          </w:p>
        </w:tc>
        <w:tc>
          <w:tcPr>
            <w:tcW w:w="3457" w:type="dxa"/>
            <w:tcBorders>
              <w:top w:val="single" w:color="000000" w:sz="4" w:space="0"/>
              <w:left w:val="single" w:color="000000" w:sz="4" w:space="0"/>
              <w:bottom w:val="single" w:color="000000" w:sz="4" w:space="0"/>
              <w:right w:val="single" w:color="000000" w:sz="4" w:space="0"/>
            </w:tcBorders>
            <w:vAlign w:val="center"/>
          </w:tcPr>
          <w:p w14:paraId="14D9C93E">
            <w:pPr>
              <w:pStyle w:val="12"/>
            </w:pPr>
            <w:r>
              <w:rPr>
                <w:rFonts w:hint="eastAsia"/>
              </w:rPr>
              <w:t>软件开发完成率</w:t>
            </w:r>
          </w:p>
        </w:tc>
        <w:tc>
          <w:tcPr>
            <w:tcW w:w="1543" w:type="dxa"/>
            <w:tcBorders>
              <w:top w:val="single" w:color="000000" w:sz="4" w:space="0"/>
              <w:left w:val="single" w:color="000000" w:sz="4" w:space="0"/>
              <w:bottom w:val="single" w:color="000000" w:sz="4" w:space="0"/>
              <w:right w:val="single" w:color="000000" w:sz="4" w:space="0"/>
            </w:tcBorders>
            <w:vAlign w:val="center"/>
          </w:tcPr>
          <w:p w14:paraId="040B925E">
            <w:pPr>
              <w:pStyle w:val="12"/>
            </w:pPr>
            <w:r>
              <w:rPr>
                <w:rFonts w:hint="eastAsia"/>
              </w:rPr>
              <w:t>=100</w:t>
            </w:r>
          </w:p>
        </w:tc>
      </w:tr>
      <w:tr w14:paraId="5BBC6F9D">
        <w:tblPrEx>
          <w:tblCellMar>
            <w:top w:w="0" w:type="dxa"/>
            <w:left w:w="108" w:type="dxa"/>
            <w:bottom w:w="0" w:type="dxa"/>
            <w:right w:w="108" w:type="dxa"/>
          </w:tblCellMar>
        </w:tblPrEx>
        <w:trPr>
          <w:trHeight w:val="23" w:hRule="atLeast"/>
        </w:trPr>
        <w:tc>
          <w:tcPr>
            <w:tcW w:w="945" w:type="dxa"/>
            <w:vMerge w:val="restart"/>
            <w:tcBorders>
              <w:left w:val="single" w:color="000000" w:sz="4" w:space="0"/>
              <w:bottom w:val="single" w:color="auto" w:sz="4" w:space="0"/>
              <w:right w:val="single" w:color="auto" w:sz="4" w:space="0"/>
            </w:tcBorders>
            <w:vAlign w:val="center"/>
          </w:tcPr>
          <w:p w14:paraId="4179895B">
            <w:pPr>
              <w:pStyle w:val="12"/>
            </w:pPr>
            <w:r>
              <w:rPr>
                <w:rFonts w:hint="eastAsia"/>
              </w:rPr>
              <w:t>通用指标</w:t>
            </w:r>
          </w:p>
        </w:tc>
        <w:tc>
          <w:tcPr>
            <w:tcW w:w="754" w:type="dxa"/>
            <w:vMerge w:val="restart"/>
            <w:tcBorders>
              <w:top w:val="single" w:color="000000" w:sz="4" w:space="0"/>
              <w:left w:val="single" w:color="auto" w:sz="4" w:space="0"/>
              <w:right w:val="single" w:color="000000" w:sz="4" w:space="0"/>
            </w:tcBorders>
            <w:vAlign w:val="center"/>
          </w:tcPr>
          <w:p w14:paraId="7E8736C2">
            <w:pPr>
              <w:pStyle w:val="12"/>
            </w:pPr>
            <w:r>
              <w:rPr>
                <w:rFonts w:hint="eastAsia"/>
              </w:rPr>
              <w:t>产出指标</w:t>
            </w:r>
          </w:p>
        </w:tc>
        <w:tc>
          <w:tcPr>
            <w:tcW w:w="1615" w:type="dxa"/>
            <w:vMerge w:val="restart"/>
            <w:tcBorders>
              <w:top w:val="single" w:color="000000" w:sz="4" w:space="0"/>
              <w:left w:val="single" w:color="000000" w:sz="4" w:space="0"/>
              <w:right w:val="single" w:color="000000" w:sz="4" w:space="0"/>
            </w:tcBorders>
            <w:vAlign w:val="center"/>
          </w:tcPr>
          <w:p w14:paraId="5069C394">
            <w:pPr>
              <w:pStyle w:val="12"/>
            </w:pPr>
            <w:r>
              <w:rPr>
                <w:rFonts w:hint="eastAsia"/>
              </w:rPr>
              <w:t>产出质量</w:t>
            </w:r>
          </w:p>
        </w:tc>
        <w:tc>
          <w:tcPr>
            <w:tcW w:w="3457" w:type="dxa"/>
            <w:tcBorders>
              <w:top w:val="single" w:color="000000" w:sz="4" w:space="0"/>
              <w:left w:val="single" w:color="000000" w:sz="4" w:space="0"/>
              <w:bottom w:val="single" w:color="000000" w:sz="4" w:space="0"/>
              <w:right w:val="single" w:color="000000" w:sz="4" w:space="0"/>
            </w:tcBorders>
            <w:vAlign w:val="center"/>
          </w:tcPr>
          <w:p w14:paraId="5CB8D316">
            <w:pPr>
              <w:pStyle w:val="12"/>
            </w:pPr>
            <w:r>
              <w:rPr>
                <w:rFonts w:hint="eastAsia"/>
              </w:rPr>
              <w:t>密码测试达标</w:t>
            </w:r>
          </w:p>
        </w:tc>
        <w:tc>
          <w:tcPr>
            <w:tcW w:w="1543" w:type="dxa"/>
            <w:tcBorders>
              <w:top w:val="single" w:color="000000" w:sz="4" w:space="0"/>
              <w:left w:val="single" w:color="000000" w:sz="4" w:space="0"/>
              <w:bottom w:val="single" w:color="000000" w:sz="4" w:space="0"/>
              <w:right w:val="single" w:color="000000" w:sz="4" w:space="0"/>
            </w:tcBorders>
            <w:vAlign w:val="center"/>
          </w:tcPr>
          <w:p w14:paraId="31191403">
            <w:pPr>
              <w:pStyle w:val="12"/>
            </w:pPr>
            <w:r>
              <w:rPr>
                <w:rFonts w:hint="eastAsia"/>
              </w:rPr>
              <w:t>达标</w:t>
            </w:r>
          </w:p>
        </w:tc>
      </w:tr>
      <w:tr w14:paraId="2897E8F5">
        <w:tblPrEx>
          <w:tblCellMar>
            <w:top w:w="0" w:type="dxa"/>
            <w:left w:w="108" w:type="dxa"/>
            <w:bottom w:w="0" w:type="dxa"/>
            <w:right w:w="108" w:type="dxa"/>
          </w:tblCellMar>
        </w:tblPrEx>
        <w:trPr>
          <w:trHeight w:val="23" w:hRule="atLeast"/>
        </w:trPr>
        <w:tc>
          <w:tcPr>
            <w:tcW w:w="945" w:type="dxa"/>
            <w:vMerge w:val="restart"/>
            <w:tcBorders>
              <w:left w:val="single" w:color="000000" w:sz="4" w:space="0"/>
              <w:bottom w:val="single" w:color="auto" w:sz="4" w:space="0"/>
              <w:right w:val="single" w:color="auto" w:sz="4" w:space="0"/>
            </w:tcBorders>
            <w:vAlign w:val="center"/>
          </w:tcPr>
          <w:p w14:paraId="58DA6155">
            <w:pPr>
              <w:pStyle w:val="12"/>
            </w:pPr>
            <w:r>
              <w:rPr>
                <w:rFonts w:hint="eastAsia"/>
              </w:rPr>
              <w:t>通用指标</w:t>
            </w:r>
          </w:p>
        </w:tc>
        <w:tc>
          <w:tcPr>
            <w:tcW w:w="754" w:type="dxa"/>
            <w:vMerge w:val="restart"/>
            <w:tcBorders>
              <w:top w:val="single" w:color="000000" w:sz="4" w:space="0"/>
              <w:left w:val="single" w:color="auto" w:sz="4" w:space="0"/>
              <w:right w:val="single" w:color="000000" w:sz="4" w:space="0"/>
            </w:tcBorders>
            <w:vAlign w:val="center"/>
          </w:tcPr>
          <w:p w14:paraId="7D8DC694">
            <w:pPr>
              <w:pStyle w:val="12"/>
            </w:pPr>
            <w:r>
              <w:rPr>
                <w:rFonts w:hint="eastAsia"/>
              </w:rPr>
              <w:t>产出指标</w:t>
            </w:r>
          </w:p>
        </w:tc>
        <w:tc>
          <w:tcPr>
            <w:tcW w:w="1615" w:type="dxa"/>
            <w:vMerge w:val="restart"/>
            <w:tcBorders>
              <w:top w:val="single" w:color="000000" w:sz="4" w:space="0"/>
              <w:left w:val="single" w:color="000000" w:sz="4" w:space="0"/>
              <w:right w:val="single" w:color="000000" w:sz="4" w:space="0"/>
            </w:tcBorders>
            <w:vAlign w:val="center"/>
          </w:tcPr>
          <w:p w14:paraId="21C49AE5">
            <w:pPr>
              <w:pStyle w:val="12"/>
            </w:pPr>
            <w:r>
              <w:rPr>
                <w:rFonts w:hint="eastAsia"/>
              </w:rPr>
              <w:t>产出质量</w:t>
            </w:r>
          </w:p>
        </w:tc>
        <w:tc>
          <w:tcPr>
            <w:tcW w:w="3457" w:type="dxa"/>
            <w:tcBorders>
              <w:top w:val="single" w:color="000000" w:sz="4" w:space="0"/>
              <w:left w:val="single" w:color="000000" w:sz="4" w:space="0"/>
              <w:bottom w:val="single" w:color="000000" w:sz="4" w:space="0"/>
              <w:right w:val="single" w:color="000000" w:sz="4" w:space="0"/>
            </w:tcBorders>
            <w:vAlign w:val="center"/>
          </w:tcPr>
          <w:p w14:paraId="750F69CA">
            <w:pPr>
              <w:pStyle w:val="12"/>
            </w:pPr>
            <w:r>
              <w:rPr>
                <w:rFonts w:hint="eastAsia"/>
              </w:rPr>
              <w:t>安全事件发生次数</w:t>
            </w:r>
          </w:p>
        </w:tc>
        <w:tc>
          <w:tcPr>
            <w:tcW w:w="1543" w:type="dxa"/>
            <w:tcBorders>
              <w:top w:val="single" w:color="000000" w:sz="4" w:space="0"/>
              <w:left w:val="single" w:color="000000" w:sz="4" w:space="0"/>
              <w:bottom w:val="single" w:color="000000" w:sz="4" w:space="0"/>
              <w:right w:val="single" w:color="000000" w:sz="4" w:space="0"/>
            </w:tcBorders>
            <w:vAlign w:val="center"/>
          </w:tcPr>
          <w:p w14:paraId="1E9EDA3B">
            <w:pPr>
              <w:pStyle w:val="12"/>
            </w:pPr>
            <w:r>
              <w:rPr>
                <w:rFonts w:hint="eastAsia"/>
              </w:rPr>
              <w:t>0</w:t>
            </w:r>
          </w:p>
        </w:tc>
      </w:tr>
      <w:tr w14:paraId="68CDC286">
        <w:tblPrEx>
          <w:tblCellMar>
            <w:top w:w="0" w:type="dxa"/>
            <w:left w:w="108" w:type="dxa"/>
            <w:bottom w:w="0" w:type="dxa"/>
            <w:right w:w="108" w:type="dxa"/>
          </w:tblCellMar>
        </w:tblPrEx>
        <w:trPr>
          <w:trHeight w:val="23" w:hRule="atLeast"/>
        </w:trPr>
        <w:tc>
          <w:tcPr>
            <w:tcW w:w="945" w:type="dxa"/>
            <w:vMerge w:val="restart"/>
            <w:tcBorders>
              <w:left w:val="single" w:color="000000" w:sz="4" w:space="0"/>
              <w:bottom w:val="single" w:color="auto" w:sz="4" w:space="0"/>
              <w:right w:val="single" w:color="auto" w:sz="4" w:space="0"/>
            </w:tcBorders>
            <w:vAlign w:val="center"/>
          </w:tcPr>
          <w:p w14:paraId="2F0BCBB0">
            <w:pPr>
              <w:pStyle w:val="12"/>
            </w:pPr>
            <w:r>
              <w:rPr>
                <w:rFonts w:hint="eastAsia"/>
              </w:rPr>
              <w:t>通用指标</w:t>
            </w:r>
          </w:p>
        </w:tc>
        <w:tc>
          <w:tcPr>
            <w:tcW w:w="754" w:type="dxa"/>
            <w:vMerge w:val="restart"/>
            <w:tcBorders>
              <w:top w:val="single" w:color="000000" w:sz="4" w:space="0"/>
              <w:left w:val="single" w:color="auto" w:sz="4" w:space="0"/>
              <w:right w:val="single" w:color="000000" w:sz="4" w:space="0"/>
            </w:tcBorders>
            <w:vAlign w:val="center"/>
          </w:tcPr>
          <w:p w14:paraId="47D6992F">
            <w:pPr>
              <w:pStyle w:val="12"/>
            </w:pPr>
            <w:r>
              <w:rPr>
                <w:rFonts w:hint="eastAsia"/>
              </w:rPr>
              <w:t>产出指标</w:t>
            </w:r>
          </w:p>
        </w:tc>
        <w:tc>
          <w:tcPr>
            <w:tcW w:w="1615" w:type="dxa"/>
            <w:vMerge w:val="restart"/>
            <w:tcBorders>
              <w:top w:val="single" w:color="000000" w:sz="4" w:space="0"/>
              <w:left w:val="single" w:color="000000" w:sz="4" w:space="0"/>
              <w:right w:val="single" w:color="000000" w:sz="4" w:space="0"/>
            </w:tcBorders>
            <w:vAlign w:val="center"/>
          </w:tcPr>
          <w:p w14:paraId="4E2DEEC3">
            <w:pPr>
              <w:pStyle w:val="12"/>
            </w:pPr>
            <w:r>
              <w:rPr>
                <w:rFonts w:hint="eastAsia"/>
              </w:rPr>
              <w:t>产出质量</w:t>
            </w:r>
          </w:p>
        </w:tc>
        <w:tc>
          <w:tcPr>
            <w:tcW w:w="3457" w:type="dxa"/>
            <w:tcBorders>
              <w:top w:val="single" w:color="000000" w:sz="4" w:space="0"/>
              <w:left w:val="single" w:color="000000" w:sz="4" w:space="0"/>
              <w:bottom w:val="single" w:color="000000" w:sz="4" w:space="0"/>
              <w:right w:val="single" w:color="000000" w:sz="4" w:space="0"/>
            </w:tcBorders>
            <w:vAlign w:val="center"/>
          </w:tcPr>
          <w:p w14:paraId="603217DE">
            <w:pPr>
              <w:pStyle w:val="12"/>
            </w:pPr>
            <w:r>
              <w:rPr>
                <w:rFonts w:hint="eastAsia"/>
              </w:rPr>
              <w:t>软件测试达标</w:t>
            </w:r>
          </w:p>
        </w:tc>
        <w:tc>
          <w:tcPr>
            <w:tcW w:w="1543" w:type="dxa"/>
            <w:tcBorders>
              <w:top w:val="single" w:color="000000" w:sz="4" w:space="0"/>
              <w:left w:val="single" w:color="000000" w:sz="4" w:space="0"/>
              <w:bottom w:val="single" w:color="000000" w:sz="4" w:space="0"/>
              <w:right w:val="single" w:color="000000" w:sz="4" w:space="0"/>
            </w:tcBorders>
            <w:vAlign w:val="center"/>
          </w:tcPr>
          <w:p w14:paraId="7F87CC6B">
            <w:pPr>
              <w:pStyle w:val="12"/>
            </w:pPr>
            <w:r>
              <w:rPr>
                <w:rFonts w:hint="eastAsia"/>
              </w:rPr>
              <w:t>达标</w:t>
            </w:r>
          </w:p>
        </w:tc>
      </w:tr>
      <w:tr w14:paraId="310670F9">
        <w:tblPrEx>
          <w:tblCellMar>
            <w:top w:w="0" w:type="dxa"/>
            <w:left w:w="108" w:type="dxa"/>
            <w:bottom w:w="0" w:type="dxa"/>
            <w:right w:w="108" w:type="dxa"/>
          </w:tblCellMar>
        </w:tblPrEx>
        <w:trPr>
          <w:trHeight w:val="23" w:hRule="atLeast"/>
        </w:trPr>
        <w:tc>
          <w:tcPr>
            <w:tcW w:w="945" w:type="dxa"/>
            <w:vMerge w:val="restart"/>
            <w:tcBorders>
              <w:left w:val="single" w:color="000000" w:sz="4" w:space="0"/>
              <w:bottom w:val="single" w:color="auto" w:sz="4" w:space="0"/>
              <w:right w:val="single" w:color="auto" w:sz="4" w:space="0"/>
            </w:tcBorders>
            <w:vAlign w:val="center"/>
          </w:tcPr>
          <w:p w14:paraId="4BC2B8C5">
            <w:pPr>
              <w:pStyle w:val="12"/>
            </w:pPr>
            <w:r>
              <w:rPr>
                <w:rFonts w:hint="eastAsia"/>
              </w:rPr>
              <w:t>通用指标</w:t>
            </w:r>
          </w:p>
        </w:tc>
        <w:tc>
          <w:tcPr>
            <w:tcW w:w="754" w:type="dxa"/>
            <w:vMerge w:val="restart"/>
            <w:tcBorders>
              <w:top w:val="single" w:color="000000" w:sz="4" w:space="0"/>
              <w:left w:val="single" w:color="auto" w:sz="4" w:space="0"/>
              <w:right w:val="single" w:color="000000" w:sz="4" w:space="0"/>
            </w:tcBorders>
            <w:vAlign w:val="center"/>
          </w:tcPr>
          <w:p w14:paraId="6DEDC2E6">
            <w:pPr>
              <w:pStyle w:val="12"/>
            </w:pPr>
            <w:r>
              <w:rPr>
                <w:rFonts w:hint="eastAsia"/>
              </w:rPr>
              <w:t>产出指标</w:t>
            </w:r>
          </w:p>
        </w:tc>
        <w:tc>
          <w:tcPr>
            <w:tcW w:w="1615" w:type="dxa"/>
            <w:vMerge w:val="restart"/>
            <w:tcBorders>
              <w:top w:val="single" w:color="000000" w:sz="4" w:space="0"/>
              <w:left w:val="single" w:color="000000" w:sz="4" w:space="0"/>
              <w:right w:val="single" w:color="000000" w:sz="4" w:space="0"/>
            </w:tcBorders>
            <w:vAlign w:val="center"/>
          </w:tcPr>
          <w:p w14:paraId="7A153FBD">
            <w:pPr>
              <w:pStyle w:val="12"/>
            </w:pPr>
            <w:r>
              <w:rPr>
                <w:rFonts w:hint="eastAsia"/>
              </w:rPr>
              <w:t>产出质量</w:t>
            </w:r>
          </w:p>
        </w:tc>
        <w:tc>
          <w:tcPr>
            <w:tcW w:w="3457" w:type="dxa"/>
            <w:tcBorders>
              <w:top w:val="single" w:color="000000" w:sz="4" w:space="0"/>
              <w:left w:val="single" w:color="000000" w:sz="4" w:space="0"/>
              <w:bottom w:val="single" w:color="000000" w:sz="4" w:space="0"/>
              <w:right w:val="single" w:color="000000" w:sz="4" w:space="0"/>
            </w:tcBorders>
            <w:vAlign w:val="center"/>
          </w:tcPr>
          <w:p w14:paraId="0F730EC8">
            <w:pPr>
              <w:pStyle w:val="12"/>
            </w:pPr>
            <w:r>
              <w:rPr>
                <w:rFonts w:hint="eastAsia"/>
              </w:rPr>
              <w:t>安全测试达标</w:t>
            </w:r>
          </w:p>
        </w:tc>
        <w:tc>
          <w:tcPr>
            <w:tcW w:w="1543" w:type="dxa"/>
            <w:tcBorders>
              <w:top w:val="single" w:color="000000" w:sz="4" w:space="0"/>
              <w:left w:val="single" w:color="000000" w:sz="4" w:space="0"/>
              <w:bottom w:val="single" w:color="000000" w:sz="4" w:space="0"/>
              <w:right w:val="single" w:color="000000" w:sz="4" w:space="0"/>
            </w:tcBorders>
            <w:vAlign w:val="center"/>
          </w:tcPr>
          <w:p w14:paraId="5E80E098">
            <w:pPr>
              <w:pStyle w:val="12"/>
            </w:pPr>
            <w:r>
              <w:rPr>
                <w:rFonts w:hint="eastAsia"/>
              </w:rPr>
              <w:t>达标</w:t>
            </w:r>
          </w:p>
        </w:tc>
      </w:tr>
      <w:tr w14:paraId="081A393D">
        <w:tblPrEx>
          <w:tblCellMar>
            <w:top w:w="0" w:type="dxa"/>
            <w:left w:w="108" w:type="dxa"/>
            <w:bottom w:w="0" w:type="dxa"/>
            <w:right w:w="108" w:type="dxa"/>
          </w:tblCellMar>
        </w:tblPrEx>
        <w:trPr>
          <w:trHeight w:val="23" w:hRule="atLeast"/>
        </w:trPr>
        <w:tc>
          <w:tcPr>
            <w:tcW w:w="945" w:type="dxa"/>
            <w:vMerge w:val="restart"/>
            <w:tcBorders>
              <w:left w:val="single" w:color="000000" w:sz="4" w:space="0"/>
              <w:bottom w:val="single" w:color="auto" w:sz="4" w:space="0"/>
              <w:right w:val="single" w:color="auto" w:sz="4" w:space="0"/>
            </w:tcBorders>
            <w:vAlign w:val="center"/>
          </w:tcPr>
          <w:p w14:paraId="26BA1005">
            <w:pPr>
              <w:pStyle w:val="12"/>
            </w:pPr>
            <w:r>
              <w:rPr>
                <w:rFonts w:hint="eastAsia"/>
              </w:rPr>
              <w:t>通用指标</w:t>
            </w:r>
          </w:p>
        </w:tc>
        <w:tc>
          <w:tcPr>
            <w:tcW w:w="754" w:type="dxa"/>
            <w:vMerge w:val="restart"/>
            <w:tcBorders>
              <w:top w:val="single" w:color="000000" w:sz="4" w:space="0"/>
              <w:left w:val="single" w:color="auto" w:sz="4" w:space="0"/>
              <w:right w:val="single" w:color="000000" w:sz="4" w:space="0"/>
            </w:tcBorders>
            <w:vAlign w:val="center"/>
          </w:tcPr>
          <w:p w14:paraId="69923F18">
            <w:pPr>
              <w:pStyle w:val="12"/>
            </w:pPr>
            <w:r>
              <w:rPr>
                <w:rFonts w:hint="eastAsia"/>
              </w:rPr>
              <w:t>产出指标</w:t>
            </w:r>
          </w:p>
        </w:tc>
        <w:tc>
          <w:tcPr>
            <w:tcW w:w="1615" w:type="dxa"/>
            <w:vMerge w:val="restart"/>
            <w:tcBorders>
              <w:top w:val="single" w:color="000000" w:sz="4" w:space="0"/>
              <w:left w:val="single" w:color="000000" w:sz="4" w:space="0"/>
              <w:right w:val="single" w:color="000000" w:sz="4" w:space="0"/>
            </w:tcBorders>
            <w:vAlign w:val="center"/>
          </w:tcPr>
          <w:p w14:paraId="3D3396B3">
            <w:pPr>
              <w:pStyle w:val="12"/>
            </w:pPr>
            <w:r>
              <w:rPr>
                <w:rFonts w:hint="eastAsia"/>
              </w:rPr>
              <w:t>产出质量</w:t>
            </w:r>
          </w:p>
        </w:tc>
        <w:tc>
          <w:tcPr>
            <w:tcW w:w="3457" w:type="dxa"/>
            <w:tcBorders>
              <w:top w:val="single" w:color="000000" w:sz="4" w:space="0"/>
              <w:left w:val="single" w:color="000000" w:sz="4" w:space="0"/>
              <w:bottom w:val="single" w:color="000000" w:sz="4" w:space="0"/>
              <w:right w:val="single" w:color="000000" w:sz="4" w:space="0"/>
            </w:tcBorders>
            <w:vAlign w:val="center"/>
          </w:tcPr>
          <w:p w14:paraId="61EB88B0">
            <w:pPr>
              <w:pStyle w:val="12"/>
            </w:pPr>
            <w:r>
              <w:rPr>
                <w:rFonts w:hint="eastAsia"/>
              </w:rPr>
              <w:t>网络安全等级保护</w:t>
            </w:r>
          </w:p>
        </w:tc>
        <w:tc>
          <w:tcPr>
            <w:tcW w:w="1543" w:type="dxa"/>
            <w:tcBorders>
              <w:top w:val="single" w:color="000000" w:sz="4" w:space="0"/>
              <w:left w:val="single" w:color="000000" w:sz="4" w:space="0"/>
              <w:bottom w:val="single" w:color="000000" w:sz="4" w:space="0"/>
              <w:right w:val="single" w:color="000000" w:sz="4" w:space="0"/>
            </w:tcBorders>
            <w:vAlign w:val="center"/>
          </w:tcPr>
          <w:p w14:paraId="238FECE6">
            <w:pPr>
              <w:pStyle w:val="12"/>
            </w:pPr>
            <w:r>
              <w:rPr>
                <w:rFonts w:hint="eastAsia"/>
              </w:rPr>
              <w:t>达标</w:t>
            </w:r>
          </w:p>
        </w:tc>
      </w:tr>
      <w:tr w14:paraId="0C569041">
        <w:tblPrEx>
          <w:tblCellMar>
            <w:top w:w="0" w:type="dxa"/>
            <w:left w:w="108" w:type="dxa"/>
            <w:bottom w:w="0" w:type="dxa"/>
            <w:right w:w="108" w:type="dxa"/>
          </w:tblCellMar>
        </w:tblPrEx>
        <w:trPr>
          <w:trHeight w:val="23" w:hRule="atLeast"/>
        </w:trPr>
        <w:tc>
          <w:tcPr>
            <w:tcW w:w="945" w:type="dxa"/>
            <w:vMerge w:val="restart"/>
            <w:tcBorders>
              <w:left w:val="single" w:color="000000" w:sz="4" w:space="0"/>
              <w:bottom w:val="single" w:color="auto" w:sz="4" w:space="0"/>
              <w:right w:val="single" w:color="auto" w:sz="4" w:space="0"/>
            </w:tcBorders>
            <w:vAlign w:val="center"/>
          </w:tcPr>
          <w:p w14:paraId="7A3145D7">
            <w:pPr>
              <w:pStyle w:val="12"/>
            </w:pPr>
            <w:r>
              <w:rPr>
                <w:rFonts w:hint="eastAsia"/>
              </w:rPr>
              <w:t>通用指标</w:t>
            </w:r>
          </w:p>
        </w:tc>
        <w:tc>
          <w:tcPr>
            <w:tcW w:w="754" w:type="dxa"/>
            <w:vMerge w:val="restart"/>
            <w:tcBorders>
              <w:top w:val="single" w:color="000000" w:sz="4" w:space="0"/>
              <w:left w:val="single" w:color="auto" w:sz="4" w:space="0"/>
              <w:right w:val="single" w:color="000000" w:sz="4" w:space="0"/>
            </w:tcBorders>
            <w:vAlign w:val="center"/>
          </w:tcPr>
          <w:p w14:paraId="1AA40D3E">
            <w:pPr>
              <w:pStyle w:val="12"/>
            </w:pPr>
            <w:r>
              <w:rPr>
                <w:rFonts w:hint="eastAsia"/>
              </w:rPr>
              <w:t>产出指标</w:t>
            </w:r>
          </w:p>
        </w:tc>
        <w:tc>
          <w:tcPr>
            <w:tcW w:w="1615" w:type="dxa"/>
            <w:vMerge w:val="restart"/>
            <w:tcBorders>
              <w:top w:val="single" w:color="000000" w:sz="4" w:space="0"/>
              <w:left w:val="single" w:color="000000" w:sz="4" w:space="0"/>
              <w:right w:val="single" w:color="000000" w:sz="4" w:space="0"/>
            </w:tcBorders>
            <w:vAlign w:val="center"/>
          </w:tcPr>
          <w:p w14:paraId="2D6B2AA1">
            <w:pPr>
              <w:pStyle w:val="12"/>
            </w:pPr>
            <w:r>
              <w:rPr>
                <w:rFonts w:hint="eastAsia"/>
              </w:rPr>
              <w:t>产出质量</w:t>
            </w:r>
          </w:p>
        </w:tc>
        <w:tc>
          <w:tcPr>
            <w:tcW w:w="3457" w:type="dxa"/>
            <w:tcBorders>
              <w:top w:val="single" w:color="000000" w:sz="4" w:space="0"/>
              <w:left w:val="single" w:color="000000" w:sz="4" w:space="0"/>
              <w:bottom w:val="single" w:color="000000" w:sz="4" w:space="0"/>
              <w:right w:val="single" w:color="000000" w:sz="4" w:space="0"/>
            </w:tcBorders>
            <w:vAlign w:val="center"/>
          </w:tcPr>
          <w:p w14:paraId="740EC2FA">
            <w:pPr>
              <w:pStyle w:val="12"/>
            </w:pPr>
            <w:r>
              <w:rPr>
                <w:rFonts w:hint="eastAsia"/>
              </w:rPr>
              <w:t>一次性验收合格率</w:t>
            </w:r>
          </w:p>
        </w:tc>
        <w:tc>
          <w:tcPr>
            <w:tcW w:w="1543" w:type="dxa"/>
            <w:tcBorders>
              <w:top w:val="single" w:color="000000" w:sz="4" w:space="0"/>
              <w:left w:val="single" w:color="000000" w:sz="4" w:space="0"/>
              <w:bottom w:val="single" w:color="000000" w:sz="4" w:space="0"/>
              <w:right w:val="single" w:color="000000" w:sz="4" w:space="0"/>
            </w:tcBorders>
            <w:vAlign w:val="center"/>
          </w:tcPr>
          <w:p w14:paraId="71A0C14C">
            <w:pPr>
              <w:pStyle w:val="12"/>
            </w:pPr>
            <w:r>
              <w:rPr>
                <w:rFonts w:hint="eastAsia"/>
              </w:rPr>
              <w:t>=100</w:t>
            </w:r>
          </w:p>
        </w:tc>
      </w:tr>
      <w:tr w14:paraId="450E0117">
        <w:tblPrEx>
          <w:tblCellMar>
            <w:top w:w="0" w:type="dxa"/>
            <w:left w:w="108" w:type="dxa"/>
            <w:bottom w:w="0" w:type="dxa"/>
            <w:right w:w="108" w:type="dxa"/>
          </w:tblCellMar>
        </w:tblPrEx>
        <w:trPr>
          <w:trHeight w:val="23" w:hRule="atLeast"/>
        </w:trPr>
        <w:tc>
          <w:tcPr>
            <w:tcW w:w="945" w:type="dxa"/>
            <w:vMerge w:val="restart"/>
            <w:tcBorders>
              <w:left w:val="single" w:color="000000" w:sz="4" w:space="0"/>
              <w:bottom w:val="single" w:color="auto" w:sz="4" w:space="0"/>
              <w:right w:val="single" w:color="auto" w:sz="4" w:space="0"/>
            </w:tcBorders>
            <w:vAlign w:val="center"/>
          </w:tcPr>
          <w:p w14:paraId="44142E23">
            <w:pPr>
              <w:pStyle w:val="12"/>
            </w:pPr>
            <w:r>
              <w:rPr>
                <w:rFonts w:hint="eastAsia"/>
              </w:rPr>
              <w:t>通用指标</w:t>
            </w:r>
          </w:p>
        </w:tc>
        <w:tc>
          <w:tcPr>
            <w:tcW w:w="754" w:type="dxa"/>
            <w:vMerge w:val="restart"/>
            <w:tcBorders>
              <w:top w:val="single" w:color="000000" w:sz="4" w:space="0"/>
              <w:left w:val="single" w:color="auto" w:sz="4" w:space="0"/>
              <w:right w:val="single" w:color="000000" w:sz="4" w:space="0"/>
            </w:tcBorders>
            <w:vAlign w:val="center"/>
          </w:tcPr>
          <w:p w14:paraId="28CC85CD">
            <w:pPr>
              <w:pStyle w:val="12"/>
            </w:pPr>
            <w:r>
              <w:rPr>
                <w:rFonts w:hint="eastAsia"/>
              </w:rPr>
              <w:t>产出指标</w:t>
            </w:r>
          </w:p>
        </w:tc>
        <w:tc>
          <w:tcPr>
            <w:tcW w:w="1615" w:type="dxa"/>
            <w:tcBorders>
              <w:left w:val="single" w:color="000000" w:sz="4" w:space="0"/>
              <w:bottom w:val="single" w:color="000000" w:sz="4" w:space="0"/>
              <w:right w:val="single" w:color="000000" w:sz="4" w:space="0"/>
            </w:tcBorders>
            <w:vAlign w:val="center"/>
          </w:tcPr>
          <w:p w14:paraId="17A1E4A8">
            <w:pPr>
              <w:pStyle w:val="12"/>
            </w:pPr>
            <w:r>
              <w:rPr>
                <w:rFonts w:hint="eastAsia"/>
              </w:rPr>
              <w:t>产出质量</w:t>
            </w:r>
          </w:p>
        </w:tc>
        <w:tc>
          <w:tcPr>
            <w:tcW w:w="3457" w:type="dxa"/>
            <w:tcBorders>
              <w:top w:val="single" w:color="000000" w:sz="4" w:space="0"/>
              <w:left w:val="single" w:color="000000" w:sz="4" w:space="0"/>
              <w:bottom w:val="single" w:color="000000" w:sz="4" w:space="0"/>
              <w:right w:val="single" w:color="000000" w:sz="4" w:space="0"/>
            </w:tcBorders>
            <w:vAlign w:val="center"/>
          </w:tcPr>
          <w:p w14:paraId="13C82B19">
            <w:pPr>
              <w:pStyle w:val="12"/>
            </w:pPr>
            <w:r>
              <w:rPr>
                <w:rFonts w:hint="eastAsia"/>
              </w:rPr>
              <w:t>系统可靠性</w:t>
            </w:r>
          </w:p>
        </w:tc>
        <w:tc>
          <w:tcPr>
            <w:tcW w:w="1543" w:type="dxa"/>
            <w:tcBorders>
              <w:top w:val="single" w:color="000000" w:sz="4" w:space="0"/>
              <w:left w:val="single" w:color="000000" w:sz="4" w:space="0"/>
              <w:bottom w:val="single" w:color="000000" w:sz="4" w:space="0"/>
              <w:right w:val="single" w:color="000000" w:sz="4" w:space="0"/>
            </w:tcBorders>
            <w:vAlign w:val="center"/>
          </w:tcPr>
          <w:p w14:paraId="1523393A">
            <w:pPr>
              <w:pStyle w:val="12"/>
              <w:rPr>
                <w:rFonts w:eastAsia="仿宋"/>
              </w:rPr>
            </w:pPr>
            <w:r>
              <w:rPr>
                <w:rFonts w:hint="eastAsia"/>
              </w:rPr>
              <w:t>≥99.99</w:t>
            </w:r>
          </w:p>
        </w:tc>
      </w:tr>
      <w:tr w14:paraId="53CD447C">
        <w:tblPrEx>
          <w:tblCellMar>
            <w:top w:w="0" w:type="dxa"/>
            <w:left w:w="108" w:type="dxa"/>
            <w:bottom w:w="0" w:type="dxa"/>
            <w:right w:w="108" w:type="dxa"/>
          </w:tblCellMar>
        </w:tblPrEx>
        <w:trPr>
          <w:trHeight w:val="23" w:hRule="atLeast"/>
        </w:trPr>
        <w:tc>
          <w:tcPr>
            <w:tcW w:w="945" w:type="dxa"/>
            <w:vMerge w:val="restart"/>
            <w:tcBorders>
              <w:left w:val="single" w:color="000000" w:sz="4" w:space="0"/>
              <w:bottom w:val="single" w:color="auto" w:sz="4" w:space="0"/>
              <w:right w:val="single" w:color="auto" w:sz="4" w:space="0"/>
            </w:tcBorders>
            <w:vAlign w:val="center"/>
          </w:tcPr>
          <w:p w14:paraId="799AE160">
            <w:pPr>
              <w:pStyle w:val="12"/>
            </w:pPr>
            <w:r>
              <w:rPr>
                <w:rFonts w:hint="eastAsia"/>
              </w:rPr>
              <w:t>通用指标</w:t>
            </w:r>
          </w:p>
        </w:tc>
        <w:tc>
          <w:tcPr>
            <w:tcW w:w="754" w:type="dxa"/>
            <w:tcBorders>
              <w:left w:val="single" w:color="auto" w:sz="4" w:space="0"/>
              <w:bottom w:val="single" w:color="000000" w:sz="4" w:space="0"/>
              <w:right w:val="single" w:color="000000" w:sz="4" w:space="0"/>
            </w:tcBorders>
            <w:vAlign w:val="center"/>
          </w:tcPr>
          <w:p w14:paraId="3A5C10BD">
            <w:pPr>
              <w:pStyle w:val="12"/>
            </w:pPr>
            <w:r>
              <w:rPr>
                <w:rFonts w:hint="eastAsia"/>
              </w:rPr>
              <w:t>产出指标</w:t>
            </w:r>
          </w:p>
        </w:tc>
        <w:tc>
          <w:tcPr>
            <w:tcW w:w="1615" w:type="dxa"/>
            <w:tcBorders>
              <w:top w:val="single" w:color="000000" w:sz="4" w:space="0"/>
              <w:left w:val="single" w:color="000000" w:sz="4" w:space="0"/>
              <w:bottom w:val="single" w:color="000000" w:sz="4" w:space="0"/>
              <w:right w:val="single" w:color="000000" w:sz="4" w:space="0"/>
            </w:tcBorders>
            <w:vAlign w:val="center"/>
          </w:tcPr>
          <w:p w14:paraId="15E8B45D">
            <w:pPr>
              <w:pStyle w:val="12"/>
            </w:pPr>
            <w:r>
              <w:rPr>
                <w:rFonts w:hint="eastAsia"/>
              </w:rPr>
              <w:t>产出时效</w:t>
            </w:r>
          </w:p>
        </w:tc>
        <w:tc>
          <w:tcPr>
            <w:tcW w:w="3457" w:type="dxa"/>
            <w:tcBorders>
              <w:top w:val="single" w:color="000000" w:sz="4" w:space="0"/>
              <w:left w:val="single" w:color="000000" w:sz="4" w:space="0"/>
              <w:bottom w:val="single" w:color="000000" w:sz="4" w:space="0"/>
              <w:right w:val="single" w:color="000000" w:sz="4" w:space="0"/>
            </w:tcBorders>
            <w:vAlign w:val="center"/>
          </w:tcPr>
          <w:p w14:paraId="30BDAFAB">
            <w:pPr>
              <w:pStyle w:val="12"/>
            </w:pPr>
            <w:r>
              <w:rPr>
                <w:rFonts w:hint="eastAsia"/>
              </w:rPr>
              <w:t>项目建设周期</w:t>
            </w:r>
          </w:p>
        </w:tc>
        <w:tc>
          <w:tcPr>
            <w:tcW w:w="1543" w:type="dxa"/>
            <w:tcBorders>
              <w:top w:val="single" w:color="000000" w:sz="4" w:space="0"/>
              <w:left w:val="single" w:color="000000" w:sz="4" w:space="0"/>
              <w:bottom w:val="single" w:color="000000" w:sz="4" w:space="0"/>
              <w:right w:val="single" w:color="000000" w:sz="4" w:space="0"/>
            </w:tcBorders>
            <w:vAlign w:val="center"/>
          </w:tcPr>
          <w:p w14:paraId="18092067">
            <w:pPr>
              <w:pStyle w:val="12"/>
              <w:rPr>
                <w:rFonts w:eastAsia="仿宋"/>
              </w:rPr>
            </w:pPr>
            <w:r>
              <w:rPr>
                <w:rFonts w:hint="eastAsia"/>
              </w:rPr>
              <w:t>≤18</w:t>
            </w:r>
          </w:p>
        </w:tc>
      </w:tr>
      <w:tr w14:paraId="76669E8F">
        <w:tblPrEx>
          <w:tblCellMar>
            <w:top w:w="0" w:type="dxa"/>
            <w:left w:w="108" w:type="dxa"/>
            <w:bottom w:w="0" w:type="dxa"/>
            <w:right w:w="108" w:type="dxa"/>
          </w:tblCellMar>
        </w:tblPrEx>
        <w:trPr>
          <w:trHeight w:val="23" w:hRule="atLeast"/>
        </w:trPr>
        <w:tc>
          <w:tcPr>
            <w:tcW w:w="945" w:type="dxa"/>
            <w:vMerge w:val="restart"/>
            <w:tcBorders>
              <w:left w:val="single" w:color="000000" w:sz="4" w:space="0"/>
              <w:bottom w:val="single" w:color="auto" w:sz="4" w:space="0"/>
              <w:right w:val="single" w:color="auto" w:sz="4" w:space="0"/>
            </w:tcBorders>
            <w:vAlign w:val="center"/>
          </w:tcPr>
          <w:p w14:paraId="44A4F7B2">
            <w:pPr>
              <w:pStyle w:val="12"/>
            </w:pPr>
            <w:r>
              <w:rPr>
                <w:rFonts w:hint="eastAsia"/>
              </w:rPr>
              <w:t>通用指标</w:t>
            </w:r>
          </w:p>
        </w:tc>
        <w:tc>
          <w:tcPr>
            <w:tcW w:w="754" w:type="dxa"/>
            <w:vMerge w:val="restart"/>
            <w:tcBorders>
              <w:top w:val="single" w:color="000000" w:sz="4" w:space="0"/>
              <w:left w:val="single" w:color="auto" w:sz="4" w:space="0"/>
              <w:right w:val="single" w:color="000000" w:sz="4" w:space="0"/>
            </w:tcBorders>
            <w:vAlign w:val="center"/>
          </w:tcPr>
          <w:p w14:paraId="50726F9A">
            <w:pPr>
              <w:pStyle w:val="12"/>
            </w:pPr>
            <w:r>
              <w:rPr>
                <w:rFonts w:hint="eastAsia"/>
              </w:rPr>
              <w:t>共性平台</w:t>
            </w:r>
          </w:p>
        </w:tc>
        <w:tc>
          <w:tcPr>
            <w:tcW w:w="1615" w:type="dxa"/>
            <w:tcBorders>
              <w:top w:val="single" w:color="000000" w:sz="4" w:space="0"/>
              <w:left w:val="single" w:color="000000" w:sz="4" w:space="0"/>
              <w:bottom w:val="single" w:color="000000" w:sz="4" w:space="0"/>
              <w:right w:val="single" w:color="000000" w:sz="4" w:space="0"/>
            </w:tcBorders>
            <w:vAlign w:val="center"/>
          </w:tcPr>
          <w:p w14:paraId="40100BE1">
            <w:pPr>
              <w:pStyle w:val="12"/>
            </w:pPr>
            <w:r>
              <w:rPr>
                <w:rFonts w:hint="eastAsia"/>
              </w:rPr>
              <w:t>系统共享水平</w:t>
            </w:r>
          </w:p>
        </w:tc>
        <w:tc>
          <w:tcPr>
            <w:tcW w:w="3457" w:type="dxa"/>
            <w:tcBorders>
              <w:top w:val="single" w:color="000000" w:sz="4" w:space="0"/>
              <w:left w:val="single" w:color="000000" w:sz="4" w:space="0"/>
              <w:bottom w:val="single" w:color="000000" w:sz="4" w:space="0"/>
              <w:right w:val="single" w:color="000000" w:sz="4" w:space="0"/>
            </w:tcBorders>
            <w:vAlign w:val="center"/>
          </w:tcPr>
          <w:p w14:paraId="0B076C5E">
            <w:pPr>
              <w:pStyle w:val="12"/>
            </w:pPr>
            <w:r>
              <w:rPr>
                <w:rFonts w:hint="eastAsia"/>
              </w:rPr>
              <w:t>跨部门数据共享程度</w:t>
            </w:r>
          </w:p>
        </w:tc>
        <w:tc>
          <w:tcPr>
            <w:tcW w:w="1543" w:type="dxa"/>
            <w:tcBorders>
              <w:top w:val="single" w:color="000000" w:sz="4" w:space="0"/>
              <w:left w:val="single" w:color="000000" w:sz="4" w:space="0"/>
              <w:bottom w:val="single" w:color="000000" w:sz="4" w:space="0"/>
              <w:right w:val="single" w:color="000000" w:sz="4" w:space="0"/>
            </w:tcBorders>
            <w:vAlign w:val="center"/>
          </w:tcPr>
          <w:p w14:paraId="7AE041ED">
            <w:pPr>
              <w:pStyle w:val="12"/>
            </w:pPr>
            <w:r>
              <w:rPr>
                <w:rFonts w:hint="eastAsia"/>
              </w:rPr>
              <w:t>≥30</w:t>
            </w:r>
          </w:p>
        </w:tc>
      </w:tr>
      <w:tr w14:paraId="6DAF888E">
        <w:tblPrEx>
          <w:tblCellMar>
            <w:top w:w="0" w:type="dxa"/>
            <w:left w:w="108" w:type="dxa"/>
            <w:bottom w:w="0" w:type="dxa"/>
            <w:right w:w="108" w:type="dxa"/>
          </w:tblCellMar>
        </w:tblPrEx>
        <w:trPr>
          <w:trHeight w:val="23" w:hRule="atLeast"/>
        </w:trPr>
        <w:tc>
          <w:tcPr>
            <w:tcW w:w="945" w:type="dxa"/>
            <w:vMerge w:val="restart"/>
            <w:tcBorders>
              <w:left w:val="single" w:color="000000" w:sz="4" w:space="0"/>
              <w:bottom w:val="single" w:color="auto" w:sz="4" w:space="0"/>
              <w:right w:val="single" w:color="auto" w:sz="4" w:space="0"/>
            </w:tcBorders>
            <w:vAlign w:val="center"/>
          </w:tcPr>
          <w:p w14:paraId="459D319B">
            <w:pPr>
              <w:pStyle w:val="12"/>
            </w:pPr>
            <w:r>
              <w:rPr>
                <w:rFonts w:hint="eastAsia"/>
              </w:rPr>
              <w:t>通用指标</w:t>
            </w:r>
          </w:p>
        </w:tc>
        <w:tc>
          <w:tcPr>
            <w:tcW w:w="754" w:type="dxa"/>
            <w:tcBorders>
              <w:left w:val="single" w:color="auto" w:sz="4" w:space="0"/>
              <w:bottom w:val="single" w:color="000000" w:sz="4" w:space="0"/>
              <w:right w:val="single" w:color="000000" w:sz="4" w:space="0"/>
            </w:tcBorders>
            <w:vAlign w:val="center"/>
          </w:tcPr>
          <w:p w14:paraId="2D511170">
            <w:pPr>
              <w:pStyle w:val="12"/>
            </w:pPr>
            <w:r>
              <w:rPr>
                <w:rFonts w:hint="eastAsia"/>
              </w:rPr>
              <w:t>共性平台</w:t>
            </w:r>
          </w:p>
        </w:tc>
        <w:tc>
          <w:tcPr>
            <w:tcW w:w="1615" w:type="dxa"/>
            <w:tcBorders>
              <w:top w:val="single" w:color="000000" w:sz="4" w:space="0"/>
              <w:left w:val="single" w:color="000000" w:sz="4" w:space="0"/>
              <w:bottom w:val="single" w:color="000000" w:sz="4" w:space="0"/>
              <w:right w:val="single" w:color="000000" w:sz="4" w:space="0"/>
            </w:tcBorders>
            <w:vAlign w:val="center"/>
          </w:tcPr>
          <w:p w14:paraId="1E01627A">
            <w:pPr>
              <w:pStyle w:val="12"/>
            </w:pPr>
            <w:r>
              <w:rPr>
                <w:rFonts w:hint="eastAsia"/>
              </w:rPr>
              <w:t>数据质量水平</w:t>
            </w:r>
          </w:p>
        </w:tc>
        <w:tc>
          <w:tcPr>
            <w:tcW w:w="3457" w:type="dxa"/>
            <w:tcBorders>
              <w:top w:val="single" w:color="000000" w:sz="4" w:space="0"/>
              <w:left w:val="single" w:color="000000" w:sz="4" w:space="0"/>
              <w:bottom w:val="single" w:color="000000" w:sz="4" w:space="0"/>
              <w:right w:val="single" w:color="000000" w:sz="4" w:space="0"/>
            </w:tcBorders>
            <w:vAlign w:val="center"/>
          </w:tcPr>
          <w:p w14:paraId="5C43930A">
            <w:pPr>
              <w:pStyle w:val="12"/>
            </w:pPr>
            <w:r>
              <w:rPr>
                <w:rFonts w:hint="eastAsia"/>
              </w:rPr>
              <w:t>核心数据缺失率</w:t>
            </w:r>
          </w:p>
        </w:tc>
        <w:tc>
          <w:tcPr>
            <w:tcW w:w="1543" w:type="dxa"/>
            <w:tcBorders>
              <w:top w:val="single" w:color="000000" w:sz="4" w:space="0"/>
              <w:left w:val="single" w:color="000000" w:sz="4" w:space="0"/>
              <w:bottom w:val="single" w:color="000000" w:sz="4" w:space="0"/>
              <w:right w:val="single" w:color="000000" w:sz="4" w:space="0"/>
            </w:tcBorders>
            <w:vAlign w:val="center"/>
          </w:tcPr>
          <w:p w14:paraId="16087079">
            <w:pPr>
              <w:pStyle w:val="12"/>
            </w:pPr>
            <w:r>
              <w:rPr>
                <w:rFonts w:hint="eastAsia"/>
              </w:rPr>
              <w:t>≤3</w:t>
            </w:r>
          </w:p>
        </w:tc>
      </w:tr>
      <w:tr w14:paraId="5A067192">
        <w:tblPrEx>
          <w:tblCellMar>
            <w:top w:w="0" w:type="dxa"/>
            <w:left w:w="108" w:type="dxa"/>
            <w:bottom w:w="0" w:type="dxa"/>
            <w:right w:w="108" w:type="dxa"/>
          </w:tblCellMar>
        </w:tblPrEx>
        <w:trPr>
          <w:trHeight w:val="23" w:hRule="atLeast"/>
        </w:trPr>
        <w:tc>
          <w:tcPr>
            <w:tcW w:w="945" w:type="dxa"/>
            <w:vMerge w:val="restart"/>
            <w:tcBorders>
              <w:left w:val="single" w:color="000000" w:sz="4" w:space="0"/>
              <w:bottom w:val="single" w:color="auto" w:sz="4" w:space="0"/>
              <w:right w:val="single" w:color="auto" w:sz="4" w:space="0"/>
            </w:tcBorders>
            <w:vAlign w:val="center"/>
          </w:tcPr>
          <w:p w14:paraId="19231FE3">
            <w:pPr>
              <w:pStyle w:val="12"/>
            </w:pPr>
            <w:r>
              <w:rPr>
                <w:rFonts w:hint="eastAsia"/>
              </w:rPr>
              <w:t>通用指标</w:t>
            </w:r>
          </w:p>
        </w:tc>
        <w:tc>
          <w:tcPr>
            <w:tcW w:w="754" w:type="dxa"/>
            <w:vMerge w:val="restart"/>
            <w:tcBorders>
              <w:top w:val="single" w:color="000000" w:sz="4" w:space="0"/>
              <w:left w:val="single" w:color="auto" w:sz="4" w:space="0"/>
              <w:right w:val="single" w:color="000000" w:sz="4" w:space="0"/>
            </w:tcBorders>
            <w:vAlign w:val="center"/>
          </w:tcPr>
          <w:p w14:paraId="25EDC3D0">
            <w:pPr>
              <w:pStyle w:val="12"/>
            </w:pPr>
            <w:r>
              <w:rPr>
                <w:rFonts w:hint="eastAsia"/>
              </w:rPr>
              <w:t>应用系统</w:t>
            </w:r>
          </w:p>
        </w:tc>
        <w:tc>
          <w:tcPr>
            <w:tcW w:w="1615" w:type="dxa"/>
            <w:vMerge w:val="restart"/>
            <w:tcBorders>
              <w:top w:val="single" w:color="000000" w:sz="4" w:space="0"/>
              <w:left w:val="single" w:color="000000" w:sz="4" w:space="0"/>
              <w:right w:val="single" w:color="000000" w:sz="4" w:space="0"/>
            </w:tcBorders>
            <w:vAlign w:val="center"/>
          </w:tcPr>
          <w:p w14:paraId="742B98F2">
            <w:pPr>
              <w:pStyle w:val="12"/>
            </w:pPr>
            <w:r>
              <w:rPr>
                <w:rFonts w:hint="eastAsia"/>
              </w:rPr>
              <w:t>用户使用情况</w:t>
            </w:r>
          </w:p>
        </w:tc>
        <w:tc>
          <w:tcPr>
            <w:tcW w:w="3457" w:type="dxa"/>
            <w:tcBorders>
              <w:top w:val="single" w:color="000000" w:sz="4" w:space="0"/>
              <w:left w:val="single" w:color="000000" w:sz="4" w:space="0"/>
              <w:bottom w:val="single" w:color="000000" w:sz="4" w:space="0"/>
              <w:right w:val="single" w:color="000000" w:sz="4" w:space="0"/>
            </w:tcBorders>
            <w:vAlign w:val="center"/>
          </w:tcPr>
          <w:p w14:paraId="7CE3E27F">
            <w:pPr>
              <w:pStyle w:val="12"/>
            </w:pPr>
            <w:r>
              <w:rPr>
                <w:rFonts w:hint="eastAsia"/>
              </w:rPr>
              <w:t>月活跃用户量</w:t>
            </w:r>
          </w:p>
        </w:tc>
        <w:tc>
          <w:tcPr>
            <w:tcW w:w="1543" w:type="dxa"/>
            <w:tcBorders>
              <w:top w:val="single" w:color="000000" w:sz="4" w:space="0"/>
              <w:left w:val="single" w:color="000000" w:sz="4" w:space="0"/>
              <w:bottom w:val="single" w:color="000000" w:sz="4" w:space="0"/>
              <w:right w:val="single" w:color="000000" w:sz="4" w:space="0"/>
            </w:tcBorders>
            <w:vAlign w:val="center"/>
          </w:tcPr>
          <w:p w14:paraId="632A4537">
            <w:pPr>
              <w:pStyle w:val="12"/>
            </w:pPr>
            <w:r>
              <w:rPr>
                <w:rFonts w:hint="eastAsia"/>
              </w:rPr>
              <w:t>≥50</w:t>
            </w:r>
          </w:p>
        </w:tc>
      </w:tr>
      <w:tr w14:paraId="12E64743">
        <w:tblPrEx>
          <w:tblCellMar>
            <w:top w:w="0" w:type="dxa"/>
            <w:left w:w="108" w:type="dxa"/>
            <w:bottom w:w="0" w:type="dxa"/>
            <w:right w:w="108" w:type="dxa"/>
          </w:tblCellMar>
        </w:tblPrEx>
        <w:trPr>
          <w:trHeight w:val="23" w:hRule="atLeast"/>
        </w:trPr>
        <w:tc>
          <w:tcPr>
            <w:tcW w:w="945" w:type="dxa"/>
            <w:vMerge w:val="restart"/>
            <w:tcBorders>
              <w:left w:val="single" w:color="000000" w:sz="4" w:space="0"/>
              <w:bottom w:val="single" w:color="auto" w:sz="4" w:space="0"/>
              <w:right w:val="single" w:color="auto" w:sz="4" w:space="0"/>
            </w:tcBorders>
            <w:vAlign w:val="center"/>
          </w:tcPr>
          <w:p w14:paraId="6B1245AA">
            <w:pPr>
              <w:pStyle w:val="12"/>
            </w:pPr>
            <w:r>
              <w:rPr>
                <w:rFonts w:hint="eastAsia"/>
              </w:rPr>
              <w:t>通用指标</w:t>
            </w:r>
          </w:p>
        </w:tc>
        <w:tc>
          <w:tcPr>
            <w:tcW w:w="754" w:type="dxa"/>
            <w:vMerge w:val="restart"/>
            <w:tcBorders>
              <w:top w:val="single" w:color="000000" w:sz="4" w:space="0"/>
              <w:left w:val="single" w:color="auto" w:sz="4" w:space="0"/>
              <w:right w:val="single" w:color="000000" w:sz="4" w:space="0"/>
            </w:tcBorders>
            <w:vAlign w:val="center"/>
          </w:tcPr>
          <w:p w14:paraId="4E511CC4">
            <w:pPr>
              <w:pStyle w:val="12"/>
            </w:pPr>
            <w:r>
              <w:rPr>
                <w:rFonts w:hint="eastAsia"/>
              </w:rPr>
              <w:t>应用系统</w:t>
            </w:r>
          </w:p>
        </w:tc>
        <w:tc>
          <w:tcPr>
            <w:tcW w:w="1615" w:type="dxa"/>
            <w:tcBorders>
              <w:left w:val="single" w:color="000000" w:sz="4" w:space="0"/>
              <w:bottom w:val="single" w:color="000000" w:sz="4" w:space="0"/>
              <w:right w:val="single" w:color="000000" w:sz="4" w:space="0"/>
            </w:tcBorders>
            <w:vAlign w:val="center"/>
          </w:tcPr>
          <w:p w14:paraId="44FDCF5A">
            <w:pPr>
              <w:pStyle w:val="12"/>
            </w:pPr>
            <w:r>
              <w:rPr>
                <w:rFonts w:hint="eastAsia"/>
              </w:rPr>
              <w:t>用户使用情况</w:t>
            </w:r>
          </w:p>
        </w:tc>
        <w:tc>
          <w:tcPr>
            <w:tcW w:w="3457" w:type="dxa"/>
            <w:tcBorders>
              <w:top w:val="single" w:color="000000" w:sz="4" w:space="0"/>
              <w:left w:val="single" w:color="000000" w:sz="4" w:space="0"/>
              <w:bottom w:val="single" w:color="000000" w:sz="4" w:space="0"/>
              <w:right w:val="single" w:color="000000" w:sz="4" w:space="0"/>
            </w:tcBorders>
            <w:vAlign w:val="center"/>
          </w:tcPr>
          <w:p w14:paraId="3F2EE835">
            <w:pPr>
              <w:pStyle w:val="12"/>
            </w:pPr>
            <w:r>
              <w:rPr>
                <w:rFonts w:hint="eastAsia"/>
              </w:rPr>
              <w:t>系统用户量</w:t>
            </w:r>
          </w:p>
        </w:tc>
        <w:tc>
          <w:tcPr>
            <w:tcW w:w="1543" w:type="dxa"/>
            <w:tcBorders>
              <w:top w:val="single" w:color="000000" w:sz="4" w:space="0"/>
              <w:left w:val="single" w:color="000000" w:sz="4" w:space="0"/>
              <w:bottom w:val="single" w:color="000000" w:sz="4" w:space="0"/>
              <w:right w:val="single" w:color="000000" w:sz="4" w:space="0"/>
            </w:tcBorders>
            <w:vAlign w:val="center"/>
          </w:tcPr>
          <w:p w14:paraId="0A55E1A4">
            <w:pPr>
              <w:pStyle w:val="12"/>
            </w:pPr>
            <w:r>
              <w:rPr>
                <w:rFonts w:hint="eastAsia"/>
              </w:rPr>
              <w:t>≥400</w:t>
            </w:r>
          </w:p>
        </w:tc>
      </w:tr>
      <w:tr w14:paraId="6045611B">
        <w:tblPrEx>
          <w:tblCellMar>
            <w:top w:w="0" w:type="dxa"/>
            <w:left w:w="108" w:type="dxa"/>
            <w:bottom w:w="0" w:type="dxa"/>
            <w:right w:w="108" w:type="dxa"/>
          </w:tblCellMar>
        </w:tblPrEx>
        <w:trPr>
          <w:trHeight w:val="23" w:hRule="atLeast"/>
        </w:trPr>
        <w:tc>
          <w:tcPr>
            <w:tcW w:w="945" w:type="dxa"/>
            <w:vMerge w:val="restart"/>
            <w:tcBorders>
              <w:left w:val="single" w:color="000000" w:sz="4" w:space="0"/>
              <w:bottom w:val="single" w:color="auto" w:sz="4" w:space="0"/>
              <w:right w:val="single" w:color="auto" w:sz="4" w:space="0"/>
            </w:tcBorders>
            <w:vAlign w:val="center"/>
          </w:tcPr>
          <w:p w14:paraId="1714899A">
            <w:pPr>
              <w:pStyle w:val="12"/>
            </w:pPr>
            <w:r>
              <w:rPr>
                <w:rFonts w:hint="eastAsia"/>
              </w:rPr>
              <w:t>通用指标</w:t>
            </w:r>
          </w:p>
        </w:tc>
        <w:tc>
          <w:tcPr>
            <w:tcW w:w="754" w:type="dxa"/>
            <w:vMerge w:val="restart"/>
            <w:tcBorders>
              <w:top w:val="single" w:color="000000" w:sz="4" w:space="0"/>
              <w:left w:val="single" w:color="auto" w:sz="4" w:space="0"/>
              <w:right w:val="single" w:color="000000" w:sz="4" w:space="0"/>
            </w:tcBorders>
            <w:vAlign w:val="center"/>
          </w:tcPr>
          <w:p w14:paraId="0C19CDD8">
            <w:pPr>
              <w:pStyle w:val="12"/>
            </w:pPr>
            <w:r>
              <w:rPr>
                <w:rFonts w:hint="eastAsia"/>
              </w:rPr>
              <w:t>应用系统</w:t>
            </w:r>
          </w:p>
        </w:tc>
        <w:tc>
          <w:tcPr>
            <w:tcW w:w="1615" w:type="dxa"/>
            <w:vMerge w:val="restart"/>
            <w:tcBorders>
              <w:top w:val="single" w:color="000000" w:sz="4" w:space="0"/>
              <w:left w:val="single" w:color="000000" w:sz="4" w:space="0"/>
              <w:right w:val="single" w:color="000000" w:sz="4" w:space="0"/>
            </w:tcBorders>
            <w:vAlign w:val="center"/>
          </w:tcPr>
          <w:p w14:paraId="631C03CE">
            <w:pPr>
              <w:pStyle w:val="12"/>
            </w:pPr>
            <w:r>
              <w:rPr>
                <w:rFonts w:hint="eastAsia"/>
              </w:rPr>
              <w:t>监测监管系统</w:t>
            </w:r>
          </w:p>
        </w:tc>
        <w:tc>
          <w:tcPr>
            <w:tcW w:w="3457" w:type="dxa"/>
            <w:tcBorders>
              <w:top w:val="single" w:color="000000" w:sz="4" w:space="0"/>
              <w:left w:val="single" w:color="000000" w:sz="4" w:space="0"/>
              <w:bottom w:val="single" w:color="000000" w:sz="4" w:space="0"/>
              <w:right w:val="single" w:color="000000" w:sz="4" w:space="0"/>
            </w:tcBorders>
            <w:vAlign w:val="center"/>
          </w:tcPr>
          <w:p w14:paraId="1CA1A2F6">
            <w:pPr>
              <w:pStyle w:val="12"/>
            </w:pPr>
            <w:r>
              <w:rPr>
                <w:rFonts w:hint="eastAsia"/>
              </w:rPr>
              <w:t>监测监管月均做出辅助决策数量</w:t>
            </w:r>
          </w:p>
        </w:tc>
        <w:tc>
          <w:tcPr>
            <w:tcW w:w="1543" w:type="dxa"/>
            <w:tcBorders>
              <w:top w:val="single" w:color="000000" w:sz="4" w:space="0"/>
              <w:left w:val="single" w:color="000000" w:sz="4" w:space="0"/>
              <w:bottom w:val="single" w:color="000000" w:sz="4" w:space="0"/>
              <w:right w:val="single" w:color="000000" w:sz="4" w:space="0"/>
            </w:tcBorders>
            <w:vAlign w:val="center"/>
          </w:tcPr>
          <w:p w14:paraId="23C397E4">
            <w:pPr>
              <w:pStyle w:val="12"/>
            </w:pPr>
            <w:r>
              <w:rPr>
                <w:rFonts w:hint="eastAsia"/>
              </w:rPr>
              <w:t>≥10</w:t>
            </w:r>
          </w:p>
        </w:tc>
      </w:tr>
      <w:tr w14:paraId="2EA3D5DE">
        <w:tblPrEx>
          <w:tblCellMar>
            <w:top w:w="0" w:type="dxa"/>
            <w:left w:w="108" w:type="dxa"/>
            <w:bottom w:w="0" w:type="dxa"/>
            <w:right w:w="108" w:type="dxa"/>
          </w:tblCellMar>
        </w:tblPrEx>
        <w:trPr>
          <w:trHeight w:val="23" w:hRule="atLeast"/>
        </w:trPr>
        <w:tc>
          <w:tcPr>
            <w:tcW w:w="945" w:type="dxa"/>
            <w:vMerge w:val="restart"/>
            <w:tcBorders>
              <w:left w:val="single" w:color="000000" w:sz="4" w:space="0"/>
              <w:bottom w:val="single" w:color="auto" w:sz="4" w:space="0"/>
              <w:right w:val="single" w:color="auto" w:sz="4" w:space="0"/>
            </w:tcBorders>
            <w:vAlign w:val="center"/>
          </w:tcPr>
          <w:p w14:paraId="00719BA5">
            <w:pPr>
              <w:pStyle w:val="12"/>
            </w:pPr>
            <w:r>
              <w:rPr>
                <w:rFonts w:hint="eastAsia"/>
              </w:rPr>
              <w:t>通用指标</w:t>
            </w:r>
          </w:p>
        </w:tc>
        <w:tc>
          <w:tcPr>
            <w:tcW w:w="754" w:type="dxa"/>
            <w:vMerge w:val="restart"/>
            <w:tcBorders>
              <w:top w:val="single" w:color="000000" w:sz="4" w:space="0"/>
              <w:left w:val="single" w:color="auto" w:sz="4" w:space="0"/>
              <w:right w:val="single" w:color="000000" w:sz="4" w:space="0"/>
            </w:tcBorders>
            <w:vAlign w:val="center"/>
          </w:tcPr>
          <w:p w14:paraId="3A8A4DB9">
            <w:pPr>
              <w:pStyle w:val="12"/>
            </w:pPr>
            <w:r>
              <w:rPr>
                <w:rFonts w:hint="eastAsia"/>
              </w:rPr>
              <w:t>应用系统</w:t>
            </w:r>
          </w:p>
        </w:tc>
        <w:tc>
          <w:tcPr>
            <w:tcW w:w="1615" w:type="dxa"/>
            <w:vMerge w:val="restart"/>
            <w:tcBorders>
              <w:top w:val="single" w:color="000000" w:sz="4" w:space="0"/>
              <w:left w:val="single" w:color="000000" w:sz="4" w:space="0"/>
              <w:right w:val="single" w:color="000000" w:sz="4" w:space="0"/>
            </w:tcBorders>
            <w:vAlign w:val="center"/>
          </w:tcPr>
          <w:p w14:paraId="676821FF">
            <w:pPr>
              <w:pStyle w:val="12"/>
            </w:pPr>
            <w:r>
              <w:rPr>
                <w:rFonts w:hint="eastAsia"/>
              </w:rPr>
              <w:t>监测监管系统</w:t>
            </w:r>
          </w:p>
        </w:tc>
        <w:tc>
          <w:tcPr>
            <w:tcW w:w="3457" w:type="dxa"/>
            <w:tcBorders>
              <w:top w:val="single" w:color="000000" w:sz="4" w:space="0"/>
              <w:left w:val="single" w:color="000000" w:sz="4" w:space="0"/>
              <w:bottom w:val="single" w:color="000000" w:sz="4" w:space="0"/>
              <w:right w:val="single" w:color="000000" w:sz="4" w:space="0"/>
            </w:tcBorders>
            <w:vAlign w:val="center"/>
          </w:tcPr>
          <w:p w14:paraId="0E346307">
            <w:pPr>
              <w:pStyle w:val="12"/>
            </w:pPr>
            <w:r>
              <w:rPr>
                <w:rFonts w:hint="eastAsia"/>
              </w:rPr>
              <w:t>监测对象风险预警完整率</w:t>
            </w:r>
          </w:p>
        </w:tc>
        <w:tc>
          <w:tcPr>
            <w:tcW w:w="1543" w:type="dxa"/>
            <w:tcBorders>
              <w:top w:val="single" w:color="000000" w:sz="4" w:space="0"/>
              <w:left w:val="single" w:color="000000" w:sz="4" w:space="0"/>
              <w:bottom w:val="single" w:color="000000" w:sz="4" w:space="0"/>
              <w:right w:val="single" w:color="000000" w:sz="4" w:space="0"/>
            </w:tcBorders>
            <w:vAlign w:val="center"/>
          </w:tcPr>
          <w:p w14:paraId="11749A04">
            <w:pPr>
              <w:pStyle w:val="12"/>
            </w:pPr>
            <w:r>
              <w:rPr>
                <w:rFonts w:hint="eastAsia"/>
              </w:rPr>
              <w:t>≥90</w:t>
            </w:r>
          </w:p>
        </w:tc>
      </w:tr>
      <w:tr w14:paraId="71BF6809">
        <w:tblPrEx>
          <w:tblCellMar>
            <w:top w:w="0" w:type="dxa"/>
            <w:left w:w="108" w:type="dxa"/>
            <w:bottom w:w="0" w:type="dxa"/>
            <w:right w:w="108" w:type="dxa"/>
          </w:tblCellMar>
        </w:tblPrEx>
        <w:trPr>
          <w:trHeight w:val="23" w:hRule="atLeast"/>
        </w:trPr>
        <w:tc>
          <w:tcPr>
            <w:tcW w:w="945" w:type="dxa"/>
            <w:vMerge w:val="restart"/>
            <w:tcBorders>
              <w:left w:val="single" w:color="000000" w:sz="4" w:space="0"/>
              <w:bottom w:val="single" w:color="auto" w:sz="4" w:space="0"/>
              <w:right w:val="single" w:color="auto" w:sz="4" w:space="0"/>
            </w:tcBorders>
            <w:vAlign w:val="center"/>
          </w:tcPr>
          <w:p w14:paraId="1403A1C5">
            <w:pPr>
              <w:pStyle w:val="12"/>
            </w:pPr>
            <w:r>
              <w:rPr>
                <w:rFonts w:hint="eastAsia"/>
              </w:rPr>
              <w:t>通用指标</w:t>
            </w:r>
          </w:p>
        </w:tc>
        <w:tc>
          <w:tcPr>
            <w:tcW w:w="754" w:type="dxa"/>
            <w:vMerge w:val="restart"/>
            <w:tcBorders>
              <w:top w:val="single" w:color="000000" w:sz="4" w:space="0"/>
              <w:left w:val="single" w:color="auto" w:sz="4" w:space="0"/>
              <w:right w:val="single" w:color="000000" w:sz="4" w:space="0"/>
            </w:tcBorders>
            <w:vAlign w:val="center"/>
          </w:tcPr>
          <w:p w14:paraId="2228221D">
            <w:pPr>
              <w:pStyle w:val="12"/>
            </w:pPr>
            <w:r>
              <w:rPr>
                <w:rFonts w:hint="eastAsia"/>
              </w:rPr>
              <w:t>应用系统</w:t>
            </w:r>
          </w:p>
        </w:tc>
        <w:tc>
          <w:tcPr>
            <w:tcW w:w="1615" w:type="dxa"/>
            <w:vMerge w:val="restart"/>
            <w:tcBorders>
              <w:top w:val="single" w:color="000000" w:sz="4" w:space="0"/>
              <w:left w:val="single" w:color="000000" w:sz="4" w:space="0"/>
              <w:right w:val="single" w:color="000000" w:sz="4" w:space="0"/>
            </w:tcBorders>
            <w:vAlign w:val="center"/>
          </w:tcPr>
          <w:p w14:paraId="2C783352">
            <w:pPr>
              <w:pStyle w:val="12"/>
            </w:pPr>
            <w:r>
              <w:rPr>
                <w:rFonts w:hint="eastAsia"/>
              </w:rPr>
              <w:t>监测监管系统</w:t>
            </w:r>
          </w:p>
        </w:tc>
        <w:tc>
          <w:tcPr>
            <w:tcW w:w="3457" w:type="dxa"/>
            <w:tcBorders>
              <w:top w:val="single" w:color="000000" w:sz="4" w:space="0"/>
              <w:left w:val="single" w:color="000000" w:sz="4" w:space="0"/>
              <w:bottom w:val="single" w:color="000000" w:sz="4" w:space="0"/>
              <w:right w:val="single" w:color="000000" w:sz="4" w:space="0"/>
            </w:tcBorders>
            <w:vAlign w:val="center"/>
          </w:tcPr>
          <w:p w14:paraId="54D4491B">
            <w:pPr>
              <w:pStyle w:val="12"/>
            </w:pPr>
            <w:r>
              <w:rPr>
                <w:rFonts w:hint="eastAsia"/>
              </w:rPr>
              <w:t>监测对象风险预警准确率</w:t>
            </w:r>
          </w:p>
        </w:tc>
        <w:tc>
          <w:tcPr>
            <w:tcW w:w="1543" w:type="dxa"/>
            <w:tcBorders>
              <w:top w:val="single" w:color="000000" w:sz="4" w:space="0"/>
              <w:left w:val="single" w:color="000000" w:sz="4" w:space="0"/>
              <w:bottom w:val="single" w:color="000000" w:sz="4" w:space="0"/>
              <w:right w:val="single" w:color="000000" w:sz="4" w:space="0"/>
            </w:tcBorders>
            <w:vAlign w:val="center"/>
          </w:tcPr>
          <w:p w14:paraId="02B7B526">
            <w:pPr>
              <w:pStyle w:val="12"/>
            </w:pPr>
            <w:r>
              <w:rPr>
                <w:rFonts w:hint="eastAsia"/>
              </w:rPr>
              <w:t>≥90</w:t>
            </w:r>
          </w:p>
        </w:tc>
      </w:tr>
      <w:tr w14:paraId="12B4EEAC">
        <w:tblPrEx>
          <w:tblCellMar>
            <w:top w:w="0" w:type="dxa"/>
            <w:left w:w="108" w:type="dxa"/>
            <w:bottom w:w="0" w:type="dxa"/>
            <w:right w:w="108" w:type="dxa"/>
          </w:tblCellMar>
        </w:tblPrEx>
        <w:trPr>
          <w:trHeight w:val="23" w:hRule="atLeast"/>
        </w:trPr>
        <w:tc>
          <w:tcPr>
            <w:tcW w:w="945" w:type="dxa"/>
            <w:vMerge w:val="restart"/>
            <w:tcBorders>
              <w:left w:val="single" w:color="000000" w:sz="4" w:space="0"/>
              <w:bottom w:val="single" w:color="auto" w:sz="4" w:space="0"/>
              <w:right w:val="single" w:color="auto" w:sz="4" w:space="0"/>
            </w:tcBorders>
            <w:vAlign w:val="center"/>
          </w:tcPr>
          <w:p w14:paraId="5CD25FBC">
            <w:pPr>
              <w:pStyle w:val="12"/>
            </w:pPr>
            <w:r>
              <w:rPr>
                <w:rFonts w:hint="eastAsia"/>
              </w:rPr>
              <w:t>通用指标</w:t>
            </w:r>
          </w:p>
        </w:tc>
        <w:tc>
          <w:tcPr>
            <w:tcW w:w="754" w:type="dxa"/>
            <w:vMerge w:val="restart"/>
            <w:tcBorders>
              <w:top w:val="single" w:color="000000" w:sz="4" w:space="0"/>
              <w:left w:val="single" w:color="auto" w:sz="4" w:space="0"/>
              <w:right w:val="single" w:color="000000" w:sz="4" w:space="0"/>
            </w:tcBorders>
            <w:vAlign w:val="center"/>
          </w:tcPr>
          <w:p w14:paraId="7BD12824">
            <w:pPr>
              <w:pStyle w:val="12"/>
            </w:pPr>
            <w:r>
              <w:rPr>
                <w:rFonts w:hint="eastAsia"/>
              </w:rPr>
              <w:t>应用系统</w:t>
            </w:r>
          </w:p>
        </w:tc>
        <w:tc>
          <w:tcPr>
            <w:tcW w:w="1615" w:type="dxa"/>
            <w:vMerge w:val="restart"/>
            <w:tcBorders>
              <w:top w:val="single" w:color="000000" w:sz="4" w:space="0"/>
              <w:left w:val="single" w:color="000000" w:sz="4" w:space="0"/>
              <w:right w:val="single" w:color="000000" w:sz="4" w:space="0"/>
            </w:tcBorders>
            <w:vAlign w:val="center"/>
          </w:tcPr>
          <w:p w14:paraId="2484707E">
            <w:pPr>
              <w:pStyle w:val="12"/>
            </w:pPr>
            <w:r>
              <w:rPr>
                <w:rFonts w:hint="eastAsia"/>
              </w:rPr>
              <w:t>监测监管系统</w:t>
            </w:r>
          </w:p>
        </w:tc>
        <w:tc>
          <w:tcPr>
            <w:tcW w:w="3457" w:type="dxa"/>
            <w:tcBorders>
              <w:top w:val="single" w:color="000000" w:sz="4" w:space="0"/>
              <w:left w:val="single" w:color="000000" w:sz="4" w:space="0"/>
              <w:bottom w:val="single" w:color="000000" w:sz="4" w:space="0"/>
              <w:right w:val="single" w:color="000000" w:sz="4" w:space="0"/>
            </w:tcBorders>
            <w:vAlign w:val="center"/>
          </w:tcPr>
          <w:p w14:paraId="6CA7FDAC">
            <w:pPr>
              <w:pStyle w:val="12"/>
            </w:pPr>
            <w:r>
              <w:rPr>
                <w:rFonts w:hint="eastAsia"/>
              </w:rPr>
              <w:t>监测对象月均风险预警数量</w:t>
            </w:r>
          </w:p>
        </w:tc>
        <w:tc>
          <w:tcPr>
            <w:tcW w:w="1543" w:type="dxa"/>
            <w:tcBorders>
              <w:top w:val="single" w:color="000000" w:sz="4" w:space="0"/>
              <w:left w:val="single" w:color="000000" w:sz="4" w:space="0"/>
              <w:bottom w:val="single" w:color="000000" w:sz="4" w:space="0"/>
              <w:right w:val="single" w:color="000000" w:sz="4" w:space="0"/>
            </w:tcBorders>
            <w:vAlign w:val="center"/>
          </w:tcPr>
          <w:p w14:paraId="63AB5615">
            <w:pPr>
              <w:pStyle w:val="12"/>
            </w:pPr>
            <w:r>
              <w:rPr>
                <w:rFonts w:hint="eastAsia"/>
              </w:rPr>
              <w:t>≥10</w:t>
            </w:r>
          </w:p>
        </w:tc>
      </w:tr>
      <w:tr w14:paraId="22E45A89">
        <w:tblPrEx>
          <w:tblCellMar>
            <w:top w:w="0" w:type="dxa"/>
            <w:left w:w="108" w:type="dxa"/>
            <w:bottom w:w="0" w:type="dxa"/>
            <w:right w:w="108" w:type="dxa"/>
          </w:tblCellMar>
        </w:tblPrEx>
        <w:trPr>
          <w:trHeight w:val="23" w:hRule="atLeast"/>
        </w:trPr>
        <w:tc>
          <w:tcPr>
            <w:tcW w:w="945" w:type="dxa"/>
            <w:vMerge w:val="restart"/>
            <w:tcBorders>
              <w:left w:val="single" w:color="000000" w:sz="4" w:space="0"/>
              <w:bottom w:val="single" w:color="auto" w:sz="4" w:space="0"/>
              <w:right w:val="single" w:color="auto" w:sz="4" w:space="0"/>
            </w:tcBorders>
            <w:vAlign w:val="center"/>
          </w:tcPr>
          <w:p w14:paraId="700642D0">
            <w:pPr>
              <w:pStyle w:val="12"/>
            </w:pPr>
            <w:r>
              <w:rPr>
                <w:rFonts w:hint="eastAsia"/>
              </w:rPr>
              <w:t>通用指标</w:t>
            </w:r>
          </w:p>
        </w:tc>
        <w:tc>
          <w:tcPr>
            <w:tcW w:w="754" w:type="dxa"/>
            <w:vMerge w:val="restart"/>
            <w:tcBorders>
              <w:top w:val="single" w:color="000000" w:sz="4" w:space="0"/>
              <w:left w:val="single" w:color="auto" w:sz="4" w:space="0"/>
              <w:right w:val="single" w:color="000000" w:sz="4" w:space="0"/>
            </w:tcBorders>
            <w:vAlign w:val="center"/>
          </w:tcPr>
          <w:p w14:paraId="2629EB78">
            <w:pPr>
              <w:pStyle w:val="12"/>
            </w:pPr>
            <w:r>
              <w:rPr>
                <w:rFonts w:hint="eastAsia"/>
              </w:rPr>
              <w:t>应用系统</w:t>
            </w:r>
          </w:p>
        </w:tc>
        <w:tc>
          <w:tcPr>
            <w:tcW w:w="1615" w:type="dxa"/>
            <w:vMerge w:val="restart"/>
            <w:tcBorders>
              <w:top w:val="single" w:color="000000" w:sz="4" w:space="0"/>
              <w:left w:val="single" w:color="000000" w:sz="4" w:space="0"/>
              <w:right w:val="single" w:color="000000" w:sz="4" w:space="0"/>
            </w:tcBorders>
            <w:vAlign w:val="center"/>
          </w:tcPr>
          <w:p w14:paraId="5B2FB7FB">
            <w:pPr>
              <w:pStyle w:val="12"/>
            </w:pPr>
            <w:r>
              <w:rPr>
                <w:rFonts w:hint="eastAsia"/>
              </w:rPr>
              <w:t>监测监管系统</w:t>
            </w:r>
          </w:p>
        </w:tc>
        <w:tc>
          <w:tcPr>
            <w:tcW w:w="3457" w:type="dxa"/>
            <w:tcBorders>
              <w:top w:val="single" w:color="000000" w:sz="4" w:space="0"/>
              <w:left w:val="single" w:color="000000" w:sz="4" w:space="0"/>
              <w:bottom w:val="single" w:color="000000" w:sz="4" w:space="0"/>
              <w:right w:val="single" w:color="000000" w:sz="4" w:space="0"/>
            </w:tcBorders>
            <w:vAlign w:val="center"/>
          </w:tcPr>
          <w:p w14:paraId="4DA84532">
            <w:pPr>
              <w:pStyle w:val="12"/>
            </w:pPr>
            <w:r>
              <w:rPr>
                <w:rFonts w:hint="eastAsia"/>
              </w:rPr>
              <w:t>监测数据准确率</w:t>
            </w:r>
          </w:p>
        </w:tc>
        <w:tc>
          <w:tcPr>
            <w:tcW w:w="1543" w:type="dxa"/>
            <w:tcBorders>
              <w:top w:val="single" w:color="000000" w:sz="4" w:space="0"/>
              <w:left w:val="single" w:color="000000" w:sz="4" w:space="0"/>
              <w:bottom w:val="single" w:color="000000" w:sz="4" w:space="0"/>
              <w:right w:val="single" w:color="000000" w:sz="4" w:space="0"/>
            </w:tcBorders>
            <w:vAlign w:val="center"/>
          </w:tcPr>
          <w:p w14:paraId="1ED48C82">
            <w:pPr>
              <w:pStyle w:val="12"/>
            </w:pPr>
            <w:r>
              <w:rPr>
                <w:rFonts w:hint="eastAsia"/>
              </w:rPr>
              <w:t>≥90</w:t>
            </w:r>
          </w:p>
        </w:tc>
      </w:tr>
      <w:tr w14:paraId="567D74B4">
        <w:tblPrEx>
          <w:tblCellMar>
            <w:top w:w="0" w:type="dxa"/>
            <w:left w:w="108" w:type="dxa"/>
            <w:bottom w:w="0" w:type="dxa"/>
            <w:right w:w="108" w:type="dxa"/>
          </w:tblCellMar>
        </w:tblPrEx>
        <w:trPr>
          <w:trHeight w:val="23" w:hRule="atLeast"/>
        </w:trPr>
        <w:tc>
          <w:tcPr>
            <w:tcW w:w="945" w:type="dxa"/>
            <w:vMerge w:val="restart"/>
            <w:tcBorders>
              <w:left w:val="single" w:color="000000" w:sz="4" w:space="0"/>
              <w:bottom w:val="single" w:color="auto" w:sz="4" w:space="0"/>
              <w:right w:val="single" w:color="auto" w:sz="4" w:space="0"/>
            </w:tcBorders>
            <w:vAlign w:val="center"/>
          </w:tcPr>
          <w:p w14:paraId="3C61BDD4">
            <w:pPr>
              <w:pStyle w:val="12"/>
            </w:pPr>
            <w:r>
              <w:rPr>
                <w:rFonts w:hint="eastAsia"/>
              </w:rPr>
              <w:t>通用指标</w:t>
            </w:r>
          </w:p>
        </w:tc>
        <w:tc>
          <w:tcPr>
            <w:tcW w:w="754" w:type="dxa"/>
            <w:vMerge w:val="restart"/>
            <w:tcBorders>
              <w:top w:val="single" w:color="000000" w:sz="4" w:space="0"/>
              <w:left w:val="single" w:color="auto" w:sz="4" w:space="0"/>
              <w:right w:val="single" w:color="000000" w:sz="4" w:space="0"/>
            </w:tcBorders>
            <w:vAlign w:val="center"/>
          </w:tcPr>
          <w:p w14:paraId="41201075">
            <w:pPr>
              <w:pStyle w:val="12"/>
            </w:pPr>
            <w:r>
              <w:rPr>
                <w:rFonts w:hint="eastAsia"/>
              </w:rPr>
              <w:t>应用系统</w:t>
            </w:r>
          </w:p>
        </w:tc>
        <w:tc>
          <w:tcPr>
            <w:tcW w:w="1615" w:type="dxa"/>
            <w:vMerge w:val="restart"/>
            <w:tcBorders>
              <w:top w:val="single" w:color="000000" w:sz="4" w:space="0"/>
              <w:left w:val="single" w:color="000000" w:sz="4" w:space="0"/>
              <w:right w:val="single" w:color="000000" w:sz="4" w:space="0"/>
            </w:tcBorders>
            <w:vAlign w:val="center"/>
          </w:tcPr>
          <w:p w14:paraId="2897FA22">
            <w:pPr>
              <w:pStyle w:val="12"/>
            </w:pPr>
            <w:r>
              <w:rPr>
                <w:rFonts w:hint="eastAsia"/>
              </w:rPr>
              <w:t>监测监管系统</w:t>
            </w:r>
          </w:p>
        </w:tc>
        <w:tc>
          <w:tcPr>
            <w:tcW w:w="3457" w:type="dxa"/>
            <w:tcBorders>
              <w:top w:val="single" w:color="000000" w:sz="4" w:space="0"/>
              <w:left w:val="single" w:color="000000" w:sz="4" w:space="0"/>
              <w:bottom w:val="single" w:color="000000" w:sz="4" w:space="0"/>
              <w:right w:val="single" w:color="000000" w:sz="4" w:space="0"/>
            </w:tcBorders>
            <w:vAlign w:val="center"/>
          </w:tcPr>
          <w:p w14:paraId="457FEDE5">
            <w:pPr>
              <w:pStyle w:val="12"/>
            </w:pPr>
            <w:r>
              <w:rPr>
                <w:rFonts w:hint="eastAsia"/>
              </w:rPr>
              <w:t>监测数据完整性</w:t>
            </w:r>
          </w:p>
        </w:tc>
        <w:tc>
          <w:tcPr>
            <w:tcW w:w="1543" w:type="dxa"/>
            <w:tcBorders>
              <w:top w:val="single" w:color="000000" w:sz="4" w:space="0"/>
              <w:left w:val="single" w:color="000000" w:sz="4" w:space="0"/>
              <w:bottom w:val="single" w:color="000000" w:sz="4" w:space="0"/>
              <w:right w:val="single" w:color="000000" w:sz="4" w:space="0"/>
            </w:tcBorders>
            <w:vAlign w:val="center"/>
          </w:tcPr>
          <w:p w14:paraId="62BEBAE8">
            <w:pPr>
              <w:pStyle w:val="12"/>
            </w:pPr>
            <w:r>
              <w:rPr>
                <w:rFonts w:hint="eastAsia"/>
              </w:rPr>
              <w:t>≥90</w:t>
            </w:r>
          </w:p>
        </w:tc>
      </w:tr>
      <w:tr w14:paraId="6501BEE6">
        <w:tblPrEx>
          <w:tblCellMar>
            <w:top w:w="0" w:type="dxa"/>
            <w:left w:w="108" w:type="dxa"/>
            <w:bottom w:w="0" w:type="dxa"/>
            <w:right w:w="108" w:type="dxa"/>
          </w:tblCellMar>
        </w:tblPrEx>
        <w:trPr>
          <w:trHeight w:val="23" w:hRule="atLeast"/>
        </w:trPr>
        <w:tc>
          <w:tcPr>
            <w:tcW w:w="945" w:type="dxa"/>
            <w:vMerge w:val="restart"/>
            <w:tcBorders>
              <w:left w:val="single" w:color="000000" w:sz="4" w:space="0"/>
              <w:bottom w:val="single" w:color="auto" w:sz="4" w:space="0"/>
              <w:right w:val="single" w:color="auto" w:sz="4" w:space="0"/>
            </w:tcBorders>
            <w:vAlign w:val="center"/>
          </w:tcPr>
          <w:p w14:paraId="56E6CEC7">
            <w:pPr>
              <w:pStyle w:val="12"/>
            </w:pPr>
            <w:r>
              <w:rPr>
                <w:rFonts w:hint="eastAsia"/>
              </w:rPr>
              <w:t>通用指标</w:t>
            </w:r>
          </w:p>
        </w:tc>
        <w:tc>
          <w:tcPr>
            <w:tcW w:w="754" w:type="dxa"/>
            <w:tcBorders>
              <w:left w:val="single" w:color="auto" w:sz="4" w:space="0"/>
              <w:bottom w:val="single" w:color="000000" w:sz="4" w:space="0"/>
              <w:right w:val="single" w:color="000000" w:sz="4" w:space="0"/>
            </w:tcBorders>
            <w:vAlign w:val="center"/>
          </w:tcPr>
          <w:p w14:paraId="3A7B6F5B">
            <w:pPr>
              <w:pStyle w:val="12"/>
            </w:pPr>
            <w:r>
              <w:rPr>
                <w:rFonts w:hint="eastAsia"/>
              </w:rPr>
              <w:t>应用系统</w:t>
            </w:r>
          </w:p>
        </w:tc>
        <w:tc>
          <w:tcPr>
            <w:tcW w:w="1615" w:type="dxa"/>
            <w:tcBorders>
              <w:left w:val="single" w:color="000000" w:sz="4" w:space="0"/>
              <w:bottom w:val="single" w:color="000000" w:sz="4" w:space="0"/>
              <w:right w:val="single" w:color="000000" w:sz="4" w:space="0"/>
            </w:tcBorders>
            <w:vAlign w:val="center"/>
          </w:tcPr>
          <w:p w14:paraId="3F40C85A">
            <w:pPr>
              <w:pStyle w:val="12"/>
            </w:pPr>
            <w:r>
              <w:rPr>
                <w:rFonts w:hint="eastAsia"/>
              </w:rPr>
              <w:t>监测监管系统</w:t>
            </w:r>
          </w:p>
        </w:tc>
        <w:tc>
          <w:tcPr>
            <w:tcW w:w="3457" w:type="dxa"/>
            <w:tcBorders>
              <w:top w:val="single" w:color="000000" w:sz="4" w:space="0"/>
              <w:left w:val="single" w:color="000000" w:sz="4" w:space="0"/>
              <w:bottom w:val="single" w:color="000000" w:sz="4" w:space="0"/>
              <w:right w:val="single" w:color="000000" w:sz="4" w:space="0"/>
            </w:tcBorders>
            <w:vAlign w:val="center"/>
          </w:tcPr>
          <w:p w14:paraId="0340E44C">
            <w:pPr>
              <w:pStyle w:val="12"/>
            </w:pPr>
            <w:r>
              <w:rPr>
                <w:rFonts w:hint="eastAsia"/>
              </w:rPr>
              <w:t>监测指标数量</w:t>
            </w:r>
          </w:p>
        </w:tc>
        <w:tc>
          <w:tcPr>
            <w:tcW w:w="1543" w:type="dxa"/>
            <w:tcBorders>
              <w:top w:val="single" w:color="000000" w:sz="4" w:space="0"/>
              <w:left w:val="single" w:color="000000" w:sz="4" w:space="0"/>
              <w:bottom w:val="single" w:color="000000" w:sz="4" w:space="0"/>
              <w:right w:val="single" w:color="000000" w:sz="4" w:space="0"/>
            </w:tcBorders>
            <w:vAlign w:val="center"/>
          </w:tcPr>
          <w:p w14:paraId="3C6E1DE3">
            <w:pPr>
              <w:pStyle w:val="12"/>
            </w:pPr>
            <w:r>
              <w:rPr>
                <w:rFonts w:hint="eastAsia"/>
              </w:rPr>
              <w:t>≥20</w:t>
            </w:r>
          </w:p>
        </w:tc>
      </w:tr>
      <w:tr w14:paraId="6CB5767E">
        <w:tblPrEx>
          <w:tblCellMar>
            <w:top w:w="0" w:type="dxa"/>
            <w:left w:w="108" w:type="dxa"/>
            <w:bottom w:w="0" w:type="dxa"/>
            <w:right w:w="108" w:type="dxa"/>
          </w:tblCellMar>
        </w:tblPrEx>
        <w:trPr>
          <w:trHeight w:val="23" w:hRule="atLeast"/>
        </w:trPr>
        <w:tc>
          <w:tcPr>
            <w:tcW w:w="945" w:type="dxa"/>
            <w:vMerge w:val="restart"/>
            <w:tcBorders>
              <w:left w:val="single" w:color="000000" w:sz="4" w:space="0"/>
              <w:bottom w:val="single" w:color="auto" w:sz="4" w:space="0"/>
              <w:right w:val="single" w:color="auto" w:sz="4" w:space="0"/>
            </w:tcBorders>
            <w:vAlign w:val="center"/>
          </w:tcPr>
          <w:p w14:paraId="02100B11">
            <w:pPr>
              <w:pStyle w:val="12"/>
            </w:pPr>
            <w:r>
              <w:rPr>
                <w:rFonts w:hint="eastAsia"/>
              </w:rPr>
              <w:t>通用指标</w:t>
            </w:r>
          </w:p>
        </w:tc>
        <w:tc>
          <w:tcPr>
            <w:tcW w:w="754" w:type="dxa"/>
            <w:vMerge w:val="restart"/>
            <w:tcBorders>
              <w:top w:val="single" w:color="000000" w:sz="4" w:space="0"/>
              <w:left w:val="single" w:color="auto" w:sz="4" w:space="0"/>
              <w:right w:val="single" w:color="000000" w:sz="4" w:space="0"/>
            </w:tcBorders>
            <w:vAlign w:val="center"/>
          </w:tcPr>
          <w:p w14:paraId="7FC6F34F">
            <w:pPr>
              <w:pStyle w:val="12"/>
            </w:pPr>
            <w:r>
              <w:rPr>
                <w:rFonts w:hint="eastAsia"/>
              </w:rPr>
              <w:t>安全体系</w:t>
            </w:r>
          </w:p>
        </w:tc>
        <w:tc>
          <w:tcPr>
            <w:tcW w:w="1615" w:type="dxa"/>
            <w:vMerge w:val="restart"/>
            <w:tcBorders>
              <w:top w:val="single" w:color="000000" w:sz="4" w:space="0"/>
              <w:left w:val="single" w:color="000000" w:sz="4" w:space="0"/>
              <w:right w:val="single" w:color="000000" w:sz="4" w:space="0"/>
            </w:tcBorders>
            <w:vAlign w:val="center"/>
          </w:tcPr>
          <w:p w14:paraId="1E7EE206">
            <w:pPr>
              <w:pStyle w:val="12"/>
            </w:pPr>
            <w:r>
              <w:rPr>
                <w:rFonts w:hint="eastAsia"/>
              </w:rPr>
              <w:t>安全建设水平</w:t>
            </w:r>
          </w:p>
        </w:tc>
        <w:tc>
          <w:tcPr>
            <w:tcW w:w="3457" w:type="dxa"/>
            <w:tcBorders>
              <w:top w:val="single" w:color="000000" w:sz="4" w:space="0"/>
              <w:left w:val="single" w:color="000000" w:sz="4" w:space="0"/>
              <w:bottom w:val="single" w:color="000000" w:sz="4" w:space="0"/>
              <w:right w:val="single" w:color="000000" w:sz="4" w:space="0"/>
            </w:tcBorders>
            <w:vAlign w:val="center"/>
          </w:tcPr>
          <w:p w14:paraId="0DCB6889">
            <w:pPr>
              <w:pStyle w:val="12"/>
            </w:pPr>
            <w:r>
              <w:rPr>
                <w:rFonts w:hint="eastAsia"/>
              </w:rPr>
              <w:t>病毒有效拦截率</w:t>
            </w:r>
          </w:p>
        </w:tc>
        <w:tc>
          <w:tcPr>
            <w:tcW w:w="1543" w:type="dxa"/>
            <w:tcBorders>
              <w:top w:val="single" w:color="000000" w:sz="4" w:space="0"/>
              <w:left w:val="single" w:color="000000" w:sz="4" w:space="0"/>
              <w:bottom w:val="single" w:color="000000" w:sz="4" w:space="0"/>
              <w:right w:val="single" w:color="000000" w:sz="4" w:space="0"/>
            </w:tcBorders>
            <w:vAlign w:val="center"/>
          </w:tcPr>
          <w:p w14:paraId="2E2E4F58">
            <w:pPr>
              <w:pStyle w:val="12"/>
              <w:rPr>
                <w:rFonts w:eastAsia="仿宋"/>
              </w:rPr>
            </w:pPr>
            <w:r>
              <w:rPr>
                <w:rFonts w:hint="eastAsia"/>
              </w:rPr>
              <w:t>≥99%</w:t>
            </w:r>
          </w:p>
        </w:tc>
      </w:tr>
      <w:tr w14:paraId="709214D1">
        <w:tblPrEx>
          <w:tblCellMar>
            <w:top w:w="0" w:type="dxa"/>
            <w:left w:w="108" w:type="dxa"/>
            <w:bottom w:w="0" w:type="dxa"/>
            <w:right w:w="108" w:type="dxa"/>
          </w:tblCellMar>
        </w:tblPrEx>
        <w:trPr>
          <w:trHeight w:val="23" w:hRule="atLeast"/>
        </w:trPr>
        <w:tc>
          <w:tcPr>
            <w:tcW w:w="945" w:type="dxa"/>
            <w:vMerge w:val="restart"/>
            <w:tcBorders>
              <w:left w:val="single" w:color="000000" w:sz="4" w:space="0"/>
              <w:bottom w:val="single" w:color="auto" w:sz="4" w:space="0"/>
              <w:right w:val="single" w:color="auto" w:sz="4" w:space="0"/>
            </w:tcBorders>
            <w:vAlign w:val="center"/>
          </w:tcPr>
          <w:p w14:paraId="6CB52820">
            <w:pPr>
              <w:pStyle w:val="12"/>
            </w:pPr>
            <w:r>
              <w:rPr>
                <w:rFonts w:hint="eastAsia"/>
              </w:rPr>
              <w:t>通用指标</w:t>
            </w:r>
          </w:p>
        </w:tc>
        <w:tc>
          <w:tcPr>
            <w:tcW w:w="754" w:type="dxa"/>
            <w:vMerge w:val="restart"/>
            <w:tcBorders>
              <w:top w:val="single" w:color="000000" w:sz="4" w:space="0"/>
              <w:left w:val="single" w:color="auto" w:sz="4" w:space="0"/>
              <w:right w:val="single" w:color="000000" w:sz="4" w:space="0"/>
            </w:tcBorders>
            <w:vAlign w:val="center"/>
          </w:tcPr>
          <w:p w14:paraId="51FD3001">
            <w:pPr>
              <w:pStyle w:val="12"/>
            </w:pPr>
            <w:r>
              <w:rPr>
                <w:rFonts w:hint="eastAsia"/>
              </w:rPr>
              <w:t>安全体系</w:t>
            </w:r>
          </w:p>
        </w:tc>
        <w:tc>
          <w:tcPr>
            <w:tcW w:w="1615" w:type="dxa"/>
            <w:vMerge w:val="restart"/>
            <w:tcBorders>
              <w:top w:val="single" w:color="000000" w:sz="4" w:space="0"/>
              <w:left w:val="single" w:color="000000" w:sz="4" w:space="0"/>
              <w:right w:val="single" w:color="000000" w:sz="4" w:space="0"/>
            </w:tcBorders>
            <w:vAlign w:val="center"/>
          </w:tcPr>
          <w:p w14:paraId="0EA2C04A">
            <w:pPr>
              <w:pStyle w:val="12"/>
            </w:pPr>
            <w:r>
              <w:rPr>
                <w:rFonts w:hint="eastAsia"/>
              </w:rPr>
              <w:t>安全建设水平</w:t>
            </w:r>
          </w:p>
        </w:tc>
        <w:tc>
          <w:tcPr>
            <w:tcW w:w="3457" w:type="dxa"/>
            <w:tcBorders>
              <w:top w:val="single" w:color="000000" w:sz="4" w:space="0"/>
              <w:left w:val="single" w:color="000000" w:sz="4" w:space="0"/>
              <w:bottom w:val="single" w:color="000000" w:sz="4" w:space="0"/>
              <w:right w:val="single" w:color="000000" w:sz="4" w:space="0"/>
            </w:tcBorders>
            <w:vAlign w:val="center"/>
          </w:tcPr>
          <w:p w14:paraId="2E9BF365">
            <w:pPr>
              <w:pStyle w:val="12"/>
            </w:pPr>
            <w:r>
              <w:rPr>
                <w:rFonts w:hint="eastAsia"/>
              </w:rPr>
              <w:t>数据风险监测覆盖率</w:t>
            </w:r>
          </w:p>
        </w:tc>
        <w:tc>
          <w:tcPr>
            <w:tcW w:w="1543" w:type="dxa"/>
            <w:tcBorders>
              <w:top w:val="single" w:color="000000" w:sz="4" w:space="0"/>
              <w:left w:val="single" w:color="000000" w:sz="4" w:space="0"/>
              <w:bottom w:val="single" w:color="000000" w:sz="4" w:space="0"/>
              <w:right w:val="single" w:color="000000" w:sz="4" w:space="0"/>
            </w:tcBorders>
            <w:vAlign w:val="center"/>
          </w:tcPr>
          <w:p w14:paraId="31C41EEB">
            <w:pPr>
              <w:pStyle w:val="12"/>
            </w:pPr>
            <w:r>
              <w:rPr>
                <w:rFonts w:hint="eastAsia"/>
              </w:rPr>
              <w:t>≥95</w:t>
            </w:r>
          </w:p>
        </w:tc>
      </w:tr>
      <w:tr w14:paraId="0F16D485">
        <w:tblPrEx>
          <w:tblCellMar>
            <w:top w:w="0" w:type="dxa"/>
            <w:left w:w="108" w:type="dxa"/>
            <w:bottom w:w="0" w:type="dxa"/>
            <w:right w:w="108" w:type="dxa"/>
          </w:tblCellMar>
        </w:tblPrEx>
        <w:trPr>
          <w:trHeight w:val="23" w:hRule="atLeast"/>
        </w:trPr>
        <w:tc>
          <w:tcPr>
            <w:tcW w:w="945" w:type="dxa"/>
            <w:vMerge w:val="restart"/>
            <w:tcBorders>
              <w:left w:val="single" w:color="000000" w:sz="4" w:space="0"/>
              <w:bottom w:val="single" w:color="auto" w:sz="4" w:space="0"/>
              <w:right w:val="single" w:color="auto" w:sz="4" w:space="0"/>
            </w:tcBorders>
            <w:vAlign w:val="center"/>
          </w:tcPr>
          <w:p w14:paraId="4068D1C7">
            <w:pPr>
              <w:pStyle w:val="12"/>
            </w:pPr>
            <w:r>
              <w:rPr>
                <w:rFonts w:hint="eastAsia"/>
              </w:rPr>
              <w:t>通用指标</w:t>
            </w:r>
          </w:p>
        </w:tc>
        <w:tc>
          <w:tcPr>
            <w:tcW w:w="754" w:type="dxa"/>
            <w:vMerge w:val="restart"/>
            <w:tcBorders>
              <w:top w:val="single" w:color="000000" w:sz="4" w:space="0"/>
              <w:left w:val="single" w:color="auto" w:sz="4" w:space="0"/>
              <w:right w:val="single" w:color="000000" w:sz="4" w:space="0"/>
            </w:tcBorders>
            <w:vAlign w:val="center"/>
          </w:tcPr>
          <w:p w14:paraId="36E477DE">
            <w:pPr>
              <w:pStyle w:val="12"/>
            </w:pPr>
            <w:r>
              <w:rPr>
                <w:rFonts w:hint="eastAsia"/>
              </w:rPr>
              <w:t>安全体系</w:t>
            </w:r>
          </w:p>
        </w:tc>
        <w:tc>
          <w:tcPr>
            <w:tcW w:w="1615" w:type="dxa"/>
            <w:vMerge w:val="restart"/>
            <w:tcBorders>
              <w:top w:val="single" w:color="000000" w:sz="4" w:space="0"/>
              <w:left w:val="single" w:color="000000" w:sz="4" w:space="0"/>
              <w:right w:val="single" w:color="000000" w:sz="4" w:space="0"/>
            </w:tcBorders>
            <w:vAlign w:val="center"/>
          </w:tcPr>
          <w:p w14:paraId="07A9BFD8">
            <w:pPr>
              <w:pStyle w:val="12"/>
            </w:pPr>
            <w:r>
              <w:rPr>
                <w:rFonts w:hint="eastAsia"/>
              </w:rPr>
              <w:t>安全建设水平</w:t>
            </w:r>
          </w:p>
        </w:tc>
        <w:tc>
          <w:tcPr>
            <w:tcW w:w="3457" w:type="dxa"/>
            <w:tcBorders>
              <w:top w:val="single" w:color="000000" w:sz="4" w:space="0"/>
              <w:left w:val="single" w:color="000000" w:sz="4" w:space="0"/>
              <w:bottom w:val="single" w:color="000000" w:sz="4" w:space="0"/>
              <w:right w:val="single" w:color="000000" w:sz="4" w:space="0"/>
            </w:tcBorders>
            <w:vAlign w:val="center"/>
          </w:tcPr>
          <w:p w14:paraId="21F436E9">
            <w:pPr>
              <w:pStyle w:val="12"/>
            </w:pPr>
            <w:r>
              <w:rPr>
                <w:rFonts w:hint="eastAsia"/>
              </w:rPr>
              <w:t>信息系统安全监管覆盖率</w:t>
            </w:r>
          </w:p>
        </w:tc>
        <w:tc>
          <w:tcPr>
            <w:tcW w:w="1543" w:type="dxa"/>
            <w:tcBorders>
              <w:top w:val="single" w:color="000000" w:sz="4" w:space="0"/>
              <w:left w:val="single" w:color="000000" w:sz="4" w:space="0"/>
              <w:bottom w:val="single" w:color="000000" w:sz="4" w:space="0"/>
              <w:right w:val="single" w:color="000000" w:sz="4" w:space="0"/>
            </w:tcBorders>
            <w:vAlign w:val="center"/>
          </w:tcPr>
          <w:p w14:paraId="5AD8FDD8">
            <w:pPr>
              <w:pStyle w:val="12"/>
            </w:pPr>
            <w:r>
              <w:rPr>
                <w:rFonts w:hint="eastAsia"/>
              </w:rPr>
              <w:t>=100</w:t>
            </w:r>
          </w:p>
        </w:tc>
      </w:tr>
      <w:tr w14:paraId="30714ADB">
        <w:tblPrEx>
          <w:tblCellMar>
            <w:top w:w="0" w:type="dxa"/>
            <w:left w:w="108" w:type="dxa"/>
            <w:bottom w:w="0" w:type="dxa"/>
            <w:right w:w="108" w:type="dxa"/>
          </w:tblCellMar>
        </w:tblPrEx>
        <w:trPr>
          <w:trHeight w:val="23" w:hRule="atLeast"/>
        </w:trPr>
        <w:tc>
          <w:tcPr>
            <w:tcW w:w="945" w:type="dxa"/>
            <w:vMerge w:val="restart"/>
            <w:tcBorders>
              <w:left w:val="single" w:color="000000" w:sz="4" w:space="0"/>
              <w:bottom w:val="single" w:color="auto" w:sz="4" w:space="0"/>
              <w:right w:val="single" w:color="auto" w:sz="4" w:space="0"/>
            </w:tcBorders>
            <w:vAlign w:val="center"/>
          </w:tcPr>
          <w:p w14:paraId="6F77FE87">
            <w:pPr>
              <w:pStyle w:val="12"/>
            </w:pPr>
            <w:r>
              <w:rPr>
                <w:rFonts w:hint="eastAsia"/>
              </w:rPr>
              <w:t>通用指标</w:t>
            </w:r>
          </w:p>
        </w:tc>
        <w:tc>
          <w:tcPr>
            <w:tcW w:w="754" w:type="dxa"/>
            <w:vMerge w:val="restart"/>
            <w:tcBorders>
              <w:top w:val="single" w:color="000000" w:sz="4" w:space="0"/>
              <w:left w:val="single" w:color="auto" w:sz="4" w:space="0"/>
              <w:right w:val="single" w:color="000000" w:sz="4" w:space="0"/>
            </w:tcBorders>
            <w:vAlign w:val="center"/>
          </w:tcPr>
          <w:p w14:paraId="66CA9D97">
            <w:pPr>
              <w:pStyle w:val="12"/>
            </w:pPr>
            <w:r>
              <w:rPr>
                <w:rFonts w:hint="eastAsia"/>
              </w:rPr>
              <w:t>安全体系</w:t>
            </w:r>
          </w:p>
        </w:tc>
        <w:tc>
          <w:tcPr>
            <w:tcW w:w="1615" w:type="dxa"/>
            <w:vMerge w:val="restart"/>
            <w:tcBorders>
              <w:top w:val="single" w:color="000000" w:sz="4" w:space="0"/>
              <w:left w:val="single" w:color="000000" w:sz="4" w:space="0"/>
              <w:right w:val="single" w:color="000000" w:sz="4" w:space="0"/>
            </w:tcBorders>
            <w:vAlign w:val="center"/>
          </w:tcPr>
          <w:p w14:paraId="318EF276">
            <w:pPr>
              <w:pStyle w:val="12"/>
            </w:pPr>
            <w:r>
              <w:rPr>
                <w:rFonts w:hint="eastAsia"/>
              </w:rPr>
              <w:t>安全建设水平</w:t>
            </w:r>
          </w:p>
        </w:tc>
        <w:tc>
          <w:tcPr>
            <w:tcW w:w="3457" w:type="dxa"/>
            <w:tcBorders>
              <w:top w:val="single" w:color="000000" w:sz="4" w:space="0"/>
              <w:left w:val="single" w:color="000000" w:sz="4" w:space="0"/>
              <w:bottom w:val="single" w:color="000000" w:sz="4" w:space="0"/>
              <w:right w:val="single" w:color="000000" w:sz="4" w:space="0"/>
            </w:tcBorders>
            <w:vAlign w:val="center"/>
          </w:tcPr>
          <w:p w14:paraId="1ED06DEF">
            <w:pPr>
              <w:pStyle w:val="12"/>
            </w:pPr>
            <w:r>
              <w:rPr>
                <w:rFonts w:hint="eastAsia"/>
              </w:rPr>
              <w:t>系统安全措施</w:t>
            </w:r>
          </w:p>
        </w:tc>
        <w:tc>
          <w:tcPr>
            <w:tcW w:w="1543" w:type="dxa"/>
            <w:tcBorders>
              <w:top w:val="single" w:color="000000" w:sz="4" w:space="0"/>
              <w:left w:val="single" w:color="000000" w:sz="4" w:space="0"/>
              <w:bottom w:val="single" w:color="000000" w:sz="4" w:space="0"/>
              <w:right w:val="single" w:color="000000" w:sz="4" w:space="0"/>
            </w:tcBorders>
            <w:vAlign w:val="center"/>
          </w:tcPr>
          <w:p w14:paraId="44819165">
            <w:pPr>
              <w:pStyle w:val="12"/>
            </w:pPr>
            <w:r>
              <w:rPr>
                <w:rFonts w:hint="eastAsia"/>
              </w:rPr>
              <w:t>有</w:t>
            </w:r>
          </w:p>
        </w:tc>
      </w:tr>
      <w:tr w14:paraId="1C63D127">
        <w:tblPrEx>
          <w:tblCellMar>
            <w:top w:w="0" w:type="dxa"/>
            <w:left w:w="108" w:type="dxa"/>
            <w:bottom w:w="0" w:type="dxa"/>
            <w:right w:w="108" w:type="dxa"/>
          </w:tblCellMar>
        </w:tblPrEx>
        <w:trPr>
          <w:trHeight w:val="23" w:hRule="atLeast"/>
        </w:trPr>
        <w:tc>
          <w:tcPr>
            <w:tcW w:w="945" w:type="dxa"/>
            <w:vMerge w:val="restart"/>
            <w:tcBorders>
              <w:left w:val="single" w:color="000000" w:sz="4" w:space="0"/>
              <w:bottom w:val="single" w:color="auto" w:sz="4" w:space="0"/>
              <w:right w:val="single" w:color="auto" w:sz="4" w:space="0"/>
            </w:tcBorders>
            <w:vAlign w:val="center"/>
          </w:tcPr>
          <w:p w14:paraId="276C5D27">
            <w:pPr>
              <w:pStyle w:val="12"/>
            </w:pPr>
            <w:r>
              <w:rPr>
                <w:rFonts w:hint="eastAsia"/>
              </w:rPr>
              <w:t>通用指标</w:t>
            </w:r>
          </w:p>
        </w:tc>
        <w:tc>
          <w:tcPr>
            <w:tcW w:w="754" w:type="dxa"/>
            <w:vMerge w:val="restart"/>
            <w:tcBorders>
              <w:top w:val="single" w:color="000000" w:sz="4" w:space="0"/>
              <w:left w:val="single" w:color="auto" w:sz="4" w:space="0"/>
              <w:right w:val="single" w:color="000000" w:sz="4" w:space="0"/>
            </w:tcBorders>
            <w:vAlign w:val="center"/>
          </w:tcPr>
          <w:p w14:paraId="2F694A32">
            <w:pPr>
              <w:pStyle w:val="12"/>
            </w:pPr>
            <w:r>
              <w:rPr>
                <w:rFonts w:hint="eastAsia"/>
              </w:rPr>
              <w:t>安全体系</w:t>
            </w:r>
          </w:p>
        </w:tc>
        <w:tc>
          <w:tcPr>
            <w:tcW w:w="1615" w:type="dxa"/>
            <w:vMerge w:val="restart"/>
            <w:tcBorders>
              <w:top w:val="single" w:color="000000" w:sz="4" w:space="0"/>
              <w:left w:val="single" w:color="000000" w:sz="4" w:space="0"/>
              <w:right w:val="single" w:color="000000" w:sz="4" w:space="0"/>
            </w:tcBorders>
            <w:vAlign w:val="center"/>
          </w:tcPr>
          <w:p w14:paraId="611A69A1">
            <w:pPr>
              <w:pStyle w:val="12"/>
            </w:pPr>
            <w:r>
              <w:rPr>
                <w:rFonts w:hint="eastAsia"/>
              </w:rPr>
              <w:t>安全建设水平</w:t>
            </w:r>
          </w:p>
        </w:tc>
        <w:tc>
          <w:tcPr>
            <w:tcW w:w="3457" w:type="dxa"/>
            <w:tcBorders>
              <w:top w:val="single" w:color="000000" w:sz="4" w:space="0"/>
              <w:left w:val="single" w:color="000000" w:sz="4" w:space="0"/>
              <w:bottom w:val="single" w:color="000000" w:sz="4" w:space="0"/>
              <w:right w:val="single" w:color="000000" w:sz="4" w:space="0"/>
            </w:tcBorders>
            <w:vAlign w:val="center"/>
          </w:tcPr>
          <w:p w14:paraId="02058F1D">
            <w:pPr>
              <w:pStyle w:val="12"/>
            </w:pPr>
            <w:r>
              <w:rPr>
                <w:rFonts w:hint="eastAsia"/>
              </w:rPr>
              <w:t>网络安全措施</w:t>
            </w:r>
          </w:p>
        </w:tc>
        <w:tc>
          <w:tcPr>
            <w:tcW w:w="1543" w:type="dxa"/>
            <w:tcBorders>
              <w:top w:val="single" w:color="000000" w:sz="4" w:space="0"/>
              <w:left w:val="single" w:color="000000" w:sz="4" w:space="0"/>
              <w:bottom w:val="single" w:color="000000" w:sz="4" w:space="0"/>
              <w:right w:val="single" w:color="000000" w:sz="4" w:space="0"/>
            </w:tcBorders>
            <w:vAlign w:val="center"/>
          </w:tcPr>
          <w:p w14:paraId="0E6C844C">
            <w:pPr>
              <w:pStyle w:val="12"/>
            </w:pPr>
            <w:r>
              <w:rPr>
                <w:rFonts w:hint="eastAsia"/>
              </w:rPr>
              <w:t>有</w:t>
            </w:r>
          </w:p>
        </w:tc>
      </w:tr>
      <w:tr w14:paraId="3007126A">
        <w:tblPrEx>
          <w:tblCellMar>
            <w:top w:w="0" w:type="dxa"/>
            <w:left w:w="108" w:type="dxa"/>
            <w:bottom w:w="0" w:type="dxa"/>
            <w:right w:w="108" w:type="dxa"/>
          </w:tblCellMar>
        </w:tblPrEx>
        <w:trPr>
          <w:trHeight w:val="23" w:hRule="atLeast"/>
        </w:trPr>
        <w:tc>
          <w:tcPr>
            <w:tcW w:w="945" w:type="dxa"/>
            <w:tcBorders>
              <w:left w:val="single" w:color="000000" w:sz="4" w:space="0"/>
              <w:bottom w:val="single" w:color="auto" w:sz="4" w:space="0"/>
              <w:right w:val="single" w:color="auto" w:sz="4" w:space="0"/>
            </w:tcBorders>
            <w:vAlign w:val="center"/>
          </w:tcPr>
          <w:p w14:paraId="01CBED81">
            <w:pPr>
              <w:pStyle w:val="12"/>
            </w:pPr>
            <w:r>
              <w:rPr>
                <w:rFonts w:hint="eastAsia"/>
              </w:rPr>
              <w:t>通用指标</w:t>
            </w:r>
          </w:p>
        </w:tc>
        <w:tc>
          <w:tcPr>
            <w:tcW w:w="754" w:type="dxa"/>
            <w:tcBorders>
              <w:top w:val="single" w:color="000000" w:sz="4" w:space="0"/>
              <w:left w:val="single" w:color="auto" w:sz="4" w:space="0"/>
              <w:right w:val="single" w:color="000000" w:sz="4" w:space="0"/>
            </w:tcBorders>
            <w:vAlign w:val="center"/>
          </w:tcPr>
          <w:p w14:paraId="17B68FF4">
            <w:pPr>
              <w:pStyle w:val="12"/>
            </w:pPr>
            <w:r>
              <w:rPr>
                <w:rFonts w:hint="eastAsia"/>
              </w:rPr>
              <w:t>安全体系</w:t>
            </w:r>
          </w:p>
        </w:tc>
        <w:tc>
          <w:tcPr>
            <w:tcW w:w="1615" w:type="dxa"/>
            <w:tcBorders>
              <w:top w:val="single" w:color="000000" w:sz="4" w:space="0"/>
              <w:left w:val="single" w:color="000000" w:sz="4" w:space="0"/>
              <w:right w:val="single" w:color="000000" w:sz="4" w:space="0"/>
            </w:tcBorders>
            <w:vAlign w:val="center"/>
          </w:tcPr>
          <w:p w14:paraId="1B90EE51">
            <w:pPr>
              <w:pStyle w:val="12"/>
            </w:pPr>
            <w:r>
              <w:rPr>
                <w:rFonts w:hint="eastAsia"/>
              </w:rPr>
              <w:t>安全建设水平</w:t>
            </w:r>
          </w:p>
        </w:tc>
        <w:tc>
          <w:tcPr>
            <w:tcW w:w="3457" w:type="dxa"/>
            <w:tcBorders>
              <w:top w:val="single" w:color="000000" w:sz="4" w:space="0"/>
              <w:left w:val="single" w:color="000000" w:sz="4" w:space="0"/>
              <w:bottom w:val="single" w:color="000000" w:sz="4" w:space="0"/>
              <w:right w:val="single" w:color="000000" w:sz="4" w:space="0"/>
            </w:tcBorders>
            <w:vAlign w:val="center"/>
          </w:tcPr>
          <w:p w14:paraId="1D03422C">
            <w:pPr>
              <w:pStyle w:val="12"/>
            </w:pPr>
            <w:r>
              <w:rPr>
                <w:rFonts w:hint="eastAsia"/>
              </w:rPr>
              <w:t>数据安全措施</w:t>
            </w:r>
          </w:p>
        </w:tc>
        <w:tc>
          <w:tcPr>
            <w:tcW w:w="1543" w:type="dxa"/>
            <w:tcBorders>
              <w:top w:val="single" w:color="000000" w:sz="4" w:space="0"/>
              <w:left w:val="single" w:color="000000" w:sz="4" w:space="0"/>
              <w:bottom w:val="single" w:color="000000" w:sz="4" w:space="0"/>
              <w:right w:val="single" w:color="000000" w:sz="4" w:space="0"/>
            </w:tcBorders>
            <w:vAlign w:val="center"/>
          </w:tcPr>
          <w:p w14:paraId="44FA4E2C">
            <w:pPr>
              <w:pStyle w:val="12"/>
            </w:pPr>
            <w:r>
              <w:rPr>
                <w:rFonts w:hint="eastAsia"/>
              </w:rPr>
              <w:t>有</w:t>
            </w:r>
          </w:p>
        </w:tc>
      </w:tr>
      <w:tr w14:paraId="662F23DE">
        <w:tblPrEx>
          <w:tblCellMar>
            <w:top w:w="0" w:type="dxa"/>
            <w:left w:w="108" w:type="dxa"/>
            <w:bottom w:w="0" w:type="dxa"/>
            <w:right w:w="108" w:type="dxa"/>
          </w:tblCellMar>
        </w:tblPrEx>
        <w:trPr>
          <w:trHeight w:val="90" w:hRule="atLeast"/>
        </w:trPr>
        <w:tc>
          <w:tcPr>
            <w:tcW w:w="945" w:type="dxa"/>
            <w:vMerge w:val="restart"/>
            <w:tcBorders>
              <w:top w:val="single" w:color="auto" w:sz="4" w:space="0"/>
              <w:left w:val="single" w:color="000000" w:sz="4" w:space="0"/>
              <w:right w:val="single" w:color="auto" w:sz="4" w:space="0"/>
            </w:tcBorders>
            <w:vAlign w:val="center"/>
          </w:tcPr>
          <w:p w14:paraId="7A5BAE55">
            <w:pPr>
              <w:pStyle w:val="12"/>
            </w:pPr>
            <w:r>
              <w:rPr>
                <w:rFonts w:hint="eastAsia"/>
              </w:rPr>
              <w:t>业务指标</w:t>
            </w:r>
          </w:p>
        </w:tc>
        <w:tc>
          <w:tcPr>
            <w:tcW w:w="754" w:type="dxa"/>
            <w:vMerge w:val="restart"/>
            <w:tcBorders>
              <w:top w:val="single" w:color="000000" w:sz="4" w:space="0"/>
              <w:left w:val="single" w:color="auto" w:sz="4" w:space="0"/>
              <w:right w:val="single" w:color="000000" w:sz="4" w:space="0"/>
            </w:tcBorders>
            <w:vAlign w:val="center"/>
          </w:tcPr>
          <w:p w14:paraId="52A59096">
            <w:pPr>
              <w:pStyle w:val="12"/>
            </w:pPr>
            <w:r>
              <w:rPr>
                <w:rFonts w:hint="eastAsia"/>
              </w:rPr>
              <w:t>效益指标</w:t>
            </w:r>
          </w:p>
        </w:tc>
        <w:tc>
          <w:tcPr>
            <w:tcW w:w="1615" w:type="dxa"/>
            <w:tcBorders>
              <w:top w:val="single" w:color="000000" w:sz="4" w:space="0"/>
              <w:left w:val="single" w:color="000000" w:sz="4" w:space="0"/>
              <w:right w:val="single" w:color="000000" w:sz="4" w:space="0"/>
            </w:tcBorders>
            <w:vAlign w:val="center"/>
          </w:tcPr>
          <w:p w14:paraId="3EA5C01B">
            <w:pPr>
              <w:pStyle w:val="12"/>
            </w:pPr>
            <w:r>
              <w:rPr>
                <w:rFonts w:hint="eastAsia"/>
              </w:rPr>
              <w:t>经济效益</w:t>
            </w:r>
          </w:p>
        </w:tc>
        <w:tc>
          <w:tcPr>
            <w:tcW w:w="3457" w:type="dxa"/>
            <w:tcBorders>
              <w:top w:val="single" w:color="000000" w:sz="4" w:space="0"/>
              <w:left w:val="single" w:color="000000" w:sz="4" w:space="0"/>
              <w:bottom w:val="single" w:color="000000" w:sz="4" w:space="0"/>
              <w:right w:val="single" w:color="000000" w:sz="4" w:space="0"/>
            </w:tcBorders>
            <w:vAlign w:val="center"/>
          </w:tcPr>
          <w:p w14:paraId="49F2C899">
            <w:pPr>
              <w:pStyle w:val="12"/>
              <w:rPr>
                <w:rFonts w:eastAsia="仿宋"/>
              </w:rPr>
            </w:pPr>
            <w:r>
              <w:rPr>
                <w:rFonts w:hint="eastAsia"/>
              </w:rPr>
              <w:t>年度执法次数减少</w:t>
            </w:r>
          </w:p>
        </w:tc>
        <w:tc>
          <w:tcPr>
            <w:tcW w:w="1543" w:type="dxa"/>
            <w:tcBorders>
              <w:top w:val="single" w:color="000000" w:sz="4" w:space="0"/>
              <w:left w:val="single" w:color="000000" w:sz="4" w:space="0"/>
              <w:bottom w:val="single" w:color="000000" w:sz="4" w:space="0"/>
              <w:right w:val="single" w:color="000000" w:sz="4" w:space="0"/>
            </w:tcBorders>
            <w:vAlign w:val="center"/>
          </w:tcPr>
          <w:p w14:paraId="2DE2BFC7">
            <w:pPr>
              <w:pStyle w:val="12"/>
              <w:rPr>
                <w:rFonts w:eastAsia="仿宋"/>
              </w:rPr>
            </w:pPr>
            <w:r>
              <w:rPr>
                <w:rFonts w:hint="eastAsia"/>
              </w:rPr>
              <w:t>≥100次</w:t>
            </w:r>
          </w:p>
        </w:tc>
      </w:tr>
      <w:tr w14:paraId="7B9D76CB">
        <w:tblPrEx>
          <w:tblCellMar>
            <w:top w:w="0" w:type="dxa"/>
            <w:left w:w="108" w:type="dxa"/>
            <w:bottom w:w="0" w:type="dxa"/>
            <w:right w:w="108" w:type="dxa"/>
          </w:tblCellMar>
        </w:tblPrEx>
        <w:trPr>
          <w:trHeight w:val="23" w:hRule="atLeast"/>
        </w:trPr>
        <w:tc>
          <w:tcPr>
            <w:tcW w:w="945" w:type="dxa"/>
            <w:vMerge w:val="continue"/>
            <w:tcBorders>
              <w:left w:val="single" w:color="000000" w:sz="4" w:space="0"/>
              <w:right w:val="single" w:color="auto" w:sz="4" w:space="0"/>
            </w:tcBorders>
            <w:vAlign w:val="center"/>
          </w:tcPr>
          <w:p w14:paraId="02398A2F">
            <w:pPr>
              <w:pStyle w:val="12"/>
            </w:pPr>
          </w:p>
        </w:tc>
        <w:tc>
          <w:tcPr>
            <w:tcW w:w="754" w:type="dxa"/>
            <w:tcBorders>
              <w:top w:val="single" w:color="000000" w:sz="4" w:space="0"/>
              <w:left w:val="single" w:color="auto" w:sz="4" w:space="0"/>
              <w:right w:val="single" w:color="000000" w:sz="4" w:space="0"/>
            </w:tcBorders>
            <w:vAlign w:val="center"/>
          </w:tcPr>
          <w:p w14:paraId="164F790E">
            <w:pPr>
              <w:pStyle w:val="12"/>
            </w:pPr>
            <w:r>
              <w:rPr>
                <w:rFonts w:hint="eastAsia"/>
              </w:rPr>
              <w:t>效益指标</w:t>
            </w:r>
          </w:p>
        </w:tc>
        <w:tc>
          <w:tcPr>
            <w:tcW w:w="1615" w:type="dxa"/>
            <w:tcBorders>
              <w:top w:val="single" w:color="000000" w:sz="4" w:space="0"/>
              <w:left w:val="single" w:color="000000" w:sz="4" w:space="0"/>
              <w:bottom w:val="single" w:color="000000" w:sz="4" w:space="0"/>
              <w:right w:val="single" w:color="000000" w:sz="4" w:space="0"/>
            </w:tcBorders>
            <w:vAlign w:val="center"/>
          </w:tcPr>
          <w:p w14:paraId="5E3E835B">
            <w:pPr>
              <w:pStyle w:val="12"/>
            </w:pPr>
            <w:r>
              <w:rPr>
                <w:rFonts w:hint="eastAsia"/>
              </w:rPr>
              <w:t>生态效益</w:t>
            </w:r>
          </w:p>
        </w:tc>
        <w:tc>
          <w:tcPr>
            <w:tcW w:w="3457" w:type="dxa"/>
            <w:tcBorders>
              <w:top w:val="single" w:color="000000" w:sz="4" w:space="0"/>
              <w:left w:val="single" w:color="000000" w:sz="4" w:space="0"/>
              <w:bottom w:val="single" w:color="000000" w:sz="4" w:space="0"/>
              <w:right w:val="single" w:color="000000" w:sz="4" w:space="0"/>
            </w:tcBorders>
            <w:vAlign w:val="center"/>
          </w:tcPr>
          <w:p w14:paraId="730E889C">
            <w:pPr>
              <w:pStyle w:val="12"/>
            </w:pPr>
            <w:r>
              <w:rPr>
                <w:rFonts w:hint="eastAsia"/>
              </w:rPr>
              <w:t>土壤安全利用率</w:t>
            </w:r>
          </w:p>
        </w:tc>
        <w:tc>
          <w:tcPr>
            <w:tcW w:w="1543" w:type="dxa"/>
            <w:tcBorders>
              <w:top w:val="single" w:color="000000" w:sz="4" w:space="0"/>
              <w:left w:val="single" w:color="000000" w:sz="4" w:space="0"/>
              <w:bottom w:val="single" w:color="000000" w:sz="4" w:space="0"/>
              <w:right w:val="single" w:color="000000" w:sz="4" w:space="0"/>
            </w:tcBorders>
            <w:vAlign w:val="center"/>
          </w:tcPr>
          <w:p w14:paraId="60C6E501">
            <w:pPr>
              <w:pStyle w:val="12"/>
              <w:rPr>
                <w:rFonts w:eastAsia="仿宋"/>
              </w:rPr>
            </w:pPr>
            <w:r>
              <w:rPr>
                <w:rFonts w:hint="eastAsia"/>
              </w:rPr>
              <w:t>=100%</w:t>
            </w:r>
          </w:p>
        </w:tc>
      </w:tr>
      <w:tr w14:paraId="1952A454">
        <w:tblPrEx>
          <w:tblCellMar>
            <w:top w:w="0" w:type="dxa"/>
            <w:left w:w="108" w:type="dxa"/>
            <w:bottom w:w="0" w:type="dxa"/>
            <w:right w:w="108" w:type="dxa"/>
          </w:tblCellMar>
        </w:tblPrEx>
        <w:trPr>
          <w:trHeight w:val="23" w:hRule="atLeast"/>
        </w:trPr>
        <w:tc>
          <w:tcPr>
            <w:tcW w:w="945" w:type="dxa"/>
            <w:vMerge w:val="continue"/>
            <w:tcBorders>
              <w:left w:val="single" w:color="000000" w:sz="4" w:space="0"/>
              <w:right w:val="single" w:color="auto" w:sz="4" w:space="0"/>
            </w:tcBorders>
            <w:vAlign w:val="center"/>
          </w:tcPr>
          <w:p w14:paraId="2ED61AE4">
            <w:pPr>
              <w:pStyle w:val="12"/>
            </w:pPr>
          </w:p>
        </w:tc>
        <w:tc>
          <w:tcPr>
            <w:tcW w:w="754" w:type="dxa"/>
            <w:tcBorders>
              <w:top w:val="single" w:color="000000" w:sz="4" w:space="0"/>
              <w:left w:val="single" w:color="auto" w:sz="4" w:space="0"/>
              <w:bottom w:val="single" w:color="000000" w:sz="4" w:space="0"/>
              <w:right w:val="single" w:color="000000" w:sz="4" w:space="0"/>
            </w:tcBorders>
            <w:vAlign w:val="center"/>
          </w:tcPr>
          <w:p w14:paraId="267889F6">
            <w:pPr>
              <w:pStyle w:val="12"/>
            </w:pPr>
            <w:r>
              <w:rPr>
                <w:rFonts w:hint="eastAsia"/>
              </w:rPr>
              <w:t>产出指标</w:t>
            </w:r>
          </w:p>
        </w:tc>
        <w:tc>
          <w:tcPr>
            <w:tcW w:w="1615" w:type="dxa"/>
            <w:tcBorders>
              <w:top w:val="single" w:color="000000" w:sz="4" w:space="0"/>
              <w:left w:val="single" w:color="000000" w:sz="4" w:space="0"/>
              <w:bottom w:val="single" w:color="000000" w:sz="4" w:space="0"/>
              <w:right w:val="single" w:color="000000" w:sz="4" w:space="0"/>
            </w:tcBorders>
            <w:vAlign w:val="center"/>
          </w:tcPr>
          <w:p w14:paraId="7D037D68">
            <w:pPr>
              <w:pStyle w:val="12"/>
            </w:pPr>
            <w:r>
              <w:rPr>
                <w:rFonts w:hint="eastAsia"/>
              </w:rPr>
              <w:t>产出数量</w:t>
            </w:r>
          </w:p>
        </w:tc>
        <w:tc>
          <w:tcPr>
            <w:tcW w:w="3457" w:type="dxa"/>
            <w:tcBorders>
              <w:top w:val="single" w:color="000000" w:sz="4" w:space="0"/>
              <w:left w:val="single" w:color="000000" w:sz="4" w:space="0"/>
              <w:bottom w:val="single" w:color="000000" w:sz="4" w:space="0"/>
              <w:right w:val="single" w:color="000000" w:sz="4" w:space="0"/>
            </w:tcBorders>
            <w:vAlign w:val="center"/>
          </w:tcPr>
          <w:p w14:paraId="7C1344DA">
            <w:pPr>
              <w:pStyle w:val="12"/>
            </w:pPr>
            <w:r>
              <w:rPr>
                <w:rFonts w:hint="eastAsia"/>
              </w:rPr>
              <w:t>环境治理跨部门协同方案</w:t>
            </w:r>
          </w:p>
        </w:tc>
        <w:tc>
          <w:tcPr>
            <w:tcW w:w="1543" w:type="dxa"/>
            <w:tcBorders>
              <w:top w:val="single" w:color="000000" w:sz="4" w:space="0"/>
              <w:left w:val="single" w:color="000000" w:sz="4" w:space="0"/>
              <w:bottom w:val="single" w:color="000000" w:sz="4" w:space="0"/>
              <w:right w:val="single" w:color="000000" w:sz="4" w:space="0"/>
            </w:tcBorders>
            <w:vAlign w:val="center"/>
          </w:tcPr>
          <w:p w14:paraId="10BB3065">
            <w:pPr>
              <w:pStyle w:val="12"/>
              <w:rPr>
                <w:rFonts w:eastAsia="仿宋"/>
              </w:rPr>
            </w:pPr>
            <w:r>
              <w:rPr>
                <w:rFonts w:hint="eastAsia"/>
              </w:rPr>
              <w:t>≥1份</w:t>
            </w:r>
          </w:p>
        </w:tc>
      </w:tr>
      <w:tr w14:paraId="7BCB0676">
        <w:tblPrEx>
          <w:tblCellMar>
            <w:top w:w="0" w:type="dxa"/>
            <w:left w:w="108" w:type="dxa"/>
            <w:bottom w:w="0" w:type="dxa"/>
            <w:right w:w="108" w:type="dxa"/>
          </w:tblCellMar>
        </w:tblPrEx>
        <w:trPr>
          <w:trHeight w:val="23" w:hRule="atLeast"/>
        </w:trPr>
        <w:tc>
          <w:tcPr>
            <w:tcW w:w="945" w:type="dxa"/>
            <w:vMerge w:val="continue"/>
            <w:tcBorders>
              <w:left w:val="single" w:color="000000" w:sz="4" w:space="0"/>
              <w:bottom w:val="single" w:color="auto" w:sz="4" w:space="0"/>
              <w:right w:val="single" w:color="auto" w:sz="4" w:space="0"/>
            </w:tcBorders>
            <w:vAlign w:val="center"/>
          </w:tcPr>
          <w:p w14:paraId="20FA3A77">
            <w:pPr>
              <w:pStyle w:val="12"/>
            </w:pPr>
          </w:p>
        </w:tc>
        <w:tc>
          <w:tcPr>
            <w:tcW w:w="754" w:type="dxa"/>
            <w:tcBorders>
              <w:top w:val="single" w:color="000000" w:sz="4" w:space="0"/>
              <w:left w:val="single" w:color="auto" w:sz="4" w:space="0"/>
              <w:bottom w:val="single" w:color="000000" w:sz="4" w:space="0"/>
              <w:right w:val="single" w:color="000000" w:sz="4" w:space="0"/>
            </w:tcBorders>
            <w:vAlign w:val="center"/>
          </w:tcPr>
          <w:p w14:paraId="30F562BA">
            <w:pPr>
              <w:pStyle w:val="12"/>
              <w:rPr>
                <w:rFonts w:eastAsia="仿宋"/>
              </w:rPr>
            </w:pPr>
            <w:r>
              <w:rPr>
                <w:rFonts w:hint="eastAsia"/>
              </w:rPr>
              <w:t>产出指标</w:t>
            </w:r>
          </w:p>
        </w:tc>
        <w:tc>
          <w:tcPr>
            <w:tcW w:w="1615" w:type="dxa"/>
            <w:tcBorders>
              <w:top w:val="single" w:color="000000" w:sz="4" w:space="0"/>
              <w:left w:val="single" w:color="000000" w:sz="4" w:space="0"/>
              <w:bottom w:val="single" w:color="000000" w:sz="4" w:space="0"/>
              <w:right w:val="single" w:color="000000" w:sz="4" w:space="0"/>
            </w:tcBorders>
            <w:vAlign w:val="center"/>
          </w:tcPr>
          <w:p w14:paraId="0BDA2DED">
            <w:pPr>
              <w:pStyle w:val="12"/>
              <w:rPr>
                <w:rFonts w:eastAsia="仿宋"/>
              </w:rPr>
            </w:pPr>
            <w:r>
              <w:rPr>
                <w:rFonts w:hint="eastAsia"/>
              </w:rPr>
              <w:t>产出数量</w:t>
            </w:r>
          </w:p>
        </w:tc>
        <w:tc>
          <w:tcPr>
            <w:tcW w:w="3457" w:type="dxa"/>
            <w:tcBorders>
              <w:top w:val="single" w:color="000000" w:sz="4" w:space="0"/>
              <w:left w:val="single" w:color="000000" w:sz="4" w:space="0"/>
              <w:bottom w:val="single" w:color="000000" w:sz="4" w:space="0"/>
              <w:right w:val="single" w:color="000000" w:sz="4" w:space="0"/>
            </w:tcBorders>
            <w:vAlign w:val="center"/>
          </w:tcPr>
          <w:p w14:paraId="126E81EB">
            <w:pPr>
              <w:pStyle w:val="12"/>
              <w:rPr>
                <w:rFonts w:eastAsia="仿宋"/>
              </w:rPr>
            </w:pPr>
            <w:r>
              <w:rPr>
                <w:rFonts w:hint="eastAsia"/>
              </w:rPr>
              <w:t>年度跨部门协同办案件数</w:t>
            </w:r>
          </w:p>
        </w:tc>
        <w:tc>
          <w:tcPr>
            <w:tcW w:w="1543" w:type="dxa"/>
            <w:tcBorders>
              <w:top w:val="single" w:color="000000" w:sz="4" w:space="0"/>
              <w:left w:val="single" w:color="000000" w:sz="4" w:space="0"/>
              <w:bottom w:val="single" w:color="000000" w:sz="4" w:space="0"/>
              <w:right w:val="single" w:color="000000" w:sz="4" w:space="0"/>
            </w:tcBorders>
            <w:vAlign w:val="center"/>
          </w:tcPr>
          <w:p w14:paraId="68B9FB98">
            <w:pPr>
              <w:pStyle w:val="12"/>
              <w:rPr>
                <w:rFonts w:eastAsia="仿宋"/>
              </w:rPr>
            </w:pPr>
            <w:r>
              <w:rPr>
                <w:rFonts w:hint="eastAsia"/>
              </w:rPr>
              <w:t>≥10件</w:t>
            </w:r>
          </w:p>
        </w:tc>
      </w:tr>
    </w:tbl>
    <w:p w14:paraId="784D90F0"/>
    <w:p w14:paraId="0CAA13FE">
      <w:pPr>
        <w:pStyle w:val="2"/>
      </w:pPr>
      <w:bookmarkStart w:id="11" w:name="_Toc47536676"/>
      <w:bookmarkEnd w:id="11"/>
      <w:bookmarkStart w:id="12" w:name="_Toc47539102"/>
      <w:bookmarkEnd w:id="12"/>
      <w:bookmarkStart w:id="13" w:name="_Toc47532923"/>
      <w:bookmarkEnd w:id="13"/>
      <w:bookmarkStart w:id="14" w:name="_Toc47536304"/>
      <w:bookmarkEnd w:id="14"/>
      <w:bookmarkStart w:id="15" w:name="_Toc47533288"/>
      <w:bookmarkEnd w:id="15"/>
      <w:bookmarkStart w:id="16" w:name="_Toc47537166"/>
      <w:bookmarkEnd w:id="16"/>
      <w:r>
        <w:rPr>
          <w:rFonts w:hint="eastAsia"/>
        </w:rPr>
        <w:t>项目建设内容</w:t>
      </w:r>
    </w:p>
    <w:p w14:paraId="7C7DC913">
      <w:pPr>
        <w:ind w:firstLine="482"/>
        <w:outlineLvl w:val="1"/>
        <w:rPr>
          <w:b/>
          <w:bCs/>
        </w:rPr>
      </w:pPr>
      <w:r>
        <w:rPr>
          <w:rFonts w:hint="eastAsia"/>
          <w:b/>
          <w:bCs/>
        </w:rPr>
        <w:t>（一）技术路线</w:t>
      </w:r>
    </w:p>
    <w:p w14:paraId="66AC28BD">
      <w:pPr>
        <w:outlineLvl w:val="2"/>
      </w:pPr>
      <w:r>
        <w:t>（</w:t>
      </w:r>
      <w:r>
        <w:rPr>
          <w:rFonts w:hint="eastAsia"/>
        </w:rPr>
        <w:t>1</w:t>
      </w:r>
      <w:r>
        <w:t>）国产化技术栈</w:t>
      </w:r>
    </w:p>
    <w:p w14:paraId="04D5AA8E">
      <w:r>
        <w:t>基础软件层：操作系统</w:t>
      </w:r>
      <w:r>
        <w:rPr>
          <w:rFonts w:hint="eastAsia"/>
        </w:rPr>
        <w:t>、数据库、中间件均</w:t>
      </w:r>
      <w:r>
        <w:t>采用</w:t>
      </w:r>
      <w:r>
        <w:rPr>
          <w:rFonts w:hint="eastAsia"/>
        </w:rPr>
        <w:t>国产软件，</w:t>
      </w:r>
      <w:r>
        <w:t>确保全栈国产化适配，满足政务系统安全自主可控要求。</w:t>
      </w:r>
    </w:p>
    <w:p w14:paraId="4BC8055C">
      <w:r>
        <w:t>开发框架层：</w:t>
      </w:r>
      <w:r>
        <w:rPr>
          <w:rFonts w:hint="eastAsia"/>
        </w:rPr>
        <w:t>web端需要支持主流国产浏览器访问，</w:t>
      </w:r>
      <w:r>
        <w:t>移动端</w:t>
      </w:r>
      <w:r>
        <w:rPr>
          <w:rFonts w:hint="eastAsia"/>
        </w:rPr>
        <w:t>采用随申办（包括随申办市民云、随申办企业云、随申办政务云）框架开发</w:t>
      </w:r>
      <w:r>
        <w:t>，同时兼容上海市政务系统现有技术规范。</w:t>
      </w:r>
    </w:p>
    <w:p w14:paraId="316E00F2">
      <w:r>
        <w:t>安全技术层：</w:t>
      </w:r>
      <w:r>
        <w:rPr>
          <w:rFonts w:hint="eastAsia"/>
        </w:rPr>
        <w:t>采用</w:t>
      </w:r>
      <w:r>
        <w:t>国密算法，实现数据传输加密、存储加密及身份认证加密；采用基于角色的访问控制（RBAC）模型，结合动态口令认证、USB-Key认证等多因子认证方式，保障系统访问安全。</w:t>
      </w:r>
    </w:p>
    <w:p w14:paraId="2D5D14D6">
      <w:pPr>
        <w:outlineLvl w:val="2"/>
      </w:pPr>
      <w:r>
        <w:rPr>
          <w:rFonts w:hint="eastAsia"/>
        </w:rPr>
        <w:t>（2）政务云服务调用</w:t>
      </w:r>
    </w:p>
    <w:p w14:paraId="293D3D33">
      <w:r>
        <w:rPr>
          <w:rFonts w:hint="eastAsia"/>
        </w:rPr>
        <w:t>对于政务云已有的服务，需优先采用政务云提供的服务，包括安全服务、数据库服务、短信服务、地图服务等。</w:t>
      </w:r>
    </w:p>
    <w:p w14:paraId="177A6AA4">
      <w:pPr>
        <w:ind w:firstLine="482"/>
        <w:outlineLvl w:val="1"/>
        <w:rPr>
          <w:b/>
          <w:bCs/>
        </w:rPr>
      </w:pPr>
      <w:r>
        <w:rPr>
          <w:b/>
          <w:bCs/>
        </w:rPr>
        <w:t>（</w:t>
      </w:r>
      <w:r>
        <w:rPr>
          <w:rFonts w:hint="eastAsia"/>
          <w:b/>
          <w:bCs/>
        </w:rPr>
        <w:t>二</w:t>
      </w:r>
      <w:r>
        <w:rPr>
          <w:b/>
          <w:bCs/>
        </w:rPr>
        <w:t>）</w:t>
      </w:r>
      <w:r>
        <w:rPr>
          <w:rFonts w:hint="eastAsia"/>
          <w:b/>
          <w:bCs/>
        </w:rPr>
        <w:t>系统架构</w:t>
      </w:r>
    </w:p>
    <w:p w14:paraId="23F2EA9B">
      <w:r>
        <w:t>基础设施层</w:t>
      </w:r>
      <w:r>
        <w:rPr>
          <w:rFonts w:hint="eastAsia"/>
        </w:rPr>
        <w:t>：采用</w:t>
      </w:r>
      <w:r>
        <w:t>政务云服务器、存储设备、网络设备部署，提供计算、存储、网络资源支撑</w:t>
      </w:r>
      <w:r>
        <w:rPr>
          <w:rFonts w:hint="eastAsia"/>
        </w:rPr>
        <w:t>，满足</w:t>
      </w:r>
      <w:r>
        <w:t>统一基础设施、统一网络环境</w:t>
      </w:r>
      <w:r>
        <w:rPr>
          <w:rFonts w:hint="eastAsia"/>
        </w:rPr>
        <w:t>管理要求。</w:t>
      </w:r>
    </w:p>
    <w:p w14:paraId="2CE3A12A">
      <w:r>
        <w:t>数据资源层</w:t>
      </w:r>
      <w:r>
        <w:rPr>
          <w:rFonts w:hint="eastAsia"/>
        </w:rPr>
        <w:t>：各子系统需按照数据共享和上链要求，以生态环境数据数据中台为枢纽，完成数据资源的编目和上链，实现数据的统一归集、交换和共享。</w:t>
      </w:r>
    </w:p>
    <w:p w14:paraId="726A0C87">
      <w:r>
        <w:t>平台服务层</w:t>
      </w:r>
      <w:r>
        <w:rPr>
          <w:rFonts w:hint="eastAsia"/>
        </w:rPr>
        <w:t>：按照市生态环境局数字化的整体技术框架，以及市大数据中心提供的PAAS和SAAS服务资源，实现用户管理、地图服务</w:t>
      </w:r>
      <w:r>
        <w:t>、认证授权等共性服务，支撑三大子系统协同运行</w:t>
      </w:r>
      <w:r>
        <w:rPr>
          <w:rFonts w:hint="eastAsia"/>
        </w:rPr>
        <w:t>。</w:t>
      </w:r>
    </w:p>
    <w:p w14:paraId="093D9A56">
      <w:r>
        <w:t>应用系统层</w:t>
      </w:r>
      <w:r>
        <w:rPr>
          <w:rFonts w:hint="eastAsia"/>
        </w:rPr>
        <w:t>：按照市生态环境局统一应用门户接入和管理要求，</w:t>
      </w:r>
      <w:r>
        <w:t>部署碳普惠链和隐私计算子系统、水生态环境质量综合监管子系统、上海市碳排放综合管理子系统，实现业务功能模块化开发与集成</w:t>
      </w:r>
      <w:r>
        <w:rPr>
          <w:rFonts w:hint="eastAsia"/>
        </w:rPr>
        <w:t>。</w:t>
      </w:r>
    </w:p>
    <w:p w14:paraId="11BECF86">
      <w:r>
        <w:t>安全保障层</w:t>
      </w:r>
      <w:r>
        <w:rPr>
          <w:rFonts w:hint="eastAsia"/>
        </w:rPr>
        <w:t>:需要按照</w:t>
      </w:r>
      <w:r>
        <w:t>等级保护三级防护</w:t>
      </w:r>
      <w:r>
        <w:rPr>
          <w:rFonts w:hint="eastAsia"/>
        </w:rPr>
        <w:t>要求，落实</w:t>
      </w:r>
      <w:r>
        <w:t>物理安全、网络安全、主机安全、应用安全、数据安全</w:t>
      </w:r>
      <w:r>
        <w:rPr>
          <w:rFonts w:hint="eastAsia"/>
        </w:rPr>
        <w:t>，实现</w:t>
      </w:r>
      <w:r>
        <w:t>国密适配及安全运维管理</w:t>
      </w:r>
      <w:r>
        <w:rPr>
          <w:rFonts w:hint="eastAsia"/>
        </w:rPr>
        <w:t>。</w:t>
      </w:r>
    </w:p>
    <w:p w14:paraId="36672641">
      <w:r>
        <w:t>用户访问层</w:t>
      </w:r>
      <w:r>
        <w:rPr>
          <w:rFonts w:hint="eastAsia"/>
        </w:rPr>
        <w:t>：本系统的用户主要是面向生态环境管理部门，需要</w:t>
      </w:r>
      <w:r>
        <w:t>支持</w:t>
      </w:r>
      <w:r>
        <w:rPr>
          <w:rFonts w:hint="eastAsia"/>
        </w:rPr>
        <w:t>各级生态环境部门</w:t>
      </w:r>
      <w:r>
        <w:t>用户，通过政务网、互联网、移动端</w:t>
      </w:r>
      <w:r>
        <w:rPr>
          <w:rFonts w:hint="eastAsia"/>
        </w:rPr>
        <w:t>（随申办政务云）</w:t>
      </w:r>
      <w:r>
        <w:t>访问系统</w:t>
      </w:r>
      <w:r>
        <w:rPr>
          <w:rFonts w:hint="eastAsia"/>
        </w:rPr>
        <w:t>。</w:t>
      </w:r>
    </w:p>
    <w:p w14:paraId="68915BE7">
      <w:pPr>
        <w:ind w:firstLine="482"/>
        <w:outlineLvl w:val="1"/>
        <w:rPr>
          <w:b/>
          <w:bCs/>
        </w:rPr>
      </w:pPr>
      <w:r>
        <w:rPr>
          <w:b/>
          <w:bCs/>
        </w:rPr>
        <w:t>（</w:t>
      </w:r>
      <w:r>
        <w:rPr>
          <w:rFonts w:hint="eastAsia"/>
          <w:b/>
          <w:bCs/>
        </w:rPr>
        <w:t>三</w:t>
      </w:r>
      <w:r>
        <w:rPr>
          <w:b/>
          <w:bCs/>
        </w:rPr>
        <w:t>）部署环境</w:t>
      </w:r>
    </w:p>
    <w:p w14:paraId="6CC6F13D">
      <w:r>
        <w:t>基于上海市</w:t>
      </w:r>
      <w:r>
        <w:rPr>
          <w:rFonts w:hint="eastAsia"/>
        </w:rPr>
        <w:t>大数据中心提供的政务云资源进行部署，</w:t>
      </w:r>
      <w:r>
        <w:t>选用</w:t>
      </w:r>
      <w:r>
        <w:rPr>
          <w:rFonts w:hint="eastAsia"/>
        </w:rPr>
        <w:t>国产服务器资源、</w:t>
      </w:r>
      <w:r>
        <w:t>操作系统</w:t>
      </w:r>
      <w:r>
        <w:rPr>
          <w:rFonts w:hint="eastAsia"/>
        </w:rPr>
        <w:t>、</w:t>
      </w:r>
      <w:r>
        <w:t>数据库</w:t>
      </w:r>
      <w:r>
        <w:rPr>
          <w:rFonts w:hint="eastAsia"/>
        </w:rPr>
        <w:t>、</w:t>
      </w:r>
      <w:r>
        <w:t>中间件。</w:t>
      </w:r>
    </w:p>
    <w:p w14:paraId="030B5F44">
      <w:pPr>
        <w:ind w:firstLine="482"/>
        <w:outlineLvl w:val="1"/>
        <w:rPr>
          <w:b/>
          <w:bCs/>
        </w:rPr>
      </w:pPr>
      <w:r>
        <w:rPr>
          <w:rFonts w:hint="eastAsia"/>
          <w:b/>
          <w:bCs/>
        </w:rPr>
        <w:t>（四）项目建设清单</w:t>
      </w:r>
    </w:p>
    <w:p w14:paraId="48E8EDD4">
      <w:r>
        <w:rPr>
          <w:rFonts w:hint="eastAsia"/>
        </w:rPr>
        <w:t>1、上海市环境应急和辐射管理信息系统升级改造</w:t>
      </w:r>
    </w:p>
    <w:p w14:paraId="76C5E3CA">
      <w:r>
        <w:rPr>
          <w:rFonts w:hint="eastAsia"/>
        </w:rPr>
        <w:t>本次升级改造以</w:t>
      </w:r>
      <w:r>
        <w:rPr>
          <w:rFonts w:hint="eastAsia"/>
          <w:lang w:eastAsia="zh-CN"/>
        </w:rPr>
        <w:t>XC</w:t>
      </w:r>
      <w:r>
        <w:rPr>
          <w:rFonts w:hint="eastAsia"/>
        </w:rPr>
        <w:t>改造为契机，对原有模块进行优化调整，并根据国家及上海不断深化的应急管理要求功能拓展，具体的建设内容升级接警预警模块增强生态安全态势感知能力、升级应急指挥与决策支持模块提升应急响应过程的智能化水平、新增融合通信可视会商功能支持远程联动的指挥调度、升级事前预防模块、升级事后管理模块、升级应急响应移动端等。具体建设功能清单如下表：</w:t>
      </w:r>
    </w:p>
    <w:tbl>
      <w:tblPr>
        <w:tblStyle w:val="7"/>
        <w:tblW w:w="0" w:type="auto"/>
        <w:tblInd w:w="98" w:type="dxa"/>
        <w:tblLayout w:type="autofit"/>
        <w:tblCellMar>
          <w:top w:w="0" w:type="dxa"/>
          <w:left w:w="108" w:type="dxa"/>
          <w:bottom w:w="0" w:type="dxa"/>
          <w:right w:w="108" w:type="dxa"/>
        </w:tblCellMar>
      </w:tblPr>
      <w:tblGrid>
        <w:gridCol w:w="458"/>
        <w:gridCol w:w="2286"/>
        <w:gridCol w:w="5686"/>
      </w:tblGrid>
      <w:tr w14:paraId="4FE64C0D">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72D95F98">
            <w:pPr>
              <w:pStyle w:val="12"/>
            </w:pPr>
            <w:r>
              <w:rPr>
                <w:rFonts w:hint="eastAsia"/>
              </w:rPr>
              <w:t>序号</w:t>
            </w:r>
          </w:p>
        </w:tc>
        <w:tc>
          <w:tcPr>
            <w:tcW w:w="2286" w:type="dxa"/>
            <w:tcBorders>
              <w:top w:val="single" w:color="000000" w:sz="4" w:space="0"/>
              <w:left w:val="single" w:color="000000" w:sz="4" w:space="0"/>
              <w:bottom w:val="single" w:color="000000" w:sz="4" w:space="0"/>
              <w:right w:val="single" w:color="000000" w:sz="4" w:space="0"/>
            </w:tcBorders>
            <w:vAlign w:val="center"/>
          </w:tcPr>
          <w:p w14:paraId="6DBACD92">
            <w:pPr>
              <w:pStyle w:val="12"/>
            </w:pPr>
            <w:r>
              <w:rPr>
                <w:rFonts w:hint="eastAsia"/>
              </w:rPr>
              <w:t>功能名称</w:t>
            </w:r>
          </w:p>
        </w:tc>
        <w:tc>
          <w:tcPr>
            <w:tcW w:w="5686" w:type="dxa"/>
            <w:tcBorders>
              <w:top w:val="single" w:color="000000" w:sz="4" w:space="0"/>
              <w:left w:val="single" w:color="000000" w:sz="4" w:space="0"/>
              <w:bottom w:val="single" w:color="000000" w:sz="4" w:space="0"/>
              <w:right w:val="single" w:color="000000" w:sz="4" w:space="0"/>
            </w:tcBorders>
            <w:vAlign w:val="center"/>
          </w:tcPr>
          <w:p w14:paraId="1DD3B6B1">
            <w:pPr>
              <w:pStyle w:val="12"/>
            </w:pPr>
            <w:r>
              <w:rPr>
                <w:rFonts w:hint="eastAsia"/>
              </w:rPr>
              <w:t>功能描述</w:t>
            </w:r>
          </w:p>
        </w:tc>
      </w:tr>
      <w:tr w14:paraId="0E9F3CD1">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535422BC">
            <w:pPr>
              <w:pStyle w:val="12"/>
            </w:pPr>
            <w:r>
              <w:rPr>
                <w:rFonts w:hint="eastAsia"/>
              </w:rPr>
              <w:t>1</w:t>
            </w:r>
          </w:p>
        </w:tc>
        <w:tc>
          <w:tcPr>
            <w:tcW w:w="2286" w:type="dxa"/>
            <w:tcBorders>
              <w:top w:val="single" w:color="000000" w:sz="4" w:space="0"/>
              <w:left w:val="single" w:color="000000" w:sz="4" w:space="0"/>
              <w:bottom w:val="single" w:color="000000" w:sz="4" w:space="0"/>
              <w:right w:val="single" w:color="000000" w:sz="4" w:space="0"/>
            </w:tcBorders>
            <w:vAlign w:val="center"/>
          </w:tcPr>
          <w:p w14:paraId="64F6B1CE">
            <w:pPr>
              <w:pStyle w:val="12"/>
            </w:pPr>
            <w:r>
              <w:rPr>
                <w:rFonts w:hint="eastAsia"/>
              </w:rPr>
              <w:t>接警预警-值班值守管理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27922422">
            <w:pPr>
              <w:pStyle w:val="12"/>
            </w:pPr>
            <w:r>
              <w:rPr>
                <w:rFonts w:hint="eastAsia"/>
              </w:rPr>
              <w:t>制定详细的排班计划，包括排班周期、值班人员数量、值班时间等。由专人负责手动分配值班任务，确保每个值班时段都有足够的值班人员。建立值班人员通讯录，记录姓名、电话并支持信息维护与模糊查询；记录应急值班职守信息，包括日期、人员姓名、值班时段，可通过关键字段查询值班情况，按时间或人员查询历史记录并进行值班统计，助力提升值班管理效率与规范性。</w:t>
            </w:r>
          </w:p>
        </w:tc>
      </w:tr>
      <w:tr w14:paraId="10575558">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3F285655">
            <w:pPr>
              <w:pStyle w:val="12"/>
            </w:pPr>
            <w:r>
              <w:rPr>
                <w:rFonts w:hint="eastAsia"/>
              </w:rPr>
              <w:t>2</w:t>
            </w:r>
          </w:p>
        </w:tc>
        <w:tc>
          <w:tcPr>
            <w:tcW w:w="2286" w:type="dxa"/>
            <w:tcBorders>
              <w:top w:val="single" w:color="000000" w:sz="4" w:space="0"/>
              <w:left w:val="single" w:color="000000" w:sz="4" w:space="0"/>
              <w:bottom w:val="single" w:color="000000" w:sz="4" w:space="0"/>
              <w:right w:val="single" w:color="000000" w:sz="4" w:space="0"/>
            </w:tcBorders>
            <w:vAlign w:val="center"/>
          </w:tcPr>
          <w:p w14:paraId="42FE6257">
            <w:pPr>
              <w:pStyle w:val="12"/>
            </w:pPr>
            <w:r>
              <w:rPr>
                <w:rFonts w:hint="eastAsia"/>
              </w:rPr>
              <w:t>接警预警-接警管理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6BC14985">
            <w:pPr>
              <w:pStyle w:val="12"/>
            </w:pPr>
            <w:r>
              <w:rPr>
                <w:rFonts w:hint="eastAsia"/>
              </w:rPr>
              <w:t>提供值班人员快速记录接警信息的功能，支持多渠道（上级交办、投诉举报等）接收事故消息，提供便捷信息录入功能，可登记事件时间、地点、情形等要素。</w:t>
            </w:r>
          </w:p>
        </w:tc>
      </w:tr>
      <w:tr w14:paraId="190B12B0">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01C98C22">
            <w:pPr>
              <w:pStyle w:val="12"/>
            </w:pPr>
            <w:r>
              <w:rPr>
                <w:rFonts w:hint="eastAsia"/>
              </w:rPr>
              <w:t>3</w:t>
            </w:r>
          </w:p>
        </w:tc>
        <w:tc>
          <w:tcPr>
            <w:tcW w:w="2286" w:type="dxa"/>
            <w:tcBorders>
              <w:top w:val="single" w:color="000000" w:sz="4" w:space="0"/>
              <w:left w:val="single" w:color="000000" w:sz="4" w:space="0"/>
              <w:bottom w:val="single" w:color="000000" w:sz="4" w:space="0"/>
              <w:right w:val="single" w:color="000000" w:sz="4" w:space="0"/>
            </w:tcBorders>
            <w:vAlign w:val="center"/>
          </w:tcPr>
          <w:p w14:paraId="3EF8956A">
            <w:pPr>
              <w:pStyle w:val="12"/>
            </w:pPr>
            <w:r>
              <w:rPr>
                <w:rFonts w:hint="eastAsia"/>
              </w:rPr>
              <w:t>接警预警-预警管理-重点风险源监控</w:t>
            </w:r>
          </w:p>
        </w:tc>
        <w:tc>
          <w:tcPr>
            <w:tcW w:w="5686" w:type="dxa"/>
            <w:tcBorders>
              <w:top w:val="single" w:color="000000" w:sz="4" w:space="0"/>
              <w:left w:val="single" w:color="000000" w:sz="4" w:space="0"/>
              <w:bottom w:val="single" w:color="000000" w:sz="4" w:space="0"/>
              <w:right w:val="single" w:color="000000" w:sz="4" w:space="0"/>
            </w:tcBorders>
            <w:vAlign w:val="center"/>
          </w:tcPr>
          <w:p w14:paraId="6659727E">
            <w:pPr>
              <w:pStyle w:val="12"/>
            </w:pPr>
            <w:r>
              <w:rPr>
                <w:rFonts w:hint="eastAsia"/>
              </w:rPr>
              <w:t>依托本地区、本部门构建的监管网络，实时采集重点风险源和重点区域的地域分布数据、在线监测运行状况信息，涵盖温度、压力、污染物浓度、设备运行参数等关键指标，实现对风险源的动态监管。</w:t>
            </w:r>
          </w:p>
        </w:tc>
      </w:tr>
      <w:tr w14:paraId="58C242B8">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07A5FF4B">
            <w:pPr>
              <w:pStyle w:val="12"/>
            </w:pPr>
            <w:r>
              <w:rPr>
                <w:rFonts w:hint="eastAsia"/>
              </w:rPr>
              <w:t>4</w:t>
            </w:r>
          </w:p>
        </w:tc>
        <w:tc>
          <w:tcPr>
            <w:tcW w:w="2286" w:type="dxa"/>
            <w:tcBorders>
              <w:top w:val="single" w:color="000000" w:sz="4" w:space="0"/>
              <w:left w:val="single" w:color="000000" w:sz="4" w:space="0"/>
              <w:bottom w:val="single" w:color="000000" w:sz="4" w:space="0"/>
              <w:right w:val="single" w:color="000000" w:sz="4" w:space="0"/>
            </w:tcBorders>
            <w:vAlign w:val="center"/>
          </w:tcPr>
          <w:p w14:paraId="1380B069">
            <w:pPr>
              <w:pStyle w:val="12"/>
            </w:pPr>
            <w:r>
              <w:rPr>
                <w:rFonts w:hint="eastAsia"/>
              </w:rPr>
              <w:t>接警预警-预警管理-预警规则配置</w:t>
            </w:r>
          </w:p>
        </w:tc>
        <w:tc>
          <w:tcPr>
            <w:tcW w:w="5686" w:type="dxa"/>
            <w:tcBorders>
              <w:top w:val="single" w:color="000000" w:sz="4" w:space="0"/>
              <w:left w:val="single" w:color="000000" w:sz="4" w:space="0"/>
              <w:bottom w:val="single" w:color="000000" w:sz="4" w:space="0"/>
              <w:right w:val="single" w:color="000000" w:sz="4" w:space="0"/>
            </w:tcBorders>
            <w:vAlign w:val="center"/>
          </w:tcPr>
          <w:p w14:paraId="09BBE655">
            <w:pPr>
              <w:pStyle w:val="12"/>
            </w:pPr>
            <w:r>
              <w:rPr>
                <w:rFonts w:hint="eastAsia"/>
              </w:rPr>
              <w:t>系统提供灵活、便捷的预警预报参数设置功能，可针对不同类型的环境风险源，如化工企业、危废处理场所、污水处理厂等，根据其生产工艺、风险特性、监管要求，自定义预警阈值和规则。</w:t>
            </w:r>
          </w:p>
        </w:tc>
      </w:tr>
      <w:tr w14:paraId="6BD317FC">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641A3856">
            <w:pPr>
              <w:pStyle w:val="12"/>
            </w:pPr>
            <w:r>
              <w:rPr>
                <w:rFonts w:hint="eastAsia"/>
              </w:rPr>
              <w:t>5</w:t>
            </w:r>
          </w:p>
        </w:tc>
        <w:tc>
          <w:tcPr>
            <w:tcW w:w="2286" w:type="dxa"/>
            <w:tcBorders>
              <w:top w:val="single" w:color="000000" w:sz="4" w:space="0"/>
              <w:left w:val="single" w:color="000000" w:sz="4" w:space="0"/>
              <w:bottom w:val="single" w:color="000000" w:sz="4" w:space="0"/>
              <w:right w:val="single" w:color="000000" w:sz="4" w:space="0"/>
            </w:tcBorders>
            <w:vAlign w:val="center"/>
          </w:tcPr>
          <w:p w14:paraId="5CA15873">
            <w:pPr>
              <w:pStyle w:val="12"/>
            </w:pPr>
            <w:r>
              <w:rPr>
                <w:rFonts w:hint="eastAsia"/>
              </w:rPr>
              <w:t>接警预警-预警管理-预警信息推送</w:t>
            </w:r>
          </w:p>
        </w:tc>
        <w:tc>
          <w:tcPr>
            <w:tcW w:w="5686" w:type="dxa"/>
            <w:tcBorders>
              <w:top w:val="single" w:color="000000" w:sz="4" w:space="0"/>
              <w:left w:val="single" w:color="000000" w:sz="4" w:space="0"/>
              <w:bottom w:val="single" w:color="000000" w:sz="4" w:space="0"/>
              <w:right w:val="single" w:color="000000" w:sz="4" w:space="0"/>
            </w:tcBorders>
            <w:vAlign w:val="center"/>
          </w:tcPr>
          <w:p w14:paraId="2F34F892">
            <w:pPr>
              <w:pStyle w:val="12"/>
            </w:pPr>
            <w:r>
              <w:rPr>
                <w:rFonts w:hint="eastAsia"/>
              </w:rPr>
              <w:t>当监测数据触发预先设定的预警参数时，系统立即启动报警机制，通过站内信、短信推送、移动端消息提醒等多种方式，第一时间将报警信息发送给相关管理人员、应急处置人员和责任单位负责人。报警信息包含风险源名称、位置、超标指标、超标数值、预警级别等详细内容，方便接收人员快速了解情况。</w:t>
            </w:r>
          </w:p>
        </w:tc>
      </w:tr>
      <w:tr w14:paraId="7D03188A">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41267C71">
            <w:pPr>
              <w:pStyle w:val="12"/>
            </w:pPr>
            <w:r>
              <w:rPr>
                <w:rFonts w:hint="eastAsia"/>
              </w:rPr>
              <w:t>6</w:t>
            </w:r>
          </w:p>
        </w:tc>
        <w:tc>
          <w:tcPr>
            <w:tcW w:w="2286" w:type="dxa"/>
            <w:tcBorders>
              <w:top w:val="single" w:color="000000" w:sz="4" w:space="0"/>
              <w:left w:val="single" w:color="000000" w:sz="4" w:space="0"/>
              <w:bottom w:val="single" w:color="000000" w:sz="4" w:space="0"/>
              <w:right w:val="single" w:color="000000" w:sz="4" w:space="0"/>
            </w:tcBorders>
            <w:vAlign w:val="center"/>
          </w:tcPr>
          <w:p w14:paraId="17613E1B">
            <w:pPr>
              <w:pStyle w:val="12"/>
            </w:pPr>
            <w:r>
              <w:rPr>
                <w:rFonts w:hint="eastAsia"/>
              </w:rPr>
              <w:t>应急指挥与决策支持-预案匹配与应急响应启动</w:t>
            </w:r>
          </w:p>
        </w:tc>
        <w:tc>
          <w:tcPr>
            <w:tcW w:w="5686" w:type="dxa"/>
            <w:tcBorders>
              <w:top w:val="single" w:color="000000" w:sz="4" w:space="0"/>
              <w:left w:val="single" w:color="000000" w:sz="4" w:space="0"/>
              <w:bottom w:val="single" w:color="000000" w:sz="4" w:space="0"/>
              <w:right w:val="single" w:color="000000" w:sz="4" w:space="0"/>
            </w:tcBorders>
            <w:vAlign w:val="center"/>
          </w:tcPr>
          <w:p w14:paraId="11C114A3">
            <w:pPr>
              <w:pStyle w:val="12"/>
            </w:pPr>
            <w:r>
              <w:rPr>
                <w:rFonts w:hint="eastAsia"/>
              </w:rPr>
              <w:t>根据应急事件的类型、等级和特点，自动从预案库中匹配出最适合的应急预案，并推荐给决策者。同时，提供预案的详细内容和操作指南，帮助决策者快速启动应急响应工作。</w:t>
            </w:r>
            <w:r>
              <w:rPr>
                <w:rFonts w:hint="eastAsia"/>
              </w:rPr>
              <w:br w:type="textWrapping"/>
            </w:r>
            <w:r>
              <w:rPr>
                <w:rFonts w:hint="eastAsia"/>
              </w:rPr>
              <w:t>当工作人员确认预案后，系统启动预案根据应急预案的要求以及系统的提示，系统提示进行事故警务转发，根据事故等级的不同，通过短信、系统推送信息等不同方式向相关人员发送事故情况信息，并启动应急指挥。</w:t>
            </w:r>
          </w:p>
        </w:tc>
      </w:tr>
      <w:tr w14:paraId="4C2A1054">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79FCF799">
            <w:pPr>
              <w:pStyle w:val="12"/>
            </w:pPr>
            <w:r>
              <w:rPr>
                <w:rFonts w:hint="eastAsia"/>
              </w:rPr>
              <w:t>7</w:t>
            </w:r>
          </w:p>
        </w:tc>
        <w:tc>
          <w:tcPr>
            <w:tcW w:w="2286" w:type="dxa"/>
            <w:tcBorders>
              <w:top w:val="single" w:color="000000" w:sz="4" w:space="0"/>
              <w:left w:val="single" w:color="000000" w:sz="4" w:space="0"/>
              <w:bottom w:val="single" w:color="000000" w:sz="4" w:space="0"/>
              <w:right w:val="single" w:color="000000" w:sz="4" w:space="0"/>
            </w:tcBorders>
            <w:vAlign w:val="center"/>
          </w:tcPr>
          <w:p w14:paraId="7B6A4F24">
            <w:pPr>
              <w:pStyle w:val="12"/>
            </w:pPr>
            <w:r>
              <w:rPr>
                <w:rFonts w:hint="eastAsia"/>
              </w:rPr>
              <w:t>应急指挥与决策支持-应急指挥与决策-应急监测</w:t>
            </w:r>
          </w:p>
        </w:tc>
        <w:tc>
          <w:tcPr>
            <w:tcW w:w="5686" w:type="dxa"/>
            <w:tcBorders>
              <w:top w:val="single" w:color="000000" w:sz="4" w:space="0"/>
              <w:left w:val="single" w:color="000000" w:sz="4" w:space="0"/>
              <w:bottom w:val="single" w:color="000000" w:sz="4" w:space="0"/>
              <w:right w:val="single" w:color="000000" w:sz="4" w:space="0"/>
            </w:tcBorders>
            <w:vAlign w:val="center"/>
          </w:tcPr>
          <w:p w14:paraId="407CE036">
            <w:pPr>
              <w:pStyle w:val="12"/>
            </w:pPr>
            <w:r>
              <w:rPr>
                <w:rFonts w:hint="eastAsia"/>
              </w:rPr>
              <w:t>当应急事件发生时，能够根据应急事件实际需求，快速响应并创建应急监测任务，并实时监控应急监测任务的执行状态，以时间为维度对监测数据进行深入分析。</w:t>
            </w:r>
          </w:p>
        </w:tc>
      </w:tr>
      <w:tr w14:paraId="1BECC994">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4F52D1CB">
            <w:pPr>
              <w:pStyle w:val="12"/>
            </w:pPr>
            <w:r>
              <w:rPr>
                <w:rFonts w:hint="eastAsia"/>
              </w:rPr>
              <w:t>8</w:t>
            </w:r>
          </w:p>
        </w:tc>
        <w:tc>
          <w:tcPr>
            <w:tcW w:w="2286" w:type="dxa"/>
            <w:tcBorders>
              <w:top w:val="single" w:color="000000" w:sz="4" w:space="0"/>
              <w:left w:val="single" w:color="000000" w:sz="4" w:space="0"/>
              <w:bottom w:val="single" w:color="000000" w:sz="4" w:space="0"/>
              <w:right w:val="single" w:color="000000" w:sz="4" w:space="0"/>
            </w:tcBorders>
            <w:vAlign w:val="center"/>
          </w:tcPr>
          <w:p w14:paraId="55EB752C">
            <w:pPr>
              <w:pStyle w:val="12"/>
            </w:pPr>
            <w:r>
              <w:rPr>
                <w:rFonts w:hint="eastAsia"/>
              </w:rPr>
              <w:t>应急指挥与决策支持-应急指挥与决策-应急调查</w:t>
            </w:r>
          </w:p>
        </w:tc>
        <w:tc>
          <w:tcPr>
            <w:tcW w:w="5686" w:type="dxa"/>
            <w:tcBorders>
              <w:top w:val="single" w:color="000000" w:sz="4" w:space="0"/>
              <w:left w:val="single" w:color="000000" w:sz="4" w:space="0"/>
              <w:bottom w:val="single" w:color="000000" w:sz="4" w:space="0"/>
              <w:right w:val="single" w:color="000000" w:sz="4" w:space="0"/>
            </w:tcBorders>
            <w:vAlign w:val="center"/>
          </w:tcPr>
          <w:p w14:paraId="25535CB9">
            <w:pPr>
              <w:pStyle w:val="12"/>
            </w:pPr>
            <w:r>
              <w:rPr>
                <w:rFonts w:hint="eastAsia"/>
              </w:rPr>
              <w:t>应急调查是在应急情况下，环境执法大队对事件发生地进行调查，并将调查结果反馈到系统中，供应急指挥中心判断事件发展态势。</w:t>
            </w:r>
          </w:p>
        </w:tc>
      </w:tr>
      <w:tr w14:paraId="63D19FFB">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428E7ECF">
            <w:pPr>
              <w:pStyle w:val="12"/>
            </w:pPr>
            <w:r>
              <w:rPr>
                <w:rFonts w:hint="eastAsia"/>
              </w:rPr>
              <w:t>9</w:t>
            </w:r>
          </w:p>
        </w:tc>
        <w:tc>
          <w:tcPr>
            <w:tcW w:w="2286" w:type="dxa"/>
            <w:tcBorders>
              <w:top w:val="single" w:color="000000" w:sz="4" w:space="0"/>
              <w:left w:val="single" w:color="000000" w:sz="4" w:space="0"/>
              <w:bottom w:val="single" w:color="000000" w:sz="4" w:space="0"/>
              <w:right w:val="single" w:color="000000" w:sz="4" w:space="0"/>
            </w:tcBorders>
            <w:vAlign w:val="center"/>
          </w:tcPr>
          <w:p w14:paraId="03C2DF76">
            <w:pPr>
              <w:pStyle w:val="12"/>
            </w:pPr>
            <w:r>
              <w:rPr>
                <w:rFonts w:hint="eastAsia"/>
              </w:rPr>
              <w:t>应急指挥与决策支持-应急指挥与决策-应急物资调配</w:t>
            </w:r>
          </w:p>
        </w:tc>
        <w:tc>
          <w:tcPr>
            <w:tcW w:w="5686" w:type="dxa"/>
            <w:tcBorders>
              <w:top w:val="single" w:color="000000" w:sz="4" w:space="0"/>
              <w:left w:val="single" w:color="000000" w:sz="4" w:space="0"/>
              <w:bottom w:val="single" w:color="000000" w:sz="4" w:space="0"/>
              <w:right w:val="single" w:color="000000" w:sz="4" w:space="0"/>
            </w:tcBorders>
            <w:vAlign w:val="center"/>
          </w:tcPr>
          <w:p w14:paraId="7CF5F4BF">
            <w:pPr>
              <w:pStyle w:val="12"/>
            </w:pPr>
            <w:r>
              <w:rPr>
                <w:rFonts w:hint="eastAsia"/>
              </w:rPr>
              <w:t>根据事故的特点，自动匹配周围相关的应急物质，并给出应急物资调配的具体方案，纳入应急事故处置方案中。</w:t>
            </w:r>
          </w:p>
        </w:tc>
      </w:tr>
      <w:tr w14:paraId="4B408C57">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2F596EFF">
            <w:pPr>
              <w:pStyle w:val="12"/>
            </w:pPr>
            <w:r>
              <w:rPr>
                <w:rFonts w:hint="eastAsia"/>
              </w:rPr>
              <w:t>10</w:t>
            </w:r>
          </w:p>
        </w:tc>
        <w:tc>
          <w:tcPr>
            <w:tcW w:w="2286" w:type="dxa"/>
            <w:tcBorders>
              <w:top w:val="single" w:color="000000" w:sz="4" w:space="0"/>
              <w:left w:val="single" w:color="000000" w:sz="4" w:space="0"/>
              <w:bottom w:val="single" w:color="000000" w:sz="4" w:space="0"/>
              <w:right w:val="single" w:color="000000" w:sz="4" w:space="0"/>
            </w:tcBorders>
            <w:vAlign w:val="center"/>
          </w:tcPr>
          <w:p w14:paraId="02E17CDF">
            <w:pPr>
              <w:pStyle w:val="12"/>
            </w:pPr>
            <w:r>
              <w:rPr>
                <w:rFonts w:hint="eastAsia"/>
              </w:rPr>
              <w:t>应急指挥与决策支持-应急指挥与决策-现场处置</w:t>
            </w:r>
          </w:p>
        </w:tc>
        <w:tc>
          <w:tcPr>
            <w:tcW w:w="5686" w:type="dxa"/>
            <w:tcBorders>
              <w:top w:val="single" w:color="000000" w:sz="4" w:space="0"/>
              <w:left w:val="single" w:color="000000" w:sz="4" w:space="0"/>
              <w:bottom w:val="single" w:color="000000" w:sz="4" w:space="0"/>
              <w:right w:val="single" w:color="000000" w:sz="4" w:space="0"/>
            </w:tcBorders>
            <w:vAlign w:val="center"/>
          </w:tcPr>
          <w:p w14:paraId="6E5D1652">
            <w:pPr>
              <w:pStyle w:val="12"/>
            </w:pPr>
            <w:r>
              <w:rPr>
                <w:rFonts w:hint="eastAsia"/>
              </w:rPr>
              <w:t>根据应急预案和现场处置方案的要求，接收指挥中心下达的现场处置指令，并按照指令要求完成相应的工作，通过图片、文字、视频等各种方式反馈给应急指挥和决策支持系统。</w:t>
            </w:r>
          </w:p>
        </w:tc>
      </w:tr>
      <w:tr w14:paraId="47980471">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22B2139D">
            <w:pPr>
              <w:pStyle w:val="12"/>
            </w:pPr>
            <w:r>
              <w:rPr>
                <w:rFonts w:hint="eastAsia"/>
              </w:rPr>
              <w:t>11</w:t>
            </w:r>
          </w:p>
        </w:tc>
        <w:tc>
          <w:tcPr>
            <w:tcW w:w="2286" w:type="dxa"/>
            <w:tcBorders>
              <w:top w:val="single" w:color="000000" w:sz="4" w:space="0"/>
              <w:left w:val="single" w:color="000000" w:sz="4" w:space="0"/>
              <w:bottom w:val="single" w:color="000000" w:sz="4" w:space="0"/>
              <w:right w:val="single" w:color="000000" w:sz="4" w:space="0"/>
            </w:tcBorders>
            <w:vAlign w:val="center"/>
          </w:tcPr>
          <w:p w14:paraId="30E825AD">
            <w:pPr>
              <w:pStyle w:val="12"/>
            </w:pPr>
            <w:r>
              <w:rPr>
                <w:rFonts w:hint="eastAsia"/>
              </w:rPr>
              <w:t>应急指挥与决策支持-应急指挥与决策-决策支持</w:t>
            </w:r>
          </w:p>
        </w:tc>
        <w:tc>
          <w:tcPr>
            <w:tcW w:w="5686" w:type="dxa"/>
            <w:tcBorders>
              <w:top w:val="single" w:color="000000" w:sz="4" w:space="0"/>
              <w:left w:val="single" w:color="000000" w:sz="4" w:space="0"/>
              <w:bottom w:val="single" w:color="000000" w:sz="4" w:space="0"/>
              <w:right w:val="single" w:color="000000" w:sz="4" w:space="0"/>
            </w:tcBorders>
            <w:vAlign w:val="center"/>
          </w:tcPr>
          <w:p w14:paraId="795B68C8">
            <w:pPr>
              <w:pStyle w:val="12"/>
            </w:pPr>
            <w:r>
              <w:rPr>
                <w:rFonts w:hint="eastAsia"/>
              </w:rPr>
              <w:t>对现场调查、监测、处置等各种信息进行快速分析，支撑应急过程中的动态决策。新增动态扩散模拟、敏感区域识别等功能模块。</w:t>
            </w:r>
          </w:p>
        </w:tc>
      </w:tr>
      <w:tr w14:paraId="17481229">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2E9763B7">
            <w:pPr>
              <w:pStyle w:val="12"/>
            </w:pPr>
            <w:r>
              <w:rPr>
                <w:rFonts w:hint="eastAsia"/>
              </w:rPr>
              <w:t>12</w:t>
            </w:r>
          </w:p>
        </w:tc>
        <w:tc>
          <w:tcPr>
            <w:tcW w:w="2286" w:type="dxa"/>
            <w:tcBorders>
              <w:top w:val="single" w:color="000000" w:sz="4" w:space="0"/>
              <w:left w:val="single" w:color="000000" w:sz="4" w:space="0"/>
              <w:bottom w:val="single" w:color="000000" w:sz="4" w:space="0"/>
              <w:right w:val="single" w:color="000000" w:sz="4" w:space="0"/>
            </w:tcBorders>
            <w:vAlign w:val="center"/>
          </w:tcPr>
          <w:p w14:paraId="0403C685">
            <w:pPr>
              <w:pStyle w:val="12"/>
            </w:pPr>
            <w:r>
              <w:rPr>
                <w:rFonts w:hint="eastAsia"/>
              </w:rPr>
              <w:t>应急指挥与决策支持-应急现场支持-现场人员管理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35DC643F">
            <w:pPr>
              <w:pStyle w:val="12"/>
            </w:pPr>
            <w:r>
              <w:rPr>
                <w:rFonts w:hint="eastAsia"/>
              </w:rPr>
              <w:t>系统对现场应急人员进行统一管理，包括人员基本信息、联系信息、负责区域、人员状态等。在应急事件过程中，后台管理系统可通过人员状态信息，迅速抽调人员赶赴应急现场，提升应急响应效率。</w:t>
            </w:r>
          </w:p>
        </w:tc>
      </w:tr>
      <w:tr w14:paraId="41C698C7">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5D9EE97D">
            <w:pPr>
              <w:pStyle w:val="12"/>
            </w:pPr>
            <w:r>
              <w:rPr>
                <w:rFonts w:hint="eastAsia"/>
              </w:rPr>
              <w:t>13</w:t>
            </w:r>
          </w:p>
        </w:tc>
        <w:tc>
          <w:tcPr>
            <w:tcW w:w="2286" w:type="dxa"/>
            <w:tcBorders>
              <w:top w:val="single" w:color="000000" w:sz="4" w:space="0"/>
              <w:left w:val="single" w:color="000000" w:sz="4" w:space="0"/>
              <w:bottom w:val="single" w:color="000000" w:sz="4" w:space="0"/>
              <w:right w:val="single" w:color="000000" w:sz="4" w:space="0"/>
            </w:tcBorders>
            <w:vAlign w:val="center"/>
          </w:tcPr>
          <w:p w14:paraId="6F70E7AB">
            <w:pPr>
              <w:pStyle w:val="12"/>
            </w:pPr>
            <w:r>
              <w:rPr>
                <w:rFonts w:hint="eastAsia"/>
              </w:rPr>
              <w:t>应急指挥与决策支持-应急现场支持-应急人员调度</w:t>
            </w:r>
          </w:p>
        </w:tc>
        <w:tc>
          <w:tcPr>
            <w:tcW w:w="5686" w:type="dxa"/>
            <w:tcBorders>
              <w:top w:val="single" w:color="000000" w:sz="4" w:space="0"/>
              <w:left w:val="single" w:color="000000" w:sz="4" w:space="0"/>
              <w:bottom w:val="single" w:color="000000" w:sz="4" w:space="0"/>
              <w:right w:val="single" w:color="000000" w:sz="4" w:space="0"/>
            </w:tcBorders>
            <w:vAlign w:val="center"/>
          </w:tcPr>
          <w:p w14:paraId="222AEB00">
            <w:pPr>
              <w:pStyle w:val="12"/>
            </w:pPr>
            <w:r>
              <w:rPr>
                <w:rFonts w:hint="eastAsia"/>
              </w:rPr>
              <w:t>系统对应急人员工作移动轨迹进行记录，实时了解应急人员位置信息，能及时将距离现场最近的应急人员进行联系通知并下发应急任务，为应急人员指挥调度提供支撑。</w:t>
            </w:r>
          </w:p>
        </w:tc>
      </w:tr>
      <w:tr w14:paraId="3E7F1DD0">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4040A960">
            <w:pPr>
              <w:pStyle w:val="12"/>
            </w:pPr>
            <w:r>
              <w:rPr>
                <w:rFonts w:hint="eastAsia"/>
              </w:rPr>
              <w:t>14</w:t>
            </w:r>
          </w:p>
        </w:tc>
        <w:tc>
          <w:tcPr>
            <w:tcW w:w="2286" w:type="dxa"/>
            <w:tcBorders>
              <w:top w:val="single" w:color="000000" w:sz="4" w:space="0"/>
              <w:left w:val="single" w:color="000000" w:sz="4" w:space="0"/>
              <w:bottom w:val="single" w:color="000000" w:sz="4" w:space="0"/>
              <w:right w:val="single" w:color="000000" w:sz="4" w:space="0"/>
            </w:tcBorders>
            <w:vAlign w:val="center"/>
          </w:tcPr>
          <w:p w14:paraId="423796EE">
            <w:pPr>
              <w:pStyle w:val="12"/>
            </w:pPr>
            <w:r>
              <w:rPr>
                <w:rFonts w:hint="eastAsia"/>
              </w:rPr>
              <w:t>应急指挥与决策支持-应急协同标批-地图交互标批</w:t>
            </w:r>
          </w:p>
        </w:tc>
        <w:tc>
          <w:tcPr>
            <w:tcW w:w="5686" w:type="dxa"/>
            <w:tcBorders>
              <w:top w:val="single" w:color="000000" w:sz="4" w:space="0"/>
              <w:left w:val="single" w:color="000000" w:sz="4" w:space="0"/>
              <w:bottom w:val="single" w:color="000000" w:sz="4" w:space="0"/>
              <w:right w:val="single" w:color="000000" w:sz="4" w:space="0"/>
            </w:tcBorders>
            <w:vAlign w:val="center"/>
          </w:tcPr>
          <w:p w14:paraId="02E0C421">
            <w:pPr>
              <w:pStyle w:val="12"/>
            </w:pPr>
            <w:r>
              <w:rPr>
                <w:rFonts w:hint="eastAsia"/>
              </w:rPr>
              <w:t>在GIS应急地图上实现点、线、面多种标注方式，精准标记污染源位置、影响范围、救援路线；支持在地图图层上添加批注框，标注人员可圈选特定区域进行文字说明。</w:t>
            </w:r>
          </w:p>
        </w:tc>
      </w:tr>
      <w:tr w14:paraId="11B742A8">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6C382175">
            <w:pPr>
              <w:pStyle w:val="12"/>
            </w:pPr>
            <w:r>
              <w:rPr>
                <w:rFonts w:hint="eastAsia"/>
              </w:rPr>
              <w:t>15</w:t>
            </w:r>
          </w:p>
        </w:tc>
        <w:tc>
          <w:tcPr>
            <w:tcW w:w="2286" w:type="dxa"/>
            <w:tcBorders>
              <w:top w:val="single" w:color="000000" w:sz="4" w:space="0"/>
              <w:left w:val="single" w:color="000000" w:sz="4" w:space="0"/>
              <w:bottom w:val="single" w:color="000000" w:sz="4" w:space="0"/>
              <w:right w:val="single" w:color="000000" w:sz="4" w:space="0"/>
            </w:tcBorders>
            <w:vAlign w:val="center"/>
          </w:tcPr>
          <w:p w14:paraId="4318CBA2">
            <w:pPr>
              <w:pStyle w:val="12"/>
            </w:pPr>
            <w:r>
              <w:rPr>
                <w:rFonts w:hint="eastAsia"/>
              </w:rPr>
              <w:t>应急指挥与决策支持-应急协同标批-事件动态标批</w:t>
            </w:r>
          </w:p>
        </w:tc>
        <w:tc>
          <w:tcPr>
            <w:tcW w:w="5686" w:type="dxa"/>
            <w:tcBorders>
              <w:top w:val="single" w:color="000000" w:sz="4" w:space="0"/>
              <w:left w:val="single" w:color="000000" w:sz="4" w:space="0"/>
              <w:bottom w:val="single" w:color="000000" w:sz="4" w:space="0"/>
              <w:right w:val="single" w:color="000000" w:sz="4" w:space="0"/>
            </w:tcBorders>
            <w:vAlign w:val="center"/>
          </w:tcPr>
          <w:p w14:paraId="6F9CB660">
            <w:pPr>
              <w:pStyle w:val="12"/>
            </w:pPr>
            <w:r>
              <w:rPr>
                <w:rFonts w:hint="eastAsia"/>
              </w:rPr>
              <w:t>支持对突发环境事件关键要素（如事件类型、发生时间）进行标注，应急人员可批注事件发展细节（如污染物浓度变化、人员受困情况），批注内容自动关联时间轴，便于追溯事件演变过程。​</w:t>
            </w:r>
          </w:p>
        </w:tc>
      </w:tr>
      <w:tr w14:paraId="34CDB8A4">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00AC67E2">
            <w:pPr>
              <w:pStyle w:val="12"/>
            </w:pPr>
            <w:r>
              <w:rPr>
                <w:rFonts w:hint="eastAsia"/>
              </w:rPr>
              <w:t>16</w:t>
            </w:r>
          </w:p>
        </w:tc>
        <w:tc>
          <w:tcPr>
            <w:tcW w:w="2286" w:type="dxa"/>
            <w:tcBorders>
              <w:top w:val="single" w:color="000000" w:sz="4" w:space="0"/>
              <w:left w:val="single" w:color="000000" w:sz="4" w:space="0"/>
              <w:bottom w:val="single" w:color="000000" w:sz="4" w:space="0"/>
              <w:right w:val="single" w:color="000000" w:sz="4" w:space="0"/>
            </w:tcBorders>
            <w:vAlign w:val="center"/>
          </w:tcPr>
          <w:p w14:paraId="11B24A06">
            <w:pPr>
              <w:pStyle w:val="12"/>
            </w:pPr>
            <w:r>
              <w:rPr>
                <w:rFonts w:hint="eastAsia"/>
              </w:rPr>
              <w:t>应急指挥与决策支持-应急协同标批-报告标批联动</w:t>
            </w:r>
          </w:p>
        </w:tc>
        <w:tc>
          <w:tcPr>
            <w:tcW w:w="5686" w:type="dxa"/>
            <w:tcBorders>
              <w:top w:val="single" w:color="000000" w:sz="4" w:space="0"/>
              <w:left w:val="single" w:color="000000" w:sz="4" w:space="0"/>
              <w:bottom w:val="single" w:color="000000" w:sz="4" w:space="0"/>
              <w:right w:val="single" w:color="000000" w:sz="4" w:space="0"/>
            </w:tcBorders>
            <w:vAlign w:val="center"/>
          </w:tcPr>
          <w:p w14:paraId="2ADF2C6F">
            <w:pPr>
              <w:pStyle w:val="12"/>
            </w:pPr>
            <w:r>
              <w:rPr>
                <w:rFonts w:hint="eastAsia"/>
              </w:rPr>
              <w:t>标注人员可直接在自动生成的应急报告草稿中进行批注，通过高亮、下划线等形式标记关键数据错误或补充需求；支持多人在线批注，不同用户批注内容以不同颜色区分，报告修订完成后，系统自动生成版本对比文件，清晰展示修改痕迹。</w:t>
            </w:r>
          </w:p>
        </w:tc>
      </w:tr>
      <w:tr w14:paraId="19A6E25E">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6FD40ED3">
            <w:pPr>
              <w:pStyle w:val="12"/>
            </w:pPr>
            <w:r>
              <w:rPr>
                <w:rFonts w:hint="eastAsia"/>
              </w:rPr>
              <w:t>17</w:t>
            </w:r>
          </w:p>
        </w:tc>
        <w:tc>
          <w:tcPr>
            <w:tcW w:w="2286" w:type="dxa"/>
            <w:tcBorders>
              <w:top w:val="single" w:color="000000" w:sz="4" w:space="0"/>
              <w:left w:val="single" w:color="000000" w:sz="4" w:space="0"/>
              <w:bottom w:val="single" w:color="000000" w:sz="4" w:space="0"/>
              <w:right w:val="single" w:color="000000" w:sz="4" w:space="0"/>
            </w:tcBorders>
            <w:vAlign w:val="center"/>
          </w:tcPr>
          <w:p w14:paraId="67511970">
            <w:pPr>
              <w:pStyle w:val="12"/>
            </w:pPr>
            <w:r>
              <w:rPr>
                <w:rFonts w:hint="eastAsia"/>
              </w:rPr>
              <w:t>应急指挥与决策支持-应急协同标批-标批速查复用</w:t>
            </w:r>
          </w:p>
        </w:tc>
        <w:tc>
          <w:tcPr>
            <w:tcW w:w="5686" w:type="dxa"/>
            <w:tcBorders>
              <w:top w:val="single" w:color="000000" w:sz="4" w:space="0"/>
              <w:left w:val="single" w:color="000000" w:sz="4" w:space="0"/>
              <w:bottom w:val="single" w:color="000000" w:sz="4" w:space="0"/>
              <w:right w:val="single" w:color="000000" w:sz="4" w:space="0"/>
            </w:tcBorders>
            <w:vAlign w:val="center"/>
          </w:tcPr>
          <w:p w14:paraId="78653AA5">
            <w:pPr>
              <w:pStyle w:val="12"/>
            </w:pPr>
            <w:r>
              <w:rPr>
                <w:rFonts w:hint="eastAsia"/>
              </w:rPr>
              <w:t>建立标注批注索引库，支持通过关键词、标注时间、批注人等条件快速检索历史标注内容；在新标注任务中，可直接引用历史标注批注数据，避免重复劳动，同时实现经验知识的高效复用。</w:t>
            </w:r>
          </w:p>
        </w:tc>
      </w:tr>
      <w:tr w14:paraId="071F05A9">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5FF07F7B">
            <w:pPr>
              <w:pStyle w:val="12"/>
            </w:pPr>
            <w:r>
              <w:rPr>
                <w:rFonts w:hint="eastAsia"/>
              </w:rPr>
              <w:t>18</w:t>
            </w:r>
          </w:p>
        </w:tc>
        <w:tc>
          <w:tcPr>
            <w:tcW w:w="2286" w:type="dxa"/>
            <w:tcBorders>
              <w:top w:val="single" w:color="000000" w:sz="4" w:space="0"/>
              <w:left w:val="single" w:color="000000" w:sz="4" w:space="0"/>
              <w:bottom w:val="single" w:color="000000" w:sz="4" w:space="0"/>
              <w:right w:val="single" w:color="000000" w:sz="4" w:space="0"/>
            </w:tcBorders>
            <w:vAlign w:val="center"/>
          </w:tcPr>
          <w:p w14:paraId="7BAE94CC">
            <w:pPr>
              <w:pStyle w:val="12"/>
            </w:pPr>
            <w:r>
              <w:rPr>
                <w:rFonts w:hint="eastAsia"/>
              </w:rPr>
              <w:t>应急指挥与决策支持-应急指挥与决策一张屏-实时环境风险态势</w:t>
            </w:r>
          </w:p>
        </w:tc>
        <w:tc>
          <w:tcPr>
            <w:tcW w:w="5686" w:type="dxa"/>
            <w:tcBorders>
              <w:top w:val="single" w:color="000000" w:sz="4" w:space="0"/>
              <w:left w:val="single" w:color="000000" w:sz="4" w:space="0"/>
              <w:bottom w:val="single" w:color="000000" w:sz="4" w:space="0"/>
              <w:right w:val="single" w:color="000000" w:sz="4" w:space="0"/>
            </w:tcBorders>
            <w:vAlign w:val="center"/>
          </w:tcPr>
          <w:p w14:paraId="03163540">
            <w:pPr>
              <w:pStyle w:val="12"/>
            </w:pPr>
            <w:r>
              <w:rPr>
                <w:rFonts w:hint="eastAsia"/>
              </w:rPr>
              <w:t>按风险等级统计全市风险源企业数量，依经纬度落图呈现地理分布特征；归集上海各区水质、空气质量及工业园区监测点实时数据，结合地图分析不同站点、环境要素历史变化趋势，动态掌握环境质量态势。</w:t>
            </w:r>
          </w:p>
        </w:tc>
      </w:tr>
      <w:tr w14:paraId="14E42EAF">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106A3963">
            <w:pPr>
              <w:pStyle w:val="12"/>
            </w:pPr>
            <w:r>
              <w:rPr>
                <w:rFonts w:hint="eastAsia"/>
              </w:rPr>
              <w:t>19</w:t>
            </w:r>
          </w:p>
        </w:tc>
        <w:tc>
          <w:tcPr>
            <w:tcW w:w="2286" w:type="dxa"/>
            <w:tcBorders>
              <w:top w:val="single" w:color="000000" w:sz="4" w:space="0"/>
              <w:left w:val="single" w:color="000000" w:sz="4" w:space="0"/>
              <w:bottom w:val="single" w:color="000000" w:sz="4" w:space="0"/>
              <w:right w:val="single" w:color="000000" w:sz="4" w:space="0"/>
            </w:tcBorders>
            <w:vAlign w:val="center"/>
          </w:tcPr>
          <w:p w14:paraId="71091874">
            <w:pPr>
              <w:pStyle w:val="12"/>
            </w:pPr>
            <w:r>
              <w:rPr>
                <w:rFonts w:hint="eastAsia"/>
              </w:rPr>
              <w:t>应急指挥与决策支持-应急指挥与决策一张屏-社会风险动态跟踪</w:t>
            </w:r>
          </w:p>
        </w:tc>
        <w:tc>
          <w:tcPr>
            <w:tcW w:w="5686" w:type="dxa"/>
            <w:tcBorders>
              <w:top w:val="single" w:color="000000" w:sz="4" w:space="0"/>
              <w:left w:val="single" w:color="000000" w:sz="4" w:space="0"/>
              <w:bottom w:val="single" w:color="000000" w:sz="4" w:space="0"/>
              <w:right w:val="single" w:color="000000" w:sz="4" w:space="0"/>
            </w:tcBorders>
            <w:vAlign w:val="center"/>
          </w:tcPr>
          <w:p w14:paraId="61FB32F6">
            <w:pPr>
              <w:pStyle w:val="12"/>
            </w:pPr>
            <w:r>
              <w:rPr>
                <w:rFonts w:hint="eastAsia"/>
              </w:rPr>
              <w:t>对信访处理记录、投诉热线反馈及应急</w:t>
            </w:r>
            <w:r>
              <w:rPr>
                <w:rFonts w:hint="eastAsia"/>
                <w:lang w:eastAsia="zh-CN"/>
              </w:rPr>
              <w:t>YQ</w:t>
            </w:r>
            <w:r>
              <w:rPr>
                <w:rFonts w:hint="eastAsia"/>
              </w:rPr>
              <w:t>数据进行分析，梳理出投诉焦点与</w:t>
            </w:r>
            <w:r>
              <w:rPr>
                <w:rFonts w:hint="eastAsia"/>
                <w:lang w:eastAsia="zh-CN"/>
              </w:rPr>
              <w:t>YQ</w:t>
            </w:r>
            <w:r>
              <w:rPr>
                <w:rFonts w:hint="eastAsia"/>
              </w:rPr>
              <w:t>热点，生成热点词汇云图。同时，识别生态环境问题频发的热点区域，锁定频繁涉诉企业名单，为监管执法提供依据。</w:t>
            </w:r>
          </w:p>
        </w:tc>
      </w:tr>
      <w:tr w14:paraId="4203B4F2">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40E3CFC5">
            <w:pPr>
              <w:pStyle w:val="12"/>
            </w:pPr>
            <w:r>
              <w:rPr>
                <w:rFonts w:hint="eastAsia"/>
              </w:rPr>
              <w:t>20</w:t>
            </w:r>
          </w:p>
        </w:tc>
        <w:tc>
          <w:tcPr>
            <w:tcW w:w="2286" w:type="dxa"/>
            <w:tcBorders>
              <w:top w:val="single" w:color="000000" w:sz="4" w:space="0"/>
              <w:left w:val="single" w:color="000000" w:sz="4" w:space="0"/>
              <w:bottom w:val="single" w:color="000000" w:sz="4" w:space="0"/>
              <w:right w:val="single" w:color="000000" w:sz="4" w:space="0"/>
            </w:tcBorders>
            <w:vAlign w:val="center"/>
          </w:tcPr>
          <w:p w14:paraId="30750F80">
            <w:pPr>
              <w:pStyle w:val="12"/>
            </w:pPr>
            <w:r>
              <w:rPr>
                <w:rFonts w:hint="eastAsia"/>
              </w:rPr>
              <w:t>应急指挥与决策支持-应急指挥与决策一张屏-现场动态监控</w:t>
            </w:r>
          </w:p>
        </w:tc>
        <w:tc>
          <w:tcPr>
            <w:tcW w:w="5686" w:type="dxa"/>
            <w:tcBorders>
              <w:top w:val="single" w:color="000000" w:sz="4" w:space="0"/>
              <w:left w:val="single" w:color="000000" w:sz="4" w:space="0"/>
              <w:bottom w:val="single" w:color="000000" w:sz="4" w:space="0"/>
              <w:right w:val="single" w:color="000000" w:sz="4" w:space="0"/>
            </w:tcBorders>
            <w:vAlign w:val="center"/>
          </w:tcPr>
          <w:p w14:paraId="4E448F6B">
            <w:pPr>
              <w:pStyle w:val="12"/>
            </w:pPr>
            <w:r>
              <w:rPr>
                <w:rFonts w:hint="eastAsia"/>
              </w:rPr>
              <w:t>完成无人机、布控球、应急指挥车、固定监控视频数据的对接和调阅，实现多源视频数据的统一汇聚和按需查看，方便应急人员及时、全面、直观掌握现场动态。</w:t>
            </w:r>
          </w:p>
        </w:tc>
      </w:tr>
      <w:tr w14:paraId="1577B9A1">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3D8FE2AD">
            <w:pPr>
              <w:pStyle w:val="12"/>
            </w:pPr>
            <w:r>
              <w:rPr>
                <w:rFonts w:hint="eastAsia"/>
              </w:rPr>
              <w:t>21</w:t>
            </w:r>
          </w:p>
        </w:tc>
        <w:tc>
          <w:tcPr>
            <w:tcW w:w="2286" w:type="dxa"/>
            <w:tcBorders>
              <w:top w:val="single" w:color="000000" w:sz="4" w:space="0"/>
              <w:left w:val="single" w:color="000000" w:sz="4" w:space="0"/>
              <w:bottom w:val="single" w:color="000000" w:sz="4" w:space="0"/>
              <w:right w:val="single" w:color="000000" w:sz="4" w:space="0"/>
            </w:tcBorders>
            <w:vAlign w:val="center"/>
          </w:tcPr>
          <w:p w14:paraId="2C7E1C85">
            <w:pPr>
              <w:pStyle w:val="12"/>
            </w:pPr>
            <w:r>
              <w:rPr>
                <w:rFonts w:hint="eastAsia"/>
              </w:rPr>
              <w:t>应急指挥与决策支持-应急指挥与决策一张屏-应急备战状态</w:t>
            </w:r>
          </w:p>
        </w:tc>
        <w:tc>
          <w:tcPr>
            <w:tcW w:w="5686" w:type="dxa"/>
            <w:tcBorders>
              <w:top w:val="single" w:color="000000" w:sz="4" w:space="0"/>
              <w:left w:val="single" w:color="000000" w:sz="4" w:space="0"/>
              <w:bottom w:val="single" w:color="000000" w:sz="4" w:space="0"/>
              <w:right w:val="single" w:color="000000" w:sz="4" w:space="0"/>
            </w:tcBorders>
            <w:vAlign w:val="center"/>
          </w:tcPr>
          <w:p w14:paraId="177EF65E">
            <w:pPr>
              <w:pStyle w:val="12"/>
            </w:pPr>
            <w:r>
              <w:rPr>
                <w:rFonts w:hint="eastAsia"/>
              </w:rPr>
              <w:t>展示当日应急值班安排，确保人员责任落实到位，整合应急人员、设施、车辆等资源信息，通过 GIS 地图可视化分布，实现应急资源的统筹管理与精准调配。</w:t>
            </w:r>
          </w:p>
        </w:tc>
      </w:tr>
      <w:tr w14:paraId="0444BD38">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2B2EB428">
            <w:pPr>
              <w:pStyle w:val="12"/>
            </w:pPr>
            <w:r>
              <w:rPr>
                <w:rFonts w:hint="eastAsia"/>
              </w:rPr>
              <w:t>22</w:t>
            </w:r>
          </w:p>
        </w:tc>
        <w:tc>
          <w:tcPr>
            <w:tcW w:w="2286" w:type="dxa"/>
            <w:tcBorders>
              <w:top w:val="single" w:color="000000" w:sz="4" w:space="0"/>
              <w:left w:val="single" w:color="000000" w:sz="4" w:space="0"/>
              <w:bottom w:val="single" w:color="000000" w:sz="4" w:space="0"/>
              <w:right w:val="single" w:color="000000" w:sz="4" w:space="0"/>
            </w:tcBorders>
            <w:vAlign w:val="center"/>
          </w:tcPr>
          <w:p w14:paraId="46F9FF4C">
            <w:pPr>
              <w:pStyle w:val="12"/>
            </w:pPr>
            <w:r>
              <w:rPr>
                <w:rFonts w:hint="eastAsia"/>
              </w:rPr>
              <w:t>应急指挥与决策支持-应急指挥与决策一张屏-应急处置跟踪</w:t>
            </w:r>
          </w:p>
        </w:tc>
        <w:tc>
          <w:tcPr>
            <w:tcW w:w="5686" w:type="dxa"/>
            <w:tcBorders>
              <w:top w:val="single" w:color="000000" w:sz="4" w:space="0"/>
              <w:left w:val="single" w:color="000000" w:sz="4" w:space="0"/>
              <w:bottom w:val="single" w:color="000000" w:sz="4" w:space="0"/>
              <w:right w:val="single" w:color="000000" w:sz="4" w:space="0"/>
            </w:tcBorders>
            <w:vAlign w:val="center"/>
          </w:tcPr>
          <w:p w14:paraId="42A1472B">
            <w:pPr>
              <w:pStyle w:val="12"/>
            </w:pPr>
            <w:r>
              <w:rPr>
                <w:rFonts w:hint="eastAsia"/>
              </w:rPr>
              <w:t>实时统计本年度累计接警、已处置、当月反馈及在办事件数量，生成动态数据看板，以红黄绿颜色编码区分事件处理状态。同时将所有环境应急事件标注在地理信息地图上，用差异化颜色和图标符号区分处置状态，方便识别事件进展与分布热点。</w:t>
            </w:r>
          </w:p>
        </w:tc>
      </w:tr>
      <w:tr w14:paraId="18A9A40B">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6C8E02BF">
            <w:pPr>
              <w:pStyle w:val="12"/>
            </w:pPr>
            <w:r>
              <w:rPr>
                <w:rFonts w:hint="eastAsia"/>
              </w:rPr>
              <w:t>23</w:t>
            </w:r>
          </w:p>
        </w:tc>
        <w:tc>
          <w:tcPr>
            <w:tcW w:w="2286" w:type="dxa"/>
            <w:tcBorders>
              <w:top w:val="single" w:color="000000" w:sz="4" w:space="0"/>
              <w:left w:val="single" w:color="000000" w:sz="4" w:space="0"/>
              <w:bottom w:val="single" w:color="000000" w:sz="4" w:space="0"/>
              <w:right w:val="single" w:color="000000" w:sz="4" w:space="0"/>
            </w:tcBorders>
            <w:vAlign w:val="center"/>
          </w:tcPr>
          <w:p w14:paraId="4287D3CC">
            <w:pPr>
              <w:pStyle w:val="12"/>
            </w:pPr>
            <w:r>
              <w:rPr>
                <w:rFonts w:hint="eastAsia"/>
              </w:rPr>
              <w:t>应急指挥与决策支持-应急指挥与决策一张屏-应急决策辅助工具</w:t>
            </w:r>
          </w:p>
        </w:tc>
        <w:tc>
          <w:tcPr>
            <w:tcW w:w="5686" w:type="dxa"/>
            <w:tcBorders>
              <w:top w:val="single" w:color="000000" w:sz="4" w:space="0"/>
              <w:left w:val="single" w:color="000000" w:sz="4" w:space="0"/>
              <w:bottom w:val="single" w:color="000000" w:sz="4" w:space="0"/>
              <w:right w:val="single" w:color="000000" w:sz="4" w:space="0"/>
            </w:tcBorders>
            <w:vAlign w:val="center"/>
          </w:tcPr>
          <w:p w14:paraId="4CF6C549">
            <w:pPr>
              <w:pStyle w:val="12"/>
            </w:pPr>
            <w:r>
              <w:rPr>
                <w:rFonts w:hint="eastAsia"/>
              </w:rPr>
              <w:t>提供时空遥感数据交互比对功能，通过双屏设计载入不同年份遥感影像同步分析；还支持自定义绘制圆、矩形等形状圈定范围，自动检索反馈区域内风险源企业清单，辅助应急决策。</w:t>
            </w:r>
          </w:p>
        </w:tc>
      </w:tr>
      <w:tr w14:paraId="7236DD39">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4F985A92">
            <w:pPr>
              <w:pStyle w:val="12"/>
            </w:pPr>
            <w:r>
              <w:rPr>
                <w:rFonts w:hint="eastAsia"/>
              </w:rPr>
              <w:t>24</w:t>
            </w:r>
          </w:p>
        </w:tc>
        <w:tc>
          <w:tcPr>
            <w:tcW w:w="2286" w:type="dxa"/>
            <w:tcBorders>
              <w:top w:val="single" w:color="000000" w:sz="4" w:space="0"/>
              <w:left w:val="single" w:color="000000" w:sz="4" w:space="0"/>
              <w:bottom w:val="single" w:color="000000" w:sz="4" w:space="0"/>
              <w:right w:val="single" w:color="000000" w:sz="4" w:space="0"/>
            </w:tcBorders>
            <w:vAlign w:val="center"/>
          </w:tcPr>
          <w:p w14:paraId="001E3DBB">
            <w:pPr>
              <w:pStyle w:val="12"/>
            </w:pPr>
            <w:r>
              <w:rPr>
                <w:rFonts w:hint="eastAsia"/>
              </w:rPr>
              <w:t>融合通信可视会商-多源终端会商-会议协议转换</w:t>
            </w:r>
          </w:p>
        </w:tc>
        <w:tc>
          <w:tcPr>
            <w:tcW w:w="5686" w:type="dxa"/>
            <w:tcBorders>
              <w:top w:val="single" w:color="000000" w:sz="4" w:space="0"/>
              <w:left w:val="single" w:color="000000" w:sz="4" w:space="0"/>
              <w:bottom w:val="single" w:color="000000" w:sz="4" w:space="0"/>
              <w:right w:val="single" w:color="000000" w:sz="4" w:space="0"/>
            </w:tcBorders>
            <w:vAlign w:val="center"/>
          </w:tcPr>
          <w:p w14:paraId="22DAAF78">
            <w:pPr>
              <w:pStyle w:val="12"/>
            </w:pPr>
            <w:r>
              <w:rPr>
                <w:rFonts w:hint="eastAsia"/>
              </w:rPr>
              <w:t>基于H.323协议，完成现有视频会议系统、第三方平台的协议转化，实现与视频会议系统互联，音频会场互通，可推送视频至视频会议系统，支持与宝利通、华为、中兴、思科等主流视频会议厂家设备对接，单套设备实现与一个视频会议系统对接。</w:t>
            </w:r>
          </w:p>
        </w:tc>
      </w:tr>
      <w:tr w14:paraId="61E98488">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0FBEC14A">
            <w:pPr>
              <w:pStyle w:val="12"/>
            </w:pPr>
            <w:r>
              <w:rPr>
                <w:rFonts w:hint="eastAsia"/>
              </w:rPr>
              <w:t>25</w:t>
            </w:r>
          </w:p>
        </w:tc>
        <w:tc>
          <w:tcPr>
            <w:tcW w:w="2286" w:type="dxa"/>
            <w:tcBorders>
              <w:top w:val="single" w:color="000000" w:sz="4" w:space="0"/>
              <w:left w:val="single" w:color="000000" w:sz="4" w:space="0"/>
              <w:bottom w:val="single" w:color="000000" w:sz="4" w:space="0"/>
              <w:right w:val="single" w:color="000000" w:sz="4" w:space="0"/>
            </w:tcBorders>
            <w:vAlign w:val="center"/>
          </w:tcPr>
          <w:p w14:paraId="3F74D8F3">
            <w:pPr>
              <w:pStyle w:val="12"/>
            </w:pPr>
            <w:r>
              <w:rPr>
                <w:rFonts w:hint="eastAsia"/>
              </w:rPr>
              <w:t>融合通信可视会商-多源终端会商-监控协议转换</w:t>
            </w:r>
          </w:p>
        </w:tc>
        <w:tc>
          <w:tcPr>
            <w:tcW w:w="5686" w:type="dxa"/>
            <w:tcBorders>
              <w:top w:val="single" w:color="000000" w:sz="4" w:space="0"/>
              <w:left w:val="single" w:color="000000" w:sz="4" w:space="0"/>
              <w:bottom w:val="single" w:color="000000" w:sz="4" w:space="0"/>
              <w:right w:val="single" w:color="000000" w:sz="4" w:space="0"/>
            </w:tcBorders>
            <w:vAlign w:val="center"/>
          </w:tcPr>
          <w:p w14:paraId="7BE3489C">
            <w:pPr>
              <w:pStyle w:val="12"/>
            </w:pPr>
            <w:r>
              <w:rPr>
                <w:rFonts w:hint="eastAsia"/>
              </w:rPr>
              <w:t>基于 GB28281 协议和 RTSP 协议，可以对接单个监控设备，也可以对接平台；单监控服务节点接入量为4000路，并发1080P/4M为32路，720P/2M为64路。移动单兵、布控球、执法仪、无人机等系统设备接入，支持多品牌，多协议匹配。</w:t>
            </w:r>
          </w:p>
        </w:tc>
      </w:tr>
      <w:tr w14:paraId="7645AB36">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2A417128">
            <w:pPr>
              <w:pStyle w:val="12"/>
            </w:pPr>
            <w:r>
              <w:rPr>
                <w:rFonts w:hint="eastAsia"/>
              </w:rPr>
              <w:t>26</w:t>
            </w:r>
          </w:p>
        </w:tc>
        <w:tc>
          <w:tcPr>
            <w:tcW w:w="2286" w:type="dxa"/>
            <w:tcBorders>
              <w:top w:val="single" w:color="000000" w:sz="4" w:space="0"/>
              <w:left w:val="single" w:color="000000" w:sz="4" w:space="0"/>
              <w:bottom w:val="single" w:color="000000" w:sz="4" w:space="0"/>
              <w:right w:val="single" w:color="000000" w:sz="4" w:space="0"/>
            </w:tcBorders>
            <w:vAlign w:val="center"/>
          </w:tcPr>
          <w:p w14:paraId="716EDC92">
            <w:pPr>
              <w:pStyle w:val="12"/>
            </w:pPr>
            <w:r>
              <w:rPr>
                <w:rFonts w:hint="eastAsia"/>
              </w:rPr>
              <w:t>融合通信可视会商-多源终端会商-视频监控入会</w:t>
            </w:r>
          </w:p>
        </w:tc>
        <w:tc>
          <w:tcPr>
            <w:tcW w:w="5686" w:type="dxa"/>
            <w:tcBorders>
              <w:top w:val="single" w:color="000000" w:sz="4" w:space="0"/>
              <w:left w:val="single" w:color="000000" w:sz="4" w:space="0"/>
              <w:bottom w:val="single" w:color="000000" w:sz="4" w:space="0"/>
              <w:right w:val="single" w:color="000000" w:sz="4" w:space="0"/>
            </w:tcBorders>
            <w:vAlign w:val="center"/>
          </w:tcPr>
          <w:p w14:paraId="087499F8">
            <w:pPr>
              <w:pStyle w:val="12"/>
            </w:pPr>
            <w:r>
              <w:rPr>
                <w:rFonts w:hint="eastAsia"/>
              </w:rPr>
              <w:t>支持无人机、布控球、应急监测车固定监控、执法记录仪接入会商，提供在线查看监控、监控轮询、云台控制，支持实现预览窗口布局切换、预览画面自适应及全屏切换；支持实时抓图、紧急录像、即时回放；可以对设备进行语音对讲功能。</w:t>
            </w:r>
          </w:p>
        </w:tc>
      </w:tr>
      <w:tr w14:paraId="6EE13FD4">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27649891">
            <w:pPr>
              <w:pStyle w:val="12"/>
            </w:pPr>
            <w:r>
              <w:rPr>
                <w:rFonts w:hint="eastAsia"/>
              </w:rPr>
              <w:t>27</w:t>
            </w:r>
          </w:p>
        </w:tc>
        <w:tc>
          <w:tcPr>
            <w:tcW w:w="2286" w:type="dxa"/>
            <w:tcBorders>
              <w:top w:val="single" w:color="000000" w:sz="4" w:space="0"/>
              <w:left w:val="single" w:color="000000" w:sz="4" w:space="0"/>
              <w:bottom w:val="single" w:color="000000" w:sz="4" w:space="0"/>
              <w:right w:val="single" w:color="000000" w:sz="4" w:space="0"/>
            </w:tcBorders>
            <w:vAlign w:val="center"/>
          </w:tcPr>
          <w:p w14:paraId="34D8BFC5">
            <w:pPr>
              <w:pStyle w:val="12"/>
            </w:pPr>
            <w:r>
              <w:rPr>
                <w:rFonts w:hint="eastAsia"/>
              </w:rPr>
              <w:t>融合通信可视会商-多源终端会商-会议系统入会</w:t>
            </w:r>
          </w:p>
        </w:tc>
        <w:tc>
          <w:tcPr>
            <w:tcW w:w="5686" w:type="dxa"/>
            <w:tcBorders>
              <w:top w:val="single" w:color="000000" w:sz="4" w:space="0"/>
              <w:left w:val="single" w:color="000000" w:sz="4" w:space="0"/>
              <w:bottom w:val="single" w:color="000000" w:sz="4" w:space="0"/>
              <w:right w:val="single" w:color="000000" w:sz="4" w:space="0"/>
            </w:tcBorders>
            <w:vAlign w:val="center"/>
          </w:tcPr>
          <w:p w14:paraId="53DF00DB">
            <w:pPr>
              <w:pStyle w:val="12"/>
            </w:pPr>
            <w:r>
              <w:rPr>
                <w:rFonts w:hint="eastAsia"/>
              </w:rPr>
              <w:t>实现多源会议系统的融合接入，支持ITU-T H.264、H.265等视频编码，支持第三方视频会议系统对接，支持通过H.323呼叫设备，拨打电话邀请人员入会等，支持多方音视频会商，可在视频会议会商中接入同时电话、监控、集群对接等。</w:t>
            </w:r>
          </w:p>
        </w:tc>
      </w:tr>
      <w:tr w14:paraId="72E46465">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1D494719">
            <w:pPr>
              <w:pStyle w:val="12"/>
            </w:pPr>
            <w:r>
              <w:rPr>
                <w:rFonts w:hint="eastAsia"/>
              </w:rPr>
              <w:t>28</w:t>
            </w:r>
          </w:p>
        </w:tc>
        <w:tc>
          <w:tcPr>
            <w:tcW w:w="2286" w:type="dxa"/>
            <w:tcBorders>
              <w:top w:val="single" w:color="000000" w:sz="4" w:space="0"/>
              <w:left w:val="single" w:color="000000" w:sz="4" w:space="0"/>
              <w:bottom w:val="single" w:color="000000" w:sz="4" w:space="0"/>
              <w:right w:val="single" w:color="000000" w:sz="4" w:space="0"/>
            </w:tcBorders>
            <w:vAlign w:val="center"/>
          </w:tcPr>
          <w:p w14:paraId="1B83487E">
            <w:pPr>
              <w:pStyle w:val="12"/>
            </w:pPr>
            <w:r>
              <w:rPr>
                <w:rFonts w:hint="eastAsia"/>
              </w:rPr>
              <w:t>融合通信可视会商-多源终端会商-电话系统入会</w:t>
            </w:r>
          </w:p>
        </w:tc>
        <w:tc>
          <w:tcPr>
            <w:tcW w:w="5686" w:type="dxa"/>
            <w:tcBorders>
              <w:top w:val="single" w:color="000000" w:sz="4" w:space="0"/>
              <w:left w:val="single" w:color="000000" w:sz="4" w:space="0"/>
              <w:bottom w:val="single" w:color="000000" w:sz="4" w:space="0"/>
              <w:right w:val="single" w:color="000000" w:sz="4" w:space="0"/>
            </w:tcBorders>
            <w:vAlign w:val="center"/>
          </w:tcPr>
          <w:p w14:paraId="05C3E74E">
            <w:pPr>
              <w:pStyle w:val="12"/>
            </w:pPr>
            <w:r>
              <w:rPr>
                <w:rFonts w:hint="eastAsia"/>
              </w:rPr>
              <w:t>提供语音设备接入和呼叫功能，支持语音电话的接入，支持在平台上直接呼叫电话 ，可对接电话系统，可在平台内直接拨打电话或者会议中邀请人入会，与运营商IMS线路对接，实现通过手机号码拨打VOLTE电话。</w:t>
            </w:r>
          </w:p>
        </w:tc>
      </w:tr>
      <w:tr w14:paraId="3BADEC29">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3E431AEF">
            <w:pPr>
              <w:pStyle w:val="12"/>
            </w:pPr>
            <w:r>
              <w:rPr>
                <w:rFonts w:hint="eastAsia"/>
              </w:rPr>
              <w:t>29</w:t>
            </w:r>
          </w:p>
        </w:tc>
        <w:tc>
          <w:tcPr>
            <w:tcW w:w="2286" w:type="dxa"/>
            <w:tcBorders>
              <w:top w:val="single" w:color="000000" w:sz="4" w:space="0"/>
              <w:left w:val="single" w:color="000000" w:sz="4" w:space="0"/>
              <w:bottom w:val="single" w:color="000000" w:sz="4" w:space="0"/>
              <w:right w:val="single" w:color="000000" w:sz="4" w:space="0"/>
            </w:tcBorders>
            <w:vAlign w:val="center"/>
          </w:tcPr>
          <w:p w14:paraId="11E13EE7">
            <w:pPr>
              <w:pStyle w:val="12"/>
            </w:pPr>
            <w:r>
              <w:rPr>
                <w:rFonts w:hint="eastAsia"/>
              </w:rPr>
              <w:t>融合通信可视会商-实时会商服务-即时通信服务</w:t>
            </w:r>
          </w:p>
        </w:tc>
        <w:tc>
          <w:tcPr>
            <w:tcW w:w="5686" w:type="dxa"/>
            <w:tcBorders>
              <w:top w:val="single" w:color="000000" w:sz="4" w:space="0"/>
              <w:left w:val="single" w:color="000000" w:sz="4" w:space="0"/>
              <w:bottom w:val="single" w:color="000000" w:sz="4" w:space="0"/>
              <w:right w:val="single" w:color="000000" w:sz="4" w:space="0"/>
            </w:tcBorders>
            <w:vAlign w:val="center"/>
          </w:tcPr>
          <w:p w14:paraId="3D1754B8">
            <w:pPr>
              <w:pStyle w:val="12"/>
            </w:pPr>
            <w:r>
              <w:rPr>
                <w:rFonts w:hint="eastAsia"/>
              </w:rPr>
              <w:t>提供在应急用户群体之间进行快速的消息的发送，支持文本、语音、图片、视频、文件等消息类型发送，支持实时消息接收，支持动态建群，动态配置消息存储天数。</w:t>
            </w:r>
          </w:p>
        </w:tc>
      </w:tr>
      <w:tr w14:paraId="242EE52E">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39374807">
            <w:pPr>
              <w:pStyle w:val="12"/>
            </w:pPr>
            <w:r>
              <w:rPr>
                <w:rFonts w:hint="eastAsia"/>
              </w:rPr>
              <w:t>30</w:t>
            </w:r>
          </w:p>
        </w:tc>
        <w:tc>
          <w:tcPr>
            <w:tcW w:w="2286" w:type="dxa"/>
            <w:tcBorders>
              <w:top w:val="single" w:color="000000" w:sz="4" w:space="0"/>
              <w:left w:val="single" w:color="000000" w:sz="4" w:space="0"/>
              <w:bottom w:val="single" w:color="000000" w:sz="4" w:space="0"/>
              <w:right w:val="single" w:color="000000" w:sz="4" w:space="0"/>
            </w:tcBorders>
            <w:vAlign w:val="center"/>
          </w:tcPr>
          <w:p w14:paraId="3FAC10D0">
            <w:pPr>
              <w:pStyle w:val="12"/>
            </w:pPr>
            <w:r>
              <w:rPr>
                <w:rFonts w:hint="eastAsia"/>
              </w:rPr>
              <w:t>融合通信可视会商-实时会商服务-会议录制服务</w:t>
            </w:r>
          </w:p>
        </w:tc>
        <w:tc>
          <w:tcPr>
            <w:tcW w:w="5686" w:type="dxa"/>
            <w:tcBorders>
              <w:top w:val="single" w:color="000000" w:sz="4" w:space="0"/>
              <w:left w:val="single" w:color="000000" w:sz="4" w:space="0"/>
              <w:bottom w:val="single" w:color="000000" w:sz="4" w:space="0"/>
              <w:right w:val="single" w:color="000000" w:sz="4" w:space="0"/>
            </w:tcBorders>
            <w:vAlign w:val="center"/>
          </w:tcPr>
          <w:p w14:paraId="58CB9EB3">
            <w:pPr>
              <w:pStyle w:val="12"/>
            </w:pPr>
            <w:r>
              <w:rPr>
                <w:rFonts w:hint="eastAsia"/>
              </w:rPr>
              <w:t>视频会议中进行音视频录制，，并提供对录音文件进行管理、调阅、下载和删除等功能。</w:t>
            </w:r>
          </w:p>
        </w:tc>
      </w:tr>
      <w:tr w14:paraId="4EF9BF48">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436C5C55">
            <w:pPr>
              <w:pStyle w:val="12"/>
            </w:pPr>
            <w:r>
              <w:rPr>
                <w:rFonts w:hint="eastAsia"/>
              </w:rPr>
              <w:t>31</w:t>
            </w:r>
          </w:p>
        </w:tc>
        <w:tc>
          <w:tcPr>
            <w:tcW w:w="2286" w:type="dxa"/>
            <w:tcBorders>
              <w:top w:val="single" w:color="000000" w:sz="4" w:space="0"/>
              <w:left w:val="single" w:color="000000" w:sz="4" w:space="0"/>
              <w:bottom w:val="single" w:color="000000" w:sz="4" w:space="0"/>
              <w:right w:val="single" w:color="000000" w:sz="4" w:space="0"/>
            </w:tcBorders>
            <w:vAlign w:val="center"/>
          </w:tcPr>
          <w:p w14:paraId="09C9D1C6">
            <w:pPr>
              <w:pStyle w:val="12"/>
            </w:pPr>
            <w:r>
              <w:rPr>
                <w:rFonts w:hint="eastAsia"/>
              </w:rPr>
              <w:t>融合通信可视会商-实时会商服务-视频会商画面控制</w:t>
            </w:r>
          </w:p>
        </w:tc>
        <w:tc>
          <w:tcPr>
            <w:tcW w:w="5686" w:type="dxa"/>
            <w:tcBorders>
              <w:top w:val="single" w:color="000000" w:sz="4" w:space="0"/>
              <w:left w:val="single" w:color="000000" w:sz="4" w:space="0"/>
              <w:bottom w:val="single" w:color="000000" w:sz="4" w:space="0"/>
              <w:right w:val="single" w:color="000000" w:sz="4" w:space="0"/>
            </w:tcBorders>
            <w:vAlign w:val="center"/>
          </w:tcPr>
          <w:p w14:paraId="3D83481E">
            <w:pPr>
              <w:pStyle w:val="12"/>
            </w:pPr>
            <w:r>
              <w:rPr>
                <w:rFonts w:hint="eastAsia"/>
              </w:rPr>
              <w:t>支持1/4/9/16等多画面分屏模式，同时，系统可自定义主会场/重点区域画面，优先放大显示自动识别发言人并切换焦点画面，增强会议临场感。</w:t>
            </w:r>
          </w:p>
        </w:tc>
      </w:tr>
      <w:tr w14:paraId="46DBEC27">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5A5DD545">
            <w:pPr>
              <w:pStyle w:val="12"/>
            </w:pPr>
            <w:r>
              <w:rPr>
                <w:rFonts w:hint="eastAsia"/>
              </w:rPr>
              <w:t>32</w:t>
            </w:r>
          </w:p>
        </w:tc>
        <w:tc>
          <w:tcPr>
            <w:tcW w:w="2286" w:type="dxa"/>
            <w:tcBorders>
              <w:top w:val="single" w:color="000000" w:sz="4" w:space="0"/>
              <w:left w:val="single" w:color="000000" w:sz="4" w:space="0"/>
              <w:bottom w:val="single" w:color="000000" w:sz="4" w:space="0"/>
              <w:right w:val="single" w:color="000000" w:sz="4" w:space="0"/>
            </w:tcBorders>
            <w:vAlign w:val="center"/>
          </w:tcPr>
          <w:p w14:paraId="47E46DD2">
            <w:pPr>
              <w:pStyle w:val="12"/>
            </w:pPr>
            <w:r>
              <w:rPr>
                <w:rFonts w:hint="eastAsia"/>
              </w:rPr>
              <w:t>融合通信可视会商-实时会商服务-多模态指令传递</w:t>
            </w:r>
          </w:p>
        </w:tc>
        <w:tc>
          <w:tcPr>
            <w:tcW w:w="5686" w:type="dxa"/>
            <w:tcBorders>
              <w:top w:val="single" w:color="000000" w:sz="4" w:space="0"/>
              <w:left w:val="single" w:color="000000" w:sz="4" w:space="0"/>
              <w:bottom w:val="single" w:color="000000" w:sz="4" w:space="0"/>
              <w:right w:val="single" w:color="000000" w:sz="4" w:space="0"/>
            </w:tcBorders>
            <w:vAlign w:val="center"/>
          </w:tcPr>
          <w:p w14:paraId="28AE2BFD">
            <w:pPr>
              <w:pStyle w:val="12"/>
            </w:pPr>
            <w:r>
              <w:rPr>
                <w:rFonts w:hint="eastAsia"/>
              </w:rPr>
              <w:t>同步支持语音指令、文字消息、截图标注等多种交互方式，关键指令自动生成记录备查。提供语音广播功能，可向特定分组或全体人员发送统一指令。</w:t>
            </w:r>
          </w:p>
        </w:tc>
      </w:tr>
      <w:tr w14:paraId="2DF4BBA0">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315CA584">
            <w:pPr>
              <w:pStyle w:val="12"/>
            </w:pPr>
            <w:r>
              <w:rPr>
                <w:rFonts w:hint="eastAsia"/>
              </w:rPr>
              <w:t>33</w:t>
            </w:r>
          </w:p>
        </w:tc>
        <w:tc>
          <w:tcPr>
            <w:tcW w:w="2286" w:type="dxa"/>
            <w:tcBorders>
              <w:top w:val="single" w:color="000000" w:sz="4" w:space="0"/>
              <w:left w:val="single" w:color="000000" w:sz="4" w:space="0"/>
              <w:bottom w:val="single" w:color="000000" w:sz="4" w:space="0"/>
              <w:right w:val="single" w:color="000000" w:sz="4" w:space="0"/>
            </w:tcBorders>
            <w:vAlign w:val="center"/>
          </w:tcPr>
          <w:p w14:paraId="0F1E8F74">
            <w:pPr>
              <w:pStyle w:val="12"/>
            </w:pPr>
            <w:r>
              <w:rPr>
                <w:rFonts w:hint="eastAsia"/>
              </w:rPr>
              <w:t>融合通信可视会商-实时会商服务-动态资源调阅</w:t>
            </w:r>
          </w:p>
        </w:tc>
        <w:tc>
          <w:tcPr>
            <w:tcW w:w="5686" w:type="dxa"/>
            <w:tcBorders>
              <w:top w:val="single" w:color="000000" w:sz="4" w:space="0"/>
              <w:left w:val="single" w:color="000000" w:sz="4" w:space="0"/>
              <w:bottom w:val="single" w:color="000000" w:sz="4" w:space="0"/>
              <w:right w:val="single" w:color="000000" w:sz="4" w:space="0"/>
            </w:tcBorders>
            <w:vAlign w:val="center"/>
          </w:tcPr>
          <w:p w14:paraId="574901DC">
            <w:pPr>
              <w:pStyle w:val="12"/>
            </w:pPr>
            <w:r>
              <w:rPr>
                <w:rFonts w:hint="eastAsia"/>
              </w:rPr>
              <w:t>在视频会商中直接调取周边应急资源图层，实时显示救援队伍位置、物资储备库容量等关键信息。支持圈选地图区域自动检索可用资源，并推送至会商界面供决策参考。</w:t>
            </w:r>
          </w:p>
        </w:tc>
      </w:tr>
      <w:tr w14:paraId="7F08EE1B">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5DE5B0FE">
            <w:pPr>
              <w:pStyle w:val="12"/>
            </w:pPr>
            <w:r>
              <w:rPr>
                <w:rFonts w:hint="eastAsia"/>
              </w:rPr>
              <w:t>34</w:t>
            </w:r>
          </w:p>
        </w:tc>
        <w:tc>
          <w:tcPr>
            <w:tcW w:w="2286" w:type="dxa"/>
            <w:tcBorders>
              <w:top w:val="single" w:color="000000" w:sz="4" w:space="0"/>
              <w:left w:val="single" w:color="000000" w:sz="4" w:space="0"/>
              <w:bottom w:val="single" w:color="000000" w:sz="4" w:space="0"/>
              <w:right w:val="single" w:color="000000" w:sz="4" w:space="0"/>
            </w:tcBorders>
            <w:vAlign w:val="center"/>
          </w:tcPr>
          <w:p w14:paraId="791864FF">
            <w:pPr>
              <w:pStyle w:val="12"/>
            </w:pPr>
            <w:r>
              <w:rPr>
                <w:rFonts w:hint="eastAsia"/>
              </w:rPr>
              <w:t>融合通信可视会商-视频会商管理-会商对象管理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733CAD7C">
            <w:pPr>
              <w:pStyle w:val="12"/>
            </w:pPr>
            <w:r>
              <w:rPr>
                <w:rFonts w:hint="eastAsia"/>
              </w:rPr>
              <w:t>基于用户的组织架构和设备资源管理，建立视频会议资源目录，并对用户的设备管理、录制功能、广播模块、通信功能进行权限控制。</w:t>
            </w:r>
          </w:p>
        </w:tc>
      </w:tr>
      <w:tr w14:paraId="69C69FD4">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1556D55B">
            <w:pPr>
              <w:pStyle w:val="12"/>
            </w:pPr>
            <w:r>
              <w:rPr>
                <w:rFonts w:hint="eastAsia"/>
              </w:rPr>
              <w:t>35</w:t>
            </w:r>
          </w:p>
        </w:tc>
        <w:tc>
          <w:tcPr>
            <w:tcW w:w="2286" w:type="dxa"/>
            <w:tcBorders>
              <w:top w:val="single" w:color="000000" w:sz="4" w:space="0"/>
              <w:left w:val="single" w:color="000000" w:sz="4" w:space="0"/>
              <w:bottom w:val="single" w:color="000000" w:sz="4" w:space="0"/>
              <w:right w:val="single" w:color="000000" w:sz="4" w:space="0"/>
            </w:tcBorders>
            <w:vAlign w:val="center"/>
          </w:tcPr>
          <w:p w14:paraId="7C5EBD89">
            <w:pPr>
              <w:pStyle w:val="12"/>
            </w:pPr>
            <w:r>
              <w:rPr>
                <w:rFonts w:hint="eastAsia"/>
              </w:rPr>
              <w:t>融合通信可视会商-视频会商管理-会商全流程管控</w:t>
            </w:r>
          </w:p>
        </w:tc>
        <w:tc>
          <w:tcPr>
            <w:tcW w:w="5686" w:type="dxa"/>
            <w:tcBorders>
              <w:top w:val="single" w:color="000000" w:sz="4" w:space="0"/>
              <w:left w:val="single" w:color="000000" w:sz="4" w:space="0"/>
              <w:bottom w:val="single" w:color="000000" w:sz="4" w:space="0"/>
              <w:right w:val="single" w:color="000000" w:sz="4" w:space="0"/>
            </w:tcBorders>
            <w:vAlign w:val="center"/>
          </w:tcPr>
          <w:p w14:paraId="6E6EAE7A">
            <w:pPr>
              <w:pStyle w:val="12"/>
            </w:pPr>
            <w:r>
              <w:rPr>
                <w:rFonts w:hint="eastAsia"/>
              </w:rPr>
              <w:t>提供会前预约、参会人权限分级、会中禁言/踢出、会后纪要自动生成等管理功能。支持会议录制与时间轴标记，关键节点可快速回溯。</w:t>
            </w:r>
          </w:p>
        </w:tc>
      </w:tr>
      <w:tr w14:paraId="07A257B1">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7C8337BA">
            <w:pPr>
              <w:pStyle w:val="12"/>
            </w:pPr>
            <w:r>
              <w:rPr>
                <w:rFonts w:hint="eastAsia"/>
              </w:rPr>
              <w:t>36</w:t>
            </w:r>
          </w:p>
        </w:tc>
        <w:tc>
          <w:tcPr>
            <w:tcW w:w="2286" w:type="dxa"/>
            <w:tcBorders>
              <w:top w:val="single" w:color="000000" w:sz="4" w:space="0"/>
              <w:left w:val="single" w:color="000000" w:sz="4" w:space="0"/>
              <w:bottom w:val="single" w:color="000000" w:sz="4" w:space="0"/>
              <w:right w:val="single" w:color="000000" w:sz="4" w:space="0"/>
            </w:tcBorders>
            <w:vAlign w:val="center"/>
          </w:tcPr>
          <w:p w14:paraId="6F283F89">
            <w:pPr>
              <w:pStyle w:val="12"/>
            </w:pPr>
            <w:r>
              <w:rPr>
                <w:rFonts w:hint="eastAsia"/>
              </w:rPr>
              <w:t>融合通信可视会商-视频会商管理-与市应急指挥对接会商</w:t>
            </w:r>
          </w:p>
        </w:tc>
        <w:tc>
          <w:tcPr>
            <w:tcW w:w="5686" w:type="dxa"/>
            <w:tcBorders>
              <w:top w:val="single" w:color="000000" w:sz="4" w:space="0"/>
              <w:left w:val="single" w:color="000000" w:sz="4" w:space="0"/>
              <w:bottom w:val="single" w:color="000000" w:sz="4" w:space="0"/>
              <w:right w:val="single" w:color="000000" w:sz="4" w:space="0"/>
            </w:tcBorders>
            <w:vAlign w:val="center"/>
          </w:tcPr>
          <w:p w14:paraId="167BD4B1">
            <w:pPr>
              <w:pStyle w:val="12"/>
            </w:pPr>
            <w:r>
              <w:rPr>
                <w:rFonts w:hint="eastAsia"/>
              </w:rPr>
              <w:t>提供基于Restful Api接口，为第三方应用提供音视频融合调度、视频会商等各类业务调度接口；支持URL（iframe）接入和JS接入两种接口模式；提供会议调度API、监控调度API、即时通信调度API、电话调度API、执法仪调度API，并对外提供统一的接口。</w:t>
            </w:r>
          </w:p>
        </w:tc>
      </w:tr>
      <w:tr w14:paraId="62496728">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7140DEC7">
            <w:pPr>
              <w:pStyle w:val="12"/>
            </w:pPr>
            <w:r>
              <w:rPr>
                <w:rFonts w:hint="eastAsia"/>
              </w:rPr>
              <w:t>37</w:t>
            </w:r>
          </w:p>
        </w:tc>
        <w:tc>
          <w:tcPr>
            <w:tcW w:w="2286" w:type="dxa"/>
            <w:tcBorders>
              <w:top w:val="single" w:color="000000" w:sz="4" w:space="0"/>
              <w:left w:val="single" w:color="000000" w:sz="4" w:space="0"/>
              <w:bottom w:val="single" w:color="000000" w:sz="4" w:space="0"/>
              <w:right w:val="single" w:color="000000" w:sz="4" w:space="0"/>
            </w:tcBorders>
            <w:vAlign w:val="center"/>
          </w:tcPr>
          <w:p w14:paraId="283CA663">
            <w:pPr>
              <w:pStyle w:val="12"/>
            </w:pPr>
            <w:r>
              <w:rPr>
                <w:rFonts w:hint="eastAsia"/>
              </w:rPr>
              <w:t>事后管理-污染消除及损害评估</w:t>
            </w:r>
          </w:p>
        </w:tc>
        <w:tc>
          <w:tcPr>
            <w:tcW w:w="5686" w:type="dxa"/>
            <w:tcBorders>
              <w:top w:val="single" w:color="000000" w:sz="4" w:space="0"/>
              <w:left w:val="single" w:color="000000" w:sz="4" w:space="0"/>
              <w:bottom w:val="single" w:color="000000" w:sz="4" w:space="0"/>
              <w:right w:val="single" w:color="000000" w:sz="4" w:space="0"/>
            </w:tcBorders>
            <w:vAlign w:val="center"/>
          </w:tcPr>
          <w:p w14:paraId="5C82BE4E">
            <w:pPr>
              <w:pStyle w:val="12"/>
            </w:pPr>
            <w:r>
              <w:rPr>
                <w:rFonts w:hint="eastAsia"/>
              </w:rPr>
              <w:t>事件处置结束后，调度区环境局、业务处室、直属单位等的部门进行污染消除和损害评估分析，包括事件的相关情况，处置建议，处置要求、评估要求等。</w:t>
            </w:r>
          </w:p>
        </w:tc>
      </w:tr>
      <w:tr w14:paraId="37C46783">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358B1ED4">
            <w:pPr>
              <w:pStyle w:val="12"/>
            </w:pPr>
            <w:r>
              <w:rPr>
                <w:rFonts w:hint="eastAsia"/>
              </w:rPr>
              <w:t>38</w:t>
            </w:r>
          </w:p>
        </w:tc>
        <w:tc>
          <w:tcPr>
            <w:tcW w:w="2286" w:type="dxa"/>
            <w:tcBorders>
              <w:top w:val="single" w:color="000000" w:sz="4" w:space="0"/>
              <w:left w:val="single" w:color="000000" w:sz="4" w:space="0"/>
              <w:bottom w:val="single" w:color="000000" w:sz="4" w:space="0"/>
              <w:right w:val="single" w:color="000000" w:sz="4" w:space="0"/>
            </w:tcBorders>
            <w:vAlign w:val="center"/>
          </w:tcPr>
          <w:p w14:paraId="1BEC8DD7">
            <w:pPr>
              <w:pStyle w:val="12"/>
            </w:pPr>
            <w:r>
              <w:rPr>
                <w:rFonts w:hint="eastAsia"/>
              </w:rPr>
              <w:t>事后管理-事故总结报告</w:t>
            </w:r>
          </w:p>
        </w:tc>
        <w:tc>
          <w:tcPr>
            <w:tcW w:w="5686" w:type="dxa"/>
            <w:tcBorders>
              <w:top w:val="single" w:color="000000" w:sz="4" w:space="0"/>
              <w:left w:val="single" w:color="000000" w:sz="4" w:space="0"/>
              <w:bottom w:val="single" w:color="000000" w:sz="4" w:space="0"/>
              <w:right w:val="single" w:color="000000" w:sz="4" w:space="0"/>
            </w:tcBorders>
            <w:vAlign w:val="center"/>
          </w:tcPr>
          <w:p w14:paraId="2C337D56">
            <w:pPr>
              <w:pStyle w:val="12"/>
            </w:pPr>
            <w:r>
              <w:rPr>
                <w:rFonts w:hint="eastAsia"/>
              </w:rPr>
              <w:t>系统提供总结评估报告自动生成功能，支持自定义模板，根据模板，系统自动生成对应报告，用户可查看、编辑和导出报告。</w:t>
            </w:r>
          </w:p>
        </w:tc>
      </w:tr>
      <w:tr w14:paraId="5767AFFF">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39CD0068">
            <w:pPr>
              <w:pStyle w:val="12"/>
            </w:pPr>
            <w:r>
              <w:rPr>
                <w:rFonts w:hint="eastAsia"/>
              </w:rPr>
              <w:t>39</w:t>
            </w:r>
          </w:p>
        </w:tc>
        <w:tc>
          <w:tcPr>
            <w:tcW w:w="2286" w:type="dxa"/>
            <w:tcBorders>
              <w:top w:val="single" w:color="000000" w:sz="4" w:space="0"/>
              <w:left w:val="single" w:color="000000" w:sz="4" w:space="0"/>
              <w:bottom w:val="single" w:color="000000" w:sz="4" w:space="0"/>
              <w:right w:val="single" w:color="000000" w:sz="4" w:space="0"/>
            </w:tcBorders>
            <w:vAlign w:val="center"/>
          </w:tcPr>
          <w:p w14:paraId="5C244D38">
            <w:pPr>
              <w:pStyle w:val="12"/>
            </w:pPr>
            <w:r>
              <w:rPr>
                <w:rFonts w:hint="eastAsia"/>
              </w:rPr>
              <w:t>事后管理-趋势分析及工作对策</w:t>
            </w:r>
          </w:p>
        </w:tc>
        <w:tc>
          <w:tcPr>
            <w:tcW w:w="5686" w:type="dxa"/>
            <w:tcBorders>
              <w:top w:val="single" w:color="000000" w:sz="4" w:space="0"/>
              <w:left w:val="single" w:color="000000" w:sz="4" w:space="0"/>
              <w:bottom w:val="single" w:color="000000" w:sz="4" w:space="0"/>
              <w:right w:val="single" w:color="000000" w:sz="4" w:space="0"/>
            </w:tcBorders>
            <w:vAlign w:val="center"/>
          </w:tcPr>
          <w:p w14:paraId="635004DA">
            <w:pPr>
              <w:pStyle w:val="12"/>
            </w:pPr>
            <w:r>
              <w:rPr>
                <w:rFonts w:hint="eastAsia"/>
              </w:rPr>
              <w:t>依据环境事故发生的类别、时间、监测数据、气象数据等统计分析结果，对同类事件发生的趋势进行分析，结合GIS地图对模拟预测结果进行展示，辅助制定工作对策。</w:t>
            </w:r>
          </w:p>
        </w:tc>
      </w:tr>
      <w:tr w14:paraId="05F74707">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6729BF42">
            <w:pPr>
              <w:pStyle w:val="12"/>
            </w:pPr>
            <w:r>
              <w:rPr>
                <w:rFonts w:hint="eastAsia"/>
              </w:rPr>
              <w:t>40</w:t>
            </w:r>
          </w:p>
        </w:tc>
        <w:tc>
          <w:tcPr>
            <w:tcW w:w="2286" w:type="dxa"/>
            <w:tcBorders>
              <w:top w:val="single" w:color="000000" w:sz="4" w:space="0"/>
              <w:left w:val="single" w:color="000000" w:sz="4" w:space="0"/>
              <w:bottom w:val="single" w:color="000000" w:sz="4" w:space="0"/>
              <w:right w:val="single" w:color="000000" w:sz="4" w:space="0"/>
            </w:tcBorders>
            <w:vAlign w:val="center"/>
          </w:tcPr>
          <w:p w14:paraId="62C590B3">
            <w:pPr>
              <w:pStyle w:val="12"/>
            </w:pPr>
            <w:r>
              <w:rPr>
                <w:rFonts w:hint="eastAsia"/>
              </w:rPr>
              <w:t>事后管理-案例编制</w:t>
            </w:r>
          </w:p>
        </w:tc>
        <w:tc>
          <w:tcPr>
            <w:tcW w:w="5686" w:type="dxa"/>
            <w:tcBorders>
              <w:top w:val="single" w:color="000000" w:sz="4" w:space="0"/>
              <w:left w:val="single" w:color="000000" w:sz="4" w:space="0"/>
              <w:bottom w:val="single" w:color="000000" w:sz="4" w:space="0"/>
              <w:right w:val="single" w:color="000000" w:sz="4" w:space="0"/>
            </w:tcBorders>
            <w:vAlign w:val="center"/>
          </w:tcPr>
          <w:p w14:paraId="6F7B2539">
            <w:pPr>
              <w:pStyle w:val="12"/>
            </w:pPr>
            <w:r>
              <w:rPr>
                <w:rFonts w:hint="eastAsia"/>
              </w:rPr>
              <w:t>在事件处置之后，归集事件接警、处警、预案、处置方案等全过程信息，提供案例编辑和修改功能，形成案例档案，进入案例库。</w:t>
            </w:r>
          </w:p>
        </w:tc>
      </w:tr>
      <w:tr w14:paraId="705216F8">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64B1AF38">
            <w:pPr>
              <w:pStyle w:val="12"/>
            </w:pPr>
            <w:r>
              <w:rPr>
                <w:rFonts w:hint="eastAsia"/>
              </w:rPr>
              <w:t>41</w:t>
            </w:r>
          </w:p>
        </w:tc>
        <w:tc>
          <w:tcPr>
            <w:tcW w:w="2286" w:type="dxa"/>
            <w:tcBorders>
              <w:top w:val="single" w:color="000000" w:sz="4" w:space="0"/>
              <w:left w:val="single" w:color="000000" w:sz="4" w:space="0"/>
              <w:bottom w:val="single" w:color="000000" w:sz="4" w:space="0"/>
              <w:right w:val="single" w:color="000000" w:sz="4" w:space="0"/>
            </w:tcBorders>
            <w:vAlign w:val="center"/>
          </w:tcPr>
          <w:p w14:paraId="21D62689">
            <w:pPr>
              <w:pStyle w:val="12"/>
            </w:pPr>
            <w:r>
              <w:rPr>
                <w:rFonts w:hint="eastAsia"/>
              </w:rPr>
              <w:t>事前预防管理-风险源管理-风险源创建与维护</w:t>
            </w:r>
          </w:p>
        </w:tc>
        <w:tc>
          <w:tcPr>
            <w:tcW w:w="5686" w:type="dxa"/>
            <w:tcBorders>
              <w:top w:val="single" w:color="000000" w:sz="4" w:space="0"/>
              <w:left w:val="single" w:color="000000" w:sz="4" w:space="0"/>
              <w:bottom w:val="single" w:color="000000" w:sz="4" w:space="0"/>
              <w:right w:val="single" w:color="000000" w:sz="4" w:space="0"/>
            </w:tcBorders>
            <w:vAlign w:val="center"/>
          </w:tcPr>
          <w:p w14:paraId="21BEACCC">
            <w:pPr>
              <w:pStyle w:val="12"/>
            </w:pPr>
            <w:r>
              <w:rPr>
                <w:rFonts w:hint="eastAsia"/>
              </w:rPr>
              <w:t>建立环境风险源库，对风险源信息进行全面、动态的管理，涵盖风险源目录的维护、风险源信息采集、风险源信息管理、查询统计等功能</w:t>
            </w:r>
          </w:p>
        </w:tc>
      </w:tr>
      <w:tr w14:paraId="0B074340">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55D73AC0">
            <w:pPr>
              <w:pStyle w:val="12"/>
            </w:pPr>
            <w:r>
              <w:rPr>
                <w:rFonts w:hint="eastAsia"/>
              </w:rPr>
              <w:t>42</w:t>
            </w:r>
          </w:p>
        </w:tc>
        <w:tc>
          <w:tcPr>
            <w:tcW w:w="2286" w:type="dxa"/>
            <w:tcBorders>
              <w:top w:val="single" w:color="000000" w:sz="4" w:space="0"/>
              <w:left w:val="single" w:color="000000" w:sz="4" w:space="0"/>
              <w:bottom w:val="single" w:color="000000" w:sz="4" w:space="0"/>
              <w:right w:val="single" w:color="000000" w:sz="4" w:space="0"/>
            </w:tcBorders>
            <w:vAlign w:val="center"/>
          </w:tcPr>
          <w:p w14:paraId="0FD1C01F">
            <w:pPr>
              <w:pStyle w:val="12"/>
            </w:pPr>
            <w:r>
              <w:rPr>
                <w:rFonts w:hint="eastAsia"/>
              </w:rPr>
              <w:t>事前预防管理-风险源管理-风险源评估规则管理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03B042EC">
            <w:pPr>
              <w:pStyle w:val="12"/>
            </w:pPr>
            <w:r>
              <w:rPr>
                <w:rFonts w:hint="eastAsia"/>
              </w:rPr>
              <w:t>允许相关应急人员根据不同的风险评估需求和标准，创建风险源等级算法制度。创建好的风险源等级算法制度需要经过严格的审核。只有通过审核的算法制度才能正式应用于风险源等级的计算。</w:t>
            </w:r>
          </w:p>
        </w:tc>
      </w:tr>
      <w:tr w14:paraId="6D474996">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40F818CC">
            <w:pPr>
              <w:pStyle w:val="12"/>
            </w:pPr>
            <w:r>
              <w:rPr>
                <w:rFonts w:hint="eastAsia"/>
              </w:rPr>
              <w:t>43</w:t>
            </w:r>
          </w:p>
        </w:tc>
        <w:tc>
          <w:tcPr>
            <w:tcW w:w="2286" w:type="dxa"/>
            <w:tcBorders>
              <w:top w:val="single" w:color="000000" w:sz="4" w:space="0"/>
              <w:left w:val="single" w:color="000000" w:sz="4" w:space="0"/>
              <w:bottom w:val="single" w:color="000000" w:sz="4" w:space="0"/>
              <w:right w:val="single" w:color="000000" w:sz="4" w:space="0"/>
            </w:tcBorders>
            <w:vAlign w:val="center"/>
          </w:tcPr>
          <w:p w14:paraId="2569BA1A">
            <w:pPr>
              <w:pStyle w:val="12"/>
            </w:pPr>
            <w:r>
              <w:rPr>
                <w:rFonts w:hint="eastAsia"/>
              </w:rPr>
              <w:t>事前预防管理-风险源管理-风险源风险等级自动计算</w:t>
            </w:r>
          </w:p>
        </w:tc>
        <w:tc>
          <w:tcPr>
            <w:tcW w:w="5686" w:type="dxa"/>
            <w:tcBorders>
              <w:top w:val="single" w:color="000000" w:sz="4" w:space="0"/>
              <w:left w:val="single" w:color="000000" w:sz="4" w:space="0"/>
              <w:bottom w:val="single" w:color="000000" w:sz="4" w:space="0"/>
              <w:right w:val="single" w:color="000000" w:sz="4" w:space="0"/>
            </w:tcBorders>
            <w:vAlign w:val="center"/>
          </w:tcPr>
          <w:p w14:paraId="3094F157">
            <w:pPr>
              <w:pStyle w:val="12"/>
            </w:pPr>
            <w:r>
              <w:rPr>
                <w:rFonts w:hint="eastAsia"/>
              </w:rPr>
              <w:t>用户可以根据实际情况选择合适的算法进行风险等级计算。用户选定算法后，系统会根据风险源的相关信息，按照所选算法进行风险等级的计算。</w:t>
            </w:r>
          </w:p>
        </w:tc>
      </w:tr>
      <w:tr w14:paraId="5F2ACD22">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124796E6">
            <w:pPr>
              <w:pStyle w:val="12"/>
            </w:pPr>
            <w:r>
              <w:rPr>
                <w:rFonts w:hint="eastAsia"/>
              </w:rPr>
              <w:t>44</w:t>
            </w:r>
          </w:p>
        </w:tc>
        <w:tc>
          <w:tcPr>
            <w:tcW w:w="2286" w:type="dxa"/>
            <w:tcBorders>
              <w:top w:val="single" w:color="000000" w:sz="4" w:space="0"/>
              <w:left w:val="single" w:color="000000" w:sz="4" w:space="0"/>
              <w:bottom w:val="single" w:color="000000" w:sz="4" w:space="0"/>
              <w:right w:val="single" w:color="000000" w:sz="4" w:space="0"/>
            </w:tcBorders>
            <w:vAlign w:val="center"/>
          </w:tcPr>
          <w:p w14:paraId="7A279A04">
            <w:pPr>
              <w:pStyle w:val="12"/>
            </w:pPr>
            <w:r>
              <w:rPr>
                <w:rFonts w:hint="eastAsia"/>
              </w:rPr>
              <w:t>事前预防管理-隐患排查管理-隐患排查任务调度</w:t>
            </w:r>
          </w:p>
        </w:tc>
        <w:tc>
          <w:tcPr>
            <w:tcW w:w="5686" w:type="dxa"/>
            <w:tcBorders>
              <w:top w:val="single" w:color="000000" w:sz="4" w:space="0"/>
              <w:left w:val="single" w:color="000000" w:sz="4" w:space="0"/>
              <w:bottom w:val="single" w:color="000000" w:sz="4" w:space="0"/>
              <w:right w:val="single" w:color="000000" w:sz="4" w:space="0"/>
            </w:tcBorders>
            <w:vAlign w:val="center"/>
          </w:tcPr>
          <w:p w14:paraId="27B0103F">
            <w:pPr>
              <w:pStyle w:val="12"/>
            </w:pPr>
            <w:r>
              <w:rPr>
                <w:rFonts w:hint="eastAsia"/>
              </w:rPr>
              <w:t>提供突发环境事件风险隐患排查任务创建功能，应急管理人员进入任务创建页面，在创建任务时，填写任务名称、任务开始时间、任务结束时间、任务要求和相关附件等内容。</w:t>
            </w:r>
            <w:r>
              <w:rPr>
                <w:rFonts w:hint="eastAsia"/>
              </w:rPr>
              <w:br w:type="textWrapping"/>
            </w:r>
            <w:r>
              <w:rPr>
                <w:rFonts w:hint="eastAsia"/>
              </w:rPr>
              <w:t>提供数据手动填报和模板表单批量上报功能，用户可以根据确认的表单逐项填写数据，包括企业名称、隐患类别、隐患内容、隐患级别、整改截止日期等信息，实现数据的高效录入。</w:t>
            </w:r>
          </w:p>
        </w:tc>
      </w:tr>
      <w:tr w14:paraId="3B084361">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1FE81196">
            <w:pPr>
              <w:pStyle w:val="12"/>
            </w:pPr>
            <w:r>
              <w:rPr>
                <w:rFonts w:hint="eastAsia"/>
              </w:rPr>
              <w:t>45</w:t>
            </w:r>
          </w:p>
        </w:tc>
        <w:tc>
          <w:tcPr>
            <w:tcW w:w="2286" w:type="dxa"/>
            <w:tcBorders>
              <w:top w:val="single" w:color="000000" w:sz="4" w:space="0"/>
              <w:left w:val="single" w:color="000000" w:sz="4" w:space="0"/>
              <w:bottom w:val="single" w:color="000000" w:sz="4" w:space="0"/>
              <w:right w:val="single" w:color="000000" w:sz="4" w:space="0"/>
            </w:tcBorders>
            <w:vAlign w:val="center"/>
          </w:tcPr>
          <w:p w14:paraId="1D13CA3C">
            <w:pPr>
              <w:pStyle w:val="12"/>
            </w:pPr>
            <w:r>
              <w:rPr>
                <w:rFonts w:hint="eastAsia"/>
              </w:rPr>
              <w:t>事前预防管理-隐患排查管理-隐患排查任务分析</w:t>
            </w:r>
          </w:p>
        </w:tc>
        <w:tc>
          <w:tcPr>
            <w:tcW w:w="5686" w:type="dxa"/>
            <w:tcBorders>
              <w:top w:val="single" w:color="000000" w:sz="4" w:space="0"/>
              <w:left w:val="single" w:color="000000" w:sz="4" w:space="0"/>
              <w:bottom w:val="single" w:color="000000" w:sz="4" w:space="0"/>
              <w:right w:val="single" w:color="000000" w:sz="4" w:space="0"/>
            </w:tcBorders>
            <w:vAlign w:val="center"/>
          </w:tcPr>
          <w:p w14:paraId="2D7970CC">
            <w:pPr>
              <w:pStyle w:val="12"/>
            </w:pPr>
            <w:r>
              <w:rPr>
                <w:rFonts w:hint="eastAsia"/>
              </w:rPr>
              <w:t>跟踪突发环境事件风险隐患排查任务的发布与完成进度，通过可视化手段以不同颜色区分任务状态对超时任务触发智能提醒。基于可视化图表，从时间、区域、问题类别等维度统计分析隐患排查结果，结合 GIS 联动查询，助于快速掌握排查结果与成效。</w:t>
            </w:r>
          </w:p>
        </w:tc>
      </w:tr>
      <w:tr w14:paraId="18DFD45E">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431CDB05">
            <w:pPr>
              <w:pStyle w:val="12"/>
            </w:pPr>
            <w:r>
              <w:rPr>
                <w:rFonts w:hint="eastAsia"/>
              </w:rPr>
              <w:t>46</w:t>
            </w:r>
          </w:p>
        </w:tc>
        <w:tc>
          <w:tcPr>
            <w:tcW w:w="2286" w:type="dxa"/>
            <w:tcBorders>
              <w:top w:val="single" w:color="000000" w:sz="4" w:space="0"/>
              <w:left w:val="single" w:color="000000" w:sz="4" w:space="0"/>
              <w:bottom w:val="single" w:color="000000" w:sz="4" w:space="0"/>
              <w:right w:val="single" w:color="000000" w:sz="4" w:space="0"/>
            </w:tcBorders>
            <w:vAlign w:val="center"/>
          </w:tcPr>
          <w:p w14:paraId="3CDA2B72">
            <w:pPr>
              <w:pStyle w:val="12"/>
            </w:pPr>
            <w:r>
              <w:rPr>
                <w:rFonts w:hint="eastAsia"/>
              </w:rPr>
              <w:t>事前预防管理-环境风险网格化评估-环境风险本底指数</w:t>
            </w:r>
          </w:p>
        </w:tc>
        <w:tc>
          <w:tcPr>
            <w:tcW w:w="5686" w:type="dxa"/>
            <w:tcBorders>
              <w:top w:val="single" w:color="000000" w:sz="4" w:space="0"/>
              <w:left w:val="single" w:color="000000" w:sz="4" w:space="0"/>
              <w:bottom w:val="single" w:color="000000" w:sz="4" w:space="0"/>
              <w:right w:val="single" w:color="000000" w:sz="4" w:space="0"/>
            </w:tcBorders>
            <w:vAlign w:val="center"/>
          </w:tcPr>
          <w:p w14:paraId="14BDE791">
            <w:pPr>
              <w:pStyle w:val="12"/>
            </w:pPr>
            <w:r>
              <w:rPr>
                <w:rFonts w:hint="eastAsia"/>
              </w:rPr>
              <w:t>以各区县上报的风险评估分为基础数据，通过算法估算市级及各区风险本底指数，量化区域潜在的固有环境风险水平。借助可视化地图与数据报表，将风险分布以高、较高、中、低四色分级呈现，帮助管理者快速锁定高风险区域。</w:t>
            </w:r>
          </w:p>
        </w:tc>
      </w:tr>
      <w:tr w14:paraId="15C719D5">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2541D623">
            <w:pPr>
              <w:pStyle w:val="12"/>
            </w:pPr>
            <w:r>
              <w:rPr>
                <w:rFonts w:hint="eastAsia"/>
              </w:rPr>
              <w:t>47</w:t>
            </w:r>
          </w:p>
        </w:tc>
        <w:tc>
          <w:tcPr>
            <w:tcW w:w="2286" w:type="dxa"/>
            <w:tcBorders>
              <w:top w:val="single" w:color="000000" w:sz="4" w:space="0"/>
              <w:left w:val="single" w:color="000000" w:sz="4" w:space="0"/>
              <w:bottom w:val="single" w:color="000000" w:sz="4" w:space="0"/>
              <w:right w:val="single" w:color="000000" w:sz="4" w:space="0"/>
            </w:tcBorders>
            <w:vAlign w:val="center"/>
          </w:tcPr>
          <w:p w14:paraId="590AB27E">
            <w:pPr>
              <w:pStyle w:val="12"/>
            </w:pPr>
            <w:r>
              <w:rPr>
                <w:rFonts w:hint="eastAsia"/>
              </w:rPr>
              <w:t>事前预防管理-环境风险网格化评估-环境风险管控指数</w:t>
            </w:r>
          </w:p>
        </w:tc>
        <w:tc>
          <w:tcPr>
            <w:tcW w:w="5686" w:type="dxa"/>
            <w:tcBorders>
              <w:top w:val="single" w:color="000000" w:sz="4" w:space="0"/>
              <w:left w:val="single" w:color="000000" w:sz="4" w:space="0"/>
              <w:bottom w:val="single" w:color="000000" w:sz="4" w:space="0"/>
              <w:right w:val="single" w:color="000000" w:sz="4" w:space="0"/>
            </w:tcBorders>
            <w:vAlign w:val="center"/>
          </w:tcPr>
          <w:p w14:paraId="1EDD50FB">
            <w:pPr>
              <w:pStyle w:val="12"/>
            </w:pPr>
            <w:r>
              <w:rPr>
                <w:rFonts w:hint="eastAsia"/>
              </w:rPr>
              <w:t>整合企业预案备案、应急演习、隐患排查、发现与整改等核心指标，对区域环境风险防控措施的有效性进行全面量化评估。系统自动分析各项指标数据，定位防控体系中的薄弱环节，助力优化防控策略。</w:t>
            </w:r>
          </w:p>
        </w:tc>
      </w:tr>
      <w:tr w14:paraId="38D062DE">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5ABAE2DE">
            <w:pPr>
              <w:pStyle w:val="12"/>
            </w:pPr>
            <w:r>
              <w:rPr>
                <w:rFonts w:hint="eastAsia"/>
              </w:rPr>
              <w:t>48</w:t>
            </w:r>
          </w:p>
        </w:tc>
        <w:tc>
          <w:tcPr>
            <w:tcW w:w="2286" w:type="dxa"/>
            <w:tcBorders>
              <w:top w:val="single" w:color="000000" w:sz="4" w:space="0"/>
              <w:left w:val="single" w:color="000000" w:sz="4" w:space="0"/>
              <w:bottom w:val="single" w:color="000000" w:sz="4" w:space="0"/>
              <w:right w:val="single" w:color="000000" w:sz="4" w:space="0"/>
            </w:tcBorders>
            <w:vAlign w:val="center"/>
          </w:tcPr>
          <w:p w14:paraId="0EF1112E">
            <w:pPr>
              <w:pStyle w:val="12"/>
            </w:pPr>
            <w:r>
              <w:rPr>
                <w:rFonts w:hint="eastAsia"/>
              </w:rPr>
              <w:t>事前预防管理-环境风险网格化评估-环境风险综合指数</w:t>
            </w:r>
          </w:p>
        </w:tc>
        <w:tc>
          <w:tcPr>
            <w:tcW w:w="5686" w:type="dxa"/>
            <w:tcBorders>
              <w:top w:val="single" w:color="000000" w:sz="4" w:space="0"/>
              <w:left w:val="single" w:color="000000" w:sz="4" w:space="0"/>
              <w:bottom w:val="single" w:color="000000" w:sz="4" w:space="0"/>
              <w:right w:val="single" w:color="000000" w:sz="4" w:space="0"/>
            </w:tcBorders>
            <w:vAlign w:val="center"/>
          </w:tcPr>
          <w:p w14:paraId="5F809AC5">
            <w:pPr>
              <w:pStyle w:val="12"/>
            </w:pPr>
            <w:r>
              <w:rPr>
                <w:rFonts w:hint="eastAsia"/>
              </w:rPr>
              <w:t>融合环境风险本底指数与管控力指数，生成区域环境应急风险的综合评估结果，并按照规则将综合评估结果划分为高、较高、中、低四个风险等级，并通过动态看板展示风险分布态势，为应急管理决策提供全面、科学的依据。</w:t>
            </w:r>
          </w:p>
        </w:tc>
      </w:tr>
      <w:tr w14:paraId="06B364A8">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22BD48D5">
            <w:pPr>
              <w:pStyle w:val="12"/>
            </w:pPr>
            <w:r>
              <w:rPr>
                <w:rFonts w:hint="eastAsia"/>
              </w:rPr>
              <w:t>49</w:t>
            </w:r>
          </w:p>
        </w:tc>
        <w:tc>
          <w:tcPr>
            <w:tcW w:w="2286" w:type="dxa"/>
            <w:tcBorders>
              <w:top w:val="single" w:color="000000" w:sz="4" w:space="0"/>
              <w:left w:val="single" w:color="000000" w:sz="4" w:space="0"/>
              <w:bottom w:val="single" w:color="000000" w:sz="4" w:space="0"/>
              <w:right w:val="single" w:color="000000" w:sz="4" w:space="0"/>
            </w:tcBorders>
            <w:vAlign w:val="center"/>
          </w:tcPr>
          <w:p w14:paraId="25738130">
            <w:pPr>
              <w:pStyle w:val="12"/>
            </w:pPr>
            <w:r>
              <w:rPr>
                <w:rFonts w:hint="eastAsia"/>
              </w:rPr>
              <w:t>事前预防管理-风险源预案备案-风险源预案分级管理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7CAA9836">
            <w:pPr>
              <w:pStyle w:val="12"/>
            </w:pPr>
            <w:r>
              <w:rPr>
                <w:rFonts w:hint="eastAsia"/>
              </w:rPr>
              <w:t>为规范企业事业单位突发环境事件应急预案的备案管理工作，对企业环境应急预案备案管理的相关工作进行细化，根据企业的环境风险等级，采取差异化的管理措施。</w:t>
            </w:r>
          </w:p>
        </w:tc>
      </w:tr>
      <w:tr w14:paraId="331A9397">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5FDFE9E3">
            <w:pPr>
              <w:pStyle w:val="12"/>
            </w:pPr>
            <w:r>
              <w:rPr>
                <w:rFonts w:hint="eastAsia"/>
              </w:rPr>
              <w:t>50</w:t>
            </w:r>
          </w:p>
        </w:tc>
        <w:tc>
          <w:tcPr>
            <w:tcW w:w="2286" w:type="dxa"/>
            <w:tcBorders>
              <w:top w:val="single" w:color="000000" w:sz="4" w:space="0"/>
              <w:left w:val="single" w:color="000000" w:sz="4" w:space="0"/>
              <w:bottom w:val="single" w:color="000000" w:sz="4" w:space="0"/>
              <w:right w:val="single" w:color="000000" w:sz="4" w:space="0"/>
            </w:tcBorders>
            <w:vAlign w:val="center"/>
          </w:tcPr>
          <w:p w14:paraId="38D3C3E5">
            <w:pPr>
              <w:pStyle w:val="12"/>
            </w:pPr>
            <w:r>
              <w:rPr>
                <w:rFonts w:hint="eastAsia"/>
              </w:rPr>
              <w:t>事前预防管理-风险源预案备案-风险源预案填报</w:t>
            </w:r>
          </w:p>
        </w:tc>
        <w:tc>
          <w:tcPr>
            <w:tcW w:w="5686" w:type="dxa"/>
            <w:tcBorders>
              <w:top w:val="single" w:color="000000" w:sz="4" w:space="0"/>
              <w:left w:val="single" w:color="000000" w:sz="4" w:space="0"/>
              <w:bottom w:val="single" w:color="000000" w:sz="4" w:space="0"/>
              <w:right w:val="single" w:color="000000" w:sz="4" w:space="0"/>
            </w:tcBorders>
            <w:vAlign w:val="center"/>
          </w:tcPr>
          <w:p w14:paraId="0478EC8E">
            <w:pPr>
              <w:pStyle w:val="12"/>
            </w:pPr>
            <w:r>
              <w:rPr>
                <w:rFonts w:hint="eastAsia"/>
              </w:rPr>
              <w:t>升级改造聚焦模式革新与功能升级两大核心方向，将应急预案备案填报一网通办事项从模式2.0升级为3.0，并提供应急预案填报功能，企业可按照步骤将预案相关信息完整录入，包括污染源统一编码匹配、在线填报、附件上传、备案备案填报等。</w:t>
            </w:r>
          </w:p>
        </w:tc>
      </w:tr>
      <w:tr w14:paraId="2B2A9E26">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3B1D6A5B">
            <w:pPr>
              <w:pStyle w:val="12"/>
            </w:pPr>
            <w:r>
              <w:rPr>
                <w:rFonts w:hint="eastAsia"/>
              </w:rPr>
              <w:t>51</w:t>
            </w:r>
          </w:p>
        </w:tc>
        <w:tc>
          <w:tcPr>
            <w:tcW w:w="2286" w:type="dxa"/>
            <w:tcBorders>
              <w:top w:val="single" w:color="000000" w:sz="4" w:space="0"/>
              <w:left w:val="single" w:color="000000" w:sz="4" w:space="0"/>
              <w:bottom w:val="single" w:color="000000" w:sz="4" w:space="0"/>
              <w:right w:val="single" w:color="000000" w:sz="4" w:space="0"/>
            </w:tcBorders>
            <w:vAlign w:val="center"/>
          </w:tcPr>
          <w:p w14:paraId="54A7CCE5">
            <w:pPr>
              <w:pStyle w:val="12"/>
            </w:pPr>
            <w:r>
              <w:rPr>
                <w:rFonts w:hint="eastAsia"/>
              </w:rPr>
              <w:t>事前预防管理-风险源预案备案-风险源预案审核</w:t>
            </w:r>
          </w:p>
        </w:tc>
        <w:tc>
          <w:tcPr>
            <w:tcW w:w="5686" w:type="dxa"/>
            <w:tcBorders>
              <w:top w:val="single" w:color="000000" w:sz="4" w:space="0"/>
              <w:left w:val="single" w:color="000000" w:sz="4" w:space="0"/>
              <w:bottom w:val="single" w:color="000000" w:sz="4" w:space="0"/>
              <w:right w:val="single" w:color="000000" w:sz="4" w:space="0"/>
            </w:tcBorders>
            <w:vAlign w:val="center"/>
          </w:tcPr>
          <w:p w14:paraId="1E7DB87B">
            <w:pPr>
              <w:pStyle w:val="12"/>
            </w:pPr>
            <w:r>
              <w:rPr>
                <w:rFonts w:hint="eastAsia"/>
              </w:rPr>
              <w:t>提供应急预案审核功能，系统根据预案填报单位地址自动分配所属区管理部门的相关负责人账号，审核人员可对预案内容进行逐页审查，并填报相关审核意见。</w:t>
            </w:r>
          </w:p>
        </w:tc>
      </w:tr>
      <w:tr w14:paraId="12BE1BA8">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175D2D9C">
            <w:pPr>
              <w:pStyle w:val="12"/>
            </w:pPr>
            <w:r>
              <w:rPr>
                <w:rFonts w:hint="eastAsia"/>
              </w:rPr>
              <w:t>52</w:t>
            </w:r>
          </w:p>
        </w:tc>
        <w:tc>
          <w:tcPr>
            <w:tcW w:w="2286" w:type="dxa"/>
            <w:tcBorders>
              <w:top w:val="single" w:color="000000" w:sz="4" w:space="0"/>
              <w:left w:val="single" w:color="000000" w:sz="4" w:space="0"/>
              <w:bottom w:val="single" w:color="000000" w:sz="4" w:space="0"/>
              <w:right w:val="single" w:color="000000" w:sz="4" w:space="0"/>
            </w:tcBorders>
            <w:vAlign w:val="center"/>
          </w:tcPr>
          <w:p w14:paraId="16EAFD7E">
            <w:pPr>
              <w:pStyle w:val="12"/>
            </w:pPr>
            <w:r>
              <w:rPr>
                <w:rFonts w:hint="eastAsia"/>
              </w:rPr>
              <w:t>事前预防管理-应急预案管理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6D878EAE">
            <w:pPr>
              <w:pStyle w:val="12"/>
            </w:pPr>
            <w:r>
              <w:rPr>
                <w:rFonts w:hint="eastAsia"/>
              </w:rPr>
              <w:t>该模块主要用于管理政府部门的应急预案，将原先文本化的预案“数字化”，实现预案编制、预案导入等功能，实现预案调阅、查询、预览、评审、备案、附件管理等。</w:t>
            </w:r>
          </w:p>
        </w:tc>
      </w:tr>
      <w:tr w14:paraId="1C5FFEA7">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1EA2CD57">
            <w:pPr>
              <w:pStyle w:val="12"/>
            </w:pPr>
            <w:r>
              <w:rPr>
                <w:rFonts w:hint="eastAsia"/>
              </w:rPr>
              <w:t>53</w:t>
            </w:r>
          </w:p>
        </w:tc>
        <w:tc>
          <w:tcPr>
            <w:tcW w:w="2286" w:type="dxa"/>
            <w:tcBorders>
              <w:top w:val="single" w:color="000000" w:sz="4" w:space="0"/>
              <w:left w:val="single" w:color="000000" w:sz="4" w:space="0"/>
              <w:bottom w:val="single" w:color="000000" w:sz="4" w:space="0"/>
              <w:right w:val="single" w:color="000000" w:sz="4" w:space="0"/>
            </w:tcBorders>
            <w:vAlign w:val="center"/>
          </w:tcPr>
          <w:p w14:paraId="7CA78590">
            <w:pPr>
              <w:pStyle w:val="12"/>
            </w:pPr>
            <w:r>
              <w:rPr>
                <w:rFonts w:hint="eastAsia"/>
              </w:rPr>
              <w:t>事前预防管理-应急资源管理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71A17CB6">
            <w:pPr>
              <w:pStyle w:val="12"/>
            </w:pPr>
            <w:r>
              <w:rPr>
                <w:rFonts w:hint="eastAsia"/>
              </w:rPr>
              <w:t>将与环境应急相关的应急资源进行记录，包含名称、地址、数量、联系人、联系电话和作用等。结合 GIS 进行应急资源分布展示。当有应急事故发生时，可以根据预案自动匹配，生成应急资源表。</w:t>
            </w:r>
          </w:p>
        </w:tc>
      </w:tr>
      <w:tr w14:paraId="47EF4A0A">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59620F55">
            <w:pPr>
              <w:pStyle w:val="12"/>
            </w:pPr>
            <w:r>
              <w:rPr>
                <w:rFonts w:hint="eastAsia"/>
              </w:rPr>
              <w:t>54</w:t>
            </w:r>
          </w:p>
        </w:tc>
        <w:tc>
          <w:tcPr>
            <w:tcW w:w="2286" w:type="dxa"/>
            <w:tcBorders>
              <w:top w:val="single" w:color="000000" w:sz="4" w:space="0"/>
              <w:left w:val="single" w:color="000000" w:sz="4" w:space="0"/>
              <w:bottom w:val="single" w:color="000000" w:sz="4" w:space="0"/>
              <w:right w:val="single" w:color="000000" w:sz="4" w:space="0"/>
            </w:tcBorders>
            <w:vAlign w:val="center"/>
          </w:tcPr>
          <w:p w14:paraId="6F7EABC1">
            <w:pPr>
              <w:pStyle w:val="12"/>
            </w:pPr>
            <w:r>
              <w:rPr>
                <w:rFonts w:hint="eastAsia"/>
              </w:rPr>
              <w:t>事前预防管理-应急专家管理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0E45F38A">
            <w:pPr>
              <w:pStyle w:val="12"/>
            </w:pPr>
            <w:r>
              <w:rPr>
                <w:rFonts w:hint="eastAsia"/>
              </w:rPr>
              <w:t>建立应急专家名录库，记录专家姓名、工作单位、联系电话、邮件地址和专长等，提供对专家名录的增加、删除和修改，并可以进行模糊查询。</w:t>
            </w:r>
          </w:p>
        </w:tc>
      </w:tr>
      <w:tr w14:paraId="08B26919">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2F7E7672">
            <w:pPr>
              <w:pStyle w:val="12"/>
            </w:pPr>
            <w:r>
              <w:rPr>
                <w:rFonts w:hint="eastAsia"/>
              </w:rPr>
              <w:t>55</w:t>
            </w:r>
          </w:p>
        </w:tc>
        <w:tc>
          <w:tcPr>
            <w:tcW w:w="2286" w:type="dxa"/>
            <w:tcBorders>
              <w:top w:val="single" w:color="000000" w:sz="4" w:space="0"/>
              <w:left w:val="single" w:color="000000" w:sz="4" w:space="0"/>
              <w:bottom w:val="single" w:color="000000" w:sz="4" w:space="0"/>
              <w:right w:val="single" w:color="000000" w:sz="4" w:space="0"/>
            </w:tcBorders>
            <w:vAlign w:val="center"/>
          </w:tcPr>
          <w:p w14:paraId="6A3B392F">
            <w:pPr>
              <w:pStyle w:val="12"/>
            </w:pPr>
            <w:r>
              <w:rPr>
                <w:rFonts w:hint="eastAsia"/>
              </w:rPr>
              <w:t>事前预防管理-应急知识管理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0464E84A">
            <w:pPr>
              <w:pStyle w:val="12"/>
            </w:pPr>
            <w:r>
              <w:rPr>
                <w:rFonts w:hint="eastAsia"/>
              </w:rPr>
              <w:t>建立应急知识库，包含常见危险化学品库、常用化学品运输和包装标识库、常见危险化学品的应急处置和检测技术库、危险化学品中毒和急救须知、突发环境事件的指导案例等。</w:t>
            </w:r>
          </w:p>
        </w:tc>
      </w:tr>
      <w:tr w14:paraId="27321E21">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31358B35">
            <w:pPr>
              <w:pStyle w:val="12"/>
            </w:pPr>
            <w:r>
              <w:rPr>
                <w:rFonts w:hint="eastAsia"/>
              </w:rPr>
              <w:t>56</w:t>
            </w:r>
          </w:p>
        </w:tc>
        <w:tc>
          <w:tcPr>
            <w:tcW w:w="2286" w:type="dxa"/>
            <w:tcBorders>
              <w:top w:val="single" w:color="000000" w:sz="4" w:space="0"/>
              <w:left w:val="single" w:color="000000" w:sz="4" w:space="0"/>
              <w:bottom w:val="single" w:color="000000" w:sz="4" w:space="0"/>
              <w:right w:val="single" w:color="000000" w:sz="4" w:space="0"/>
            </w:tcBorders>
            <w:vAlign w:val="center"/>
          </w:tcPr>
          <w:p w14:paraId="46B16F8A">
            <w:pPr>
              <w:pStyle w:val="12"/>
            </w:pPr>
            <w:r>
              <w:rPr>
                <w:rFonts w:hint="eastAsia"/>
              </w:rPr>
              <w:t>事前预防管理-应急案例管理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37EC0E74">
            <w:pPr>
              <w:pStyle w:val="12"/>
            </w:pPr>
            <w:r>
              <w:rPr>
                <w:rFonts w:hint="eastAsia"/>
              </w:rPr>
              <w:t>维护历史案例库，提供对历史案例进行编辑、修改功能，提供按关键字、类型、污染等关键词进行历史案例的查询功能。</w:t>
            </w:r>
          </w:p>
        </w:tc>
      </w:tr>
      <w:tr w14:paraId="3E851D78">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1E061A2E">
            <w:pPr>
              <w:pStyle w:val="12"/>
            </w:pPr>
            <w:r>
              <w:rPr>
                <w:rFonts w:hint="eastAsia"/>
              </w:rPr>
              <w:t>57</w:t>
            </w:r>
          </w:p>
        </w:tc>
        <w:tc>
          <w:tcPr>
            <w:tcW w:w="2286" w:type="dxa"/>
            <w:tcBorders>
              <w:top w:val="single" w:color="000000" w:sz="4" w:space="0"/>
              <w:left w:val="single" w:color="000000" w:sz="4" w:space="0"/>
              <w:bottom w:val="single" w:color="000000" w:sz="4" w:space="0"/>
              <w:right w:val="single" w:color="000000" w:sz="4" w:space="0"/>
            </w:tcBorders>
            <w:vAlign w:val="center"/>
          </w:tcPr>
          <w:p w14:paraId="55EB5C15">
            <w:pPr>
              <w:pStyle w:val="12"/>
            </w:pPr>
            <w:r>
              <w:rPr>
                <w:rFonts w:hint="eastAsia"/>
              </w:rPr>
              <w:t>环境应急移动端-应急值守</w:t>
            </w:r>
          </w:p>
        </w:tc>
        <w:tc>
          <w:tcPr>
            <w:tcW w:w="5686" w:type="dxa"/>
            <w:tcBorders>
              <w:top w:val="single" w:color="000000" w:sz="4" w:space="0"/>
              <w:left w:val="single" w:color="000000" w:sz="4" w:space="0"/>
              <w:bottom w:val="single" w:color="000000" w:sz="4" w:space="0"/>
              <w:right w:val="single" w:color="000000" w:sz="4" w:space="0"/>
            </w:tcBorders>
            <w:vAlign w:val="center"/>
          </w:tcPr>
          <w:p w14:paraId="164C3350">
            <w:pPr>
              <w:pStyle w:val="12"/>
            </w:pPr>
            <w:r>
              <w:rPr>
                <w:rFonts w:hint="eastAsia"/>
              </w:rPr>
              <w:t>提供值班值守人员详细信息查询，提供应急人员、应急队伍、应急物资、应急专家、应急设备的移动端查询、筛选功能。</w:t>
            </w:r>
          </w:p>
        </w:tc>
      </w:tr>
      <w:tr w14:paraId="0458008F">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7C10B2EB">
            <w:pPr>
              <w:pStyle w:val="12"/>
            </w:pPr>
            <w:r>
              <w:rPr>
                <w:rFonts w:hint="eastAsia"/>
              </w:rPr>
              <w:t>58</w:t>
            </w:r>
          </w:p>
        </w:tc>
        <w:tc>
          <w:tcPr>
            <w:tcW w:w="2286" w:type="dxa"/>
            <w:tcBorders>
              <w:top w:val="single" w:color="000000" w:sz="4" w:space="0"/>
              <w:left w:val="single" w:color="000000" w:sz="4" w:space="0"/>
              <w:bottom w:val="single" w:color="000000" w:sz="4" w:space="0"/>
              <w:right w:val="single" w:color="000000" w:sz="4" w:space="0"/>
            </w:tcBorders>
            <w:vAlign w:val="center"/>
          </w:tcPr>
          <w:p w14:paraId="4EC1EA41">
            <w:pPr>
              <w:pStyle w:val="12"/>
            </w:pPr>
            <w:r>
              <w:rPr>
                <w:rFonts w:hint="eastAsia"/>
              </w:rPr>
              <w:t>环境应急移动端-应急任务管理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0590FD18">
            <w:pPr>
              <w:pStyle w:val="12"/>
            </w:pPr>
            <w:r>
              <w:rPr>
                <w:rFonts w:hint="eastAsia"/>
              </w:rPr>
              <w:t>提供工作人员利用移动端进行事件登记、指令接收、事件反馈、流程跟踪、应急监测的操作和查询功能。</w:t>
            </w:r>
          </w:p>
        </w:tc>
      </w:tr>
      <w:tr w14:paraId="10F42503">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00EFD206">
            <w:pPr>
              <w:pStyle w:val="12"/>
            </w:pPr>
            <w:r>
              <w:rPr>
                <w:rFonts w:hint="eastAsia"/>
              </w:rPr>
              <w:t>59</w:t>
            </w:r>
          </w:p>
        </w:tc>
        <w:tc>
          <w:tcPr>
            <w:tcW w:w="2286" w:type="dxa"/>
            <w:tcBorders>
              <w:top w:val="single" w:color="000000" w:sz="4" w:space="0"/>
              <w:left w:val="single" w:color="000000" w:sz="4" w:space="0"/>
              <w:bottom w:val="single" w:color="000000" w:sz="4" w:space="0"/>
              <w:right w:val="single" w:color="000000" w:sz="4" w:space="0"/>
            </w:tcBorders>
            <w:vAlign w:val="center"/>
          </w:tcPr>
          <w:p w14:paraId="0C4B176C">
            <w:pPr>
              <w:pStyle w:val="12"/>
            </w:pPr>
            <w:r>
              <w:rPr>
                <w:rFonts w:hint="eastAsia"/>
              </w:rPr>
              <w:t>环境应急移动端-地图操作辅助</w:t>
            </w:r>
          </w:p>
        </w:tc>
        <w:tc>
          <w:tcPr>
            <w:tcW w:w="5686" w:type="dxa"/>
            <w:tcBorders>
              <w:top w:val="single" w:color="000000" w:sz="4" w:space="0"/>
              <w:left w:val="single" w:color="000000" w:sz="4" w:space="0"/>
              <w:bottom w:val="single" w:color="000000" w:sz="4" w:space="0"/>
              <w:right w:val="single" w:color="000000" w:sz="4" w:space="0"/>
            </w:tcBorders>
            <w:vAlign w:val="center"/>
          </w:tcPr>
          <w:p w14:paraId="6C35985B">
            <w:pPr>
              <w:pStyle w:val="12"/>
            </w:pPr>
            <w:r>
              <w:rPr>
                <w:rFonts w:hint="eastAsia"/>
              </w:rPr>
              <w:t>提供地图操作辅助功能，用户可在移动终端上进行点位查询、地图定位、搜索周边等操作，快速了解应急事件周边情况，指导物资调配、风险通知、人员疏散工作。</w:t>
            </w:r>
          </w:p>
        </w:tc>
      </w:tr>
      <w:tr w14:paraId="53F033E5">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70549A5A">
            <w:pPr>
              <w:pStyle w:val="12"/>
            </w:pPr>
            <w:r>
              <w:rPr>
                <w:rFonts w:hint="eastAsia"/>
              </w:rPr>
              <w:t>60</w:t>
            </w:r>
          </w:p>
        </w:tc>
        <w:tc>
          <w:tcPr>
            <w:tcW w:w="2286" w:type="dxa"/>
            <w:tcBorders>
              <w:top w:val="single" w:color="000000" w:sz="4" w:space="0"/>
              <w:left w:val="single" w:color="000000" w:sz="4" w:space="0"/>
              <w:bottom w:val="single" w:color="000000" w:sz="4" w:space="0"/>
              <w:right w:val="single" w:color="000000" w:sz="4" w:space="0"/>
            </w:tcBorders>
            <w:vAlign w:val="center"/>
          </w:tcPr>
          <w:p w14:paraId="6D8D67CC">
            <w:pPr>
              <w:pStyle w:val="12"/>
            </w:pPr>
            <w:r>
              <w:rPr>
                <w:rFonts w:hint="eastAsia"/>
              </w:rPr>
              <w:t>环境应急移动端-移动会商</w:t>
            </w:r>
          </w:p>
        </w:tc>
        <w:tc>
          <w:tcPr>
            <w:tcW w:w="5686" w:type="dxa"/>
            <w:tcBorders>
              <w:top w:val="single" w:color="000000" w:sz="4" w:space="0"/>
              <w:left w:val="single" w:color="000000" w:sz="4" w:space="0"/>
              <w:bottom w:val="single" w:color="000000" w:sz="4" w:space="0"/>
              <w:right w:val="single" w:color="000000" w:sz="4" w:space="0"/>
            </w:tcBorders>
            <w:vAlign w:val="center"/>
          </w:tcPr>
          <w:p w14:paraId="33B7E251">
            <w:pPr>
              <w:pStyle w:val="12"/>
            </w:pPr>
            <w:r>
              <w:rPr>
                <w:rFonts w:hint="eastAsia"/>
              </w:rPr>
              <w:t>在移动端提供基于无人机、视频会议系统、视频监控的视频融合会商和指挥调度功能。包括会商通讯录功能、创建会商群组、多终端之间双向音视频通话，支持文字、短语音、短视频、图片、拍照、文件等指令交互功能。</w:t>
            </w:r>
          </w:p>
        </w:tc>
      </w:tr>
      <w:tr w14:paraId="0F13E1DE">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47F72D05">
            <w:pPr>
              <w:pStyle w:val="12"/>
            </w:pPr>
            <w:r>
              <w:rPr>
                <w:rFonts w:hint="eastAsia"/>
              </w:rPr>
              <w:t>61</w:t>
            </w:r>
          </w:p>
        </w:tc>
        <w:tc>
          <w:tcPr>
            <w:tcW w:w="2286" w:type="dxa"/>
            <w:tcBorders>
              <w:top w:val="single" w:color="000000" w:sz="4" w:space="0"/>
              <w:left w:val="single" w:color="000000" w:sz="4" w:space="0"/>
              <w:bottom w:val="single" w:color="000000" w:sz="4" w:space="0"/>
              <w:right w:val="single" w:color="000000" w:sz="4" w:space="0"/>
            </w:tcBorders>
            <w:vAlign w:val="center"/>
          </w:tcPr>
          <w:p w14:paraId="73B9E025">
            <w:pPr>
              <w:pStyle w:val="12"/>
            </w:pPr>
            <w:r>
              <w:rPr>
                <w:rFonts w:hint="eastAsia"/>
              </w:rPr>
              <w:t>环境应急移动端-应急知识库</w:t>
            </w:r>
          </w:p>
        </w:tc>
        <w:tc>
          <w:tcPr>
            <w:tcW w:w="5686" w:type="dxa"/>
            <w:tcBorders>
              <w:top w:val="single" w:color="000000" w:sz="4" w:space="0"/>
              <w:left w:val="single" w:color="000000" w:sz="4" w:space="0"/>
              <w:bottom w:val="single" w:color="000000" w:sz="4" w:space="0"/>
              <w:right w:val="single" w:color="000000" w:sz="4" w:space="0"/>
            </w:tcBorders>
            <w:vAlign w:val="center"/>
          </w:tcPr>
          <w:p w14:paraId="2C9C43CE">
            <w:pPr>
              <w:pStyle w:val="12"/>
            </w:pPr>
            <w:r>
              <w:rPr>
                <w:rFonts w:hint="eastAsia"/>
              </w:rPr>
              <w:t>构建应急知识库搜索功能，涵盖危化品库、检测方法、处置技术、法律法规、技术指标以及参考案例等多个方面的关键字搜索功能。</w:t>
            </w:r>
          </w:p>
        </w:tc>
      </w:tr>
      <w:tr w14:paraId="636B6E10">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4C5E0B21">
            <w:pPr>
              <w:pStyle w:val="12"/>
            </w:pPr>
            <w:r>
              <w:rPr>
                <w:rFonts w:hint="eastAsia"/>
              </w:rPr>
              <w:t>62</w:t>
            </w:r>
          </w:p>
        </w:tc>
        <w:tc>
          <w:tcPr>
            <w:tcW w:w="2286" w:type="dxa"/>
            <w:tcBorders>
              <w:top w:val="single" w:color="000000" w:sz="4" w:space="0"/>
              <w:left w:val="single" w:color="000000" w:sz="4" w:space="0"/>
              <w:bottom w:val="single" w:color="000000" w:sz="4" w:space="0"/>
              <w:right w:val="single" w:color="000000" w:sz="4" w:space="0"/>
            </w:tcBorders>
            <w:vAlign w:val="center"/>
          </w:tcPr>
          <w:p w14:paraId="65A7EA27">
            <w:pPr>
              <w:pStyle w:val="12"/>
            </w:pPr>
            <w:r>
              <w:rPr>
                <w:rFonts w:hint="eastAsia"/>
              </w:rPr>
              <w:t>事前预防管理-无人机作业管理-飞行任务管理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4196E348">
            <w:pPr>
              <w:pStyle w:val="12"/>
            </w:pPr>
            <w:r>
              <w:rPr>
                <w:rFonts w:hint="eastAsia"/>
              </w:rPr>
              <w:t>该系统支持在管控平台创建、编辑、删除飞行任务，可即时、定时或周期性执行多种航线；具备断点续飞及记录合并功能；能查看任务历史记录；还可与第三方系统联调，接收警情数据后智能筛选附近机场，自动创建飞行任务。</w:t>
            </w:r>
          </w:p>
        </w:tc>
      </w:tr>
      <w:tr w14:paraId="22255070">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2EF5FC6D">
            <w:pPr>
              <w:pStyle w:val="12"/>
            </w:pPr>
            <w:r>
              <w:rPr>
                <w:rFonts w:hint="eastAsia"/>
              </w:rPr>
              <w:t>63</w:t>
            </w:r>
          </w:p>
        </w:tc>
        <w:tc>
          <w:tcPr>
            <w:tcW w:w="2286" w:type="dxa"/>
            <w:tcBorders>
              <w:top w:val="single" w:color="000000" w:sz="4" w:space="0"/>
              <w:left w:val="single" w:color="000000" w:sz="4" w:space="0"/>
              <w:bottom w:val="single" w:color="000000" w:sz="4" w:space="0"/>
              <w:right w:val="single" w:color="000000" w:sz="4" w:space="0"/>
            </w:tcBorders>
            <w:vAlign w:val="center"/>
          </w:tcPr>
          <w:p w14:paraId="6F78CBD2">
            <w:pPr>
              <w:pStyle w:val="12"/>
            </w:pPr>
            <w:r>
              <w:rPr>
                <w:rFonts w:hint="eastAsia"/>
              </w:rPr>
              <w:t>事前预防管理-无人机作业管理-飞行航线管理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4E7987C7">
            <w:pPr>
              <w:pStyle w:val="12"/>
            </w:pPr>
            <w:r>
              <w:rPr>
                <w:rFonts w:hint="eastAsia"/>
              </w:rPr>
              <w:t>支持地图上设置航点参数，组合航点成航线并展示相关数据；可配置多种飞行模式参数；能在地图生成环形航线并设置属性；还支持创建、编辑、删除多边形及环形无人机电子围栏。</w:t>
            </w:r>
          </w:p>
        </w:tc>
      </w:tr>
      <w:tr w14:paraId="4FF1093F">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32204EDE">
            <w:pPr>
              <w:pStyle w:val="12"/>
            </w:pPr>
            <w:r>
              <w:rPr>
                <w:rFonts w:hint="eastAsia"/>
              </w:rPr>
              <w:t>64</w:t>
            </w:r>
          </w:p>
        </w:tc>
        <w:tc>
          <w:tcPr>
            <w:tcW w:w="2286" w:type="dxa"/>
            <w:tcBorders>
              <w:top w:val="single" w:color="000000" w:sz="4" w:space="0"/>
              <w:left w:val="single" w:color="000000" w:sz="4" w:space="0"/>
              <w:bottom w:val="single" w:color="000000" w:sz="4" w:space="0"/>
              <w:right w:val="single" w:color="000000" w:sz="4" w:space="0"/>
            </w:tcBorders>
            <w:vAlign w:val="center"/>
          </w:tcPr>
          <w:p w14:paraId="6F7F7299">
            <w:pPr>
              <w:pStyle w:val="12"/>
            </w:pPr>
            <w:r>
              <w:rPr>
                <w:rFonts w:hint="eastAsia"/>
              </w:rPr>
              <w:t>事前预防管理-无人机作业管理-飞行过程监控</w:t>
            </w:r>
          </w:p>
        </w:tc>
        <w:tc>
          <w:tcPr>
            <w:tcW w:w="5686" w:type="dxa"/>
            <w:tcBorders>
              <w:top w:val="single" w:color="000000" w:sz="4" w:space="0"/>
              <w:left w:val="single" w:color="000000" w:sz="4" w:space="0"/>
              <w:bottom w:val="single" w:color="000000" w:sz="4" w:space="0"/>
              <w:right w:val="single" w:color="000000" w:sz="4" w:space="0"/>
            </w:tcBorders>
            <w:vAlign w:val="center"/>
          </w:tcPr>
          <w:p w14:paraId="2F27CF47">
            <w:pPr>
              <w:pStyle w:val="12"/>
            </w:pPr>
            <w:r>
              <w:rPr>
                <w:rFonts w:hint="eastAsia"/>
              </w:rPr>
              <w:t>可实时查看在线设备、人员及无人机等位置，展示飞行参数、轨迹等信息；支持申请无人机与云台控制权，实现飞行操控与云台操作；开启元素映射可同步地图标注与直播画面；支持直播视频截图下载，并提供视频跟随功能，将直播画面叠加于地图且小窗跟随无人机图标。</w:t>
            </w:r>
          </w:p>
        </w:tc>
      </w:tr>
      <w:tr w14:paraId="46CA151E">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2D8FC4AB">
            <w:pPr>
              <w:pStyle w:val="12"/>
            </w:pPr>
            <w:r>
              <w:rPr>
                <w:rFonts w:hint="eastAsia"/>
              </w:rPr>
              <w:t>65</w:t>
            </w:r>
          </w:p>
        </w:tc>
        <w:tc>
          <w:tcPr>
            <w:tcW w:w="2286" w:type="dxa"/>
            <w:tcBorders>
              <w:top w:val="single" w:color="000000" w:sz="4" w:space="0"/>
              <w:left w:val="single" w:color="000000" w:sz="4" w:space="0"/>
              <w:bottom w:val="single" w:color="000000" w:sz="4" w:space="0"/>
              <w:right w:val="single" w:color="000000" w:sz="4" w:space="0"/>
            </w:tcBorders>
            <w:vAlign w:val="center"/>
          </w:tcPr>
          <w:p w14:paraId="206CAE9A">
            <w:pPr>
              <w:pStyle w:val="12"/>
            </w:pPr>
            <w:r>
              <w:rPr>
                <w:rFonts w:hint="eastAsia"/>
              </w:rPr>
              <w:t>事前预防管理-无人机作业管理-飞行视频分析</w:t>
            </w:r>
          </w:p>
        </w:tc>
        <w:tc>
          <w:tcPr>
            <w:tcW w:w="5686" w:type="dxa"/>
            <w:tcBorders>
              <w:top w:val="single" w:color="000000" w:sz="4" w:space="0"/>
              <w:left w:val="single" w:color="000000" w:sz="4" w:space="0"/>
              <w:bottom w:val="single" w:color="000000" w:sz="4" w:space="0"/>
              <w:right w:val="single" w:color="000000" w:sz="4" w:space="0"/>
            </w:tcBorders>
            <w:vAlign w:val="center"/>
          </w:tcPr>
          <w:p w14:paraId="415A8700">
            <w:pPr>
              <w:pStyle w:val="12"/>
            </w:pPr>
            <w:r>
              <w:rPr>
                <w:rFonts w:hint="eastAsia"/>
              </w:rPr>
              <w:t>实现断点续飞记录合并；能在历史视频画面截图标注、下载；还可查看任务识别详情，涵盖执行设备、识别结果等信息。</w:t>
            </w:r>
          </w:p>
        </w:tc>
      </w:tr>
      <w:tr w14:paraId="48CE0BE4">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632740BA">
            <w:pPr>
              <w:pStyle w:val="12"/>
            </w:pPr>
            <w:r>
              <w:rPr>
                <w:rFonts w:hint="eastAsia"/>
              </w:rPr>
              <w:t>66</w:t>
            </w:r>
          </w:p>
        </w:tc>
        <w:tc>
          <w:tcPr>
            <w:tcW w:w="2286" w:type="dxa"/>
            <w:tcBorders>
              <w:top w:val="single" w:color="000000" w:sz="4" w:space="0"/>
              <w:left w:val="single" w:color="000000" w:sz="4" w:space="0"/>
              <w:bottom w:val="single" w:color="000000" w:sz="4" w:space="0"/>
              <w:right w:val="single" w:color="000000" w:sz="4" w:space="0"/>
            </w:tcBorders>
            <w:vAlign w:val="center"/>
          </w:tcPr>
          <w:p w14:paraId="1C8F04F3">
            <w:pPr>
              <w:pStyle w:val="12"/>
            </w:pPr>
            <w:r>
              <w:rPr>
                <w:rFonts w:hint="eastAsia"/>
              </w:rPr>
              <w:t>事前预防管理-无人机作业管理-事件动态分析</w:t>
            </w:r>
          </w:p>
        </w:tc>
        <w:tc>
          <w:tcPr>
            <w:tcW w:w="5686" w:type="dxa"/>
            <w:tcBorders>
              <w:top w:val="single" w:color="000000" w:sz="4" w:space="0"/>
              <w:left w:val="single" w:color="000000" w:sz="4" w:space="0"/>
              <w:bottom w:val="single" w:color="000000" w:sz="4" w:space="0"/>
              <w:right w:val="single" w:color="000000" w:sz="4" w:space="0"/>
            </w:tcBorders>
            <w:vAlign w:val="center"/>
          </w:tcPr>
          <w:p w14:paraId="6718B392">
            <w:pPr>
              <w:pStyle w:val="12"/>
            </w:pPr>
            <w:r>
              <w:rPr>
                <w:rFonts w:hint="eastAsia"/>
              </w:rPr>
              <w:t>通过无人机的多次巡飞，和应急事件的关键节点进行关联分析，对整个应急事件建立全流程的完整的影像分析，并结合相关监测数据进行融合动态分析。</w:t>
            </w:r>
          </w:p>
        </w:tc>
      </w:tr>
    </w:tbl>
    <w:p w14:paraId="5165FB90"/>
    <w:p w14:paraId="7B41262F">
      <w:r>
        <w:rPr>
          <w:rFonts w:hint="eastAsia"/>
        </w:rPr>
        <w:t>2、上海市生态环境智慧监管协同子系统建设</w:t>
      </w:r>
    </w:p>
    <w:p w14:paraId="3921D487">
      <w:r>
        <w:rPr>
          <w:rFonts w:hint="eastAsia"/>
        </w:rPr>
        <w:t>上海市生态环境智慧监管协同子系统建设内容包括建设“环境监管对象协同一个库”，构建全要素、全周期的生态环境监管对象数字化管理体系；建设“环境任务协同一中心”，构建全流程智能化任务协同管理体系；建设“环境管控协同一平台”，构建污染防治态势感知、污染预警、任务闭环一张屏。具体建设功能清单如下表：</w:t>
      </w:r>
    </w:p>
    <w:tbl>
      <w:tblPr>
        <w:tblStyle w:val="7"/>
        <w:tblW w:w="0" w:type="auto"/>
        <w:tblInd w:w="98" w:type="dxa"/>
        <w:tblLayout w:type="autofit"/>
        <w:tblCellMar>
          <w:top w:w="0" w:type="dxa"/>
          <w:left w:w="108" w:type="dxa"/>
          <w:bottom w:w="0" w:type="dxa"/>
          <w:right w:w="108" w:type="dxa"/>
        </w:tblCellMar>
      </w:tblPr>
      <w:tblGrid>
        <w:gridCol w:w="458"/>
        <w:gridCol w:w="2286"/>
        <w:gridCol w:w="5686"/>
      </w:tblGrid>
      <w:tr w14:paraId="298786A9">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75213446">
            <w:pPr>
              <w:pStyle w:val="12"/>
            </w:pPr>
            <w:r>
              <w:rPr>
                <w:rFonts w:hint="eastAsia"/>
              </w:rPr>
              <w:t>序号</w:t>
            </w:r>
          </w:p>
        </w:tc>
        <w:tc>
          <w:tcPr>
            <w:tcW w:w="2286" w:type="dxa"/>
            <w:tcBorders>
              <w:top w:val="single" w:color="000000" w:sz="4" w:space="0"/>
              <w:left w:val="single" w:color="000000" w:sz="4" w:space="0"/>
              <w:bottom w:val="single" w:color="000000" w:sz="4" w:space="0"/>
              <w:right w:val="single" w:color="000000" w:sz="4" w:space="0"/>
            </w:tcBorders>
            <w:vAlign w:val="center"/>
          </w:tcPr>
          <w:p w14:paraId="6A3B4488">
            <w:pPr>
              <w:pStyle w:val="12"/>
            </w:pPr>
            <w:r>
              <w:rPr>
                <w:rFonts w:hint="eastAsia"/>
              </w:rPr>
              <w:t>功能名称</w:t>
            </w:r>
          </w:p>
        </w:tc>
        <w:tc>
          <w:tcPr>
            <w:tcW w:w="5686" w:type="dxa"/>
            <w:tcBorders>
              <w:top w:val="single" w:color="000000" w:sz="4" w:space="0"/>
              <w:left w:val="single" w:color="000000" w:sz="4" w:space="0"/>
              <w:bottom w:val="single" w:color="000000" w:sz="4" w:space="0"/>
              <w:right w:val="single" w:color="000000" w:sz="4" w:space="0"/>
            </w:tcBorders>
            <w:vAlign w:val="center"/>
          </w:tcPr>
          <w:p w14:paraId="3D2A451D">
            <w:pPr>
              <w:pStyle w:val="12"/>
            </w:pPr>
            <w:r>
              <w:rPr>
                <w:rFonts w:hint="eastAsia"/>
              </w:rPr>
              <w:t>功能描述</w:t>
            </w:r>
          </w:p>
        </w:tc>
      </w:tr>
      <w:tr w14:paraId="28789370">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64EF69C5">
            <w:pPr>
              <w:pStyle w:val="12"/>
            </w:pPr>
            <w:r>
              <w:rPr>
                <w:rFonts w:hint="eastAsia"/>
              </w:rPr>
              <w:t>1</w:t>
            </w:r>
          </w:p>
        </w:tc>
        <w:tc>
          <w:tcPr>
            <w:tcW w:w="2286" w:type="dxa"/>
            <w:tcBorders>
              <w:top w:val="single" w:color="000000" w:sz="4" w:space="0"/>
              <w:left w:val="single" w:color="000000" w:sz="4" w:space="0"/>
              <w:bottom w:val="single" w:color="000000" w:sz="4" w:space="0"/>
              <w:right w:val="single" w:color="000000" w:sz="4" w:space="0"/>
            </w:tcBorders>
            <w:vAlign w:val="center"/>
          </w:tcPr>
          <w:p w14:paraId="55FCB081">
            <w:pPr>
              <w:pStyle w:val="12"/>
            </w:pPr>
            <w:r>
              <w:rPr>
                <w:rFonts w:hint="eastAsia"/>
              </w:rPr>
              <w:t>环境监管对象协同一个库-产排污对象管理-排污许可纳管对象管理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47FC8905">
            <w:pPr>
              <w:pStyle w:val="12"/>
            </w:pPr>
            <w:r>
              <w:rPr>
                <w:rFonts w:hint="eastAsia"/>
              </w:rPr>
              <w:t>按照统一对象编码对排污许可单位进行数据标准化和赋码，开展基本信息管理，并按照监管要素、监管级别等标签进行多维度的分级分类。</w:t>
            </w:r>
          </w:p>
        </w:tc>
      </w:tr>
      <w:tr w14:paraId="7D18748D">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58AFDA8B">
            <w:pPr>
              <w:pStyle w:val="12"/>
            </w:pPr>
            <w:r>
              <w:rPr>
                <w:rFonts w:hint="eastAsia"/>
              </w:rPr>
              <w:t>2</w:t>
            </w:r>
          </w:p>
        </w:tc>
        <w:tc>
          <w:tcPr>
            <w:tcW w:w="2286" w:type="dxa"/>
            <w:tcBorders>
              <w:top w:val="single" w:color="000000" w:sz="4" w:space="0"/>
              <w:left w:val="single" w:color="000000" w:sz="4" w:space="0"/>
              <w:bottom w:val="single" w:color="000000" w:sz="4" w:space="0"/>
              <w:right w:val="single" w:color="000000" w:sz="4" w:space="0"/>
            </w:tcBorders>
            <w:vAlign w:val="center"/>
          </w:tcPr>
          <w:p w14:paraId="7876B3EF">
            <w:pPr>
              <w:pStyle w:val="12"/>
            </w:pPr>
            <w:r>
              <w:rPr>
                <w:rFonts w:hint="eastAsia"/>
              </w:rPr>
              <w:t>环境监管对象协同一个库-产排污对象管理-餐饮油烟监管对象管理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5C049205">
            <w:pPr>
              <w:pStyle w:val="12"/>
            </w:pPr>
            <w:r>
              <w:rPr>
                <w:rFonts w:hint="eastAsia"/>
              </w:rPr>
              <w:t>按照统一对象编码对餐饮企业进行数据标准化和赋码，开展基本信息管理，并按照规模、场所特点等标签进行多维度的分级分类。</w:t>
            </w:r>
          </w:p>
        </w:tc>
      </w:tr>
      <w:tr w14:paraId="05278606">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53200A7C">
            <w:pPr>
              <w:pStyle w:val="12"/>
            </w:pPr>
            <w:r>
              <w:rPr>
                <w:rFonts w:hint="eastAsia"/>
              </w:rPr>
              <w:t>3</w:t>
            </w:r>
          </w:p>
        </w:tc>
        <w:tc>
          <w:tcPr>
            <w:tcW w:w="2286" w:type="dxa"/>
            <w:tcBorders>
              <w:top w:val="single" w:color="000000" w:sz="4" w:space="0"/>
              <w:left w:val="single" w:color="000000" w:sz="4" w:space="0"/>
              <w:bottom w:val="single" w:color="000000" w:sz="4" w:space="0"/>
              <w:right w:val="single" w:color="000000" w:sz="4" w:space="0"/>
            </w:tcBorders>
            <w:vAlign w:val="center"/>
          </w:tcPr>
          <w:p w14:paraId="05DE8539">
            <w:pPr>
              <w:pStyle w:val="12"/>
            </w:pPr>
            <w:r>
              <w:rPr>
                <w:rFonts w:hint="eastAsia"/>
              </w:rPr>
              <w:t>环境监管对象协同一个库-产排污对象管理-核技术利用单位管理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5429BFD9">
            <w:pPr>
              <w:pStyle w:val="12"/>
            </w:pPr>
            <w:r>
              <w:rPr>
                <w:rFonts w:hint="eastAsia"/>
              </w:rPr>
              <w:t>按照统一对象编码对核技术利用单位进行数据标准化和赋码，开展基本信息管理，并按照辐射类型、利用类型、管理级别等标签进行多维度的分级分类。</w:t>
            </w:r>
          </w:p>
        </w:tc>
      </w:tr>
      <w:tr w14:paraId="669F35C5">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7594D3D1">
            <w:pPr>
              <w:pStyle w:val="12"/>
            </w:pPr>
            <w:r>
              <w:rPr>
                <w:rFonts w:hint="eastAsia"/>
              </w:rPr>
              <w:t>4</w:t>
            </w:r>
          </w:p>
        </w:tc>
        <w:tc>
          <w:tcPr>
            <w:tcW w:w="2286" w:type="dxa"/>
            <w:tcBorders>
              <w:top w:val="single" w:color="000000" w:sz="4" w:space="0"/>
              <w:left w:val="single" w:color="000000" w:sz="4" w:space="0"/>
              <w:bottom w:val="single" w:color="000000" w:sz="4" w:space="0"/>
              <w:right w:val="single" w:color="000000" w:sz="4" w:space="0"/>
            </w:tcBorders>
            <w:vAlign w:val="center"/>
          </w:tcPr>
          <w:p w14:paraId="344E5842">
            <w:pPr>
              <w:pStyle w:val="12"/>
            </w:pPr>
            <w:r>
              <w:rPr>
                <w:rFonts w:hint="eastAsia"/>
              </w:rPr>
              <w:t>环境监管对象协同一个库-温室气体排放源-碳排放配额管理企业</w:t>
            </w:r>
          </w:p>
        </w:tc>
        <w:tc>
          <w:tcPr>
            <w:tcW w:w="5686" w:type="dxa"/>
            <w:tcBorders>
              <w:top w:val="single" w:color="000000" w:sz="4" w:space="0"/>
              <w:left w:val="single" w:color="000000" w:sz="4" w:space="0"/>
              <w:bottom w:val="single" w:color="000000" w:sz="4" w:space="0"/>
              <w:right w:val="single" w:color="000000" w:sz="4" w:space="0"/>
            </w:tcBorders>
            <w:vAlign w:val="center"/>
          </w:tcPr>
          <w:p w14:paraId="5B630015">
            <w:pPr>
              <w:pStyle w:val="12"/>
            </w:pPr>
            <w:r>
              <w:rPr>
                <w:rFonts w:hint="eastAsia"/>
              </w:rPr>
              <w:t>按照统一对象编码对本市纳入碳排放配额管理的单位进行数据标准化和赋码，开展基本信息管理，并按照配额分配方法、领域、碳排强度等标签进行多维度的分级分类。</w:t>
            </w:r>
          </w:p>
        </w:tc>
      </w:tr>
      <w:tr w14:paraId="1ECC9822">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310F8AF3">
            <w:pPr>
              <w:pStyle w:val="12"/>
            </w:pPr>
            <w:r>
              <w:rPr>
                <w:rFonts w:hint="eastAsia"/>
              </w:rPr>
              <w:t>5</w:t>
            </w:r>
          </w:p>
        </w:tc>
        <w:tc>
          <w:tcPr>
            <w:tcW w:w="2286" w:type="dxa"/>
            <w:tcBorders>
              <w:top w:val="single" w:color="000000" w:sz="4" w:space="0"/>
              <w:left w:val="single" w:color="000000" w:sz="4" w:space="0"/>
              <w:bottom w:val="single" w:color="000000" w:sz="4" w:space="0"/>
              <w:right w:val="single" w:color="000000" w:sz="4" w:space="0"/>
            </w:tcBorders>
            <w:vAlign w:val="center"/>
          </w:tcPr>
          <w:p w14:paraId="78F4EC24">
            <w:pPr>
              <w:pStyle w:val="12"/>
            </w:pPr>
            <w:r>
              <w:rPr>
                <w:rFonts w:hint="eastAsia"/>
              </w:rPr>
              <w:t>环境监管对象协同一个库-生态环境信用评价-排污单位信用评价指标管理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4A259DDB">
            <w:pPr>
              <w:pStyle w:val="12"/>
            </w:pPr>
            <w:r>
              <w:rPr>
                <w:rFonts w:hint="eastAsia"/>
              </w:rPr>
              <w:t>根据《上海市生态环境信用评价管理办法》（沪环规〔2024〕18号），建立环境管理、违法情况、社会责任这三大一级指标，进一步细化为13项二级指标和37项三级指标，专门为不同类型的单位量身定制了不同的评分规则表，实现了评价规则的差异化和精准化。</w:t>
            </w:r>
          </w:p>
        </w:tc>
      </w:tr>
      <w:tr w14:paraId="456BAE0C">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6C04E64A">
            <w:pPr>
              <w:pStyle w:val="12"/>
            </w:pPr>
            <w:r>
              <w:rPr>
                <w:rFonts w:hint="eastAsia"/>
              </w:rPr>
              <w:t>6</w:t>
            </w:r>
          </w:p>
        </w:tc>
        <w:tc>
          <w:tcPr>
            <w:tcW w:w="2286" w:type="dxa"/>
            <w:tcBorders>
              <w:top w:val="single" w:color="000000" w:sz="4" w:space="0"/>
              <w:left w:val="single" w:color="000000" w:sz="4" w:space="0"/>
              <w:bottom w:val="single" w:color="000000" w:sz="4" w:space="0"/>
              <w:right w:val="single" w:color="000000" w:sz="4" w:space="0"/>
            </w:tcBorders>
            <w:vAlign w:val="center"/>
          </w:tcPr>
          <w:p w14:paraId="12872926">
            <w:pPr>
              <w:pStyle w:val="12"/>
            </w:pPr>
            <w:r>
              <w:rPr>
                <w:rFonts w:hint="eastAsia"/>
              </w:rPr>
              <w:t>环境监管对象协同一个库-生态环境信用评价-排污单位信用评价数据采集</w:t>
            </w:r>
          </w:p>
        </w:tc>
        <w:tc>
          <w:tcPr>
            <w:tcW w:w="5686" w:type="dxa"/>
            <w:tcBorders>
              <w:top w:val="single" w:color="000000" w:sz="4" w:space="0"/>
              <w:left w:val="single" w:color="000000" w:sz="4" w:space="0"/>
              <w:bottom w:val="single" w:color="000000" w:sz="4" w:space="0"/>
              <w:right w:val="single" w:color="000000" w:sz="4" w:space="0"/>
            </w:tcBorders>
            <w:vAlign w:val="center"/>
          </w:tcPr>
          <w:p w14:paraId="6B8E00D6">
            <w:pPr>
              <w:pStyle w:val="12"/>
            </w:pPr>
            <w:r>
              <w:rPr>
                <w:rFonts w:hint="eastAsia"/>
              </w:rPr>
              <w:t>与固定污染源监管系统、环境监测社会化服务监管系统进行对接，自动接入涵盖排污许可证状态、污染源编码、监测数据、执法记录等在内的核心评价基础数据，搭建功能完善的指标数据管理模块，支持基于自动归集的数据清单进行灵活的手动管理，配备自动校验机制，最终确立参与生态环境分级分类评价的企业名单，为评价工作的顺利开展奠定基础。</w:t>
            </w:r>
          </w:p>
        </w:tc>
      </w:tr>
      <w:tr w14:paraId="47E5C7F2">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2733CD3A">
            <w:pPr>
              <w:pStyle w:val="12"/>
            </w:pPr>
            <w:r>
              <w:rPr>
                <w:rFonts w:hint="eastAsia"/>
              </w:rPr>
              <w:t>7</w:t>
            </w:r>
          </w:p>
        </w:tc>
        <w:tc>
          <w:tcPr>
            <w:tcW w:w="2286" w:type="dxa"/>
            <w:tcBorders>
              <w:top w:val="single" w:color="000000" w:sz="4" w:space="0"/>
              <w:left w:val="single" w:color="000000" w:sz="4" w:space="0"/>
              <w:bottom w:val="single" w:color="000000" w:sz="4" w:space="0"/>
              <w:right w:val="single" w:color="000000" w:sz="4" w:space="0"/>
            </w:tcBorders>
            <w:vAlign w:val="center"/>
          </w:tcPr>
          <w:p w14:paraId="18229077">
            <w:pPr>
              <w:pStyle w:val="12"/>
            </w:pPr>
            <w:r>
              <w:rPr>
                <w:rFonts w:hint="eastAsia"/>
              </w:rPr>
              <w:t>环境监管对象协同一个库-生态环境信用评价-信用评价任务启动</w:t>
            </w:r>
          </w:p>
        </w:tc>
        <w:tc>
          <w:tcPr>
            <w:tcW w:w="5686" w:type="dxa"/>
            <w:tcBorders>
              <w:top w:val="single" w:color="000000" w:sz="4" w:space="0"/>
              <w:left w:val="single" w:color="000000" w:sz="4" w:space="0"/>
              <w:bottom w:val="single" w:color="000000" w:sz="4" w:space="0"/>
              <w:right w:val="single" w:color="000000" w:sz="4" w:space="0"/>
            </w:tcBorders>
            <w:vAlign w:val="center"/>
          </w:tcPr>
          <w:p w14:paraId="193879F2">
            <w:pPr>
              <w:pStyle w:val="12"/>
            </w:pPr>
            <w:r>
              <w:rPr>
                <w:rFonts w:hint="eastAsia"/>
              </w:rPr>
              <w:t>按照上海市生态环境主管部门每年确定的企业名单，从固定污染源信息库中自动精准载入对应的固定污染源企业，利用数据匹配与筛选算法，生成详细的参评企业名单，并将名单下发至相关部门进行核定，确保名单的准确性和完整性。实现年份、单位数量、评价结果情况的统计。</w:t>
            </w:r>
          </w:p>
        </w:tc>
      </w:tr>
      <w:tr w14:paraId="726F4B29">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05C50AE0">
            <w:pPr>
              <w:pStyle w:val="12"/>
            </w:pPr>
            <w:r>
              <w:rPr>
                <w:rFonts w:hint="eastAsia"/>
              </w:rPr>
              <w:t>8</w:t>
            </w:r>
          </w:p>
        </w:tc>
        <w:tc>
          <w:tcPr>
            <w:tcW w:w="2286" w:type="dxa"/>
            <w:tcBorders>
              <w:top w:val="single" w:color="000000" w:sz="4" w:space="0"/>
              <w:left w:val="single" w:color="000000" w:sz="4" w:space="0"/>
              <w:bottom w:val="single" w:color="000000" w:sz="4" w:space="0"/>
              <w:right w:val="single" w:color="000000" w:sz="4" w:space="0"/>
            </w:tcBorders>
            <w:vAlign w:val="center"/>
          </w:tcPr>
          <w:p w14:paraId="5C5B8AAA">
            <w:pPr>
              <w:pStyle w:val="12"/>
            </w:pPr>
            <w:r>
              <w:rPr>
                <w:rFonts w:hint="eastAsia"/>
              </w:rPr>
              <w:t>环境监管对象协同一个库-生态环境信用评价-信用评价资料辅助</w:t>
            </w:r>
          </w:p>
        </w:tc>
        <w:tc>
          <w:tcPr>
            <w:tcW w:w="5686" w:type="dxa"/>
            <w:tcBorders>
              <w:top w:val="single" w:color="000000" w:sz="4" w:space="0"/>
              <w:left w:val="single" w:color="000000" w:sz="4" w:space="0"/>
              <w:bottom w:val="single" w:color="000000" w:sz="4" w:space="0"/>
              <w:right w:val="single" w:color="000000" w:sz="4" w:space="0"/>
            </w:tcBorders>
            <w:vAlign w:val="center"/>
          </w:tcPr>
          <w:p w14:paraId="5E0D72D8">
            <w:pPr>
              <w:pStyle w:val="12"/>
            </w:pPr>
            <w:r>
              <w:rPr>
                <w:rFonts w:hint="eastAsia"/>
              </w:rPr>
              <w:t>根据企业端收集的材料以及平台汇集的数据，包括单位投诉举报信息、诚信记录清空、从业单位设施设备信息等，作为每个指标的资料辅助判断基础，根据评价指标评分规则库对每一项评价指标进行逐个分析。</w:t>
            </w:r>
          </w:p>
        </w:tc>
      </w:tr>
      <w:tr w14:paraId="1DF9CAE0">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064DADB9">
            <w:pPr>
              <w:pStyle w:val="12"/>
            </w:pPr>
            <w:r>
              <w:rPr>
                <w:rFonts w:hint="eastAsia"/>
              </w:rPr>
              <w:t>9</w:t>
            </w:r>
          </w:p>
        </w:tc>
        <w:tc>
          <w:tcPr>
            <w:tcW w:w="2286" w:type="dxa"/>
            <w:tcBorders>
              <w:top w:val="single" w:color="000000" w:sz="4" w:space="0"/>
              <w:left w:val="single" w:color="000000" w:sz="4" w:space="0"/>
              <w:bottom w:val="single" w:color="000000" w:sz="4" w:space="0"/>
              <w:right w:val="single" w:color="000000" w:sz="4" w:space="0"/>
            </w:tcBorders>
            <w:vAlign w:val="center"/>
          </w:tcPr>
          <w:p w14:paraId="46A4227C">
            <w:pPr>
              <w:pStyle w:val="12"/>
            </w:pPr>
            <w:r>
              <w:rPr>
                <w:rFonts w:hint="eastAsia"/>
              </w:rPr>
              <w:t>环境监管对象协同一个库-生态环境信用评价-信用评价指标计算</w:t>
            </w:r>
          </w:p>
        </w:tc>
        <w:tc>
          <w:tcPr>
            <w:tcW w:w="5686" w:type="dxa"/>
            <w:tcBorders>
              <w:top w:val="single" w:color="000000" w:sz="4" w:space="0"/>
              <w:left w:val="single" w:color="000000" w:sz="4" w:space="0"/>
              <w:bottom w:val="single" w:color="000000" w:sz="4" w:space="0"/>
              <w:right w:val="single" w:color="000000" w:sz="4" w:space="0"/>
            </w:tcBorders>
            <w:vAlign w:val="center"/>
          </w:tcPr>
          <w:p w14:paraId="243A930D">
            <w:pPr>
              <w:pStyle w:val="12"/>
            </w:pPr>
            <w:r>
              <w:rPr>
                <w:rFonts w:hint="eastAsia"/>
              </w:rPr>
              <w:t>系统深度融合了各项评价指标对应的计分规则和分类规则。每一项指标都明确了具体的评价内容和计分方式，确保评价的全面性和准确性。对于符合要求的表现给予相应的得分，对于存在问题则按照规则进行扣分，通过对各项指标得分和扣分分值的综合计算，系统需快速、自动地生成企业的初评等级。</w:t>
            </w:r>
          </w:p>
        </w:tc>
      </w:tr>
      <w:tr w14:paraId="652AEC53">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16D5F48D">
            <w:pPr>
              <w:pStyle w:val="12"/>
            </w:pPr>
            <w:r>
              <w:rPr>
                <w:rFonts w:hint="eastAsia"/>
              </w:rPr>
              <w:t>10</w:t>
            </w:r>
          </w:p>
        </w:tc>
        <w:tc>
          <w:tcPr>
            <w:tcW w:w="2286" w:type="dxa"/>
            <w:tcBorders>
              <w:top w:val="single" w:color="000000" w:sz="4" w:space="0"/>
              <w:left w:val="single" w:color="000000" w:sz="4" w:space="0"/>
              <w:bottom w:val="single" w:color="000000" w:sz="4" w:space="0"/>
              <w:right w:val="single" w:color="000000" w:sz="4" w:space="0"/>
            </w:tcBorders>
            <w:vAlign w:val="center"/>
          </w:tcPr>
          <w:p w14:paraId="63103E53">
            <w:pPr>
              <w:pStyle w:val="12"/>
            </w:pPr>
            <w:r>
              <w:rPr>
                <w:rFonts w:hint="eastAsia"/>
              </w:rPr>
              <w:t>环境监管对象协同一个库-生态环境信用评价-信用评价结果核实更新</w:t>
            </w:r>
          </w:p>
        </w:tc>
        <w:tc>
          <w:tcPr>
            <w:tcW w:w="5686" w:type="dxa"/>
            <w:tcBorders>
              <w:top w:val="single" w:color="000000" w:sz="4" w:space="0"/>
              <w:left w:val="single" w:color="000000" w:sz="4" w:space="0"/>
              <w:bottom w:val="single" w:color="000000" w:sz="4" w:space="0"/>
              <w:right w:val="single" w:color="000000" w:sz="4" w:space="0"/>
            </w:tcBorders>
            <w:vAlign w:val="center"/>
          </w:tcPr>
          <w:p w14:paraId="7D6980A9">
            <w:pPr>
              <w:pStyle w:val="12"/>
            </w:pPr>
            <w:r>
              <w:rPr>
                <w:rFonts w:hint="eastAsia"/>
              </w:rPr>
              <w:t>在自动生成初评等级后，提供人工校核与确认功能，专业的审核人员发现存在数据不准确、评价规则应用不当等问题，在系统中编辑修改信用分类结果，并记录更正操作，对发布结果更新，确保分级结果能够真实反映企业的实际情况。</w:t>
            </w:r>
          </w:p>
        </w:tc>
      </w:tr>
      <w:tr w14:paraId="2F4563D7">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554F6D24">
            <w:pPr>
              <w:pStyle w:val="12"/>
            </w:pPr>
            <w:r>
              <w:rPr>
                <w:rFonts w:hint="eastAsia"/>
              </w:rPr>
              <w:t>11</w:t>
            </w:r>
          </w:p>
        </w:tc>
        <w:tc>
          <w:tcPr>
            <w:tcW w:w="2286" w:type="dxa"/>
            <w:tcBorders>
              <w:top w:val="single" w:color="000000" w:sz="4" w:space="0"/>
              <w:left w:val="single" w:color="000000" w:sz="4" w:space="0"/>
              <w:bottom w:val="single" w:color="000000" w:sz="4" w:space="0"/>
              <w:right w:val="single" w:color="000000" w:sz="4" w:space="0"/>
            </w:tcBorders>
            <w:vAlign w:val="center"/>
          </w:tcPr>
          <w:p w14:paraId="3F6A799F">
            <w:pPr>
              <w:pStyle w:val="12"/>
            </w:pPr>
            <w:r>
              <w:rPr>
                <w:rFonts w:hint="eastAsia"/>
              </w:rPr>
              <w:t>环境监管对象协同一个库-生态环境信用评价-信用评价结果公示</w:t>
            </w:r>
          </w:p>
        </w:tc>
        <w:tc>
          <w:tcPr>
            <w:tcW w:w="5686" w:type="dxa"/>
            <w:tcBorders>
              <w:top w:val="single" w:color="000000" w:sz="4" w:space="0"/>
              <w:left w:val="single" w:color="000000" w:sz="4" w:space="0"/>
              <w:bottom w:val="single" w:color="000000" w:sz="4" w:space="0"/>
              <w:right w:val="single" w:color="000000" w:sz="4" w:space="0"/>
            </w:tcBorders>
            <w:vAlign w:val="center"/>
          </w:tcPr>
          <w:p w14:paraId="03F5CD56">
            <w:pPr>
              <w:pStyle w:val="12"/>
            </w:pPr>
            <w:r>
              <w:rPr>
                <w:rFonts w:hint="eastAsia"/>
              </w:rPr>
              <w:t>初步评价等级形成后，在一网通办自动推送初评结果，建设初评公示信息的实时推送与查询功能，确保企业在公示期内能够及时查看自身初评等级及相关评价依据。在最终评价结果形成后，在一网通办自动推送年度评价最终结果。</w:t>
            </w:r>
          </w:p>
        </w:tc>
      </w:tr>
      <w:tr w14:paraId="4A76B30D">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2132B679">
            <w:pPr>
              <w:pStyle w:val="12"/>
            </w:pPr>
            <w:r>
              <w:rPr>
                <w:rFonts w:hint="eastAsia"/>
              </w:rPr>
              <w:t>12</w:t>
            </w:r>
          </w:p>
        </w:tc>
        <w:tc>
          <w:tcPr>
            <w:tcW w:w="2286" w:type="dxa"/>
            <w:tcBorders>
              <w:top w:val="single" w:color="000000" w:sz="4" w:space="0"/>
              <w:left w:val="single" w:color="000000" w:sz="4" w:space="0"/>
              <w:bottom w:val="single" w:color="000000" w:sz="4" w:space="0"/>
              <w:right w:val="single" w:color="000000" w:sz="4" w:space="0"/>
            </w:tcBorders>
            <w:vAlign w:val="center"/>
          </w:tcPr>
          <w:p w14:paraId="1DB8861D">
            <w:pPr>
              <w:pStyle w:val="12"/>
            </w:pPr>
            <w:r>
              <w:rPr>
                <w:rFonts w:hint="eastAsia"/>
              </w:rPr>
              <w:t>环境监管对象协同一个库-生态环境信用评价-信用评价结果查询服务</w:t>
            </w:r>
          </w:p>
        </w:tc>
        <w:tc>
          <w:tcPr>
            <w:tcW w:w="5686" w:type="dxa"/>
            <w:tcBorders>
              <w:top w:val="single" w:color="000000" w:sz="4" w:space="0"/>
              <w:left w:val="single" w:color="000000" w:sz="4" w:space="0"/>
              <w:bottom w:val="single" w:color="000000" w:sz="4" w:space="0"/>
              <w:right w:val="single" w:color="000000" w:sz="4" w:space="0"/>
            </w:tcBorders>
            <w:vAlign w:val="center"/>
          </w:tcPr>
          <w:p w14:paraId="2DA881A8">
            <w:pPr>
              <w:pStyle w:val="12"/>
            </w:pPr>
            <w:r>
              <w:rPr>
                <w:rFonts w:hint="eastAsia"/>
              </w:rPr>
              <w:t>根据初评公示和异议处理环节，形成排污单位分级分类评价结果。在管理端与一网通办进行评分结果公示和统计。通过同环比、六边形分析等统计展示形式，形成企业环境分级分类综合画像。按区域统计评价完成率、异议处理时效等指标进行各区考核统计，反映各区域对评价工作的重视程度和执行效率，保障企业的合法权益和评价结果的公正性。</w:t>
            </w:r>
          </w:p>
        </w:tc>
      </w:tr>
      <w:tr w14:paraId="56F10DE5">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656DCE81">
            <w:pPr>
              <w:pStyle w:val="12"/>
            </w:pPr>
            <w:r>
              <w:rPr>
                <w:rFonts w:hint="eastAsia"/>
              </w:rPr>
              <w:t>13</w:t>
            </w:r>
          </w:p>
        </w:tc>
        <w:tc>
          <w:tcPr>
            <w:tcW w:w="2286" w:type="dxa"/>
            <w:tcBorders>
              <w:top w:val="single" w:color="000000" w:sz="4" w:space="0"/>
              <w:left w:val="single" w:color="000000" w:sz="4" w:space="0"/>
              <w:bottom w:val="single" w:color="000000" w:sz="4" w:space="0"/>
              <w:right w:val="single" w:color="000000" w:sz="4" w:space="0"/>
            </w:tcBorders>
            <w:vAlign w:val="center"/>
          </w:tcPr>
          <w:p w14:paraId="73D5DEEC">
            <w:pPr>
              <w:pStyle w:val="12"/>
            </w:pPr>
            <w:r>
              <w:rPr>
                <w:rFonts w:hint="eastAsia"/>
              </w:rPr>
              <w:t>环境监管对象协同一个库-生态环境信用评价-信用企业异议管理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612B54C0">
            <w:pPr>
              <w:pStyle w:val="12"/>
            </w:pPr>
            <w:r>
              <w:rPr>
                <w:rFonts w:hint="eastAsia"/>
              </w:rPr>
              <w:t>提供便捷的在线异议申请通道，支持企业上传补充证明材料，并记录提交时间以符合管理办法规定的异议处理时效要求。对于评价结果，实现自动告知功能，通过站内消息、短信等渠道通知企业最终等级评定结果，并提供详细的等级查询服务，查看当前及历史评价记录。</w:t>
            </w:r>
          </w:p>
        </w:tc>
      </w:tr>
      <w:tr w14:paraId="35005415">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3D3DE1CE">
            <w:pPr>
              <w:pStyle w:val="12"/>
            </w:pPr>
            <w:r>
              <w:rPr>
                <w:rFonts w:hint="eastAsia"/>
              </w:rPr>
              <w:t>14</w:t>
            </w:r>
          </w:p>
        </w:tc>
        <w:tc>
          <w:tcPr>
            <w:tcW w:w="2286" w:type="dxa"/>
            <w:tcBorders>
              <w:top w:val="single" w:color="000000" w:sz="4" w:space="0"/>
              <w:left w:val="single" w:color="000000" w:sz="4" w:space="0"/>
              <w:bottom w:val="single" w:color="000000" w:sz="4" w:space="0"/>
              <w:right w:val="single" w:color="000000" w:sz="4" w:space="0"/>
            </w:tcBorders>
            <w:vAlign w:val="center"/>
          </w:tcPr>
          <w:p w14:paraId="28040327">
            <w:pPr>
              <w:pStyle w:val="12"/>
            </w:pPr>
            <w:r>
              <w:rPr>
                <w:rFonts w:hint="eastAsia"/>
              </w:rPr>
              <w:t>环境监管对象协同一个库-与市综合执法平台对接</w:t>
            </w:r>
          </w:p>
        </w:tc>
        <w:tc>
          <w:tcPr>
            <w:tcW w:w="5686" w:type="dxa"/>
            <w:tcBorders>
              <w:top w:val="single" w:color="000000" w:sz="4" w:space="0"/>
              <w:left w:val="single" w:color="000000" w:sz="4" w:space="0"/>
              <w:bottom w:val="single" w:color="000000" w:sz="4" w:space="0"/>
              <w:right w:val="single" w:color="000000" w:sz="4" w:space="0"/>
            </w:tcBorders>
            <w:vAlign w:val="center"/>
          </w:tcPr>
          <w:p w14:paraId="21994354">
            <w:pPr>
              <w:pStyle w:val="12"/>
            </w:pPr>
            <w:r>
              <w:rPr>
                <w:rFonts w:hint="eastAsia"/>
              </w:rPr>
              <w:t>根据市综合执法平台涉企行政检查对象管理要求和数据数据规范，完成生态环境局涉企检查对象数据的对接开发，保障数据的动态更新。</w:t>
            </w:r>
          </w:p>
        </w:tc>
      </w:tr>
      <w:tr w14:paraId="39DC0F29">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525019CA">
            <w:pPr>
              <w:pStyle w:val="12"/>
            </w:pPr>
            <w:r>
              <w:rPr>
                <w:rFonts w:hint="eastAsia"/>
              </w:rPr>
              <w:t>15</w:t>
            </w:r>
          </w:p>
        </w:tc>
        <w:tc>
          <w:tcPr>
            <w:tcW w:w="2286" w:type="dxa"/>
            <w:tcBorders>
              <w:top w:val="single" w:color="000000" w:sz="4" w:space="0"/>
              <w:left w:val="single" w:color="000000" w:sz="4" w:space="0"/>
              <w:bottom w:val="single" w:color="000000" w:sz="4" w:space="0"/>
              <w:right w:val="single" w:color="000000" w:sz="4" w:space="0"/>
            </w:tcBorders>
            <w:vAlign w:val="center"/>
          </w:tcPr>
          <w:p w14:paraId="088BCDBF">
            <w:pPr>
              <w:pStyle w:val="12"/>
            </w:pPr>
            <w:r>
              <w:rPr>
                <w:rFonts w:hint="eastAsia"/>
              </w:rPr>
              <w:t>环境任务协同一中心-任务标准化管理-统一任务分类与编码</w:t>
            </w:r>
          </w:p>
        </w:tc>
        <w:tc>
          <w:tcPr>
            <w:tcW w:w="5686" w:type="dxa"/>
            <w:tcBorders>
              <w:top w:val="single" w:color="000000" w:sz="4" w:space="0"/>
              <w:left w:val="single" w:color="000000" w:sz="4" w:space="0"/>
              <w:bottom w:val="single" w:color="000000" w:sz="4" w:space="0"/>
              <w:right w:val="single" w:color="000000" w:sz="4" w:space="0"/>
            </w:tcBorders>
            <w:vAlign w:val="center"/>
          </w:tcPr>
          <w:p w14:paraId="1B6DEDB7">
            <w:pPr>
              <w:pStyle w:val="12"/>
            </w:pPr>
            <w:r>
              <w:rPr>
                <w:rFonts w:hint="eastAsia"/>
              </w:rPr>
              <w:t>构建覆盖内设机构与直属单位的任务分类体系。按任务发起来源、监管领域、类型、实施层级、协同模式、紧急程度等维度划分，实现任务命名、分类、编码统一，涵盖主动类、大气环境、监测类等多种类别，并提供分类目录和编码维护功能，明确不同紧急任务响应时限。</w:t>
            </w:r>
          </w:p>
        </w:tc>
      </w:tr>
      <w:tr w14:paraId="2A69665E">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67DCADD0">
            <w:pPr>
              <w:pStyle w:val="12"/>
            </w:pPr>
            <w:r>
              <w:rPr>
                <w:rFonts w:hint="eastAsia"/>
              </w:rPr>
              <w:t>16</w:t>
            </w:r>
          </w:p>
        </w:tc>
        <w:tc>
          <w:tcPr>
            <w:tcW w:w="2286" w:type="dxa"/>
            <w:tcBorders>
              <w:top w:val="single" w:color="000000" w:sz="4" w:space="0"/>
              <w:left w:val="single" w:color="000000" w:sz="4" w:space="0"/>
              <w:bottom w:val="single" w:color="000000" w:sz="4" w:space="0"/>
              <w:right w:val="single" w:color="000000" w:sz="4" w:space="0"/>
            </w:tcBorders>
            <w:vAlign w:val="center"/>
          </w:tcPr>
          <w:p w14:paraId="405A72A8">
            <w:pPr>
              <w:pStyle w:val="12"/>
            </w:pPr>
            <w:r>
              <w:rPr>
                <w:rFonts w:hint="eastAsia"/>
              </w:rPr>
              <w:t>环境任务协同一中心-任务标准化管理-统一任务流程管理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159B5DBD">
            <w:pPr>
              <w:pStyle w:val="12"/>
            </w:pPr>
            <w:r>
              <w:rPr>
                <w:rFonts w:hint="eastAsia"/>
              </w:rPr>
              <w:t>系统支持任务流程预先配置，可依据任务分类，如监测类、执法类等，灵活设定任务流转节点，明确各节点对应的处置部门，确保任务从发起、执行到结束的每个环节都有清晰指引。通过提前规划任务流程，保障各类任务规范、高效流转，避免出现流程混乱、责任不清等问题，实现任务全过程管理的标准化与智能化。</w:t>
            </w:r>
          </w:p>
        </w:tc>
      </w:tr>
      <w:tr w14:paraId="2F1FCEB4">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59FC0CC0">
            <w:pPr>
              <w:pStyle w:val="12"/>
            </w:pPr>
            <w:r>
              <w:rPr>
                <w:rFonts w:hint="eastAsia"/>
              </w:rPr>
              <w:t>17</w:t>
            </w:r>
          </w:p>
        </w:tc>
        <w:tc>
          <w:tcPr>
            <w:tcW w:w="2286" w:type="dxa"/>
            <w:tcBorders>
              <w:top w:val="single" w:color="000000" w:sz="4" w:space="0"/>
              <w:left w:val="single" w:color="000000" w:sz="4" w:space="0"/>
              <w:bottom w:val="single" w:color="000000" w:sz="4" w:space="0"/>
              <w:right w:val="single" w:color="000000" w:sz="4" w:space="0"/>
            </w:tcBorders>
            <w:vAlign w:val="center"/>
          </w:tcPr>
          <w:p w14:paraId="3924F942">
            <w:pPr>
              <w:pStyle w:val="12"/>
            </w:pPr>
            <w:r>
              <w:rPr>
                <w:rFonts w:hint="eastAsia"/>
              </w:rPr>
              <w:t>环境任务协同一中心-任务标准化管理-任务全过程闭环管理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0C1DCD7E">
            <w:pPr>
              <w:pStyle w:val="12"/>
            </w:pPr>
            <w:r>
              <w:rPr>
                <w:rFonts w:hint="eastAsia"/>
              </w:rPr>
              <w:t>通过多环节协同实现任务高效管控。在任务发起阶段，支持PC端/移动端手动创建及系统按规则自动触发，灵活适应不同需求；任务受理时，提供自动派单与手动指派两种方式，结合辖区、人员负荷等精准分配，接收人可移动端确认或驳回；任务处置环节，详情页集成监管对象档案等信息，便于现场数据采集与问题记录；任务跟踪实时呈现进度并支持多级流转；任务闭环以现场复核与数据比对确保整改到位，整改达标后自动结案，形成完整管理链条。</w:t>
            </w:r>
          </w:p>
        </w:tc>
      </w:tr>
      <w:tr w14:paraId="5DB06321">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290B581D">
            <w:pPr>
              <w:pStyle w:val="12"/>
            </w:pPr>
            <w:r>
              <w:rPr>
                <w:rFonts w:hint="eastAsia"/>
              </w:rPr>
              <w:t>18</w:t>
            </w:r>
          </w:p>
        </w:tc>
        <w:tc>
          <w:tcPr>
            <w:tcW w:w="2286" w:type="dxa"/>
            <w:tcBorders>
              <w:top w:val="single" w:color="000000" w:sz="4" w:space="0"/>
              <w:left w:val="single" w:color="000000" w:sz="4" w:space="0"/>
              <w:bottom w:val="single" w:color="000000" w:sz="4" w:space="0"/>
              <w:right w:val="single" w:color="000000" w:sz="4" w:space="0"/>
            </w:tcBorders>
            <w:vAlign w:val="center"/>
          </w:tcPr>
          <w:p w14:paraId="59CF0BB5">
            <w:pPr>
              <w:pStyle w:val="12"/>
            </w:pPr>
            <w:r>
              <w:rPr>
                <w:rFonts w:hint="eastAsia"/>
              </w:rPr>
              <w:t>环境任务协同一中心-主动监管任务-计划监测任务管理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571862F6">
            <w:pPr>
              <w:pStyle w:val="12"/>
            </w:pPr>
            <w:r>
              <w:rPr>
                <w:rFonts w:hint="eastAsia"/>
              </w:rPr>
              <w:t>通过梳理各业务部门的计划性监测任务需求，建立通用的监测任务表单，可设定监测对象、监测指标、监测周期、采样点位置等详细参数，生成标准化监测任务清单。通过任务分配模块，将任务精准派发给对应市、区两级监测部门或人员。</w:t>
            </w:r>
          </w:p>
        </w:tc>
      </w:tr>
      <w:tr w14:paraId="7B61D79B">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09C295EB">
            <w:pPr>
              <w:pStyle w:val="12"/>
            </w:pPr>
            <w:r>
              <w:rPr>
                <w:rFonts w:hint="eastAsia"/>
              </w:rPr>
              <w:t>19</w:t>
            </w:r>
          </w:p>
        </w:tc>
        <w:tc>
          <w:tcPr>
            <w:tcW w:w="2286" w:type="dxa"/>
            <w:tcBorders>
              <w:top w:val="single" w:color="000000" w:sz="4" w:space="0"/>
              <w:left w:val="single" w:color="000000" w:sz="4" w:space="0"/>
              <w:bottom w:val="single" w:color="000000" w:sz="4" w:space="0"/>
              <w:right w:val="single" w:color="000000" w:sz="4" w:space="0"/>
            </w:tcBorders>
            <w:vAlign w:val="center"/>
          </w:tcPr>
          <w:p w14:paraId="5D4FE3F4">
            <w:pPr>
              <w:pStyle w:val="12"/>
            </w:pPr>
            <w:r>
              <w:rPr>
                <w:rFonts w:hint="eastAsia"/>
              </w:rPr>
              <w:t>环境任务协同一中心-主动监管任务-计划执法任务管理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27266836">
            <w:pPr>
              <w:pStyle w:val="12"/>
            </w:pPr>
            <w:r>
              <w:rPr>
                <w:rFonts w:hint="eastAsia"/>
              </w:rPr>
              <w:t>通过梳理各业务部门的计划性执法检查任务需求，建立通用的执法任务表单，明确执法对象、执法依据、检查内容与频次等详细参数，生成标准化执法任务清单。通过任务分配模块，将任务精准派发给对应市、区两级执法部门或人员。</w:t>
            </w:r>
          </w:p>
        </w:tc>
      </w:tr>
      <w:tr w14:paraId="707D4F9D">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0D50D80F">
            <w:pPr>
              <w:pStyle w:val="12"/>
            </w:pPr>
            <w:r>
              <w:rPr>
                <w:rFonts w:hint="eastAsia"/>
              </w:rPr>
              <w:t>20</w:t>
            </w:r>
          </w:p>
        </w:tc>
        <w:tc>
          <w:tcPr>
            <w:tcW w:w="2286" w:type="dxa"/>
            <w:tcBorders>
              <w:top w:val="single" w:color="000000" w:sz="4" w:space="0"/>
              <w:left w:val="single" w:color="000000" w:sz="4" w:space="0"/>
              <w:bottom w:val="single" w:color="000000" w:sz="4" w:space="0"/>
              <w:right w:val="single" w:color="000000" w:sz="4" w:space="0"/>
            </w:tcBorders>
            <w:vAlign w:val="center"/>
          </w:tcPr>
          <w:p w14:paraId="195FD554">
            <w:pPr>
              <w:pStyle w:val="12"/>
            </w:pPr>
            <w:r>
              <w:rPr>
                <w:rFonts w:hint="eastAsia"/>
              </w:rPr>
              <w:t>环境任务协同一中心-主动监管任务-计划监管任务管理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5F6A801F">
            <w:pPr>
              <w:pStyle w:val="12"/>
            </w:pPr>
            <w:r>
              <w:rPr>
                <w:rFonts w:hint="eastAsia"/>
              </w:rPr>
              <w:t>通过梳理各业务部门的计划性监管任务需求，建立通用的监管任务表单，可设定任务名称、对象、要求、期限等等详细参数，生成标准化监管任务清单。通过任务分配模块，将任务精准派发给对应市、区两级监管部门或人员。</w:t>
            </w:r>
          </w:p>
        </w:tc>
      </w:tr>
      <w:tr w14:paraId="041E07DA">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2723A9AA">
            <w:pPr>
              <w:pStyle w:val="12"/>
            </w:pPr>
            <w:r>
              <w:rPr>
                <w:rFonts w:hint="eastAsia"/>
              </w:rPr>
              <w:t>21</w:t>
            </w:r>
          </w:p>
        </w:tc>
        <w:tc>
          <w:tcPr>
            <w:tcW w:w="2286" w:type="dxa"/>
            <w:tcBorders>
              <w:top w:val="single" w:color="000000" w:sz="4" w:space="0"/>
              <w:left w:val="single" w:color="000000" w:sz="4" w:space="0"/>
              <w:bottom w:val="single" w:color="000000" w:sz="4" w:space="0"/>
              <w:right w:val="single" w:color="000000" w:sz="4" w:space="0"/>
            </w:tcBorders>
            <w:vAlign w:val="center"/>
          </w:tcPr>
          <w:p w14:paraId="713E46F2">
            <w:pPr>
              <w:pStyle w:val="12"/>
            </w:pPr>
            <w:r>
              <w:rPr>
                <w:rFonts w:hint="eastAsia"/>
              </w:rPr>
              <w:t>环境任务协同一中心-智能触发任务-固定源疑似超标人为断电行为分析（废水、废气）</w:t>
            </w:r>
          </w:p>
        </w:tc>
        <w:tc>
          <w:tcPr>
            <w:tcW w:w="5686" w:type="dxa"/>
            <w:tcBorders>
              <w:top w:val="single" w:color="000000" w:sz="4" w:space="0"/>
              <w:left w:val="single" w:color="000000" w:sz="4" w:space="0"/>
              <w:bottom w:val="single" w:color="000000" w:sz="4" w:space="0"/>
              <w:right w:val="single" w:color="000000" w:sz="4" w:space="0"/>
            </w:tcBorders>
            <w:vAlign w:val="center"/>
          </w:tcPr>
          <w:p w14:paraId="61994DCD">
            <w:pPr>
              <w:pStyle w:val="12"/>
            </w:pPr>
            <w:r>
              <w:rPr>
                <w:rFonts w:hint="eastAsia"/>
              </w:rPr>
              <w:t>基于废气、废水排放监测数据（废气分钟数据、废气标记数据、废水分钟数据、废水标记数据），检测企业是否在污染物超标后人为断电，通过制造监测设备异常，掩盖真实排放浓度。通过分析超标时段与断电特征的时序关联性，识别违规断电行为，确保监测数据完整性。</w:t>
            </w:r>
          </w:p>
        </w:tc>
      </w:tr>
      <w:tr w14:paraId="636C199C">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52445D25">
            <w:pPr>
              <w:pStyle w:val="12"/>
            </w:pPr>
            <w:r>
              <w:rPr>
                <w:rFonts w:hint="eastAsia"/>
              </w:rPr>
              <w:t>22</w:t>
            </w:r>
          </w:p>
        </w:tc>
        <w:tc>
          <w:tcPr>
            <w:tcW w:w="2286" w:type="dxa"/>
            <w:tcBorders>
              <w:top w:val="single" w:color="000000" w:sz="4" w:space="0"/>
              <w:left w:val="single" w:color="000000" w:sz="4" w:space="0"/>
              <w:bottom w:val="single" w:color="000000" w:sz="4" w:space="0"/>
              <w:right w:val="single" w:color="000000" w:sz="4" w:space="0"/>
            </w:tcBorders>
            <w:vAlign w:val="center"/>
          </w:tcPr>
          <w:p w14:paraId="34D3D87D">
            <w:pPr>
              <w:pStyle w:val="12"/>
            </w:pPr>
            <w:r>
              <w:rPr>
                <w:rFonts w:hint="eastAsia"/>
              </w:rPr>
              <w:t>环境任务协同一中心-智能触发任务-固定源疑似设置量程上限行为分析（废水、废气）</w:t>
            </w:r>
          </w:p>
        </w:tc>
        <w:tc>
          <w:tcPr>
            <w:tcW w:w="5686" w:type="dxa"/>
            <w:tcBorders>
              <w:top w:val="single" w:color="000000" w:sz="4" w:space="0"/>
              <w:left w:val="single" w:color="000000" w:sz="4" w:space="0"/>
              <w:bottom w:val="single" w:color="000000" w:sz="4" w:space="0"/>
              <w:right w:val="single" w:color="000000" w:sz="4" w:space="0"/>
            </w:tcBorders>
            <w:vAlign w:val="center"/>
          </w:tcPr>
          <w:p w14:paraId="357A6DAF">
            <w:pPr>
              <w:pStyle w:val="12"/>
            </w:pPr>
            <w:r>
              <w:rPr>
                <w:rFonts w:hint="eastAsia"/>
              </w:rPr>
              <w:t>基于废气、废水排放监测数据（废气分钟数据、废水分钟数据），检测企业是否通过人为设置量程上限，将污染物监测数据最大值限制在排放标准以下，掩盖真实排放浓度。通过分析废水、废气分钟数据中污染物最大值的分布特征，识别异常量程设置行为，确保监测数据真实性。</w:t>
            </w:r>
          </w:p>
        </w:tc>
      </w:tr>
      <w:tr w14:paraId="4A806382">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64361D1B">
            <w:pPr>
              <w:pStyle w:val="12"/>
            </w:pPr>
            <w:r>
              <w:rPr>
                <w:rFonts w:hint="eastAsia"/>
              </w:rPr>
              <w:t>23</w:t>
            </w:r>
          </w:p>
        </w:tc>
        <w:tc>
          <w:tcPr>
            <w:tcW w:w="2286" w:type="dxa"/>
            <w:tcBorders>
              <w:top w:val="single" w:color="000000" w:sz="4" w:space="0"/>
              <w:left w:val="single" w:color="000000" w:sz="4" w:space="0"/>
              <w:bottom w:val="single" w:color="000000" w:sz="4" w:space="0"/>
              <w:right w:val="single" w:color="000000" w:sz="4" w:space="0"/>
            </w:tcBorders>
            <w:vAlign w:val="center"/>
          </w:tcPr>
          <w:p w14:paraId="105B406F">
            <w:pPr>
              <w:pStyle w:val="12"/>
            </w:pPr>
            <w:r>
              <w:rPr>
                <w:rFonts w:hint="eastAsia"/>
              </w:rPr>
              <w:t>环境任务协同一中心-智能触发任务-固定源疑似虚假标记-停运行为分析（废水、废气）</w:t>
            </w:r>
          </w:p>
        </w:tc>
        <w:tc>
          <w:tcPr>
            <w:tcW w:w="5686" w:type="dxa"/>
            <w:tcBorders>
              <w:top w:val="single" w:color="000000" w:sz="4" w:space="0"/>
              <w:left w:val="single" w:color="000000" w:sz="4" w:space="0"/>
              <w:bottom w:val="single" w:color="000000" w:sz="4" w:space="0"/>
              <w:right w:val="single" w:color="000000" w:sz="4" w:space="0"/>
            </w:tcBorders>
            <w:vAlign w:val="center"/>
          </w:tcPr>
          <w:p w14:paraId="6666FBCF">
            <w:pPr>
              <w:pStyle w:val="12"/>
            </w:pPr>
            <w:r>
              <w:rPr>
                <w:rFonts w:hint="eastAsia"/>
              </w:rPr>
              <w:t>基于废气、废水排放监测数据（废气小时数据、废气标记数据、废水小时数据、废水标记数据），检测企业是否通过虚假标记“停产/停排”或“停产/停炉”状态，掩盖实际生产期间的污染物超标排放行为。通过分析废水/废气数据中标记时段与真实生产活动的矛盾性，识别违规标记行为，确保监测数据真实反映企业运行状态。</w:t>
            </w:r>
          </w:p>
        </w:tc>
      </w:tr>
      <w:tr w14:paraId="08B00E79">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401E628D">
            <w:pPr>
              <w:pStyle w:val="12"/>
            </w:pPr>
            <w:r>
              <w:rPr>
                <w:rFonts w:hint="eastAsia"/>
              </w:rPr>
              <w:t>24</w:t>
            </w:r>
          </w:p>
        </w:tc>
        <w:tc>
          <w:tcPr>
            <w:tcW w:w="2286" w:type="dxa"/>
            <w:tcBorders>
              <w:top w:val="single" w:color="000000" w:sz="4" w:space="0"/>
              <w:left w:val="single" w:color="000000" w:sz="4" w:space="0"/>
              <w:bottom w:val="single" w:color="000000" w:sz="4" w:space="0"/>
              <w:right w:val="single" w:color="000000" w:sz="4" w:space="0"/>
            </w:tcBorders>
            <w:vAlign w:val="center"/>
          </w:tcPr>
          <w:p w14:paraId="40CFFC09">
            <w:pPr>
              <w:pStyle w:val="12"/>
            </w:pPr>
            <w:r>
              <w:rPr>
                <w:rFonts w:hint="eastAsia"/>
              </w:rPr>
              <w:t>环境任务协同一中心-智能触发任务-固定源疑似虚假标记-校准校验行为分析（废水、废气）</w:t>
            </w:r>
          </w:p>
        </w:tc>
        <w:tc>
          <w:tcPr>
            <w:tcW w:w="5686" w:type="dxa"/>
            <w:tcBorders>
              <w:top w:val="single" w:color="000000" w:sz="4" w:space="0"/>
              <w:left w:val="single" w:color="000000" w:sz="4" w:space="0"/>
              <w:bottom w:val="single" w:color="000000" w:sz="4" w:space="0"/>
              <w:right w:val="single" w:color="000000" w:sz="4" w:space="0"/>
            </w:tcBorders>
            <w:vAlign w:val="center"/>
          </w:tcPr>
          <w:p w14:paraId="223D1B51">
            <w:pPr>
              <w:pStyle w:val="12"/>
            </w:pPr>
            <w:r>
              <w:rPr>
                <w:rFonts w:hint="eastAsia"/>
              </w:rPr>
              <w:t>基于废气、废水排放监测数据（废气分钟数据、废气标记数据、废水小时数据、废水标记数据），检测企业是否通过虚假标记“校准校验”状态（如“维护/校准/质控样比对”），掩盖污染物超标或数据异常，伪造合规运维记录。通过分析标记时段内污染物浓度、氧含量数据的异常变化趋势，识别非正常校准行为，确保监测数据真实性。</w:t>
            </w:r>
          </w:p>
        </w:tc>
      </w:tr>
      <w:tr w14:paraId="331E9430">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2B6A5884">
            <w:pPr>
              <w:pStyle w:val="12"/>
            </w:pPr>
            <w:r>
              <w:rPr>
                <w:rFonts w:hint="eastAsia"/>
              </w:rPr>
              <w:t>25</w:t>
            </w:r>
          </w:p>
        </w:tc>
        <w:tc>
          <w:tcPr>
            <w:tcW w:w="2286" w:type="dxa"/>
            <w:tcBorders>
              <w:top w:val="single" w:color="000000" w:sz="4" w:space="0"/>
              <w:left w:val="single" w:color="000000" w:sz="4" w:space="0"/>
              <w:bottom w:val="single" w:color="000000" w:sz="4" w:space="0"/>
              <w:right w:val="single" w:color="000000" w:sz="4" w:space="0"/>
            </w:tcBorders>
            <w:vAlign w:val="center"/>
          </w:tcPr>
          <w:p w14:paraId="111DE524">
            <w:pPr>
              <w:pStyle w:val="12"/>
            </w:pPr>
            <w:r>
              <w:rPr>
                <w:rFonts w:hint="eastAsia"/>
              </w:rPr>
              <w:t>环境任务协同一中心-智能触发任务-固定源疑似虚假标记-故障行为分析（废水）</w:t>
            </w:r>
          </w:p>
        </w:tc>
        <w:tc>
          <w:tcPr>
            <w:tcW w:w="5686" w:type="dxa"/>
            <w:tcBorders>
              <w:top w:val="single" w:color="000000" w:sz="4" w:space="0"/>
              <w:left w:val="single" w:color="000000" w:sz="4" w:space="0"/>
              <w:bottom w:val="single" w:color="000000" w:sz="4" w:space="0"/>
              <w:right w:val="single" w:color="000000" w:sz="4" w:space="0"/>
            </w:tcBorders>
            <w:vAlign w:val="center"/>
          </w:tcPr>
          <w:p w14:paraId="00BBB87F">
            <w:pPr>
              <w:pStyle w:val="12"/>
            </w:pPr>
            <w:r>
              <w:rPr>
                <w:rFonts w:hint="eastAsia"/>
              </w:rPr>
              <w:t>基于废水排放监测数据（废水小时数据、废水标记数据），检测企业是否通过虚假标记“故障/事故”状态，掩盖废水排放中污染物超标或数据异常的真实情况。通过分析故障标记时段内污染物浓度、流量及数据波动特征，识别非正常故障标记行为，确保监测数据真实反映设备运行状态。</w:t>
            </w:r>
          </w:p>
        </w:tc>
      </w:tr>
      <w:tr w14:paraId="3FDB8595">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3665AF9B">
            <w:pPr>
              <w:pStyle w:val="12"/>
            </w:pPr>
            <w:r>
              <w:rPr>
                <w:rFonts w:hint="eastAsia"/>
              </w:rPr>
              <w:t>26</w:t>
            </w:r>
          </w:p>
        </w:tc>
        <w:tc>
          <w:tcPr>
            <w:tcW w:w="2286" w:type="dxa"/>
            <w:tcBorders>
              <w:top w:val="single" w:color="000000" w:sz="4" w:space="0"/>
              <w:left w:val="single" w:color="000000" w:sz="4" w:space="0"/>
              <w:bottom w:val="single" w:color="000000" w:sz="4" w:space="0"/>
              <w:right w:val="single" w:color="000000" w:sz="4" w:space="0"/>
            </w:tcBorders>
            <w:vAlign w:val="center"/>
          </w:tcPr>
          <w:p w14:paraId="66171622">
            <w:pPr>
              <w:pStyle w:val="12"/>
            </w:pPr>
            <w:r>
              <w:rPr>
                <w:rFonts w:hint="eastAsia"/>
              </w:rPr>
              <w:t>环境任务协同一中心-智能触发任务-固定源疑似篡改基准氧含量行为分析（废气-通用行业）</w:t>
            </w:r>
          </w:p>
        </w:tc>
        <w:tc>
          <w:tcPr>
            <w:tcW w:w="5686" w:type="dxa"/>
            <w:tcBorders>
              <w:top w:val="single" w:color="000000" w:sz="4" w:space="0"/>
              <w:left w:val="single" w:color="000000" w:sz="4" w:space="0"/>
              <w:bottom w:val="single" w:color="000000" w:sz="4" w:space="0"/>
              <w:right w:val="single" w:color="000000" w:sz="4" w:space="0"/>
            </w:tcBorders>
            <w:vAlign w:val="center"/>
          </w:tcPr>
          <w:p w14:paraId="456A8DA1">
            <w:pPr>
              <w:pStyle w:val="12"/>
            </w:pPr>
            <w:r>
              <w:rPr>
                <w:rFonts w:hint="eastAsia"/>
              </w:rPr>
              <w:t>基于废气排放监测数据（废气小时数据、废气标记数据），通过多维度数据关联分析与动态阈值判定，识别通用行业企业通过篡改基准氧含量参数控制污染物折算浓度的异常行为。模型基于废气监测数据的时间序列特征，结合行业排放标准建立动态规则引擎，实现异常数据标记、时序关联分析和低值异常过滤三重验证机制。</w:t>
            </w:r>
          </w:p>
        </w:tc>
      </w:tr>
      <w:tr w14:paraId="3B9BAA2A">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43AC8B65">
            <w:pPr>
              <w:pStyle w:val="12"/>
            </w:pPr>
            <w:r>
              <w:rPr>
                <w:rFonts w:hint="eastAsia"/>
              </w:rPr>
              <w:t>27</w:t>
            </w:r>
          </w:p>
        </w:tc>
        <w:tc>
          <w:tcPr>
            <w:tcW w:w="2286" w:type="dxa"/>
            <w:tcBorders>
              <w:top w:val="single" w:color="000000" w:sz="4" w:space="0"/>
              <w:left w:val="single" w:color="000000" w:sz="4" w:space="0"/>
              <w:bottom w:val="single" w:color="000000" w:sz="4" w:space="0"/>
              <w:right w:val="single" w:color="000000" w:sz="4" w:space="0"/>
            </w:tcBorders>
            <w:vAlign w:val="center"/>
          </w:tcPr>
          <w:p w14:paraId="4651C7AF">
            <w:pPr>
              <w:pStyle w:val="12"/>
            </w:pPr>
            <w:r>
              <w:rPr>
                <w:rFonts w:hint="eastAsia"/>
              </w:rPr>
              <w:t>环境任务协同一中心-智能触发任务-固定源疑似篡改基准氧含量行为分析（废气-建材行业）</w:t>
            </w:r>
          </w:p>
        </w:tc>
        <w:tc>
          <w:tcPr>
            <w:tcW w:w="5686" w:type="dxa"/>
            <w:tcBorders>
              <w:top w:val="single" w:color="000000" w:sz="4" w:space="0"/>
              <w:left w:val="single" w:color="000000" w:sz="4" w:space="0"/>
              <w:bottom w:val="single" w:color="000000" w:sz="4" w:space="0"/>
              <w:right w:val="single" w:color="000000" w:sz="4" w:space="0"/>
            </w:tcBorders>
            <w:vAlign w:val="center"/>
          </w:tcPr>
          <w:p w14:paraId="20E187AC">
            <w:pPr>
              <w:pStyle w:val="12"/>
            </w:pPr>
            <w:r>
              <w:rPr>
                <w:rFonts w:hint="eastAsia"/>
              </w:rPr>
              <w:t>基于废气排放监测数据（废气小时数据、废气标记数据），针对建材行业高基准氧含量（通常设定为18%）的特性，检测企业是否通过篡改基准氧含量人为降低污染物（SO₂、NOx）折算浓度，规避排放超标风险。通过反推理论基准氧含量、识别氧含量与污染物的异常关联性，构建行业专用规则，解决通用模型对建材行业适配性不足的问题。</w:t>
            </w:r>
          </w:p>
        </w:tc>
      </w:tr>
      <w:tr w14:paraId="6AE05DAC">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2E8687EF">
            <w:pPr>
              <w:pStyle w:val="12"/>
            </w:pPr>
            <w:r>
              <w:rPr>
                <w:rFonts w:hint="eastAsia"/>
              </w:rPr>
              <w:t>28</w:t>
            </w:r>
          </w:p>
        </w:tc>
        <w:tc>
          <w:tcPr>
            <w:tcW w:w="2286" w:type="dxa"/>
            <w:tcBorders>
              <w:top w:val="single" w:color="000000" w:sz="4" w:space="0"/>
              <w:left w:val="single" w:color="000000" w:sz="4" w:space="0"/>
              <w:bottom w:val="single" w:color="000000" w:sz="4" w:space="0"/>
              <w:right w:val="single" w:color="000000" w:sz="4" w:space="0"/>
            </w:tcBorders>
            <w:vAlign w:val="center"/>
          </w:tcPr>
          <w:p w14:paraId="780B5046">
            <w:pPr>
              <w:pStyle w:val="12"/>
            </w:pPr>
            <w:r>
              <w:rPr>
                <w:rFonts w:hint="eastAsia"/>
              </w:rPr>
              <w:t>环境任务协同一中心-智能触发任务-固定源疑似超标拔管行为分析（废气）</w:t>
            </w:r>
          </w:p>
        </w:tc>
        <w:tc>
          <w:tcPr>
            <w:tcW w:w="5686" w:type="dxa"/>
            <w:tcBorders>
              <w:top w:val="single" w:color="000000" w:sz="4" w:space="0"/>
              <w:left w:val="single" w:color="000000" w:sz="4" w:space="0"/>
              <w:bottom w:val="single" w:color="000000" w:sz="4" w:space="0"/>
              <w:right w:val="single" w:color="000000" w:sz="4" w:space="0"/>
            </w:tcBorders>
            <w:vAlign w:val="center"/>
          </w:tcPr>
          <w:p w14:paraId="0268C287">
            <w:pPr>
              <w:pStyle w:val="12"/>
            </w:pPr>
            <w:r>
              <w:rPr>
                <w:rFonts w:hint="eastAsia"/>
              </w:rPr>
              <w:t>基于废气排放监测数据（废气分钟数据、标记数据），检测企业是否在污染物排放临近或超过限值时，通过非法拔除监测探头（拔管）导致数据异常或缺失，从而掩盖真实排放情况。通过分析污染物浓度突变、设备状态异常与超标时段的关联性，识别异常拔管行为，确保监测数据完整性。</w:t>
            </w:r>
          </w:p>
        </w:tc>
      </w:tr>
      <w:tr w14:paraId="78409C00">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102A62F0">
            <w:pPr>
              <w:pStyle w:val="12"/>
            </w:pPr>
            <w:r>
              <w:rPr>
                <w:rFonts w:hint="eastAsia"/>
              </w:rPr>
              <w:t>29</w:t>
            </w:r>
          </w:p>
        </w:tc>
        <w:tc>
          <w:tcPr>
            <w:tcW w:w="2286" w:type="dxa"/>
            <w:tcBorders>
              <w:top w:val="single" w:color="000000" w:sz="4" w:space="0"/>
              <w:left w:val="single" w:color="000000" w:sz="4" w:space="0"/>
              <w:bottom w:val="single" w:color="000000" w:sz="4" w:space="0"/>
              <w:right w:val="single" w:color="000000" w:sz="4" w:space="0"/>
            </w:tcBorders>
            <w:vAlign w:val="center"/>
          </w:tcPr>
          <w:p w14:paraId="1A6A1431">
            <w:pPr>
              <w:pStyle w:val="12"/>
            </w:pPr>
            <w:r>
              <w:rPr>
                <w:rFonts w:hint="eastAsia"/>
              </w:rPr>
              <w:t>环境任务协同一中心-智能触发任务-固定源疑似做样周期设置不规范行为分析（废水）</w:t>
            </w:r>
          </w:p>
        </w:tc>
        <w:tc>
          <w:tcPr>
            <w:tcW w:w="5686" w:type="dxa"/>
            <w:tcBorders>
              <w:top w:val="single" w:color="000000" w:sz="4" w:space="0"/>
              <w:left w:val="single" w:color="000000" w:sz="4" w:space="0"/>
              <w:bottom w:val="single" w:color="000000" w:sz="4" w:space="0"/>
              <w:right w:val="single" w:color="000000" w:sz="4" w:space="0"/>
            </w:tcBorders>
            <w:vAlign w:val="center"/>
          </w:tcPr>
          <w:p w14:paraId="2DDAFEE8">
            <w:pPr>
              <w:pStyle w:val="12"/>
            </w:pPr>
            <w:r>
              <w:rPr>
                <w:rFonts w:hint="eastAsia"/>
              </w:rPr>
              <w:t>基于废水排放监测数据（分钟数据），检测废水排放监测中分析仪做样周期设置是否符合规范要求，识别企业是否通过人为缩短或延长做样周期干扰数据采集完整性。通过分析COD分钟数据的变化规律、做样时间点分布及生产状态，判定设备采样频率的合规性，确保监测数据真实反映排放情况。</w:t>
            </w:r>
          </w:p>
        </w:tc>
      </w:tr>
      <w:tr w14:paraId="2EC2A5C0">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142013A6">
            <w:pPr>
              <w:pStyle w:val="12"/>
            </w:pPr>
            <w:r>
              <w:rPr>
                <w:rFonts w:hint="eastAsia"/>
              </w:rPr>
              <w:t>30</w:t>
            </w:r>
          </w:p>
        </w:tc>
        <w:tc>
          <w:tcPr>
            <w:tcW w:w="2286" w:type="dxa"/>
            <w:tcBorders>
              <w:top w:val="single" w:color="000000" w:sz="4" w:space="0"/>
              <w:left w:val="single" w:color="000000" w:sz="4" w:space="0"/>
              <w:bottom w:val="single" w:color="000000" w:sz="4" w:space="0"/>
              <w:right w:val="single" w:color="000000" w:sz="4" w:space="0"/>
            </w:tcBorders>
            <w:vAlign w:val="center"/>
          </w:tcPr>
          <w:p w14:paraId="069AB2FD">
            <w:pPr>
              <w:pStyle w:val="12"/>
            </w:pPr>
            <w:r>
              <w:rPr>
                <w:rFonts w:hint="eastAsia"/>
              </w:rPr>
              <w:t>环境任务协同一中心-智能触发任务-固定源疑似避开做样周期排水行为分析（废水）</w:t>
            </w:r>
          </w:p>
        </w:tc>
        <w:tc>
          <w:tcPr>
            <w:tcW w:w="5686" w:type="dxa"/>
            <w:tcBorders>
              <w:top w:val="single" w:color="000000" w:sz="4" w:space="0"/>
              <w:left w:val="single" w:color="000000" w:sz="4" w:space="0"/>
              <w:bottom w:val="single" w:color="000000" w:sz="4" w:space="0"/>
              <w:right w:val="single" w:color="000000" w:sz="4" w:space="0"/>
            </w:tcBorders>
            <w:vAlign w:val="center"/>
          </w:tcPr>
          <w:p w14:paraId="5F168EE6">
            <w:pPr>
              <w:pStyle w:val="12"/>
            </w:pPr>
            <w:r>
              <w:rPr>
                <w:rFonts w:hint="eastAsia"/>
              </w:rPr>
              <w:t>基于废水排放监测数据（分钟数据），通过多维度规则模型识别企业可能存在的避开做样周期排水行为。模型通过分析流量、COD（化学需氧量）分钟数据与设备做样时间的关系，识别异常排水模式，确保监测数据真实反映实际排放情况。</w:t>
            </w:r>
          </w:p>
        </w:tc>
      </w:tr>
      <w:tr w14:paraId="47D61E78">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4D2DD8CD">
            <w:pPr>
              <w:pStyle w:val="12"/>
            </w:pPr>
            <w:r>
              <w:rPr>
                <w:rFonts w:hint="eastAsia"/>
              </w:rPr>
              <w:t>31</w:t>
            </w:r>
          </w:p>
        </w:tc>
        <w:tc>
          <w:tcPr>
            <w:tcW w:w="2286" w:type="dxa"/>
            <w:tcBorders>
              <w:top w:val="single" w:color="000000" w:sz="4" w:space="0"/>
              <w:left w:val="single" w:color="000000" w:sz="4" w:space="0"/>
              <w:bottom w:val="single" w:color="000000" w:sz="4" w:space="0"/>
              <w:right w:val="single" w:color="000000" w:sz="4" w:space="0"/>
            </w:tcBorders>
            <w:vAlign w:val="center"/>
          </w:tcPr>
          <w:p w14:paraId="11E55933">
            <w:pPr>
              <w:pStyle w:val="12"/>
            </w:pPr>
            <w:r>
              <w:rPr>
                <w:rFonts w:hint="eastAsia"/>
              </w:rPr>
              <w:t>环境任务协同一中心-智能触发任务-固定源疑似废水稀释排放行为分析（废水）</w:t>
            </w:r>
          </w:p>
        </w:tc>
        <w:tc>
          <w:tcPr>
            <w:tcW w:w="5686" w:type="dxa"/>
            <w:tcBorders>
              <w:top w:val="single" w:color="000000" w:sz="4" w:space="0"/>
              <w:left w:val="single" w:color="000000" w:sz="4" w:space="0"/>
              <w:bottom w:val="single" w:color="000000" w:sz="4" w:space="0"/>
              <w:right w:val="single" w:color="000000" w:sz="4" w:space="0"/>
            </w:tcBorders>
            <w:vAlign w:val="center"/>
          </w:tcPr>
          <w:p w14:paraId="73D5A58A">
            <w:pPr>
              <w:pStyle w:val="12"/>
            </w:pPr>
            <w:r>
              <w:rPr>
                <w:rFonts w:hint="eastAsia"/>
              </w:rPr>
              <w:t>基于废水排放监测数据（小时数据、标记数据），通过多维度规则模型识别企业可能存在的稀释排放行为（如向生产废水中添加其他水样以降低污染物浓度），模型结合时间序列分析、数据陡降特征及流量关联规则，精准定位异常排放点位。</w:t>
            </w:r>
          </w:p>
        </w:tc>
      </w:tr>
      <w:tr w14:paraId="36E47E2A">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00270D48">
            <w:pPr>
              <w:pStyle w:val="12"/>
            </w:pPr>
            <w:r>
              <w:rPr>
                <w:rFonts w:hint="eastAsia"/>
              </w:rPr>
              <w:t>32</w:t>
            </w:r>
          </w:p>
        </w:tc>
        <w:tc>
          <w:tcPr>
            <w:tcW w:w="2286" w:type="dxa"/>
            <w:tcBorders>
              <w:top w:val="single" w:color="000000" w:sz="4" w:space="0"/>
              <w:left w:val="single" w:color="000000" w:sz="4" w:space="0"/>
              <w:bottom w:val="single" w:color="000000" w:sz="4" w:space="0"/>
              <w:right w:val="single" w:color="000000" w:sz="4" w:space="0"/>
            </w:tcBorders>
            <w:vAlign w:val="center"/>
          </w:tcPr>
          <w:p w14:paraId="7DD68393">
            <w:pPr>
              <w:pStyle w:val="12"/>
            </w:pPr>
            <w:r>
              <w:rPr>
                <w:rFonts w:hint="eastAsia"/>
              </w:rPr>
              <w:t>环境任务协同一中心-智能触发任务-固定源疑似超标替换样品行为分析（废水）</w:t>
            </w:r>
          </w:p>
        </w:tc>
        <w:tc>
          <w:tcPr>
            <w:tcW w:w="5686" w:type="dxa"/>
            <w:tcBorders>
              <w:top w:val="single" w:color="000000" w:sz="4" w:space="0"/>
              <w:left w:val="single" w:color="000000" w:sz="4" w:space="0"/>
              <w:bottom w:val="single" w:color="000000" w:sz="4" w:space="0"/>
              <w:right w:val="single" w:color="000000" w:sz="4" w:space="0"/>
            </w:tcBorders>
            <w:vAlign w:val="center"/>
          </w:tcPr>
          <w:p w14:paraId="206633AE">
            <w:pPr>
              <w:pStyle w:val="12"/>
            </w:pPr>
            <w:r>
              <w:rPr>
                <w:rFonts w:hint="eastAsia"/>
              </w:rPr>
              <w:t>基于废水监测数据（小时数据），结合污染物浓度时序变化、分析仪数据异常及流量稳定性特征，识别企业通过替换超标样品（如临时切换至低浓度水样）掩盖真实排污的行为。</w:t>
            </w:r>
          </w:p>
        </w:tc>
      </w:tr>
      <w:tr w14:paraId="5211B43B">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34478253">
            <w:pPr>
              <w:pStyle w:val="12"/>
            </w:pPr>
            <w:r>
              <w:rPr>
                <w:rFonts w:hint="eastAsia"/>
              </w:rPr>
              <w:t>33</w:t>
            </w:r>
          </w:p>
        </w:tc>
        <w:tc>
          <w:tcPr>
            <w:tcW w:w="2286" w:type="dxa"/>
            <w:tcBorders>
              <w:top w:val="single" w:color="000000" w:sz="4" w:space="0"/>
              <w:left w:val="single" w:color="000000" w:sz="4" w:space="0"/>
              <w:bottom w:val="single" w:color="000000" w:sz="4" w:space="0"/>
              <w:right w:val="single" w:color="000000" w:sz="4" w:space="0"/>
            </w:tcBorders>
            <w:vAlign w:val="center"/>
          </w:tcPr>
          <w:p w14:paraId="05F71B55">
            <w:pPr>
              <w:pStyle w:val="12"/>
            </w:pPr>
            <w:r>
              <w:rPr>
                <w:rFonts w:hint="eastAsia"/>
              </w:rPr>
              <w:t>环境任务协同一中心-智能触发任务-加油站在线监测异常分析</w:t>
            </w:r>
          </w:p>
        </w:tc>
        <w:tc>
          <w:tcPr>
            <w:tcW w:w="5686" w:type="dxa"/>
            <w:tcBorders>
              <w:top w:val="single" w:color="000000" w:sz="4" w:space="0"/>
              <w:left w:val="single" w:color="000000" w:sz="4" w:space="0"/>
              <w:bottom w:val="single" w:color="000000" w:sz="4" w:space="0"/>
              <w:right w:val="single" w:color="000000" w:sz="4" w:space="0"/>
            </w:tcBorders>
            <w:vAlign w:val="center"/>
          </w:tcPr>
          <w:p w14:paraId="6D9E2D6D">
            <w:pPr>
              <w:pStyle w:val="12"/>
            </w:pPr>
            <w:r>
              <w:rPr>
                <w:rFonts w:hint="eastAsia"/>
              </w:rPr>
              <w:t>依据清洁空气行动计划及排放标准，针对加油站油气回收在线数据设置预报警机制。按气液比异常程度、持续时长及卸油区油气浓度等5类触发条件（如气液比连续预警5-7天、浓度超标等），匹配差异化处置流程。攻坚期任务经区级校核后抄送总平台闭环处理，非攻坚期支持移动端直接处置与数据回看，超期未结自动提醒，强化VOCs无组织排放监管。</w:t>
            </w:r>
          </w:p>
        </w:tc>
      </w:tr>
      <w:tr w14:paraId="17081606">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73540259">
            <w:pPr>
              <w:pStyle w:val="12"/>
            </w:pPr>
            <w:r>
              <w:rPr>
                <w:rFonts w:hint="eastAsia"/>
              </w:rPr>
              <w:t>34</w:t>
            </w:r>
          </w:p>
        </w:tc>
        <w:tc>
          <w:tcPr>
            <w:tcW w:w="2286" w:type="dxa"/>
            <w:tcBorders>
              <w:top w:val="single" w:color="000000" w:sz="4" w:space="0"/>
              <w:left w:val="single" w:color="000000" w:sz="4" w:space="0"/>
              <w:bottom w:val="single" w:color="000000" w:sz="4" w:space="0"/>
              <w:right w:val="single" w:color="000000" w:sz="4" w:space="0"/>
            </w:tcBorders>
            <w:vAlign w:val="center"/>
          </w:tcPr>
          <w:p w14:paraId="38B73EF9">
            <w:pPr>
              <w:pStyle w:val="12"/>
            </w:pPr>
            <w:r>
              <w:rPr>
                <w:rFonts w:hint="eastAsia"/>
              </w:rPr>
              <w:t>环境任务协同一中心-检查码对接-单部门检查-检查任务创建</w:t>
            </w:r>
          </w:p>
        </w:tc>
        <w:tc>
          <w:tcPr>
            <w:tcW w:w="5686" w:type="dxa"/>
            <w:tcBorders>
              <w:top w:val="single" w:color="000000" w:sz="4" w:space="0"/>
              <w:left w:val="single" w:color="000000" w:sz="4" w:space="0"/>
              <w:bottom w:val="single" w:color="000000" w:sz="4" w:space="0"/>
              <w:right w:val="single" w:color="000000" w:sz="4" w:space="0"/>
            </w:tcBorders>
            <w:vAlign w:val="center"/>
          </w:tcPr>
          <w:p w14:paraId="41587C12">
            <w:pPr>
              <w:pStyle w:val="12"/>
            </w:pPr>
            <w:r>
              <w:rPr>
                <w:rFonts w:hint="eastAsia"/>
              </w:rPr>
              <w:t>按照“检查码”数据格式和规范要求，提供单部门的计划检查任务创建，创建计划检查时，系统自动关联计划编码以确保任务与计划的精准匹配；同时提供标准化信息录入界面，补充检查码信息，形成检查码基础数据，为后续申请检查码生成提供结构化支撑。</w:t>
            </w:r>
          </w:p>
        </w:tc>
      </w:tr>
      <w:tr w14:paraId="00B3D11F">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6EBDF62F">
            <w:pPr>
              <w:pStyle w:val="12"/>
            </w:pPr>
            <w:r>
              <w:rPr>
                <w:rFonts w:hint="eastAsia"/>
              </w:rPr>
              <w:t>35</w:t>
            </w:r>
          </w:p>
        </w:tc>
        <w:tc>
          <w:tcPr>
            <w:tcW w:w="2286" w:type="dxa"/>
            <w:tcBorders>
              <w:top w:val="single" w:color="000000" w:sz="4" w:space="0"/>
              <w:left w:val="single" w:color="000000" w:sz="4" w:space="0"/>
              <w:bottom w:val="single" w:color="000000" w:sz="4" w:space="0"/>
              <w:right w:val="single" w:color="000000" w:sz="4" w:space="0"/>
            </w:tcBorders>
            <w:vAlign w:val="center"/>
          </w:tcPr>
          <w:p w14:paraId="6E5A8A21">
            <w:pPr>
              <w:pStyle w:val="12"/>
            </w:pPr>
            <w:r>
              <w:rPr>
                <w:rFonts w:hint="eastAsia"/>
              </w:rPr>
              <w:t>环境任务协同一中心-检查码对接-单部门检查-检查码申请与对接</w:t>
            </w:r>
          </w:p>
        </w:tc>
        <w:tc>
          <w:tcPr>
            <w:tcW w:w="5686" w:type="dxa"/>
            <w:tcBorders>
              <w:top w:val="single" w:color="000000" w:sz="4" w:space="0"/>
              <w:left w:val="single" w:color="000000" w:sz="4" w:space="0"/>
              <w:bottom w:val="single" w:color="000000" w:sz="4" w:space="0"/>
              <w:right w:val="single" w:color="000000" w:sz="4" w:space="0"/>
            </w:tcBorders>
            <w:vAlign w:val="center"/>
          </w:tcPr>
          <w:p w14:paraId="606E6306">
            <w:pPr>
              <w:pStyle w:val="12"/>
            </w:pPr>
            <w:r>
              <w:rPr>
                <w:rFonts w:hint="eastAsia"/>
              </w:rPr>
              <w:t>完成检查任务创建后，通过系统提交检查码申请，将检查任务信息将对接至司法局综合行政执法系统，由司法局综合行政执法系统生成检查码后，同步反馈至本系统，能够对生成的检查码进行查看。</w:t>
            </w:r>
          </w:p>
        </w:tc>
      </w:tr>
      <w:tr w14:paraId="6978EC4D">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6F864693">
            <w:pPr>
              <w:pStyle w:val="12"/>
            </w:pPr>
            <w:r>
              <w:rPr>
                <w:rFonts w:hint="eastAsia"/>
              </w:rPr>
              <w:t>36</w:t>
            </w:r>
          </w:p>
        </w:tc>
        <w:tc>
          <w:tcPr>
            <w:tcW w:w="2286" w:type="dxa"/>
            <w:tcBorders>
              <w:top w:val="single" w:color="000000" w:sz="4" w:space="0"/>
              <w:left w:val="single" w:color="000000" w:sz="4" w:space="0"/>
              <w:bottom w:val="single" w:color="000000" w:sz="4" w:space="0"/>
              <w:right w:val="single" w:color="000000" w:sz="4" w:space="0"/>
            </w:tcBorders>
            <w:vAlign w:val="center"/>
          </w:tcPr>
          <w:p w14:paraId="63CA62E1">
            <w:pPr>
              <w:pStyle w:val="12"/>
            </w:pPr>
            <w:r>
              <w:rPr>
                <w:rFonts w:hint="eastAsia"/>
              </w:rPr>
              <w:t>环境任务协同一中心-检查码对接-单部门检查-实施检查</w:t>
            </w:r>
          </w:p>
        </w:tc>
        <w:tc>
          <w:tcPr>
            <w:tcW w:w="5686" w:type="dxa"/>
            <w:tcBorders>
              <w:top w:val="single" w:color="000000" w:sz="4" w:space="0"/>
              <w:left w:val="single" w:color="000000" w:sz="4" w:space="0"/>
              <w:bottom w:val="single" w:color="000000" w:sz="4" w:space="0"/>
              <w:right w:val="single" w:color="000000" w:sz="4" w:space="0"/>
            </w:tcBorders>
            <w:vAlign w:val="center"/>
          </w:tcPr>
          <w:p w14:paraId="33554606">
            <w:pPr>
              <w:pStyle w:val="12"/>
            </w:pPr>
            <w:r>
              <w:rPr>
                <w:rFonts w:hint="eastAsia"/>
              </w:rPr>
              <w:t>现场检查时，能够系统更新检查基本信息，并向现场人员发送检查码。实现“检查码”融合后与检查内容录入的衔接，提供发送“检查情况提示”，提供发送整改复查相关信息。</w:t>
            </w:r>
          </w:p>
        </w:tc>
      </w:tr>
      <w:tr w14:paraId="59B45DAB">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6B0B280D">
            <w:pPr>
              <w:pStyle w:val="12"/>
            </w:pPr>
            <w:r>
              <w:rPr>
                <w:rFonts w:hint="eastAsia"/>
              </w:rPr>
              <w:t>37</w:t>
            </w:r>
          </w:p>
        </w:tc>
        <w:tc>
          <w:tcPr>
            <w:tcW w:w="2286" w:type="dxa"/>
            <w:tcBorders>
              <w:top w:val="single" w:color="000000" w:sz="4" w:space="0"/>
              <w:left w:val="single" w:color="000000" w:sz="4" w:space="0"/>
              <w:bottom w:val="single" w:color="000000" w:sz="4" w:space="0"/>
              <w:right w:val="single" w:color="000000" w:sz="4" w:space="0"/>
            </w:tcBorders>
            <w:vAlign w:val="center"/>
          </w:tcPr>
          <w:p w14:paraId="73A15FFD">
            <w:pPr>
              <w:pStyle w:val="12"/>
            </w:pPr>
            <w:r>
              <w:rPr>
                <w:rFonts w:hint="eastAsia"/>
              </w:rPr>
              <w:t>环境任务协同一中心-检查码对接-创建联合检查任务-联合检查任务发起</w:t>
            </w:r>
          </w:p>
        </w:tc>
        <w:tc>
          <w:tcPr>
            <w:tcW w:w="5686" w:type="dxa"/>
            <w:tcBorders>
              <w:top w:val="single" w:color="000000" w:sz="4" w:space="0"/>
              <w:left w:val="single" w:color="000000" w:sz="4" w:space="0"/>
              <w:bottom w:val="single" w:color="000000" w:sz="4" w:space="0"/>
              <w:right w:val="single" w:color="000000" w:sz="4" w:space="0"/>
            </w:tcBorders>
            <w:vAlign w:val="center"/>
          </w:tcPr>
          <w:p w14:paraId="6587F092">
            <w:pPr>
              <w:pStyle w:val="12"/>
            </w:pPr>
            <w:r>
              <w:rPr>
                <w:rFonts w:hint="eastAsia"/>
              </w:rPr>
              <w:t>市区两级生态环境局可作为牵头部门发起联合检查任务，当所有委办单位均同意参与该联合检查的时候，任务状态会变更为“已申码”，后续要再次赋码后开展现场检查即可。</w:t>
            </w:r>
          </w:p>
        </w:tc>
      </w:tr>
      <w:tr w14:paraId="78C10B50">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7F33E312">
            <w:pPr>
              <w:pStyle w:val="12"/>
            </w:pPr>
            <w:r>
              <w:rPr>
                <w:rFonts w:hint="eastAsia"/>
              </w:rPr>
              <w:t>38</w:t>
            </w:r>
          </w:p>
        </w:tc>
        <w:tc>
          <w:tcPr>
            <w:tcW w:w="2286" w:type="dxa"/>
            <w:tcBorders>
              <w:top w:val="single" w:color="000000" w:sz="4" w:space="0"/>
              <w:left w:val="single" w:color="000000" w:sz="4" w:space="0"/>
              <w:bottom w:val="single" w:color="000000" w:sz="4" w:space="0"/>
              <w:right w:val="single" w:color="000000" w:sz="4" w:space="0"/>
            </w:tcBorders>
            <w:vAlign w:val="center"/>
          </w:tcPr>
          <w:p w14:paraId="5ED8E5FA">
            <w:pPr>
              <w:pStyle w:val="12"/>
            </w:pPr>
            <w:r>
              <w:rPr>
                <w:rFonts w:hint="eastAsia"/>
              </w:rPr>
              <w:t>环境任务协同一中心-检查码对接-创建联合检查任务-联合检查任务接收</w:t>
            </w:r>
          </w:p>
        </w:tc>
        <w:tc>
          <w:tcPr>
            <w:tcW w:w="5686" w:type="dxa"/>
            <w:tcBorders>
              <w:top w:val="single" w:color="000000" w:sz="4" w:space="0"/>
              <w:left w:val="single" w:color="000000" w:sz="4" w:space="0"/>
              <w:bottom w:val="single" w:color="000000" w:sz="4" w:space="0"/>
              <w:right w:val="single" w:color="000000" w:sz="4" w:space="0"/>
            </w:tcBorders>
            <w:vAlign w:val="center"/>
          </w:tcPr>
          <w:p w14:paraId="626CE7A1">
            <w:pPr>
              <w:pStyle w:val="12"/>
            </w:pPr>
            <w:r>
              <w:rPr>
                <w:rFonts w:hint="eastAsia"/>
              </w:rPr>
              <w:t>联合检查任务接收的功能可以接收其他主办委办局发起的联合检查任务，并派发给市区两级形成执法工单。</w:t>
            </w:r>
          </w:p>
        </w:tc>
      </w:tr>
      <w:tr w14:paraId="593BE5E1">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4603BF57">
            <w:pPr>
              <w:pStyle w:val="12"/>
            </w:pPr>
            <w:r>
              <w:rPr>
                <w:rFonts w:hint="eastAsia"/>
              </w:rPr>
              <w:t>39</w:t>
            </w:r>
          </w:p>
        </w:tc>
        <w:tc>
          <w:tcPr>
            <w:tcW w:w="2286" w:type="dxa"/>
            <w:tcBorders>
              <w:top w:val="single" w:color="000000" w:sz="4" w:space="0"/>
              <w:left w:val="single" w:color="000000" w:sz="4" w:space="0"/>
              <w:bottom w:val="single" w:color="000000" w:sz="4" w:space="0"/>
              <w:right w:val="single" w:color="000000" w:sz="4" w:space="0"/>
            </w:tcBorders>
            <w:vAlign w:val="center"/>
          </w:tcPr>
          <w:p w14:paraId="1573E283">
            <w:pPr>
              <w:pStyle w:val="12"/>
            </w:pPr>
            <w:r>
              <w:rPr>
                <w:rFonts w:hint="eastAsia"/>
              </w:rPr>
              <w:t>环境任务协同一中心-检查码对接-参与联合检查撮合-撮合单位清单获取</w:t>
            </w:r>
          </w:p>
        </w:tc>
        <w:tc>
          <w:tcPr>
            <w:tcW w:w="5686" w:type="dxa"/>
            <w:tcBorders>
              <w:top w:val="single" w:color="000000" w:sz="4" w:space="0"/>
              <w:left w:val="single" w:color="000000" w:sz="4" w:space="0"/>
              <w:bottom w:val="single" w:color="000000" w:sz="4" w:space="0"/>
              <w:right w:val="single" w:color="000000" w:sz="4" w:space="0"/>
            </w:tcBorders>
            <w:vAlign w:val="center"/>
          </w:tcPr>
          <w:p w14:paraId="5DC1AD54">
            <w:pPr>
              <w:pStyle w:val="12"/>
            </w:pPr>
            <w:r>
              <w:rPr>
                <w:rFonts w:hint="eastAsia"/>
              </w:rPr>
              <w:t>对接司法局综合行政执法系统，获取检查对象的撮合单位清单。填写检查计划时间后，系统会自动查询该企业在计划检查时间前后30天内有无其他委办单位对其进行检查并给出提示，如有系统会提示执法人员，执法人员可在联合任务列表查看所有针对当前企业的现场检查计划，对时间允许的计划，可进行选择加入共同开展现场检查。</w:t>
            </w:r>
          </w:p>
        </w:tc>
      </w:tr>
      <w:tr w14:paraId="72DA79D2">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2BAAEB5A">
            <w:pPr>
              <w:pStyle w:val="12"/>
            </w:pPr>
            <w:r>
              <w:rPr>
                <w:rFonts w:hint="eastAsia"/>
              </w:rPr>
              <w:t>40</w:t>
            </w:r>
          </w:p>
        </w:tc>
        <w:tc>
          <w:tcPr>
            <w:tcW w:w="2286" w:type="dxa"/>
            <w:tcBorders>
              <w:top w:val="single" w:color="000000" w:sz="4" w:space="0"/>
              <w:left w:val="single" w:color="000000" w:sz="4" w:space="0"/>
              <w:bottom w:val="single" w:color="000000" w:sz="4" w:space="0"/>
              <w:right w:val="single" w:color="000000" w:sz="4" w:space="0"/>
            </w:tcBorders>
            <w:vAlign w:val="center"/>
          </w:tcPr>
          <w:p w14:paraId="202B8007">
            <w:pPr>
              <w:pStyle w:val="12"/>
            </w:pPr>
            <w:r>
              <w:rPr>
                <w:rFonts w:hint="eastAsia"/>
              </w:rPr>
              <w:t>环境任务协同一中心-检查码对接-参与联合检查撮合-检查任务合并</w:t>
            </w:r>
          </w:p>
        </w:tc>
        <w:tc>
          <w:tcPr>
            <w:tcW w:w="5686" w:type="dxa"/>
            <w:tcBorders>
              <w:top w:val="single" w:color="000000" w:sz="4" w:space="0"/>
              <w:left w:val="single" w:color="000000" w:sz="4" w:space="0"/>
              <w:bottom w:val="single" w:color="000000" w:sz="4" w:space="0"/>
              <w:right w:val="single" w:color="000000" w:sz="4" w:space="0"/>
            </w:tcBorders>
            <w:vAlign w:val="center"/>
          </w:tcPr>
          <w:p w14:paraId="688ADEC0">
            <w:pPr>
              <w:pStyle w:val="12"/>
            </w:pPr>
            <w:r>
              <w:rPr>
                <w:rFonts w:hint="eastAsia"/>
              </w:rPr>
              <w:t>确认加入联合检查后，将与已生码的单部门任务合并为联合检查任务。</w:t>
            </w:r>
          </w:p>
        </w:tc>
      </w:tr>
      <w:tr w14:paraId="4A430B39">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78BD5309">
            <w:pPr>
              <w:pStyle w:val="12"/>
            </w:pPr>
            <w:r>
              <w:rPr>
                <w:rFonts w:hint="eastAsia"/>
              </w:rPr>
              <w:t>41</w:t>
            </w:r>
          </w:p>
        </w:tc>
        <w:tc>
          <w:tcPr>
            <w:tcW w:w="2286" w:type="dxa"/>
            <w:tcBorders>
              <w:top w:val="single" w:color="000000" w:sz="4" w:space="0"/>
              <w:left w:val="single" w:color="000000" w:sz="4" w:space="0"/>
              <w:bottom w:val="single" w:color="000000" w:sz="4" w:space="0"/>
              <w:right w:val="single" w:color="000000" w:sz="4" w:space="0"/>
            </w:tcBorders>
            <w:vAlign w:val="center"/>
          </w:tcPr>
          <w:p w14:paraId="33E251FF">
            <w:pPr>
              <w:pStyle w:val="12"/>
            </w:pPr>
            <w:r>
              <w:rPr>
                <w:rFonts w:hint="eastAsia"/>
              </w:rPr>
              <w:t>环境任务协同一中心-检查码对接-参与联合检查撮合-联查码信息更新</w:t>
            </w:r>
          </w:p>
        </w:tc>
        <w:tc>
          <w:tcPr>
            <w:tcW w:w="5686" w:type="dxa"/>
            <w:tcBorders>
              <w:top w:val="single" w:color="000000" w:sz="4" w:space="0"/>
              <w:left w:val="single" w:color="000000" w:sz="4" w:space="0"/>
              <w:bottom w:val="single" w:color="000000" w:sz="4" w:space="0"/>
              <w:right w:val="single" w:color="000000" w:sz="4" w:space="0"/>
            </w:tcBorders>
            <w:vAlign w:val="center"/>
          </w:tcPr>
          <w:p w14:paraId="6D966326">
            <w:pPr>
              <w:pStyle w:val="12"/>
            </w:pPr>
            <w:r>
              <w:rPr>
                <w:rFonts w:hint="eastAsia"/>
              </w:rPr>
              <w:t>加入已生码的联合任务并更新本单位信息到联合联查码中。</w:t>
            </w:r>
          </w:p>
        </w:tc>
      </w:tr>
      <w:tr w14:paraId="57A04659">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3585B523">
            <w:pPr>
              <w:pStyle w:val="12"/>
            </w:pPr>
            <w:r>
              <w:rPr>
                <w:rFonts w:hint="eastAsia"/>
              </w:rPr>
              <w:t>42</w:t>
            </w:r>
          </w:p>
        </w:tc>
        <w:tc>
          <w:tcPr>
            <w:tcW w:w="2286" w:type="dxa"/>
            <w:tcBorders>
              <w:top w:val="single" w:color="000000" w:sz="4" w:space="0"/>
              <w:left w:val="single" w:color="000000" w:sz="4" w:space="0"/>
              <w:bottom w:val="single" w:color="000000" w:sz="4" w:space="0"/>
              <w:right w:val="single" w:color="000000" w:sz="4" w:space="0"/>
            </w:tcBorders>
            <w:vAlign w:val="center"/>
          </w:tcPr>
          <w:p w14:paraId="5AB21DEA">
            <w:pPr>
              <w:pStyle w:val="12"/>
            </w:pPr>
            <w:r>
              <w:rPr>
                <w:rFonts w:hint="eastAsia"/>
              </w:rPr>
              <w:t>环境任务协同一中心-检查码对接-参与联合检查撮合-检查信息更新</w:t>
            </w:r>
          </w:p>
        </w:tc>
        <w:tc>
          <w:tcPr>
            <w:tcW w:w="5686" w:type="dxa"/>
            <w:tcBorders>
              <w:top w:val="single" w:color="000000" w:sz="4" w:space="0"/>
              <w:left w:val="single" w:color="000000" w:sz="4" w:space="0"/>
              <w:bottom w:val="single" w:color="000000" w:sz="4" w:space="0"/>
              <w:right w:val="single" w:color="000000" w:sz="4" w:space="0"/>
            </w:tcBorders>
            <w:vAlign w:val="center"/>
          </w:tcPr>
          <w:p w14:paraId="055AC7B3">
            <w:pPr>
              <w:pStyle w:val="12"/>
            </w:pPr>
            <w:r>
              <w:rPr>
                <w:rFonts w:hint="eastAsia"/>
              </w:rPr>
              <w:t>参与撮合检查后，系统将同步更新检查信息。</w:t>
            </w:r>
          </w:p>
        </w:tc>
      </w:tr>
      <w:tr w14:paraId="1EE96AEA">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6EBD6D1C">
            <w:pPr>
              <w:pStyle w:val="12"/>
            </w:pPr>
            <w:r>
              <w:rPr>
                <w:rFonts w:hint="eastAsia"/>
              </w:rPr>
              <w:t>43</w:t>
            </w:r>
          </w:p>
        </w:tc>
        <w:tc>
          <w:tcPr>
            <w:tcW w:w="2286" w:type="dxa"/>
            <w:tcBorders>
              <w:top w:val="single" w:color="000000" w:sz="4" w:space="0"/>
              <w:left w:val="single" w:color="000000" w:sz="4" w:space="0"/>
              <w:bottom w:val="single" w:color="000000" w:sz="4" w:space="0"/>
              <w:right w:val="single" w:color="000000" w:sz="4" w:space="0"/>
            </w:tcBorders>
            <w:vAlign w:val="center"/>
          </w:tcPr>
          <w:p w14:paraId="71947DF2">
            <w:pPr>
              <w:pStyle w:val="12"/>
            </w:pPr>
            <w:r>
              <w:rPr>
                <w:rFonts w:hint="eastAsia"/>
              </w:rPr>
              <w:t>环境任务协同一中心-检查码对接-“检查码”信息交互</w:t>
            </w:r>
          </w:p>
        </w:tc>
        <w:tc>
          <w:tcPr>
            <w:tcW w:w="5686" w:type="dxa"/>
            <w:tcBorders>
              <w:top w:val="single" w:color="000000" w:sz="4" w:space="0"/>
              <w:left w:val="single" w:color="000000" w:sz="4" w:space="0"/>
              <w:bottom w:val="single" w:color="000000" w:sz="4" w:space="0"/>
              <w:right w:val="single" w:color="000000" w:sz="4" w:space="0"/>
            </w:tcBorders>
            <w:vAlign w:val="center"/>
          </w:tcPr>
          <w:p w14:paraId="2DEA2D72">
            <w:pPr>
              <w:pStyle w:val="12"/>
            </w:pPr>
            <w:r>
              <w:rPr>
                <w:rFonts w:hint="eastAsia"/>
              </w:rPr>
              <w:t>“检查码” 信息交互以 “检查码” 为核心，贯穿执法全程实现数据更新同步。执法人员扫描随申办企业码录入企业信息，通过扫描或系统提供的渠道获取现场负责人信息；到达企业后点击推送激活，向企业法人告知检查安排；现场亮码确保负责人知悉检查内容；检查完成制作笔录后，将信息推送至司法局系统；检查计划有变时，未激活前可注销检查码，已激活则作作废处理并同步司法局备案 。</w:t>
            </w:r>
          </w:p>
        </w:tc>
      </w:tr>
      <w:tr w14:paraId="44FCA524">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1F9CEF83">
            <w:pPr>
              <w:pStyle w:val="12"/>
            </w:pPr>
            <w:r>
              <w:rPr>
                <w:rFonts w:hint="eastAsia"/>
              </w:rPr>
              <w:t>44</w:t>
            </w:r>
          </w:p>
        </w:tc>
        <w:tc>
          <w:tcPr>
            <w:tcW w:w="2286" w:type="dxa"/>
            <w:tcBorders>
              <w:top w:val="single" w:color="000000" w:sz="4" w:space="0"/>
              <w:left w:val="single" w:color="000000" w:sz="4" w:space="0"/>
              <w:bottom w:val="single" w:color="000000" w:sz="4" w:space="0"/>
              <w:right w:val="single" w:color="000000" w:sz="4" w:space="0"/>
            </w:tcBorders>
            <w:vAlign w:val="center"/>
          </w:tcPr>
          <w:p w14:paraId="5E5AA791">
            <w:pPr>
              <w:pStyle w:val="12"/>
            </w:pPr>
            <w:r>
              <w:rPr>
                <w:rFonts w:hint="eastAsia"/>
              </w:rPr>
              <w:t>环境任务协同一中心-生态环境行政处罚-查封扣押案件办理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61D61DE5">
            <w:pPr>
              <w:pStyle w:val="12"/>
            </w:pPr>
            <w:r>
              <w:rPr>
                <w:rFonts w:hint="eastAsia"/>
              </w:rPr>
              <w:t>系统提供查封、扣押调查取证上传的功能，通过审核审批之后，可对查封、扣押实行实施、延期以及解除等管理，系统根据查封、扣押业务流程分别设置了查封扣押实施管理、查封扣押延期管理、查封扣押解除管理。系统提供任务期限的预警提醒功能，对于将至任务办理期限的，可设置提前提醒时限，系统将在规定的期限内进行任务办理的预警。</w:t>
            </w:r>
          </w:p>
        </w:tc>
      </w:tr>
      <w:tr w14:paraId="307E88C6">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71003F3E">
            <w:pPr>
              <w:pStyle w:val="12"/>
            </w:pPr>
            <w:r>
              <w:rPr>
                <w:rFonts w:hint="eastAsia"/>
              </w:rPr>
              <w:t>45</w:t>
            </w:r>
          </w:p>
        </w:tc>
        <w:tc>
          <w:tcPr>
            <w:tcW w:w="2286" w:type="dxa"/>
            <w:tcBorders>
              <w:top w:val="single" w:color="000000" w:sz="4" w:space="0"/>
              <w:left w:val="single" w:color="000000" w:sz="4" w:space="0"/>
              <w:bottom w:val="single" w:color="000000" w:sz="4" w:space="0"/>
              <w:right w:val="single" w:color="000000" w:sz="4" w:space="0"/>
            </w:tcBorders>
            <w:vAlign w:val="center"/>
          </w:tcPr>
          <w:p w14:paraId="56B7CBE8">
            <w:pPr>
              <w:pStyle w:val="12"/>
            </w:pPr>
            <w:r>
              <w:rPr>
                <w:rFonts w:hint="eastAsia"/>
              </w:rPr>
              <w:t>环境任务协同一中心-生态环境行政处罚-按日计罚案件办理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371C2DD7">
            <w:pPr>
              <w:pStyle w:val="12"/>
            </w:pPr>
            <w:r>
              <w:rPr>
                <w:rFonts w:hint="eastAsia"/>
              </w:rPr>
              <w:t>系统提供按日连续处罚案件的立案登记、调查取证、处罚告知、处罚决定、案件撤销等功能。立案通过后，对按日连续处罚案件进一步调查取证，系统提供文档扫描件、照片等信息资料的附件上传功能。对提交的取证信息可以提交给领导进行审核，并签署审核意见。审批通过后，生成、打印按日连续处罚告知书、处罚决定书。系统提供任务期限的预警提醒功能，对于将至任务办理期限的，可设置提前提醒时限，系统将在规定的期限内进行任务办理的预警。</w:t>
            </w:r>
          </w:p>
        </w:tc>
      </w:tr>
      <w:tr w14:paraId="3AF46C1B">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270C5F00">
            <w:pPr>
              <w:pStyle w:val="12"/>
            </w:pPr>
            <w:r>
              <w:rPr>
                <w:rFonts w:hint="eastAsia"/>
              </w:rPr>
              <w:t>46</w:t>
            </w:r>
          </w:p>
        </w:tc>
        <w:tc>
          <w:tcPr>
            <w:tcW w:w="2286" w:type="dxa"/>
            <w:tcBorders>
              <w:top w:val="single" w:color="000000" w:sz="4" w:space="0"/>
              <w:left w:val="single" w:color="000000" w:sz="4" w:space="0"/>
              <w:bottom w:val="single" w:color="000000" w:sz="4" w:space="0"/>
              <w:right w:val="single" w:color="000000" w:sz="4" w:space="0"/>
            </w:tcBorders>
            <w:vAlign w:val="center"/>
          </w:tcPr>
          <w:p w14:paraId="10818E27">
            <w:pPr>
              <w:pStyle w:val="12"/>
            </w:pPr>
            <w:r>
              <w:rPr>
                <w:rFonts w:hint="eastAsia"/>
              </w:rPr>
              <w:t>环境任务协同一中心-生态环境行政处罚-限产停产案件办理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05D461C1">
            <w:pPr>
              <w:pStyle w:val="12"/>
            </w:pPr>
            <w:r>
              <w:rPr>
                <w:rFonts w:hint="eastAsia"/>
              </w:rPr>
              <w:t>系统提供限产、停产调查取证上传的功能，通过审核审批之后，可对限产、停产实行整治实施管理、整治延期、整治解除管理，系统根据限产、停产业务流程分别设置了整治实施管理、整治延期、整治解除管理。系统提供任务期限的预警提醒功能，对于将至任务办理期限的，可设置提前提醒时限，系统将在规定的期限内进行任务办理的预警。</w:t>
            </w:r>
          </w:p>
        </w:tc>
      </w:tr>
      <w:tr w14:paraId="5C5FB497">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6397037E">
            <w:pPr>
              <w:pStyle w:val="12"/>
            </w:pPr>
            <w:r>
              <w:rPr>
                <w:rFonts w:hint="eastAsia"/>
              </w:rPr>
              <w:t>47</w:t>
            </w:r>
          </w:p>
        </w:tc>
        <w:tc>
          <w:tcPr>
            <w:tcW w:w="2286" w:type="dxa"/>
            <w:tcBorders>
              <w:top w:val="single" w:color="000000" w:sz="4" w:space="0"/>
              <w:left w:val="single" w:color="000000" w:sz="4" w:space="0"/>
              <w:bottom w:val="single" w:color="000000" w:sz="4" w:space="0"/>
              <w:right w:val="single" w:color="000000" w:sz="4" w:space="0"/>
            </w:tcBorders>
            <w:vAlign w:val="center"/>
          </w:tcPr>
          <w:p w14:paraId="4D6336CA">
            <w:pPr>
              <w:pStyle w:val="12"/>
            </w:pPr>
            <w:r>
              <w:rPr>
                <w:rFonts w:hint="eastAsia"/>
              </w:rPr>
              <w:t>环境任务协同一中心-生态环境行政处罚-移送行政拘留案件办理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40079180">
            <w:pPr>
              <w:pStyle w:val="12"/>
            </w:pPr>
            <w:r>
              <w:rPr>
                <w:rFonts w:hint="eastAsia"/>
              </w:rPr>
              <w:t>实现移送行政拘留案件办理管理，支持通过线上方式向公安机关移送环境违法案件，并获取公安机关办理情况。</w:t>
            </w:r>
          </w:p>
        </w:tc>
      </w:tr>
      <w:tr w14:paraId="7749D914">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17A241F9">
            <w:pPr>
              <w:pStyle w:val="12"/>
            </w:pPr>
            <w:r>
              <w:rPr>
                <w:rFonts w:hint="eastAsia"/>
              </w:rPr>
              <w:t>48</w:t>
            </w:r>
          </w:p>
        </w:tc>
        <w:tc>
          <w:tcPr>
            <w:tcW w:w="2286" w:type="dxa"/>
            <w:tcBorders>
              <w:top w:val="single" w:color="000000" w:sz="4" w:space="0"/>
              <w:left w:val="single" w:color="000000" w:sz="4" w:space="0"/>
              <w:bottom w:val="single" w:color="000000" w:sz="4" w:space="0"/>
              <w:right w:val="single" w:color="000000" w:sz="4" w:space="0"/>
            </w:tcBorders>
            <w:vAlign w:val="center"/>
          </w:tcPr>
          <w:p w14:paraId="18F31EDB">
            <w:pPr>
              <w:pStyle w:val="12"/>
            </w:pPr>
            <w:r>
              <w:rPr>
                <w:rFonts w:hint="eastAsia"/>
              </w:rPr>
              <w:t>环境任务协同一中心-生态环境行政处罚-移送犯罪案件办理</w:t>
            </w:r>
          </w:p>
        </w:tc>
        <w:tc>
          <w:tcPr>
            <w:tcW w:w="5686" w:type="dxa"/>
            <w:tcBorders>
              <w:top w:val="single" w:color="000000" w:sz="4" w:space="0"/>
              <w:left w:val="single" w:color="000000" w:sz="4" w:space="0"/>
              <w:bottom w:val="single" w:color="000000" w:sz="4" w:space="0"/>
              <w:right w:val="single" w:color="000000" w:sz="4" w:space="0"/>
            </w:tcBorders>
            <w:vAlign w:val="center"/>
          </w:tcPr>
          <w:p w14:paraId="02E90121">
            <w:pPr>
              <w:pStyle w:val="12"/>
            </w:pPr>
            <w:r>
              <w:rPr>
                <w:rFonts w:hint="eastAsia"/>
              </w:rPr>
              <w:t>梳理移送犯罪案件办理过程，基于现有系统配置移送犯罪案件办理流程，并同步调整系统功能模块，实现调查取证、集体审议、移送犯罪的全过程管理。</w:t>
            </w:r>
          </w:p>
        </w:tc>
      </w:tr>
      <w:tr w14:paraId="5D47CA1F">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277D89C8">
            <w:pPr>
              <w:pStyle w:val="12"/>
            </w:pPr>
            <w:r>
              <w:rPr>
                <w:rFonts w:hint="eastAsia"/>
              </w:rPr>
              <w:t>49</w:t>
            </w:r>
          </w:p>
        </w:tc>
        <w:tc>
          <w:tcPr>
            <w:tcW w:w="2286" w:type="dxa"/>
            <w:tcBorders>
              <w:top w:val="single" w:color="000000" w:sz="4" w:space="0"/>
              <w:left w:val="single" w:color="000000" w:sz="4" w:space="0"/>
              <w:bottom w:val="single" w:color="000000" w:sz="4" w:space="0"/>
              <w:right w:val="single" w:color="000000" w:sz="4" w:space="0"/>
            </w:tcBorders>
            <w:vAlign w:val="center"/>
          </w:tcPr>
          <w:p w14:paraId="0C48BB82">
            <w:pPr>
              <w:pStyle w:val="12"/>
            </w:pPr>
            <w:r>
              <w:rPr>
                <w:rFonts w:hint="eastAsia"/>
              </w:rPr>
              <w:t>环境任务协同一中心-生态环境行政处罚-行政处罚简报</w:t>
            </w:r>
          </w:p>
        </w:tc>
        <w:tc>
          <w:tcPr>
            <w:tcW w:w="5686" w:type="dxa"/>
            <w:tcBorders>
              <w:top w:val="single" w:color="000000" w:sz="4" w:space="0"/>
              <w:left w:val="single" w:color="000000" w:sz="4" w:space="0"/>
              <w:bottom w:val="single" w:color="000000" w:sz="4" w:space="0"/>
              <w:right w:val="single" w:color="000000" w:sz="4" w:space="0"/>
            </w:tcBorders>
            <w:vAlign w:val="center"/>
          </w:tcPr>
          <w:p w14:paraId="6358B172">
            <w:pPr>
              <w:pStyle w:val="12"/>
            </w:pPr>
            <w:r>
              <w:rPr>
                <w:rFonts w:hint="eastAsia"/>
              </w:rPr>
              <w:t>建设行政处罚简报，定制行政处罚的月报、季报、年报模板，实现简报的自动生成、定时推送、推送规则、消息提醒、查阅统计。统计结果能够自动导出为EXCEL格式报表并保存到本地。</w:t>
            </w:r>
          </w:p>
        </w:tc>
      </w:tr>
      <w:tr w14:paraId="7B07EA51">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75025255">
            <w:pPr>
              <w:pStyle w:val="12"/>
            </w:pPr>
            <w:r>
              <w:rPr>
                <w:rFonts w:hint="eastAsia"/>
              </w:rPr>
              <w:t>50</w:t>
            </w:r>
          </w:p>
        </w:tc>
        <w:tc>
          <w:tcPr>
            <w:tcW w:w="2286" w:type="dxa"/>
            <w:tcBorders>
              <w:top w:val="single" w:color="000000" w:sz="4" w:space="0"/>
              <w:left w:val="single" w:color="000000" w:sz="4" w:space="0"/>
              <w:bottom w:val="single" w:color="000000" w:sz="4" w:space="0"/>
              <w:right w:val="single" w:color="000000" w:sz="4" w:space="0"/>
            </w:tcBorders>
            <w:vAlign w:val="center"/>
          </w:tcPr>
          <w:p w14:paraId="38847368">
            <w:pPr>
              <w:pStyle w:val="12"/>
            </w:pPr>
            <w:r>
              <w:rPr>
                <w:rFonts w:hint="eastAsia"/>
              </w:rPr>
              <w:t>环境任务协同一中心-生态环境行政处罚-行政处罚台账</w:t>
            </w:r>
          </w:p>
        </w:tc>
        <w:tc>
          <w:tcPr>
            <w:tcW w:w="5686" w:type="dxa"/>
            <w:tcBorders>
              <w:top w:val="single" w:color="000000" w:sz="4" w:space="0"/>
              <w:left w:val="single" w:color="000000" w:sz="4" w:space="0"/>
              <w:bottom w:val="single" w:color="000000" w:sz="4" w:space="0"/>
              <w:right w:val="single" w:color="000000" w:sz="4" w:space="0"/>
            </w:tcBorders>
            <w:vAlign w:val="center"/>
          </w:tcPr>
          <w:p w14:paraId="2163FB77">
            <w:pPr>
              <w:pStyle w:val="12"/>
            </w:pPr>
            <w:r>
              <w:rPr>
                <w:rFonts w:hint="eastAsia"/>
              </w:rPr>
              <w:t>系统提供处罚台账的管理功能，系统可根据行政处罚业务办理情况，最终形成相应的处罚台账，并可根据处罚案件情况进行全局统计。</w:t>
            </w:r>
          </w:p>
        </w:tc>
      </w:tr>
      <w:tr w14:paraId="09759017">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4AA5099C">
            <w:pPr>
              <w:pStyle w:val="12"/>
            </w:pPr>
            <w:r>
              <w:rPr>
                <w:rFonts w:hint="eastAsia"/>
              </w:rPr>
              <w:t>51</w:t>
            </w:r>
          </w:p>
        </w:tc>
        <w:tc>
          <w:tcPr>
            <w:tcW w:w="2286" w:type="dxa"/>
            <w:tcBorders>
              <w:top w:val="single" w:color="000000" w:sz="4" w:space="0"/>
              <w:left w:val="single" w:color="000000" w:sz="4" w:space="0"/>
              <w:bottom w:val="single" w:color="000000" w:sz="4" w:space="0"/>
              <w:right w:val="single" w:color="000000" w:sz="4" w:space="0"/>
            </w:tcBorders>
            <w:vAlign w:val="center"/>
          </w:tcPr>
          <w:p w14:paraId="4DF425E2">
            <w:pPr>
              <w:pStyle w:val="12"/>
            </w:pPr>
            <w:r>
              <w:rPr>
                <w:rFonts w:hint="eastAsia"/>
              </w:rPr>
              <w:t>环境任务协同一中心-任务综合分析与评估-时间维度分析功能</w:t>
            </w:r>
          </w:p>
        </w:tc>
        <w:tc>
          <w:tcPr>
            <w:tcW w:w="5686" w:type="dxa"/>
            <w:tcBorders>
              <w:top w:val="single" w:color="000000" w:sz="4" w:space="0"/>
              <w:left w:val="single" w:color="000000" w:sz="4" w:space="0"/>
              <w:bottom w:val="single" w:color="000000" w:sz="4" w:space="0"/>
              <w:right w:val="single" w:color="000000" w:sz="4" w:space="0"/>
            </w:tcBorders>
            <w:vAlign w:val="center"/>
          </w:tcPr>
          <w:p w14:paraId="79680A0C">
            <w:pPr>
              <w:pStyle w:val="12"/>
            </w:pPr>
            <w:r>
              <w:rPr>
                <w:rFonts w:hint="eastAsia"/>
              </w:rPr>
              <w:t>从时间维度深入剖析年度、季度及月度任务分布规律。通过统计各时间段任务数量、类型变化，挖掘任务在时间轴上的波动趋势，辅助管理者掌握任务时间特性，合理安排资源，提前规划应对方案。</w:t>
            </w:r>
          </w:p>
        </w:tc>
      </w:tr>
      <w:tr w14:paraId="00AC8D3D">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22E177B7">
            <w:pPr>
              <w:pStyle w:val="12"/>
            </w:pPr>
            <w:r>
              <w:rPr>
                <w:rFonts w:hint="eastAsia"/>
              </w:rPr>
              <w:t>52</w:t>
            </w:r>
          </w:p>
        </w:tc>
        <w:tc>
          <w:tcPr>
            <w:tcW w:w="2286" w:type="dxa"/>
            <w:tcBorders>
              <w:top w:val="single" w:color="000000" w:sz="4" w:space="0"/>
              <w:left w:val="single" w:color="000000" w:sz="4" w:space="0"/>
              <w:bottom w:val="single" w:color="000000" w:sz="4" w:space="0"/>
              <w:right w:val="single" w:color="000000" w:sz="4" w:space="0"/>
            </w:tcBorders>
            <w:vAlign w:val="center"/>
          </w:tcPr>
          <w:p w14:paraId="72F1F88C">
            <w:pPr>
              <w:pStyle w:val="12"/>
            </w:pPr>
            <w:r>
              <w:rPr>
                <w:rFonts w:hint="eastAsia"/>
              </w:rPr>
              <w:t>环境任务协同一中心-任务综合分析与评估-空间维度评估功能</w:t>
            </w:r>
          </w:p>
        </w:tc>
        <w:tc>
          <w:tcPr>
            <w:tcW w:w="5686" w:type="dxa"/>
            <w:tcBorders>
              <w:top w:val="single" w:color="000000" w:sz="4" w:space="0"/>
              <w:left w:val="single" w:color="000000" w:sz="4" w:space="0"/>
              <w:bottom w:val="single" w:color="000000" w:sz="4" w:space="0"/>
              <w:right w:val="single" w:color="000000" w:sz="4" w:space="0"/>
            </w:tcBorders>
            <w:vAlign w:val="center"/>
          </w:tcPr>
          <w:p w14:paraId="50AE712E">
            <w:pPr>
              <w:pStyle w:val="12"/>
            </w:pPr>
            <w:r>
              <w:rPr>
                <w:rFonts w:hint="eastAsia"/>
              </w:rPr>
              <w:t>以地图、热力图等可视化形式呈现不同区域任务分布情况，直观展现任务集中与稀疏区域，助力管理者发现重点治理区域，实现资源精准投放。</w:t>
            </w:r>
          </w:p>
        </w:tc>
      </w:tr>
      <w:tr w14:paraId="224936B8">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3F2B1D24">
            <w:pPr>
              <w:pStyle w:val="12"/>
            </w:pPr>
            <w:r>
              <w:rPr>
                <w:rFonts w:hint="eastAsia"/>
              </w:rPr>
              <w:t>53</w:t>
            </w:r>
          </w:p>
        </w:tc>
        <w:tc>
          <w:tcPr>
            <w:tcW w:w="2286" w:type="dxa"/>
            <w:tcBorders>
              <w:top w:val="single" w:color="000000" w:sz="4" w:space="0"/>
              <w:left w:val="single" w:color="000000" w:sz="4" w:space="0"/>
              <w:bottom w:val="single" w:color="000000" w:sz="4" w:space="0"/>
              <w:right w:val="single" w:color="000000" w:sz="4" w:space="0"/>
            </w:tcBorders>
            <w:vAlign w:val="center"/>
          </w:tcPr>
          <w:p w14:paraId="71571EAF">
            <w:pPr>
              <w:pStyle w:val="12"/>
            </w:pPr>
            <w:r>
              <w:rPr>
                <w:rFonts w:hint="eastAsia"/>
              </w:rPr>
              <w:t>环境任务协同一中心-任务综合分析与评估-部门协作分析功能</w:t>
            </w:r>
          </w:p>
        </w:tc>
        <w:tc>
          <w:tcPr>
            <w:tcW w:w="5686" w:type="dxa"/>
            <w:tcBorders>
              <w:top w:val="single" w:color="000000" w:sz="4" w:space="0"/>
              <w:left w:val="single" w:color="000000" w:sz="4" w:space="0"/>
              <w:bottom w:val="single" w:color="000000" w:sz="4" w:space="0"/>
              <w:right w:val="single" w:color="000000" w:sz="4" w:space="0"/>
            </w:tcBorders>
            <w:vAlign w:val="center"/>
          </w:tcPr>
          <w:p w14:paraId="2D140005">
            <w:pPr>
              <w:pStyle w:val="12"/>
            </w:pPr>
            <w:r>
              <w:rPr>
                <w:rFonts w:hint="eastAsia"/>
              </w:rPr>
              <w:t>深度分析任务参与部门协作效能。通过统计部门间任务交接次数、响应时长、协作成果，量化评估协作流畅度，识别协作薄弱环节，促进部门间优化合作流程，提升协同治理能力。</w:t>
            </w:r>
          </w:p>
        </w:tc>
      </w:tr>
      <w:tr w14:paraId="3FD28844">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55CC25C2">
            <w:pPr>
              <w:pStyle w:val="12"/>
            </w:pPr>
            <w:r>
              <w:rPr>
                <w:rFonts w:hint="eastAsia"/>
              </w:rPr>
              <w:t>54</w:t>
            </w:r>
          </w:p>
        </w:tc>
        <w:tc>
          <w:tcPr>
            <w:tcW w:w="2286" w:type="dxa"/>
            <w:tcBorders>
              <w:top w:val="single" w:color="000000" w:sz="4" w:space="0"/>
              <w:left w:val="single" w:color="000000" w:sz="4" w:space="0"/>
              <w:bottom w:val="single" w:color="000000" w:sz="4" w:space="0"/>
              <w:right w:val="single" w:color="000000" w:sz="4" w:space="0"/>
            </w:tcBorders>
            <w:vAlign w:val="center"/>
          </w:tcPr>
          <w:p w14:paraId="18DC6945">
            <w:pPr>
              <w:pStyle w:val="12"/>
            </w:pPr>
            <w:r>
              <w:rPr>
                <w:rFonts w:hint="eastAsia"/>
              </w:rPr>
              <w:t>环境任务协同一中心-任务综合分析与评估-任务时效分析功能</w:t>
            </w:r>
          </w:p>
        </w:tc>
        <w:tc>
          <w:tcPr>
            <w:tcW w:w="5686" w:type="dxa"/>
            <w:tcBorders>
              <w:top w:val="single" w:color="000000" w:sz="4" w:space="0"/>
              <w:left w:val="single" w:color="000000" w:sz="4" w:space="0"/>
              <w:bottom w:val="single" w:color="000000" w:sz="4" w:space="0"/>
              <w:right w:val="single" w:color="000000" w:sz="4" w:space="0"/>
            </w:tcBorders>
            <w:vAlign w:val="center"/>
          </w:tcPr>
          <w:p w14:paraId="396BF794">
            <w:pPr>
              <w:pStyle w:val="12"/>
            </w:pPr>
            <w:r>
              <w:rPr>
                <w:rFonts w:hint="eastAsia"/>
              </w:rPr>
              <w:t>分析任务完成时效，统计任务从下达至完成的时间跨度，对比不同任务类型、区域的平均完成时长，找出耗时较长的任务，帮助管理者针对性优化流程，提高任务执行效率。</w:t>
            </w:r>
          </w:p>
        </w:tc>
      </w:tr>
      <w:tr w14:paraId="75703E59">
        <w:tblPrEx>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24BDA8B2">
            <w:pPr>
              <w:pStyle w:val="12"/>
            </w:pPr>
            <w:r>
              <w:rPr>
                <w:rFonts w:hint="eastAsia"/>
              </w:rPr>
              <w:t>55</w:t>
            </w:r>
          </w:p>
        </w:tc>
        <w:tc>
          <w:tcPr>
            <w:tcW w:w="2286" w:type="dxa"/>
            <w:tcBorders>
              <w:top w:val="single" w:color="000000" w:sz="4" w:space="0"/>
              <w:left w:val="single" w:color="000000" w:sz="4" w:space="0"/>
              <w:bottom w:val="single" w:color="000000" w:sz="4" w:space="0"/>
              <w:right w:val="single" w:color="000000" w:sz="4" w:space="0"/>
            </w:tcBorders>
            <w:vAlign w:val="center"/>
          </w:tcPr>
          <w:p w14:paraId="41279DCA">
            <w:pPr>
              <w:pStyle w:val="12"/>
            </w:pPr>
            <w:r>
              <w:rPr>
                <w:rFonts w:hint="eastAsia"/>
              </w:rPr>
              <w:t>环境管控协同一平台-综合管控全景图</w:t>
            </w:r>
          </w:p>
        </w:tc>
        <w:tc>
          <w:tcPr>
            <w:tcW w:w="5686" w:type="dxa"/>
            <w:tcBorders>
              <w:top w:val="single" w:color="000000" w:sz="4" w:space="0"/>
              <w:left w:val="single" w:color="000000" w:sz="4" w:space="0"/>
              <w:bottom w:val="single" w:color="000000" w:sz="4" w:space="0"/>
              <w:right w:val="single" w:color="000000" w:sz="4" w:space="0"/>
            </w:tcBorders>
            <w:vAlign w:val="center"/>
          </w:tcPr>
          <w:p w14:paraId="05C1D07D">
            <w:pPr>
              <w:pStyle w:val="12"/>
            </w:pPr>
            <w:r>
              <w:rPr>
                <w:rFonts w:hint="eastAsia"/>
              </w:rPr>
              <w:t>动态跟踪污染防治攻坚目标、完成情况及趋势，即时发现环境质量问题开展调度；统筹监控全局各类任务开展情况、完成进度、协同进展，及时对异常进行督办；动态掌握全市环境监管对象底数、分类、分布和实时状态及变化趋势，识别重点监管对象，助于精细化监管。</w:t>
            </w:r>
          </w:p>
        </w:tc>
      </w:tr>
    </w:tbl>
    <w:p w14:paraId="315E38D0">
      <w:pPr>
        <w:ind w:firstLine="0" w:firstLineChars="0"/>
      </w:pPr>
    </w:p>
    <w:p w14:paraId="13C3EBD8">
      <w:pPr>
        <w:pStyle w:val="2"/>
      </w:pPr>
      <w:bookmarkStart w:id="17" w:name="_Toc63785502"/>
      <w:r>
        <w:rPr>
          <w:rFonts w:hint="eastAsia"/>
        </w:rPr>
        <w:t>电子政务云资源需求</w:t>
      </w:r>
      <w:bookmarkEnd w:id="17"/>
    </w:p>
    <w:p w14:paraId="153EE740">
      <w:r>
        <w:rPr>
          <w:rFonts w:hint="eastAsia"/>
        </w:rPr>
        <w:t>以实际批复情况为准。</w:t>
      </w:r>
    </w:p>
    <w:p w14:paraId="7AB8920E">
      <w:pPr>
        <w:pStyle w:val="2"/>
        <w:rPr>
          <w:rFonts w:ascii="仿宋" w:hAnsi="仿宋" w:eastAsia="仿宋"/>
          <w:vanish/>
          <w:sz w:val="28"/>
          <w:szCs w:val="20"/>
        </w:rPr>
      </w:pPr>
      <w:bookmarkStart w:id="18" w:name="_Toc63785503"/>
      <w:r>
        <w:rPr>
          <w:rFonts w:hint="eastAsia"/>
        </w:rPr>
        <w:t>其他工作要求</w:t>
      </w:r>
      <w:bookmarkEnd w:id="18"/>
      <w:bookmarkStart w:id="19" w:name="_Toc62219358"/>
      <w:bookmarkEnd w:id="19"/>
      <w:bookmarkStart w:id="20" w:name="_Toc63785439"/>
      <w:bookmarkEnd w:id="20"/>
      <w:bookmarkStart w:id="21" w:name="_Toc63785504"/>
      <w:bookmarkEnd w:id="21"/>
      <w:bookmarkStart w:id="22" w:name="_Toc62209488"/>
      <w:bookmarkEnd w:id="22"/>
      <w:bookmarkStart w:id="23" w:name="_Toc61968111"/>
      <w:bookmarkEnd w:id="23"/>
      <w:bookmarkStart w:id="24" w:name="_Toc63151871"/>
      <w:bookmarkEnd w:id="24"/>
      <w:bookmarkStart w:id="25" w:name="_Toc63585480"/>
      <w:bookmarkEnd w:id="25"/>
      <w:bookmarkStart w:id="26" w:name="_Toc63762370"/>
      <w:bookmarkEnd w:id="26"/>
    </w:p>
    <w:p w14:paraId="5681ECD9"/>
    <w:p w14:paraId="5DEE0B05">
      <w:pPr>
        <w:pStyle w:val="3"/>
      </w:pPr>
      <w:bookmarkStart w:id="27" w:name="_Toc63785505"/>
      <w:r>
        <w:rPr>
          <w:rFonts w:hint="eastAsia"/>
        </w:rPr>
        <w:t>售后服务要求</w:t>
      </w:r>
      <w:bookmarkEnd w:id="27"/>
    </w:p>
    <w:p w14:paraId="512E0B9B">
      <w:pPr>
        <w:snapToGrid w:val="0"/>
      </w:pPr>
      <w:r>
        <w:rPr>
          <w:rFonts w:hint="eastAsia"/>
        </w:rPr>
        <w:t>本项目从系统验收通过之日起1年内提供</w:t>
      </w:r>
      <w:r>
        <w:t>7*24小时免费技术支持</w:t>
      </w:r>
      <w:r>
        <w:rPr>
          <w:rFonts w:hint="eastAsia"/>
        </w:rPr>
        <w:t>和售后服务，1年后进入有偿维护期。</w:t>
      </w:r>
    </w:p>
    <w:p w14:paraId="1F6E9566">
      <w:pPr>
        <w:snapToGrid w:val="0"/>
      </w:pPr>
      <w:r>
        <w:rPr>
          <w:rFonts w:hint="eastAsia"/>
        </w:rPr>
        <w:t>在质量保证期内，供应商将按照售后服务的承诺提供保修和运行维护服务，如果厂商对信息系统中软、硬件设备等产品中的部分保修期超过上述期限的，则按照厂商的规定进行免费保修。</w:t>
      </w:r>
    </w:p>
    <w:p w14:paraId="6B3915C8">
      <w:pPr>
        <w:snapToGrid w:val="0"/>
      </w:pPr>
      <w:r>
        <w:rPr>
          <w:rFonts w:hint="eastAsia"/>
        </w:rPr>
        <w:t>在质量保证期内，供应商负责信息系统的运行维护工作，确保信息系统安全、稳定、可靠地运行。本项目涉及的运行维护工作范围为：</w:t>
      </w:r>
    </w:p>
    <w:p w14:paraId="110891E1">
      <w:pPr>
        <w:snapToGrid w:val="0"/>
      </w:pPr>
      <w:r>
        <w:rPr>
          <w:rFonts w:hint="eastAsia"/>
        </w:rPr>
        <w:t>（1）本项目采购范围的软件开发模块。</w:t>
      </w:r>
    </w:p>
    <w:p w14:paraId="42563253">
      <w:pPr>
        <w:snapToGrid w:val="0"/>
      </w:pPr>
      <w:r>
        <w:rPr>
          <w:rFonts w:hint="eastAsia"/>
        </w:rPr>
        <w:t>（2）本项目建设所产生的共享交换数据目录和接口的更新、维护。</w:t>
      </w:r>
    </w:p>
    <w:p w14:paraId="0BDCCEAD">
      <w:pPr>
        <w:pStyle w:val="3"/>
      </w:pPr>
      <w:bookmarkStart w:id="28" w:name="_Toc63785506"/>
      <w:r>
        <w:rPr>
          <w:rFonts w:hint="eastAsia"/>
        </w:rPr>
        <w:t>应急响应要求</w:t>
      </w:r>
      <w:bookmarkEnd w:id="28"/>
    </w:p>
    <w:p w14:paraId="011BB6E4">
      <w:pPr>
        <w:snapToGrid w:val="0"/>
      </w:pPr>
      <w:r>
        <w:rPr>
          <w:rFonts w:hint="eastAsia"/>
        </w:rPr>
        <w:t>供应商对系统故障应能够实时响应，若系统发生故障，接到通知后</w:t>
      </w:r>
      <w:r>
        <w:t>30分钟之内响应，专业工程师2小时内到达现场</w:t>
      </w:r>
      <w:r>
        <w:rPr>
          <w:rFonts w:hint="eastAsia"/>
        </w:rPr>
        <w:t>。特殊故障与客户沟通协商后，按照协商的方式制定解决方案并进行处理。</w:t>
      </w:r>
    </w:p>
    <w:p w14:paraId="251DB682">
      <w:pPr>
        <w:snapToGrid w:val="0"/>
      </w:pPr>
      <w:r>
        <w:rPr>
          <w:rFonts w:hint="eastAsia"/>
        </w:rPr>
        <w:t>具体故障级别及对应的应急响应要求如下：</w:t>
      </w:r>
    </w:p>
    <w:p w14:paraId="4EC0567A">
      <w:pPr>
        <w:snapToGrid w:val="0"/>
      </w:pPr>
      <w:r>
        <w:rPr>
          <w:rFonts w:hint="eastAsia"/>
        </w:rPr>
        <w:t>一级故障：在</w:t>
      </w:r>
      <w:r>
        <w:t>1小时内确诊，总故障解决时间不超过4小时。</w:t>
      </w:r>
    </w:p>
    <w:p w14:paraId="40440268">
      <w:pPr>
        <w:snapToGrid w:val="0"/>
      </w:pPr>
      <w:r>
        <w:rPr>
          <w:rFonts w:hint="eastAsia"/>
        </w:rPr>
        <w:t>二级故障：在</w:t>
      </w:r>
      <w:r>
        <w:t>2小时内确诊，并在4小时内由专家到达现场确诊并解决，总故障解决时间不超过8小时；</w:t>
      </w:r>
    </w:p>
    <w:p w14:paraId="0625835D">
      <w:pPr>
        <w:snapToGrid w:val="0"/>
      </w:pPr>
      <w:r>
        <w:rPr>
          <w:rFonts w:hint="eastAsia"/>
        </w:rPr>
        <w:t>三、四级故障：在</w:t>
      </w:r>
      <w:r>
        <w:t>4小时内确诊故障，总故障解决时间不超过16小时。</w:t>
      </w:r>
    </w:p>
    <w:p w14:paraId="01A84C3D">
      <w:pPr>
        <w:pStyle w:val="3"/>
      </w:pPr>
      <w:bookmarkStart w:id="29" w:name="_Toc63785507"/>
      <w:r>
        <w:rPr>
          <w:rFonts w:hint="eastAsia"/>
        </w:rPr>
        <w:t>培训要求</w:t>
      </w:r>
      <w:bookmarkEnd w:id="29"/>
    </w:p>
    <w:p w14:paraId="4266D5D0">
      <w:r>
        <w:rPr>
          <w:rFonts w:hint="eastAsia"/>
        </w:rPr>
        <w:t>对系统使用单位提供业务操作培训，应提供详细培训方案。</w:t>
      </w:r>
    </w:p>
    <w:p w14:paraId="74898CC2">
      <w:r>
        <w:rPr>
          <w:rFonts w:hint="eastAsia"/>
        </w:rPr>
        <w:t>(1)在12个月的质量保证期内，提供2次与项目相关的必要培训。</w:t>
      </w:r>
    </w:p>
    <w:p w14:paraId="71D59F0D">
      <w:r>
        <w:rPr>
          <w:rFonts w:hint="eastAsia"/>
        </w:rPr>
        <w:t>(2)供应商需要开展分层次的人员培训工作，每次培训后应对参加培训人员进行测试，评估培训成果。培训应具有培训教材、培训环境和高水平的培训讲师。</w:t>
      </w:r>
    </w:p>
    <w:p w14:paraId="4AEC179B">
      <w:r>
        <w:rPr>
          <w:rFonts w:hint="eastAsia"/>
        </w:rPr>
        <w:t>(3)供应商应提供一般用户的基础操作培训和部门信息管理员的日常应用维护的培训，确保用户对象能够掌握对应的操作技能。</w:t>
      </w:r>
    </w:p>
    <w:p w14:paraId="04ECC16E">
      <w:pPr>
        <w:pStyle w:val="3"/>
      </w:pPr>
      <w:bookmarkStart w:id="30" w:name="_Toc63785508"/>
      <w:r>
        <w:rPr>
          <w:rFonts w:hint="eastAsia"/>
        </w:rPr>
        <w:t>验收要求</w:t>
      </w:r>
      <w:bookmarkEnd w:id="30"/>
    </w:p>
    <w:p w14:paraId="7A86867F">
      <w:pPr>
        <w:rPr>
          <w:szCs w:val="21"/>
        </w:rPr>
      </w:pPr>
      <w:r>
        <w:rPr>
          <w:rFonts w:hint="eastAsia"/>
          <w:szCs w:val="21"/>
        </w:rPr>
        <w:t>本项目按下述方式开展验收。</w:t>
      </w:r>
    </w:p>
    <w:p w14:paraId="2F5C9A6F">
      <w:pPr>
        <w:rPr>
          <w:szCs w:val="21"/>
        </w:rPr>
      </w:pPr>
      <w:r>
        <w:rPr>
          <w:rFonts w:hint="eastAsia"/>
          <w:szCs w:val="21"/>
        </w:rPr>
        <w:t>（</w:t>
      </w:r>
      <w:r>
        <w:rPr>
          <w:szCs w:val="21"/>
        </w:rPr>
        <w:t>1）验收分初验和终验。</w:t>
      </w:r>
    </w:p>
    <w:p w14:paraId="4C8C5D0C">
      <w:pPr>
        <w:rPr>
          <w:szCs w:val="21"/>
        </w:rPr>
      </w:pPr>
      <w:r>
        <w:rPr>
          <w:rFonts w:hint="eastAsia"/>
          <w:szCs w:val="21"/>
        </w:rPr>
        <w:t>（</w:t>
      </w:r>
      <w:r>
        <w:rPr>
          <w:szCs w:val="21"/>
        </w:rPr>
        <w:t>2）初验前，供应商须完成软件开发、软硬件安装和信息系统的调试等，并对本项目进行功能和运行检测，确保所有信息系统功能模块能够正常运行且已达到本项目约定的各类标准要求。供应商应以书面形式向招标方递交初验通知书。招标方应当在接到通知后的5个工作日内确定初验的具体日期，由双方按照本项目的约定完成本项目的初验。招标方有权委托第三方检测机构进行验收，对此供应商应当配合。</w:t>
      </w:r>
    </w:p>
    <w:p w14:paraId="5E133702">
      <w:pPr>
        <w:rPr>
          <w:szCs w:val="21"/>
        </w:rPr>
      </w:pPr>
      <w:r>
        <w:rPr>
          <w:rFonts w:hint="eastAsia"/>
          <w:szCs w:val="21"/>
        </w:rPr>
        <w:t>（</w:t>
      </w:r>
      <w:r>
        <w:rPr>
          <w:szCs w:val="21"/>
        </w:rPr>
        <w:t>3）初验时，供应商须提供软件文档包括《用户需求说明书》、《系统概要设计说明书》、《系统详细设计说明书》、</w:t>
      </w:r>
      <w:r>
        <w:rPr>
          <w:rFonts w:hint="eastAsia"/>
          <w:szCs w:val="21"/>
        </w:rPr>
        <w:t>《三方功能需求确认单》、</w:t>
      </w:r>
      <w:r>
        <w:rPr>
          <w:szCs w:val="21"/>
        </w:rPr>
        <w:t>《测试报告》、《用户使用手册》、《系统部署文档》等）及可安装的程序运行文件。所交付的文档与文件应当是可供自然人阅读的书面和电子文档。软件文档及可安装的程序运行文件验收通过后，视为初验通过。如有缺陷，招标方应向供应商出具书面报告，陈述需要改进的缺陷。供应商应立即严格依照招标方的书面报告中的要求改进缺陷，并再次进行初验。</w:t>
      </w:r>
    </w:p>
    <w:p w14:paraId="5C7F5E31">
      <w:pPr>
        <w:rPr>
          <w:szCs w:val="21"/>
        </w:rPr>
      </w:pPr>
      <w:r>
        <w:rPr>
          <w:rFonts w:hint="eastAsia"/>
          <w:szCs w:val="21"/>
        </w:rPr>
        <w:t>（</w:t>
      </w:r>
      <w:r>
        <w:rPr>
          <w:szCs w:val="21"/>
        </w:rPr>
        <w:t>4）自初验通过之日起，招标方享有供应商免费提供的</w:t>
      </w:r>
      <w:r>
        <w:rPr>
          <w:rFonts w:hint="eastAsia"/>
          <w:szCs w:val="21"/>
        </w:rPr>
        <w:t>30</w:t>
      </w:r>
      <w:r>
        <w:rPr>
          <w:szCs w:val="21"/>
        </w:rPr>
        <w:t>天的信息系统试运行现场驻场服务期。该期间内，供应商应当按照招标方的要求提供现场技术支持服务，解决信息系统试运行期间可能出现的各类问题，或进一步提高与完善信息系统运行水平。</w:t>
      </w:r>
    </w:p>
    <w:p w14:paraId="6197498B">
      <w:pPr>
        <w:rPr>
          <w:szCs w:val="21"/>
        </w:rPr>
      </w:pPr>
      <w:r>
        <w:rPr>
          <w:rFonts w:hint="eastAsia"/>
          <w:szCs w:val="21"/>
        </w:rPr>
        <w:t>（</w:t>
      </w:r>
      <w:r>
        <w:rPr>
          <w:szCs w:val="21"/>
        </w:rPr>
        <w:t>5）初验通过且信息系统试运行期已经达到本项目约定的时间，经供应商确认信息系统具备正常运行条件，且信息系统通过运行测试，供应商应以书面形式通知招标方信息系统已准备就绪等待终验。招标方在收到终验通知后的</w:t>
      </w:r>
      <w:r>
        <w:rPr>
          <w:rFonts w:hint="eastAsia"/>
          <w:szCs w:val="21"/>
        </w:rPr>
        <w:t>5</w:t>
      </w:r>
      <w:r>
        <w:rPr>
          <w:szCs w:val="21"/>
        </w:rPr>
        <w:t>个工作日内发起组织专家验收会。</w:t>
      </w:r>
    </w:p>
    <w:p w14:paraId="73874552">
      <w:pPr>
        <w:rPr>
          <w:szCs w:val="21"/>
        </w:rPr>
      </w:pPr>
      <w:r>
        <w:rPr>
          <w:rFonts w:hint="eastAsia"/>
          <w:szCs w:val="21"/>
        </w:rPr>
        <w:t>（6</w:t>
      </w:r>
      <w:r>
        <w:rPr>
          <w:szCs w:val="21"/>
        </w:rPr>
        <w:t>）如果属于供应商原因致使本项目未能通过终验，供应商应当排除缺陷，直至本项目完全符合验收标准，由上述情形而产生的相关费用应由供应商自行承担。</w:t>
      </w:r>
    </w:p>
    <w:p w14:paraId="46696C8F">
      <w:pPr>
        <w:rPr>
          <w:szCs w:val="21"/>
        </w:rPr>
      </w:pPr>
      <w:r>
        <w:rPr>
          <w:rFonts w:hint="eastAsia"/>
          <w:szCs w:val="21"/>
        </w:rPr>
        <w:t>（7</w:t>
      </w:r>
      <w:r>
        <w:rPr>
          <w:szCs w:val="21"/>
        </w:rPr>
        <w:t>）如果由于招标方原因导致本项目在终验通过前出现故障或问题，供应商应及时配合排除该方面的故障或问题。</w:t>
      </w:r>
    </w:p>
    <w:p w14:paraId="0D1212D4">
      <w:pPr>
        <w:rPr>
          <w:szCs w:val="21"/>
        </w:rPr>
      </w:pPr>
      <w:r>
        <w:rPr>
          <w:rFonts w:hint="eastAsia"/>
          <w:szCs w:val="21"/>
        </w:rPr>
        <w:t>（8</w:t>
      </w:r>
      <w:r>
        <w:rPr>
          <w:szCs w:val="21"/>
        </w:rPr>
        <w:t>）如本项目连续3次验收未通过（含初验未通过或终验未通过），招标方有权解除项目，并有权依照本项目约定的违约条款追究供应商的违约责任。</w:t>
      </w:r>
    </w:p>
    <w:p w14:paraId="67EFAB1F">
      <w:pPr>
        <w:pStyle w:val="3"/>
      </w:pPr>
      <w:bookmarkStart w:id="31" w:name="_Toc63785509"/>
      <w:r>
        <w:rPr>
          <w:rFonts w:hint="eastAsia"/>
        </w:rPr>
        <w:t>进度要求</w:t>
      </w:r>
      <w:bookmarkEnd w:id="31"/>
    </w:p>
    <w:p w14:paraId="224CA109">
      <w:r>
        <w:rPr>
          <w:rFonts w:hint="eastAsia"/>
        </w:rPr>
        <w:t>投标人应根据建设内容，分阶段制定合理的时间进度，并且应根据招标方要求进行调整和细化。</w:t>
      </w:r>
    </w:p>
    <w:p w14:paraId="7DE265AE">
      <w:r>
        <w:rPr>
          <w:rFonts w:hint="eastAsia"/>
        </w:rPr>
        <w:t>总建设周期为</w:t>
      </w:r>
      <w:r>
        <w:rPr>
          <w:rFonts w:hint="eastAsia"/>
          <w:lang w:eastAsia="zh-CN"/>
        </w:rPr>
        <w:t>：合同签订之日起至2026年11月30日</w:t>
      </w:r>
      <w:r>
        <w:rPr>
          <w:rFonts w:hint="eastAsia"/>
        </w:rPr>
        <w:t>，分为四个阶段。</w:t>
      </w:r>
    </w:p>
    <w:p w14:paraId="3BB51F43">
      <w:r>
        <w:rPr>
          <w:rFonts w:hint="eastAsia"/>
        </w:rPr>
        <w:t>第一阶段</w:t>
      </w:r>
      <w:r>
        <w:rPr>
          <w:rFonts w:hint="eastAsia"/>
          <w:lang w:eastAsia="zh-CN"/>
        </w:rPr>
        <w:t>约</w:t>
      </w:r>
      <w:r>
        <w:rPr>
          <w:rFonts w:hint="eastAsia"/>
        </w:rPr>
        <w:t>为0.5个月，完成系统详细设计。</w:t>
      </w:r>
    </w:p>
    <w:p w14:paraId="353D3794">
      <w:r>
        <w:rPr>
          <w:rFonts w:hint="eastAsia"/>
        </w:rPr>
        <w:t>第二阶段</w:t>
      </w:r>
      <w:r>
        <w:rPr>
          <w:rFonts w:hint="eastAsia"/>
          <w:lang w:eastAsia="zh-CN"/>
        </w:rPr>
        <w:t>约</w:t>
      </w:r>
      <w:r>
        <w:rPr>
          <w:rFonts w:hint="eastAsia"/>
        </w:rPr>
        <w:t>为5.5个月，完成系统开发。</w:t>
      </w:r>
    </w:p>
    <w:p w14:paraId="6771EDF6">
      <w:r>
        <w:rPr>
          <w:rFonts w:hint="eastAsia"/>
        </w:rPr>
        <w:t>第三阶段</w:t>
      </w:r>
      <w:r>
        <w:rPr>
          <w:rFonts w:hint="eastAsia"/>
          <w:lang w:eastAsia="zh-CN"/>
        </w:rPr>
        <w:t>约</w:t>
      </w:r>
      <w:r>
        <w:rPr>
          <w:rFonts w:hint="eastAsia"/>
        </w:rPr>
        <w:t>为1.5个月，完成系统测试、试运行</w:t>
      </w:r>
    </w:p>
    <w:p w14:paraId="7F746239">
      <w:r>
        <w:rPr>
          <w:rFonts w:hint="eastAsia"/>
        </w:rPr>
        <w:t>第四阶段</w:t>
      </w:r>
      <w:r>
        <w:rPr>
          <w:rFonts w:hint="eastAsia"/>
          <w:lang w:eastAsia="zh-CN"/>
        </w:rPr>
        <w:t>约</w:t>
      </w:r>
      <w:r>
        <w:rPr>
          <w:rFonts w:hint="eastAsia"/>
        </w:rPr>
        <w:t>为0.5个月，完成系统验收。</w:t>
      </w:r>
    </w:p>
    <w:p w14:paraId="29ABD48D">
      <w:pPr>
        <w:pStyle w:val="3"/>
      </w:pPr>
      <w:bookmarkStart w:id="32" w:name="_Toc63785510"/>
      <w:r>
        <w:rPr>
          <w:rFonts w:hint="eastAsia"/>
        </w:rPr>
        <w:t>项目团队及驻场人员要求</w:t>
      </w:r>
      <w:bookmarkEnd w:id="32"/>
    </w:p>
    <w:p w14:paraId="4753F7D1">
      <w:r>
        <w:t>1）</w:t>
      </w:r>
      <w:r>
        <w:rPr>
          <w:rFonts w:hint="eastAsia"/>
        </w:rPr>
        <w:t>投标人须具有稳定的在职技术保障力量，能够提供及时的技术支援或服务，应针对本项目提供不少于22人的项目服务团队（包括项目经理、产品经理、技术负责人、研发等），且驻场人员不少于5人，投标单位的相关服务人员需具备相应的服务能力，需提供相关证明。</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2735"/>
        <w:gridCol w:w="1058"/>
        <w:gridCol w:w="2308"/>
        <w:gridCol w:w="1371"/>
      </w:tblGrid>
      <w:tr w14:paraId="4D1A7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0B67FE2A">
            <w:pPr>
              <w:pStyle w:val="11"/>
              <w:rPr>
                <w:rFonts w:hint="default"/>
              </w:rPr>
            </w:pPr>
            <w:r>
              <w:t>角色</w:t>
            </w:r>
          </w:p>
        </w:tc>
        <w:tc>
          <w:tcPr>
            <w:tcW w:w="0" w:type="auto"/>
            <w:noWrap/>
            <w:vAlign w:val="center"/>
          </w:tcPr>
          <w:p w14:paraId="65A54E4A">
            <w:pPr>
              <w:pStyle w:val="11"/>
              <w:rPr>
                <w:rFonts w:hint="default"/>
              </w:rPr>
            </w:pPr>
            <w:r>
              <w:t>主要职责</w:t>
            </w:r>
          </w:p>
        </w:tc>
        <w:tc>
          <w:tcPr>
            <w:tcW w:w="0" w:type="auto"/>
            <w:noWrap/>
            <w:vAlign w:val="center"/>
          </w:tcPr>
          <w:p w14:paraId="075D87E6">
            <w:pPr>
              <w:pStyle w:val="11"/>
              <w:rPr>
                <w:rFonts w:hint="default"/>
              </w:rPr>
            </w:pPr>
            <w:r>
              <w:t>人员数量</w:t>
            </w:r>
          </w:p>
        </w:tc>
        <w:tc>
          <w:tcPr>
            <w:tcW w:w="0" w:type="auto"/>
            <w:vAlign w:val="center"/>
          </w:tcPr>
          <w:p w14:paraId="14C79183">
            <w:pPr>
              <w:pStyle w:val="11"/>
              <w:rPr>
                <w:rFonts w:hint="default"/>
              </w:rPr>
            </w:pPr>
            <w:r>
              <w:t>人员要求</w:t>
            </w:r>
          </w:p>
        </w:tc>
        <w:tc>
          <w:tcPr>
            <w:tcW w:w="0" w:type="auto"/>
            <w:noWrap/>
            <w:vAlign w:val="center"/>
          </w:tcPr>
          <w:p w14:paraId="7342B93E">
            <w:pPr>
              <w:pStyle w:val="11"/>
              <w:rPr>
                <w:rFonts w:hint="default"/>
              </w:rPr>
            </w:pPr>
            <w:r>
              <w:t>驻场要求</w:t>
            </w:r>
          </w:p>
        </w:tc>
      </w:tr>
      <w:tr w14:paraId="650E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noWrap/>
            <w:vAlign w:val="center"/>
          </w:tcPr>
          <w:p w14:paraId="2369626C">
            <w:pPr>
              <w:pStyle w:val="11"/>
              <w:rPr>
                <w:rFonts w:hint="default"/>
              </w:rPr>
            </w:pPr>
            <w:r>
              <w:t>项目经理</w:t>
            </w:r>
          </w:p>
        </w:tc>
        <w:tc>
          <w:tcPr>
            <w:tcW w:w="2735" w:type="dxa"/>
            <w:vAlign w:val="center"/>
          </w:tcPr>
          <w:p w14:paraId="69AC90E7">
            <w:pPr>
              <w:pStyle w:val="11"/>
              <w:rPr>
                <w:rFonts w:hint="default"/>
              </w:rPr>
            </w:pPr>
            <w:r>
              <w:t>负责项目质量和进度控制</w:t>
            </w:r>
          </w:p>
        </w:tc>
        <w:tc>
          <w:tcPr>
            <w:tcW w:w="1058" w:type="dxa"/>
            <w:noWrap/>
            <w:vAlign w:val="center"/>
          </w:tcPr>
          <w:p w14:paraId="77F28EEB">
            <w:pPr>
              <w:pStyle w:val="11"/>
              <w:rPr>
                <w:rFonts w:hint="default"/>
              </w:rPr>
            </w:pPr>
            <w:r>
              <w:t>1人</w:t>
            </w:r>
          </w:p>
        </w:tc>
        <w:tc>
          <w:tcPr>
            <w:tcW w:w="2308" w:type="dxa"/>
            <w:vAlign w:val="center"/>
          </w:tcPr>
          <w:p w14:paraId="3EFA7409">
            <w:pPr>
              <w:pStyle w:val="11"/>
              <w:rPr>
                <w:rFonts w:hint="default"/>
              </w:rPr>
            </w:pPr>
            <w:r>
              <w:t>本科及以上学历。具备信息系统项目管理师证书。类似项目5 年以上经历。</w:t>
            </w:r>
          </w:p>
        </w:tc>
        <w:tc>
          <w:tcPr>
            <w:tcW w:w="1371" w:type="dxa"/>
            <w:noWrap/>
            <w:vAlign w:val="center"/>
          </w:tcPr>
          <w:p w14:paraId="3A487772">
            <w:pPr>
              <w:pStyle w:val="11"/>
              <w:rPr>
                <w:rFonts w:hint="default"/>
              </w:rPr>
            </w:pPr>
            <w:r>
              <w:t>不驻场</w:t>
            </w:r>
          </w:p>
        </w:tc>
      </w:tr>
      <w:tr w14:paraId="6BC5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noWrap/>
            <w:vAlign w:val="center"/>
          </w:tcPr>
          <w:p w14:paraId="5758CFF0">
            <w:pPr>
              <w:pStyle w:val="11"/>
              <w:rPr>
                <w:rFonts w:hint="default"/>
              </w:rPr>
            </w:pPr>
            <w:r>
              <w:t>产品经理</w:t>
            </w:r>
          </w:p>
        </w:tc>
        <w:tc>
          <w:tcPr>
            <w:tcW w:w="2735" w:type="dxa"/>
            <w:vAlign w:val="center"/>
          </w:tcPr>
          <w:p w14:paraId="513F0C94">
            <w:pPr>
              <w:pStyle w:val="11"/>
              <w:rPr>
                <w:rFonts w:hint="default"/>
              </w:rPr>
            </w:pPr>
            <w:r>
              <w:t>负责项目需求评估与产品设计</w:t>
            </w:r>
          </w:p>
        </w:tc>
        <w:tc>
          <w:tcPr>
            <w:tcW w:w="1058" w:type="dxa"/>
            <w:noWrap/>
            <w:vAlign w:val="center"/>
          </w:tcPr>
          <w:p w14:paraId="61B4A2F4">
            <w:pPr>
              <w:pStyle w:val="11"/>
              <w:rPr>
                <w:rFonts w:hint="default"/>
              </w:rPr>
            </w:pPr>
            <w:r>
              <w:t>1人</w:t>
            </w:r>
          </w:p>
        </w:tc>
        <w:tc>
          <w:tcPr>
            <w:tcW w:w="2308" w:type="dxa"/>
            <w:vAlign w:val="center"/>
          </w:tcPr>
          <w:p w14:paraId="5732DCE1">
            <w:pPr>
              <w:pStyle w:val="11"/>
              <w:rPr>
                <w:rFonts w:hint="default"/>
              </w:rPr>
            </w:pPr>
            <w:r>
              <w:t>本科及以上学历，具备系统架构</w:t>
            </w:r>
            <w:r>
              <w:rPr>
                <w:rFonts w:hint="eastAsia"/>
                <w:lang w:eastAsia="zh-CN"/>
              </w:rPr>
              <w:t>设计</w:t>
            </w:r>
            <w:r>
              <w:t>师证书。类似项目3 年以上经历。</w:t>
            </w:r>
          </w:p>
        </w:tc>
        <w:tc>
          <w:tcPr>
            <w:tcW w:w="1371" w:type="dxa"/>
            <w:noWrap/>
            <w:vAlign w:val="center"/>
          </w:tcPr>
          <w:p w14:paraId="04476A01">
            <w:pPr>
              <w:pStyle w:val="11"/>
              <w:rPr>
                <w:rFonts w:hint="default"/>
              </w:rPr>
            </w:pPr>
            <w:r>
              <w:t>不驻场</w:t>
            </w:r>
          </w:p>
        </w:tc>
      </w:tr>
      <w:tr w14:paraId="0D27F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noWrap/>
            <w:vAlign w:val="center"/>
          </w:tcPr>
          <w:p w14:paraId="2A1FA9C7">
            <w:pPr>
              <w:pStyle w:val="11"/>
              <w:rPr>
                <w:rFonts w:hint="default"/>
              </w:rPr>
            </w:pPr>
            <w:r>
              <w:t>安全工程师</w:t>
            </w:r>
          </w:p>
        </w:tc>
        <w:tc>
          <w:tcPr>
            <w:tcW w:w="2735" w:type="dxa"/>
            <w:vAlign w:val="center"/>
          </w:tcPr>
          <w:p w14:paraId="17479337">
            <w:pPr>
              <w:pStyle w:val="11"/>
              <w:rPr>
                <w:rFonts w:hint="default"/>
              </w:rPr>
            </w:pPr>
            <w:r>
              <w:t>负责软件和系统的安全性，预防和应对潜在的安全漏洞和攻击。</w:t>
            </w:r>
          </w:p>
        </w:tc>
        <w:tc>
          <w:tcPr>
            <w:tcW w:w="1058" w:type="dxa"/>
            <w:noWrap/>
            <w:vAlign w:val="center"/>
          </w:tcPr>
          <w:p w14:paraId="7D28E8AE">
            <w:pPr>
              <w:pStyle w:val="11"/>
              <w:rPr>
                <w:rFonts w:hint="default"/>
              </w:rPr>
            </w:pPr>
            <w:r>
              <w:t>1人</w:t>
            </w:r>
          </w:p>
        </w:tc>
        <w:tc>
          <w:tcPr>
            <w:tcW w:w="2308" w:type="dxa"/>
            <w:vAlign w:val="center"/>
          </w:tcPr>
          <w:p w14:paraId="30E97D92">
            <w:pPr>
              <w:pStyle w:val="11"/>
              <w:rPr>
                <w:rFonts w:hint="default"/>
              </w:rPr>
            </w:pPr>
            <w:r>
              <w:t>本科及以上学历，</w:t>
            </w:r>
            <w:r>
              <w:rPr>
                <w:highlight w:val="none"/>
              </w:rPr>
              <w:t>具备</w:t>
            </w:r>
            <w:r>
              <w:rPr>
                <w:rFonts w:hint="eastAsia"/>
                <w:highlight w:val="none"/>
              </w:rPr>
              <w:t>注册信息安全专业人 员（CISP）</w:t>
            </w:r>
            <w:r>
              <w:t>证书。类似项目3 年以上经历。</w:t>
            </w:r>
          </w:p>
        </w:tc>
        <w:tc>
          <w:tcPr>
            <w:tcW w:w="1371" w:type="dxa"/>
            <w:noWrap/>
            <w:vAlign w:val="center"/>
          </w:tcPr>
          <w:p w14:paraId="7A64F9FD">
            <w:pPr>
              <w:pStyle w:val="11"/>
              <w:rPr>
                <w:rFonts w:hint="default"/>
              </w:rPr>
            </w:pPr>
            <w:r>
              <w:t>不驻场</w:t>
            </w:r>
          </w:p>
        </w:tc>
      </w:tr>
      <w:tr w14:paraId="1C0AD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noWrap/>
            <w:vAlign w:val="center"/>
          </w:tcPr>
          <w:p w14:paraId="295BE28D">
            <w:pPr>
              <w:pStyle w:val="11"/>
              <w:rPr>
                <w:rFonts w:hint="eastAsia" w:eastAsia="宋体"/>
                <w:lang w:eastAsia="zh-CN"/>
              </w:rPr>
            </w:pPr>
            <w:r>
              <w:t>研发</w:t>
            </w:r>
            <w:r>
              <w:rPr>
                <w:rFonts w:hint="eastAsia"/>
                <w:lang w:eastAsia="zh-CN"/>
              </w:rPr>
              <w:t>人员</w:t>
            </w:r>
          </w:p>
        </w:tc>
        <w:tc>
          <w:tcPr>
            <w:tcW w:w="2735" w:type="dxa"/>
            <w:noWrap/>
            <w:vAlign w:val="center"/>
          </w:tcPr>
          <w:p w14:paraId="050C82EC">
            <w:pPr>
              <w:pStyle w:val="11"/>
              <w:rPr>
                <w:rFonts w:hint="default"/>
              </w:rPr>
            </w:pPr>
            <w:r>
              <w:t>负责项目具体开发与实施</w:t>
            </w:r>
          </w:p>
        </w:tc>
        <w:tc>
          <w:tcPr>
            <w:tcW w:w="1058" w:type="dxa"/>
            <w:noWrap/>
            <w:vAlign w:val="center"/>
          </w:tcPr>
          <w:p w14:paraId="44CFAAA6">
            <w:pPr>
              <w:pStyle w:val="11"/>
              <w:rPr>
                <w:rFonts w:hint="default"/>
              </w:rPr>
            </w:pPr>
            <w:r>
              <w:t>至少19人</w:t>
            </w:r>
          </w:p>
        </w:tc>
        <w:tc>
          <w:tcPr>
            <w:tcW w:w="2308" w:type="dxa"/>
            <w:vAlign w:val="center"/>
          </w:tcPr>
          <w:p w14:paraId="16B9DC05">
            <w:pPr>
              <w:pStyle w:val="11"/>
              <w:rPr>
                <w:rFonts w:hint="default"/>
              </w:rPr>
            </w:pPr>
            <w:r>
              <w:t>本科及以上学历。</w:t>
            </w:r>
          </w:p>
        </w:tc>
        <w:tc>
          <w:tcPr>
            <w:tcW w:w="1371" w:type="dxa"/>
            <w:noWrap/>
            <w:vAlign w:val="center"/>
          </w:tcPr>
          <w:p w14:paraId="3BFB7052">
            <w:pPr>
              <w:pStyle w:val="11"/>
              <w:rPr>
                <w:rFonts w:hint="default"/>
              </w:rPr>
            </w:pPr>
            <w:r>
              <w:t>驻场不少于5人</w:t>
            </w:r>
          </w:p>
        </w:tc>
      </w:tr>
    </w:tbl>
    <w:p w14:paraId="569DA26A">
      <w:r>
        <w:t>2）</w:t>
      </w:r>
      <w:r>
        <w:rPr>
          <w:rFonts w:hint="eastAsia"/>
        </w:rPr>
        <w:t>投标人应针对本项目提供不少于5人的质保期间支撑团队（其中技术经理1人，安全工程师1人，技术工程师不少于3人），且至少有1名技术工程师驻场服务；投标人的相关服务人员需具备相应的服务能力，需提供相关证明。</w:t>
      </w:r>
    </w:p>
    <w:p w14:paraId="7FD7FB99"/>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1910"/>
        <w:gridCol w:w="1345"/>
        <w:gridCol w:w="2744"/>
        <w:gridCol w:w="1113"/>
      </w:tblGrid>
      <w:tr w14:paraId="6ECB4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4A2DE62C">
            <w:pPr>
              <w:pStyle w:val="11"/>
              <w:rPr>
                <w:rFonts w:hint="default"/>
              </w:rPr>
            </w:pPr>
            <w:r>
              <w:t>角色</w:t>
            </w:r>
          </w:p>
        </w:tc>
        <w:tc>
          <w:tcPr>
            <w:tcW w:w="1910" w:type="dxa"/>
            <w:noWrap/>
            <w:vAlign w:val="center"/>
          </w:tcPr>
          <w:p w14:paraId="4313D48F">
            <w:pPr>
              <w:pStyle w:val="11"/>
              <w:rPr>
                <w:rFonts w:hint="default"/>
              </w:rPr>
            </w:pPr>
            <w:r>
              <w:t>主要职责</w:t>
            </w:r>
          </w:p>
        </w:tc>
        <w:tc>
          <w:tcPr>
            <w:tcW w:w="1345" w:type="dxa"/>
            <w:noWrap/>
            <w:vAlign w:val="center"/>
          </w:tcPr>
          <w:p w14:paraId="029EA1CC">
            <w:pPr>
              <w:pStyle w:val="11"/>
              <w:rPr>
                <w:rFonts w:hint="default"/>
              </w:rPr>
            </w:pPr>
            <w:r>
              <w:t>人员数量</w:t>
            </w:r>
          </w:p>
        </w:tc>
        <w:tc>
          <w:tcPr>
            <w:tcW w:w="2744" w:type="dxa"/>
            <w:vAlign w:val="center"/>
          </w:tcPr>
          <w:p w14:paraId="0255A11F">
            <w:pPr>
              <w:pStyle w:val="11"/>
              <w:rPr>
                <w:rFonts w:hint="default"/>
              </w:rPr>
            </w:pPr>
            <w:r>
              <w:t>人员要求</w:t>
            </w:r>
          </w:p>
        </w:tc>
        <w:tc>
          <w:tcPr>
            <w:tcW w:w="1113" w:type="dxa"/>
            <w:noWrap/>
            <w:vAlign w:val="center"/>
          </w:tcPr>
          <w:p w14:paraId="7837C377">
            <w:pPr>
              <w:pStyle w:val="11"/>
              <w:rPr>
                <w:rFonts w:hint="default"/>
              </w:rPr>
            </w:pPr>
            <w:r>
              <w:t>驻场要求</w:t>
            </w:r>
          </w:p>
        </w:tc>
      </w:tr>
      <w:tr w14:paraId="0DB58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54CD69F4">
            <w:pPr>
              <w:pStyle w:val="11"/>
              <w:rPr>
                <w:rFonts w:hint="default"/>
              </w:rPr>
            </w:pPr>
            <w:r>
              <w:t>技术经理</w:t>
            </w:r>
          </w:p>
        </w:tc>
        <w:tc>
          <w:tcPr>
            <w:tcW w:w="1910" w:type="dxa"/>
            <w:vAlign w:val="center"/>
          </w:tcPr>
          <w:p w14:paraId="47B87E1F">
            <w:pPr>
              <w:pStyle w:val="11"/>
              <w:rPr>
                <w:rFonts w:hint="default"/>
              </w:rPr>
            </w:pPr>
            <w:r>
              <w:t>负责质保期间项目运维任务的制定和管控。</w:t>
            </w:r>
          </w:p>
        </w:tc>
        <w:tc>
          <w:tcPr>
            <w:tcW w:w="1345" w:type="dxa"/>
            <w:noWrap/>
            <w:vAlign w:val="center"/>
          </w:tcPr>
          <w:p w14:paraId="55826970">
            <w:pPr>
              <w:pStyle w:val="11"/>
              <w:rPr>
                <w:rFonts w:hint="default"/>
              </w:rPr>
            </w:pPr>
            <w:r>
              <w:t>1人</w:t>
            </w:r>
          </w:p>
        </w:tc>
        <w:tc>
          <w:tcPr>
            <w:tcW w:w="2744" w:type="dxa"/>
            <w:vAlign w:val="center"/>
          </w:tcPr>
          <w:p w14:paraId="5E47A8A2">
            <w:pPr>
              <w:pStyle w:val="11"/>
              <w:rPr>
                <w:rFonts w:hint="default"/>
              </w:rPr>
            </w:pPr>
            <w:r>
              <w:t>本科及以上学历，具备信息系统项目管理师证书，类似项目 5 年以上经历。</w:t>
            </w:r>
          </w:p>
        </w:tc>
        <w:tc>
          <w:tcPr>
            <w:tcW w:w="1113" w:type="dxa"/>
            <w:noWrap/>
            <w:vAlign w:val="center"/>
          </w:tcPr>
          <w:p w14:paraId="28AEE60A">
            <w:pPr>
              <w:pStyle w:val="11"/>
              <w:rPr>
                <w:rFonts w:hint="default"/>
              </w:rPr>
            </w:pPr>
            <w:r>
              <w:t>不驻场</w:t>
            </w:r>
          </w:p>
        </w:tc>
      </w:tr>
      <w:tr w14:paraId="7F7FA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1416" w:type="dxa"/>
            <w:noWrap/>
            <w:vAlign w:val="center"/>
          </w:tcPr>
          <w:p w14:paraId="7BEF88FB">
            <w:pPr>
              <w:pStyle w:val="11"/>
              <w:rPr>
                <w:rFonts w:hint="default"/>
              </w:rPr>
            </w:pPr>
            <w:r>
              <w:t>安全工程师</w:t>
            </w:r>
          </w:p>
        </w:tc>
        <w:tc>
          <w:tcPr>
            <w:tcW w:w="1910" w:type="dxa"/>
            <w:vAlign w:val="center"/>
          </w:tcPr>
          <w:p w14:paraId="43AB5C6B">
            <w:pPr>
              <w:pStyle w:val="11"/>
              <w:rPr>
                <w:rFonts w:hint="default"/>
              </w:rPr>
            </w:pPr>
            <w:r>
              <w:t>负责质保期间系统安全问题的应对和技术指导。</w:t>
            </w:r>
          </w:p>
        </w:tc>
        <w:tc>
          <w:tcPr>
            <w:tcW w:w="1345" w:type="dxa"/>
            <w:noWrap/>
            <w:vAlign w:val="center"/>
          </w:tcPr>
          <w:p w14:paraId="329FAF7A">
            <w:pPr>
              <w:pStyle w:val="11"/>
              <w:rPr>
                <w:rFonts w:hint="default"/>
              </w:rPr>
            </w:pPr>
            <w:r>
              <w:t>1人</w:t>
            </w:r>
          </w:p>
        </w:tc>
        <w:tc>
          <w:tcPr>
            <w:tcW w:w="2744" w:type="dxa"/>
            <w:vAlign w:val="center"/>
          </w:tcPr>
          <w:p w14:paraId="2EE14901">
            <w:pPr>
              <w:pStyle w:val="11"/>
              <w:rPr>
                <w:rFonts w:hint="default"/>
              </w:rPr>
            </w:pPr>
            <w:r>
              <w:t>本科及以上学历，</w:t>
            </w:r>
            <w:r>
              <w:rPr>
                <w:highlight w:val="none"/>
              </w:rPr>
              <w:t>具备信息安全工程师认证。</w:t>
            </w:r>
            <w:r>
              <w:t>类似项目3 年以上经历。</w:t>
            </w:r>
          </w:p>
        </w:tc>
        <w:tc>
          <w:tcPr>
            <w:tcW w:w="1113" w:type="dxa"/>
            <w:noWrap/>
            <w:vAlign w:val="center"/>
          </w:tcPr>
          <w:p w14:paraId="680671AC">
            <w:pPr>
              <w:pStyle w:val="11"/>
              <w:rPr>
                <w:rFonts w:hint="default"/>
              </w:rPr>
            </w:pPr>
            <w:r>
              <w:t>不驻场</w:t>
            </w:r>
          </w:p>
        </w:tc>
      </w:tr>
      <w:tr w14:paraId="5F113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039F8ED7">
            <w:pPr>
              <w:pStyle w:val="11"/>
              <w:rPr>
                <w:rFonts w:hint="default"/>
              </w:rPr>
            </w:pPr>
            <w:r>
              <w:t>技术工程师</w:t>
            </w:r>
          </w:p>
        </w:tc>
        <w:tc>
          <w:tcPr>
            <w:tcW w:w="1910" w:type="dxa"/>
            <w:vAlign w:val="center"/>
          </w:tcPr>
          <w:p w14:paraId="5D35CB64">
            <w:pPr>
              <w:pStyle w:val="11"/>
              <w:rPr>
                <w:rFonts w:hint="default"/>
              </w:rPr>
            </w:pPr>
            <w:r>
              <w:t>负责项目具体运行维护和故障修复。</w:t>
            </w:r>
          </w:p>
        </w:tc>
        <w:tc>
          <w:tcPr>
            <w:tcW w:w="1345" w:type="dxa"/>
            <w:noWrap/>
            <w:vAlign w:val="center"/>
          </w:tcPr>
          <w:p w14:paraId="503A65C3">
            <w:pPr>
              <w:pStyle w:val="11"/>
              <w:rPr>
                <w:rFonts w:hint="default"/>
              </w:rPr>
            </w:pPr>
            <w:r>
              <w:t>至少3人</w:t>
            </w:r>
          </w:p>
        </w:tc>
        <w:tc>
          <w:tcPr>
            <w:tcW w:w="2744" w:type="dxa"/>
            <w:vAlign w:val="center"/>
          </w:tcPr>
          <w:p w14:paraId="7C9EA785">
            <w:pPr>
              <w:pStyle w:val="11"/>
              <w:rPr>
                <w:rFonts w:hint="default"/>
              </w:rPr>
            </w:pPr>
            <w:r>
              <w:t>本科及以上学历</w:t>
            </w:r>
          </w:p>
        </w:tc>
        <w:tc>
          <w:tcPr>
            <w:tcW w:w="1113" w:type="dxa"/>
            <w:noWrap/>
            <w:vAlign w:val="center"/>
          </w:tcPr>
          <w:p w14:paraId="2635A524">
            <w:pPr>
              <w:pStyle w:val="11"/>
              <w:rPr>
                <w:rFonts w:hint="default"/>
              </w:rPr>
            </w:pPr>
            <w:r>
              <w:t>驻场不少于1人</w:t>
            </w:r>
          </w:p>
        </w:tc>
      </w:tr>
    </w:tbl>
    <w:p w14:paraId="0319EFAB">
      <w:pPr>
        <w:pStyle w:val="3"/>
      </w:pPr>
      <w:bookmarkStart w:id="33" w:name="_Toc63785511"/>
      <w:r>
        <w:t>等级保护要求</w:t>
      </w:r>
      <w:bookmarkEnd w:id="33"/>
    </w:p>
    <w:p w14:paraId="19411E17">
      <w:pPr>
        <w:rPr>
          <w:rFonts w:ascii="仿宋_GB2312" w:eastAsia="仿宋_GB2312" w:cs="仿宋_GB2312"/>
          <w:kern w:val="0"/>
          <w:sz w:val="28"/>
          <w:szCs w:val="28"/>
        </w:rPr>
      </w:pPr>
      <w:r>
        <w:t>本项目等级保护要求：</w:t>
      </w:r>
      <w:r>
        <w:rPr>
          <w:rFonts w:hint="eastAsia"/>
        </w:rPr>
        <w:t>三级。</w:t>
      </w:r>
    </w:p>
    <w:p w14:paraId="0744992A">
      <w:pPr>
        <w:pStyle w:val="3"/>
      </w:pPr>
      <w:r>
        <w:rPr>
          <w:rFonts w:hint="eastAsia"/>
        </w:rPr>
        <w:t>商业密码应用需求</w:t>
      </w:r>
    </w:p>
    <w:p w14:paraId="485C004F">
      <w:r>
        <w:rPr>
          <w:rFonts w:hint="eastAsia"/>
        </w:rPr>
        <w:t>参照商业密码应用第三级建设。基于电子政务云平台提供的安全认证网关、签名验签、数据库加密等密码服务以及系统的应用功能，需开发适配若干密码应用功能模块，以实现网络和通信、设备和计算、应用和数据等层面的各密码应用功能。</w:t>
      </w:r>
    </w:p>
    <w:tbl>
      <w:tblPr>
        <w:tblStyle w:val="7"/>
        <w:tblW w:w="5500" w:type="pct"/>
        <w:jc w:val="center"/>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1634"/>
        <w:gridCol w:w="2775"/>
        <w:gridCol w:w="1605"/>
        <w:gridCol w:w="2091"/>
      </w:tblGrid>
      <w:tr w14:paraId="65ED376C">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238" w:type="dxa"/>
            <w:shd w:val="clear" w:color="auto" w:fill="D9D9D9"/>
            <w:vAlign w:val="center"/>
          </w:tcPr>
          <w:p w14:paraId="5F1A6129">
            <w:pPr>
              <w:pStyle w:val="12"/>
            </w:pPr>
            <w:r>
              <w:t>指标要求</w:t>
            </w:r>
          </w:p>
        </w:tc>
        <w:tc>
          <w:tcPr>
            <w:tcW w:w="1587" w:type="dxa"/>
            <w:shd w:val="clear" w:color="auto" w:fill="D9D9D9"/>
            <w:vAlign w:val="center"/>
          </w:tcPr>
          <w:p w14:paraId="404473F4">
            <w:pPr>
              <w:pStyle w:val="12"/>
            </w:pPr>
            <w:r>
              <w:t>密码技术应用点</w:t>
            </w:r>
          </w:p>
        </w:tc>
        <w:tc>
          <w:tcPr>
            <w:tcW w:w="2694" w:type="dxa"/>
            <w:shd w:val="clear" w:color="auto" w:fill="D9D9D9"/>
            <w:vAlign w:val="center"/>
          </w:tcPr>
          <w:p w14:paraId="69EA0370">
            <w:pPr>
              <w:pStyle w:val="12"/>
            </w:pPr>
            <w:r>
              <w:t>采取措施</w:t>
            </w:r>
          </w:p>
        </w:tc>
        <w:tc>
          <w:tcPr>
            <w:tcW w:w="1559" w:type="dxa"/>
            <w:shd w:val="clear" w:color="auto" w:fill="D9D9D9"/>
            <w:vAlign w:val="center"/>
          </w:tcPr>
          <w:p w14:paraId="6EC946AE">
            <w:pPr>
              <w:pStyle w:val="12"/>
            </w:pPr>
            <w:r>
              <w:t>标准符合性</w:t>
            </w:r>
          </w:p>
          <w:p w14:paraId="6313AFD9">
            <w:pPr>
              <w:pStyle w:val="12"/>
            </w:pPr>
            <w:r>
              <w:t>（符合/</w:t>
            </w:r>
            <w:r>
              <w:rPr>
                <w:rFonts w:hint="eastAsia"/>
              </w:rPr>
              <w:t>部分符合</w:t>
            </w:r>
            <w:r>
              <w:t>/</w:t>
            </w:r>
            <w:r>
              <w:rPr>
                <w:rFonts w:hint="eastAsia"/>
              </w:rPr>
              <w:t>不符合</w:t>
            </w:r>
            <w:r>
              <w:t>/不适用）</w:t>
            </w:r>
          </w:p>
        </w:tc>
        <w:tc>
          <w:tcPr>
            <w:tcW w:w="2030" w:type="dxa"/>
            <w:shd w:val="clear" w:color="auto" w:fill="D9D9D9"/>
            <w:vAlign w:val="center"/>
          </w:tcPr>
          <w:p w14:paraId="7B6B883C">
            <w:pPr>
              <w:pStyle w:val="12"/>
            </w:pPr>
            <w:r>
              <w:t>说明</w:t>
            </w:r>
          </w:p>
          <w:p w14:paraId="61B5E649">
            <w:pPr>
              <w:pStyle w:val="12"/>
            </w:pPr>
            <w:r>
              <w:t>（针对不适用项说明原因及替代性措施）</w:t>
            </w:r>
          </w:p>
        </w:tc>
      </w:tr>
      <w:tr w14:paraId="2602405D">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restart"/>
            <w:vAlign w:val="center"/>
          </w:tcPr>
          <w:p w14:paraId="58809D88">
            <w:pPr>
              <w:pStyle w:val="12"/>
            </w:pPr>
            <w:r>
              <w:t>物理和环境安全</w:t>
            </w:r>
          </w:p>
        </w:tc>
        <w:tc>
          <w:tcPr>
            <w:tcW w:w="1587" w:type="dxa"/>
            <w:vAlign w:val="center"/>
          </w:tcPr>
          <w:p w14:paraId="11DACC03">
            <w:pPr>
              <w:pStyle w:val="12"/>
            </w:pPr>
            <w:r>
              <w:rPr>
                <w:rFonts w:hint="eastAsia"/>
              </w:rPr>
              <w:t>身份鉴别</w:t>
            </w:r>
          </w:p>
        </w:tc>
        <w:tc>
          <w:tcPr>
            <w:tcW w:w="2694" w:type="dxa"/>
            <w:vMerge w:val="restart"/>
            <w:vAlign w:val="center"/>
          </w:tcPr>
          <w:p w14:paraId="58ADF03A">
            <w:pPr>
              <w:pStyle w:val="12"/>
            </w:pPr>
            <w:r>
              <w:rPr>
                <w:rFonts w:hint="eastAsia"/>
              </w:rPr>
              <w:t>系统部署于云平台，其物理和环境安全由云平台提供保障。</w:t>
            </w:r>
          </w:p>
        </w:tc>
        <w:tc>
          <w:tcPr>
            <w:tcW w:w="1559" w:type="dxa"/>
            <w:vAlign w:val="center"/>
          </w:tcPr>
          <w:p w14:paraId="256F5D48">
            <w:pPr>
              <w:pStyle w:val="12"/>
            </w:pPr>
            <w:r>
              <w:rPr>
                <w:rFonts w:hint="eastAsia"/>
              </w:rPr>
              <w:t>符合</w:t>
            </w:r>
          </w:p>
        </w:tc>
        <w:tc>
          <w:tcPr>
            <w:tcW w:w="2030" w:type="dxa"/>
            <w:vMerge w:val="restart"/>
            <w:vAlign w:val="center"/>
          </w:tcPr>
          <w:p w14:paraId="2DCC7082">
            <w:pPr>
              <w:pStyle w:val="12"/>
            </w:pPr>
            <w:r>
              <w:rPr>
                <w:rFonts w:hint="eastAsia"/>
              </w:rPr>
              <w:t>云平台通过密评，已被完全评估。</w:t>
            </w:r>
          </w:p>
        </w:tc>
      </w:tr>
      <w:tr w14:paraId="67E3A557">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0BE83375">
            <w:pPr>
              <w:pStyle w:val="12"/>
            </w:pPr>
          </w:p>
        </w:tc>
        <w:tc>
          <w:tcPr>
            <w:tcW w:w="1587" w:type="dxa"/>
            <w:vAlign w:val="center"/>
          </w:tcPr>
          <w:p w14:paraId="5BE6F496">
            <w:pPr>
              <w:pStyle w:val="12"/>
            </w:pPr>
            <w:r>
              <w:rPr>
                <w:rFonts w:hint="eastAsia"/>
              </w:rPr>
              <w:t>电子门禁记录数据存储完整性</w:t>
            </w:r>
          </w:p>
        </w:tc>
        <w:tc>
          <w:tcPr>
            <w:tcW w:w="2694" w:type="dxa"/>
            <w:vMerge w:val="continue"/>
            <w:vAlign w:val="center"/>
          </w:tcPr>
          <w:p w14:paraId="2A61951A">
            <w:pPr>
              <w:pStyle w:val="12"/>
            </w:pPr>
          </w:p>
        </w:tc>
        <w:tc>
          <w:tcPr>
            <w:tcW w:w="1559" w:type="dxa"/>
            <w:vAlign w:val="center"/>
          </w:tcPr>
          <w:p w14:paraId="7D80E36E">
            <w:pPr>
              <w:pStyle w:val="12"/>
            </w:pPr>
            <w:r>
              <w:rPr>
                <w:rFonts w:hint="eastAsia"/>
              </w:rPr>
              <w:t>符合</w:t>
            </w:r>
          </w:p>
        </w:tc>
        <w:tc>
          <w:tcPr>
            <w:tcW w:w="2030" w:type="dxa"/>
            <w:vMerge w:val="continue"/>
            <w:vAlign w:val="center"/>
          </w:tcPr>
          <w:p w14:paraId="03E69A16">
            <w:pPr>
              <w:pStyle w:val="12"/>
            </w:pPr>
          </w:p>
        </w:tc>
      </w:tr>
      <w:tr w14:paraId="47427B32">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57665585">
            <w:pPr>
              <w:pStyle w:val="12"/>
            </w:pPr>
          </w:p>
        </w:tc>
        <w:tc>
          <w:tcPr>
            <w:tcW w:w="1587" w:type="dxa"/>
            <w:vAlign w:val="center"/>
          </w:tcPr>
          <w:p w14:paraId="59EE24DB">
            <w:pPr>
              <w:pStyle w:val="12"/>
            </w:pPr>
            <w:r>
              <w:rPr>
                <w:rFonts w:hint="eastAsia"/>
              </w:rPr>
              <w:t>视频监控记录数据存储完整性</w:t>
            </w:r>
          </w:p>
        </w:tc>
        <w:tc>
          <w:tcPr>
            <w:tcW w:w="2694" w:type="dxa"/>
            <w:vMerge w:val="continue"/>
            <w:vAlign w:val="center"/>
          </w:tcPr>
          <w:p w14:paraId="3480178C">
            <w:pPr>
              <w:pStyle w:val="12"/>
            </w:pPr>
          </w:p>
        </w:tc>
        <w:tc>
          <w:tcPr>
            <w:tcW w:w="1559" w:type="dxa"/>
            <w:vAlign w:val="center"/>
          </w:tcPr>
          <w:p w14:paraId="64D2AAE6">
            <w:pPr>
              <w:pStyle w:val="12"/>
            </w:pPr>
            <w:r>
              <w:rPr>
                <w:rFonts w:hint="eastAsia"/>
              </w:rPr>
              <w:t>符合</w:t>
            </w:r>
          </w:p>
        </w:tc>
        <w:tc>
          <w:tcPr>
            <w:tcW w:w="2030" w:type="dxa"/>
            <w:vMerge w:val="continue"/>
            <w:vAlign w:val="center"/>
          </w:tcPr>
          <w:p w14:paraId="4ACF00D1">
            <w:pPr>
              <w:pStyle w:val="12"/>
            </w:pPr>
          </w:p>
        </w:tc>
      </w:tr>
      <w:tr w14:paraId="2A4421AC">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restart"/>
            <w:vAlign w:val="center"/>
          </w:tcPr>
          <w:p w14:paraId="4D7A17C8">
            <w:pPr>
              <w:pStyle w:val="12"/>
            </w:pPr>
            <w:r>
              <w:t>网络和通信安全</w:t>
            </w:r>
          </w:p>
        </w:tc>
        <w:tc>
          <w:tcPr>
            <w:tcW w:w="1587" w:type="dxa"/>
            <w:vAlign w:val="center"/>
          </w:tcPr>
          <w:p w14:paraId="1890F454">
            <w:pPr>
              <w:pStyle w:val="12"/>
            </w:pPr>
            <w:r>
              <w:rPr>
                <w:rFonts w:hint="eastAsia"/>
              </w:rPr>
              <w:t>身份鉴别</w:t>
            </w:r>
          </w:p>
        </w:tc>
        <w:tc>
          <w:tcPr>
            <w:tcW w:w="2694" w:type="dxa"/>
            <w:vAlign w:val="center"/>
          </w:tcPr>
          <w:p w14:paraId="4BF9AEC4">
            <w:pPr>
              <w:pStyle w:val="12"/>
            </w:pPr>
            <w:r>
              <w:rPr>
                <w:rFonts w:hint="eastAsia"/>
              </w:rPr>
              <w:t>采用安全认证网关，结合SM</w:t>
            </w:r>
            <w:r>
              <w:t>2</w:t>
            </w:r>
            <w:r>
              <w:rPr>
                <w:rFonts w:hint="eastAsia"/>
              </w:rPr>
              <w:t>算法的数字证书访问认证实现身份鉴别</w:t>
            </w:r>
          </w:p>
        </w:tc>
        <w:tc>
          <w:tcPr>
            <w:tcW w:w="1559" w:type="dxa"/>
            <w:vAlign w:val="center"/>
          </w:tcPr>
          <w:p w14:paraId="6A66A52C">
            <w:pPr>
              <w:pStyle w:val="12"/>
            </w:pPr>
            <w:r>
              <w:rPr>
                <w:rFonts w:hint="eastAsia"/>
              </w:rPr>
              <w:t>符合</w:t>
            </w:r>
          </w:p>
        </w:tc>
        <w:tc>
          <w:tcPr>
            <w:tcW w:w="2030" w:type="dxa"/>
            <w:vAlign w:val="center"/>
          </w:tcPr>
          <w:p w14:paraId="5E195AD2">
            <w:pPr>
              <w:pStyle w:val="12"/>
            </w:pPr>
          </w:p>
        </w:tc>
      </w:tr>
      <w:tr w14:paraId="0CE40397">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251B36EA">
            <w:pPr>
              <w:pStyle w:val="12"/>
            </w:pPr>
          </w:p>
        </w:tc>
        <w:tc>
          <w:tcPr>
            <w:tcW w:w="1587" w:type="dxa"/>
            <w:vAlign w:val="center"/>
          </w:tcPr>
          <w:p w14:paraId="5F003BB7">
            <w:pPr>
              <w:pStyle w:val="12"/>
            </w:pPr>
            <w:r>
              <w:rPr>
                <w:rFonts w:hint="eastAsia"/>
              </w:rPr>
              <w:t>通信数据完整性</w:t>
            </w:r>
          </w:p>
        </w:tc>
        <w:tc>
          <w:tcPr>
            <w:tcW w:w="2694" w:type="dxa"/>
            <w:vAlign w:val="center"/>
          </w:tcPr>
          <w:p w14:paraId="3F964114">
            <w:pPr>
              <w:pStyle w:val="12"/>
            </w:pPr>
            <w:r>
              <w:rPr>
                <w:rFonts w:hint="eastAsia"/>
              </w:rPr>
              <w:t>采用安全认证网关，建立GMSSL安全信道结合数字签名技术保证数据完整性</w:t>
            </w:r>
          </w:p>
        </w:tc>
        <w:tc>
          <w:tcPr>
            <w:tcW w:w="1559" w:type="dxa"/>
            <w:vAlign w:val="center"/>
          </w:tcPr>
          <w:p w14:paraId="78147CB5">
            <w:pPr>
              <w:pStyle w:val="12"/>
            </w:pPr>
            <w:r>
              <w:rPr>
                <w:rFonts w:hint="eastAsia"/>
              </w:rPr>
              <w:t>符合</w:t>
            </w:r>
          </w:p>
        </w:tc>
        <w:tc>
          <w:tcPr>
            <w:tcW w:w="2030" w:type="dxa"/>
            <w:vAlign w:val="center"/>
          </w:tcPr>
          <w:p w14:paraId="3926BA04">
            <w:pPr>
              <w:pStyle w:val="12"/>
            </w:pPr>
          </w:p>
        </w:tc>
      </w:tr>
      <w:tr w14:paraId="5C318AFF">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4DF5603B">
            <w:pPr>
              <w:pStyle w:val="12"/>
            </w:pPr>
          </w:p>
        </w:tc>
        <w:tc>
          <w:tcPr>
            <w:tcW w:w="1587" w:type="dxa"/>
            <w:vAlign w:val="center"/>
          </w:tcPr>
          <w:p w14:paraId="6117F87B">
            <w:pPr>
              <w:pStyle w:val="12"/>
            </w:pPr>
            <w:r>
              <w:rPr>
                <w:rFonts w:hint="eastAsia"/>
              </w:rPr>
              <w:t>通信过程中重要数据的机密性</w:t>
            </w:r>
          </w:p>
        </w:tc>
        <w:tc>
          <w:tcPr>
            <w:tcW w:w="2694" w:type="dxa"/>
            <w:vAlign w:val="center"/>
          </w:tcPr>
          <w:p w14:paraId="6599689F">
            <w:pPr>
              <w:pStyle w:val="12"/>
            </w:pPr>
            <w:r>
              <w:rPr>
                <w:rFonts w:hint="eastAsia"/>
              </w:rPr>
              <w:t>采用安全认证网关，建立GMSSL安全信道实现机密性</w:t>
            </w:r>
          </w:p>
        </w:tc>
        <w:tc>
          <w:tcPr>
            <w:tcW w:w="1559" w:type="dxa"/>
            <w:vAlign w:val="center"/>
          </w:tcPr>
          <w:p w14:paraId="0B37E4C0">
            <w:pPr>
              <w:pStyle w:val="12"/>
            </w:pPr>
            <w:r>
              <w:rPr>
                <w:rFonts w:hint="eastAsia"/>
              </w:rPr>
              <w:t>符合</w:t>
            </w:r>
          </w:p>
        </w:tc>
        <w:tc>
          <w:tcPr>
            <w:tcW w:w="2030" w:type="dxa"/>
            <w:vAlign w:val="center"/>
          </w:tcPr>
          <w:p w14:paraId="2A199068">
            <w:pPr>
              <w:pStyle w:val="12"/>
            </w:pPr>
          </w:p>
        </w:tc>
      </w:tr>
      <w:tr w14:paraId="242B15F1">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7E829503">
            <w:pPr>
              <w:pStyle w:val="12"/>
            </w:pPr>
          </w:p>
        </w:tc>
        <w:tc>
          <w:tcPr>
            <w:tcW w:w="1587" w:type="dxa"/>
            <w:vAlign w:val="center"/>
          </w:tcPr>
          <w:p w14:paraId="7E14F35D">
            <w:pPr>
              <w:pStyle w:val="12"/>
            </w:pPr>
            <w:r>
              <w:rPr>
                <w:rFonts w:hint="eastAsia"/>
              </w:rPr>
              <w:t>网络边界访问控制信息的完整性</w:t>
            </w:r>
          </w:p>
        </w:tc>
        <w:tc>
          <w:tcPr>
            <w:tcW w:w="2694" w:type="dxa"/>
            <w:vAlign w:val="center"/>
          </w:tcPr>
          <w:p w14:paraId="4E0747C1">
            <w:pPr>
              <w:pStyle w:val="12"/>
            </w:pPr>
            <w:r>
              <w:rPr>
                <w:rFonts w:hint="eastAsia"/>
              </w:rPr>
              <w:t>系统部署于云平台，其网络</w:t>
            </w:r>
          </w:p>
          <w:p w14:paraId="518C3659">
            <w:pPr>
              <w:pStyle w:val="12"/>
            </w:pPr>
            <w:r>
              <w:rPr>
                <w:rFonts w:hint="eastAsia"/>
              </w:rPr>
              <w:t>边界访问控制信息的完整性</w:t>
            </w:r>
          </w:p>
          <w:p w14:paraId="78F03D49">
            <w:pPr>
              <w:pStyle w:val="12"/>
            </w:pPr>
            <w:r>
              <w:rPr>
                <w:rFonts w:hint="eastAsia"/>
              </w:rPr>
              <w:t>由安全认证网关提供保障。</w:t>
            </w:r>
          </w:p>
        </w:tc>
        <w:tc>
          <w:tcPr>
            <w:tcW w:w="1559" w:type="dxa"/>
            <w:vAlign w:val="center"/>
          </w:tcPr>
          <w:p w14:paraId="68D52DBB">
            <w:pPr>
              <w:pStyle w:val="12"/>
            </w:pPr>
            <w:r>
              <w:rPr>
                <w:rFonts w:hint="eastAsia"/>
              </w:rPr>
              <w:t>符合</w:t>
            </w:r>
          </w:p>
        </w:tc>
        <w:tc>
          <w:tcPr>
            <w:tcW w:w="2030" w:type="dxa"/>
            <w:vAlign w:val="center"/>
          </w:tcPr>
          <w:p w14:paraId="7E67D412">
            <w:pPr>
              <w:pStyle w:val="12"/>
            </w:pPr>
          </w:p>
        </w:tc>
      </w:tr>
      <w:tr w14:paraId="668B831F">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3FD2C264">
            <w:pPr>
              <w:pStyle w:val="12"/>
            </w:pPr>
          </w:p>
        </w:tc>
        <w:tc>
          <w:tcPr>
            <w:tcW w:w="1587" w:type="dxa"/>
            <w:vAlign w:val="center"/>
          </w:tcPr>
          <w:p w14:paraId="604BE9C9">
            <w:pPr>
              <w:pStyle w:val="12"/>
            </w:pPr>
            <w:r>
              <w:rPr>
                <w:rFonts w:hint="eastAsia"/>
              </w:rPr>
              <w:t>安全接入认证</w:t>
            </w:r>
          </w:p>
        </w:tc>
        <w:tc>
          <w:tcPr>
            <w:tcW w:w="2694" w:type="dxa"/>
            <w:vAlign w:val="center"/>
          </w:tcPr>
          <w:p w14:paraId="241D61F3">
            <w:pPr>
              <w:pStyle w:val="12"/>
            </w:pPr>
            <w:r>
              <w:rPr>
                <w:rFonts w:hint="eastAsia"/>
              </w:rPr>
              <w:t>本系统无外部设备的</w:t>
            </w:r>
          </w:p>
          <w:p w14:paraId="50CD442A">
            <w:pPr>
              <w:pStyle w:val="12"/>
            </w:pPr>
            <w:r>
              <w:rPr>
                <w:rFonts w:hint="eastAsia"/>
              </w:rPr>
              <w:t>接入认证需求</w:t>
            </w:r>
          </w:p>
        </w:tc>
        <w:tc>
          <w:tcPr>
            <w:tcW w:w="1559" w:type="dxa"/>
            <w:vAlign w:val="center"/>
          </w:tcPr>
          <w:p w14:paraId="342684B0">
            <w:pPr>
              <w:pStyle w:val="12"/>
            </w:pPr>
            <w:r>
              <w:rPr>
                <w:rFonts w:hint="eastAsia"/>
              </w:rPr>
              <w:t>不适用</w:t>
            </w:r>
          </w:p>
        </w:tc>
        <w:tc>
          <w:tcPr>
            <w:tcW w:w="2030" w:type="dxa"/>
            <w:vAlign w:val="center"/>
          </w:tcPr>
          <w:p w14:paraId="6DBCBB59">
            <w:pPr>
              <w:pStyle w:val="12"/>
            </w:pPr>
            <w:r>
              <w:rPr>
                <w:rFonts w:hint="eastAsia"/>
              </w:rPr>
              <w:t>无外部接入设备</w:t>
            </w:r>
          </w:p>
        </w:tc>
      </w:tr>
      <w:tr w14:paraId="14B3AD60">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restart"/>
            <w:vAlign w:val="center"/>
          </w:tcPr>
          <w:p w14:paraId="186CF839">
            <w:pPr>
              <w:pStyle w:val="12"/>
            </w:pPr>
            <w:r>
              <w:t>设备和计算安全</w:t>
            </w:r>
          </w:p>
        </w:tc>
        <w:tc>
          <w:tcPr>
            <w:tcW w:w="1587" w:type="dxa"/>
            <w:vAlign w:val="center"/>
          </w:tcPr>
          <w:p w14:paraId="327A08A2">
            <w:pPr>
              <w:pStyle w:val="12"/>
            </w:pPr>
            <w:r>
              <w:rPr>
                <w:rFonts w:hint="eastAsia"/>
              </w:rPr>
              <w:t>身份鉴别</w:t>
            </w:r>
          </w:p>
        </w:tc>
        <w:tc>
          <w:tcPr>
            <w:tcW w:w="2694" w:type="dxa"/>
            <w:vAlign w:val="center"/>
          </w:tcPr>
          <w:p w14:paraId="48DB0DC4">
            <w:pPr>
              <w:pStyle w:val="12"/>
            </w:pPr>
            <w:r>
              <w:rPr>
                <w:rFonts w:hint="eastAsia"/>
              </w:rPr>
              <w:t>利用SSL</w:t>
            </w:r>
            <w:r>
              <w:t xml:space="preserve"> </w:t>
            </w:r>
            <w:r>
              <w:rPr>
                <w:rFonts w:hint="eastAsia"/>
              </w:rPr>
              <w:t>VPN和堡垒机实现管理端的身份鉴别，服务器虚拟机、数据库未采用密码技术实现身份鉴别。</w:t>
            </w:r>
          </w:p>
        </w:tc>
        <w:tc>
          <w:tcPr>
            <w:tcW w:w="1559" w:type="dxa"/>
            <w:vAlign w:val="center"/>
          </w:tcPr>
          <w:p w14:paraId="23C63A1C">
            <w:pPr>
              <w:pStyle w:val="12"/>
            </w:pPr>
            <w:r>
              <w:rPr>
                <w:rFonts w:hint="eastAsia"/>
              </w:rPr>
              <w:t>部分符合</w:t>
            </w:r>
          </w:p>
        </w:tc>
        <w:tc>
          <w:tcPr>
            <w:tcW w:w="2030" w:type="dxa"/>
            <w:vAlign w:val="center"/>
          </w:tcPr>
          <w:p w14:paraId="0B92CFC2">
            <w:pPr>
              <w:pStyle w:val="12"/>
            </w:pPr>
            <w:r>
              <w:rPr>
                <w:rFonts w:hint="eastAsia"/>
              </w:rPr>
              <w:t>服务器虚拟机指定堡垒机远程登录运维，通过运维用户S</w:t>
            </w:r>
            <w:r>
              <w:t>M2</w:t>
            </w:r>
            <w:r>
              <w:rPr>
                <w:rFonts w:hint="eastAsia"/>
              </w:rPr>
              <w:t>算法数字证书及S</w:t>
            </w:r>
            <w:r>
              <w:t>SLVPN</w:t>
            </w:r>
            <w:r>
              <w:rPr>
                <w:rFonts w:hint="eastAsia"/>
              </w:rPr>
              <w:t>进行双向认证以降低风险</w:t>
            </w:r>
          </w:p>
        </w:tc>
      </w:tr>
      <w:tr w14:paraId="55F8EB75">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740C4862">
            <w:pPr>
              <w:pStyle w:val="12"/>
            </w:pPr>
          </w:p>
        </w:tc>
        <w:tc>
          <w:tcPr>
            <w:tcW w:w="1587" w:type="dxa"/>
            <w:vAlign w:val="center"/>
          </w:tcPr>
          <w:p w14:paraId="597B716F">
            <w:pPr>
              <w:pStyle w:val="12"/>
            </w:pPr>
            <w:r>
              <w:rPr>
                <w:rFonts w:hint="eastAsia"/>
              </w:rPr>
              <w:t>远程管理通道安全</w:t>
            </w:r>
          </w:p>
        </w:tc>
        <w:tc>
          <w:tcPr>
            <w:tcW w:w="2694" w:type="dxa"/>
            <w:vAlign w:val="center"/>
          </w:tcPr>
          <w:p w14:paraId="715EDA57">
            <w:pPr>
              <w:pStyle w:val="12"/>
            </w:pPr>
            <w:r>
              <w:rPr>
                <w:rFonts w:hint="eastAsia"/>
              </w:rPr>
              <w:t>通过SSL</w:t>
            </w:r>
            <w:r>
              <w:t xml:space="preserve"> </w:t>
            </w:r>
            <w:r>
              <w:rPr>
                <w:rFonts w:hint="eastAsia"/>
              </w:rPr>
              <w:t>VPN建立安全信道登录堡垒机实现远程运维，服务器虚拟机、数据库未采用合规的密码技术实现远程管理通道安全。</w:t>
            </w:r>
          </w:p>
        </w:tc>
        <w:tc>
          <w:tcPr>
            <w:tcW w:w="1559" w:type="dxa"/>
            <w:vAlign w:val="center"/>
          </w:tcPr>
          <w:p w14:paraId="0DB1CF01">
            <w:pPr>
              <w:pStyle w:val="12"/>
            </w:pPr>
            <w:r>
              <w:rPr>
                <w:rFonts w:hint="eastAsia"/>
              </w:rPr>
              <w:t>部分符合</w:t>
            </w:r>
          </w:p>
        </w:tc>
        <w:tc>
          <w:tcPr>
            <w:tcW w:w="2030" w:type="dxa"/>
            <w:vAlign w:val="center"/>
          </w:tcPr>
          <w:p w14:paraId="0C463EB4">
            <w:pPr>
              <w:pStyle w:val="12"/>
            </w:pPr>
          </w:p>
        </w:tc>
      </w:tr>
      <w:tr w14:paraId="03E1E76A">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404D43F0">
            <w:pPr>
              <w:pStyle w:val="12"/>
            </w:pPr>
          </w:p>
        </w:tc>
        <w:tc>
          <w:tcPr>
            <w:tcW w:w="1587" w:type="dxa"/>
            <w:vAlign w:val="center"/>
          </w:tcPr>
          <w:p w14:paraId="6E8AC26E">
            <w:pPr>
              <w:pStyle w:val="12"/>
            </w:pPr>
            <w:r>
              <w:rPr>
                <w:rFonts w:hint="eastAsia"/>
              </w:rPr>
              <w:t>系统资源访问控制信息完整性</w:t>
            </w:r>
          </w:p>
        </w:tc>
        <w:tc>
          <w:tcPr>
            <w:tcW w:w="2694" w:type="dxa"/>
            <w:vAlign w:val="center"/>
          </w:tcPr>
          <w:p w14:paraId="0D953BF1">
            <w:pPr>
              <w:pStyle w:val="12"/>
            </w:pPr>
            <w:r>
              <w:rPr>
                <w:rFonts w:hint="eastAsia"/>
              </w:rPr>
              <w:t>采用签名验签技术保证服务器、数据库访问控制信息的完整性</w:t>
            </w:r>
          </w:p>
        </w:tc>
        <w:tc>
          <w:tcPr>
            <w:tcW w:w="1559" w:type="dxa"/>
            <w:vAlign w:val="center"/>
          </w:tcPr>
          <w:p w14:paraId="3611DD04">
            <w:pPr>
              <w:pStyle w:val="12"/>
            </w:pPr>
            <w:r>
              <w:rPr>
                <w:rFonts w:hint="eastAsia"/>
              </w:rPr>
              <w:t>符合</w:t>
            </w:r>
          </w:p>
        </w:tc>
        <w:tc>
          <w:tcPr>
            <w:tcW w:w="2030" w:type="dxa"/>
            <w:vAlign w:val="center"/>
          </w:tcPr>
          <w:p w14:paraId="126EE47B">
            <w:pPr>
              <w:pStyle w:val="12"/>
            </w:pPr>
          </w:p>
        </w:tc>
      </w:tr>
      <w:tr w14:paraId="203E8B38">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7B1BFE3E">
            <w:pPr>
              <w:pStyle w:val="12"/>
            </w:pPr>
          </w:p>
        </w:tc>
        <w:tc>
          <w:tcPr>
            <w:tcW w:w="1587" w:type="dxa"/>
            <w:vAlign w:val="center"/>
          </w:tcPr>
          <w:p w14:paraId="5A0CC36E">
            <w:pPr>
              <w:pStyle w:val="12"/>
            </w:pPr>
            <w:r>
              <w:rPr>
                <w:rFonts w:hint="eastAsia"/>
              </w:rPr>
              <w:t>重要信息资源安全标记的完整性</w:t>
            </w:r>
          </w:p>
        </w:tc>
        <w:tc>
          <w:tcPr>
            <w:tcW w:w="2694" w:type="dxa"/>
            <w:vAlign w:val="center"/>
          </w:tcPr>
          <w:p w14:paraId="3C1B5549">
            <w:pPr>
              <w:pStyle w:val="12"/>
            </w:pPr>
            <w:r>
              <w:rPr>
                <w:rFonts w:hint="eastAsia"/>
              </w:rPr>
              <w:t>本系统不涉及重要信息资源安全标记。</w:t>
            </w:r>
          </w:p>
        </w:tc>
        <w:tc>
          <w:tcPr>
            <w:tcW w:w="1559" w:type="dxa"/>
            <w:vAlign w:val="center"/>
          </w:tcPr>
          <w:p w14:paraId="600C42B3">
            <w:pPr>
              <w:pStyle w:val="12"/>
            </w:pPr>
            <w:r>
              <w:rPr>
                <w:rFonts w:hint="eastAsia"/>
              </w:rPr>
              <w:t>不适用</w:t>
            </w:r>
          </w:p>
        </w:tc>
        <w:tc>
          <w:tcPr>
            <w:tcW w:w="2030" w:type="dxa"/>
            <w:vAlign w:val="center"/>
          </w:tcPr>
          <w:p w14:paraId="222DE256">
            <w:pPr>
              <w:pStyle w:val="12"/>
            </w:pPr>
            <w:r>
              <w:rPr>
                <w:rFonts w:hint="eastAsia"/>
              </w:rPr>
              <w:t>无重要信息资源安全标记</w:t>
            </w:r>
          </w:p>
        </w:tc>
      </w:tr>
      <w:tr w14:paraId="44368BDD">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72280E1A">
            <w:pPr>
              <w:pStyle w:val="12"/>
            </w:pPr>
          </w:p>
        </w:tc>
        <w:tc>
          <w:tcPr>
            <w:tcW w:w="1587" w:type="dxa"/>
            <w:vAlign w:val="center"/>
          </w:tcPr>
          <w:p w14:paraId="15053328">
            <w:pPr>
              <w:pStyle w:val="12"/>
            </w:pPr>
            <w:r>
              <w:rPr>
                <w:rFonts w:hint="eastAsia"/>
              </w:rPr>
              <w:t>日志记录完整性</w:t>
            </w:r>
          </w:p>
        </w:tc>
        <w:tc>
          <w:tcPr>
            <w:tcW w:w="2694" w:type="dxa"/>
            <w:vAlign w:val="center"/>
          </w:tcPr>
          <w:p w14:paraId="307792C6">
            <w:pPr>
              <w:pStyle w:val="12"/>
            </w:pPr>
            <w:r>
              <w:rPr>
                <w:rFonts w:hint="eastAsia"/>
              </w:rPr>
              <w:t>采用签名验签技术保证服务器、数据库日志记录的完整性</w:t>
            </w:r>
          </w:p>
        </w:tc>
        <w:tc>
          <w:tcPr>
            <w:tcW w:w="1559" w:type="dxa"/>
            <w:vAlign w:val="center"/>
          </w:tcPr>
          <w:p w14:paraId="5EDBF84F">
            <w:pPr>
              <w:pStyle w:val="12"/>
            </w:pPr>
            <w:r>
              <w:rPr>
                <w:rFonts w:hint="eastAsia"/>
              </w:rPr>
              <w:t>符合</w:t>
            </w:r>
          </w:p>
        </w:tc>
        <w:tc>
          <w:tcPr>
            <w:tcW w:w="2030" w:type="dxa"/>
            <w:vAlign w:val="center"/>
          </w:tcPr>
          <w:p w14:paraId="09639CBE">
            <w:pPr>
              <w:pStyle w:val="12"/>
            </w:pPr>
          </w:p>
        </w:tc>
      </w:tr>
      <w:tr w14:paraId="175A804B">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3355058A">
            <w:pPr>
              <w:pStyle w:val="12"/>
            </w:pPr>
          </w:p>
        </w:tc>
        <w:tc>
          <w:tcPr>
            <w:tcW w:w="1587" w:type="dxa"/>
            <w:vAlign w:val="center"/>
          </w:tcPr>
          <w:p w14:paraId="20CF8385">
            <w:pPr>
              <w:pStyle w:val="12"/>
            </w:pPr>
            <w:r>
              <w:rPr>
                <w:rFonts w:hint="eastAsia"/>
              </w:rPr>
              <w:t>重要可执行程序完整性、重要可执行程序来源真实性</w:t>
            </w:r>
          </w:p>
        </w:tc>
        <w:tc>
          <w:tcPr>
            <w:tcW w:w="2694" w:type="dxa"/>
            <w:vAlign w:val="center"/>
          </w:tcPr>
          <w:p w14:paraId="75D166D7">
            <w:pPr>
              <w:pStyle w:val="12"/>
            </w:pPr>
            <w:r>
              <w:rPr>
                <w:rFonts w:hint="eastAsia"/>
              </w:rPr>
              <w:t>服务器虚拟机调用签名验签服务实现重要可执行程序完整性、来源真实性保护。</w:t>
            </w:r>
          </w:p>
        </w:tc>
        <w:tc>
          <w:tcPr>
            <w:tcW w:w="1559" w:type="dxa"/>
            <w:vAlign w:val="center"/>
          </w:tcPr>
          <w:p w14:paraId="4AB57CEE">
            <w:pPr>
              <w:pStyle w:val="12"/>
            </w:pPr>
            <w:r>
              <w:rPr>
                <w:rFonts w:hint="eastAsia"/>
              </w:rPr>
              <w:t>符合</w:t>
            </w:r>
          </w:p>
        </w:tc>
        <w:tc>
          <w:tcPr>
            <w:tcW w:w="2030" w:type="dxa"/>
            <w:vAlign w:val="center"/>
          </w:tcPr>
          <w:p w14:paraId="0E2D6B5C">
            <w:pPr>
              <w:pStyle w:val="12"/>
            </w:pPr>
          </w:p>
        </w:tc>
      </w:tr>
      <w:tr w14:paraId="59FA05AB">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restart"/>
            <w:vAlign w:val="center"/>
          </w:tcPr>
          <w:p w14:paraId="0D5324BF">
            <w:pPr>
              <w:pStyle w:val="12"/>
            </w:pPr>
            <w:r>
              <w:rPr>
                <w:rFonts w:hint="eastAsia"/>
              </w:rPr>
              <w:t>应用和数据安全</w:t>
            </w:r>
          </w:p>
        </w:tc>
        <w:tc>
          <w:tcPr>
            <w:tcW w:w="1587" w:type="dxa"/>
            <w:vAlign w:val="center"/>
          </w:tcPr>
          <w:p w14:paraId="01FACA42">
            <w:pPr>
              <w:pStyle w:val="12"/>
            </w:pPr>
            <w:r>
              <w:rPr>
                <w:rFonts w:hint="eastAsia"/>
              </w:rPr>
              <w:t>身份鉴别</w:t>
            </w:r>
          </w:p>
        </w:tc>
        <w:tc>
          <w:tcPr>
            <w:tcW w:w="2694" w:type="dxa"/>
            <w:vAlign w:val="center"/>
          </w:tcPr>
          <w:p w14:paraId="32CB1F9E">
            <w:pPr>
              <w:pStyle w:val="12"/>
            </w:pPr>
            <w:r>
              <w:rPr>
                <w:rFonts w:hint="eastAsia"/>
              </w:rPr>
              <w:t>互联网企业用户通过调随申办身份认证服务实现身份鉴别；</w:t>
            </w:r>
          </w:p>
          <w:p w14:paraId="652A1758">
            <w:pPr>
              <w:pStyle w:val="12"/>
            </w:pPr>
            <w:r>
              <w:rPr>
                <w:rFonts w:hint="eastAsia"/>
              </w:rPr>
              <w:t>互联网</w:t>
            </w:r>
            <w:r>
              <w:t>管理</w:t>
            </w:r>
            <w:r>
              <w:rPr>
                <w:rFonts w:hint="eastAsia"/>
              </w:rPr>
              <w:t>用户通过搭载SM2算法数字证书的USBKEY、国密浏览器与安全认证网关进行基于国密SSL协议的双向认证，实现PC端用户的身份鉴别。</w:t>
            </w:r>
          </w:p>
          <w:p w14:paraId="75D96EB2">
            <w:pPr>
              <w:pStyle w:val="12"/>
            </w:pPr>
            <w:r>
              <w:rPr>
                <w:rFonts w:hint="eastAsia"/>
              </w:rPr>
              <w:t>政务外网用户通过搭载SM2算法数字证书的USBKEY与安全认证网关进行基于国密SSL协议的双向认证，实现PC端用户的身份鉴别</w:t>
            </w:r>
          </w:p>
        </w:tc>
        <w:tc>
          <w:tcPr>
            <w:tcW w:w="1559" w:type="dxa"/>
            <w:vAlign w:val="center"/>
          </w:tcPr>
          <w:p w14:paraId="02E72985">
            <w:pPr>
              <w:pStyle w:val="12"/>
            </w:pPr>
            <w:r>
              <w:rPr>
                <w:rFonts w:hint="eastAsia"/>
              </w:rPr>
              <w:t>部分符合</w:t>
            </w:r>
          </w:p>
        </w:tc>
        <w:tc>
          <w:tcPr>
            <w:tcW w:w="2030" w:type="dxa"/>
            <w:vAlign w:val="center"/>
          </w:tcPr>
          <w:p w14:paraId="2857EA92">
            <w:pPr>
              <w:pStyle w:val="12"/>
            </w:pPr>
          </w:p>
        </w:tc>
      </w:tr>
      <w:tr w14:paraId="10035064">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3352215C">
            <w:pPr>
              <w:pStyle w:val="12"/>
            </w:pPr>
          </w:p>
        </w:tc>
        <w:tc>
          <w:tcPr>
            <w:tcW w:w="1587" w:type="dxa"/>
            <w:vAlign w:val="center"/>
          </w:tcPr>
          <w:p w14:paraId="5C2B01B0">
            <w:pPr>
              <w:pStyle w:val="12"/>
            </w:pPr>
            <w:r>
              <w:rPr>
                <w:rFonts w:hint="eastAsia"/>
              </w:rPr>
              <w:t>访问控制信息完整性</w:t>
            </w:r>
          </w:p>
        </w:tc>
        <w:tc>
          <w:tcPr>
            <w:tcW w:w="2694" w:type="dxa"/>
            <w:vAlign w:val="center"/>
          </w:tcPr>
          <w:p w14:paraId="04B615DF">
            <w:pPr>
              <w:pStyle w:val="12"/>
            </w:pPr>
            <w:r>
              <w:rPr>
                <w:rFonts w:hint="eastAsia"/>
              </w:rPr>
              <w:t>基于签名验签服务，采用SM</w:t>
            </w:r>
            <w:r>
              <w:t>2</w:t>
            </w:r>
            <w:r>
              <w:rPr>
                <w:rFonts w:hint="eastAsia"/>
              </w:rPr>
              <w:t>算法数字签名对权限控制列表进行完整性保护</w:t>
            </w:r>
          </w:p>
        </w:tc>
        <w:tc>
          <w:tcPr>
            <w:tcW w:w="1559" w:type="dxa"/>
            <w:vAlign w:val="center"/>
          </w:tcPr>
          <w:p w14:paraId="2C58ECF3">
            <w:pPr>
              <w:pStyle w:val="12"/>
            </w:pPr>
            <w:r>
              <w:rPr>
                <w:rFonts w:hint="eastAsia"/>
              </w:rPr>
              <w:t>符合</w:t>
            </w:r>
          </w:p>
        </w:tc>
        <w:tc>
          <w:tcPr>
            <w:tcW w:w="2030" w:type="dxa"/>
            <w:vAlign w:val="center"/>
          </w:tcPr>
          <w:p w14:paraId="464EFB26">
            <w:pPr>
              <w:pStyle w:val="12"/>
            </w:pPr>
          </w:p>
        </w:tc>
      </w:tr>
      <w:tr w14:paraId="28184E91">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79A22DB5">
            <w:pPr>
              <w:pStyle w:val="12"/>
            </w:pPr>
          </w:p>
        </w:tc>
        <w:tc>
          <w:tcPr>
            <w:tcW w:w="1587" w:type="dxa"/>
            <w:vAlign w:val="center"/>
          </w:tcPr>
          <w:p w14:paraId="31383E66">
            <w:pPr>
              <w:pStyle w:val="12"/>
            </w:pPr>
            <w:r>
              <w:rPr>
                <w:rFonts w:hint="eastAsia"/>
              </w:rPr>
              <w:t>重要信息资源安全标记完整性</w:t>
            </w:r>
          </w:p>
        </w:tc>
        <w:tc>
          <w:tcPr>
            <w:tcW w:w="2694" w:type="dxa"/>
            <w:vAlign w:val="center"/>
          </w:tcPr>
          <w:p w14:paraId="370BA067">
            <w:pPr>
              <w:pStyle w:val="12"/>
            </w:pPr>
            <w:r>
              <w:rPr>
                <w:rFonts w:hint="eastAsia"/>
              </w:rPr>
              <w:t>本系统不涉及重要信息资源安全标记。</w:t>
            </w:r>
          </w:p>
        </w:tc>
        <w:tc>
          <w:tcPr>
            <w:tcW w:w="1559" w:type="dxa"/>
            <w:vAlign w:val="center"/>
          </w:tcPr>
          <w:p w14:paraId="3E4AE9B7">
            <w:pPr>
              <w:pStyle w:val="12"/>
            </w:pPr>
            <w:r>
              <w:rPr>
                <w:rFonts w:hint="eastAsia"/>
              </w:rPr>
              <w:t>不适用</w:t>
            </w:r>
          </w:p>
        </w:tc>
        <w:tc>
          <w:tcPr>
            <w:tcW w:w="2030" w:type="dxa"/>
            <w:vAlign w:val="center"/>
          </w:tcPr>
          <w:p w14:paraId="4B4960A2">
            <w:pPr>
              <w:pStyle w:val="12"/>
            </w:pPr>
            <w:r>
              <w:rPr>
                <w:rFonts w:hint="eastAsia"/>
              </w:rPr>
              <w:t>无重要信息资源安全标记</w:t>
            </w:r>
          </w:p>
        </w:tc>
      </w:tr>
      <w:tr w14:paraId="3EFAEA42">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12918827">
            <w:pPr>
              <w:pStyle w:val="12"/>
            </w:pPr>
          </w:p>
        </w:tc>
        <w:tc>
          <w:tcPr>
            <w:tcW w:w="1587" w:type="dxa"/>
            <w:vAlign w:val="center"/>
          </w:tcPr>
          <w:p w14:paraId="2FE1B69A">
            <w:pPr>
              <w:pStyle w:val="12"/>
            </w:pPr>
            <w:r>
              <w:rPr>
                <w:rFonts w:hint="eastAsia"/>
              </w:rPr>
              <w:t>重要数据传输机密性</w:t>
            </w:r>
          </w:p>
        </w:tc>
        <w:tc>
          <w:tcPr>
            <w:tcW w:w="2694" w:type="dxa"/>
            <w:vAlign w:val="center"/>
          </w:tcPr>
          <w:p w14:paraId="56CD0422">
            <w:pPr>
              <w:pStyle w:val="12"/>
            </w:pPr>
            <w:r>
              <w:rPr>
                <w:rFonts w:hint="eastAsia"/>
              </w:rPr>
              <w:t>基于安全认证网关，建立GMSSL安全信道保护重要数据传输机密性。</w:t>
            </w:r>
          </w:p>
        </w:tc>
        <w:tc>
          <w:tcPr>
            <w:tcW w:w="1559" w:type="dxa"/>
            <w:vAlign w:val="center"/>
          </w:tcPr>
          <w:p w14:paraId="540A4C1D">
            <w:pPr>
              <w:pStyle w:val="12"/>
            </w:pPr>
            <w:r>
              <w:rPr>
                <w:rFonts w:hint="eastAsia"/>
              </w:rPr>
              <w:t>部分符合</w:t>
            </w:r>
          </w:p>
        </w:tc>
        <w:tc>
          <w:tcPr>
            <w:tcW w:w="2030" w:type="dxa"/>
            <w:vAlign w:val="center"/>
          </w:tcPr>
          <w:p w14:paraId="03AABB07">
            <w:pPr>
              <w:pStyle w:val="12"/>
            </w:pPr>
            <w:r>
              <w:rPr>
                <w:rFonts w:hint="eastAsia"/>
              </w:rPr>
              <w:t>通过网络和通信层面的密码技术来弥补和降低风险。</w:t>
            </w:r>
          </w:p>
        </w:tc>
      </w:tr>
      <w:tr w14:paraId="628FBC04">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260C5F23">
            <w:pPr>
              <w:pStyle w:val="12"/>
            </w:pPr>
          </w:p>
        </w:tc>
        <w:tc>
          <w:tcPr>
            <w:tcW w:w="1587" w:type="dxa"/>
            <w:vAlign w:val="center"/>
          </w:tcPr>
          <w:p w14:paraId="76CA46A3">
            <w:pPr>
              <w:pStyle w:val="12"/>
            </w:pPr>
            <w:r>
              <w:rPr>
                <w:rFonts w:hint="eastAsia"/>
              </w:rPr>
              <w:t>重要数据存储机密性</w:t>
            </w:r>
          </w:p>
        </w:tc>
        <w:tc>
          <w:tcPr>
            <w:tcW w:w="2694" w:type="dxa"/>
            <w:vAlign w:val="center"/>
          </w:tcPr>
          <w:p w14:paraId="7345EA29">
            <w:pPr>
              <w:pStyle w:val="12"/>
            </w:pPr>
            <w:r>
              <w:rPr>
                <w:rFonts w:hint="eastAsia"/>
              </w:rPr>
              <w:t>采用可信密码服务实现结构化数据加密存储</w:t>
            </w:r>
          </w:p>
        </w:tc>
        <w:tc>
          <w:tcPr>
            <w:tcW w:w="1559" w:type="dxa"/>
            <w:vAlign w:val="center"/>
          </w:tcPr>
          <w:p w14:paraId="5621AE6F">
            <w:pPr>
              <w:pStyle w:val="12"/>
            </w:pPr>
            <w:r>
              <w:rPr>
                <w:rFonts w:hint="eastAsia"/>
              </w:rPr>
              <w:t>符合</w:t>
            </w:r>
          </w:p>
        </w:tc>
        <w:tc>
          <w:tcPr>
            <w:tcW w:w="2030" w:type="dxa"/>
            <w:vAlign w:val="center"/>
          </w:tcPr>
          <w:p w14:paraId="6A9EB581">
            <w:pPr>
              <w:pStyle w:val="12"/>
            </w:pPr>
          </w:p>
        </w:tc>
      </w:tr>
      <w:tr w14:paraId="414FF074">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3B0CF816">
            <w:pPr>
              <w:pStyle w:val="12"/>
            </w:pPr>
          </w:p>
        </w:tc>
        <w:tc>
          <w:tcPr>
            <w:tcW w:w="1587" w:type="dxa"/>
            <w:vAlign w:val="center"/>
          </w:tcPr>
          <w:p w14:paraId="733A8E87">
            <w:pPr>
              <w:pStyle w:val="12"/>
            </w:pPr>
            <w:r>
              <w:rPr>
                <w:rFonts w:hint="eastAsia"/>
              </w:rPr>
              <w:t>重要数据传输完整性</w:t>
            </w:r>
          </w:p>
        </w:tc>
        <w:tc>
          <w:tcPr>
            <w:tcW w:w="2694" w:type="dxa"/>
            <w:vAlign w:val="center"/>
          </w:tcPr>
          <w:p w14:paraId="540391DB">
            <w:pPr>
              <w:pStyle w:val="12"/>
            </w:pPr>
            <w:r>
              <w:rPr>
                <w:rFonts w:hint="eastAsia"/>
              </w:rPr>
              <w:t>基于安全认证网关，建立GMSSL安全信道保证重要数据传输完整性。</w:t>
            </w:r>
          </w:p>
        </w:tc>
        <w:tc>
          <w:tcPr>
            <w:tcW w:w="1559" w:type="dxa"/>
            <w:vAlign w:val="center"/>
          </w:tcPr>
          <w:p w14:paraId="391FD009">
            <w:pPr>
              <w:pStyle w:val="12"/>
            </w:pPr>
            <w:r>
              <w:rPr>
                <w:rFonts w:hint="eastAsia"/>
              </w:rPr>
              <w:t>部分符合</w:t>
            </w:r>
          </w:p>
        </w:tc>
        <w:tc>
          <w:tcPr>
            <w:tcW w:w="2030" w:type="dxa"/>
            <w:vAlign w:val="center"/>
          </w:tcPr>
          <w:p w14:paraId="60853713">
            <w:pPr>
              <w:pStyle w:val="12"/>
            </w:pPr>
            <w:r>
              <w:rPr>
                <w:rFonts w:hint="eastAsia"/>
              </w:rPr>
              <w:t>通过网络和通信层面的密码技术来弥补和降低风险。</w:t>
            </w:r>
          </w:p>
        </w:tc>
      </w:tr>
      <w:tr w14:paraId="744635AF">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1FD8CC5C">
            <w:pPr>
              <w:pStyle w:val="12"/>
            </w:pPr>
          </w:p>
        </w:tc>
        <w:tc>
          <w:tcPr>
            <w:tcW w:w="1587" w:type="dxa"/>
            <w:vAlign w:val="center"/>
          </w:tcPr>
          <w:p w14:paraId="456A0567">
            <w:pPr>
              <w:pStyle w:val="12"/>
            </w:pPr>
            <w:r>
              <w:rPr>
                <w:rFonts w:hint="eastAsia"/>
              </w:rPr>
              <w:t>重要数据存储完整性</w:t>
            </w:r>
          </w:p>
        </w:tc>
        <w:tc>
          <w:tcPr>
            <w:tcW w:w="2694" w:type="dxa"/>
            <w:vAlign w:val="center"/>
          </w:tcPr>
          <w:p w14:paraId="204D2EA4">
            <w:pPr>
              <w:pStyle w:val="12"/>
            </w:pPr>
            <w:r>
              <w:rPr>
                <w:rFonts w:hint="eastAsia"/>
              </w:rPr>
              <w:t>基于签名验签服务，采用SM</w:t>
            </w:r>
            <w:r>
              <w:t>2</w:t>
            </w:r>
            <w:r>
              <w:rPr>
                <w:rFonts w:hint="eastAsia"/>
              </w:rPr>
              <w:t>算法数字签名对重要数据进行完整性保护</w:t>
            </w:r>
          </w:p>
        </w:tc>
        <w:tc>
          <w:tcPr>
            <w:tcW w:w="1559" w:type="dxa"/>
            <w:vAlign w:val="center"/>
          </w:tcPr>
          <w:p w14:paraId="13CE2B35">
            <w:pPr>
              <w:pStyle w:val="12"/>
            </w:pPr>
            <w:r>
              <w:rPr>
                <w:rFonts w:hint="eastAsia"/>
              </w:rPr>
              <w:t>符合</w:t>
            </w:r>
          </w:p>
        </w:tc>
        <w:tc>
          <w:tcPr>
            <w:tcW w:w="2030" w:type="dxa"/>
            <w:vAlign w:val="center"/>
          </w:tcPr>
          <w:p w14:paraId="1B379F97">
            <w:pPr>
              <w:pStyle w:val="12"/>
            </w:pPr>
          </w:p>
        </w:tc>
      </w:tr>
      <w:tr w14:paraId="29FD9EE4">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8" w:type="dxa"/>
            <w:vMerge w:val="continue"/>
            <w:vAlign w:val="center"/>
          </w:tcPr>
          <w:p w14:paraId="08D078D7">
            <w:pPr>
              <w:pStyle w:val="12"/>
            </w:pPr>
          </w:p>
        </w:tc>
        <w:tc>
          <w:tcPr>
            <w:tcW w:w="1587" w:type="dxa"/>
            <w:vAlign w:val="center"/>
          </w:tcPr>
          <w:p w14:paraId="24C2ED55">
            <w:pPr>
              <w:pStyle w:val="12"/>
            </w:pPr>
            <w:r>
              <w:rPr>
                <w:rFonts w:hint="eastAsia"/>
              </w:rPr>
              <w:t>不可否认性</w:t>
            </w:r>
          </w:p>
        </w:tc>
        <w:tc>
          <w:tcPr>
            <w:tcW w:w="2694" w:type="dxa"/>
            <w:vAlign w:val="center"/>
          </w:tcPr>
          <w:p w14:paraId="4D1FAFB6">
            <w:pPr>
              <w:pStyle w:val="12"/>
            </w:pPr>
            <w:r>
              <w:rPr>
                <w:rFonts w:hint="eastAsia"/>
              </w:rPr>
              <w:t>不适用</w:t>
            </w:r>
          </w:p>
        </w:tc>
        <w:tc>
          <w:tcPr>
            <w:tcW w:w="1559" w:type="dxa"/>
            <w:vAlign w:val="center"/>
          </w:tcPr>
          <w:p w14:paraId="48E868C6">
            <w:pPr>
              <w:pStyle w:val="12"/>
            </w:pPr>
            <w:r>
              <w:rPr>
                <w:rFonts w:hint="eastAsia"/>
              </w:rPr>
              <w:t>不适用</w:t>
            </w:r>
          </w:p>
        </w:tc>
        <w:tc>
          <w:tcPr>
            <w:tcW w:w="2030" w:type="dxa"/>
            <w:vAlign w:val="center"/>
          </w:tcPr>
          <w:p w14:paraId="30252EB9">
            <w:pPr>
              <w:pStyle w:val="12"/>
            </w:pPr>
          </w:p>
        </w:tc>
      </w:tr>
    </w:tbl>
    <w:p w14:paraId="4A0D34FA"/>
    <w:p w14:paraId="7114EB85">
      <w:pPr>
        <w:pStyle w:val="3"/>
      </w:pPr>
      <w:bookmarkStart w:id="34" w:name="_Toc63785512"/>
      <w:r>
        <w:rPr>
          <w:rFonts w:hint="eastAsia"/>
        </w:rPr>
        <w:t>技术文件要求</w:t>
      </w:r>
    </w:p>
    <w:p w14:paraId="1AC1C893">
      <w:r>
        <w:rPr>
          <w:rFonts w:hint="eastAsia"/>
        </w:rPr>
        <w:t>投标人提供的书面技术资料应能确保系统正常运行所需的管理、运营及维护有关的全套文件。技术文件应该全面、完整、详细。投标人提供的技术文件至少应包括：</w:t>
      </w:r>
    </w:p>
    <w:p w14:paraId="2E8D9491">
      <w:r>
        <w:rPr>
          <w:rFonts w:hint="eastAsia"/>
        </w:rPr>
        <w:t>－</w:t>
      </w:r>
      <w:r>
        <w:t xml:space="preserve"> 系统说明文件； </w:t>
      </w:r>
    </w:p>
    <w:p w14:paraId="6F684574">
      <w:r>
        <w:rPr>
          <w:rFonts w:hint="eastAsia"/>
        </w:rPr>
        <w:t>－</w:t>
      </w:r>
      <w:r>
        <w:t xml:space="preserve"> 技术手册(安装、测试、操作、维护、故障排除等)； </w:t>
      </w:r>
    </w:p>
    <w:p w14:paraId="32E833F9">
      <w:r>
        <w:rPr>
          <w:rFonts w:hint="eastAsia"/>
        </w:rPr>
        <w:t>－</w:t>
      </w:r>
      <w:r>
        <w:t xml:space="preserve"> 项目文档，应该包括：</w:t>
      </w:r>
    </w:p>
    <w:p w14:paraId="50A4E766">
      <w:pPr>
        <w:ind w:left="360"/>
      </w:pPr>
      <w:r>
        <w:t>(1)软件需求说明书</w:t>
      </w:r>
    </w:p>
    <w:p w14:paraId="2E637D76">
      <w:pPr>
        <w:ind w:left="360"/>
      </w:pPr>
      <w:r>
        <w:t>(2)</w:t>
      </w:r>
      <w:r>
        <w:tab/>
      </w:r>
      <w:r>
        <w:t>系统总体设计说明书</w:t>
      </w:r>
    </w:p>
    <w:p w14:paraId="20C1C975">
      <w:pPr>
        <w:ind w:left="360"/>
      </w:pPr>
      <w:r>
        <w:t>(3)</w:t>
      </w:r>
      <w:r>
        <w:tab/>
      </w:r>
      <w:r>
        <w:t>应用软件功能清单</w:t>
      </w:r>
    </w:p>
    <w:p w14:paraId="35323FDA">
      <w:r>
        <w:rPr>
          <w:rFonts w:hint="eastAsia"/>
        </w:rPr>
        <w:t>提供全套技术文件纸介质</w:t>
      </w:r>
      <w:r>
        <w:t>3套以及电子文件1套。</w:t>
      </w:r>
    </w:p>
    <w:p w14:paraId="30A11D4F">
      <w:pPr>
        <w:pStyle w:val="2"/>
        <w:rPr>
          <w:rFonts w:hint="eastAsia"/>
        </w:rPr>
      </w:pPr>
      <w:r>
        <w:rPr>
          <w:rFonts w:hint="eastAsia"/>
          <w:color w:val="auto"/>
          <w:lang w:eastAsia="zh-CN"/>
        </w:rPr>
        <w:t>供应商企业实力</w:t>
      </w:r>
    </w:p>
    <w:p w14:paraId="4B1ECA8C">
      <w:pPr>
        <w:rPr>
          <w:rFonts w:hint="eastAsia"/>
        </w:rPr>
      </w:pPr>
      <w:r>
        <w:rPr>
          <w:rFonts w:hint="eastAsia"/>
        </w:rPr>
        <w:t>供应商具</w:t>
      </w:r>
      <w:bookmarkStart w:id="36" w:name="_GoBack"/>
      <w:r>
        <w:rPr>
          <w:rFonts w:hint="eastAsia"/>
          <w:color w:val="auto"/>
        </w:rPr>
        <w:t>有</w:t>
      </w:r>
      <w:r>
        <w:rPr>
          <w:rFonts w:hint="eastAsia"/>
          <w:color w:val="auto"/>
          <w:vertAlign w:val="baseline"/>
          <w:lang w:eastAsia="zh-CN"/>
        </w:rPr>
        <w:t>信息技术服务管理体系、信息安全管理体系认证</w:t>
      </w:r>
      <w:r>
        <w:rPr>
          <w:rFonts w:hint="eastAsia"/>
          <w:color w:val="auto"/>
        </w:rPr>
        <w:t>证书</w:t>
      </w:r>
      <w:r>
        <w:rPr>
          <w:rFonts w:hint="eastAsia" w:ascii="Times New Roman" w:hAnsi="Times New Roman" w:eastAsia="宋体"/>
          <w:color w:val="auto"/>
          <w:sz w:val="24"/>
          <w:szCs w:val="24"/>
          <w:lang w:val="en-US" w:eastAsia="zh-CN"/>
        </w:rPr>
        <w:t>的，</w:t>
      </w:r>
      <w:bookmarkEnd w:id="36"/>
      <w:r>
        <w:rPr>
          <w:rFonts w:hint="eastAsia" w:ascii="Times New Roman" w:hAnsi="Times New Roman" w:eastAsia="宋体"/>
          <w:color w:val="auto"/>
          <w:sz w:val="24"/>
          <w:szCs w:val="24"/>
          <w:lang w:val="en-US" w:eastAsia="zh-CN"/>
        </w:rPr>
        <w:t>承担过政务类信息化软件开发项目的优先考虑。</w:t>
      </w:r>
    </w:p>
    <w:bookmarkEnd w:id="34"/>
    <w:p w14:paraId="485F31B5">
      <w:pPr>
        <w:pStyle w:val="2"/>
      </w:pPr>
      <w:bookmarkStart w:id="35" w:name="_Toc68798863"/>
      <w:r>
        <w:rPr>
          <w:rFonts w:hint="eastAsia"/>
        </w:rPr>
        <w:t>附录</w:t>
      </w:r>
      <w:bookmarkEnd w:id="35"/>
    </w:p>
    <w:p w14:paraId="786AAC11">
      <w:pPr>
        <w:ind w:firstLine="482"/>
        <w:rPr>
          <w:b/>
        </w:rPr>
      </w:pPr>
      <w:r>
        <w:rPr>
          <w:rFonts w:hint="eastAsia"/>
          <w:b/>
        </w:rPr>
        <w:t>若项目建设过程中需符合相关技术标准或规范文件的要求，请将相关文件作为附件列出。</w:t>
      </w:r>
    </w:p>
    <w:p w14:paraId="0C04CDE1">
      <w:pPr>
        <w:ind w:firstLine="482"/>
      </w:pPr>
      <w:r>
        <w:rPr>
          <w:rFonts w:hint="eastAsia"/>
          <w:b/>
        </w:rPr>
        <w:t>参考如下：</w:t>
      </w:r>
    </w:p>
    <w:p w14:paraId="76481B41">
      <w:pPr>
        <w:ind w:firstLine="0" w:firstLineChars="0"/>
        <w:outlineLvl w:val="1"/>
      </w:pPr>
      <w:r>
        <w:rPr>
          <w:rFonts w:hint="eastAsia"/>
        </w:rPr>
        <w:t>1、</w:t>
      </w:r>
      <w:r>
        <w:t>《政务网络安全监测平台总体技术要求》</w:t>
      </w:r>
    </w:p>
    <w:p w14:paraId="556AF557">
      <w:pPr>
        <w:ind w:firstLine="0" w:firstLineChars="0"/>
      </w:pPr>
      <w:r>
        <w:object>
          <v:shape id="_x0000_i1025" o:spt="75" type="#_x0000_t75" style="height:54.75pt;width:77.25pt;" o:ole="t" filled="f" o:preferrelative="t" stroked="f" coordsize="21600,21600">
            <v:path/>
            <v:fill on="f" focussize="0,0"/>
            <v:stroke on="f" joinstyle="miter"/>
            <v:imagedata r:id="rId14" o:title=""/>
            <o:lock v:ext="edit" aspectratio="t"/>
            <w10:wrap type="none"/>
            <w10:anchorlock/>
          </v:shape>
          <o:OLEObject Type="Embed" ProgID="Package" ShapeID="_x0000_i1025" DrawAspect="Icon" ObjectID="_1468075725" r:id="rId13">
            <o:LockedField>false</o:LockedField>
          </o:OLEObject>
        </w:object>
      </w:r>
    </w:p>
    <w:p w14:paraId="1B55D3AB">
      <w:pPr>
        <w:ind w:firstLine="0" w:firstLineChars="0"/>
      </w:pPr>
    </w:p>
    <w:p w14:paraId="317F9F37">
      <w:pPr>
        <w:ind w:firstLine="0" w:firstLineChars="0"/>
        <w:jc w:val="left"/>
        <w:outlineLvl w:val="1"/>
      </w:pPr>
      <w:r>
        <w:rPr>
          <w:rFonts w:hint="eastAsia"/>
        </w:rPr>
        <w:t>2、《上海市电子政务外网建设和运行管理指南（试行）》</w:t>
      </w:r>
    </w:p>
    <w:p w14:paraId="3A8DC051">
      <w:pPr>
        <w:ind w:firstLine="0" w:firstLineChars="0"/>
        <w:jc w:val="left"/>
      </w:pPr>
      <w:r>
        <w:object>
          <v:shape id="_x0000_i1026" o:spt="75" type="#_x0000_t75" style="height:54.75pt;width:77.25pt;" o:ole="t" filled="f" o:preferrelative="t" stroked="f" coordsize="21600,21600">
            <v:path/>
            <v:fill on="f" focussize="0,0"/>
            <v:stroke on="f" joinstyle="miter"/>
            <v:imagedata r:id="rId16" o:title=""/>
            <o:lock v:ext="edit" aspectratio="t"/>
            <w10:wrap type="none"/>
            <w10:anchorlock/>
          </v:shape>
          <o:OLEObject Type="Embed" ProgID="Package" ShapeID="_x0000_i1026" DrawAspect="Icon" ObjectID="_1468075726" r:id="rId15">
            <o:LockedField>false</o:LockedField>
          </o:OLEObject>
        </w:object>
      </w:r>
    </w:p>
    <w:p w14:paraId="6B603D43">
      <w:pPr>
        <w:ind w:firstLine="0" w:firstLineChars="0"/>
        <w:jc w:val="left"/>
        <w:outlineLvl w:val="1"/>
        <w:rPr>
          <w:b/>
          <w:bCs/>
        </w:rPr>
      </w:pPr>
      <w:r>
        <w:rPr>
          <w:rFonts w:hint="eastAsia"/>
        </w:rPr>
        <w:t>3、其他标准</w:t>
      </w:r>
    </w:p>
    <w:p w14:paraId="3F7CEFB2"/>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7A"/>
    <w:family w:val="swiss"/>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
    <w:altName w:val="仿宋_GB2312"/>
    <w:panose1 w:val="02010609060101010101"/>
    <w:charset w:val="86"/>
    <w:family w:val="modern"/>
    <w:pitch w:val="default"/>
    <w:sig w:usb0="00000000" w:usb1="00000000"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Arial">
    <w:altName w:val="DejaVu Sans"/>
    <w:panose1 w:val="00000000000000000000"/>
    <w:charset w:val="00"/>
    <w:family w:val="auto"/>
    <w:pitch w:val="default"/>
    <w:sig w:usb0="00000000" w:usb1="00000000" w:usb2="00000000" w:usb3="00000000" w:csb0="00000000" w:csb1="00000000"/>
  </w:font>
  <w:font w:name="文泉驿微米黑">
    <w:panose1 w:val="020B0606030804020204"/>
    <w:charset w:val="86"/>
    <w:family w:val="auto"/>
    <w:pitch w:val="default"/>
    <w:sig w:usb0="E10002EF" w:usb1="6BDFFCFB" w:usb2="00800036" w:usb3="00000000" w:csb0="603E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EEAA6">
    <w:pPr>
      <w:ind w:firstLine="0" w:firstLineChars="0"/>
      <w:jc w:val="center"/>
    </w:pPr>
    <w:r>
      <w:fldChar w:fldCharType="begin"/>
    </w:r>
    <w:r>
      <w:instrText xml:space="preserve">PAGE   \* MERGEFORMAT</w:instrText>
    </w:r>
    <w:r>
      <w:fldChar w:fldCharType="separate"/>
    </w:r>
    <w:r>
      <w:rPr>
        <w:lang w:val="zh-CN"/>
      </w:rPr>
      <w:t>11</w:t>
    </w:r>
    <w:r>
      <w:rPr>
        <w:lang w:val="zh-CN"/>
      </w:rPr>
      <w:fldChar w:fldCharType="end"/>
    </w:r>
  </w:p>
  <w:p w14:paraId="1EE628E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8044A"/>
  <w:p w14:paraId="6A9E71D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AE521">
    <w:pPr>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3A90B">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09437BF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BB650">
    <w:pPr>
      <w:pStyle w:val="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3F85A"/>
  <w:p w14:paraId="55E9E44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AAE8C">
    <w:pPr>
      <w:pStyle w:val="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isLgl/>
      <w:suff w:val="nothing"/>
      <w:lvlText w:val="%1.%2.%3、"/>
      <w:lvlJc w:val="left"/>
      <w:pPr>
        <w:ind w:left="1069" w:hanging="1069"/>
      </w:pPr>
      <w:rPr>
        <w:rFonts w:hint="default" w:ascii="宋体" w:hAnsi="宋体" w:eastAsia="宋体" w:cs="Arial"/>
      </w:rPr>
    </w:lvl>
    <w:lvl w:ilvl="3" w:tentative="0">
      <w:start w:val="1"/>
      <w:numFmt w:val="decimal"/>
      <w:isLgl/>
      <w:suff w:val="nothing"/>
      <w:lvlText w:val="%1.%2.%3.%4、"/>
      <w:lvlJc w:val="left"/>
      <w:pPr>
        <w:ind w:left="3403" w:hanging="851"/>
      </w:pPr>
    </w:lvl>
    <w:lvl w:ilvl="4" w:tentative="0">
      <w:start w:val="1"/>
      <w:numFmt w:val="decimal"/>
      <w:isLgl/>
      <w:suff w:val="nothing"/>
      <w:lvlText w:val="%1.%2.%3.%4.%5、"/>
      <w:lvlJc w:val="left"/>
      <w:pPr>
        <w:ind w:left="3544" w:hanging="992"/>
      </w:pPr>
      <w:rPr>
        <w:rFonts w:hint="eastAsia"/>
      </w:rPr>
    </w:lvl>
    <w:lvl w:ilvl="5" w:tentative="0">
      <w:start w:val="1"/>
      <w:numFmt w:val="decimal"/>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U0MGM4NDE3YWFlMzA0MWViNTY0Yjg0OThlOTIyYjUifQ=="/>
  </w:docVars>
  <w:rsids>
    <w:rsidRoot w:val="520121C2"/>
    <w:rsid w:val="000A1137"/>
    <w:rsid w:val="00224051"/>
    <w:rsid w:val="002E52E4"/>
    <w:rsid w:val="00345BF5"/>
    <w:rsid w:val="003A689F"/>
    <w:rsid w:val="005555EA"/>
    <w:rsid w:val="005F79F9"/>
    <w:rsid w:val="00686AE0"/>
    <w:rsid w:val="00703C77"/>
    <w:rsid w:val="0083469F"/>
    <w:rsid w:val="00947A20"/>
    <w:rsid w:val="00980312"/>
    <w:rsid w:val="00A81D01"/>
    <w:rsid w:val="00B030D8"/>
    <w:rsid w:val="00B0778C"/>
    <w:rsid w:val="00C202FA"/>
    <w:rsid w:val="00CE0A0C"/>
    <w:rsid w:val="00D97B77"/>
    <w:rsid w:val="00EF00C3"/>
    <w:rsid w:val="01786AFF"/>
    <w:rsid w:val="0903330B"/>
    <w:rsid w:val="09267C87"/>
    <w:rsid w:val="09661521"/>
    <w:rsid w:val="0ABE26FA"/>
    <w:rsid w:val="0D3A63F7"/>
    <w:rsid w:val="0E5723AE"/>
    <w:rsid w:val="11545714"/>
    <w:rsid w:val="1345032A"/>
    <w:rsid w:val="152A7A45"/>
    <w:rsid w:val="15A639EC"/>
    <w:rsid w:val="181024C8"/>
    <w:rsid w:val="241678C4"/>
    <w:rsid w:val="24AA3D15"/>
    <w:rsid w:val="27A9420C"/>
    <w:rsid w:val="28044637"/>
    <w:rsid w:val="2E200339"/>
    <w:rsid w:val="2E7012FD"/>
    <w:rsid w:val="31B91ABD"/>
    <w:rsid w:val="33025D30"/>
    <w:rsid w:val="372D1DD7"/>
    <w:rsid w:val="384D7D48"/>
    <w:rsid w:val="3CCF7CCF"/>
    <w:rsid w:val="3E1043EF"/>
    <w:rsid w:val="3F532DDD"/>
    <w:rsid w:val="43FF301F"/>
    <w:rsid w:val="454A307C"/>
    <w:rsid w:val="498C7C37"/>
    <w:rsid w:val="4A8D11ED"/>
    <w:rsid w:val="4AD773DA"/>
    <w:rsid w:val="4BA206E8"/>
    <w:rsid w:val="4CF7EF3C"/>
    <w:rsid w:val="4D0EEBF9"/>
    <w:rsid w:val="4D99525E"/>
    <w:rsid w:val="520121C2"/>
    <w:rsid w:val="56CB14D9"/>
    <w:rsid w:val="56E77B1E"/>
    <w:rsid w:val="5A0267D9"/>
    <w:rsid w:val="5B336D30"/>
    <w:rsid w:val="63154E85"/>
    <w:rsid w:val="64D75C2F"/>
    <w:rsid w:val="6960616F"/>
    <w:rsid w:val="69C27DBD"/>
    <w:rsid w:val="6CC224C4"/>
    <w:rsid w:val="6F6B0B29"/>
    <w:rsid w:val="780A11FC"/>
    <w:rsid w:val="7C9B4C05"/>
    <w:rsid w:val="7DDB5172"/>
    <w:rsid w:val="7E53034C"/>
    <w:rsid w:val="BB7CD199"/>
    <w:rsid w:val="BDDF0CCC"/>
    <w:rsid w:val="D1F78C7E"/>
    <w:rsid w:val="DFB7FBF4"/>
    <w:rsid w:val="EB7F6D80"/>
    <w:rsid w:val="FBFF0BAE"/>
    <w:rsid w:val="FC720A8B"/>
    <w:rsid w:val="FF7C4186"/>
    <w:rsid w:val="FF9F6556"/>
    <w:rsid w:val="FFDE2541"/>
    <w:rsid w:val="FFFFB9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qFormat/>
    <w:uiPriority w:val="9"/>
    <w:pPr>
      <w:keepNext/>
      <w:keepLines/>
      <w:numPr>
        <w:ilvl w:val="1"/>
        <w:numId w:val="1"/>
      </w:numPr>
      <w:spacing w:before="120" w:after="120"/>
      <w:ind w:firstLine="0" w:firstLineChars="0"/>
      <w:outlineLvl w:val="1"/>
    </w:pPr>
    <w:rPr>
      <w:b/>
      <w:bCs/>
      <w:sz w:val="30"/>
      <w:szCs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15"/>
    <w:qFormat/>
    <w:uiPriority w:val="0"/>
    <w:pPr>
      <w:jc w:val="left"/>
    </w:pPr>
  </w:style>
  <w:style w:type="paragraph" w:styleId="5">
    <w:name w:val="header"/>
    <w:basedOn w:val="1"/>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6">
    <w:name w:val="annotation subject"/>
    <w:basedOn w:val="4"/>
    <w:next w:val="4"/>
    <w:link w:val="16"/>
    <w:qFormat/>
    <w:uiPriority w:val="0"/>
    <w:rPr>
      <w:b/>
      <w:bCs/>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qFormat/>
    <w:uiPriority w:val="0"/>
    <w:rPr>
      <w:sz w:val="21"/>
      <w:szCs w:val="21"/>
    </w:rPr>
  </w:style>
  <w:style w:type="paragraph" w:customStyle="1" w:styleId="11">
    <w:name w:val="表格"/>
    <w:basedOn w:val="1"/>
    <w:qFormat/>
    <w:uiPriority w:val="0"/>
    <w:pPr>
      <w:spacing w:line="240" w:lineRule="auto"/>
      <w:ind w:firstLine="0" w:firstLineChars="0"/>
      <w:jc w:val="center"/>
    </w:pPr>
    <w:rPr>
      <w:rFonts w:hint="eastAsia"/>
      <w:sz w:val="21"/>
    </w:rPr>
  </w:style>
  <w:style w:type="paragraph" w:customStyle="1" w:styleId="12">
    <w:name w:val="表格正文"/>
    <w:basedOn w:val="1"/>
    <w:qFormat/>
    <w:uiPriority w:val="0"/>
    <w:pPr>
      <w:spacing w:line="240" w:lineRule="auto"/>
      <w:ind w:firstLine="0" w:firstLineChars="0"/>
      <w:jc w:val="center"/>
    </w:pPr>
    <w:rPr>
      <w:rFonts w:ascii="仿宋" w:hAnsi="仿宋" w:cstheme="minorBidi"/>
      <w:sz w:val="21"/>
    </w:rPr>
  </w:style>
  <w:style w:type="paragraph" w:customStyle="1" w:styleId="13">
    <w:name w:val="列出段落1"/>
    <w:basedOn w:val="1"/>
    <w:qFormat/>
    <w:uiPriority w:val="34"/>
    <w:pPr>
      <w:spacing w:line="240" w:lineRule="auto"/>
      <w:ind w:firstLine="420"/>
    </w:pPr>
    <w:rPr>
      <w:rFonts w:ascii="Calibri" w:hAnsi="Calibri"/>
      <w:sz w:val="21"/>
      <w:szCs w:val="22"/>
    </w:rPr>
  </w:style>
  <w:style w:type="paragraph" w:customStyle="1" w:styleId="14">
    <w:name w:val="修订1"/>
    <w:hidden/>
    <w:unhideWhenUsed/>
    <w:qFormat/>
    <w:uiPriority w:val="99"/>
    <w:rPr>
      <w:rFonts w:ascii="宋体" w:hAnsi="宋体" w:eastAsia="宋体" w:cs="Times New Roman"/>
      <w:kern w:val="2"/>
      <w:sz w:val="24"/>
      <w:szCs w:val="24"/>
      <w:lang w:val="en-US" w:eastAsia="zh-CN" w:bidi="ar-SA"/>
    </w:rPr>
  </w:style>
  <w:style w:type="character" w:customStyle="1" w:styleId="15">
    <w:name w:val="批注文字 字符"/>
    <w:basedOn w:val="9"/>
    <w:link w:val="4"/>
    <w:qFormat/>
    <w:uiPriority w:val="0"/>
    <w:rPr>
      <w:rFonts w:ascii="宋体" w:hAnsi="宋体"/>
      <w:kern w:val="2"/>
      <w:sz w:val="24"/>
      <w:szCs w:val="24"/>
    </w:rPr>
  </w:style>
  <w:style w:type="character" w:customStyle="1" w:styleId="16">
    <w:name w:val="批注主题 字符"/>
    <w:basedOn w:val="15"/>
    <w:link w:val="6"/>
    <w:qFormat/>
    <w:uiPriority w:val="0"/>
    <w:rPr>
      <w:rFonts w:ascii="宋体" w:hAnsi="宋体"/>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上海市分公司</Company>
  <Pages>25</Pages>
  <Words>25959</Words>
  <Characters>26505</Characters>
  <Lines>197</Lines>
  <Paragraphs>55</Paragraphs>
  <TotalTime>13</TotalTime>
  <ScaleCrop>false</ScaleCrop>
  <LinksUpToDate>false</LinksUpToDate>
  <CharactersWithSpaces>26558</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2025-12-22T22:28:00Z</dcterms:created>
  <dc:creator>涂钢</dc:creator>
  <cp:lastModifiedBy>user</cp:lastModifiedBy>
  <dcterms:modified xsi:type="dcterms:W3CDTF">2026-01-27T15:29:09Z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EE321DCE8D3D610D2B697869618998AE_43</vt:lpwstr>
  </property>
  <property fmtid="{D5CDD505-2E9C-101B-9397-08002B2CF9AE}" pid="4" name="KSOTemplateDocerSaveRecord">
    <vt:lpwstr>eyJoZGlkIjoiZjA1MTMxYjczMDAzZjJiNjI4NjIyNjdlMzE5YjM0NDkiLCJ1c2VySWQiOiI0MTU0NDAxMDcifQ==</vt:lpwstr>
  </property>
</Properties>
</file>