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BFAAB9">
      <w:pPr>
        <w:ind w:firstLine="0" w:firstLineChars="0"/>
        <w:jc w:val="center"/>
        <w:rPr>
          <w:rFonts w:hint="eastAsia" w:ascii="黑体" w:hAnsi="黑体" w:eastAsia="黑体"/>
          <w:sz w:val="48"/>
          <w:szCs w:val="48"/>
        </w:rPr>
      </w:pPr>
    </w:p>
    <w:p w14:paraId="7E6623E3">
      <w:pPr>
        <w:ind w:firstLine="0" w:firstLineChars="0"/>
        <w:jc w:val="center"/>
        <w:rPr>
          <w:rFonts w:hint="eastAsia" w:ascii="黑体" w:hAnsi="黑体" w:eastAsia="黑体"/>
          <w:sz w:val="48"/>
          <w:szCs w:val="48"/>
        </w:rPr>
      </w:pPr>
    </w:p>
    <w:p w14:paraId="0C4D3ACF">
      <w:pPr>
        <w:ind w:firstLine="0" w:firstLineChars="0"/>
        <w:jc w:val="center"/>
        <w:outlineLvl w:val="0"/>
        <w:rPr>
          <w:rFonts w:hint="eastAsia" w:ascii="黑体" w:hAnsi="黑体" w:eastAsia="黑体"/>
          <w:sz w:val="52"/>
          <w:szCs w:val="52"/>
        </w:rPr>
      </w:pPr>
      <w:r>
        <w:rPr>
          <w:rFonts w:hint="eastAsia" w:ascii="黑体" w:hAnsi="黑体" w:eastAsia="黑体"/>
          <w:sz w:val="52"/>
          <w:szCs w:val="52"/>
        </w:rPr>
        <w:t>生态环境质量保障大系统建设项目(2026年升级改造)</w:t>
      </w:r>
    </w:p>
    <w:p w14:paraId="21A379BA">
      <w:pPr>
        <w:ind w:firstLine="0" w:firstLineChars="0"/>
        <w:jc w:val="center"/>
        <w:outlineLvl w:val="0"/>
        <w:rPr>
          <w:rFonts w:hint="eastAsia" w:ascii="黑体" w:hAnsi="黑体" w:eastAsia="黑体"/>
          <w:sz w:val="52"/>
          <w:szCs w:val="52"/>
        </w:rPr>
      </w:pPr>
      <w:r>
        <w:rPr>
          <w:rFonts w:hint="eastAsia" w:ascii="黑体" w:hAnsi="黑体" w:eastAsia="黑体"/>
          <w:sz w:val="52"/>
          <w:szCs w:val="52"/>
        </w:rPr>
        <w:t>采购需求</w:t>
      </w:r>
    </w:p>
    <w:p w14:paraId="71C12485">
      <w:pPr>
        <w:ind w:firstLine="0" w:firstLineChars="0"/>
        <w:jc w:val="center"/>
        <w:rPr>
          <w:rFonts w:hint="eastAsia" w:ascii="黑体" w:hAnsi="黑体" w:eastAsia="黑体"/>
          <w:sz w:val="72"/>
          <w:szCs w:val="72"/>
        </w:rPr>
      </w:pPr>
    </w:p>
    <w:p w14:paraId="26DDD7C1">
      <w:pPr>
        <w:ind w:firstLine="0" w:firstLineChars="0"/>
        <w:jc w:val="center"/>
        <w:rPr>
          <w:rFonts w:hint="eastAsia" w:ascii="黑体" w:hAnsi="黑体" w:eastAsia="黑体"/>
          <w:sz w:val="48"/>
          <w:szCs w:val="48"/>
        </w:rPr>
      </w:pPr>
    </w:p>
    <w:p w14:paraId="385DCE99">
      <w:pPr>
        <w:ind w:firstLine="0" w:firstLineChars="0"/>
        <w:jc w:val="center"/>
        <w:rPr>
          <w:rFonts w:hint="eastAsia" w:ascii="黑体" w:hAnsi="黑体" w:eastAsia="黑体"/>
          <w:sz w:val="52"/>
          <w:szCs w:val="52"/>
        </w:rPr>
      </w:pPr>
    </w:p>
    <w:p w14:paraId="5A29C8E1">
      <w:pPr>
        <w:ind w:firstLine="1040"/>
        <w:rPr>
          <w:rFonts w:hint="eastAsia" w:ascii="黑体" w:hAnsi="黑体" w:eastAsia="黑体"/>
          <w:sz w:val="52"/>
          <w:szCs w:val="52"/>
        </w:rPr>
      </w:pPr>
    </w:p>
    <w:p w14:paraId="5D7A419E">
      <w:pPr>
        <w:rPr>
          <w:rFonts w:hint="eastAsia"/>
        </w:rPr>
      </w:pPr>
    </w:p>
    <w:p w14:paraId="6BDC6AED">
      <w:pPr>
        <w:rPr>
          <w:rFonts w:hint="eastAsia"/>
        </w:rPr>
      </w:pPr>
    </w:p>
    <w:p w14:paraId="7BAED446">
      <w:pPr>
        <w:rPr>
          <w:rFonts w:hint="eastAsia"/>
        </w:rPr>
      </w:pPr>
    </w:p>
    <w:p w14:paraId="19E97EAB">
      <w:pPr>
        <w:rPr>
          <w:rFonts w:hint="eastAsia"/>
        </w:rPr>
      </w:pPr>
    </w:p>
    <w:p w14:paraId="18388936">
      <w:pPr>
        <w:rPr>
          <w:rFonts w:hint="eastAsia"/>
        </w:rPr>
      </w:pPr>
    </w:p>
    <w:p w14:paraId="7F5D8D1F">
      <w:pPr>
        <w:ind w:firstLine="1040"/>
        <w:rPr>
          <w:rFonts w:hint="eastAsia" w:ascii="黑体" w:hAnsi="黑体" w:eastAsia="黑体"/>
          <w:sz w:val="52"/>
          <w:szCs w:val="52"/>
        </w:rPr>
      </w:pPr>
    </w:p>
    <w:p w14:paraId="07DD9376">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6FB8928E">
      <w:pPr>
        <w:pStyle w:val="2"/>
        <w:rPr>
          <w:rFonts w:hint="eastAsia"/>
        </w:rPr>
      </w:pPr>
      <w:bookmarkStart w:id="0" w:name="_Toc63785461"/>
      <w:r>
        <w:rPr>
          <w:rFonts w:hint="eastAsia"/>
        </w:rPr>
        <w:t>项目概况</w:t>
      </w:r>
      <w:bookmarkEnd w:id="0"/>
    </w:p>
    <w:p w14:paraId="40B557E9">
      <w:pPr>
        <w:spacing w:line="560" w:lineRule="exact"/>
        <w:rPr>
          <w:rFonts w:hint="eastAsia"/>
        </w:rPr>
      </w:pPr>
      <w:r>
        <w:rPr>
          <w:rFonts w:hint="eastAsia"/>
        </w:rPr>
        <w:t>生态环境质量保障大系统是上海市生态环境局完成系统整合后的三大系统之一，重点聚焦生态环境质量评价所涉及的水、气、土、噪声、碳、自然生态等环境要素的监测、评价、考核和管理。本次升级改造主要是对该大系统下已经建设的水生态环境质量综合监管子系统、上海市碳排放综合管理子系统进行升级改造，并配套建设碳普惠链和隐私计算子系统，以支撑碳普惠的区块链应用。</w:t>
      </w:r>
    </w:p>
    <w:p w14:paraId="2AE1656F">
      <w:pPr>
        <w:spacing w:line="560" w:lineRule="exact"/>
        <w:outlineLvl w:val="1"/>
        <w:rPr>
          <w:rFonts w:hint="eastAsia"/>
        </w:rPr>
      </w:pPr>
      <w:r>
        <w:rPr>
          <w:rFonts w:hint="eastAsia"/>
        </w:rPr>
        <w:t>（一）水生态环境质量综合监管子系统升级改造</w:t>
      </w:r>
    </w:p>
    <w:p w14:paraId="74581CBE">
      <w:pPr>
        <w:spacing w:line="560" w:lineRule="exact"/>
        <w:rPr>
          <w:rFonts w:hint="eastAsia"/>
        </w:rPr>
      </w:pPr>
      <w:r>
        <w:t>水生态环境质量综合监管子系统</w:t>
      </w:r>
      <w:r>
        <w:rPr>
          <w:rFonts w:hint="eastAsia"/>
        </w:rPr>
        <w:t>于2023年建成并交付使用。</w:t>
      </w:r>
      <w:r>
        <w:t>依据“十四五”生态环境局对污染溯源、预警分析能力的规划要求，以及针对水源地保护常态化检查、“美丽幸福河湖”、联动处置、专题图建设以及社会监督等监管业务需求，本次项目将基于前期建设成果，并通过应用当前“水质指纹”、无人机、遥感智能分析等技术，提升对全市河道、风险源（包括纳管企业）的全面覆盖监管与污染溯源能力，巩固且进一步深化上海生态环境局污染监管数智化转型，助力上海城市水生态环境向数智治理模式推进。</w:t>
      </w:r>
    </w:p>
    <w:p w14:paraId="4B9A0078">
      <w:pPr>
        <w:spacing w:line="560" w:lineRule="exact"/>
        <w:outlineLvl w:val="1"/>
        <w:rPr>
          <w:rFonts w:hint="eastAsia"/>
        </w:rPr>
      </w:pPr>
      <w:r>
        <w:rPr>
          <w:rFonts w:hint="eastAsia"/>
        </w:rPr>
        <w:t>（二）上海市碳排放综合管理子系统升级改造</w:t>
      </w:r>
    </w:p>
    <w:p w14:paraId="6007C9FD">
      <w:pPr>
        <w:spacing w:line="560" w:lineRule="exact"/>
        <w:rPr>
          <w:rFonts w:hint="eastAsia"/>
        </w:rPr>
      </w:pPr>
      <w:r>
        <w:rPr>
          <w:rFonts w:hint="eastAsia"/>
        </w:rPr>
        <w:t>上海市碳排放综合管理子系统于2024年建成并交付使用，主要提供碳普惠管理和初期运营相关工作的基本功能。在碳管理方面，上海市生态环境局负责组织拟订并协调实施本市应对气候变化及温室气体减排、推进绿色低碳发展的重大目标、规划、政策和制度；承担本市碳排放权交易市场建设和管理有关工作；负责气候变化框架公约在本市的履约工作。因此基于工作需要，一方面需要对碳普惠管理功能升级改造，持续开发不同领域的新方法学，并基于方法学搭建对应的减排场景，为了更好地激励市民和企业参与碳普惠行动，需要不断拓展更多的权益商品和服务等；另一方面需要新增大型活动碳中和管理功能、温室气体清单编制及管理功能，对大型活动的碳排放进行精细化管理，加强温室气体数据与生态环境数据融合，推进大气污染治理和温室气体减排措施协同。</w:t>
      </w:r>
    </w:p>
    <w:p w14:paraId="4FBAA5AE">
      <w:pPr>
        <w:spacing w:line="560" w:lineRule="exact"/>
        <w:outlineLvl w:val="1"/>
        <w:rPr>
          <w:rFonts w:hint="eastAsia"/>
        </w:rPr>
      </w:pPr>
      <w:r>
        <w:rPr>
          <w:rFonts w:hint="eastAsia"/>
        </w:rPr>
        <w:t>（三）碳普惠链和隐私计算</w:t>
      </w:r>
    </w:p>
    <w:p w14:paraId="47C05557">
      <w:pPr>
        <w:spacing w:line="560" w:lineRule="exact"/>
        <w:rPr>
          <w:rFonts w:hint="eastAsia"/>
        </w:rPr>
      </w:pPr>
      <w:r>
        <w:rPr>
          <w:rFonts w:hint="eastAsia"/>
        </w:rPr>
        <w:t>碳普惠链和隐私计算是服务上海市碳普惠落地的关键技术支撑，通过区块链技术，由上海市生态环境局牵头，联合上海市发展和改革委员会、上海市交通委员会、上海市地方金融监督管理局、上海市大数据中心等拟作为共识节点或同步节点，共同建立上海碳普惠服务链网络，帮助各参与方开展碳普惠数据资产全生命周期管理。</w:t>
      </w:r>
    </w:p>
    <w:p w14:paraId="0FB671CF">
      <w:pPr>
        <w:spacing w:line="560" w:lineRule="exact"/>
        <w:rPr>
          <w:rFonts w:hint="default" w:eastAsia="宋体"/>
          <w:lang w:val="en-US" w:eastAsia="zh-CN"/>
        </w:rPr>
      </w:pPr>
      <w:r>
        <w:rPr>
          <w:rFonts w:hint="eastAsia"/>
        </w:rPr>
        <w:t>建设期限：合同签订之日起</w:t>
      </w:r>
      <w:r>
        <w:rPr>
          <w:rFonts w:hint="eastAsia"/>
          <w:lang w:val="en-US" w:eastAsia="zh-CN"/>
        </w:rPr>
        <w:t>11个月内</w:t>
      </w:r>
    </w:p>
    <w:p w14:paraId="193F986F">
      <w:pPr>
        <w:spacing w:line="560" w:lineRule="exact"/>
        <w:rPr>
          <w:rFonts w:hint="eastAsia"/>
        </w:rPr>
      </w:pPr>
      <w:r>
        <w:rPr>
          <w:rFonts w:hint="eastAsia"/>
        </w:rPr>
        <w:t>建设地点：三江路55号</w:t>
      </w:r>
    </w:p>
    <w:p w14:paraId="3A155892">
      <w:pPr>
        <w:spacing w:line="560" w:lineRule="exact"/>
        <w:rPr>
          <w:rFonts w:hint="eastAsia"/>
        </w:rPr>
      </w:pPr>
      <w:r>
        <w:rPr>
          <w:rFonts w:hint="eastAsia"/>
        </w:rPr>
        <w:t>预算金额：7775000.00元</w:t>
      </w:r>
    </w:p>
    <w:p w14:paraId="677C1E7C">
      <w:pPr>
        <w:spacing w:line="560" w:lineRule="exact"/>
        <w:rPr>
          <w:rFonts w:hint="eastAsia"/>
        </w:rPr>
      </w:pPr>
      <w:r>
        <w:rPr>
          <w:rFonts w:hint="eastAsia"/>
        </w:rPr>
        <w:t>采购金额（最高限价）：7775000.00元</w:t>
      </w:r>
    </w:p>
    <w:p w14:paraId="2AF7AFF0">
      <w:pPr>
        <w:rPr>
          <w:rFonts w:hint="eastAsia"/>
        </w:rPr>
      </w:pPr>
      <w:r>
        <w:rPr>
          <w:rFonts w:hint="eastAsia"/>
        </w:rPr>
        <w:t>组织形式：集中采购</w:t>
      </w:r>
    </w:p>
    <w:p w14:paraId="16FAD611">
      <w:pPr>
        <w:rPr>
          <w:rFonts w:hint="eastAsia"/>
        </w:rPr>
      </w:pPr>
      <w:r>
        <w:rPr>
          <w:rFonts w:hint="eastAsia"/>
        </w:rPr>
        <w:t>采购方式：公开招标</w:t>
      </w:r>
    </w:p>
    <w:p w14:paraId="070AC6F5">
      <w:pPr>
        <w:rPr>
          <w:rFonts w:hint="eastAsia"/>
        </w:rPr>
      </w:pPr>
      <w:r>
        <w:rPr>
          <w:rFonts w:hint="eastAsia"/>
        </w:rPr>
        <w:t>是否接受联合体投标：否</w:t>
      </w:r>
    </w:p>
    <w:p w14:paraId="501D88AF">
      <w:pPr>
        <w:rPr>
          <w:rFonts w:hint="eastAsia"/>
        </w:rPr>
      </w:pPr>
      <w:r>
        <w:t>是否按</w:t>
      </w:r>
      <w:r>
        <w:rPr>
          <w:rFonts w:hint="eastAsia"/>
          <w:lang w:eastAsia="zh-CN"/>
        </w:rPr>
        <w:t>XC</w:t>
      </w:r>
      <w:r>
        <w:t>要求建设：是</w:t>
      </w:r>
    </w:p>
    <w:p w14:paraId="17D111D2">
      <w:pPr>
        <w:rPr>
          <w:rFonts w:hint="eastAsia"/>
        </w:rPr>
      </w:pPr>
      <w:r>
        <w:rPr>
          <w:rFonts w:hint="eastAsia"/>
        </w:rPr>
        <w:t>运维后所属大系统：生态环境质量保障大系统</w:t>
      </w:r>
    </w:p>
    <w:p w14:paraId="1C90C154">
      <w:pPr>
        <w:pStyle w:val="2"/>
        <w:rPr>
          <w:rFonts w:hint="eastAsia"/>
        </w:rPr>
      </w:pPr>
      <w:bookmarkStart w:id="1" w:name="_Toc47531634"/>
      <w:bookmarkEnd w:id="1"/>
      <w:bookmarkStart w:id="2" w:name="_Toc47537134"/>
      <w:bookmarkEnd w:id="2"/>
      <w:bookmarkStart w:id="3" w:name="_Toc47533256"/>
      <w:bookmarkEnd w:id="3"/>
      <w:bookmarkStart w:id="4" w:name="_Toc47536272"/>
      <w:bookmarkEnd w:id="4"/>
      <w:bookmarkStart w:id="5" w:name="_Toc47532255"/>
      <w:bookmarkEnd w:id="5"/>
      <w:bookmarkStart w:id="6" w:name="_Toc47532891"/>
      <w:bookmarkEnd w:id="6"/>
      <w:bookmarkStart w:id="7" w:name="_Toc47536644"/>
      <w:bookmarkEnd w:id="7"/>
      <w:bookmarkStart w:id="8" w:name="_Toc47539070"/>
      <w:bookmarkEnd w:id="8"/>
      <w:bookmarkStart w:id="9" w:name="_Toc63785463"/>
      <w:bookmarkStart w:id="10" w:name="_Toc48223882"/>
      <w:r>
        <w:rPr>
          <w:rFonts w:hint="eastAsia"/>
        </w:rPr>
        <w:t>建设目标</w:t>
      </w:r>
      <w:bookmarkEnd w:id="9"/>
      <w:bookmarkEnd w:id="10"/>
    </w:p>
    <w:p w14:paraId="5635D08D">
      <w:pPr>
        <w:outlineLvl w:val="1"/>
        <w:rPr>
          <w:rFonts w:hint="eastAsia"/>
        </w:rPr>
      </w:pPr>
      <w:r>
        <w:rPr>
          <w:rFonts w:hint="eastAsia"/>
        </w:rPr>
        <w:t>（一）系统建设目标</w:t>
      </w:r>
    </w:p>
    <w:p w14:paraId="3C7FBFCF">
      <w:pPr>
        <w:outlineLvl w:val="2"/>
        <w:rPr>
          <w:rFonts w:hint="eastAsia"/>
        </w:rPr>
      </w:pPr>
      <w:r>
        <w:rPr>
          <w:rFonts w:hint="eastAsia"/>
        </w:rPr>
        <w:t>（1）水生态环境质量综合监管子系统升级改造目标</w:t>
      </w:r>
    </w:p>
    <w:p w14:paraId="53E2345B">
      <w:pPr>
        <w:rPr>
          <w:rFonts w:hint="eastAsia"/>
        </w:rPr>
      </w:pPr>
      <w:r>
        <w:rPr>
          <w:rFonts w:hint="eastAsia"/>
        </w:rPr>
        <w:t>对现有水生态环境综合监管子系统进行信息化升级改造，以提升水环境监管效率与精准度、增强决策科学性、促进公众参与、推动水环境质量持续改善。通过升级水质指纹图谱库管理功能，建立纳管企业水质特征指纹库，实现污染源排放特征精准识别，提升溯源与监管精准度及问题处理的及时性、准确性；整合内陆水环境、海岸水生态环境等多源数据，增强多元管理部门的数据与应用协同能力，为水环境治理保护、政策制定和项目规划提供科学依据；充分利用公众水环境问题感知数据，以热力图展示 12345 涉水工单发生频率，为公众提供直观信息、提升参与度，营造全社会共治氛围；同时围绕 “美丽幸福河湖”“美丽海湾” 目标，以数字化手段强化海湾、水源地等常态监管功能，实现内陆与海岸水生态环境健康状况综合评估，为全面水环境治理提供有力支持。</w:t>
      </w:r>
    </w:p>
    <w:p w14:paraId="158CFDC9">
      <w:pPr>
        <w:outlineLvl w:val="2"/>
        <w:rPr>
          <w:rFonts w:hint="eastAsia"/>
        </w:rPr>
      </w:pPr>
      <w:r>
        <w:rPr>
          <w:rFonts w:hint="eastAsia"/>
        </w:rPr>
        <w:t>（2）上海市碳排放综合管理子系统升级改造目标</w:t>
      </w:r>
    </w:p>
    <w:p w14:paraId="707B8723">
      <w:pPr>
        <w:rPr>
          <w:rFonts w:hint="eastAsia"/>
        </w:rPr>
      </w:pPr>
      <w:r>
        <w:rPr>
          <w:rFonts w:hint="eastAsia"/>
        </w:rPr>
        <w:t>碳排放综合管理子系统升级改造的建设目标，是为深入贯彻国家及本市碳达峰碳中和工作部署、保障上海如期实现双碳目标，依据双碳管理政策体系要求与不同工作数据需求，在原有一期平台基础上优化升级。通过丰富碳资产应用场景，提升政府碳资产签发的科学性与有效性，强化对服务机构、企业及市民的服务能力，满足多样化绿色行为参与需求，助力社会全面绿色转型；以大型会议和活动为重点，推进碳中和事前事中事后管理，推动其向“绿色示范” 转型，打造具有上海辨识度、全国影响力的碳中和品牌，引导全民参与自愿减排；同时运用信息化手段，发挥清单数据在低碳示范创建及街道 / 镇、园区、建筑等精细尺度温室气体排放管理中的作用，加强温室气体与生态环境数据融合，协同推进大气污染治理与温室气体减排，实现市、区温室气体清单编制常态化，强化碳排放精细化管理。</w:t>
      </w:r>
    </w:p>
    <w:p w14:paraId="59D0145D">
      <w:pPr>
        <w:outlineLvl w:val="2"/>
        <w:rPr>
          <w:rFonts w:hint="eastAsia"/>
        </w:rPr>
      </w:pPr>
      <w:r>
        <w:rPr>
          <w:rFonts w:hint="eastAsia"/>
        </w:rPr>
        <w:t>（3）</w:t>
      </w:r>
      <w:bookmarkStart w:id="11" w:name="OLE_LINK1"/>
      <w:r>
        <w:rPr>
          <w:rFonts w:hint="eastAsia"/>
        </w:rPr>
        <w:t>碳普惠链和隐私计算</w:t>
      </w:r>
      <w:bookmarkEnd w:id="11"/>
      <w:r>
        <w:rPr>
          <w:rFonts w:hint="eastAsia"/>
        </w:rPr>
        <w:t>建设目标</w:t>
      </w:r>
    </w:p>
    <w:p w14:paraId="42C2AF08">
      <w:pPr>
        <w:rPr>
          <w:rFonts w:hint="eastAsia"/>
        </w:rPr>
      </w:pPr>
      <w:r>
        <w:rPr>
          <w:rFonts w:hint="eastAsia"/>
        </w:rPr>
        <w:t>以区块链和隐私计算技术为支撑，由上海市生态环境局牵头，拟联合市发改委、市交通委等部门作为共识或同步节点，搭建上海碳普惠服务链网络，实现碳账户、碳资产、交易账本、减排量核验及上链服务等核心能力的集中建设，形成碳减排数据可核验、可追溯、可查询的链上管理体系。</w:t>
      </w:r>
    </w:p>
    <w:p w14:paraId="3E74E3A2">
      <w:pPr>
        <w:rPr>
          <w:rFonts w:hint="eastAsia"/>
        </w:rPr>
      </w:pPr>
      <w:r>
        <w:rPr>
          <w:rFonts w:hint="eastAsia"/>
        </w:rPr>
        <w:t>一是建设碳账户及多类型碳资产管理能力，支持碳主账户、子场景碳账户的创建、查询与注销，统一管理一般减排量、项目减排量、整存减排量、碳市场交易减排量及碳积分等资产，实现资产登记、更新、转换、查询和注销等链上管理功能。</w:t>
      </w:r>
    </w:p>
    <w:p w14:paraId="075F2EE8">
      <w:pPr>
        <w:ind w:firstLine="420" w:firstLineChars="0"/>
        <w:rPr>
          <w:rFonts w:hint="eastAsia"/>
        </w:rPr>
      </w:pPr>
      <w:r>
        <w:rPr>
          <w:rFonts w:hint="eastAsia"/>
        </w:rPr>
        <w:t>二是完善碳资产流转与交易记账体系，构建覆盖各类减排量和碳积分的交易账本与明细账本，支持交易记账、明细记录及链上查询，确保碳资产流转过程完整留痕、结果可查。</w:t>
      </w:r>
    </w:p>
    <w:p w14:paraId="6AE3F18B">
      <w:pPr>
        <w:ind w:firstLine="420" w:firstLineChars="0"/>
        <w:rPr>
          <w:rFonts w:hint="eastAsia"/>
        </w:rPr>
      </w:pPr>
      <w:r>
        <w:rPr>
          <w:rFonts w:hint="eastAsia"/>
        </w:rPr>
        <w:t>三是实现碳资产全生命周期追溯管理，通过基于链上资产的追溯及追溯展示服务，对各类碳资产的来源、形成过程、流转路径和去向信息进行逐级追溯，支撑链上资产追溯结果的查询与展示。</w:t>
      </w:r>
    </w:p>
    <w:p w14:paraId="10177A04">
      <w:pPr>
        <w:ind w:firstLine="420" w:firstLineChars="0"/>
        <w:rPr>
          <w:rFonts w:hint="eastAsia"/>
        </w:rPr>
      </w:pPr>
      <w:r>
        <w:rPr>
          <w:rFonts w:hint="eastAsia"/>
        </w:rPr>
        <w:t>四是建设减排量核验与隐私计算支撑能力，支持基于方法学规则的减排量复核、抽样复核结果上链存证、结果更新与查验，在不暴露原始数据的前提下，为减排量签发和资产生成提供可信依据。</w:t>
      </w:r>
    </w:p>
    <w:p w14:paraId="5FEAD0BC">
      <w:pPr>
        <w:ind w:firstLine="420" w:firstLineChars="0"/>
        <w:rPr>
          <w:rFonts w:hint="eastAsia"/>
        </w:rPr>
      </w:pPr>
      <w:r>
        <w:rPr>
          <w:rFonts w:hint="eastAsia"/>
        </w:rPr>
        <w:t>五是构建统一的上链服务与状态管理能力，支持同步与异步上链、单条及批量上链任务调度，实现上链过程监控、状态跟踪、异常重试、结果回调及对账统计，保障链上数据接入的稳定性和可核验性。</w:t>
      </w:r>
    </w:p>
    <w:p w14:paraId="46B8C178">
      <w:pPr>
        <w:rPr>
          <w:rFonts w:hint="eastAsia"/>
        </w:rPr>
      </w:pPr>
      <w:r>
        <w:rPr>
          <w:rFonts w:hint="eastAsia"/>
        </w:rPr>
        <w:t>六是支撑多参与方系统接入与协同运行，通过智能合约接口、隐私计算定制服务对外接口及场景方 SDK，支持获得许可的参与方、场景方及隐私计算平台等系统间的数据交互、任务触发和结果通知，保障碳普惠业务流程的有序协同运行。</w:t>
      </w:r>
    </w:p>
    <w:p w14:paraId="5B7BD71D">
      <w:pPr>
        <w:outlineLvl w:val="1"/>
        <w:rPr>
          <w:rFonts w:hint="eastAsia"/>
        </w:rPr>
      </w:pPr>
      <w:r>
        <w:rPr>
          <w:rFonts w:hint="eastAsia"/>
        </w:rPr>
        <w:t>（二）系统考核指标</w:t>
      </w:r>
    </w:p>
    <w:tbl>
      <w:tblPr>
        <w:tblStyle w:val="7"/>
        <w:tblW w:w="0" w:type="auto"/>
        <w:tblInd w:w="98" w:type="dxa"/>
        <w:tblLayout w:type="autofit"/>
        <w:tblCellMar>
          <w:top w:w="0" w:type="dxa"/>
          <w:left w:w="108" w:type="dxa"/>
          <w:bottom w:w="0" w:type="dxa"/>
          <w:right w:w="108" w:type="dxa"/>
        </w:tblCellMar>
      </w:tblPr>
      <w:tblGrid>
        <w:gridCol w:w="868"/>
        <w:gridCol w:w="691"/>
        <w:gridCol w:w="691"/>
        <w:gridCol w:w="1133"/>
        <w:gridCol w:w="3598"/>
        <w:gridCol w:w="1449"/>
      </w:tblGrid>
      <w:tr w14:paraId="1F073ABC">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79B99AF2">
            <w:pPr>
              <w:pStyle w:val="11"/>
            </w:pPr>
            <w:r>
              <w:rPr>
                <w:rFonts w:hint="default"/>
              </w:rPr>
              <w:t>规划指标参数</w:t>
            </w:r>
          </w:p>
        </w:tc>
        <w:tc>
          <w:tcPr>
            <w:tcW w:w="0" w:type="auto"/>
            <w:tcBorders>
              <w:top w:val="single" w:color="000000" w:sz="4" w:space="0"/>
              <w:left w:val="single" w:color="000000" w:sz="4" w:space="0"/>
              <w:bottom w:val="single" w:color="000000" w:sz="4" w:space="0"/>
              <w:right w:val="single" w:color="000000" w:sz="4" w:space="0"/>
            </w:tcBorders>
            <w:vAlign w:val="center"/>
          </w:tcPr>
          <w:p w14:paraId="5265AAC2">
            <w:pPr>
              <w:pStyle w:val="11"/>
            </w:pPr>
            <w:r>
              <w:rPr>
                <w:rFonts w:hint="default"/>
              </w:rPr>
              <w:t>一级指标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6C631CAE">
            <w:pPr>
              <w:pStyle w:val="11"/>
            </w:pPr>
            <w:r>
              <w:rPr>
                <w:rFonts w:hint="default"/>
              </w:rPr>
              <w:t>二级指标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02DB9915">
            <w:pPr>
              <w:pStyle w:val="11"/>
            </w:pPr>
            <w:r>
              <w:rPr>
                <w:rFonts w:hint="default"/>
              </w:rPr>
              <w:t>三级指标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5C416ED">
            <w:pPr>
              <w:pStyle w:val="11"/>
            </w:pPr>
            <w:r>
              <w:rPr>
                <w:rFonts w:hint="default"/>
              </w:rPr>
              <w:t>四级指标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4E70E56B">
            <w:pPr>
              <w:pStyle w:val="11"/>
            </w:pPr>
            <w:r>
              <w:rPr>
                <w:rFonts w:hint="default"/>
              </w:rPr>
              <w:t>目标值</w:t>
            </w:r>
          </w:p>
        </w:tc>
      </w:tr>
      <w:tr w14:paraId="322B708D">
        <w:tblPrEx>
          <w:tblCellMar>
            <w:top w:w="0" w:type="dxa"/>
            <w:left w:w="108" w:type="dxa"/>
            <w:bottom w:w="0" w:type="dxa"/>
            <w:right w:w="108"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4B838B">
            <w:pPr>
              <w:pStyle w:val="11"/>
            </w:pPr>
          </w:p>
        </w:tc>
        <w:tc>
          <w:tcPr>
            <w:tcW w:w="0" w:type="auto"/>
            <w:vMerge w:val="restart"/>
            <w:tcBorders>
              <w:top w:val="single" w:color="000000" w:sz="4" w:space="0"/>
              <w:left w:val="single" w:color="000000" w:sz="4" w:space="0"/>
              <w:bottom w:val="nil"/>
              <w:right w:val="single" w:color="000000" w:sz="4" w:space="0"/>
            </w:tcBorders>
            <w:vAlign w:val="center"/>
          </w:tcPr>
          <w:p w14:paraId="1B8DDF1A">
            <w:pPr>
              <w:pStyle w:val="11"/>
            </w:pPr>
            <w:r>
              <w:rPr>
                <w:rFonts w:hint="default"/>
              </w:rPr>
              <w:t>通用指标</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0F0826A8">
            <w:pPr>
              <w:pStyle w:val="11"/>
            </w:pPr>
            <w:r>
              <w:rPr>
                <w:rFonts w:hint="default"/>
              </w:rPr>
              <w:t>产出指标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8368914">
            <w:pPr>
              <w:pStyle w:val="11"/>
            </w:pPr>
            <w:r>
              <w:rPr>
                <w:rFonts w:hint="default"/>
              </w:rPr>
              <w:t>产出数量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3416F1E6">
            <w:pPr>
              <w:pStyle w:val="11"/>
            </w:pPr>
            <w:r>
              <w:rPr>
                <w:rFonts w:hint="default"/>
              </w:rPr>
              <w:t>软件开发完成率</w:t>
            </w:r>
          </w:p>
        </w:tc>
        <w:tc>
          <w:tcPr>
            <w:tcW w:w="0" w:type="auto"/>
            <w:tcBorders>
              <w:top w:val="single" w:color="000000" w:sz="4" w:space="0"/>
              <w:left w:val="single" w:color="000000" w:sz="4" w:space="0"/>
              <w:bottom w:val="single" w:color="000000" w:sz="4" w:space="0"/>
              <w:right w:val="single" w:color="000000" w:sz="4" w:space="0"/>
            </w:tcBorders>
            <w:vAlign w:val="center"/>
          </w:tcPr>
          <w:p w14:paraId="79E7EFAE">
            <w:pPr>
              <w:pStyle w:val="11"/>
            </w:pPr>
            <w:r>
              <w:rPr>
                <w:rFonts w:hint="default"/>
              </w:rPr>
              <w:t>100%</w:t>
            </w:r>
          </w:p>
        </w:tc>
      </w:tr>
      <w:tr w14:paraId="2093188A">
        <w:tblPrEx>
          <w:tblCellMar>
            <w:top w:w="0" w:type="dxa"/>
            <w:left w:w="108" w:type="dxa"/>
            <w:bottom w:w="0" w:type="dxa"/>
            <w:right w:w="108"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2D663F">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36D50E60">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FE06BC">
            <w:pPr>
              <w:pStyle w:val="11"/>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79BBA19C">
            <w:pPr>
              <w:pStyle w:val="11"/>
            </w:pPr>
            <w:r>
              <w:rPr>
                <w:rFonts w:hint="default"/>
              </w:rPr>
              <w:t>产出质量</w:t>
            </w:r>
          </w:p>
        </w:tc>
        <w:tc>
          <w:tcPr>
            <w:tcW w:w="0" w:type="auto"/>
            <w:tcBorders>
              <w:top w:val="single" w:color="000000" w:sz="4" w:space="0"/>
              <w:left w:val="single" w:color="000000" w:sz="4" w:space="0"/>
              <w:bottom w:val="single" w:color="000000" w:sz="4" w:space="0"/>
              <w:right w:val="single" w:color="000000" w:sz="4" w:space="0"/>
            </w:tcBorders>
            <w:vAlign w:val="center"/>
          </w:tcPr>
          <w:p w14:paraId="78AA0715">
            <w:pPr>
              <w:pStyle w:val="11"/>
            </w:pPr>
            <w:r>
              <w:rPr>
                <w:rFonts w:hint="default"/>
              </w:rPr>
              <w:t>一次性验收合格率</w:t>
            </w:r>
          </w:p>
        </w:tc>
        <w:tc>
          <w:tcPr>
            <w:tcW w:w="0" w:type="auto"/>
            <w:tcBorders>
              <w:top w:val="single" w:color="000000" w:sz="4" w:space="0"/>
              <w:left w:val="single" w:color="000000" w:sz="4" w:space="0"/>
              <w:bottom w:val="single" w:color="000000" w:sz="4" w:space="0"/>
              <w:right w:val="single" w:color="000000" w:sz="4" w:space="0"/>
            </w:tcBorders>
            <w:vAlign w:val="center"/>
          </w:tcPr>
          <w:p w14:paraId="76181F9C">
            <w:pPr>
              <w:pStyle w:val="11"/>
            </w:pPr>
            <w:r>
              <w:rPr>
                <w:rFonts w:hint="default"/>
              </w:rPr>
              <w:t>100%</w:t>
            </w:r>
          </w:p>
        </w:tc>
      </w:tr>
      <w:tr w14:paraId="05F1D701">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E1E0C0">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5505EFAE">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6879F1">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57FF3B">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4349C911">
            <w:pPr>
              <w:pStyle w:val="11"/>
            </w:pPr>
            <w:r>
              <w:rPr>
                <w:rFonts w:hint="default"/>
              </w:rPr>
              <w:t>系统</w:t>
            </w:r>
            <w:r>
              <w:t>可靠性</w:t>
            </w:r>
          </w:p>
        </w:tc>
        <w:tc>
          <w:tcPr>
            <w:tcW w:w="0" w:type="auto"/>
            <w:tcBorders>
              <w:top w:val="single" w:color="000000" w:sz="4" w:space="0"/>
              <w:left w:val="single" w:color="000000" w:sz="4" w:space="0"/>
              <w:bottom w:val="single" w:color="000000" w:sz="4" w:space="0"/>
              <w:right w:val="single" w:color="000000" w:sz="4" w:space="0"/>
            </w:tcBorders>
            <w:vAlign w:val="center"/>
          </w:tcPr>
          <w:p w14:paraId="3C26DC7B">
            <w:pPr>
              <w:pStyle w:val="11"/>
            </w:pPr>
            <w:r>
              <w:rPr>
                <w:rFonts w:hint="default"/>
              </w:rPr>
              <w:t>≥99.9%</w:t>
            </w:r>
          </w:p>
        </w:tc>
      </w:tr>
      <w:tr w14:paraId="7DD54FD9">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969542">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4D24942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C149C4">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4DC90C">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6DFD26C9">
            <w:pPr>
              <w:pStyle w:val="11"/>
            </w:pPr>
            <w:r>
              <w:rPr>
                <w:rFonts w:hint="default"/>
              </w:rPr>
              <w:t>软件测试</w:t>
            </w:r>
            <w:r>
              <w:t>达标</w:t>
            </w:r>
          </w:p>
        </w:tc>
        <w:tc>
          <w:tcPr>
            <w:tcW w:w="0" w:type="auto"/>
            <w:tcBorders>
              <w:top w:val="single" w:color="000000" w:sz="4" w:space="0"/>
              <w:left w:val="single" w:color="000000" w:sz="4" w:space="0"/>
              <w:bottom w:val="single" w:color="000000" w:sz="4" w:space="0"/>
              <w:right w:val="single" w:color="000000" w:sz="4" w:space="0"/>
            </w:tcBorders>
            <w:vAlign w:val="center"/>
          </w:tcPr>
          <w:p w14:paraId="631D6ABA">
            <w:pPr>
              <w:pStyle w:val="11"/>
            </w:pPr>
            <w:r>
              <w:rPr>
                <w:rFonts w:hint="default"/>
              </w:rPr>
              <w:t>通过</w:t>
            </w:r>
          </w:p>
        </w:tc>
      </w:tr>
      <w:tr w14:paraId="7BDA469D">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625D89">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03FA4612">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CA4E6C">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275052">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52BC3A73">
            <w:pPr>
              <w:pStyle w:val="11"/>
            </w:pPr>
            <w:r>
              <w:rPr>
                <w:rFonts w:hint="default"/>
              </w:rPr>
              <w:t>密码测试</w:t>
            </w:r>
            <w:r>
              <w:t>达标</w:t>
            </w:r>
          </w:p>
        </w:tc>
        <w:tc>
          <w:tcPr>
            <w:tcW w:w="0" w:type="auto"/>
            <w:tcBorders>
              <w:top w:val="single" w:color="000000" w:sz="4" w:space="0"/>
              <w:left w:val="single" w:color="000000" w:sz="4" w:space="0"/>
              <w:bottom w:val="single" w:color="000000" w:sz="4" w:space="0"/>
              <w:right w:val="single" w:color="000000" w:sz="4" w:space="0"/>
            </w:tcBorders>
            <w:vAlign w:val="center"/>
          </w:tcPr>
          <w:p w14:paraId="45635CED">
            <w:pPr>
              <w:pStyle w:val="11"/>
            </w:pPr>
            <w:r>
              <w:rPr>
                <w:rFonts w:hint="default"/>
              </w:rPr>
              <w:t>通过</w:t>
            </w:r>
          </w:p>
        </w:tc>
      </w:tr>
      <w:tr w14:paraId="53CE9BDD">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2C2D80">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5BBB59D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9DF5AC">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1B5D95">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17CFA674">
            <w:pPr>
              <w:pStyle w:val="11"/>
            </w:pPr>
            <w:r>
              <w:rPr>
                <w:rFonts w:hint="default"/>
              </w:rPr>
              <w:t>安全测评</w:t>
            </w:r>
            <w:r>
              <w:t>达标</w:t>
            </w:r>
          </w:p>
        </w:tc>
        <w:tc>
          <w:tcPr>
            <w:tcW w:w="0" w:type="auto"/>
            <w:tcBorders>
              <w:top w:val="single" w:color="000000" w:sz="4" w:space="0"/>
              <w:left w:val="single" w:color="000000" w:sz="4" w:space="0"/>
              <w:bottom w:val="single" w:color="000000" w:sz="4" w:space="0"/>
              <w:right w:val="single" w:color="000000" w:sz="4" w:space="0"/>
            </w:tcBorders>
            <w:vAlign w:val="center"/>
          </w:tcPr>
          <w:p w14:paraId="57EBBD06">
            <w:pPr>
              <w:pStyle w:val="11"/>
            </w:pPr>
            <w:r>
              <w:rPr>
                <w:rFonts w:hint="default"/>
              </w:rPr>
              <w:t>通过</w:t>
            </w:r>
          </w:p>
        </w:tc>
      </w:tr>
      <w:tr w14:paraId="3E4078DF">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779974">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0FDB2B7C">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01F386">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8B47B2">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37438482">
            <w:pPr>
              <w:pStyle w:val="11"/>
            </w:pPr>
            <w:r>
              <w:rPr>
                <w:rFonts w:hint="default"/>
              </w:rPr>
              <w:t>网络安全等级保护</w:t>
            </w:r>
          </w:p>
        </w:tc>
        <w:tc>
          <w:tcPr>
            <w:tcW w:w="0" w:type="auto"/>
            <w:tcBorders>
              <w:top w:val="single" w:color="000000" w:sz="4" w:space="0"/>
              <w:left w:val="single" w:color="000000" w:sz="4" w:space="0"/>
              <w:bottom w:val="single" w:color="000000" w:sz="4" w:space="0"/>
              <w:right w:val="single" w:color="000000" w:sz="4" w:space="0"/>
            </w:tcBorders>
            <w:vAlign w:val="center"/>
          </w:tcPr>
          <w:p w14:paraId="08496B80">
            <w:pPr>
              <w:pStyle w:val="11"/>
            </w:pPr>
            <w:r>
              <w:rPr>
                <w:rFonts w:hint="default"/>
              </w:rPr>
              <w:t>三级</w:t>
            </w:r>
          </w:p>
        </w:tc>
      </w:tr>
      <w:tr w14:paraId="507078A9">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1AB749">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50C643CA">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86FCF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CB10AC">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2F115CC4">
            <w:pPr>
              <w:pStyle w:val="11"/>
            </w:pPr>
            <w:r>
              <w:rPr>
                <w:rFonts w:hint="default"/>
              </w:rPr>
              <w:t>安全事件发生次数</w:t>
            </w:r>
          </w:p>
        </w:tc>
        <w:tc>
          <w:tcPr>
            <w:tcW w:w="0" w:type="auto"/>
            <w:tcBorders>
              <w:top w:val="single" w:color="000000" w:sz="4" w:space="0"/>
              <w:left w:val="single" w:color="000000" w:sz="4" w:space="0"/>
              <w:bottom w:val="single" w:color="000000" w:sz="4" w:space="0"/>
              <w:right w:val="single" w:color="000000" w:sz="4" w:space="0"/>
            </w:tcBorders>
            <w:vAlign w:val="center"/>
          </w:tcPr>
          <w:p w14:paraId="5340BF72">
            <w:pPr>
              <w:pStyle w:val="11"/>
            </w:pPr>
            <w:r>
              <w:rPr>
                <w:rFonts w:hint="default"/>
              </w:rPr>
              <w:t>0次</w:t>
            </w:r>
          </w:p>
        </w:tc>
      </w:tr>
      <w:tr w14:paraId="7FFDCA47">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79167D">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4EDAB48A">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3DEF03">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710FC588">
            <w:pPr>
              <w:pStyle w:val="11"/>
            </w:pPr>
            <w:r>
              <w:rPr>
                <w:rFonts w:hint="default"/>
              </w:rPr>
              <w:t>产出时效</w:t>
            </w:r>
          </w:p>
        </w:tc>
        <w:tc>
          <w:tcPr>
            <w:tcW w:w="0" w:type="auto"/>
            <w:tcBorders>
              <w:top w:val="single" w:color="000000" w:sz="4" w:space="0"/>
              <w:left w:val="single" w:color="000000" w:sz="4" w:space="0"/>
              <w:bottom w:val="single" w:color="000000" w:sz="4" w:space="0"/>
              <w:right w:val="single" w:color="000000" w:sz="4" w:space="0"/>
            </w:tcBorders>
            <w:vAlign w:val="center"/>
          </w:tcPr>
          <w:p w14:paraId="58021341">
            <w:pPr>
              <w:pStyle w:val="11"/>
            </w:pPr>
            <w:r>
              <w:rPr>
                <w:rFonts w:hint="default"/>
              </w:rPr>
              <w:t>项目</w:t>
            </w:r>
            <w:r>
              <w:t>建设周期</w:t>
            </w:r>
          </w:p>
        </w:tc>
        <w:tc>
          <w:tcPr>
            <w:tcW w:w="0" w:type="auto"/>
            <w:tcBorders>
              <w:top w:val="single" w:color="000000" w:sz="4" w:space="0"/>
              <w:left w:val="single" w:color="000000" w:sz="4" w:space="0"/>
              <w:bottom w:val="single" w:color="000000" w:sz="4" w:space="0"/>
              <w:right w:val="single" w:color="000000" w:sz="4" w:space="0"/>
            </w:tcBorders>
            <w:vAlign w:val="center"/>
          </w:tcPr>
          <w:p w14:paraId="49B3096F">
            <w:pPr>
              <w:pStyle w:val="11"/>
            </w:pPr>
            <w:r>
              <w:rPr>
                <w:rFonts w:hint="default"/>
              </w:rPr>
              <w:t>≤11个月</w:t>
            </w:r>
          </w:p>
        </w:tc>
      </w:tr>
      <w:tr w14:paraId="245062C1">
        <w:tblPrEx>
          <w:tblCellMar>
            <w:top w:w="0" w:type="dxa"/>
            <w:left w:w="108" w:type="dxa"/>
            <w:bottom w:w="0" w:type="dxa"/>
            <w:right w:w="108" w:type="dxa"/>
          </w:tblCellMar>
        </w:tblPrEx>
        <w:trPr>
          <w:trHeight w:val="1249"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651032">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700E3F1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B69C41">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76E95FAA">
            <w:pPr>
              <w:pStyle w:val="11"/>
            </w:pPr>
            <w:r>
              <w:rPr>
                <w:rFonts w:hint="default"/>
              </w:rPr>
              <w:t>产出成本</w:t>
            </w:r>
          </w:p>
        </w:tc>
        <w:tc>
          <w:tcPr>
            <w:tcW w:w="0" w:type="auto"/>
            <w:tcBorders>
              <w:top w:val="single" w:color="000000" w:sz="4" w:space="0"/>
              <w:left w:val="single" w:color="000000" w:sz="4" w:space="0"/>
              <w:bottom w:val="single" w:color="000000" w:sz="4" w:space="0"/>
              <w:right w:val="single" w:color="000000" w:sz="4" w:space="0"/>
            </w:tcBorders>
            <w:vAlign w:val="center"/>
          </w:tcPr>
          <w:p w14:paraId="41BBA90D">
            <w:pPr>
              <w:pStyle w:val="11"/>
            </w:pPr>
            <w:r>
              <w:rPr>
                <w:rFonts w:hint="default"/>
              </w:rPr>
              <w:t>标准化内容支出比例</w:t>
            </w:r>
          </w:p>
        </w:tc>
        <w:tc>
          <w:tcPr>
            <w:tcW w:w="0" w:type="auto"/>
            <w:tcBorders>
              <w:top w:val="single" w:color="000000" w:sz="4" w:space="0"/>
              <w:left w:val="single" w:color="000000" w:sz="4" w:space="0"/>
              <w:bottom w:val="single" w:color="000000" w:sz="4" w:space="0"/>
              <w:right w:val="single" w:color="000000" w:sz="4" w:space="0"/>
            </w:tcBorders>
            <w:vAlign w:val="center"/>
          </w:tcPr>
          <w:p w14:paraId="1F5A63AC">
            <w:pPr>
              <w:pStyle w:val="11"/>
            </w:pPr>
            <w:r>
              <w:rPr>
                <w:rFonts w:hint="default"/>
              </w:rPr>
              <w:t>≥70%</w:t>
            </w:r>
          </w:p>
        </w:tc>
      </w:tr>
      <w:tr w14:paraId="64AD8310">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AC4F36">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0CF7080C">
            <w:pPr>
              <w:pStyle w:val="11"/>
            </w:pPr>
          </w:p>
        </w:tc>
        <w:tc>
          <w:tcPr>
            <w:tcW w:w="0" w:type="auto"/>
            <w:vMerge w:val="restart"/>
            <w:tcBorders>
              <w:top w:val="nil"/>
              <w:left w:val="single" w:color="000000" w:sz="4" w:space="0"/>
              <w:bottom w:val="nil"/>
              <w:right w:val="single" w:color="000000" w:sz="4" w:space="0"/>
            </w:tcBorders>
            <w:vAlign w:val="center"/>
          </w:tcPr>
          <w:p w14:paraId="60A0BBBC">
            <w:pPr>
              <w:pStyle w:val="11"/>
            </w:pPr>
            <w:r>
              <w:rPr>
                <w:rFonts w:hint="default"/>
              </w:rPr>
              <w:t>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0F89B3B3">
            <w:pPr>
              <w:pStyle w:val="11"/>
            </w:pPr>
            <w:r>
              <w:rPr>
                <w:rFonts w:hint="default"/>
              </w:rPr>
              <w:t>系统与业务融合能力</w:t>
            </w:r>
          </w:p>
        </w:tc>
        <w:tc>
          <w:tcPr>
            <w:tcW w:w="0" w:type="auto"/>
            <w:tcBorders>
              <w:top w:val="single" w:color="000000" w:sz="4" w:space="0"/>
              <w:left w:val="single" w:color="000000" w:sz="4" w:space="0"/>
              <w:bottom w:val="single" w:color="000000" w:sz="4" w:space="0"/>
              <w:right w:val="single" w:color="000000" w:sz="4" w:space="0"/>
            </w:tcBorders>
            <w:vAlign w:val="center"/>
          </w:tcPr>
          <w:p w14:paraId="6156BC5B">
            <w:pPr>
              <w:pStyle w:val="11"/>
            </w:pPr>
            <w:r>
              <w:rPr>
                <w:rFonts w:hint="default"/>
              </w:rPr>
              <w:t>线上业务流程数</w:t>
            </w:r>
          </w:p>
        </w:tc>
        <w:tc>
          <w:tcPr>
            <w:tcW w:w="0" w:type="auto"/>
            <w:tcBorders>
              <w:top w:val="single" w:color="000000" w:sz="4" w:space="0"/>
              <w:left w:val="single" w:color="000000" w:sz="4" w:space="0"/>
              <w:bottom w:val="single" w:color="000000" w:sz="4" w:space="0"/>
              <w:right w:val="single" w:color="000000" w:sz="4" w:space="0"/>
            </w:tcBorders>
            <w:vAlign w:val="center"/>
          </w:tcPr>
          <w:p w14:paraId="611C96D7">
            <w:pPr>
              <w:pStyle w:val="11"/>
            </w:pPr>
            <w:r>
              <w:rPr>
                <w:rFonts w:hint="default"/>
              </w:rPr>
              <w:t>≥6个</w:t>
            </w:r>
          </w:p>
        </w:tc>
      </w:tr>
      <w:tr w14:paraId="667D9901">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F50303">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08E39244">
            <w:pPr>
              <w:pStyle w:val="11"/>
            </w:pPr>
          </w:p>
        </w:tc>
        <w:tc>
          <w:tcPr>
            <w:tcW w:w="0" w:type="auto"/>
            <w:vMerge w:val="continue"/>
            <w:tcBorders>
              <w:top w:val="nil"/>
              <w:left w:val="single" w:color="000000" w:sz="4" w:space="0"/>
              <w:bottom w:val="nil"/>
              <w:right w:val="single" w:color="000000" w:sz="4" w:space="0"/>
            </w:tcBorders>
            <w:vAlign w:val="center"/>
          </w:tcPr>
          <w:p w14:paraId="6DCB4BF0">
            <w:pPr>
              <w:pStyle w:val="11"/>
            </w:pPr>
          </w:p>
        </w:tc>
        <w:tc>
          <w:tcPr>
            <w:tcW w:w="0" w:type="auto"/>
            <w:vMerge w:val="restart"/>
            <w:tcBorders>
              <w:top w:val="single" w:color="000000" w:sz="4" w:space="0"/>
              <w:left w:val="nil"/>
              <w:bottom w:val="single" w:color="000000" w:sz="4" w:space="0"/>
              <w:right w:val="single" w:color="000000" w:sz="4" w:space="0"/>
            </w:tcBorders>
            <w:vAlign w:val="center"/>
          </w:tcPr>
          <w:p w14:paraId="2F2FCC8B">
            <w:pPr>
              <w:pStyle w:val="11"/>
            </w:pPr>
            <w:r>
              <w:rPr>
                <w:rFonts w:hint="default"/>
              </w:rPr>
              <w:t>监测监管系统水平</w:t>
            </w:r>
          </w:p>
        </w:tc>
        <w:tc>
          <w:tcPr>
            <w:tcW w:w="0" w:type="auto"/>
            <w:tcBorders>
              <w:top w:val="single" w:color="000000" w:sz="4" w:space="0"/>
              <w:left w:val="single" w:color="000000" w:sz="4" w:space="0"/>
              <w:bottom w:val="single" w:color="000000" w:sz="4" w:space="0"/>
              <w:right w:val="single" w:color="000000" w:sz="4" w:space="0"/>
            </w:tcBorders>
            <w:vAlign w:val="center"/>
          </w:tcPr>
          <w:p w14:paraId="483E2C11">
            <w:pPr>
              <w:pStyle w:val="11"/>
            </w:pPr>
            <w:r>
              <w:rPr>
                <w:rFonts w:hint="default"/>
              </w:rPr>
              <w:t>监测指标数量</w:t>
            </w:r>
          </w:p>
        </w:tc>
        <w:tc>
          <w:tcPr>
            <w:tcW w:w="0" w:type="auto"/>
            <w:tcBorders>
              <w:top w:val="single" w:color="000000" w:sz="4" w:space="0"/>
              <w:left w:val="single" w:color="000000" w:sz="4" w:space="0"/>
              <w:bottom w:val="single" w:color="000000" w:sz="4" w:space="0"/>
              <w:right w:val="nil"/>
            </w:tcBorders>
            <w:vAlign w:val="center"/>
          </w:tcPr>
          <w:p w14:paraId="1E23FF14">
            <w:pPr>
              <w:pStyle w:val="11"/>
            </w:pPr>
            <w:r>
              <w:rPr>
                <w:rFonts w:hint="default"/>
              </w:rPr>
              <w:t>≥10个</w:t>
            </w:r>
          </w:p>
        </w:tc>
      </w:tr>
      <w:tr w14:paraId="342C621D">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2170F7">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00175B3B">
            <w:pPr>
              <w:pStyle w:val="11"/>
            </w:pPr>
          </w:p>
        </w:tc>
        <w:tc>
          <w:tcPr>
            <w:tcW w:w="0" w:type="auto"/>
            <w:vMerge w:val="continue"/>
            <w:tcBorders>
              <w:top w:val="nil"/>
              <w:left w:val="single" w:color="000000" w:sz="4" w:space="0"/>
              <w:bottom w:val="nil"/>
              <w:right w:val="single" w:color="000000" w:sz="4" w:space="0"/>
            </w:tcBorders>
            <w:vAlign w:val="center"/>
          </w:tcPr>
          <w:p w14:paraId="1CBA09F5">
            <w:pPr>
              <w:pStyle w:val="11"/>
            </w:pPr>
          </w:p>
        </w:tc>
        <w:tc>
          <w:tcPr>
            <w:tcW w:w="0" w:type="auto"/>
            <w:vMerge w:val="continue"/>
            <w:tcBorders>
              <w:top w:val="single" w:color="000000" w:sz="4" w:space="0"/>
              <w:left w:val="nil"/>
              <w:bottom w:val="single" w:color="000000" w:sz="4" w:space="0"/>
              <w:right w:val="single" w:color="000000" w:sz="4" w:space="0"/>
            </w:tcBorders>
            <w:vAlign w:val="center"/>
          </w:tcPr>
          <w:p w14:paraId="2B171E48">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5A4A0956">
            <w:pPr>
              <w:pStyle w:val="11"/>
            </w:pPr>
            <w:r>
              <w:rPr>
                <w:rFonts w:hint="default"/>
              </w:rPr>
              <w:t>监测数据准确率</w:t>
            </w:r>
          </w:p>
        </w:tc>
        <w:tc>
          <w:tcPr>
            <w:tcW w:w="0" w:type="auto"/>
            <w:tcBorders>
              <w:top w:val="single" w:color="000000" w:sz="4" w:space="0"/>
              <w:left w:val="single" w:color="000000" w:sz="4" w:space="0"/>
              <w:bottom w:val="single" w:color="000000" w:sz="4" w:space="0"/>
              <w:right w:val="nil"/>
            </w:tcBorders>
            <w:vAlign w:val="center"/>
          </w:tcPr>
          <w:p w14:paraId="312BD096">
            <w:pPr>
              <w:pStyle w:val="11"/>
            </w:pPr>
            <w:r>
              <w:rPr>
                <w:rFonts w:hint="default"/>
              </w:rPr>
              <w:t>≥80%</w:t>
            </w:r>
          </w:p>
        </w:tc>
      </w:tr>
      <w:tr w14:paraId="1F144AC3">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F9D8B4">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6A78C052">
            <w:pPr>
              <w:pStyle w:val="11"/>
            </w:pPr>
          </w:p>
        </w:tc>
        <w:tc>
          <w:tcPr>
            <w:tcW w:w="0" w:type="auto"/>
            <w:vMerge w:val="continue"/>
            <w:tcBorders>
              <w:top w:val="nil"/>
              <w:left w:val="single" w:color="000000" w:sz="4" w:space="0"/>
              <w:bottom w:val="nil"/>
              <w:right w:val="single" w:color="000000" w:sz="4" w:space="0"/>
            </w:tcBorders>
            <w:vAlign w:val="center"/>
          </w:tcPr>
          <w:p w14:paraId="327070E7">
            <w:pPr>
              <w:pStyle w:val="11"/>
            </w:pPr>
          </w:p>
        </w:tc>
        <w:tc>
          <w:tcPr>
            <w:tcW w:w="0" w:type="auto"/>
            <w:vMerge w:val="continue"/>
            <w:tcBorders>
              <w:top w:val="single" w:color="000000" w:sz="4" w:space="0"/>
              <w:left w:val="nil"/>
              <w:bottom w:val="single" w:color="000000" w:sz="4" w:space="0"/>
              <w:right w:val="single" w:color="000000" w:sz="4" w:space="0"/>
            </w:tcBorders>
            <w:vAlign w:val="center"/>
          </w:tcPr>
          <w:p w14:paraId="2C1FF23A">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447091A5">
            <w:pPr>
              <w:pStyle w:val="11"/>
            </w:pPr>
            <w:r>
              <w:rPr>
                <w:rFonts w:hint="default"/>
              </w:rPr>
              <w:t>监测对象月均风险预警数量</w:t>
            </w:r>
          </w:p>
        </w:tc>
        <w:tc>
          <w:tcPr>
            <w:tcW w:w="0" w:type="auto"/>
            <w:tcBorders>
              <w:top w:val="single" w:color="000000" w:sz="4" w:space="0"/>
              <w:left w:val="single" w:color="000000" w:sz="4" w:space="0"/>
              <w:bottom w:val="single" w:color="000000" w:sz="4" w:space="0"/>
              <w:right w:val="nil"/>
            </w:tcBorders>
            <w:vAlign w:val="center"/>
          </w:tcPr>
          <w:p w14:paraId="453FA7B6">
            <w:pPr>
              <w:pStyle w:val="11"/>
            </w:pPr>
            <w:r>
              <w:rPr>
                <w:rFonts w:hint="default"/>
              </w:rPr>
              <w:t>≥3个</w:t>
            </w:r>
          </w:p>
        </w:tc>
      </w:tr>
      <w:tr w14:paraId="5AA66F53">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1D75D4">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4DD9DBC9">
            <w:pPr>
              <w:pStyle w:val="11"/>
            </w:pPr>
          </w:p>
        </w:tc>
        <w:tc>
          <w:tcPr>
            <w:tcW w:w="0" w:type="auto"/>
            <w:vMerge w:val="continue"/>
            <w:tcBorders>
              <w:top w:val="nil"/>
              <w:left w:val="single" w:color="000000" w:sz="4" w:space="0"/>
              <w:bottom w:val="nil"/>
              <w:right w:val="single" w:color="000000" w:sz="4" w:space="0"/>
            </w:tcBorders>
            <w:vAlign w:val="center"/>
          </w:tcPr>
          <w:p w14:paraId="0FBA5BCC">
            <w:pPr>
              <w:pStyle w:val="11"/>
            </w:pPr>
          </w:p>
        </w:tc>
        <w:tc>
          <w:tcPr>
            <w:tcW w:w="0" w:type="auto"/>
            <w:vMerge w:val="continue"/>
            <w:tcBorders>
              <w:top w:val="single" w:color="000000" w:sz="4" w:space="0"/>
              <w:left w:val="nil"/>
              <w:bottom w:val="single" w:color="000000" w:sz="4" w:space="0"/>
              <w:right w:val="single" w:color="000000" w:sz="4" w:space="0"/>
            </w:tcBorders>
            <w:vAlign w:val="center"/>
          </w:tcPr>
          <w:p w14:paraId="3E3F1B34">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226BA806">
            <w:pPr>
              <w:pStyle w:val="11"/>
            </w:pPr>
            <w:r>
              <w:rPr>
                <w:rFonts w:hint="default"/>
              </w:rPr>
              <w:t>监测对象风险预警准确率</w:t>
            </w:r>
          </w:p>
        </w:tc>
        <w:tc>
          <w:tcPr>
            <w:tcW w:w="0" w:type="auto"/>
            <w:tcBorders>
              <w:top w:val="single" w:color="000000" w:sz="4" w:space="0"/>
              <w:left w:val="single" w:color="000000" w:sz="4" w:space="0"/>
              <w:bottom w:val="single" w:color="000000" w:sz="4" w:space="0"/>
              <w:right w:val="nil"/>
            </w:tcBorders>
            <w:vAlign w:val="center"/>
          </w:tcPr>
          <w:p w14:paraId="0E95F9FA">
            <w:pPr>
              <w:pStyle w:val="11"/>
            </w:pPr>
            <w:r>
              <w:rPr>
                <w:rFonts w:hint="default"/>
              </w:rPr>
              <w:t>≥85%</w:t>
            </w:r>
          </w:p>
        </w:tc>
      </w:tr>
      <w:tr w14:paraId="48F4D299">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71DEEC">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405FCFA4">
            <w:pPr>
              <w:pStyle w:val="11"/>
            </w:pPr>
          </w:p>
        </w:tc>
        <w:tc>
          <w:tcPr>
            <w:tcW w:w="0" w:type="auto"/>
            <w:vMerge w:val="continue"/>
            <w:tcBorders>
              <w:top w:val="nil"/>
              <w:left w:val="single" w:color="000000" w:sz="4" w:space="0"/>
              <w:bottom w:val="nil"/>
              <w:right w:val="single" w:color="000000" w:sz="4" w:space="0"/>
            </w:tcBorders>
            <w:vAlign w:val="center"/>
          </w:tcPr>
          <w:p w14:paraId="0B5614A2">
            <w:pPr>
              <w:pStyle w:val="11"/>
            </w:pPr>
          </w:p>
        </w:tc>
        <w:tc>
          <w:tcPr>
            <w:tcW w:w="0" w:type="auto"/>
            <w:vMerge w:val="continue"/>
            <w:tcBorders>
              <w:top w:val="single" w:color="000000" w:sz="4" w:space="0"/>
              <w:left w:val="nil"/>
              <w:bottom w:val="single" w:color="000000" w:sz="4" w:space="0"/>
              <w:right w:val="single" w:color="000000" w:sz="4" w:space="0"/>
            </w:tcBorders>
            <w:vAlign w:val="center"/>
          </w:tcPr>
          <w:p w14:paraId="07EADC37">
            <w:pPr>
              <w:pStyle w:val="11"/>
            </w:pPr>
          </w:p>
        </w:tc>
        <w:tc>
          <w:tcPr>
            <w:tcW w:w="0" w:type="auto"/>
            <w:tcBorders>
              <w:top w:val="nil"/>
              <w:left w:val="nil"/>
              <w:bottom w:val="nil"/>
              <w:right w:val="nil"/>
            </w:tcBorders>
            <w:noWrap/>
            <w:vAlign w:val="center"/>
          </w:tcPr>
          <w:p w14:paraId="1E9E5DDA">
            <w:pPr>
              <w:pStyle w:val="11"/>
            </w:pPr>
            <w:r>
              <w:rPr>
                <w:rFonts w:hint="default"/>
              </w:rPr>
              <w:t>监测监管月均做出辅助决策数量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11AD0A72">
            <w:pPr>
              <w:pStyle w:val="11"/>
            </w:pPr>
            <w:r>
              <w:rPr>
                <w:rFonts w:hint="default"/>
              </w:rPr>
              <w:t>≥3个</w:t>
            </w:r>
          </w:p>
        </w:tc>
      </w:tr>
      <w:tr w14:paraId="0166A3A4">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59B4EC">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355EF756">
            <w:pPr>
              <w:pStyle w:val="11"/>
            </w:pPr>
          </w:p>
        </w:tc>
        <w:tc>
          <w:tcPr>
            <w:tcW w:w="0" w:type="auto"/>
            <w:vMerge w:val="continue"/>
            <w:tcBorders>
              <w:top w:val="nil"/>
              <w:left w:val="single" w:color="000000" w:sz="4" w:space="0"/>
              <w:bottom w:val="nil"/>
              <w:right w:val="single" w:color="000000" w:sz="4" w:space="0"/>
            </w:tcBorders>
            <w:vAlign w:val="center"/>
          </w:tcPr>
          <w:p w14:paraId="176D6057">
            <w:pPr>
              <w:pStyle w:val="11"/>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0E2866FA">
            <w:pPr>
              <w:pStyle w:val="11"/>
            </w:pPr>
            <w:r>
              <w:rPr>
                <w:rFonts w:hint="default"/>
              </w:rPr>
              <w:t>区块链应用</w:t>
            </w:r>
          </w:p>
        </w:tc>
        <w:tc>
          <w:tcPr>
            <w:tcW w:w="0" w:type="auto"/>
            <w:tcBorders>
              <w:top w:val="single" w:color="000000" w:sz="4" w:space="0"/>
              <w:left w:val="single" w:color="000000" w:sz="4" w:space="0"/>
              <w:bottom w:val="single" w:color="000000" w:sz="4" w:space="0"/>
              <w:right w:val="single" w:color="000000" w:sz="4" w:space="0"/>
            </w:tcBorders>
            <w:vAlign w:val="center"/>
          </w:tcPr>
          <w:p w14:paraId="722EF0E5">
            <w:pPr>
              <w:pStyle w:val="11"/>
            </w:pPr>
            <w:r>
              <w:t>数据上链条目数</w:t>
            </w:r>
          </w:p>
        </w:tc>
        <w:tc>
          <w:tcPr>
            <w:tcW w:w="0" w:type="auto"/>
            <w:tcBorders>
              <w:top w:val="single" w:color="000000" w:sz="4" w:space="0"/>
              <w:left w:val="single" w:color="000000" w:sz="4" w:space="0"/>
              <w:bottom w:val="single" w:color="000000" w:sz="4" w:space="0"/>
              <w:right w:val="single" w:color="000000" w:sz="4" w:space="0"/>
            </w:tcBorders>
            <w:vAlign w:val="center"/>
          </w:tcPr>
          <w:p w14:paraId="71D534B2">
            <w:pPr>
              <w:pStyle w:val="11"/>
            </w:pPr>
            <w:r>
              <w:rPr>
                <w:rFonts w:hint="default"/>
              </w:rPr>
              <w:t>≥1000000条</w:t>
            </w:r>
          </w:p>
        </w:tc>
      </w:tr>
      <w:tr w14:paraId="559EE40E">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A48F5F">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4B6F3A6D">
            <w:pPr>
              <w:pStyle w:val="11"/>
            </w:pPr>
          </w:p>
        </w:tc>
        <w:tc>
          <w:tcPr>
            <w:tcW w:w="0" w:type="auto"/>
            <w:vMerge w:val="continue"/>
            <w:tcBorders>
              <w:top w:val="nil"/>
              <w:left w:val="single" w:color="000000" w:sz="4" w:space="0"/>
              <w:bottom w:val="nil"/>
              <w:right w:val="single" w:color="000000" w:sz="4" w:space="0"/>
            </w:tcBorders>
            <w:vAlign w:val="center"/>
          </w:tcPr>
          <w:p w14:paraId="76210D51">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6E4E25">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50965810">
            <w:pPr>
              <w:pStyle w:val="11"/>
            </w:pPr>
            <w:r>
              <w:rPr>
                <w:rFonts w:hint="default"/>
              </w:rPr>
              <w:t>支撑业务数量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4DDD6B51">
            <w:pPr>
              <w:pStyle w:val="11"/>
            </w:pPr>
            <w:r>
              <w:rPr>
                <w:rFonts w:hint="default"/>
              </w:rPr>
              <w:t>≥4个</w:t>
            </w:r>
          </w:p>
        </w:tc>
      </w:tr>
      <w:tr w14:paraId="7890E00A">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C78600">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5123FC3D">
            <w:pPr>
              <w:pStyle w:val="11"/>
            </w:pPr>
          </w:p>
        </w:tc>
        <w:tc>
          <w:tcPr>
            <w:tcW w:w="0" w:type="auto"/>
            <w:vMerge w:val="continue"/>
            <w:tcBorders>
              <w:top w:val="nil"/>
              <w:left w:val="single" w:color="000000" w:sz="4" w:space="0"/>
              <w:bottom w:val="nil"/>
              <w:right w:val="single" w:color="000000" w:sz="4" w:space="0"/>
            </w:tcBorders>
            <w:vAlign w:val="center"/>
          </w:tcPr>
          <w:p w14:paraId="71B44DD9">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ABDB9A">
            <w:pPr>
              <w:pStyle w:val="11"/>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BEB32">
            <w:pPr>
              <w:pStyle w:val="11"/>
            </w:pPr>
            <w:r>
              <w:rPr>
                <w:rFonts w:hint="default"/>
              </w:rPr>
              <w:t>形成智能合约数量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3A0A536D">
            <w:pPr>
              <w:pStyle w:val="11"/>
            </w:pPr>
            <w:r>
              <w:rPr>
                <w:rFonts w:hint="default"/>
              </w:rPr>
              <w:t>≥50个</w:t>
            </w:r>
          </w:p>
        </w:tc>
      </w:tr>
      <w:tr w14:paraId="6F19053D">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600765">
            <w:pPr>
              <w:pStyle w:val="11"/>
            </w:pPr>
          </w:p>
        </w:tc>
        <w:tc>
          <w:tcPr>
            <w:tcW w:w="0" w:type="auto"/>
            <w:vMerge w:val="continue"/>
            <w:tcBorders>
              <w:top w:val="single" w:color="000000" w:sz="4" w:space="0"/>
              <w:left w:val="single" w:color="000000" w:sz="4" w:space="0"/>
              <w:bottom w:val="nil"/>
              <w:right w:val="single" w:color="000000" w:sz="4" w:space="0"/>
            </w:tcBorders>
            <w:vAlign w:val="center"/>
          </w:tcPr>
          <w:p w14:paraId="48E289CB">
            <w:pPr>
              <w:pStyle w:val="11"/>
            </w:pPr>
          </w:p>
        </w:tc>
        <w:tc>
          <w:tcPr>
            <w:tcW w:w="0" w:type="auto"/>
            <w:vMerge w:val="continue"/>
            <w:tcBorders>
              <w:top w:val="nil"/>
              <w:left w:val="single" w:color="000000" w:sz="4" w:space="0"/>
              <w:bottom w:val="nil"/>
              <w:right w:val="single" w:color="000000" w:sz="4" w:space="0"/>
            </w:tcBorders>
            <w:vAlign w:val="center"/>
          </w:tcPr>
          <w:p w14:paraId="0DFB3739">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87AFFF">
            <w:pPr>
              <w:pStyle w:val="11"/>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7C2B10">
            <w:pPr>
              <w:pStyle w:val="11"/>
            </w:pPr>
            <w:r>
              <w:rPr>
                <w:rFonts w:hint="default"/>
              </w:rPr>
              <w:t>建立共识节点数量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06F569E1">
            <w:pPr>
              <w:pStyle w:val="11"/>
            </w:pPr>
            <w:r>
              <w:rPr>
                <w:rFonts w:hint="default"/>
              </w:rPr>
              <w:t>≥4个</w:t>
            </w:r>
          </w:p>
        </w:tc>
      </w:tr>
      <w:tr w14:paraId="0B42B9AE">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6E1BFD">
            <w:pPr>
              <w:pStyle w:val="11"/>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334D82C9">
            <w:pPr>
              <w:pStyle w:val="11"/>
            </w:pPr>
            <w:r>
              <w:rPr>
                <w:rFonts w:hint="default"/>
              </w:rPr>
              <w:t>业务指标</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1AACB568">
            <w:pPr>
              <w:pStyle w:val="11"/>
            </w:pPr>
            <w:r>
              <w:rPr>
                <w:rFonts w:hint="default"/>
              </w:rPr>
              <w:t>产出指标</w:t>
            </w:r>
          </w:p>
        </w:tc>
        <w:tc>
          <w:tcPr>
            <w:tcW w:w="0" w:type="auto"/>
            <w:vMerge w:val="restart"/>
            <w:tcBorders>
              <w:top w:val="nil"/>
              <w:left w:val="single" w:color="000000" w:sz="4" w:space="0"/>
              <w:bottom w:val="single" w:color="000000" w:sz="4" w:space="0"/>
              <w:right w:val="single" w:color="000000" w:sz="4" w:space="0"/>
            </w:tcBorders>
            <w:vAlign w:val="center"/>
          </w:tcPr>
          <w:p w14:paraId="40830981">
            <w:pPr>
              <w:pStyle w:val="11"/>
            </w:pPr>
            <w:r>
              <w:rPr>
                <w:rFonts w:hint="default"/>
              </w:rPr>
              <w:t>产出质量</w:t>
            </w:r>
          </w:p>
        </w:tc>
        <w:tc>
          <w:tcPr>
            <w:tcW w:w="0" w:type="auto"/>
            <w:tcBorders>
              <w:top w:val="nil"/>
              <w:left w:val="single" w:color="000000" w:sz="4" w:space="0"/>
              <w:bottom w:val="single" w:color="000000" w:sz="4" w:space="0"/>
              <w:right w:val="single" w:color="000000" w:sz="4" w:space="0"/>
            </w:tcBorders>
            <w:vAlign w:val="center"/>
          </w:tcPr>
          <w:p w14:paraId="04955D6A">
            <w:pPr>
              <w:pStyle w:val="11"/>
            </w:pPr>
            <w:r>
              <w:rPr>
                <w:rFonts w:hint="default"/>
              </w:rPr>
              <w:t>交互类业务响应时间</w:t>
            </w:r>
          </w:p>
        </w:tc>
        <w:tc>
          <w:tcPr>
            <w:tcW w:w="0" w:type="auto"/>
            <w:tcBorders>
              <w:top w:val="single" w:color="000000" w:sz="4" w:space="0"/>
              <w:left w:val="single" w:color="000000" w:sz="4" w:space="0"/>
              <w:bottom w:val="single" w:color="000000" w:sz="4" w:space="0"/>
              <w:right w:val="single" w:color="000000" w:sz="4" w:space="0"/>
            </w:tcBorders>
            <w:vAlign w:val="center"/>
          </w:tcPr>
          <w:p w14:paraId="151D42C6">
            <w:pPr>
              <w:pStyle w:val="11"/>
            </w:pPr>
            <w:r>
              <w:rPr>
                <w:rFonts w:hint="default"/>
              </w:rPr>
              <w:t>≤3秒</w:t>
            </w:r>
          </w:p>
        </w:tc>
      </w:tr>
      <w:tr w14:paraId="6A9D90CA">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D3F57B">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607B11">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E54E89">
            <w:pPr>
              <w:pStyle w:val="11"/>
            </w:pPr>
          </w:p>
        </w:tc>
        <w:tc>
          <w:tcPr>
            <w:tcW w:w="0" w:type="auto"/>
            <w:vMerge w:val="continue"/>
            <w:tcBorders>
              <w:top w:val="nil"/>
              <w:left w:val="single" w:color="000000" w:sz="4" w:space="0"/>
              <w:bottom w:val="single" w:color="000000" w:sz="4" w:space="0"/>
              <w:right w:val="single" w:color="000000" w:sz="4" w:space="0"/>
            </w:tcBorders>
            <w:vAlign w:val="center"/>
          </w:tcPr>
          <w:p w14:paraId="596F1732">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4B92AAC8">
            <w:pPr>
              <w:pStyle w:val="11"/>
            </w:pPr>
            <w:r>
              <w:rPr>
                <w:rFonts w:hint="default"/>
              </w:rPr>
              <w:t>简单查询务响应时间</w:t>
            </w:r>
          </w:p>
        </w:tc>
        <w:tc>
          <w:tcPr>
            <w:tcW w:w="0" w:type="auto"/>
            <w:tcBorders>
              <w:top w:val="single" w:color="000000" w:sz="4" w:space="0"/>
              <w:left w:val="single" w:color="000000" w:sz="4" w:space="0"/>
              <w:bottom w:val="single" w:color="000000" w:sz="4" w:space="0"/>
              <w:right w:val="single" w:color="000000" w:sz="4" w:space="0"/>
            </w:tcBorders>
            <w:vAlign w:val="center"/>
          </w:tcPr>
          <w:p w14:paraId="3A75024B">
            <w:pPr>
              <w:pStyle w:val="11"/>
            </w:pPr>
            <w:r>
              <w:rPr>
                <w:rFonts w:hint="default"/>
              </w:rPr>
              <w:t>≤3秒</w:t>
            </w:r>
          </w:p>
        </w:tc>
      </w:tr>
      <w:tr w14:paraId="4644D930">
        <w:tblPrEx>
          <w:tblCellMar>
            <w:top w:w="0" w:type="dxa"/>
            <w:left w:w="108" w:type="dxa"/>
            <w:bottom w:w="0" w:type="dxa"/>
            <w:right w:w="108" w:type="dxa"/>
          </w:tblCellMar>
        </w:tblPrEx>
        <w:trPr>
          <w:trHeight w:val="323"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951934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E860C4">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AE46EE">
            <w:pPr>
              <w:pStyle w:val="11"/>
            </w:pPr>
          </w:p>
        </w:tc>
        <w:tc>
          <w:tcPr>
            <w:tcW w:w="0" w:type="auto"/>
            <w:vMerge w:val="continue"/>
            <w:tcBorders>
              <w:top w:val="nil"/>
              <w:left w:val="single" w:color="000000" w:sz="4" w:space="0"/>
              <w:bottom w:val="single" w:color="000000" w:sz="4" w:space="0"/>
              <w:right w:val="single" w:color="000000" w:sz="4" w:space="0"/>
            </w:tcBorders>
            <w:vAlign w:val="center"/>
          </w:tcPr>
          <w:p w14:paraId="14084D52">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24F82D8A">
            <w:pPr>
              <w:pStyle w:val="11"/>
            </w:pPr>
            <w:r>
              <w:rPr>
                <w:rFonts w:hint="default"/>
              </w:rPr>
              <w:t>区块链TPS</w:t>
            </w:r>
          </w:p>
        </w:tc>
        <w:tc>
          <w:tcPr>
            <w:tcW w:w="0" w:type="auto"/>
            <w:tcBorders>
              <w:top w:val="single" w:color="000000" w:sz="4" w:space="0"/>
              <w:left w:val="single" w:color="000000" w:sz="4" w:space="0"/>
              <w:bottom w:val="single" w:color="000000" w:sz="4" w:space="0"/>
              <w:right w:val="single" w:color="000000" w:sz="4" w:space="0"/>
            </w:tcBorders>
            <w:vAlign w:val="center"/>
          </w:tcPr>
          <w:p w14:paraId="478C6E1B">
            <w:pPr>
              <w:pStyle w:val="11"/>
            </w:pPr>
            <w:r>
              <w:rPr>
                <w:rFonts w:hint="default"/>
              </w:rPr>
              <w:t>≥1000</w:t>
            </w:r>
          </w:p>
        </w:tc>
      </w:tr>
      <w:tr w14:paraId="4BE0EE7C">
        <w:tblPrEx>
          <w:tblCellMar>
            <w:top w:w="0" w:type="dxa"/>
            <w:left w:w="108" w:type="dxa"/>
            <w:bottom w:w="0" w:type="dxa"/>
            <w:right w:w="108" w:type="dxa"/>
          </w:tblCellMar>
        </w:tblPrEx>
        <w:trPr>
          <w:trHeight w:val="323"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B43819">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E700CB">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E97831">
            <w:pPr>
              <w:pStyle w:val="11"/>
            </w:pPr>
          </w:p>
        </w:tc>
        <w:tc>
          <w:tcPr>
            <w:tcW w:w="0" w:type="auto"/>
            <w:vMerge w:val="continue"/>
            <w:tcBorders>
              <w:top w:val="nil"/>
              <w:left w:val="single" w:color="000000" w:sz="4" w:space="0"/>
              <w:bottom w:val="single" w:color="000000" w:sz="4" w:space="0"/>
              <w:right w:val="single" w:color="000000" w:sz="4" w:space="0"/>
            </w:tcBorders>
            <w:vAlign w:val="center"/>
          </w:tcPr>
          <w:p w14:paraId="7B64EE03">
            <w:pPr>
              <w:pStyle w:val="11"/>
            </w:pPr>
          </w:p>
        </w:tc>
        <w:tc>
          <w:tcPr>
            <w:tcW w:w="0" w:type="auto"/>
            <w:tcBorders>
              <w:top w:val="single" w:color="000000" w:sz="4" w:space="0"/>
              <w:left w:val="single" w:color="000000" w:sz="4" w:space="0"/>
              <w:bottom w:val="single" w:color="000000" w:sz="4" w:space="0"/>
              <w:right w:val="single" w:color="000000" w:sz="4" w:space="0"/>
            </w:tcBorders>
            <w:vAlign w:val="center"/>
          </w:tcPr>
          <w:p w14:paraId="33FC363C">
            <w:pPr>
              <w:pStyle w:val="11"/>
            </w:pPr>
            <w:r>
              <w:rPr>
                <w:rFonts w:hint="default"/>
              </w:rPr>
              <w:t>区块链交易高峰期出块时间</w:t>
            </w:r>
          </w:p>
        </w:tc>
        <w:tc>
          <w:tcPr>
            <w:tcW w:w="0" w:type="auto"/>
            <w:tcBorders>
              <w:top w:val="single" w:color="000000" w:sz="4" w:space="0"/>
              <w:left w:val="single" w:color="000000" w:sz="4" w:space="0"/>
              <w:bottom w:val="single" w:color="000000" w:sz="4" w:space="0"/>
              <w:right w:val="single" w:color="000000" w:sz="4" w:space="0"/>
            </w:tcBorders>
            <w:vAlign w:val="center"/>
          </w:tcPr>
          <w:p w14:paraId="3F4E91FF">
            <w:pPr>
              <w:pStyle w:val="11"/>
            </w:pPr>
            <w:r>
              <w:rPr>
                <w:rFonts w:hint="default"/>
              </w:rPr>
              <w:t>≤2秒</w:t>
            </w:r>
          </w:p>
        </w:tc>
      </w:tr>
      <w:tr w14:paraId="4BB21551">
        <w:tblPrEx>
          <w:tblCellMar>
            <w:top w:w="0" w:type="dxa"/>
            <w:left w:w="108" w:type="dxa"/>
            <w:bottom w:w="0" w:type="dxa"/>
            <w:right w:w="108" w:type="dxa"/>
          </w:tblCellMar>
        </w:tblPrEx>
        <w:trPr>
          <w:trHeight w:val="289"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54CCED">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EFE7B0">
            <w:pPr>
              <w:pStyle w:val="11"/>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4C4A2A99">
            <w:pPr>
              <w:pStyle w:val="11"/>
            </w:pPr>
            <w:r>
              <w:rPr>
                <w:rFonts w:hint="default"/>
              </w:rPr>
              <w:t>效益指标</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0F28D828">
            <w:pPr>
              <w:pStyle w:val="11"/>
            </w:pPr>
            <w:r>
              <w:rPr>
                <w:rFonts w:hint="default"/>
              </w:rPr>
              <w:t>社会效益</w:t>
            </w:r>
          </w:p>
        </w:tc>
        <w:tc>
          <w:tcPr>
            <w:tcW w:w="0" w:type="auto"/>
            <w:tcBorders>
              <w:top w:val="single" w:color="000000" w:sz="4" w:space="0"/>
              <w:left w:val="single" w:color="000000" w:sz="4" w:space="0"/>
              <w:bottom w:val="single" w:color="000000" w:sz="4" w:space="0"/>
              <w:right w:val="single" w:color="000000" w:sz="4" w:space="0"/>
            </w:tcBorders>
            <w:vAlign w:val="bottom"/>
          </w:tcPr>
          <w:p w14:paraId="638941B5">
            <w:pPr>
              <w:pStyle w:val="11"/>
            </w:pPr>
            <w:r>
              <w:rPr>
                <w:rFonts w:hint="default"/>
              </w:rPr>
              <w:t>水生态环境治理综合监管数据共享协同比例</w:t>
            </w:r>
          </w:p>
        </w:tc>
        <w:tc>
          <w:tcPr>
            <w:tcW w:w="0" w:type="auto"/>
            <w:tcBorders>
              <w:top w:val="single" w:color="000000" w:sz="4" w:space="0"/>
              <w:left w:val="single" w:color="000000" w:sz="4" w:space="0"/>
              <w:bottom w:val="single" w:color="000000" w:sz="4" w:space="0"/>
              <w:right w:val="single" w:color="000000" w:sz="4" w:space="0"/>
            </w:tcBorders>
            <w:vAlign w:val="center"/>
          </w:tcPr>
          <w:p w14:paraId="34B52C7C">
            <w:pPr>
              <w:pStyle w:val="11"/>
            </w:pPr>
            <w:r>
              <w:rPr>
                <w:rFonts w:hint="default"/>
              </w:rPr>
              <w:t>≥20%</w:t>
            </w:r>
          </w:p>
        </w:tc>
      </w:tr>
      <w:tr w14:paraId="26881FB2">
        <w:tblPrEx>
          <w:tblCellMar>
            <w:top w:w="0" w:type="dxa"/>
            <w:left w:w="108" w:type="dxa"/>
            <w:bottom w:w="0" w:type="dxa"/>
            <w:right w:w="108" w:type="dxa"/>
          </w:tblCellMar>
        </w:tblPrEx>
        <w:trPr>
          <w:trHeight w:val="289"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50C13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46FCEB">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AA4C9D">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538620">
            <w:pPr>
              <w:pStyle w:val="11"/>
            </w:pPr>
          </w:p>
        </w:tc>
        <w:tc>
          <w:tcPr>
            <w:tcW w:w="0" w:type="auto"/>
            <w:tcBorders>
              <w:top w:val="single" w:color="000000" w:sz="4" w:space="0"/>
              <w:left w:val="single" w:color="000000" w:sz="4" w:space="0"/>
              <w:bottom w:val="single" w:color="000000" w:sz="4" w:space="0"/>
              <w:right w:val="single" w:color="000000" w:sz="4" w:space="0"/>
            </w:tcBorders>
            <w:vAlign w:val="bottom"/>
          </w:tcPr>
          <w:p w14:paraId="2E5F5D79">
            <w:pPr>
              <w:pStyle w:val="11"/>
            </w:pPr>
            <w:r>
              <w:rPr>
                <w:rFonts w:hint="default"/>
              </w:rPr>
              <w:t>12345工单处理时间缩短</w:t>
            </w:r>
          </w:p>
        </w:tc>
        <w:tc>
          <w:tcPr>
            <w:tcW w:w="0" w:type="auto"/>
            <w:tcBorders>
              <w:top w:val="single" w:color="000000" w:sz="4" w:space="0"/>
              <w:left w:val="single" w:color="000000" w:sz="4" w:space="0"/>
              <w:bottom w:val="single" w:color="000000" w:sz="4" w:space="0"/>
              <w:right w:val="single" w:color="000000" w:sz="4" w:space="0"/>
            </w:tcBorders>
            <w:vAlign w:val="center"/>
          </w:tcPr>
          <w:p w14:paraId="3A26D635">
            <w:pPr>
              <w:pStyle w:val="11"/>
            </w:pPr>
            <w:r>
              <w:rPr>
                <w:rFonts w:hint="default"/>
              </w:rPr>
              <w:t>≥1小时</w:t>
            </w:r>
          </w:p>
        </w:tc>
      </w:tr>
      <w:tr w14:paraId="1DB46E4C">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33869D">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A21420">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24DE67">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772CD9">
            <w:pPr>
              <w:pStyle w:val="11"/>
            </w:pPr>
          </w:p>
        </w:tc>
        <w:tc>
          <w:tcPr>
            <w:tcW w:w="0" w:type="auto"/>
            <w:tcBorders>
              <w:top w:val="single" w:color="000000" w:sz="4" w:space="0"/>
              <w:left w:val="single" w:color="000000" w:sz="4" w:space="0"/>
              <w:bottom w:val="single" w:color="000000" w:sz="4" w:space="0"/>
              <w:right w:val="single" w:color="000000" w:sz="4" w:space="0"/>
            </w:tcBorders>
            <w:vAlign w:val="bottom"/>
          </w:tcPr>
          <w:p w14:paraId="15A3064A">
            <w:pPr>
              <w:pStyle w:val="11"/>
            </w:pPr>
            <w:r>
              <w:rPr>
                <w:rFonts w:hint="default"/>
              </w:rPr>
              <w:t>碳普惠平台注册市民数量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7BF50B8F">
            <w:pPr>
              <w:pStyle w:val="11"/>
            </w:pPr>
            <w:r>
              <w:rPr>
                <w:rFonts w:hint="default"/>
              </w:rPr>
              <w:t>≥300000人</w:t>
            </w:r>
          </w:p>
        </w:tc>
      </w:tr>
      <w:tr w14:paraId="55474993">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88DBF9">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3F400F">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2AE68E">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F1EC15">
            <w:pPr>
              <w:pStyle w:val="11"/>
            </w:pPr>
          </w:p>
        </w:tc>
        <w:tc>
          <w:tcPr>
            <w:tcW w:w="0" w:type="auto"/>
            <w:tcBorders>
              <w:top w:val="single" w:color="000000" w:sz="4" w:space="0"/>
              <w:left w:val="single" w:color="000000" w:sz="4" w:space="0"/>
              <w:bottom w:val="single" w:color="000000" w:sz="4" w:space="0"/>
              <w:right w:val="single" w:color="000000" w:sz="4" w:space="0"/>
            </w:tcBorders>
            <w:vAlign w:val="bottom"/>
          </w:tcPr>
          <w:p w14:paraId="4FEBC9E3">
            <w:pPr>
              <w:pStyle w:val="11"/>
            </w:pPr>
            <w:r>
              <w:rPr>
                <w:rFonts w:hint="default"/>
              </w:rPr>
              <w:t>碳普惠平台注册机构数量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2DA9300D">
            <w:pPr>
              <w:pStyle w:val="11"/>
            </w:pPr>
            <w:r>
              <w:rPr>
                <w:rFonts w:hint="default"/>
              </w:rPr>
              <w:t>≥300家</w:t>
            </w:r>
          </w:p>
        </w:tc>
      </w:tr>
      <w:tr w14:paraId="5805AB0E">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166D32">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62907E">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6DAD376">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9C8780">
            <w:pPr>
              <w:pStyle w:val="11"/>
            </w:pPr>
          </w:p>
        </w:tc>
        <w:tc>
          <w:tcPr>
            <w:tcW w:w="0" w:type="auto"/>
            <w:tcBorders>
              <w:top w:val="single" w:color="000000" w:sz="4" w:space="0"/>
              <w:left w:val="single" w:color="000000" w:sz="4" w:space="0"/>
              <w:bottom w:val="single" w:color="000000" w:sz="4" w:space="0"/>
              <w:right w:val="single" w:color="000000" w:sz="4" w:space="0"/>
            </w:tcBorders>
            <w:vAlign w:val="bottom"/>
          </w:tcPr>
          <w:p w14:paraId="5C1E8532">
            <w:pPr>
              <w:pStyle w:val="11"/>
            </w:pPr>
            <w:r>
              <w:rPr>
                <w:rFonts w:hint="default"/>
              </w:rPr>
              <w:t>碳普惠平台用户日均访问量</w:t>
            </w:r>
          </w:p>
        </w:tc>
        <w:tc>
          <w:tcPr>
            <w:tcW w:w="0" w:type="auto"/>
            <w:tcBorders>
              <w:top w:val="single" w:color="000000" w:sz="4" w:space="0"/>
              <w:left w:val="single" w:color="000000" w:sz="4" w:space="0"/>
              <w:bottom w:val="single" w:color="000000" w:sz="4" w:space="0"/>
              <w:right w:val="single" w:color="000000" w:sz="4" w:space="0"/>
            </w:tcBorders>
            <w:vAlign w:val="center"/>
          </w:tcPr>
          <w:p w14:paraId="2AE0A147">
            <w:pPr>
              <w:pStyle w:val="11"/>
            </w:pPr>
            <w:r>
              <w:rPr>
                <w:rFonts w:hint="default"/>
              </w:rPr>
              <w:t>≥100000人次/月</w:t>
            </w:r>
          </w:p>
        </w:tc>
      </w:tr>
      <w:tr w14:paraId="520BD54B">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49C916">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421A36">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CA96DB">
            <w:pPr>
              <w:pStyle w:val="11"/>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559A38">
            <w:pPr>
              <w:pStyle w:val="11"/>
            </w:pPr>
          </w:p>
        </w:tc>
        <w:tc>
          <w:tcPr>
            <w:tcW w:w="0" w:type="auto"/>
            <w:tcBorders>
              <w:top w:val="single" w:color="000000" w:sz="4" w:space="0"/>
              <w:left w:val="single" w:color="000000" w:sz="4" w:space="0"/>
              <w:bottom w:val="single" w:color="000000" w:sz="4" w:space="0"/>
              <w:right w:val="single" w:color="000000" w:sz="4" w:space="0"/>
            </w:tcBorders>
            <w:vAlign w:val="bottom"/>
          </w:tcPr>
          <w:p w14:paraId="13A281DA">
            <w:pPr>
              <w:pStyle w:val="11"/>
            </w:pPr>
            <w:r>
              <w:rPr>
                <w:rFonts w:hint="default"/>
              </w:rPr>
              <w:t>碳普惠链上链单位数量</w:t>
            </w:r>
          </w:p>
        </w:tc>
        <w:tc>
          <w:tcPr>
            <w:tcW w:w="0" w:type="auto"/>
            <w:tcBorders>
              <w:top w:val="single" w:color="000000" w:sz="4" w:space="0"/>
              <w:left w:val="single" w:color="000000" w:sz="4" w:space="0"/>
              <w:bottom w:val="single" w:color="000000" w:sz="4" w:space="0"/>
              <w:right w:val="single" w:color="000000" w:sz="4" w:space="0"/>
            </w:tcBorders>
            <w:vAlign w:val="center"/>
          </w:tcPr>
          <w:p w14:paraId="4B99F473">
            <w:pPr>
              <w:pStyle w:val="11"/>
            </w:pPr>
            <w:r>
              <w:rPr>
                <w:rFonts w:hint="default"/>
              </w:rPr>
              <w:t>≥5家</w:t>
            </w:r>
          </w:p>
        </w:tc>
      </w:tr>
    </w:tbl>
    <w:p w14:paraId="30562ABB">
      <w:pPr>
        <w:rPr>
          <w:rFonts w:hint="eastAsia"/>
        </w:rPr>
      </w:pPr>
    </w:p>
    <w:p w14:paraId="694C30B3">
      <w:pPr>
        <w:pStyle w:val="2"/>
        <w:rPr>
          <w:rFonts w:hint="eastAsia"/>
        </w:rPr>
      </w:pPr>
      <w:bookmarkStart w:id="12" w:name="_Toc47539102"/>
      <w:bookmarkEnd w:id="12"/>
      <w:bookmarkStart w:id="13" w:name="_Toc47533288"/>
      <w:bookmarkEnd w:id="13"/>
      <w:bookmarkStart w:id="14" w:name="_Toc47537166"/>
      <w:bookmarkEnd w:id="14"/>
      <w:bookmarkStart w:id="15" w:name="_Toc47532923"/>
      <w:bookmarkEnd w:id="15"/>
      <w:bookmarkStart w:id="16" w:name="_Toc47536676"/>
      <w:bookmarkEnd w:id="16"/>
      <w:bookmarkStart w:id="17" w:name="_Toc47536304"/>
      <w:bookmarkEnd w:id="17"/>
      <w:r>
        <w:rPr>
          <w:rFonts w:hint="eastAsia"/>
        </w:rPr>
        <w:t>项目建设内容</w:t>
      </w:r>
    </w:p>
    <w:p w14:paraId="7DA99D2E">
      <w:pPr>
        <w:ind w:firstLine="482"/>
        <w:outlineLvl w:val="1"/>
        <w:rPr>
          <w:rFonts w:hint="eastAsia"/>
          <w:b/>
          <w:bCs/>
        </w:rPr>
      </w:pPr>
      <w:r>
        <w:rPr>
          <w:rFonts w:hint="eastAsia"/>
          <w:b/>
          <w:bCs/>
        </w:rPr>
        <w:t>（一）技术路线</w:t>
      </w:r>
    </w:p>
    <w:p w14:paraId="59A48BB3">
      <w:pPr>
        <w:outlineLvl w:val="2"/>
        <w:rPr>
          <w:rFonts w:hint="eastAsia"/>
        </w:rPr>
      </w:pPr>
      <w:r>
        <w:t>（</w:t>
      </w:r>
      <w:r>
        <w:rPr>
          <w:rFonts w:hint="eastAsia"/>
        </w:rPr>
        <w:t>1</w:t>
      </w:r>
      <w:r>
        <w:t>）国产化技术栈</w:t>
      </w:r>
    </w:p>
    <w:p w14:paraId="66772732">
      <w:pPr>
        <w:rPr>
          <w:rFonts w:hint="eastAsia"/>
        </w:rPr>
      </w:pPr>
      <w:r>
        <w:t>基础软件层：操作系统</w:t>
      </w:r>
      <w:r>
        <w:rPr>
          <w:rFonts w:hint="eastAsia"/>
        </w:rPr>
        <w:t>、数据库、中间件均</w:t>
      </w:r>
      <w:r>
        <w:t>采用</w:t>
      </w:r>
      <w:r>
        <w:rPr>
          <w:rFonts w:hint="eastAsia"/>
        </w:rPr>
        <w:t>国产软件，</w:t>
      </w:r>
      <w:r>
        <w:t>确保全栈国产化适配，满足政务系统安全自主可控要求。</w:t>
      </w:r>
    </w:p>
    <w:p w14:paraId="4130F358">
      <w:pPr>
        <w:rPr>
          <w:rFonts w:hint="eastAsia"/>
        </w:rPr>
      </w:pPr>
      <w:r>
        <w:t>开发框架层：</w:t>
      </w:r>
      <w:r>
        <w:rPr>
          <w:rFonts w:hint="eastAsia"/>
        </w:rPr>
        <w:t>web端需要支持主流国产浏览器访问，</w:t>
      </w:r>
      <w:r>
        <w:t>移动端</w:t>
      </w:r>
      <w:r>
        <w:rPr>
          <w:rFonts w:hint="eastAsia"/>
        </w:rPr>
        <w:t>采用随申办（包括随申办市民云、随申办企业云、随申办政务云）框架开发</w:t>
      </w:r>
      <w:r>
        <w:t>，同时兼容上海市政务系统现有技术规范。</w:t>
      </w:r>
    </w:p>
    <w:p w14:paraId="6DF17139">
      <w:pPr>
        <w:rPr>
          <w:rFonts w:hint="eastAsia"/>
        </w:rPr>
      </w:pPr>
      <w:r>
        <w:t>安全技术层：</w:t>
      </w:r>
      <w:r>
        <w:rPr>
          <w:rFonts w:hint="eastAsia"/>
        </w:rPr>
        <w:t>采用</w:t>
      </w:r>
      <w:r>
        <w:t>国密算法，实现数据传输加密、存储加密及身份认证加密；采用基于角色的访问控制（RBAC）模型，结合动态口令认证、USB-Key认证等多因子认证方式，保障系统访问安全。</w:t>
      </w:r>
    </w:p>
    <w:p w14:paraId="7EDE1D06">
      <w:pPr>
        <w:outlineLvl w:val="2"/>
        <w:rPr>
          <w:rFonts w:hint="eastAsia"/>
        </w:rPr>
      </w:pPr>
      <w:r>
        <w:rPr>
          <w:rFonts w:hint="eastAsia"/>
        </w:rPr>
        <w:t>（2）政务云服务调用</w:t>
      </w:r>
    </w:p>
    <w:p w14:paraId="37C03360">
      <w:pPr>
        <w:rPr>
          <w:rFonts w:hint="eastAsia"/>
        </w:rPr>
      </w:pPr>
      <w:r>
        <w:rPr>
          <w:rFonts w:hint="eastAsia"/>
        </w:rPr>
        <w:t>对于政务云已有的服务，需优先采用政务云提供的服务，包括安全服务、数据库服务、短信服务、地图服务等。</w:t>
      </w:r>
    </w:p>
    <w:p w14:paraId="458C5101">
      <w:pPr>
        <w:ind w:firstLine="482"/>
        <w:outlineLvl w:val="1"/>
        <w:rPr>
          <w:rFonts w:hint="eastAsia"/>
          <w:b/>
          <w:bCs/>
        </w:rPr>
      </w:pPr>
      <w:r>
        <w:rPr>
          <w:b/>
          <w:bCs/>
        </w:rPr>
        <w:t>（</w:t>
      </w:r>
      <w:r>
        <w:rPr>
          <w:rFonts w:hint="eastAsia"/>
          <w:b/>
          <w:bCs/>
        </w:rPr>
        <w:t>二</w:t>
      </w:r>
      <w:r>
        <w:rPr>
          <w:b/>
          <w:bCs/>
        </w:rPr>
        <w:t>）</w:t>
      </w:r>
      <w:r>
        <w:rPr>
          <w:rFonts w:hint="eastAsia"/>
          <w:b/>
          <w:bCs/>
        </w:rPr>
        <w:t>系统架构</w:t>
      </w:r>
    </w:p>
    <w:p w14:paraId="79D6567D">
      <w:pPr>
        <w:rPr>
          <w:rFonts w:hint="eastAsia"/>
        </w:rPr>
      </w:pPr>
      <w:r>
        <w:t>基础设施层</w:t>
      </w:r>
      <w:r>
        <w:rPr>
          <w:rFonts w:hint="eastAsia"/>
        </w:rPr>
        <w:t>：采用</w:t>
      </w:r>
      <w:r>
        <w:t>政务云服务器、存储设备、网络设备部署，提供计算、存储、网络资源支撑</w:t>
      </w:r>
      <w:r>
        <w:rPr>
          <w:rFonts w:hint="eastAsia"/>
        </w:rPr>
        <w:t>，满足</w:t>
      </w:r>
      <w:r>
        <w:t>统一基础设施、统一网络环境</w:t>
      </w:r>
      <w:r>
        <w:rPr>
          <w:rFonts w:hint="eastAsia"/>
        </w:rPr>
        <w:t>管理要求。</w:t>
      </w:r>
    </w:p>
    <w:p w14:paraId="6CC188E5">
      <w:pPr>
        <w:rPr>
          <w:rFonts w:hint="eastAsia"/>
        </w:rPr>
      </w:pPr>
      <w:r>
        <w:t>数据资源层</w:t>
      </w:r>
      <w:r>
        <w:rPr>
          <w:rFonts w:hint="eastAsia"/>
        </w:rPr>
        <w:t>：各子系统需按照数据共享和上链要求，以生态环境数据数据中台为枢纽，完成数据资源的编目和上链，实现数据的统一归集、交换和共享。</w:t>
      </w:r>
    </w:p>
    <w:p w14:paraId="047D71B1">
      <w:pPr>
        <w:rPr>
          <w:rFonts w:hint="eastAsia"/>
        </w:rPr>
      </w:pPr>
      <w:r>
        <w:t>平台服务层</w:t>
      </w:r>
      <w:r>
        <w:rPr>
          <w:rFonts w:hint="eastAsia"/>
        </w:rPr>
        <w:t>：按照市生态环境局数字化的整体技术框架，以及市大数据中心提供的PAAS和SAAS服务资源，实现用户管理、地图服务</w:t>
      </w:r>
      <w:r>
        <w:t>、认证授权等共性服务，支撑三大子系统协同运行</w:t>
      </w:r>
      <w:r>
        <w:rPr>
          <w:rFonts w:hint="eastAsia"/>
        </w:rPr>
        <w:t>。</w:t>
      </w:r>
    </w:p>
    <w:p w14:paraId="6E5A5FE6">
      <w:pPr>
        <w:rPr>
          <w:rFonts w:hint="eastAsia"/>
        </w:rPr>
      </w:pPr>
      <w:r>
        <w:t>应用系统层</w:t>
      </w:r>
      <w:r>
        <w:rPr>
          <w:rFonts w:hint="eastAsia"/>
        </w:rPr>
        <w:t>：按照市生态环境局统一应用门户接入和管理要求，</w:t>
      </w:r>
      <w:r>
        <w:t>部署碳普惠链和隐私计算子系统、水生态环境质量综合监管子系统、上海市碳排放综合管理子系统，实现业务功能模块化开发与集成</w:t>
      </w:r>
      <w:r>
        <w:rPr>
          <w:rFonts w:hint="eastAsia"/>
        </w:rPr>
        <w:t>。</w:t>
      </w:r>
    </w:p>
    <w:p w14:paraId="76605110">
      <w:pPr>
        <w:rPr>
          <w:rFonts w:hint="eastAsia"/>
        </w:rPr>
      </w:pPr>
      <w:r>
        <w:t>安全保障层</w:t>
      </w:r>
      <w:r>
        <w:rPr>
          <w:rFonts w:hint="eastAsia"/>
        </w:rPr>
        <w:t>:需要按照</w:t>
      </w:r>
      <w:r>
        <w:t>等级保护三级防护</w:t>
      </w:r>
      <w:r>
        <w:rPr>
          <w:rFonts w:hint="eastAsia"/>
        </w:rPr>
        <w:t>要求，落实</w:t>
      </w:r>
      <w:r>
        <w:t>物理安全、网络安全、主机安全、应用安全、数据安全</w:t>
      </w:r>
      <w:r>
        <w:rPr>
          <w:rFonts w:hint="eastAsia"/>
        </w:rPr>
        <w:t>，实现</w:t>
      </w:r>
      <w:r>
        <w:t>国密适配及安全运维管理</w:t>
      </w:r>
      <w:r>
        <w:rPr>
          <w:rFonts w:hint="eastAsia"/>
        </w:rPr>
        <w:t>。</w:t>
      </w:r>
    </w:p>
    <w:p w14:paraId="511211CC">
      <w:pPr>
        <w:rPr>
          <w:rFonts w:hint="eastAsia"/>
        </w:rPr>
      </w:pPr>
      <w:r>
        <w:t>用户访问层</w:t>
      </w:r>
      <w:r>
        <w:rPr>
          <w:rFonts w:hint="eastAsia"/>
        </w:rPr>
        <w:t>：</w:t>
      </w:r>
      <w:r>
        <w:t>支持政府部门（市生态环境局、发改委等）、企业、公众等多类用户，通过政务网、互联网、移动端访问系统</w:t>
      </w:r>
      <w:r>
        <w:rPr>
          <w:rFonts w:hint="eastAsia"/>
        </w:rPr>
        <w:t>。</w:t>
      </w:r>
    </w:p>
    <w:p w14:paraId="53D81093">
      <w:pPr>
        <w:ind w:firstLine="482"/>
        <w:outlineLvl w:val="1"/>
        <w:rPr>
          <w:rFonts w:hint="eastAsia"/>
          <w:b/>
          <w:bCs/>
        </w:rPr>
      </w:pPr>
      <w:r>
        <w:rPr>
          <w:b/>
          <w:bCs/>
        </w:rPr>
        <w:t>（</w:t>
      </w:r>
      <w:r>
        <w:rPr>
          <w:rFonts w:hint="eastAsia"/>
          <w:b/>
          <w:bCs/>
        </w:rPr>
        <w:t>三</w:t>
      </w:r>
      <w:r>
        <w:rPr>
          <w:b/>
          <w:bCs/>
        </w:rPr>
        <w:t>）部署环境</w:t>
      </w:r>
    </w:p>
    <w:p w14:paraId="20E034EF">
      <w:pPr>
        <w:rPr>
          <w:rFonts w:hint="eastAsia"/>
        </w:rPr>
      </w:pPr>
      <w:r>
        <w:t>基于上海市</w:t>
      </w:r>
      <w:r>
        <w:rPr>
          <w:rFonts w:hint="eastAsia"/>
        </w:rPr>
        <w:t>大数据中心提供的政务云资源和区块链平台进行部署，</w:t>
      </w:r>
      <w:r>
        <w:t>选用</w:t>
      </w:r>
      <w:r>
        <w:rPr>
          <w:rFonts w:hint="eastAsia"/>
        </w:rPr>
        <w:t>国产服务器资源、</w:t>
      </w:r>
      <w:r>
        <w:t>操作系统</w:t>
      </w:r>
      <w:r>
        <w:rPr>
          <w:rFonts w:hint="eastAsia"/>
        </w:rPr>
        <w:t>、</w:t>
      </w:r>
      <w:r>
        <w:t>数据库</w:t>
      </w:r>
      <w:r>
        <w:rPr>
          <w:rFonts w:hint="eastAsia"/>
        </w:rPr>
        <w:t>、</w:t>
      </w:r>
      <w:r>
        <w:t>中间件。</w:t>
      </w:r>
    </w:p>
    <w:p w14:paraId="276973D3">
      <w:pPr>
        <w:ind w:firstLine="482"/>
        <w:outlineLvl w:val="1"/>
        <w:rPr>
          <w:rFonts w:hint="eastAsia"/>
          <w:b/>
          <w:bCs/>
        </w:rPr>
      </w:pPr>
      <w:r>
        <w:rPr>
          <w:rFonts w:hint="eastAsia"/>
          <w:b/>
          <w:bCs/>
        </w:rPr>
        <w:t>（四）项目建设清单</w:t>
      </w:r>
    </w:p>
    <w:p w14:paraId="0F32C089">
      <w:pPr>
        <w:outlineLvl w:val="1"/>
        <w:rPr>
          <w:rFonts w:hint="eastAsia"/>
        </w:rPr>
      </w:pPr>
      <w:r>
        <w:rPr>
          <w:rFonts w:hint="eastAsia"/>
        </w:rPr>
        <w:t>1、水生态环境质量综合监管子系统升级改造</w:t>
      </w:r>
    </w:p>
    <w:p w14:paraId="4736108E">
      <w:pPr>
        <w:rPr>
          <w:rFonts w:hint="eastAsia"/>
        </w:rPr>
      </w:pPr>
      <w:r>
        <w:rPr>
          <w:rFonts w:hint="eastAsia"/>
        </w:rPr>
        <w:t>通过信息化手段提升水环境监管的精准性和效率，构建"美丽幸福河湖"和"美丽海湾"，实现水环境质量持续改善。重点包括建立水质指纹图谱库实现精准溯源、整合多源数据提升协同管理能力、通过热力图展示公众投诉数据促进社会监督、强化水源地等关键区域监管，具体功能清单如下：</w:t>
      </w:r>
    </w:p>
    <w:tbl>
      <w:tblPr>
        <w:tblStyle w:val="7"/>
        <w:tblW w:w="0" w:type="auto"/>
        <w:tblInd w:w="98" w:type="dxa"/>
        <w:tblLayout w:type="autofit"/>
        <w:tblCellMar>
          <w:top w:w="0" w:type="dxa"/>
          <w:left w:w="108" w:type="dxa"/>
          <w:bottom w:w="0" w:type="dxa"/>
          <w:right w:w="108" w:type="dxa"/>
        </w:tblCellMar>
      </w:tblPr>
      <w:tblGrid>
        <w:gridCol w:w="2233"/>
        <w:gridCol w:w="6197"/>
      </w:tblGrid>
      <w:tr w14:paraId="7749762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569957">
            <w:pPr>
              <w:pStyle w:val="11"/>
            </w:pPr>
            <w:r>
              <w:t>功能名称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D200F">
            <w:pPr>
              <w:pStyle w:val="11"/>
            </w:pPr>
            <w:r>
              <w:t>功能描述</w:t>
            </w:r>
          </w:p>
        </w:tc>
      </w:tr>
      <w:tr w14:paraId="03779FE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3BF099">
            <w:pPr>
              <w:pStyle w:val="11"/>
            </w:pPr>
            <w:r>
              <w:t>溯源分析模块-排放清单管理-污染源信息管理-纳管企业信息查询功能点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7C2A6B">
            <w:pPr>
              <w:pStyle w:val="11"/>
            </w:pPr>
            <w:r>
              <w:t>提供纳管企业的信息的统计与检索，可与地图交互查看，并可按照不同分类对排水户信息进行查询和检索</w:t>
            </w:r>
          </w:p>
        </w:tc>
      </w:tr>
      <w:tr w14:paraId="767CF94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59A203">
            <w:pPr>
              <w:pStyle w:val="11"/>
            </w:pPr>
            <w:r>
              <w:t>溯源分析模块-排放清单管理-污染源信息管理-溯源拓扑关系查询功能点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58131">
            <w:pPr>
              <w:pStyle w:val="11"/>
            </w:pPr>
            <w:r>
              <w:t>对接市最新污水管网及泵站信息，与对应纳管企业做拓扑关联，建立“河道-纳管企业-管网-泵站\排口”拓扑路径。用户可通过点击纳管企业，地图查看其排水路径，亦可通过选择污水泵站或干管，查看服务区域纳管企业数量及信息</w:t>
            </w:r>
          </w:p>
        </w:tc>
      </w:tr>
      <w:tr w14:paraId="075C26A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DDFD60">
            <w:pPr>
              <w:pStyle w:val="11"/>
            </w:pPr>
            <w:r>
              <w:t>溯源分析模块-排放清单管理-污染源信息管理-纳管企业行业分类功能点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D4267">
            <w:pPr>
              <w:pStyle w:val="11"/>
            </w:pPr>
            <w:r>
              <w:t>提供对纳管企业按照行业类型、行政区域、受纳水体（河道断面）、排水分区、污水厂（泵站）服务范围等进行分类，并可自定义设置分类类型（如，重点关注企业等）</w:t>
            </w:r>
          </w:p>
        </w:tc>
      </w:tr>
      <w:tr w14:paraId="1611AC4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32A9E0">
            <w:pPr>
              <w:pStyle w:val="11"/>
            </w:pPr>
            <w:r>
              <w:t>溯源分析模块-排放清单管理-污染源信息管理-纳管企业动态更新功能点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DE44F9">
            <w:pPr>
              <w:pStyle w:val="11"/>
            </w:pPr>
            <w:r>
              <w:t>对信息不全的排水户进行录入或导入、增删改查，支持批量信息导入和导出功能等</w:t>
            </w:r>
          </w:p>
        </w:tc>
      </w:tr>
      <w:tr w14:paraId="4C4584F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636B3E">
            <w:pPr>
              <w:pStyle w:val="11"/>
            </w:pPr>
            <w:r>
              <w:t>溯源分析模块-排放清单管理-水质指纹采集管理-采集任务创建（PC+移动端）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A10E9">
            <w:pPr>
              <w:pStyle w:val="11"/>
            </w:pPr>
            <w:r>
              <w:t>提供水质指纹采集任务的创建、分配和跟踪功能，支持采集任务的自动化调度（按照区域、执行单位等）和管理</w:t>
            </w:r>
          </w:p>
        </w:tc>
      </w:tr>
      <w:tr w14:paraId="57D6DAE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43A881">
            <w:pPr>
              <w:pStyle w:val="11"/>
            </w:pPr>
            <w:r>
              <w:t>溯源分析模块-排放清单管理-水质指纹采集管理-采集信息管理（PC+移动端）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E49F89">
            <w:pPr>
              <w:pStyle w:val="11"/>
            </w:pPr>
            <w:r>
              <w:t>支持多种数据采集方式，包括监测设备采集、人工采样等，并能够对采集数据进行预处理和校验，实现水质指纹图谱的存储和管理，支持图谱的查询、修改和删除，可自动将采集的水质指纹信息（水质样本、是三维荧光图谱）与所采集污染源（纳管企业）一对多关联</w:t>
            </w:r>
          </w:p>
        </w:tc>
      </w:tr>
      <w:tr w14:paraId="1B5C53B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0396CB">
            <w:pPr>
              <w:pStyle w:val="11"/>
            </w:pPr>
            <w:r>
              <w:t>溯源分析模块-排放清单管理-水质指纹采集管理-采集流程管理(PC端）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C5A11">
            <w:pPr>
              <w:pStyle w:val="11"/>
            </w:pPr>
            <w:r>
              <w:t>提供标准化的信息流程管理功能，包括采集流程的定义、执行和监控，以及采集结果的确认和审核</w:t>
            </w:r>
          </w:p>
        </w:tc>
      </w:tr>
      <w:tr w14:paraId="6FBE4CA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1E8CF0">
            <w:pPr>
              <w:pStyle w:val="11"/>
            </w:pPr>
            <w:r>
              <w:t>溯源分析模块-排放清单管理-水质指纹图谱库管理-污染源指纹图谱查询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8BAA5">
            <w:pPr>
              <w:pStyle w:val="11"/>
            </w:pPr>
            <w:r>
              <w:t>水质指纹图谱库的创建和管理，支持图谱库的构建、更新和维护，并提供图谱库的查询和检索功能，支持按排水用户、行业类型、排水特征等条件进行查询其所采集确认不同时段三维荧光光谱特征</w:t>
            </w:r>
          </w:p>
        </w:tc>
      </w:tr>
      <w:tr w14:paraId="5DC4C73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763192">
            <w:pPr>
              <w:pStyle w:val="11"/>
            </w:pPr>
            <w:r>
              <w:t>溯源分析模块-排放清单管理-水质指纹图谱库管理-污染源指纹图谱库更新管理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018E6">
            <w:pPr>
              <w:pStyle w:val="11"/>
            </w:pPr>
            <w:r>
              <w:t>支持对图谱信息的动态管理，可对选定的排水户发起新任务创建，更新或增加图谱信息采集。提供对图谱库的可视化展示，能够直观地展示不同用户的水质指纹特征（三维荧光图谱）、不同时段的指纹样式差异以及对应的水质样本采集信息等</w:t>
            </w:r>
          </w:p>
        </w:tc>
      </w:tr>
      <w:tr w14:paraId="5F3A0C4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62CA44">
            <w:pPr>
              <w:pStyle w:val="11"/>
            </w:pPr>
            <w:r>
              <w:t>溯源分析模块-排放清单管理-水质指纹图谱库管理-图谱库开放权限管理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A351E">
            <w:pPr>
              <w:pStyle w:val="11"/>
            </w:pPr>
            <w:r>
              <w:t>确保不同角色的用户能够根据权限访问和操作图谱库</w:t>
            </w:r>
          </w:p>
        </w:tc>
      </w:tr>
      <w:tr w14:paraId="26CE351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A0FFB7">
            <w:pPr>
              <w:pStyle w:val="11"/>
            </w:pPr>
            <w:r>
              <w:t>溯源分析模块-污染溯源模型应用-水质指纹预警-在线监测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007C8">
            <w:pPr>
              <w:pStyle w:val="11"/>
            </w:pPr>
            <w:r>
              <w:t>接入所布设的水质传感与水质指纹检测溯源设备数据，并可与地图关联展示</w:t>
            </w:r>
          </w:p>
        </w:tc>
      </w:tr>
      <w:tr w14:paraId="34D302B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B503C9">
            <w:pPr>
              <w:pStyle w:val="11"/>
            </w:pPr>
            <w:r>
              <w:t>溯源分析模块-污染溯源模型应用-水质指纹预警-污染超标预警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B0A26">
            <w:pPr>
              <w:pStyle w:val="11"/>
            </w:pPr>
            <w:r>
              <w:t>水质监测指标超阈值后， 触发水质样本采集并与发起指纹比对流程。指纹比对结果可与预警的事件信息关联查看。</w:t>
            </w:r>
          </w:p>
        </w:tc>
      </w:tr>
      <w:tr w14:paraId="767E6E9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FD1022">
            <w:pPr>
              <w:pStyle w:val="11"/>
            </w:pPr>
            <w:r>
              <w:t>溯源分析模块-污染溯源模型应用-水质指纹预警-指纹比对算法接口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2599AF">
            <w:pPr>
              <w:pStyle w:val="11"/>
            </w:pPr>
            <w:r>
              <w:t>嵌入封装指纹算法模块，可针对预警、污染源信息调用比对算法模块自动匹配水质指纹图库邻近指纹图谱，并对相似性、相关匹配度、差异进行计算分析，向系统输出匹配成果</w:t>
            </w:r>
          </w:p>
        </w:tc>
      </w:tr>
      <w:tr w14:paraId="3B8E3DE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F25E3E">
            <w:pPr>
              <w:pStyle w:val="11"/>
            </w:pPr>
            <w:r>
              <w:t>溯源分析模块-污染溯源模型应用-水质指纹预警-水质指纹对比分析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8A3CAD">
            <w:pPr>
              <w:pStyle w:val="11"/>
            </w:pPr>
            <w:r>
              <w:t>根据预警事件的水质样本的行政区域、河道、排水系统服务范围等，系统自动比对对应区域内的污染源水质指纹图谱库中指纹，并通过算法计算管关联污染源指纹相似度，并对相似度评分，且自动按照分值序列进行排列</w:t>
            </w:r>
          </w:p>
        </w:tc>
      </w:tr>
      <w:tr w14:paraId="1010474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C5F25A">
            <w:pPr>
              <w:pStyle w:val="11"/>
            </w:pPr>
            <w:r>
              <w:t>溯源分析模块-污染溯源模型应用-水质指纹预警-成果可视化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4B9FDE">
            <w:pPr>
              <w:pStyle w:val="11"/>
            </w:pPr>
            <w:r>
              <w:t>提供比对结果的可视化展示，包括相似指纹（三维荧光图谱）的对比展示、相似度评分等，并对相似度高于80%的排水用户高亮展示，且可与地图交互，自动高亮定位到嫌疑纳管企业位置。</w:t>
            </w:r>
          </w:p>
        </w:tc>
      </w:tr>
      <w:tr w14:paraId="00091F0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9F1F83">
            <w:pPr>
              <w:pStyle w:val="11"/>
            </w:pPr>
            <w:r>
              <w:t>溯源分析模块-污染溯源模型应用-水质指纹预警-工单流程管理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7FFE6F">
            <w:pPr>
              <w:pStyle w:val="11"/>
            </w:pPr>
            <w:r>
              <w:t>对预警问题及水质指纹比对结果信息，可由主管用户发起工单处置，可由用户主动选择相关单位发送，也可通过监测河道、区域匹配单位关联的方式自动派发，并接受由区管单位现场排查反馈的问题结论。所有工单形成闭环管理，用户可按照河道、行政区域、年\月查看工单处置状态与反馈情况。</w:t>
            </w:r>
          </w:p>
        </w:tc>
      </w:tr>
      <w:tr w14:paraId="1A94EFC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96AC8A">
            <w:pPr>
              <w:pStyle w:val="11"/>
            </w:pPr>
            <w:r>
              <w:t>溯源分析模块-污染溯源模型应用-水质指纹预警-输出溯源分析报告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19803">
            <w:pPr>
              <w:pStyle w:val="11"/>
            </w:pPr>
            <w:r>
              <w:t>按照结构化的报告形式（可自定义），系统自动编制成报告形式（事件信息-指纹比对分析-嫌疑污染源-行动建议），并可将结果报告导出和分享。</w:t>
            </w:r>
          </w:p>
        </w:tc>
      </w:tr>
      <w:tr w14:paraId="74A032B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CB2BCD4">
            <w:pPr>
              <w:pStyle w:val="11"/>
            </w:pPr>
            <w:r>
              <w:t>水源地模块-水源地保护区常态化检查-项目检查上报-施工项目检查上报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53003">
            <w:pPr>
              <w:pStyle w:val="11"/>
            </w:pPr>
            <w:r>
              <w:t>区生态环境局可以通过APP在项目施工现场上报检查记录和问题情况。</w:t>
            </w:r>
          </w:p>
        </w:tc>
      </w:tr>
      <w:tr w14:paraId="3DE0B49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415976">
            <w:pPr>
              <w:pStyle w:val="11"/>
            </w:pPr>
            <w:r>
              <w:t>水源地模块-水源地保护区常态化检查-项目检查上报-日常检查上报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4B790">
            <w:pPr>
              <w:pStyle w:val="11"/>
            </w:pPr>
            <w:r>
              <w:t>街镇可以通过APP在水源保护区内上报检查记录和问题情况。</w:t>
            </w:r>
          </w:p>
        </w:tc>
      </w:tr>
      <w:tr w14:paraId="0FDB490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80BDBC9">
            <w:pPr>
              <w:pStyle w:val="11"/>
            </w:pPr>
            <w:r>
              <w:t>水源地模块-水源地保护区常态化检查-问题整改上报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6FE663">
            <w:pPr>
              <w:pStyle w:val="11"/>
            </w:pPr>
            <w:r>
              <w:t>对于发现的问题，可以通过APP上传问题整改情况。</w:t>
            </w:r>
          </w:p>
        </w:tc>
      </w:tr>
      <w:tr w14:paraId="50B32C2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B48312">
            <w:pPr>
              <w:pStyle w:val="11"/>
            </w:pPr>
            <w:r>
              <w:t>水源地模块-水源地保护区常态化检查-施工项目检查记录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CB93F0">
            <w:pPr>
              <w:pStyle w:val="11"/>
            </w:pPr>
            <w:r>
              <w:t>汇总区局上报的施工项目检查记录，形成电子台账，并支持查看详情和导出。</w:t>
            </w:r>
          </w:p>
        </w:tc>
      </w:tr>
      <w:tr w14:paraId="75F020D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CA1F81">
            <w:pPr>
              <w:pStyle w:val="11"/>
            </w:pPr>
            <w:r>
              <w:t>水源地模块-水源地保护区常态化检查-日常检查记录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4C3115">
            <w:pPr>
              <w:pStyle w:val="11"/>
            </w:pPr>
            <w:r>
              <w:t>汇总街镇上报的日常检查记录，形成电子台账，并支持查看详情和导出。</w:t>
            </w:r>
          </w:p>
        </w:tc>
      </w:tr>
      <w:tr w14:paraId="66D860D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2639FA">
            <w:pPr>
              <w:pStyle w:val="11"/>
            </w:pPr>
            <w:r>
              <w:t>水源地模块-水源地保护区常态化检查-问题整改销项台账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5A2494">
            <w:pPr>
              <w:pStyle w:val="11"/>
            </w:pPr>
            <w:r>
              <w:t>将常态化检查中发现的问题进行汇总，形成问题台账，支持流转审批并跟踪落实整改情况，实现闭环处理。</w:t>
            </w:r>
          </w:p>
        </w:tc>
      </w:tr>
      <w:tr w14:paraId="64BB9D7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DE44E2">
            <w:pPr>
              <w:pStyle w:val="11"/>
            </w:pPr>
            <w:r>
              <w:t>水源地模块-水源地保护区常态化检查-权限管理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025F0C">
            <w:pPr>
              <w:pStyle w:val="11"/>
            </w:pPr>
            <w:r>
              <w:t>改造现有权限系统，将权限细分至街镇；建立随申办公众版账号与政务网账号的对应关系</w:t>
            </w:r>
          </w:p>
        </w:tc>
      </w:tr>
      <w:tr w14:paraId="1C239B0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5ADF4E">
            <w:pPr>
              <w:pStyle w:val="11"/>
            </w:pPr>
            <w:r>
              <w:t>水源地模块-水源地保护区巡查-巡查管理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35501">
            <w:pPr>
              <w:pStyle w:val="11"/>
            </w:pPr>
            <w:r>
              <w:t>对于巡查的记录进行管理并形成台账</w:t>
            </w:r>
          </w:p>
        </w:tc>
      </w:tr>
      <w:tr w14:paraId="1B480D7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BE2B18">
            <w:pPr>
              <w:pStyle w:val="11"/>
            </w:pPr>
            <w:r>
              <w:t>水源地模块-水源地保护区巡查-巡查问题管理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85C68">
            <w:pPr>
              <w:pStyle w:val="11"/>
            </w:pPr>
            <w:r>
              <w:t>对巡查发现的问题形成清单，由业务人员审核后确定是否生成问题工单，并对已下发的工单进行流转跟踪、销项。</w:t>
            </w:r>
          </w:p>
        </w:tc>
      </w:tr>
      <w:tr w14:paraId="0E594A0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4A6D569">
            <w:pPr>
              <w:pStyle w:val="11"/>
            </w:pPr>
            <w:r>
              <w:t>水源地模块-监测预警问题-遥感监测问题工单-问题工单流转流程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1E7750">
            <w:pPr>
              <w:pStyle w:val="11"/>
            </w:pPr>
            <w:r>
              <w:t>调整现有工单流程，当涉及生态红线的问题工单整改情况上报后，需要生态处和水处依次审核。</w:t>
            </w:r>
          </w:p>
        </w:tc>
      </w:tr>
      <w:tr w14:paraId="1570B40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B903050">
            <w:pPr>
              <w:pStyle w:val="11"/>
            </w:pPr>
            <w:r>
              <w:t>水源地模块-监测预警问题-遥感监测问题工单-生态处系统工单同步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CC5C0F">
            <w:pPr>
              <w:pStyle w:val="11"/>
            </w:pPr>
            <w:r>
              <w:t>涉及生态红线的遥感动态监测工单，需要将工单信息和整改情况定期同步至生态处系统。</w:t>
            </w:r>
          </w:p>
        </w:tc>
      </w:tr>
      <w:tr w14:paraId="7BAC562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5A511F">
            <w:pPr>
              <w:pStyle w:val="11"/>
            </w:pPr>
            <w:r>
              <w:t>考核评估模块-水质改善评估-水生态考核评估-水生态达标分析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BA576D">
            <w:pPr>
              <w:pStyle w:val="11"/>
            </w:pPr>
            <w:r>
              <w:t>支持根据水生态达标情况，分析现状与目标的差距。</w:t>
            </w:r>
          </w:p>
        </w:tc>
      </w:tr>
      <w:tr w14:paraId="49C5577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07DBC9">
            <w:pPr>
              <w:pStyle w:val="11"/>
            </w:pPr>
            <w:r>
              <w:t>考核评估模块-水质改善评估-水生态考核评估-水生态监测评价数据管理和展示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1B3D65">
            <w:pPr>
              <w:pStyle w:val="11"/>
            </w:pPr>
            <w:r>
              <w:t>对现有的水生态驾驶舱进行调整，丰富水生态监测评价展示。支持录入新增的水生态监测数据，按照既定的计算规则自动生成水生态的计算结果，并汇总生成水生态评价报告，支持报告的查看与导出。</w:t>
            </w:r>
          </w:p>
        </w:tc>
      </w:tr>
      <w:tr w14:paraId="2641BDC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4DC9D4">
            <w:pPr>
              <w:pStyle w:val="11"/>
            </w:pPr>
            <w:r>
              <w:t>考核评估模块-美丽幸福河湖-河湖总览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D2EDD">
            <w:pPr>
              <w:pStyle w:val="11"/>
            </w:pPr>
            <w:r>
              <w:t>展示当前全市河湖总览情况，包括市管、区管、镇管及以下河道、湖泊的数量及分布情况；支持区域筛选；支持点击查看河湖的基本信息和美丽幸福河湖得分情况。</w:t>
            </w:r>
          </w:p>
        </w:tc>
      </w:tr>
      <w:tr w14:paraId="6A399CF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B80B6E1">
            <w:pPr>
              <w:pStyle w:val="11"/>
            </w:pPr>
            <w:r>
              <w:t>考核评估模块-美丽幸福河湖-准则层展示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CCFDDD">
            <w:pPr>
              <w:pStyle w:val="11"/>
            </w:pPr>
            <w:r>
              <w:t>支持按照美丽幸福河湖成效评估的准则层（安澜、生态、宜居、智慧、文化、管理以及公众满意）进行分类展示河湖的建设成果。</w:t>
            </w:r>
          </w:p>
        </w:tc>
      </w:tr>
      <w:tr w14:paraId="5F37B57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43B960">
            <w:pPr>
              <w:pStyle w:val="11"/>
            </w:pPr>
            <w:r>
              <w:t>考核评估模块-美丽幸福河湖-示范美丽幸福河湖展示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9919CF">
            <w:pPr>
              <w:pStyle w:val="11"/>
            </w:pPr>
            <w:r>
              <w:t>针对评分超过90分的示范美丽幸福河湖，对其建设成果进行重点展示，支持照片和宣传视频的查看。</w:t>
            </w:r>
          </w:p>
        </w:tc>
      </w:tr>
      <w:tr w14:paraId="53D8E74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234749">
            <w:pPr>
              <w:pStyle w:val="11"/>
            </w:pPr>
            <w:r>
              <w:t>考核评估模块-美丽幸福河湖-河湖信息录入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34F6E8">
            <w:pPr>
              <w:pStyle w:val="11"/>
            </w:pPr>
            <w:r>
              <w:t>支持在后台录入纳入美丽幸福河湖评估的河湖名单，支持对其基本信息进行编辑。</w:t>
            </w:r>
          </w:p>
        </w:tc>
      </w:tr>
      <w:tr w14:paraId="7B7B160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9AF8B3">
            <w:pPr>
              <w:pStyle w:val="11"/>
            </w:pPr>
            <w:r>
              <w:t>考核评估模块-美丽幸福河湖-评估结果录入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277FE">
            <w:pPr>
              <w:pStyle w:val="11"/>
            </w:pPr>
            <w:r>
              <w:t>支持通过批量导入的方式在后台录入全市美丽幸福河湖的评估结果。</w:t>
            </w:r>
          </w:p>
        </w:tc>
      </w:tr>
      <w:tr w14:paraId="7B85661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2F8EE7">
            <w:pPr>
              <w:pStyle w:val="11"/>
            </w:pPr>
            <w:r>
              <w:t>考核评估模块-美丽幸福河湖-美丽幸福河湖达标分析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7156E6">
            <w:pPr>
              <w:pStyle w:val="11"/>
            </w:pPr>
            <w:r>
              <w:t>支持根据美丽幸福河湖达标情况，分析现状与目标的差距。</w:t>
            </w:r>
          </w:p>
        </w:tc>
      </w:tr>
      <w:tr w14:paraId="4DDEE6D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D03DC4">
            <w:pPr>
              <w:pStyle w:val="11"/>
            </w:pPr>
            <w:r>
              <w:t>水环境-海洋（湾）监管模块-海洋垃圾漂移预测溯源分析-大数据中心数据接入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88FF50">
            <w:pPr>
              <w:pStyle w:val="11"/>
            </w:pPr>
            <w:r>
              <w:t>入大数据中心“一张图”国内外开放数据，具体包括：风场、流场数据。用于驱动海洋垃圾漂移预测溯源模型；浪高、水温、溶解氧、盐度数据。用于海洋环境综合态势展现及生物富集效应研判，支撑生态健康评估与污染影响分析</w:t>
            </w:r>
          </w:p>
        </w:tc>
      </w:tr>
      <w:tr w14:paraId="763C29E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48338A7">
            <w:pPr>
              <w:pStyle w:val="11"/>
            </w:pPr>
            <w:r>
              <w:t>水环境-海洋（湾）监管模块-海洋垃圾漂移预测溯源分析-数据质量控制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11910B">
            <w:pPr>
              <w:pStyle w:val="11"/>
            </w:pPr>
            <w:r>
              <w:t>环境场数据的流场、风场数据需要经过数据质量控制，包括时间连续性校验和异常值剔除，在数据预处理过程加入数据清洗流程。</w:t>
            </w:r>
          </w:p>
        </w:tc>
      </w:tr>
      <w:tr w14:paraId="45B18F2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4EF0E7">
            <w:pPr>
              <w:pStyle w:val="11"/>
            </w:pPr>
            <w:r>
              <w:t>水环境-海洋（湾）监管模块-海洋垃圾漂移预测溯源分析-模型参数配置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6A70C7">
            <w:pPr>
              <w:pStyle w:val="11"/>
            </w:pPr>
            <w:r>
              <w:t>申请接入大数据中心 “一张图”搜救模型，并开发模型参数配置模块，实现建立海洋垃圾漂移参数库及海洋垃圾漂移预测</w:t>
            </w:r>
          </w:p>
        </w:tc>
      </w:tr>
      <w:tr w14:paraId="79DEFD9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5B5A5F">
            <w:pPr>
              <w:pStyle w:val="11"/>
            </w:pPr>
            <w:r>
              <w:t>水环境-海洋（湾）监管模块-海洋垃圾漂移预测溯源分析-海洋垃圾漂移预测-多粒子轨迹模拟</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70175E">
            <w:pPr>
              <w:pStyle w:val="11"/>
            </w:pPr>
            <w:r>
              <w:t>基于拉格朗日粒子追踪算法，释放海量虚拟粒子模拟垃圾随流、随风漂移路径，叠加蒙特卡洛随机扰动提升模拟真实性</w:t>
            </w:r>
          </w:p>
        </w:tc>
      </w:tr>
      <w:tr w14:paraId="6BF4E96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43DE15">
            <w:pPr>
              <w:pStyle w:val="11"/>
            </w:pPr>
            <w:r>
              <w:t>水环境-海洋（湾）监管模块-海洋垃圾漂移预测溯源分析-海洋垃圾漂移预测-动态时间切片预测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474078">
            <w:pPr>
              <w:pStyle w:val="11"/>
            </w:pPr>
            <w:r>
              <w:t>生成未来 12/24/48 小时垃圾漂移轨迹动画，标注聚集热点区域（如长江口 - 崇明段等湾段）。</w:t>
            </w:r>
          </w:p>
        </w:tc>
      </w:tr>
      <w:tr w14:paraId="4371D35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EF58AA">
            <w:pPr>
              <w:pStyle w:val="11"/>
            </w:pPr>
            <w:r>
              <w:t>水环境-海洋（湾）监管模块-海洋垃圾漂移预测溯源分析-海洋垃圾漂移预测-路径误差校准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ABC12">
            <w:pPr>
              <w:pStyle w:val="11"/>
            </w:pPr>
            <w:r>
              <w:t>通过历史轨迹反演修正风 / 流参数，确保预测轨迹与实测数据吻合度达到业务标准。</w:t>
            </w:r>
          </w:p>
        </w:tc>
      </w:tr>
      <w:tr w14:paraId="5789234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E985DE">
            <w:pPr>
              <w:pStyle w:val="11"/>
            </w:pPr>
            <w:r>
              <w:t>水环境-海洋（湾）监管模块-海洋垃圾漂移预测溯源分析-海洋垃圾漂移预测报告生成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BA8DB">
            <w:pPr>
              <w:pStyle w:val="11"/>
            </w:pPr>
            <w:r>
              <w:t>基于模拟预测结果生成海洋垃圾漂移预测结果报告生成。包括预测轨迹、经纬度、海洋垃圾海域范围等信息</w:t>
            </w:r>
          </w:p>
        </w:tc>
      </w:tr>
      <w:tr w14:paraId="3ACD110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F8B54F">
            <w:pPr>
              <w:pStyle w:val="11"/>
            </w:pPr>
            <w:r>
              <w:t>水环境-海洋（湾）监管模块-海洋垃圾漂移预测溯源分析-海洋垃圾源逆向溯源分析-反向轨迹追踪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BCD746">
            <w:pPr>
              <w:pStyle w:val="11"/>
            </w:pPr>
            <w:r>
              <w:t>基于模型逆向计算，从垃圾当前位置反推 72 小时内可能的源头区域，生成溯源概率热力图。</w:t>
            </w:r>
          </w:p>
        </w:tc>
      </w:tr>
      <w:tr w14:paraId="2B80503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FFD2ED">
            <w:pPr>
              <w:pStyle w:val="11"/>
            </w:pPr>
            <w:r>
              <w:t>水环境-海洋（湾）监管模块-海洋垃圾漂移预测溯源分析-海洋垃圾源逆向溯源分析-多因子关联分析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1936D2">
            <w:pPr>
              <w:pStyle w:val="11"/>
            </w:pPr>
            <w:r>
              <w:t>结合岸线特征、排污口分布、航运路线等地理信息，筛选高概率污染源（如滨海工业区、港口码头等）</w:t>
            </w:r>
          </w:p>
        </w:tc>
      </w:tr>
      <w:tr w14:paraId="5C78280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4D2268F">
            <w:pPr>
              <w:pStyle w:val="11"/>
            </w:pPr>
            <w:r>
              <w:t>水环境-海洋（湾）监管模块-海洋垃圾漂移预测溯源分析-海洋垃圾源逆向溯源分析-溯源报告生成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8BC13">
            <w:pPr>
              <w:pStyle w:val="11"/>
            </w:pPr>
            <w:r>
              <w:t>自动输出污染源位置、贡献比例及证据链（如粒子回溯路径、流速匹配度等），支持海洋环境靶向治理。</w:t>
            </w:r>
          </w:p>
        </w:tc>
      </w:tr>
      <w:tr w14:paraId="2A17FB0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9512A1">
            <w:pPr>
              <w:pStyle w:val="11"/>
            </w:pPr>
            <w:r>
              <w:t>水环境-海洋（湾）监管模块-综合态势-海洋环境动态监测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B4B23C">
            <w:pPr>
              <w:pStyle w:val="11"/>
            </w:pPr>
            <w:r>
              <w:t>整合两个模型的模拟结果与实时监测数据，以可视化平台为载体，实时呈现上海市近海海域的水动力状况，包括潮位、流速、流向、有效波高、波周期等要素的动态变化</w:t>
            </w:r>
          </w:p>
        </w:tc>
      </w:tr>
      <w:tr w14:paraId="524268C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E8A461">
            <w:pPr>
              <w:pStyle w:val="11"/>
            </w:pPr>
            <w:r>
              <w:t>水环境-海洋（湾）监管模块-综合态势-多维度数据融合展示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44A97">
            <w:pPr>
              <w:pStyle w:val="11"/>
            </w:pPr>
            <w:r>
              <w:t>以图表、地图多种形式展示海水温度、盐度、酸碱度、溶解氧等环境指标的空间分布和时间变化趋势；呈现不同种类海洋生物的数量、分布和变化情况，以及海洋垃圾的类型、数量和来源分析结果</w:t>
            </w:r>
          </w:p>
        </w:tc>
      </w:tr>
      <w:tr w14:paraId="7C9264E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61BB7D">
            <w:pPr>
              <w:pStyle w:val="11"/>
            </w:pPr>
            <w:r>
              <w:t>水环境-海洋（湾）监管模块-分析画像-海洋生态健康画像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F7079">
            <w:pPr>
              <w:pStyle w:val="11"/>
            </w:pPr>
            <w:r>
              <w:t>依据海洋环境监测数据和模型模拟结果，构建海洋生态健康评估体系</w:t>
            </w:r>
          </w:p>
        </w:tc>
      </w:tr>
      <w:tr w14:paraId="7849071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2A714F">
            <w:pPr>
              <w:pStyle w:val="11"/>
            </w:pPr>
            <w:r>
              <w:t>水环境-海洋（湾）监管模块-分析画像-海洋垃圾污染画像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EBF6F5">
            <w:pPr>
              <w:pStyle w:val="11"/>
            </w:pPr>
            <w:r>
              <w:t>利用海洋垃圾漂移预测溯源模拟模型的分析结果，构建海洋垃圾污染画像。</w:t>
            </w:r>
          </w:p>
        </w:tc>
      </w:tr>
      <w:tr w14:paraId="470922B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4620CA">
            <w:pPr>
              <w:pStyle w:val="11"/>
            </w:pPr>
            <w:r>
              <w:t>水环境-海洋（湾）监管模块-问题发现与工单流转-问题智能发现与工单派发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65EB9A">
            <w:pPr>
              <w:pStyle w:val="11"/>
            </w:pPr>
            <w:r>
              <w:t>基于综合态势和分析画像，设定关键指标阈值和预警规则</w:t>
            </w:r>
          </w:p>
        </w:tc>
      </w:tr>
      <w:tr w14:paraId="40C28A5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16BC81">
            <w:pPr>
              <w:pStyle w:val="11"/>
            </w:pPr>
            <w:r>
              <w:t>水环境-海洋（湾）监管模块-问题发现与工单流转-任务执行与过程监控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83407">
            <w:pPr>
              <w:pStyle w:val="11"/>
            </w:pPr>
            <w:r>
              <w:t>“任务调度中心” 接收工单后，将任务分配至具体执行单位，并实时跟踪任务执行进度</w:t>
            </w:r>
          </w:p>
        </w:tc>
      </w:tr>
    </w:tbl>
    <w:p w14:paraId="47DDCABB">
      <w:pPr>
        <w:rPr>
          <w:rFonts w:hint="eastAsia"/>
        </w:rPr>
      </w:pPr>
    </w:p>
    <w:p w14:paraId="36BCD007">
      <w:pPr>
        <w:outlineLvl w:val="1"/>
        <w:rPr>
          <w:rFonts w:hint="eastAsia"/>
        </w:rPr>
      </w:pPr>
      <w:r>
        <w:rPr>
          <w:rFonts w:hint="eastAsia"/>
        </w:rPr>
        <w:t>2、上海市碳排放综合管理子系统建设</w:t>
      </w:r>
    </w:p>
    <w:p w14:paraId="38F8CE49">
      <w:pPr>
        <w:rPr>
          <w:rFonts w:hint="eastAsia"/>
        </w:rPr>
      </w:pPr>
      <w:r>
        <w:rPr>
          <w:rFonts w:hint="eastAsia"/>
        </w:rPr>
        <w:t>构建科学高效的碳排放管理体系,支撑碳达峰碳中和目标实现，建设内容包括、完善碳普惠机制激励公众参与、建立大型活动碳中和示范体系、实现温室气体清单精细化管理等，具体功能清单如下：</w:t>
      </w:r>
    </w:p>
    <w:tbl>
      <w:tblPr>
        <w:tblStyle w:val="7"/>
        <w:tblW w:w="0" w:type="auto"/>
        <w:tblInd w:w="98" w:type="dxa"/>
        <w:tblLayout w:type="autofit"/>
        <w:tblCellMar>
          <w:top w:w="0" w:type="dxa"/>
          <w:left w:w="108" w:type="dxa"/>
          <w:bottom w:w="0" w:type="dxa"/>
          <w:right w:w="108" w:type="dxa"/>
        </w:tblCellMar>
      </w:tblPr>
      <w:tblGrid>
        <w:gridCol w:w="2787"/>
        <w:gridCol w:w="5643"/>
      </w:tblGrid>
      <w:tr w14:paraId="6BAAD14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ADCCD7">
            <w:pPr>
              <w:pStyle w:val="11"/>
            </w:pPr>
            <w:r>
              <w:t>功能名称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778C4D">
            <w:pPr>
              <w:pStyle w:val="11"/>
            </w:pPr>
            <w:r>
              <w:t>功能描述</w:t>
            </w:r>
          </w:p>
        </w:tc>
      </w:tr>
      <w:tr w14:paraId="3096792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5EA6D0">
            <w:pPr>
              <w:pStyle w:val="11"/>
            </w:pPr>
            <w:r>
              <w:t>碳普惠管理子系统-碳普惠新增碳减排场景建设及已有场景功能优化-碳普惠管理子系统-碳普惠新增碳减排场景建设及已有场景功能优化-扩展减排场景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41A03">
            <w:pPr>
              <w:pStyle w:val="11"/>
            </w:pPr>
            <w:r>
              <w:t>新增扩展两个碳普惠减排场景（资源回收场景、居民低碳用电场景），实现场景平台与碳普惠的实名账户绑定或校验、授权与解除授权、减排量报送与反馈、减排量账单对账等；涉及跨网联调，减排量试算，减排量重算修正，辅助接口联调，场景方接入H5联调等。</w:t>
            </w:r>
          </w:p>
        </w:tc>
      </w:tr>
      <w:tr w14:paraId="461E61A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E301F0">
            <w:pPr>
              <w:pStyle w:val="11"/>
            </w:pPr>
            <w:r>
              <w:t>碳普惠管理子系统-碳普惠新增碳减排场景建设及已有场景功能优化-碳普惠管理子系统-碳普惠新增碳减排场景建设及已有场景功能优化-一体化办公平台对接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FDEE0">
            <w:pPr>
              <w:pStyle w:val="11"/>
            </w:pPr>
            <w:r>
              <w:t>接入随申办政务云一体化办公平台，允许管理人员移动办公：处理减排量人工签发、查看报表数据、编辑和发布面向政务人员的资讯等。</w:t>
            </w:r>
          </w:p>
        </w:tc>
      </w:tr>
      <w:tr w14:paraId="04C173F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D7D860">
            <w:pPr>
              <w:pStyle w:val="11"/>
            </w:pPr>
            <w:r>
              <w:t>碳普惠管理子系统-碳普惠新增碳减排场景建设及已有场景功能优化-碳普惠管理子系统-碳普惠新增碳减排场景建设及已有场景功能优化-菜单配置及审批流程改造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54C773">
            <w:pPr>
              <w:pStyle w:val="11"/>
            </w:pPr>
            <w:r>
              <w:t>1、允许对系统主界面菜单进行分级权限管理，可以按登录用户账户或角色对系统菜单的排序、显示、访问权限进行配置。</w:t>
            </w:r>
            <w:r>
              <w:br w:type="textWrapping"/>
            </w:r>
            <w:r>
              <w:t>2、可以对审批过程中的审批语加入常用队列，减少审批时的录入；对常用审批语进行删改；可以单独记录5大流程40多处审批内容的修改记录，对审批节点的不同动作进行不同颜色标记；审批过程中可以批量处理。</w:t>
            </w:r>
          </w:p>
        </w:tc>
      </w:tr>
      <w:tr w14:paraId="1DA2A62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3A4062">
            <w:pPr>
              <w:pStyle w:val="11"/>
            </w:pPr>
            <w:r>
              <w:t>碳普惠管理子系统-碳普惠新增碳减排场景建设及已有场景功能优化-碳普惠管理子系统-碳普惠新增碳减排场景建设及已有场景功能优化-方法学库管理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49058">
            <w:pPr>
              <w:pStyle w:val="11"/>
            </w:pPr>
            <w:r>
              <w:t>原有功能为单一方法学申请、评审、上报等功能，现将方法学进行统一管理，新建库管理流程，对方法学评审发布后进行入库处理，对评审各阶段文档按不同版本归档；可以按照方法学的编码、状态、申报日期、发布日期、评审流程的评分等进行查询，查看评审历史。关联查询方法学的被引次数。可以配置方法学在随申办的图标、简称等。发布到一网通办方法学发布页。</w:t>
            </w:r>
          </w:p>
        </w:tc>
      </w:tr>
      <w:tr w14:paraId="37F2D07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354DE6">
            <w:pPr>
              <w:pStyle w:val="11"/>
            </w:pPr>
            <w:r>
              <w:t>碳普惠管理子系统-碳普惠新增碳减排场景建设及已有场景功能优化-碳普惠管理子系统-碳普惠新增碳减排场景建设及已有场景功能优化-减排场景库管理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D6F1B4">
            <w:pPr>
              <w:pStyle w:val="11"/>
            </w:pPr>
            <w:r>
              <w:t>减排场景入库处理，管理场景入库、数据试算、预发布的状态；对评审各阶段文档按不同版本归档；可以按照场景的编码、状态、申报日期、发布日期、评审流程的评分等进行查询，查看评审历史；可以配置减排场景的对接编码、名称、图标、说明等信息，发布到一网通办场景发布页。</w:t>
            </w:r>
            <w:r>
              <w:br w:type="textWrapping"/>
            </w:r>
            <w:r>
              <w:t>新增碳资产回收、居民低碳用电两个场景入库，建立数据试算模型。对于场景评审各阶段文档，按照不同版本进行严格归档，方便后续查询和追溯项目评审过程。</w:t>
            </w:r>
          </w:p>
        </w:tc>
      </w:tr>
      <w:tr w14:paraId="2B7E5D7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5CE1E0">
            <w:pPr>
              <w:pStyle w:val="11"/>
            </w:pPr>
            <w:r>
              <w:t>碳普惠管理子系统-碳普惠新增碳减排场景建设及已有场景功能优化-碳普惠管理子系统-碳普惠新增碳减排场景建设及已有场景功能优化-减排项目库管理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C7658F">
            <w:pPr>
              <w:pStyle w:val="11"/>
            </w:pPr>
            <w:r>
              <w:t>原有系统未有减排项目库功能，新增功能后对所有减排项目进行统一管理。</w:t>
            </w:r>
            <w:r>
              <w:br w:type="textWrapping"/>
            </w:r>
            <w:r>
              <w:t>对减排项目评审发布后进行入库处理，对同一项目的多次申请按项目组合，按审批状态重排并校验唯一性；对评审各阶段文档按不同版本归档，查看评审历史。发布到一网通办项目发布页。可以对减排项目批量导出审批、签发结果等。</w:t>
            </w:r>
            <w:r>
              <w:br w:type="textWrapping"/>
            </w:r>
            <w:r>
              <w:t>新增盐沼地、分布式光伏项目两个项目入库，制定科学合理的碳减排量计算模型。对于同一项目的多次申请，系统自动识别并按项目组合。按审批状态重排项目，归档的评审各阶段文档，包括项目申请书、评审报告、专家意见等，均按版本管理，方便随时查阅和对比。</w:t>
            </w:r>
          </w:p>
        </w:tc>
      </w:tr>
      <w:tr w14:paraId="0BC55DA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6F1698">
            <w:pPr>
              <w:pStyle w:val="11"/>
            </w:pPr>
            <w:r>
              <w:t>碳普惠管理子系统-碳普惠新增碳减排场景建设及已有场景功能优化-碳普惠管理子系统-碳普惠新增碳减排场景建设及已有场景功能优化-权益商城库管理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4D809">
            <w:pPr>
              <w:pStyle w:val="11"/>
            </w:pPr>
            <w:r>
              <w:t>原有系统未有权益商城库功能，新增功能后形成所有权益方进行统一管理。</w:t>
            </w:r>
            <w:r>
              <w:br w:type="textWrapping"/>
            </w:r>
            <w:r>
              <w:t>对权益方入驻申请的评审通过后进行入库处理，对评审各阶段文档按不同版本归档；可以按照商城编码、状态、申报日期、入驻模式等进行查询，查看评审历史。可以配置权益商城的对接编码、名称、图标等信息，并对他们的顺序进行调整。可以查询权益商城的订单流水信息。对权益商城H5页面的更新，同步更新反向代理。</w:t>
            </w:r>
          </w:p>
        </w:tc>
      </w:tr>
      <w:tr w14:paraId="1276FCD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61DDB8">
            <w:pPr>
              <w:pStyle w:val="11"/>
            </w:pPr>
            <w:r>
              <w:t>碳普惠管理子系统-碳普惠新增碳减排场景建设及已有场景功能优化-碳普惠管理子系统-碳普惠新增碳减排场景建设及已有场景功能优化-项目/场景线上评分管理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FFA24">
            <w:pPr>
              <w:pStyle w:val="11"/>
            </w:pPr>
            <w:r>
              <w:t>原系统建设时，专家对场景和项目的评审还是纸质形式，未做线上的评分管理相关功能。</w:t>
            </w:r>
            <w:r>
              <w:br w:type="textWrapping"/>
            </w:r>
            <w:r>
              <w:t>实现专家对减排项目的规范化、数字化、可追溯的线上评审与评分管理。</w:t>
            </w:r>
            <w:r>
              <w:br w:type="textWrapping"/>
            </w:r>
            <w:r>
              <w:t>1)项目资料在线分发：</w:t>
            </w:r>
            <w:r>
              <w:br w:type="textWrapping"/>
            </w:r>
            <w:r>
              <w:t>2)专家在线评审：</w:t>
            </w:r>
            <w:r>
              <w:br w:type="textWrapping"/>
            </w:r>
            <w:r>
              <w:t>3)评审意见与证据关联：</w:t>
            </w:r>
            <w:r>
              <w:br w:type="textWrapping"/>
            </w:r>
            <w:r>
              <w:t>4)专家评审结果提交与锁定：</w:t>
            </w:r>
            <w:r>
              <w:br w:type="textWrapping"/>
            </w:r>
            <w:r>
              <w:t>5)评审流程管理与状态追踪：</w:t>
            </w:r>
            <w:r>
              <w:br w:type="textWrapping"/>
            </w:r>
            <w:r>
              <w:t>6)评分汇总与统计报告：</w:t>
            </w:r>
          </w:p>
        </w:tc>
      </w:tr>
      <w:tr w14:paraId="1C1B2C4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6E2678">
            <w:pPr>
              <w:pStyle w:val="11"/>
            </w:pPr>
            <w:r>
              <w:t>碳普惠管理子系统-碳普惠新增碳减排场景建设及已有场景功能优化-碳普惠管理子系统-碳普惠新增碳减排场景建设及已有场景功能优化-技术评估会管理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BE649A">
            <w:pPr>
              <w:pStyle w:val="11"/>
            </w:pPr>
            <w:r>
              <w:t>可以在审批流程中，在评估会节点选择召开多次技术评估会，并对会议的时间、人物、地点、结论和终场有效性进行分别管理。</w:t>
            </w:r>
          </w:p>
        </w:tc>
      </w:tr>
      <w:tr w14:paraId="396872D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4FDA56">
            <w:pPr>
              <w:pStyle w:val="11"/>
            </w:pPr>
            <w:r>
              <w:t>碳普惠管理子系统-碳普惠新增碳减排场景建设及已有场景功能优化-碳普惠管理子系统-碳普惠新增碳减排场景建设及已有场景功能优化-场景/权益平台对接配置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1AF973">
            <w:pPr>
              <w:pStyle w:val="11"/>
            </w:pPr>
            <w:r>
              <w:t>可以管理场景、权益平台，对平台身份有效性进行验证，进行账户、报送池的初始化管理等；可以管理平台的对接身份信息、鉴权信息、对接总开关、对接编码等。可以对接口访问开关、页面入口开关分别进行控制。可以查询对接记录与日志。</w:t>
            </w:r>
          </w:p>
        </w:tc>
      </w:tr>
      <w:tr w14:paraId="406855B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AC3C3E">
            <w:pPr>
              <w:pStyle w:val="11"/>
            </w:pPr>
            <w:r>
              <w:t>碳普惠管理子系统-碳普惠资产管理优化-碳普惠管理子系统-碳普惠资产管理优化-一般减排量及整存减排量追溯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456C02">
            <w:pPr>
              <w:pStyle w:val="11"/>
            </w:pPr>
            <w:r>
              <w:t>1）一般减排量追溯</w:t>
            </w:r>
            <w:r>
              <w:br w:type="textWrapping"/>
            </w:r>
            <w:r>
              <w:t>一般减排量资产分为场景和项目两种类型，场景类把场景方的减排行为作为唯一标识，贯穿全过程，并且在过程中每一步都可能进行拆分和重组，构建减排量切片，从而形成网状结构；项目类以项目申报为源头唯一标识，可以与场景类合并整存。</w:t>
            </w:r>
            <w:r>
              <w:br w:type="textWrapping"/>
            </w:r>
            <w:r>
              <w:t>2）整存减排量追溯</w:t>
            </w:r>
            <w:r>
              <w:br w:type="textWrapping"/>
            </w:r>
            <w:r>
              <w:t>整存减排量资产的变化过程涉及无限循环路径，且不同整存减排量资产的追溯路径长度不同，因为碳市场可以反复交易，直到该整存减排量资产被最终注销。</w:t>
            </w:r>
          </w:p>
        </w:tc>
      </w:tr>
      <w:tr w14:paraId="5B03F15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529CE2">
            <w:pPr>
              <w:pStyle w:val="11"/>
            </w:pPr>
            <w:r>
              <w:t>碳普惠管理子系统-碳普惠资产管理优化-碳普惠管理子系统-碳普惠资产管理优化-碳账户多级管理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5F13F">
            <w:pPr>
              <w:pStyle w:val="11"/>
            </w:pPr>
            <w:r>
              <w:t>基于身份链的碳账户模型，采用了cid和ccid的1对多关系，用户在不同平台具有不同ccid，以解决场景隔离问题。为了提高总平台的处理效率，减少与身份链的交互过程，总平台需自我管理碳账户的多层级关系，确保生态方、总平台、身份链三方的账户信息尽可能实时一致。可以在管理后台的账户中心，查看市民ccid的多级信息。</w:t>
            </w:r>
          </w:p>
        </w:tc>
      </w:tr>
      <w:tr w14:paraId="32262DB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32D1D7">
            <w:pPr>
              <w:pStyle w:val="11"/>
            </w:pPr>
            <w:r>
              <w:t>碳普惠管理子系统-碳普惠资产管理优化-碳普惠管理子系统-碳普惠资产管理优化-减排量查询及自动审查管理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3878C2">
            <w:pPr>
              <w:pStyle w:val="11"/>
            </w:pPr>
            <w:r>
              <w:t>1.减排量查询</w:t>
            </w:r>
            <w:r>
              <w:br w:type="textWrapping"/>
            </w:r>
            <w:r>
              <w:t>2.数据采集与校验</w:t>
            </w:r>
            <w:r>
              <w:br w:type="textWrapping"/>
            </w:r>
            <w:r>
              <w:t>3.智能审核规则引擎</w:t>
            </w:r>
            <w:r>
              <w:br w:type="textWrapping"/>
            </w:r>
            <w:r>
              <w:t>预设动态审核规则库，基于历史数据训练异常识别模型自动标记高风险项并生成疑点分析报告。</w:t>
            </w:r>
            <w:r>
              <w:br w:type="textWrapping"/>
            </w:r>
            <w:r>
              <w:t>4.全流程自动化审批，分级触发机制，区块链存证。</w:t>
            </w:r>
            <w:r>
              <w:br w:type="textWrapping"/>
            </w:r>
            <w:r>
              <w:t>5.闭环反馈优化，自动推送整改指令，审核规则自学习。</w:t>
            </w:r>
            <w:r>
              <w:br w:type="textWrapping"/>
            </w:r>
            <w:r>
              <w:t>6.安全与权限管理，多级权限控制，审计追踪功能，满足ISO14065认证要求。</w:t>
            </w:r>
          </w:p>
        </w:tc>
      </w:tr>
      <w:tr w14:paraId="0BD1664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E9C466">
            <w:pPr>
              <w:pStyle w:val="11"/>
            </w:pPr>
            <w:r>
              <w:t>碳普惠管理子系统-碳普惠资产管理优化-碳普惠管理子系统-碳普惠资产管理优化-报表生成和导出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5C234">
            <w:pPr>
              <w:pStyle w:val="11"/>
            </w:pPr>
            <w:r>
              <w:t>新增报表功能，可生成减排量、积分商城等报表，且具备报表导出功能。</w:t>
            </w:r>
            <w:r>
              <w:br w:type="textWrapping"/>
            </w:r>
            <w:r>
              <w:t>日报生成：日报新增减排量检索、排序功能。内容统计新增每日数据报送方案</w:t>
            </w:r>
            <w:r>
              <w:br w:type="textWrapping"/>
            </w:r>
            <w:r>
              <w:t>碳普惠平台每日数据报送方案：</w:t>
            </w:r>
            <w:r>
              <w:br w:type="textWrapping"/>
            </w:r>
            <w:r>
              <w:t>1.每日报送前一日数据。</w:t>
            </w:r>
            <w:r>
              <w:br w:type="textWrapping"/>
            </w:r>
            <w:r>
              <w:t>2.报送内容，用户数据，减排量数据。</w:t>
            </w:r>
            <w:r>
              <w:br w:type="textWrapping"/>
            </w:r>
            <w:r>
              <w:t>3.碳积分兑换数据。</w:t>
            </w:r>
            <w:r>
              <w:br w:type="textWrapping"/>
            </w:r>
            <w:r>
              <w:t>4.以结构化表格或文本段落形式呈现，关键指标需标注单位及统计口径。</w:t>
            </w:r>
          </w:p>
        </w:tc>
      </w:tr>
      <w:tr w14:paraId="65974D1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647009">
            <w:pPr>
              <w:pStyle w:val="11"/>
            </w:pPr>
            <w:r>
              <w:t>碳普惠管理子系统-碳普惠—碳普惠专区-一网通办碳普惠专区-碳普惠管理子系统-碳普惠—碳普惠专区-一网通办碳普惠专区-光伏项目管理流程重构</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3B884">
            <w:pPr>
              <w:pStyle w:val="11"/>
            </w:pPr>
            <w:r>
              <w:t>1）分布式光伏项目填报预审</w:t>
            </w:r>
            <w:r>
              <w:br w:type="textWrapping"/>
            </w:r>
            <w:r>
              <w:t>对分布式光伏项目增加发电户识别，自动与电力公司对接，进行多条件实时预审发电户等信息集合；用电户识别，校验纳管企业名单；对计入期与寿命期录入，以并网时间、年份、申报类型等多种条件对计入期进行重算校验和修正提示等。</w:t>
            </w:r>
            <w:r>
              <w:br w:type="textWrapping"/>
            </w:r>
            <w:r>
              <w:t>2）光伏项目批量签发流程</w:t>
            </w:r>
            <w:r>
              <w:br w:type="textWrapping"/>
            </w:r>
            <w:r>
              <w:t>实现对多个光伏项目的碳普惠签发流程进行批量处理，提高签发效率，简化操作步骤。可选择多个待签发的光伏项目，系统一次性对所选项目进行审核，审核内容包括项目的真实性、合法性、减排量计算的准确性等。对每个批量签发的光伏项目，系统记录其签发状态，包括待签发、审核中、审核通过、已签发、签发失败等状态，并提供查询功能，用户可通过项目名称、项目地点、证书编号等条件快速查询项目的签发状态。</w:t>
            </w:r>
          </w:p>
        </w:tc>
      </w:tr>
      <w:tr w14:paraId="1D20D55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8BEF7A">
            <w:pPr>
              <w:pStyle w:val="11"/>
            </w:pPr>
            <w:r>
              <w:t>碳普惠管理子系统-碳普惠—碳普惠专区-一网通办碳普惠专区-碳普惠管理子系统-碳普惠—碳普惠专区-一网通办碳普惠专区-数据签发减排量流程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AED04">
            <w:pPr>
              <w:pStyle w:val="11"/>
            </w:pPr>
            <w:r>
              <w:t>对数据签发减排量的修改流程进行交互重构，使流程更加简洁明了，减少用户操作步骤，提高修改效率。当需要修改已签发的碳普惠项目的减排量时，用户只需在项目详情页面点击“修改减排量”按钮，直接进入修改界面，无需经过繁琐的流程切换。在修改界面，用户可直接输入新的减排量数据，并查看修改前后的对比数据，系统自动计算减排量的增减情况。</w:t>
            </w:r>
          </w:p>
        </w:tc>
      </w:tr>
      <w:tr w14:paraId="4FBC5E6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108643">
            <w:pPr>
              <w:pStyle w:val="11"/>
            </w:pPr>
            <w:r>
              <w:t>大型活动碳中和管理功能模块-计划申报-大型活动碳中和管理功能模块-计划申报-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F4615F">
            <w:pPr>
              <w:pStyle w:val="11"/>
            </w:pPr>
            <w:r>
              <w:t>由活动主办方进行大型活动碳中和实施计划申报，实施计划包括活动基本信息（名称、时间、地点、内容等）、核算边界、排放源、计划减排措施、预估排放量、抵销方式、预期实现碳中和时间等内容。用户自动关联企业基本信息，减排措施库，支持上传传word、Excel、PDF、图片等格式佐证材料或附件，已上传附件删除、修改等操作，并提供附件在线查看、下载等功能。</w:t>
            </w:r>
            <w:r>
              <w:br w:type="textWrapping"/>
            </w:r>
            <w:r>
              <w:t>通过系统进行碳中和活动污染源相关信息收集与识别，包括关联活动信息、活动数据涉及事项、具体排放内容、活动数据（如化石燃料消耗量、外购电力消耗量、热力消耗量、交通工具行驶里程、餐饮人次、住宿房间数、活动耗材质量、废弃物质量等）、活动单位、数据来源、排放因子数值及单位、排放量数值及单位等，针对不同污染源设计行业基本规则校验排放源数据合理性。用户同时上传佐证材料或附件。</w:t>
            </w:r>
          </w:p>
        </w:tc>
      </w:tr>
      <w:tr w14:paraId="1FA5383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CCCC5F">
            <w:pPr>
              <w:pStyle w:val="11"/>
            </w:pPr>
            <w:r>
              <w:t>大型活动碳中和管理功能模块-碳排放量化-大型活动碳中和管理功能模块-碳排放量化-碳排放量诊断</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5DB1A">
            <w:pPr>
              <w:pStyle w:val="11"/>
            </w:pPr>
            <w:r>
              <w:t>选型国内外主流核算标准，建立温室气体排放算法库，包括排放总量计算、化石燃料燃烧排放、外购电力及热力排放、交通排放、餐饮排放、住宿排放、活动耗材隐含排放、废弃物焚烧处理排放等排放源。</w:t>
            </w:r>
          </w:p>
        </w:tc>
      </w:tr>
      <w:tr w14:paraId="77D16D8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30266A">
            <w:pPr>
              <w:pStyle w:val="11"/>
            </w:pPr>
            <w:r>
              <w:t>大型活动碳中和管理功能模块-碳排放量化-大型活动碳中和管理功能模块-碳排放量化-碳排放量核验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0E2D7">
            <w:pPr>
              <w:pStyle w:val="11"/>
            </w:pPr>
            <w:r>
              <w:t>对大型活动全流程排放源（交通/能源/餐饮/废弃物等）进行动态分类核算和多源数据校验。系统自动匹配区域排放因子，调用多类碳排放诊断方法，实时生成分项排放清单、可视化热力图及减排优先级建议，支持活动变更实时重算，助力企业精准实现碳中和目标。</w:t>
            </w:r>
          </w:p>
        </w:tc>
      </w:tr>
      <w:tr w14:paraId="1D3B23E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3E03A1">
            <w:pPr>
              <w:pStyle w:val="11"/>
            </w:pPr>
            <w:r>
              <w:t>大型活动碳中和管理功能模块-碳抵销与管理-大型活动碳中和管理功能模块-碳抵销与管理-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800FCF">
            <w:pPr>
              <w:pStyle w:val="11"/>
            </w:pPr>
            <w:r>
              <w:t>与上海市碳普惠系统、上海市碳市场配额交易系统进行信息对接，或由活动主办方通过系统上报，获取温室气体排放抵销量与抵销证明数据。记录抵消时间、数量、项目名称及凭证，分析大型活动温室气体排放抵销情况，包括活动名称、活动时间、活动内容、活动类型、抵销方式、抵销量、抵销时间、抵销证书等，提供历史调阅、在线查看证书、下载证书等功能。</w:t>
            </w:r>
          </w:p>
        </w:tc>
      </w:tr>
      <w:tr w14:paraId="19AE629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A5C379">
            <w:pPr>
              <w:pStyle w:val="11"/>
            </w:pPr>
            <w:r>
              <w:t>大型活动碳中和管理功能模块-碳中和认证-大型活动碳中和管理功能模块-碳中和认证-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18382">
            <w:pPr>
              <w:pStyle w:val="11"/>
            </w:pPr>
            <w:r>
              <w:t>以活动主办方通过系统上传证书或声明，包括活动名称、活动时间、活动名称、活动证书/声明发布日期等信息，根据活动名称、活动时间等条件进行查询，支持证书或声明下载、在线查看等功能。</w:t>
            </w:r>
          </w:p>
        </w:tc>
      </w:tr>
      <w:tr w14:paraId="63A05EF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ED882E">
            <w:pPr>
              <w:pStyle w:val="11"/>
            </w:pPr>
            <w:r>
              <w:t>大型活动碳中和管理功能模块-试点项目管理-大型活动碳中和管理功能模块-试点项目管理-试点名单创建与复核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1BBB62">
            <w:pPr>
              <w:pStyle w:val="11"/>
            </w:pPr>
            <w:r>
              <w:t>由市生态环境局用户在活动信息页面标记试点项目，或通过系统上传试点项目名单，系统自动根据名单标记试点项目，已标记为试点项目的活动信息，可在试点项目列表中展示。由市生态环境局与市减污降碳中心用户对试点项目的碳中和情况进行复核，系统跟踪复核进度。</w:t>
            </w:r>
          </w:p>
        </w:tc>
      </w:tr>
      <w:tr w14:paraId="6671A72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EC1DDB">
            <w:pPr>
              <w:pStyle w:val="11"/>
            </w:pPr>
            <w:r>
              <w:t>大型活动碳中和管理功能模块-试点项目管理-大型活动碳中和管理功能模块-试点项目管理-试点实施情况汇总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42448">
            <w:pPr>
              <w:pStyle w:val="11"/>
            </w:pPr>
            <w:r>
              <w:t>根据用户实际需求，设计试点实施情况模板，根据复核情况，每年初系统自动汇总相关数据，生成年度试点实施情况，根据年份进行查询，并可在线查看或下载实施情况文件。</w:t>
            </w:r>
          </w:p>
        </w:tc>
      </w:tr>
      <w:tr w14:paraId="33E1CE9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B6D11A">
            <w:pPr>
              <w:pStyle w:val="11"/>
            </w:pPr>
            <w:r>
              <w:t>大型活动碳中和管理功能模块-活动跟踪与评估-大型活动碳中和管理功能模块-活动跟踪与评估-排放源影响分析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204254">
            <w:pPr>
              <w:pStyle w:val="11"/>
            </w:pPr>
            <w:r>
              <w:t>针对活动期间各排放源排放总量进行影响评价，以多种图表形式统计各排放源温室气体排放总量、各排放源不同污染物排放量情况等，便于管理人员掌握活动期间温室气体排放情况。基于活动计划中的各排放源减排措施及预估排放量、活动期间各排放源实际排放量进行对比，系统提供可视化图表展示形式，用于评估各排放源的减排力度和减排效果。</w:t>
            </w:r>
          </w:p>
        </w:tc>
      </w:tr>
      <w:tr w14:paraId="3567B0C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768677">
            <w:pPr>
              <w:pStyle w:val="11"/>
            </w:pPr>
            <w:r>
              <w:t>大型活动碳中和管理功能模块-活动跟踪与评估-大型活动碳中和管理功能模块-活动跟踪与评估-碳中和效果评估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C6E1B0">
            <w:pPr>
              <w:pStyle w:val="11"/>
            </w:pPr>
            <w:r>
              <w:t>按年度统计填报的活动信息，以柱状图或表格形式统计各类型大型活动数量、已上传抵销证明的活动数量、未上传抵销证明的活动数量等，可按年份进行查询，并可导出图表。针对已进行减排量注销的活动，系统可视化展示活动信息、活动期间各排放源排放总量、用于抵消的碳配额、碳信用或碳汇量，用于评估各活动的碳中和效果。</w:t>
            </w:r>
          </w:p>
        </w:tc>
      </w:tr>
      <w:tr w14:paraId="2221003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039C8C">
            <w:pPr>
              <w:pStyle w:val="11"/>
            </w:pPr>
            <w:r>
              <w:t>温室气体清单编制及管理模块-市/区活动水平协同调度-温室气体清单编制及管理模块-市/区活动水平协同调度-能源活动管理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207F2F">
            <w:pPr>
              <w:pStyle w:val="11"/>
            </w:pPr>
            <w:r>
              <w:t>按照省级指南和区级指南2套标准采集能源活动水平数据，包括化石燃料燃烧、生物质燃料燃烧、石油和天然气系统逃逸、电力热力消耗产生等5大类排放相关数据，按照各大源类细分子类的不同数据采集标准设计数据表单，填报过程支持素材库对照，单项和批量上传，其中化石燃料涉及能源、工业、建筑业、服务业、居民生活源、移动源等子类，能源活动共计10类表单。</w:t>
            </w:r>
          </w:p>
        </w:tc>
      </w:tr>
      <w:tr w14:paraId="586E4C8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171913">
            <w:pPr>
              <w:pStyle w:val="11"/>
            </w:pPr>
            <w:r>
              <w:t>温室气体清单编制及管理模块-市/区活动水平协同调度-温室气体清单编制及管理模块-市/区活动水平协同调度-工业生产过程管理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D969FE">
            <w:pPr>
              <w:pStyle w:val="11"/>
            </w:pPr>
            <w:r>
              <w:t>按照省级指南和区级指南2套标准采集工业生产过程水平数据，包括水泥生产、石灰石生产、钢铁、石灰石、乙二酸、硝酸、一氯二氟甲烷、铝生产、镁生产、电力设备生产、半导体生产、氢氟烃生产等12类表单，实现数据采集和数据规则校验。</w:t>
            </w:r>
          </w:p>
        </w:tc>
      </w:tr>
      <w:tr w14:paraId="111E8D6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C2D41A">
            <w:pPr>
              <w:pStyle w:val="11"/>
            </w:pPr>
            <w:r>
              <w:t>温室气体清单编制及管理模块-市/区活动水平协同调度-温室气体清单编制及管理模块-市/区活动水平协同调度-其他活动管理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2F1CF">
            <w:pPr>
              <w:pStyle w:val="11"/>
            </w:pPr>
            <w:r>
              <w:t>农业活动涉及稻田、农业用地、动物肠道发酵、动物粪便的甲烷和氧化亚氮排放数据收集，对采集结果不确定性进行分析和业务合理性校验，提供历年趋势比对，关联因子比对等不同校验方法。</w:t>
            </w:r>
            <w:r>
              <w:br w:type="textWrapping"/>
            </w:r>
            <w:r>
              <w:t>土地利用和林业活动水平涉及生物量碳贮量和森林温室气体转化量，按照林地和土地类型设计4类表单进行数据标准化入库，收集林木转化面积、氧化系数等关键数据用于后续转化量核算。</w:t>
            </w:r>
            <w:r>
              <w:br w:type="textWrapping"/>
            </w:r>
            <w:r>
              <w:t>按照省级指南和区级指南2套标准，废弃物活动水平数据包括固体废物物填埋、固体废弃物焚烧、生活污水、工业废水、废水处氧化亚氮等5大源类，提供数据表单在线填报、批量上传、数据业务合理性校验等功能。</w:t>
            </w:r>
          </w:p>
        </w:tc>
      </w:tr>
      <w:tr w14:paraId="03A8E44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E3330E">
            <w:pPr>
              <w:pStyle w:val="11"/>
            </w:pPr>
            <w:r>
              <w:t>温室气体清单编制及管理模块-温室气体排放清单编制-温室气体清单编制及管理模块-温室气体排放清单编制-排放清单版本管理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665B8B">
            <w:pPr>
              <w:pStyle w:val="11"/>
            </w:pPr>
            <w:r>
              <w:t>温室气体基准排放清单版本管理功能聚焦清单数据的全生命周期精准管控。收集清单指南知识库，便于各级用户编制过程信息参考；支持按年度/专项/预测场景创建和收集现有多版本档案，记录编制依据、数据来源及政策关联信息。内置版本对比引擎，可量化不同版本间排放总量、行业结构及因子差异，生成可视化对比报告，确保版本合规性，支撑上海碳达峰目标动态评估与政策迭代优化。</w:t>
            </w:r>
          </w:p>
        </w:tc>
      </w:tr>
      <w:tr w14:paraId="333EDBB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8C452EF">
            <w:pPr>
              <w:pStyle w:val="11"/>
            </w:pPr>
            <w:r>
              <w:t>温室气体清单编制及管理模块-温室气体排放清单编制-温室气体清单编制及管理模块-温室气体排放清单编制-温室气体排量核定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E0EBED">
            <w:pPr>
              <w:pStyle w:val="11"/>
            </w:pPr>
            <w:r>
              <w:t>排放核定是温室气体排放编制的核心，按照省级指南和区级两套指南采用自下而上的排放核验方法，根据其活动水平、排放因子等数据逐个对市级、区级各类源的气体排放量进行计算。按区县、排放源、温室气体类型建立温室气体活动水平数据相关排放量计算方法，进行上海市本地化适配。包括能源活动、工业生产过程、农业、土地利用和林业、废弃物处理等5大领域的37套核验流程。</w:t>
            </w:r>
          </w:p>
        </w:tc>
      </w:tr>
      <w:tr w14:paraId="4172A60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650B3B">
            <w:pPr>
              <w:pStyle w:val="11"/>
            </w:pPr>
            <w:r>
              <w:t>温室气体清单编制及管理模块-温室气体排放清单编制-温室气体清单编制及管理模块-温室气体排放清单编制-编制方案个性化管理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1D6444">
            <w:pPr>
              <w:pStyle w:val="11"/>
            </w:pPr>
            <w:r>
              <w:t>按照市级用户和区级用户，基于构建的排放算法库和按照优先级配置的参数库，针对每个领域每个行业进行自动化计算。系统提供逐源单独计算、批量计算功能，可以选择具体的区县领域行业进行逐项计算，也可以按照多区县批量进行计算，并提供区级清单审核功能，由市级用户对区级排放清单数据进行审核。</w:t>
            </w:r>
          </w:p>
        </w:tc>
      </w:tr>
      <w:tr w14:paraId="1E4BA6D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DAD3BF">
            <w:pPr>
              <w:pStyle w:val="11"/>
            </w:pPr>
            <w:r>
              <w:t>温室气体清单编制及管理模块-温室气体综合评价-温室气体清单编制及管理模块-温室气体综合评价-区域基准碳画像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1D1A64">
            <w:pPr>
              <w:pStyle w:val="11"/>
            </w:pPr>
            <w:r>
              <w:t>结合GIS地图叠加基准清单数据与行政功能区划，生成热力图展示各区域碳排放强度，针对市级、区级排放总量数据进行评价，提供总量统计、总量对比、变化趋势分析、区排放排名等功能。</w:t>
            </w:r>
          </w:p>
        </w:tc>
      </w:tr>
      <w:tr w14:paraId="579C936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194B9A">
            <w:pPr>
              <w:pStyle w:val="11"/>
            </w:pPr>
            <w:r>
              <w:t>温室气体清单编制及管理模块-温室气体综合评价-温室气体清单编制及管理模块-温室气体综合评价-排放特征差异分析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EEEA8">
            <w:pPr>
              <w:pStyle w:val="11"/>
            </w:pPr>
            <w:r>
              <w:t>本功能提供多维度统计分析及指南差异对比：支持按时间（年度/季度）、空间（区域热力图）、行业（能源/工业/交通等）拆解排放特征，量化排放因子敏感度；根据省级与区级指南的核算结果，对比核算边界、排放因子差异，深度剖析同一排放源在不同指南下的结果偏差，助力上海区域/行业精准减排与指南优化。</w:t>
            </w:r>
          </w:p>
        </w:tc>
      </w:tr>
      <w:tr w14:paraId="3EF1C1B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457CF6">
            <w:pPr>
              <w:pStyle w:val="11"/>
            </w:pPr>
            <w:r>
              <w:t>温室气体清单编制及管理模块-温室气体综合评价-温室气体清单编制及管理模块-温室气体综合评价-碳排历史演进分析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651723">
            <w:pPr>
              <w:pStyle w:val="11"/>
            </w:pPr>
            <w:r>
              <w:t>针对当前各区县及各领域行业的温室气体排放量的核算结果和能源消耗情况，可与往年数据进行对比，评价各区县升降幅度，协助用户探索碳排历史演进路径。同时结合统计模型辅助预测未来变化趋势，提供可视化报表和图表数据在线查询和导出。</w:t>
            </w:r>
          </w:p>
        </w:tc>
      </w:tr>
      <w:tr w14:paraId="13F6CBE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99E41C">
            <w:pPr>
              <w:pStyle w:val="11"/>
            </w:pPr>
            <w:r>
              <w:t>温室气体清单编制及管理模块-温室气体排放清单报告管理-温室气体清单编制及管理模块-温室气体排放清单报告管理-温室气体排放清单报告管理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7AD02E">
            <w:pPr>
              <w:pStyle w:val="11"/>
            </w:pPr>
            <w:r>
              <w:t>针对各区县编制温室气体排放清单报告的需求，提供温室气体排放清单报告管理功能，系统预设市级、区级清单报告模板，自动生成报告，提供报告在线查看、下载等功能。</w:t>
            </w:r>
          </w:p>
        </w:tc>
      </w:tr>
    </w:tbl>
    <w:p w14:paraId="61A7A26B">
      <w:pPr>
        <w:rPr>
          <w:rFonts w:hint="eastAsia"/>
        </w:rPr>
      </w:pPr>
    </w:p>
    <w:p w14:paraId="0F24D7A3">
      <w:pPr>
        <w:outlineLvl w:val="1"/>
        <w:rPr>
          <w:rFonts w:hint="eastAsia"/>
        </w:rPr>
      </w:pPr>
      <w:r>
        <w:rPr>
          <w:rFonts w:hint="eastAsia"/>
        </w:rPr>
        <w:t>3、碳普惠链和隐私计算平台建设</w:t>
      </w:r>
    </w:p>
    <w:p w14:paraId="71AFC400">
      <w:pPr>
        <w:rPr>
          <w:rFonts w:hint="eastAsia"/>
        </w:rPr>
      </w:pPr>
      <w:r>
        <w:rPr>
          <w:rFonts w:hint="eastAsia"/>
        </w:rPr>
        <w:t>运用区块链和隐私计算技术构建可信的碳普惠生态，建设内容包括碳普惠数据资产可追溯、保护用户隐私数据安全、多平台参与场景拓展等，具体功能清单如下：</w:t>
      </w:r>
    </w:p>
    <w:tbl>
      <w:tblPr>
        <w:tblStyle w:val="7"/>
        <w:tblW w:w="0" w:type="auto"/>
        <w:tblInd w:w="98" w:type="dxa"/>
        <w:tblLayout w:type="autofit"/>
        <w:tblCellMar>
          <w:top w:w="0" w:type="dxa"/>
          <w:left w:w="108" w:type="dxa"/>
          <w:bottom w:w="0" w:type="dxa"/>
          <w:right w:w="108" w:type="dxa"/>
        </w:tblCellMar>
      </w:tblPr>
      <w:tblGrid>
        <w:gridCol w:w="3090"/>
        <w:gridCol w:w="5340"/>
      </w:tblGrid>
      <w:tr w14:paraId="5B6C0F1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5C7BC8">
            <w:pPr>
              <w:pStyle w:val="11"/>
            </w:pPr>
            <w:r>
              <w:t>功能名称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13F1A">
            <w:pPr>
              <w:pStyle w:val="11"/>
            </w:pPr>
            <w:r>
              <w:t>功能描述</w:t>
            </w:r>
          </w:p>
        </w:tc>
      </w:tr>
      <w:tr w14:paraId="10AA34F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1CF2F5">
            <w:pPr>
              <w:pStyle w:val="11"/>
            </w:pPr>
            <w:r>
              <w:t>碳普惠服务链-碳账户管理合约-创建子场景碳账户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F1D757">
            <w:pPr>
              <w:pStyle w:val="11"/>
            </w:pPr>
            <w:r>
              <w:t>支持碳普惠许可参与方在链上为子场景参与碳普惠业务用户创建子场景碳账户。</w:t>
            </w:r>
          </w:p>
        </w:tc>
      </w:tr>
      <w:tr w14:paraId="0CA710D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C1C662">
            <w:pPr>
              <w:pStyle w:val="11"/>
            </w:pPr>
            <w:r>
              <w:t>碳账户管理合约-查询子场景碳账户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C2E945">
            <w:pPr>
              <w:pStyle w:val="11"/>
            </w:pPr>
            <w:r>
              <w:t>支持有权限的参与方，根据CCID查询子场景碳账户相关信息。</w:t>
            </w:r>
          </w:p>
        </w:tc>
      </w:tr>
      <w:tr w14:paraId="4186C64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2468AE">
            <w:pPr>
              <w:pStyle w:val="11"/>
            </w:pPr>
            <w:r>
              <w:t>碳账户管理合约-注销碳主账户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5F054">
            <w:pPr>
              <w:pStyle w:val="11"/>
            </w:pPr>
            <w:r>
              <w:t>支持有权限的参与方，在链上注销碳主账户。</w:t>
            </w:r>
          </w:p>
        </w:tc>
      </w:tr>
      <w:tr w14:paraId="6A584E3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DA679A">
            <w:pPr>
              <w:pStyle w:val="11"/>
            </w:pPr>
            <w:r>
              <w:t>碳账户管理合约-注销子场景碳账户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28EF3">
            <w:pPr>
              <w:pStyle w:val="11"/>
            </w:pPr>
            <w:r>
              <w:t>支持有权限的参与方，在链上注销子场景碳账户。</w:t>
            </w:r>
          </w:p>
        </w:tc>
      </w:tr>
      <w:tr w14:paraId="67E8ABC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E90305">
            <w:pPr>
              <w:pStyle w:val="11"/>
            </w:pPr>
            <w:r>
              <w:t>一般减排量管理合约-查询减排量签发申请记录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69DE4">
            <w:pPr>
              <w:pStyle w:val="11"/>
            </w:pPr>
            <w:r>
              <w:t>支持获得许可的参与方在链上查询已上链的减排量签发申请记录。</w:t>
            </w:r>
          </w:p>
        </w:tc>
      </w:tr>
      <w:tr w14:paraId="582CEBE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CDF217">
            <w:pPr>
              <w:pStyle w:val="11"/>
            </w:pPr>
            <w:r>
              <w:t>一般减排量管理合约-更新一般减排量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E45240">
            <w:pPr>
              <w:pStyle w:val="11"/>
            </w:pPr>
            <w:r>
              <w:t>支持获得许可的参与方，在减排量转积分、减排量兑换权益环节。</w:t>
            </w:r>
          </w:p>
        </w:tc>
      </w:tr>
      <w:tr w14:paraId="6EBAE49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63D941">
            <w:pPr>
              <w:pStyle w:val="11"/>
            </w:pPr>
            <w:r>
              <w:t>一般减排量管理合约-场景方注销一般减排量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DAE04">
            <w:pPr>
              <w:pStyle w:val="11"/>
            </w:pPr>
            <w:r>
              <w:t>允许获得许可的参与方，在链上按照业务用户自主注销操作扣减持有的减排量</w:t>
            </w:r>
          </w:p>
        </w:tc>
      </w:tr>
      <w:tr w14:paraId="270583C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9501F07">
            <w:pPr>
              <w:pStyle w:val="11"/>
            </w:pPr>
            <w:r>
              <w:t>一般减排量管理合约-一般减排量资产查询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7245F1">
            <w:pPr>
              <w:pStyle w:val="11"/>
            </w:pPr>
            <w:r>
              <w:t>允许获得许可的参与方，在链上查询碳账户下的一般减排量资产详情</w:t>
            </w:r>
          </w:p>
        </w:tc>
      </w:tr>
      <w:tr w14:paraId="2074727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F1DBC2">
            <w:pPr>
              <w:pStyle w:val="11"/>
            </w:pPr>
            <w:r>
              <w:t>一般减排量管理合约-一般减排量资产追溯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27603">
            <w:pPr>
              <w:pStyle w:val="11"/>
            </w:pPr>
            <w:r>
              <w:t>提供对碳账户下的一般减排量资产进行追溯的功能，向上逐级追溯减排量来源信息，向下逐级追溯减排量资产的去向信息，实现碳减排量来源可溯，去向可追的闭环管理</w:t>
            </w:r>
          </w:p>
        </w:tc>
      </w:tr>
      <w:tr w14:paraId="726BCC8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7EFE691">
            <w:pPr>
              <w:pStyle w:val="11"/>
            </w:pPr>
            <w:r>
              <w:t>一般减排量管理合约-一般减排量有效期处置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84CD0">
            <w:pPr>
              <w:pStyle w:val="11"/>
            </w:pPr>
            <w:r>
              <w:t>根据业务规则为减排量资产设定有效期，支持获得许可的的参与方将已过期的减排量进行转移处置</w:t>
            </w:r>
          </w:p>
        </w:tc>
      </w:tr>
      <w:tr w14:paraId="02171DD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9F6F58">
            <w:pPr>
              <w:pStyle w:val="11"/>
            </w:pPr>
            <w:r>
              <w:t>一般减排量交易账本-一般减排量交易记账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BE0FFD">
            <w:pPr>
              <w:pStyle w:val="11"/>
            </w:pPr>
            <w:r>
              <w:t>支持在链上记录一般减排量交易信息</w:t>
            </w:r>
          </w:p>
        </w:tc>
      </w:tr>
      <w:tr w14:paraId="0322D97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194E20">
            <w:pPr>
              <w:pStyle w:val="11"/>
            </w:pPr>
            <w:r>
              <w:t>一般减排量交易账本-一般减排量交易查询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78D98">
            <w:pPr>
              <w:pStyle w:val="11"/>
            </w:pPr>
            <w:r>
              <w:t>支持获得许可的参与方，在链上查询一般减排量交易记录</w:t>
            </w:r>
          </w:p>
        </w:tc>
      </w:tr>
      <w:tr w14:paraId="58562A1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51C479">
            <w:pPr>
              <w:pStyle w:val="11"/>
            </w:pPr>
            <w:r>
              <w:t>一般减排量交易账本-一般减排量交易明细记账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224CD">
            <w:pPr>
              <w:pStyle w:val="11"/>
            </w:pPr>
            <w:r>
              <w:t>支持在链上记录一般减排量交易明细数据</w:t>
            </w:r>
          </w:p>
        </w:tc>
      </w:tr>
      <w:tr w14:paraId="48F54EE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47827B">
            <w:pPr>
              <w:pStyle w:val="11"/>
            </w:pPr>
            <w:r>
              <w:t>一般减排量交易账本-一般减排量交易明细查询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DB33D">
            <w:pPr>
              <w:pStyle w:val="11"/>
            </w:pPr>
            <w:r>
              <w:t>支持获得许可的参与方，在链上查询一般减排量交易明细数据</w:t>
            </w:r>
          </w:p>
        </w:tc>
      </w:tr>
      <w:tr w14:paraId="2701143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AC518F1">
            <w:pPr>
              <w:pStyle w:val="11"/>
            </w:pPr>
            <w:r>
              <w:t>里程码表合约-新增地铁站点距离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5F8C5">
            <w:pPr>
              <w:pStyle w:val="11"/>
            </w:pPr>
            <w:r>
              <w:t>支持将两个地铁站点之间的距离数据写到链上</w:t>
            </w:r>
          </w:p>
        </w:tc>
      </w:tr>
      <w:tr w14:paraId="4B9967E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B36673">
            <w:pPr>
              <w:pStyle w:val="11"/>
            </w:pPr>
            <w:r>
              <w:t>里程码表合约-更新地铁站点距离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DD5A29">
            <w:pPr>
              <w:pStyle w:val="11"/>
            </w:pPr>
            <w:r>
              <w:t>当新增线路/站点导致既有站点间里程发生变化时，支持更新已有地铁站点距离数据，并记录版本变化历史</w:t>
            </w:r>
          </w:p>
        </w:tc>
      </w:tr>
      <w:tr w14:paraId="4C0D456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F9B190">
            <w:pPr>
              <w:pStyle w:val="11"/>
            </w:pPr>
            <w:r>
              <w:t>里程码表合约-根据ID查询码表信息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0F4AB3">
            <w:pPr>
              <w:pStyle w:val="11"/>
            </w:pPr>
            <w:r>
              <w:t>允许用户根据ID查询地铁站点距离数据</w:t>
            </w:r>
          </w:p>
        </w:tc>
      </w:tr>
      <w:tr w14:paraId="01BE6A2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CFCA08">
            <w:pPr>
              <w:pStyle w:val="11"/>
            </w:pPr>
            <w:r>
              <w:t>里程码表合约-查询站点间距离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F5BB6F">
            <w:pPr>
              <w:pStyle w:val="11"/>
            </w:pPr>
            <w:r>
              <w:t>提供根据起始站点编码、终点站点编码及行为发生时间查询站点间距离的功能。</w:t>
            </w:r>
          </w:p>
        </w:tc>
      </w:tr>
      <w:tr w14:paraId="0733CBB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D26B6C">
            <w:pPr>
              <w:pStyle w:val="11"/>
            </w:pPr>
            <w:r>
              <w:t>里程码表合约-码表历史版本追溯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545DA4">
            <w:pPr>
              <w:pStyle w:val="11"/>
            </w:pPr>
            <w:r>
              <w:t>提供对码表数据变更历史进行追溯的功能</w:t>
            </w:r>
          </w:p>
        </w:tc>
      </w:tr>
      <w:tr w14:paraId="29B94E4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ACE9C8">
            <w:pPr>
              <w:pStyle w:val="11"/>
            </w:pPr>
            <w:r>
              <w:t>隐私计算复核合约-隐私计算抽样复核记录存证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606923">
            <w:pPr>
              <w:pStyle w:val="11"/>
            </w:pPr>
            <w:r>
              <w:t>支持隐私计算平台将隐私计算抽样复核结果登记上链</w:t>
            </w:r>
          </w:p>
        </w:tc>
      </w:tr>
      <w:tr w14:paraId="66FA33D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1E0906">
            <w:pPr>
              <w:pStyle w:val="11"/>
            </w:pPr>
            <w:r>
              <w:t>隐私计算复核合约-隐私计算抽样复核记录更新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0AB32">
            <w:pPr>
              <w:pStyle w:val="11"/>
            </w:pPr>
            <w:r>
              <w:t>对于隐私计算复核结果为部分通过或全部不通过的，在场景方完成整改重新申请签发时，支持隐私计算平台将更新后的抽样复核结果登记上链，重新判定申请签发的减排量是否合格。</w:t>
            </w:r>
          </w:p>
        </w:tc>
      </w:tr>
      <w:tr w14:paraId="1E6CAAB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C21E5E">
            <w:pPr>
              <w:pStyle w:val="11"/>
            </w:pPr>
            <w:r>
              <w:t>隐私计算复核合约-隐私计算抽样复核结果查验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196A2E">
            <w:pPr>
              <w:pStyle w:val="11"/>
            </w:pPr>
            <w:r>
              <w:t>提供隐私计算抽样复核结果查验功能</w:t>
            </w:r>
          </w:p>
        </w:tc>
      </w:tr>
      <w:tr w14:paraId="64A9822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F6B7A9">
            <w:pPr>
              <w:pStyle w:val="11"/>
            </w:pPr>
            <w:r>
              <w:t>碳积分管理合约-积分转一般减排量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FD55C">
            <w:pPr>
              <w:pStyle w:val="11"/>
            </w:pPr>
            <w:r>
              <w:t>支持获得许可的参与方，为业务用户在链上将碳积分资产转换成一般减排量</w:t>
            </w:r>
          </w:p>
        </w:tc>
      </w:tr>
      <w:tr w14:paraId="497BB9F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F3251F2">
            <w:pPr>
              <w:pStyle w:val="11"/>
            </w:pPr>
            <w:r>
              <w:t>碳积分管理合约-积分失效处置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37EB4B">
            <w:pPr>
              <w:pStyle w:val="11"/>
            </w:pPr>
            <w:r>
              <w:t>根据业务规则为碳积分资产设定有效期，支持获得许可的参与方对碳积分资产进行过期处置。</w:t>
            </w:r>
          </w:p>
        </w:tc>
      </w:tr>
      <w:tr w14:paraId="1799E49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2F8019">
            <w:pPr>
              <w:pStyle w:val="11"/>
            </w:pPr>
            <w:r>
              <w:t>碳积分管理合约-碳积分资产追溯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F7DAB">
            <w:pPr>
              <w:pStyle w:val="11"/>
            </w:pPr>
            <w:r>
              <w:t>提供对碳账户下的积分资产进行追溯的功能</w:t>
            </w:r>
          </w:p>
        </w:tc>
      </w:tr>
      <w:tr w14:paraId="3EF1184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65F5C0">
            <w:pPr>
              <w:pStyle w:val="11"/>
            </w:pPr>
            <w:r>
              <w:t>碳积分交易账本-碳积分交易记账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379E4">
            <w:pPr>
              <w:pStyle w:val="11"/>
            </w:pPr>
            <w:r>
              <w:t>支持在链上记录碳积分交易信息。</w:t>
            </w:r>
          </w:p>
        </w:tc>
      </w:tr>
      <w:tr w14:paraId="3AD3AFA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A2553E">
            <w:pPr>
              <w:pStyle w:val="11"/>
            </w:pPr>
            <w:r>
              <w:t>碳积分交易账本-碳积分交易查询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08B040">
            <w:pPr>
              <w:pStyle w:val="11"/>
            </w:pPr>
            <w:r>
              <w:t>支持获得许可的参与方，在链上查询碳积分交易记录</w:t>
            </w:r>
          </w:p>
        </w:tc>
      </w:tr>
      <w:tr w14:paraId="7263DD0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F92DAE">
            <w:pPr>
              <w:pStyle w:val="11"/>
            </w:pPr>
            <w:r>
              <w:t>碳积分交易账本-碳积分交易明细记账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47A4A1">
            <w:pPr>
              <w:pStyle w:val="11"/>
            </w:pPr>
            <w:r>
              <w:t>支持在链上记录碳积分交易明细数据</w:t>
            </w:r>
          </w:p>
        </w:tc>
      </w:tr>
      <w:tr w14:paraId="48D082A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ADBB9E">
            <w:pPr>
              <w:pStyle w:val="11"/>
            </w:pPr>
            <w:r>
              <w:t>碳积分交易账本-碳积分交易明细查询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198DBF">
            <w:pPr>
              <w:pStyle w:val="11"/>
            </w:pPr>
            <w:r>
              <w:t>支持获得许可的参与方，在链上查询碳积分交易明细数据</w:t>
            </w:r>
          </w:p>
        </w:tc>
      </w:tr>
      <w:tr w14:paraId="4AEA7FA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742708">
            <w:pPr>
              <w:pStyle w:val="11"/>
            </w:pPr>
            <w:r>
              <w:t>整存减排量资产管理合约-一般转整存</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059CD">
            <w:pPr>
              <w:pStyle w:val="11"/>
            </w:pPr>
            <w:r>
              <w:t>支持获得许可的参与方，根据业务用户需要，聚合一般减排量，签发形成数额符合用户所需的整存减排量。</w:t>
            </w:r>
          </w:p>
        </w:tc>
      </w:tr>
      <w:tr w14:paraId="5B16A65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ADB51C">
            <w:pPr>
              <w:pStyle w:val="11"/>
            </w:pPr>
            <w:r>
              <w:t>整存减排量资产管理合约-整存减排量自愿注销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D92AA">
            <w:pPr>
              <w:pStyle w:val="11"/>
            </w:pPr>
            <w:r>
              <w:t>提供用户将自己账户中的整存减排量注销的功能。</w:t>
            </w:r>
          </w:p>
        </w:tc>
      </w:tr>
      <w:tr w14:paraId="19377B1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BFE780">
            <w:pPr>
              <w:pStyle w:val="11"/>
            </w:pPr>
            <w:r>
              <w:t>整存减排量资产管理合约-整存减排量资产查询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D1109">
            <w:pPr>
              <w:pStyle w:val="11"/>
            </w:pPr>
            <w:r>
              <w:t>允许获得许可的参与方，在链上查询碳账户下的整存减排量资产详情</w:t>
            </w:r>
          </w:p>
        </w:tc>
      </w:tr>
      <w:tr w14:paraId="6370FAA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413CE3">
            <w:pPr>
              <w:pStyle w:val="11"/>
            </w:pPr>
            <w:r>
              <w:t>整存减排量资产管理合约-整存减排量资产追溯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B9F8B9">
            <w:pPr>
              <w:pStyle w:val="11"/>
            </w:pPr>
            <w:r>
              <w:t>提供对碳账户下的整存减排量资产进行追溯的功能</w:t>
            </w:r>
          </w:p>
        </w:tc>
      </w:tr>
      <w:tr w14:paraId="22D0EBC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E49C75">
            <w:pPr>
              <w:pStyle w:val="11"/>
            </w:pPr>
            <w:r>
              <w:t>整存减排量交易账本-整存减排量交易记账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B0FDF">
            <w:pPr>
              <w:pStyle w:val="11"/>
            </w:pPr>
            <w:r>
              <w:t>支持在链上记录整存减排量交易信息</w:t>
            </w:r>
          </w:p>
        </w:tc>
      </w:tr>
      <w:tr w14:paraId="73247DD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12FC5E">
            <w:pPr>
              <w:pStyle w:val="11"/>
            </w:pPr>
            <w:r>
              <w:t>整存减排量交易账本-整存减排量交易查询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8C4BF">
            <w:pPr>
              <w:pStyle w:val="11"/>
            </w:pPr>
            <w:r>
              <w:t>支持获得许可的参与方，在链上查询整存减排量交易记录</w:t>
            </w:r>
          </w:p>
        </w:tc>
      </w:tr>
      <w:tr w14:paraId="0423E89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47AB42">
            <w:pPr>
              <w:pStyle w:val="11"/>
            </w:pPr>
            <w:r>
              <w:t>整存减排量交易账本-整存减排量交易明细记账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0CC23">
            <w:pPr>
              <w:pStyle w:val="11"/>
            </w:pPr>
            <w:r>
              <w:t>支持在链上记录整存减排量交易明细数据</w:t>
            </w:r>
          </w:p>
        </w:tc>
      </w:tr>
      <w:tr w14:paraId="710AACA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39220B">
            <w:pPr>
              <w:pStyle w:val="11"/>
            </w:pPr>
            <w:r>
              <w:t>整存减排量交易账本-整存减排量交易明细查询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CBD414">
            <w:pPr>
              <w:pStyle w:val="11"/>
            </w:pPr>
            <w:r>
              <w:t>支持获得许可的参与方，在链上查询整存减排量交易明细数据</w:t>
            </w:r>
          </w:p>
        </w:tc>
      </w:tr>
      <w:tr w14:paraId="3CB6D4C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DD91A2">
            <w:pPr>
              <w:pStyle w:val="11"/>
            </w:pPr>
            <w:r>
              <w:t>碳市场交易减排量资产管理合约-整存转交易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723692">
            <w:pPr>
              <w:pStyle w:val="11"/>
            </w:pPr>
            <w:r>
              <w:t>支持获得许可的参与方，根据业务用户需要，将用户的整存减排量转换为交易减排量</w:t>
            </w:r>
          </w:p>
        </w:tc>
      </w:tr>
      <w:tr w14:paraId="2398402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28272A">
            <w:pPr>
              <w:pStyle w:val="11"/>
            </w:pPr>
            <w:r>
              <w:t>碳市场交易减排量资产管理合约-交易转整存</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C8B05">
            <w:pPr>
              <w:pStyle w:val="11"/>
            </w:pPr>
            <w:r>
              <w:t>支持获得许可的参与方，根据业务用户需要，将用户的交易减排量转换为整存减排量</w:t>
            </w:r>
          </w:p>
        </w:tc>
      </w:tr>
      <w:tr w14:paraId="6217300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A13460">
            <w:pPr>
              <w:pStyle w:val="11"/>
            </w:pPr>
            <w:r>
              <w:t>碳市场交易减排量资产管理合约-交易减排量资产查询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9E4B38">
            <w:pPr>
              <w:pStyle w:val="11"/>
            </w:pPr>
            <w:r>
              <w:t>允许获得许可的参与方，在链上查询碳市场交易账户下的减排量资产详情</w:t>
            </w:r>
          </w:p>
        </w:tc>
      </w:tr>
      <w:tr w14:paraId="6170284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8D8A16">
            <w:pPr>
              <w:pStyle w:val="11"/>
            </w:pPr>
            <w:r>
              <w:t>碳市场交易减排量资产管理合约-交易减排量资产追溯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3C878">
            <w:pPr>
              <w:pStyle w:val="11"/>
            </w:pPr>
            <w:r>
              <w:t>提供对碳账户下的交易减排量资产进行追溯的功能</w:t>
            </w:r>
          </w:p>
        </w:tc>
      </w:tr>
      <w:tr w14:paraId="74111DF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DD2451">
            <w:pPr>
              <w:pStyle w:val="11"/>
            </w:pPr>
            <w:r>
              <w:t>碳市场交易减排量交易账本-碳市场交易记账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12604">
            <w:pPr>
              <w:pStyle w:val="11"/>
            </w:pPr>
            <w:r>
              <w:t>支持在链上记录碳市场交易信息，通过登记碳场中的交易记录，保证碳资产的有效性和可追溯性。</w:t>
            </w:r>
          </w:p>
        </w:tc>
      </w:tr>
      <w:tr w14:paraId="0C20299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2151D5">
            <w:pPr>
              <w:pStyle w:val="11"/>
            </w:pPr>
            <w:r>
              <w:t>碳市场交易减排量交易账本-交易账户整存减排量交易记账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D8D03C">
            <w:pPr>
              <w:pStyle w:val="11"/>
            </w:pPr>
            <w:r>
              <w:t>支持在链上记录交易账户整存减排量交易信息。</w:t>
            </w:r>
          </w:p>
        </w:tc>
      </w:tr>
      <w:tr w14:paraId="42AA292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B50F2D">
            <w:pPr>
              <w:pStyle w:val="11"/>
            </w:pPr>
            <w:r>
              <w:t>碳市场交易减排量交易账本-交易账户整存减排量交易查询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527D3">
            <w:pPr>
              <w:pStyle w:val="11"/>
            </w:pPr>
            <w:r>
              <w:t>支持获得许可的参与方，在链上查询交易账户整存减排量交易记录</w:t>
            </w:r>
          </w:p>
        </w:tc>
      </w:tr>
      <w:tr w14:paraId="5B0724A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6BD0AD">
            <w:pPr>
              <w:pStyle w:val="11"/>
            </w:pPr>
            <w:r>
              <w:t>碳市场交易减排量交易账本-交易账户整存减排量交易明细记账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269177">
            <w:pPr>
              <w:pStyle w:val="11"/>
            </w:pPr>
            <w:r>
              <w:t>支持在链上记录交易账户整存减排量交易明细数据</w:t>
            </w:r>
          </w:p>
        </w:tc>
      </w:tr>
      <w:tr w14:paraId="5F165CD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4817B0">
            <w:pPr>
              <w:pStyle w:val="11"/>
            </w:pPr>
            <w:r>
              <w:t>碳市场交易减排量交易账本-交易账户整存减排量交易明细查询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275E84">
            <w:pPr>
              <w:pStyle w:val="11"/>
            </w:pPr>
            <w:r>
              <w:t>支持获得许可的参与方，在链上查询交易账户整存减排量交易明细数据</w:t>
            </w:r>
          </w:p>
        </w:tc>
      </w:tr>
      <w:tr w14:paraId="1B0DA60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E51EB6">
            <w:pPr>
              <w:pStyle w:val="11"/>
            </w:pPr>
            <w:r>
              <w:t>项目减排量管理合约-项目方申请签发减排量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B64B6F">
            <w:pPr>
              <w:pStyle w:val="11"/>
            </w:pPr>
            <w:r>
              <w:t>支持获得许可的参与方，依据方法学在链上生成项目减排量签发申请记录</w:t>
            </w:r>
          </w:p>
        </w:tc>
      </w:tr>
      <w:tr w14:paraId="653A943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D2DC61">
            <w:pPr>
              <w:pStyle w:val="11"/>
            </w:pPr>
            <w:r>
              <w:t>项目减排量管理合约-项目减排量签发审核生成资产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7A648">
            <w:pPr>
              <w:pStyle w:val="11"/>
            </w:pPr>
            <w:r>
              <w:t>对获得许可参与方项目减排量签发申请进行审核后，在链上生成项目减排量资产</w:t>
            </w:r>
          </w:p>
        </w:tc>
      </w:tr>
      <w:tr w14:paraId="20630DF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CDAFDB">
            <w:pPr>
              <w:pStyle w:val="11"/>
            </w:pPr>
            <w:r>
              <w:t>项目减排量管理合约-项目减排量转整存</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62654E">
            <w:pPr>
              <w:pStyle w:val="11"/>
            </w:pPr>
            <w:r>
              <w:t>支持获得许可的参与方为用户在链上将符合条件的项目减排量转换成整存减排量。</w:t>
            </w:r>
          </w:p>
        </w:tc>
      </w:tr>
      <w:tr w14:paraId="40E90C6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48FE615">
            <w:pPr>
              <w:pStyle w:val="11"/>
            </w:pPr>
            <w:r>
              <w:t>项目减排量管理合约-项目减排量兑换权益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92C81">
            <w:pPr>
              <w:pStyle w:val="11"/>
            </w:pPr>
            <w:r>
              <w:t>支持获得许可的参与方为用户在链上将符合条件的项目减排量转换成权益商品</w:t>
            </w:r>
          </w:p>
        </w:tc>
      </w:tr>
      <w:tr w14:paraId="3B76EB6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C595E1">
            <w:pPr>
              <w:pStyle w:val="11"/>
            </w:pPr>
            <w:r>
              <w:t>项目减排量管理合约-项目减排量交易记账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BF72A">
            <w:pPr>
              <w:pStyle w:val="11"/>
            </w:pPr>
            <w:r>
              <w:t>支持在链上记录项目减排量交易信息。</w:t>
            </w:r>
          </w:p>
        </w:tc>
      </w:tr>
      <w:tr w14:paraId="7497BE8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D3F0BB">
            <w:pPr>
              <w:pStyle w:val="11"/>
            </w:pPr>
            <w:r>
              <w:t>项目减排量管理合约-项目减排量交易查询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CB25FA">
            <w:pPr>
              <w:pStyle w:val="11"/>
            </w:pPr>
            <w:r>
              <w:t>支持获得许可的参与方，在链上查询项目减排量交易记录</w:t>
            </w:r>
          </w:p>
        </w:tc>
      </w:tr>
      <w:tr w14:paraId="3C9DE36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622100">
            <w:pPr>
              <w:pStyle w:val="11"/>
            </w:pPr>
            <w:r>
              <w:t>项目减排量管理合约-项目减排量交易明细记账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BFC2BA">
            <w:pPr>
              <w:pStyle w:val="11"/>
            </w:pPr>
            <w:r>
              <w:t>支持在链上记录项目减排量交易明细数据。</w:t>
            </w:r>
          </w:p>
        </w:tc>
      </w:tr>
      <w:tr w14:paraId="763D57C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EE972C">
            <w:pPr>
              <w:pStyle w:val="11"/>
            </w:pPr>
            <w:r>
              <w:t>项目减排量管理合约-项目减排量交易明细查询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4654B4">
            <w:pPr>
              <w:pStyle w:val="11"/>
            </w:pPr>
            <w:r>
              <w:t>支持获得许可的参与方，在链上查询项目减排量交易明细数据</w:t>
            </w:r>
          </w:p>
        </w:tc>
      </w:tr>
      <w:tr w14:paraId="2CAD3FA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8795EC">
            <w:pPr>
              <w:pStyle w:val="11"/>
            </w:pPr>
            <w:r>
              <w:t>项目减排量管理合约-项目减排量资产查询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AE007">
            <w:pPr>
              <w:pStyle w:val="11"/>
            </w:pPr>
            <w:r>
              <w:t>允许获得许可的参与方，在链上查询项目减排量资产详情</w:t>
            </w:r>
          </w:p>
        </w:tc>
      </w:tr>
      <w:tr w14:paraId="5DD6BAF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C135C0">
            <w:pPr>
              <w:pStyle w:val="11"/>
            </w:pPr>
            <w:r>
              <w:t>项目减排量管理合约-项目减排量资产追溯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DED8B">
            <w:pPr>
              <w:pStyle w:val="11"/>
            </w:pPr>
            <w:r>
              <w:t>提供对项目减排量资产进行追溯的功能，向上逐级追溯减排量来源信息，向下逐级追溯减排量资产的去向信息。</w:t>
            </w:r>
          </w:p>
        </w:tc>
      </w:tr>
      <w:tr w14:paraId="5BA6E89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474E7F0">
            <w:pPr>
              <w:pStyle w:val="11"/>
            </w:pPr>
            <w:r>
              <w:t>碳资产追溯服务-一般减排量资产追溯展示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F196AA">
            <w:pPr>
              <w:pStyle w:val="11"/>
            </w:pPr>
            <w:r>
              <w:t>根据一般减排量资产追溯模型所定义的资产生命周期信息，提供基于链上数据的一般减排量资产可视化追溯功能。</w:t>
            </w:r>
          </w:p>
        </w:tc>
      </w:tr>
      <w:tr w14:paraId="4B078A9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1C5190">
            <w:pPr>
              <w:pStyle w:val="11"/>
            </w:pPr>
            <w:r>
              <w:t>碳资产追溯服务-项目减排量资产追溯展示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2F32AF">
            <w:pPr>
              <w:pStyle w:val="11"/>
            </w:pPr>
            <w:r>
              <w:t>根据项目减排量资产追溯模型所定义的资产生命周期信息，提供基于链上数据的项目减排量资产可视化追溯功能。</w:t>
            </w:r>
          </w:p>
        </w:tc>
      </w:tr>
      <w:tr w14:paraId="2F0E786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C4133B">
            <w:pPr>
              <w:pStyle w:val="11"/>
            </w:pPr>
            <w:r>
              <w:t>碳资产追溯服务-碳积分资产追溯展示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C923F6">
            <w:pPr>
              <w:pStyle w:val="11"/>
            </w:pPr>
            <w:r>
              <w:t>根据碳积分资产资产追溯模型所定义的资产生命周期信息，提供基于链上数据的碳积分资产可视化追溯功能。</w:t>
            </w:r>
          </w:p>
        </w:tc>
      </w:tr>
      <w:tr w14:paraId="71D42CB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52ED06">
            <w:pPr>
              <w:pStyle w:val="11"/>
            </w:pPr>
            <w:r>
              <w:t>碳资产追溯服务-整存减排量资产追溯展示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33F49">
            <w:pPr>
              <w:pStyle w:val="11"/>
            </w:pPr>
            <w:r>
              <w:t>根据整存减排量资产追溯模型所定义的资产生命周期信息，提供基于链上数据的整存减排量资产可视化追溯功能。</w:t>
            </w:r>
          </w:p>
        </w:tc>
      </w:tr>
      <w:tr w14:paraId="16DB9BA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60439D">
            <w:pPr>
              <w:pStyle w:val="11"/>
            </w:pPr>
            <w:r>
              <w:t>碳资产追溯服务-碳市场交易减排量资产追溯展示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2726C4">
            <w:pPr>
              <w:pStyle w:val="11"/>
            </w:pPr>
            <w:r>
              <w:t>根据碳市场交易减排量资产追溯模型所定义的资产生命周期信息，提供基于链上数据的碳市场交易减排量资产可视化追溯功能。</w:t>
            </w:r>
          </w:p>
        </w:tc>
      </w:tr>
      <w:tr w14:paraId="6AC88C7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B1C990">
            <w:pPr>
              <w:pStyle w:val="11"/>
            </w:pPr>
            <w:r>
              <w:t>同/异步上链服务-同步上链服务接口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FD22E">
            <w:pPr>
              <w:pStyle w:val="11"/>
            </w:pPr>
            <w:r>
              <w:t>提供接收并保存同步上链数据的功能，给经过授权的参与方调用。</w:t>
            </w:r>
          </w:p>
        </w:tc>
      </w:tr>
      <w:tr w14:paraId="3750D41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38EEFF">
            <w:pPr>
              <w:pStyle w:val="11"/>
            </w:pPr>
            <w:r>
              <w:t>同/异步上链服务-同步上链执行记录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7481FF">
            <w:pPr>
              <w:pStyle w:val="11"/>
            </w:pPr>
            <w:r>
              <w:t>提供针对数据同步上链过程进行记录的功能，作为检查上链结果的依据。</w:t>
            </w:r>
          </w:p>
        </w:tc>
      </w:tr>
      <w:tr w14:paraId="69CA425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0B4F61">
            <w:pPr>
              <w:pStyle w:val="11"/>
            </w:pPr>
            <w:r>
              <w:t>同/异步上链服务-上链数据分类管理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1287F1">
            <w:pPr>
              <w:pStyle w:val="11"/>
            </w:pPr>
            <w:r>
              <w:t>提供针对不同上链数据进行分类管理的功能，使不同类别的上链数据能匹配对应的上链策略并组装上链任务</w:t>
            </w:r>
          </w:p>
        </w:tc>
      </w:tr>
      <w:tr w14:paraId="252B650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30DB87">
            <w:pPr>
              <w:pStyle w:val="11"/>
            </w:pPr>
            <w:r>
              <w:t>同/异步上链服务-异步批量上链服务接口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3082E">
            <w:pPr>
              <w:pStyle w:val="11"/>
            </w:pPr>
            <w:r>
              <w:t>接口提供批量接收并保存异步上链数据的功能</w:t>
            </w:r>
          </w:p>
        </w:tc>
      </w:tr>
      <w:tr w14:paraId="58ED7FD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EAF0EC">
            <w:pPr>
              <w:pStyle w:val="11"/>
            </w:pPr>
            <w:r>
              <w:t>同/异步上链服务-分类上链任务列表管理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37003E">
            <w:pPr>
              <w:pStyle w:val="11"/>
            </w:pPr>
            <w:r>
              <w:t>提供针对不同类别的上链任务查询管理功能。</w:t>
            </w:r>
          </w:p>
        </w:tc>
      </w:tr>
      <w:tr w14:paraId="0B5D98E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D283E0">
            <w:pPr>
              <w:pStyle w:val="11"/>
            </w:pPr>
            <w:r>
              <w:t>同/异步上链服务-上链任务执行详情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935343">
            <w:pPr>
              <w:pStyle w:val="11"/>
            </w:pPr>
            <w:r>
              <w:t>针对上链任务的执行详细信息查询的功能。</w:t>
            </w:r>
          </w:p>
        </w:tc>
      </w:tr>
      <w:tr w14:paraId="425A575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DA7C97">
            <w:pPr>
              <w:pStyle w:val="11"/>
            </w:pPr>
            <w:r>
              <w:t>同/异步上链服务-上链任务执行监控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55A7FA">
            <w:pPr>
              <w:pStyle w:val="11"/>
            </w:pPr>
            <w:r>
              <w:t>针对上链任务的状态进行检查，识别上链任务的异常状态，从而支持相关方对异常任务进行处理。</w:t>
            </w:r>
          </w:p>
        </w:tc>
      </w:tr>
      <w:tr w14:paraId="4A51082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507030">
            <w:pPr>
              <w:pStyle w:val="11"/>
            </w:pPr>
            <w:r>
              <w:t>同/异步上链服务-异步单条上链任务调度（有序/无序）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DD4826">
            <w:pPr>
              <w:pStyle w:val="11"/>
            </w:pPr>
            <w:r>
              <w:t>根据上链规则针对单条异步上链任务进行管理调度，包括有序上链规则和无序上链规则</w:t>
            </w:r>
          </w:p>
        </w:tc>
      </w:tr>
      <w:tr w14:paraId="6B29E62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45B3CF">
            <w:pPr>
              <w:pStyle w:val="11"/>
            </w:pPr>
            <w:r>
              <w:t>同/异步上链服务-异步单条上链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C5AE8C">
            <w:pPr>
              <w:pStyle w:val="11"/>
            </w:pPr>
            <w:r>
              <w:t>依据上链规则及优先级提取待上链数据，将待上链数据转换成智能合约所需要的数据格式，并对数据进行签名后请求合约接口实现异步单条数据上链。</w:t>
            </w:r>
          </w:p>
        </w:tc>
      </w:tr>
      <w:tr w14:paraId="51FD6EB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153233F">
            <w:pPr>
              <w:pStyle w:val="11"/>
            </w:pPr>
            <w:r>
              <w:t>同/异步上链服务-异步批量上链任务调度（有序/无序）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DAE86">
            <w:pPr>
              <w:pStyle w:val="11"/>
            </w:pPr>
            <w:r>
              <w:t>根据上链规则针对批量异步上链任务进行管理调度，包括有序上链规则和无序上链规则。</w:t>
            </w:r>
          </w:p>
        </w:tc>
      </w:tr>
      <w:tr w14:paraId="35CA441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BE0E3E">
            <w:pPr>
              <w:pStyle w:val="11"/>
            </w:pPr>
            <w:r>
              <w:t>同/异步上链服务-异步批量上链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349ED4">
            <w:pPr>
              <w:pStyle w:val="11"/>
            </w:pPr>
            <w:r>
              <w:t>依据上链规则及优先级提取待上链数据，将待上链数据转换成智能合约所需要的数据格式，并对数据进行签名后请求合约接口实现异步批量数据上链。</w:t>
            </w:r>
          </w:p>
        </w:tc>
      </w:tr>
      <w:tr w14:paraId="4DDAE9E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91BA44">
            <w:pPr>
              <w:pStyle w:val="11"/>
            </w:pPr>
            <w:r>
              <w:t>同/异步上链服务-异步上链结果回调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DEADF">
            <w:pPr>
              <w:pStyle w:val="11"/>
            </w:pPr>
            <w:r>
              <w:t>提供数据异步上链结果回调通知功能，使业务方能及时获取数据上链结果。</w:t>
            </w:r>
          </w:p>
        </w:tc>
      </w:tr>
      <w:tr w14:paraId="1071178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239184">
            <w:pPr>
              <w:pStyle w:val="11"/>
            </w:pPr>
            <w:r>
              <w:t>上链状态管理-同步上链状态跟踪展示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162D7">
            <w:pPr>
              <w:pStyle w:val="11"/>
            </w:pPr>
            <w:r>
              <w:t>提供对同步上链数据的上链状态进行跟踪展示的功能。</w:t>
            </w:r>
          </w:p>
        </w:tc>
      </w:tr>
      <w:tr w14:paraId="4873185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D4AB12">
            <w:pPr>
              <w:pStyle w:val="11"/>
            </w:pPr>
            <w:r>
              <w:t>上链状态管理-异步上链状态订阅展示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4AF03">
            <w:pPr>
              <w:pStyle w:val="11"/>
            </w:pPr>
            <w:r>
              <w:t>提供针对异步上链数据的上链状态的进行订阅和展示的功能。</w:t>
            </w:r>
          </w:p>
        </w:tc>
      </w:tr>
      <w:tr w14:paraId="0B04480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849EE4">
            <w:pPr>
              <w:pStyle w:val="11"/>
            </w:pPr>
            <w:r>
              <w:t>上链状态管理-上链异常重试规则设置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F4C8B">
            <w:pPr>
              <w:pStyle w:val="11"/>
            </w:pPr>
            <w:r>
              <w:t>允许针对上链异常设置重试规则，作为系统处置上链异常任务的依据。</w:t>
            </w:r>
          </w:p>
        </w:tc>
      </w:tr>
      <w:tr w14:paraId="0C980AF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29238F">
            <w:pPr>
              <w:pStyle w:val="11"/>
            </w:pPr>
            <w:r>
              <w:t>上链状态管理-上链异常按规则自动重试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DB1034">
            <w:pPr>
              <w:pStyle w:val="11"/>
            </w:pPr>
            <w:r>
              <w:t>提供对存在异常的上链任务按照设置的重试规则进行上链重试的功能。</w:t>
            </w:r>
          </w:p>
        </w:tc>
      </w:tr>
      <w:tr w14:paraId="1999D0B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E89020">
            <w:pPr>
              <w:pStyle w:val="11"/>
            </w:pPr>
            <w:r>
              <w:t>上链状态管理-上链异常重试失败预警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58A046">
            <w:pPr>
              <w:pStyle w:val="11"/>
            </w:pPr>
            <w:r>
              <w:t>提供对符合预警规则的上链异常任务进行预警的功能，使相关方能及时处置上链异常。</w:t>
            </w:r>
          </w:p>
        </w:tc>
      </w:tr>
      <w:tr w14:paraId="7B459AC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483AEC">
            <w:pPr>
              <w:pStyle w:val="11"/>
            </w:pPr>
            <w:r>
              <w:t>上链状态管理-上链异常统计分析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EDE222">
            <w:pPr>
              <w:pStyle w:val="11"/>
            </w:pPr>
            <w:r>
              <w:t>提供针对上链异常数据进行统计分析的功能，方便相关方分析定位异常原因。</w:t>
            </w:r>
          </w:p>
        </w:tc>
      </w:tr>
      <w:tr w14:paraId="5D685B5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C757D7">
            <w:pPr>
              <w:pStyle w:val="11"/>
            </w:pPr>
            <w:r>
              <w:t>上链状态管理-上链结果每日自动对账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0E99C">
            <w:pPr>
              <w:pStyle w:val="11"/>
            </w:pPr>
            <w:r>
              <w:t>提供每日将上链服务网关的上链数据进行分类统计的功能</w:t>
            </w:r>
          </w:p>
        </w:tc>
      </w:tr>
      <w:tr w14:paraId="73D784A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E18380">
            <w:pPr>
              <w:pStyle w:val="11"/>
            </w:pPr>
            <w:r>
              <w:t>上链状态管理-上链对账报告生成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66FD09">
            <w:pPr>
              <w:pStyle w:val="11"/>
            </w:pPr>
            <w:r>
              <w:t>提供针对上链对账结果数据进行整理并生成报告的功能。</w:t>
            </w:r>
          </w:p>
        </w:tc>
      </w:tr>
      <w:tr w14:paraId="35EACB9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9C3630A">
            <w:pPr>
              <w:pStyle w:val="11"/>
            </w:pPr>
            <w:r>
              <w:t>上链状态管理-上链对账报告查询及导出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63415">
            <w:pPr>
              <w:pStyle w:val="11"/>
            </w:pPr>
            <w:r>
              <w:t>提供针对上链对账报告进行查询的功能，支持将报告以文件形式导出。</w:t>
            </w:r>
          </w:p>
        </w:tc>
      </w:tr>
      <w:tr w14:paraId="628C787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02EA13">
            <w:pPr>
              <w:pStyle w:val="11"/>
            </w:pPr>
            <w:r>
              <w:t>碳减排量风控核验隐私计算场景碳减排方法学隐私计算PQL-碳减排方法学（轨道交通）PQL比对一致模块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AF857">
            <w:pPr>
              <w:pStyle w:val="11"/>
            </w:pPr>
            <w:r>
              <w:t>对轨道交通相关场景提供基于隐私计算的减排量复核比对一致。</w:t>
            </w:r>
          </w:p>
        </w:tc>
      </w:tr>
      <w:tr w14:paraId="4F91588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E1810F">
            <w:pPr>
              <w:pStyle w:val="11"/>
            </w:pPr>
            <w:r>
              <w:t>碳减排方法学隐私计算PQL-碳减排方法学（轨道交通）PQL判断减排行为无数据模块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13D4B8">
            <w:pPr>
              <w:pStyle w:val="11"/>
            </w:pPr>
            <w:r>
              <w:t>对轨道交通相关场景提供的减排行为数据，进行链上判断是否有数据。</w:t>
            </w:r>
          </w:p>
        </w:tc>
      </w:tr>
      <w:tr w14:paraId="71EBBDC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1043FA">
            <w:pPr>
              <w:pStyle w:val="11"/>
            </w:pPr>
            <w:r>
              <w:t>碳减排方法学隐私计算PQL-碳减排方法学（轨道交通）PQL比对原始数据哈希不一致模块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4924A8">
            <w:pPr>
              <w:pStyle w:val="11"/>
            </w:pPr>
            <w:r>
              <w:t>提供从链上记录的轨交原始数据哈希值与链上的哈希值比对的服务。</w:t>
            </w:r>
          </w:p>
        </w:tc>
      </w:tr>
      <w:tr w14:paraId="6D0C66C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D8100B">
            <w:pPr>
              <w:pStyle w:val="11"/>
            </w:pPr>
            <w:r>
              <w:t>碳减排方法学隐私计算PQL-碳减排方法学（轨道交通）PQL原始数据里程和链上里程不一致模块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80F9AD">
            <w:pPr>
              <w:pStyle w:val="11"/>
            </w:pPr>
            <w:r>
              <w:t>提供基于可信执行环境公钥加密轨道交通数据和链上里程比对的功能。</w:t>
            </w:r>
          </w:p>
        </w:tc>
      </w:tr>
      <w:tr w14:paraId="67A67D0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CB7FC9">
            <w:pPr>
              <w:pStyle w:val="11"/>
            </w:pPr>
            <w:r>
              <w:t>碳减排方法学隐私计算PQL-碳减排方法学（轨道交通）PQL原始数据里程和码表里程不一致模块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91D7C8">
            <w:pPr>
              <w:pStyle w:val="11"/>
            </w:pPr>
            <w:r>
              <w:t>提供基于可信执行环境公钥加密轨道交通数据和里程码表比对的功能。</w:t>
            </w:r>
          </w:p>
        </w:tc>
      </w:tr>
      <w:tr w14:paraId="4A6E6E2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7F7D28">
            <w:pPr>
              <w:pStyle w:val="11"/>
            </w:pPr>
            <w:r>
              <w:t>碳减排方法学隐私计算PQL-碳减排方法学（轨道交通）PQL码表生效时间未查询到里程模块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83C66">
            <w:pPr>
              <w:pStyle w:val="11"/>
            </w:pPr>
            <w:r>
              <w:t>提供在码表生效时间未查询到里程的服务。</w:t>
            </w:r>
          </w:p>
        </w:tc>
      </w:tr>
      <w:tr w14:paraId="18C2002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43E820">
            <w:pPr>
              <w:pStyle w:val="11"/>
            </w:pPr>
            <w:r>
              <w:t>碳减排方法学隐私计算PQL-碳减排方法学（轨道交通）PQL复核任务处理异常模块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E38EF7">
            <w:pPr>
              <w:pStyle w:val="11"/>
            </w:pPr>
            <w:r>
              <w:t>提供复核任务若出现异常，需进行异常处理并返回。</w:t>
            </w:r>
          </w:p>
        </w:tc>
      </w:tr>
      <w:tr w14:paraId="4881516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FE026B">
            <w:pPr>
              <w:pStyle w:val="11"/>
            </w:pPr>
            <w:r>
              <w:t>隐私计算定制服务对外接口-鉴权接口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A5C0A7">
            <w:pPr>
              <w:pStyle w:val="11"/>
            </w:pPr>
            <w:r>
              <w:t>该接口为隐私计算定制服务的对外接口提供鉴权功能。</w:t>
            </w:r>
          </w:p>
        </w:tc>
      </w:tr>
      <w:tr w14:paraId="594A672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B025A7">
            <w:pPr>
              <w:pStyle w:val="11"/>
            </w:pPr>
            <w:r>
              <w:t>隐私计算定制服务对外接口-触发隐私计算复核任务接口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CBD769">
            <w:pPr>
              <w:pStyle w:val="11"/>
            </w:pPr>
            <w:r>
              <w:t>利用该接口发送减排清单数据给隐私计算定制服务，触发隐私计算任务。</w:t>
            </w:r>
          </w:p>
        </w:tc>
      </w:tr>
      <w:tr w14:paraId="529CD3E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138FE2">
            <w:pPr>
              <w:pStyle w:val="11"/>
            </w:pPr>
            <w:r>
              <w:t>隐私计算定制服务对外接口-通知平台方复核结果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D94B2">
            <w:pPr>
              <w:pStyle w:val="11"/>
            </w:pPr>
            <w:r>
              <w:t>隐私计算定制服务调用碳普惠管理平台接口，将隐私计算抽样复核结果通知碳普惠管理平台。</w:t>
            </w:r>
          </w:p>
        </w:tc>
      </w:tr>
      <w:tr w14:paraId="690D915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095895">
            <w:pPr>
              <w:pStyle w:val="11"/>
            </w:pPr>
            <w:r>
              <w:t>隐私计算定制服务对外接口-通知场景方提供减排行为原始数据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FA329">
            <w:pPr>
              <w:pStyle w:val="11"/>
            </w:pPr>
            <w:r>
              <w:t>隐私计算定制服务调用场景方接口，将数据清单提供给场景方，场景方根据数据清单提供减排行为原始数据。</w:t>
            </w:r>
          </w:p>
        </w:tc>
      </w:tr>
      <w:tr w14:paraId="6903A37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0B6775">
            <w:pPr>
              <w:pStyle w:val="11"/>
            </w:pPr>
            <w:r>
              <w:t>隐私计算定制服务对外接口-接收数据包接口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7137E">
            <w:pPr>
              <w:pStyle w:val="11"/>
            </w:pPr>
            <w:r>
              <w:t>隐私计算定制服务提供接收数据包接口，接收场景方发送来的数据包，并进行存储。</w:t>
            </w:r>
          </w:p>
        </w:tc>
      </w:tr>
      <w:tr w14:paraId="577890E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F3E0B5">
            <w:pPr>
              <w:pStyle w:val="11"/>
            </w:pPr>
            <w:r>
              <w:t>隐私计算定制服务与碳普惠服务链对接-调用碳普惠服务链减排行为数据管理合约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1003D2">
            <w:pPr>
              <w:pStyle w:val="11"/>
            </w:pPr>
            <w:r>
              <w:t>隐私计算定制服务通过调用碳普惠服务链减排行为数据管理合约，能够从碳普惠服务链上获取用户减排行为数据。</w:t>
            </w:r>
          </w:p>
        </w:tc>
      </w:tr>
      <w:tr w14:paraId="4E9B470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D21F8E">
            <w:pPr>
              <w:pStyle w:val="11"/>
            </w:pPr>
            <w:r>
              <w:t>隐私计算定制服务与碳普惠服务链对接-订阅码表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02706E">
            <w:pPr>
              <w:pStyle w:val="11"/>
            </w:pPr>
            <w:r>
              <w:t>隐私计算定制服务通过订阅码表，从碳普惠服务链上获取轨道交通里程码表数据。</w:t>
            </w:r>
          </w:p>
        </w:tc>
      </w:tr>
      <w:tr w14:paraId="099F2A6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AAE30D">
            <w:pPr>
              <w:pStyle w:val="11"/>
            </w:pPr>
            <w:r>
              <w:t>隐私计算定制服务与碳普惠服务链对接-碳普惠隐私计算复核结果上链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E02142">
            <w:pPr>
              <w:pStyle w:val="11"/>
            </w:pPr>
            <w:r>
              <w:t>隐私计算定制服务通过调用隐私计算复核合约，将隐私计算复核结果进行上链存证。</w:t>
            </w:r>
          </w:p>
        </w:tc>
      </w:tr>
      <w:tr w14:paraId="0EF1087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6670F9">
            <w:pPr>
              <w:pStyle w:val="11"/>
            </w:pPr>
            <w:r>
              <w:t>隐私计算定制服务与碳普惠服务链对接-碳普惠隐私计算复核结果更新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2CCE02">
            <w:pPr>
              <w:pStyle w:val="11"/>
            </w:pPr>
            <w:r>
              <w:t>隐私计算定制服务通过调用隐私计算复核合约，进行碳普惠隐私计算复核结果更新操作。</w:t>
            </w:r>
          </w:p>
        </w:tc>
      </w:tr>
      <w:tr w14:paraId="5B111F0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7FC4B9">
            <w:pPr>
              <w:pStyle w:val="11"/>
            </w:pPr>
            <w:r>
              <w:t>隐私计算定制服务与碳普惠服务链对接-碳普惠隐私计算复核结果查验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410E9A">
            <w:pPr>
              <w:pStyle w:val="11"/>
            </w:pPr>
            <w:r>
              <w:t>隐私计算定制服务通过调用隐私计算复核合约，进行碳普惠隐私计算复核结果链上查询。</w:t>
            </w:r>
          </w:p>
        </w:tc>
      </w:tr>
      <w:tr w14:paraId="3929D7B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B7A386">
            <w:pPr>
              <w:pStyle w:val="11"/>
            </w:pPr>
            <w:r>
              <w:t>隐私计算定制服务与隐私计算平台对接-启动TEE任务的执行实例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802AEE">
            <w:pPr>
              <w:pStyle w:val="11"/>
            </w:pPr>
            <w:r>
              <w:t>隐私计算定制服务调用隐私计算平台对应接口，为隐私计算可信执行环境提供任务执行的实例。</w:t>
            </w:r>
          </w:p>
        </w:tc>
      </w:tr>
      <w:tr w14:paraId="3A72F7C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D35461">
            <w:pPr>
              <w:pStyle w:val="11"/>
            </w:pPr>
            <w:r>
              <w:t>隐私计算定制服务与隐私计算平台对接-获取已启动TEE任务执行实例的代码度量结果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C1500F">
            <w:pPr>
              <w:pStyle w:val="11"/>
            </w:pPr>
            <w:r>
              <w:t>隐私计算定制服务调用隐私计算平台对应接口，获取已启动TEE任务执行实例的代码度量结果。用于数据加密。</w:t>
            </w:r>
          </w:p>
        </w:tc>
      </w:tr>
      <w:tr w14:paraId="1B5A01EA">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27B141">
            <w:pPr>
              <w:pStyle w:val="11"/>
            </w:pPr>
            <w:r>
              <w:t>隐私计算定制服务与隐私计算平台对接-输入TEE任务执行实例的待计算数据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CE0E2A">
            <w:pPr>
              <w:pStyle w:val="11"/>
            </w:pPr>
            <w:r>
              <w:t>隐私计算定制服务调用隐私计算平台对应接口，为TEE任务执行实例输入待计算的数据。</w:t>
            </w:r>
          </w:p>
        </w:tc>
      </w:tr>
      <w:tr w14:paraId="1C6161F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139287">
            <w:pPr>
              <w:pStyle w:val="11"/>
            </w:pPr>
            <w:r>
              <w:t>隐私计算定制服务与隐私计算平台对接-启动TEE任务执行实例的计算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6E646">
            <w:pPr>
              <w:pStyle w:val="11"/>
            </w:pPr>
            <w:r>
              <w:t>隐私计算定制服务调用隐私计算平台对应接口，为TEE任务执行实例启动计算任务。</w:t>
            </w:r>
          </w:p>
        </w:tc>
      </w:tr>
      <w:tr w14:paraId="0BA662F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47F44B3">
            <w:pPr>
              <w:pStyle w:val="11"/>
            </w:pPr>
            <w:r>
              <w:t>隐私计算定制服务与隐私计算平台对接-获取TEE任务执行实例的计算结果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1FF192">
            <w:pPr>
              <w:pStyle w:val="11"/>
            </w:pPr>
            <w:r>
              <w:t>隐私计算定制服务调用隐私计算平台对应接口，获取TEE任务执行实例计算结果。</w:t>
            </w:r>
          </w:p>
        </w:tc>
      </w:tr>
      <w:tr w14:paraId="6563702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1C313B">
            <w:pPr>
              <w:pStyle w:val="11"/>
            </w:pPr>
            <w:r>
              <w:t>风控复核场景方SDK-初始化加载SDK配置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7F22FD">
            <w:pPr>
              <w:pStyle w:val="11"/>
            </w:pPr>
            <w:r>
              <w:t>场景方集成sdk,需要完成初始化配置加载。</w:t>
            </w:r>
          </w:p>
        </w:tc>
      </w:tr>
      <w:tr w14:paraId="232A721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6E08E5">
            <w:pPr>
              <w:pStyle w:val="11"/>
            </w:pPr>
            <w:r>
              <w:t>风控复核场景方SDK-鉴权接口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981D5">
            <w:pPr>
              <w:pStyle w:val="11"/>
            </w:pPr>
            <w:r>
              <w:t>该接口为场景方提供鉴权令牌，用于安全机制的验证。</w:t>
            </w:r>
          </w:p>
        </w:tc>
      </w:tr>
      <w:tr w14:paraId="1647885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412735">
            <w:pPr>
              <w:pStyle w:val="11"/>
            </w:pPr>
            <w:r>
              <w:t>风控复核场景方SDK-密钥接口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0EC65">
            <w:pPr>
              <w:pStyle w:val="11"/>
            </w:pPr>
            <w:r>
              <w:t>该接口为场景方提供隐私计算密钥。</w:t>
            </w:r>
          </w:p>
        </w:tc>
      </w:tr>
      <w:tr w14:paraId="2BBA37A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9F32F9">
            <w:pPr>
              <w:pStyle w:val="11"/>
            </w:pPr>
            <w:r>
              <w:t>风控复核场景方SDK-分包数据加密接口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282C2E">
            <w:pPr>
              <w:pStyle w:val="11"/>
            </w:pPr>
            <w:r>
              <w:t>场景方通过调用该接口，对原始数据进行序列化排序、加密。</w:t>
            </w:r>
          </w:p>
        </w:tc>
      </w:tr>
      <w:tr w14:paraId="4C48024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9672D0">
            <w:pPr>
              <w:pStyle w:val="11"/>
            </w:pPr>
            <w:r>
              <w:t>风控复核场景方SDK-发送数据包接口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C08BB4">
            <w:pPr>
              <w:pStyle w:val="11"/>
            </w:pPr>
            <w:r>
              <w:t>场景方通过调用该接口，将加密后的数据包发送给隐私计算定制服务。</w:t>
            </w:r>
          </w:p>
        </w:tc>
      </w:tr>
      <w:tr w14:paraId="350BAE5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E1D6C3">
            <w:pPr>
              <w:pStyle w:val="11"/>
            </w:pPr>
            <w:r>
              <w:t>碳普惠平台上链改造</w:t>
            </w:r>
            <w:r>
              <w:rPr>
                <w:rFonts w:hint="default"/>
              </w:rPr>
              <w:t>-</w:t>
            </w:r>
            <w:r>
              <w:t>数据同步上链-同步模式上链数据加工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07426">
            <w:pPr>
              <w:pStyle w:val="11"/>
            </w:pPr>
            <w:r>
              <w:t>当需要同步上链的业务发生时，按照约定的上链数据内容及同步上链服务接口，将链下业务数据加工转换成上链所需要的数据，并记录数据处理过程及关联关系，便于后续链上链下核验。</w:t>
            </w:r>
          </w:p>
        </w:tc>
      </w:tr>
    </w:tbl>
    <w:p w14:paraId="04A0AEF4">
      <w:pPr>
        <w:rPr>
          <w:rFonts w:hint="eastAsia" w:ascii="仿宋" w:hAnsi="仿宋" w:eastAsia="仿宋"/>
          <w:vanish/>
          <w:sz w:val="28"/>
          <w:szCs w:val="20"/>
        </w:rPr>
      </w:pPr>
      <w:bookmarkStart w:id="18" w:name="_Toc63785503"/>
      <w:r>
        <w:rPr>
          <w:rFonts w:hint="eastAsia"/>
        </w:rPr>
        <w:br w:type="page"/>
      </w:r>
    </w:p>
    <w:p w14:paraId="32A037E0">
      <w:pPr>
        <w:pStyle w:val="2"/>
        <w:rPr>
          <w:rFonts w:hint="eastAsia"/>
        </w:rPr>
      </w:pPr>
      <w:r>
        <w:rPr>
          <w:rFonts w:hint="eastAsia"/>
        </w:rPr>
        <w:t>其他工作要求</w:t>
      </w:r>
      <w:bookmarkEnd w:id="18"/>
      <w:bookmarkStart w:id="19" w:name="_Toc63762370"/>
      <w:bookmarkEnd w:id="19"/>
      <w:bookmarkStart w:id="20" w:name="_Toc63785439"/>
      <w:bookmarkEnd w:id="20"/>
      <w:bookmarkStart w:id="21" w:name="_Toc63785504"/>
      <w:bookmarkEnd w:id="21"/>
      <w:bookmarkStart w:id="22" w:name="_Toc63585480"/>
      <w:bookmarkEnd w:id="22"/>
      <w:bookmarkStart w:id="23" w:name="_Toc62209488"/>
      <w:bookmarkEnd w:id="23"/>
      <w:bookmarkStart w:id="24" w:name="_Toc61968111"/>
      <w:bookmarkEnd w:id="24"/>
      <w:bookmarkStart w:id="25" w:name="_Toc63151871"/>
      <w:bookmarkEnd w:id="25"/>
      <w:bookmarkStart w:id="26" w:name="_Toc62219358"/>
      <w:bookmarkEnd w:id="26"/>
    </w:p>
    <w:p w14:paraId="0868D778">
      <w:pPr>
        <w:pStyle w:val="3"/>
        <w:rPr>
          <w:rFonts w:hint="eastAsia"/>
        </w:rPr>
      </w:pPr>
      <w:bookmarkStart w:id="27" w:name="_Toc63785505"/>
      <w:r>
        <w:rPr>
          <w:rFonts w:hint="eastAsia"/>
        </w:rPr>
        <w:t>售后服务要求</w:t>
      </w:r>
      <w:bookmarkEnd w:id="27"/>
    </w:p>
    <w:p w14:paraId="2DDDAD0F">
      <w:pPr>
        <w:snapToGrid w:val="0"/>
        <w:rPr>
          <w:rFonts w:hint="eastAsia"/>
        </w:rPr>
      </w:pPr>
      <w:r>
        <w:rPr>
          <w:rFonts w:hint="eastAsia"/>
        </w:rPr>
        <w:t>本项目从系统验收通过之日起1年内提供</w:t>
      </w:r>
      <w:r>
        <w:t>7*24小时免费技术支持</w:t>
      </w:r>
      <w:r>
        <w:rPr>
          <w:rFonts w:hint="eastAsia"/>
        </w:rPr>
        <w:t>和售后服务，1年后进入有偿维护期。</w:t>
      </w:r>
    </w:p>
    <w:p w14:paraId="2FAF8350">
      <w:pPr>
        <w:snapToGrid w:val="0"/>
        <w:rPr>
          <w:rFonts w:hint="eastAsia"/>
        </w:rPr>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14:paraId="4B39E7DD">
      <w:pPr>
        <w:snapToGrid w:val="0"/>
        <w:rPr>
          <w:rFonts w:hint="eastAsia"/>
        </w:rPr>
      </w:pPr>
      <w:r>
        <w:rPr>
          <w:rFonts w:hint="eastAsia"/>
        </w:rPr>
        <w:t>在质量保证期内，供应商负责信息系统的运行维护工作，确保信息系统安全、稳定、可靠地运行。本项目涉及的运行维护工作范围为：</w:t>
      </w:r>
    </w:p>
    <w:p w14:paraId="7F7E9AAE">
      <w:pPr>
        <w:snapToGrid w:val="0"/>
        <w:rPr>
          <w:rFonts w:hint="eastAsia"/>
        </w:rPr>
      </w:pPr>
      <w:r>
        <w:rPr>
          <w:rFonts w:hint="eastAsia"/>
        </w:rPr>
        <w:t>（1）本项目采购范围的软件开发模块，其中水生态环境质量综合监管子系统升级改造的52项功能、上海市碳排放综合管理子系统升级改造的35项功能和碳普惠链和隐私计算建设110项功能。</w:t>
      </w:r>
    </w:p>
    <w:p w14:paraId="132F878B">
      <w:pPr>
        <w:snapToGrid w:val="0"/>
        <w:rPr>
          <w:rFonts w:hint="eastAsia"/>
        </w:rPr>
      </w:pPr>
      <w:r>
        <w:rPr>
          <w:rFonts w:hint="eastAsia"/>
        </w:rPr>
        <w:t>（2）本项目建设所产生的共享交换数据目录和接口的更新、维护。</w:t>
      </w:r>
    </w:p>
    <w:p w14:paraId="509356AF">
      <w:pPr>
        <w:pStyle w:val="3"/>
        <w:rPr>
          <w:rFonts w:hint="eastAsia"/>
        </w:rPr>
      </w:pPr>
      <w:bookmarkStart w:id="28" w:name="_Toc63785506"/>
      <w:r>
        <w:rPr>
          <w:rFonts w:hint="eastAsia"/>
        </w:rPr>
        <w:t>应急响应要求</w:t>
      </w:r>
      <w:bookmarkEnd w:id="28"/>
    </w:p>
    <w:p w14:paraId="1A50947C">
      <w:pPr>
        <w:snapToGrid w:val="0"/>
        <w:rPr>
          <w:rFonts w:hint="eastAsia"/>
        </w:rPr>
      </w:pPr>
      <w:r>
        <w:rPr>
          <w:rFonts w:hint="eastAsia"/>
        </w:rPr>
        <w:t>供应商对系统故障应能够实时响应，若系统发生故障，接到通知后</w:t>
      </w:r>
      <w:r>
        <w:t>30分钟之内响应，专业工程师2小时内到达现场</w:t>
      </w:r>
      <w:r>
        <w:rPr>
          <w:rFonts w:hint="eastAsia"/>
        </w:rPr>
        <w:t>。特殊故障与客户沟通协商后，按照协商的方式制定解决方案并进行处理。</w:t>
      </w:r>
    </w:p>
    <w:p w14:paraId="2CCD9255">
      <w:pPr>
        <w:snapToGrid w:val="0"/>
        <w:rPr>
          <w:rFonts w:hint="eastAsia"/>
        </w:rPr>
      </w:pPr>
      <w:r>
        <w:rPr>
          <w:rFonts w:hint="eastAsia"/>
        </w:rPr>
        <w:t>具体故障级别及对应的应急响应要求如下：</w:t>
      </w:r>
    </w:p>
    <w:p w14:paraId="472E988D">
      <w:pPr>
        <w:snapToGrid w:val="0"/>
        <w:rPr>
          <w:rFonts w:hint="eastAsia"/>
        </w:rPr>
      </w:pPr>
      <w:r>
        <w:rPr>
          <w:rFonts w:hint="eastAsia"/>
        </w:rPr>
        <w:t>一级故障：在</w:t>
      </w:r>
      <w:r>
        <w:t>1小时内确诊，总故障解决时间不超过4小时。</w:t>
      </w:r>
    </w:p>
    <w:p w14:paraId="70FCCC21">
      <w:pPr>
        <w:snapToGrid w:val="0"/>
        <w:rPr>
          <w:rFonts w:hint="eastAsia"/>
        </w:rPr>
      </w:pPr>
      <w:r>
        <w:rPr>
          <w:rFonts w:hint="eastAsia"/>
        </w:rPr>
        <w:t>二级故障：在</w:t>
      </w:r>
      <w:r>
        <w:t>2小时内确诊，并在4小时内由专家到达现场确诊并解决，总故障解决时间不超过8小时；</w:t>
      </w:r>
    </w:p>
    <w:p w14:paraId="530A867E">
      <w:pPr>
        <w:snapToGrid w:val="0"/>
        <w:rPr>
          <w:rFonts w:hint="eastAsia"/>
        </w:rPr>
      </w:pPr>
      <w:r>
        <w:rPr>
          <w:rFonts w:hint="eastAsia"/>
        </w:rPr>
        <w:t>三、四级故障：在</w:t>
      </w:r>
      <w:r>
        <w:t>4小时内确诊故障，总故障解决时间不超过16小时。</w:t>
      </w:r>
    </w:p>
    <w:p w14:paraId="7687E794">
      <w:pPr>
        <w:pStyle w:val="3"/>
        <w:rPr>
          <w:rFonts w:hint="eastAsia"/>
        </w:rPr>
      </w:pPr>
      <w:bookmarkStart w:id="29" w:name="_Toc63785507"/>
      <w:r>
        <w:rPr>
          <w:rFonts w:hint="eastAsia"/>
        </w:rPr>
        <w:t>培训要求</w:t>
      </w:r>
      <w:bookmarkEnd w:id="29"/>
      <w:r>
        <w:rPr>
          <w:rFonts w:hint="eastAsia"/>
        </w:rPr>
        <w:tab/>
      </w:r>
    </w:p>
    <w:p w14:paraId="37DB635D">
      <w:pPr>
        <w:rPr>
          <w:rFonts w:hint="eastAsia"/>
        </w:rPr>
      </w:pPr>
      <w:r>
        <w:rPr>
          <w:rFonts w:hint="eastAsia"/>
        </w:rPr>
        <w:t>对系统使用单位提供业务操作培训，应提供详细培训方案。</w:t>
      </w:r>
    </w:p>
    <w:p w14:paraId="63350218">
      <w:pPr>
        <w:rPr>
          <w:rFonts w:hint="eastAsia"/>
        </w:rPr>
      </w:pPr>
      <w:r>
        <w:rPr>
          <w:rFonts w:hint="eastAsia"/>
        </w:rPr>
        <w:t>(1)在12个月的质量保证期内，提供2次与项目相关的必要培训。</w:t>
      </w:r>
    </w:p>
    <w:p w14:paraId="7F78733F">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41CEAAAB">
      <w:pPr>
        <w:rPr>
          <w:rFonts w:hint="eastAsia"/>
        </w:rPr>
      </w:pPr>
      <w:r>
        <w:rPr>
          <w:rFonts w:hint="eastAsia"/>
        </w:rPr>
        <w:t>(3)供应商应提供一般用户的基础操作培训和部门信息管理员的日常应用维护的培训，确保用户对象能够掌握对应的操作技能。</w:t>
      </w:r>
    </w:p>
    <w:p w14:paraId="37D4E44F">
      <w:pPr>
        <w:pStyle w:val="3"/>
        <w:rPr>
          <w:rFonts w:hint="eastAsia"/>
        </w:rPr>
      </w:pPr>
      <w:bookmarkStart w:id="30" w:name="_Toc63785508"/>
      <w:r>
        <w:rPr>
          <w:rFonts w:hint="eastAsia"/>
        </w:rPr>
        <w:t>验收要求</w:t>
      </w:r>
      <w:bookmarkEnd w:id="30"/>
    </w:p>
    <w:p w14:paraId="08D82DAE">
      <w:pPr>
        <w:rPr>
          <w:rFonts w:hint="eastAsia"/>
          <w:szCs w:val="21"/>
        </w:rPr>
      </w:pPr>
      <w:r>
        <w:rPr>
          <w:rFonts w:hint="eastAsia"/>
          <w:szCs w:val="21"/>
        </w:rPr>
        <w:t>本项目按下述方式开展验收。</w:t>
      </w:r>
    </w:p>
    <w:p w14:paraId="71A52051">
      <w:pPr>
        <w:rPr>
          <w:rFonts w:hint="eastAsia"/>
          <w:szCs w:val="21"/>
        </w:rPr>
      </w:pPr>
      <w:r>
        <w:rPr>
          <w:rFonts w:hint="eastAsia"/>
          <w:szCs w:val="21"/>
        </w:rPr>
        <w:t>（</w:t>
      </w:r>
      <w:r>
        <w:rPr>
          <w:szCs w:val="21"/>
        </w:rPr>
        <w:t>1）验收分初验和终验。</w:t>
      </w:r>
    </w:p>
    <w:p w14:paraId="2AF62734">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3AC7CCD2">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341FBCA2">
      <w:pPr>
        <w:rPr>
          <w:rFonts w:hint="eastAsia"/>
          <w:szCs w:val="21"/>
        </w:rPr>
      </w:pPr>
      <w:r>
        <w:rPr>
          <w:rFonts w:hint="eastAsia"/>
          <w:szCs w:val="21"/>
        </w:rPr>
        <w:t>（</w:t>
      </w:r>
      <w:r>
        <w:rPr>
          <w:szCs w:val="21"/>
        </w:rPr>
        <w:t>4）自初验通过之日起，招标方享有供应商免费提供的</w:t>
      </w:r>
      <w:r>
        <w:rPr>
          <w:rFonts w:hint="eastAsia"/>
          <w:szCs w:val="21"/>
        </w:rPr>
        <w:t>30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2D215FA2">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10</w:t>
      </w:r>
      <w:r>
        <w:rPr>
          <w:szCs w:val="21"/>
        </w:rPr>
        <w:t>个工作日内发起组织专家验收会。</w:t>
      </w:r>
    </w:p>
    <w:p w14:paraId="590B1259">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04EB991B">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14:paraId="3E77A944">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1EADDCAA">
      <w:pPr>
        <w:pStyle w:val="3"/>
        <w:rPr>
          <w:rFonts w:hint="eastAsia"/>
        </w:rPr>
      </w:pPr>
      <w:bookmarkStart w:id="31" w:name="_Toc63785509"/>
      <w:r>
        <w:rPr>
          <w:rFonts w:hint="eastAsia"/>
        </w:rPr>
        <w:t>进度要求</w:t>
      </w:r>
      <w:bookmarkEnd w:id="31"/>
    </w:p>
    <w:p w14:paraId="13DD5559">
      <w:pPr>
        <w:rPr>
          <w:rFonts w:hint="eastAsia"/>
        </w:rPr>
      </w:pPr>
      <w:r>
        <w:rPr>
          <w:rFonts w:hint="eastAsia"/>
        </w:rPr>
        <w:t>投标人应根据建设内容，分阶段制定合理的时间进度，并且应根据招标方要求进行调整和细化。</w:t>
      </w:r>
    </w:p>
    <w:p w14:paraId="19E9F973">
      <w:pPr>
        <w:rPr>
          <w:rFonts w:hint="eastAsia"/>
        </w:rPr>
      </w:pPr>
      <w:r>
        <w:rPr>
          <w:rFonts w:hint="eastAsia"/>
        </w:rPr>
        <w:t>总建设周期为11个月，分为四个阶段。</w:t>
      </w:r>
    </w:p>
    <w:p w14:paraId="6BDC3360">
      <w:pPr>
        <w:rPr>
          <w:rFonts w:hint="eastAsia"/>
        </w:rPr>
      </w:pPr>
      <w:r>
        <w:rPr>
          <w:rFonts w:hint="eastAsia"/>
        </w:rPr>
        <w:t>第一阶段为1个月，完成系统详细设计。</w:t>
      </w:r>
    </w:p>
    <w:p w14:paraId="40D54078">
      <w:pPr>
        <w:rPr>
          <w:rFonts w:hint="eastAsia"/>
        </w:rPr>
      </w:pPr>
      <w:r>
        <w:rPr>
          <w:rFonts w:hint="eastAsia"/>
        </w:rPr>
        <w:t>第二阶段为8个月，完成系统开发。</w:t>
      </w:r>
    </w:p>
    <w:p w14:paraId="50569C9B">
      <w:pPr>
        <w:rPr>
          <w:rFonts w:hint="eastAsia"/>
        </w:rPr>
      </w:pPr>
      <w:r>
        <w:rPr>
          <w:rFonts w:hint="eastAsia"/>
        </w:rPr>
        <w:t>第三阶段为1个月，完成系统测试、试运行</w:t>
      </w:r>
    </w:p>
    <w:p w14:paraId="6C5E34C3">
      <w:pPr>
        <w:rPr>
          <w:rFonts w:hint="eastAsia"/>
        </w:rPr>
      </w:pPr>
      <w:r>
        <w:rPr>
          <w:rFonts w:hint="eastAsia"/>
        </w:rPr>
        <w:t>第四阶段为1个月，完成系统验收。</w:t>
      </w:r>
    </w:p>
    <w:p w14:paraId="07B0B9C0">
      <w:pPr>
        <w:pStyle w:val="3"/>
        <w:rPr>
          <w:rFonts w:hint="eastAsia"/>
        </w:rPr>
      </w:pPr>
      <w:bookmarkStart w:id="32" w:name="_Toc63785510"/>
      <w:r>
        <w:rPr>
          <w:rFonts w:hint="eastAsia"/>
        </w:rPr>
        <w:t>项目团队及驻场人员要求</w:t>
      </w:r>
      <w:bookmarkEnd w:id="32"/>
    </w:p>
    <w:p w14:paraId="6AEBC942">
      <w:pPr>
        <w:rPr>
          <w:rFonts w:hint="eastAsia"/>
        </w:rPr>
      </w:pPr>
      <w:r>
        <w:t>1）投标人须具有稳定的在职技术保障力量，能够提供及时的技术支援或服务，应针对本项目提供不少于</w:t>
      </w:r>
      <w:r>
        <w:rPr>
          <w:rFonts w:hint="eastAsia"/>
        </w:rPr>
        <w:t>29</w:t>
      </w:r>
      <w:r>
        <w:t>人的项目服务团队（包括项目经理、产品经理、技术负责人、研发等）</w:t>
      </w:r>
      <w:r>
        <w:rPr>
          <w:rFonts w:hint="eastAsia"/>
        </w:rPr>
        <w:t>，且驻场人员不少于5人</w:t>
      </w:r>
      <w:r>
        <w:t>，投标单位的相关服务人员需具备相应的服务能力，需提供相关证明。</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668"/>
        <w:gridCol w:w="1125"/>
        <w:gridCol w:w="2308"/>
        <w:gridCol w:w="1371"/>
      </w:tblGrid>
      <w:tr w14:paraId="3A34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3E570B45">
            <w:pPr>
              <w:pStyle w:val="11"/>
            </w:pPr>
            <w:r>
              <w:t>角色</w:t>
            </w:r>
          </w:p>
        </w:tc>
        <w:tc>
          <w:tcPr>
            <w:tcW w:w="2668" w:type="dxa"/>
            <w:noWrap/>
            <w:vAlign w:val="center"/>
          </w:tcPr>
          <w:p w14:paraId="5546992D">
            <w:pPr>
              <w:pStyle w:val="11"/>
            </w:pPr>
            <w:r>
              <w:t>主要职责</w:t>
            </w:r>
          </w:p>
        </w:tc>
        <w:tc>
          <w:tcPr>
            <w:tcW w:w="1125" w:type="dxa"/>
            <w:noWrap/>
            <w:vAlign w:val="center"/>
          </w:tcPr>
          <w:p w14:paraId="3668F1AD">
            <w:pPr>
              <w:pStyle w:val="11"/>
            </w:pPr>
            <w:r>
              <w:t>人员数量</w:t>
            </w:r>
          </w:p>
        </w:tc>
        <w:tc>
          <w:tcPr>
            <w:tcW w:w="2308" w:type="dxa"/>
            <w:vAlign w:val="center"/>
          </w:tcPr>
          <w:p w14:paraId="65A4DEB7">
            <w:pPr>
              <w:pStyle w:val="11"/>
            </w:pPr>
            <w:r>
              <w:t>人员要求</w:t>
            </w:r>
          </w:p>
        </w:tc>
        <w:tc>
          <w:tcPr>
            <w:tcW w:w="1371" w:type="dxa"/>
            <w:noWrap/>
            <w:vAlign w:val="center"/>
          </w:tcPr>
          <w:p w14:paraId="67EEF3B6">
            <w:pPr>
              <w:pStyle w:val="11"/>
            </w:pPr>
            <w:r>
              <w:t>驻场要求</w:t>
            </w:r>
          </w:p>
        </w:tc>
      </w:tr>
      <w:tr w14:paraId="2992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4A412488">
            <w:pPr>
              <w:pStyle w:val="11"/>
            </w:pPr>
            <w:r>
              <w:t>项目经理</w:t>
            </w:r>
          </w:p>
        </w:tc>
        <w:tc>
          <w:tcPr>
            <w:tcW w:w="2668" w:type="dxa"/>
            <w:vAlign w:val="center"/>
          </w:tcPr>
          <w:p w14:paraId="4E9F0C63">
            <w:pPr>
              <w:pStyle w:val="11"/>
            </w:pPr>
            <w:r>
              <w:t>负责项目质量和进度控制</w:t>
            </w:r>
          </w:p>
        </w:tc>
        <w:tc>
          <w:tcPr>
            <w:tcW w:w="1125" w:type="dxa"/>
            <w:noWrap/>
            <w:vAlign w:val="center"/>
          </w:tcPr>
          <w:p w14:paraId="6E7439B5">
            <w:pPr>
              <w:pStyle w:val="11"/>
            </w:pPr>
            <w:r>
              <w:t>1人</w:t>
            </w:r>
          </w:p>
        </w:tc>
        <w:tc>
          <w:tcPr>
            <w:tcW w:w="2308" w:type="dxa"/>
            <w:vAlign w:val="center"/>
          </w:tcPr>
          <w:p w14:paraId="478C0EB2">
            <w:pPr>
              <w:pStyle w:val="11"/>
            </w:pPr>
            <w:r>
              <w:t>本科及以上学历。具备信息系统项目管理师证书。类似项目5 年以上经历。</w:t>
            </w:r>
          </w:p>
        </w:tc>
        <w:tc>
          <w:tcPr>
            <w:tcW w:w="1371" w:type="dxa"/>
            <w:noWrap/>
            <w:vAlign w:val="center"/>
          </w:tcPr>
          <w:p w14:paraId="1684EF47">
            <w:pPr>
              <w:pStyle w:val="11"/>
            </w:pPr>
            <w:r>
              <w:t>不驻场</w:t>
            </w:r>
          </w:p>
        </w:tc>
      </w:tr>
      <w:tr w14:paraId="3D2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5A371AF5">
            <w:pPr>
              <w:pStyle w:val="11"/>
            </w:pPr>
            <w:r>
              <w:t>产品经理</w:t>
            </w:r>
          </w:p>
        </w:tc>
        <w:tc>
          <w:tcPr>
            <w:tcW w:w="2668" w:type="dxa"/>
            <w:vAlign w:val="center"/>
          </w:tcPr>
          <w:p w14:paraId="64FB1ADB">
            <w:pPr>
              <w:pStyle w:val="11"/>
            </w:pPr>
            <w:r>
              <w:t>负责项目需求评估与产品设计</w:t>
            </w:r>
          </w:p>
        </w:tc>
        <w:tc>
          <w:tcPr>
            <w:tcW w:w="1125" w:type="dxa"/>
            <w:noWrap/>
            <w:vAlign w:val="center"/>
          </w:tcPr>
          <w:p w14:paraId="118EB0DB">
            <w:pPr>
              <w:pStyle w:val="11"/>
            </w:pPr>
            <w:r>
              <w:t>1人</w:t>
            </w:r>
          </w:p>
        </w:tc>
        <w:tc>
          <w:tcPr>
            <w:tcW w:w="2308" w:type="dxa"/>
            <w:vAlign w:val="center"/>
          </w:tcPr>
          <w:p w14:paraId="69A92A4B">
            <w:pPr>
              <w:pStyle w:val="11"/>
            </w:pPr>
            <w:r>
              <w:t>本科及以上学历，具备系统架构师证书。类似项目3 年以上经历。</w:t>
            </w:r>
          </w:p>
        </w:tc>
        <w:tc>
          <w:tcPr>
            <w:tcW w:w="1371" w:type="dxa"/>
            <w:noWrap/>
            <w:vAlign w:val="center"/>
          </w:tcPr>
          <w:p w14:paraId="51DB4672">
            <w:pPr>
              <w:pStyle w:val="11"/>
            </w:pPr>
            <w:r>
              <w:t>不驻场</w:t>
            </w:r>
          </w:p>
        </w:tc>
      </w:tr>
      <w:tr w14:paraId="32A8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0E0A3178">
            <w:pPr>
              <w:pStyle w:val="11"/>
            </w:pPr>
            <w:r>
              <w:t>安全工程师</w:t>
            </w:r>
          </w:p>
        </w:tc>
        <w:tc>
          <w:tcPr>
            <w:tcW w:w="2668" w:type="dxa"/>
            <w:vAlign w:val="center"/>
          </w:tcPr>
          <w:p w14:paraId="777A3798">
            <w:pPr>
              <w:pStyle w:val="11"/>
            </w:pPr>
            <w:r>
              <w:t>负责软件和系统的安全性，预防和应对潜在的安全漏洞和攻击。</w:t>
            </w:r>
          </w:p>
        </w:tc>
        <w:tc>
          <w:tcPr>
            <w:tcW w:w="1125" w:type="dxa"/>
            <w:noWrap/>
            <w:vAlign w:val="center"/>
          </w:tcPr>
          <w:p w14:paraId="7803C021">
            <w:pPr>
              <w:pStyle w:val="11"/>
            </w:pPr>
            <w:r>
              <w:t>1人</w:t>
            </w:r>
          </w:p>
        </w:tc>
        <w:tc>
          <w:tcPr>
            <w:tcW w:w="2308" w:type="dxa"/>
            <w:vAlign w:val="center"/>
          </w:tcPr>
          <w:p w14:paraId="4137D113">
            <w:pPr>
              <w:pStyle w:val="11"/>
            </w:pPr>
            <w:r>
              <w:t>本科及以上学历，具备</w:t>
            </w:r>
            <w:r>
              <w:rPr>
                <w:rFonts w:hint="eastAsia"/>
              </w:rPr>
              <w:t>信息安全工程师证书</w:t>
            </w:r>
            <w:r>
              <w:t>。类似项目3 年以上经历。</w:t>
            </w:r>
          </w:p>
        </w:tc>
        <w:tc>
          <w:tcPr>
            <w:tcW w:w="1371" w:type="dxa"/>
            <w:noWrap/>
            <w:vAlign w:val="center"/>
          </w:tcPr>
          <w:p w14:paraId="6124F615">
            <w:pPr>
              <w:pStyle w:val="11"/>
            </w:pPr>
            <w:r>
              <w:t>不驻场</w:t>
            </w:r>
          </w:p>
        </w:tc>
      </w:tr>
      <w:tr w14:paraId="5979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2417D583">
            <w:pPr>
              <w:pStyle w:val="11"/>
            </w:pPr>
            <w:r>
              <w:t>研发</w:t>
            </w:r>
          </w:p>
        </w:tc>
        <w:tc>
          <w:tcPr>
            <w:tcW w:w="2668" w:type="dxa"/>
            <w:noWrap/>
            <w:vAlign w:val="center"/>
          </w:tcPr>
          <w:p w14:paraId="6D67A79F">
            <w:pPr>
              <w:pStyle w:val="11"/>
            </w:pPr>
            <w:r>
              <w:t>负责项目具体开发与实施</w:t>
            </w:r>
          </w:p>
        </w:tc>
        <w:tc>
          <w:tcPr>
            <w:tcW w:w="1125" w:type="dxa"/>
            <w:noWrap/>
            <w:vAlign w:val="center"/>
          </w:tcPr>
          <w:p w14:paraId="14648DBE">
            <w:pPr>
              <w:pStyle w:val="11"/>
            </w:pPr>
            <w:r>
              <w:t>至少26人</w:t>
            </w:r>
          </w:p>
        </w:tc>
        <w:tc>
          <w:tcPr>
            <w:tcW w:w="2308" w:type="dxa"/>
            <w:vAlign w:val="center"/>
          </w:tcPr>
          <w:p w14:paraId="2BE10822">
            <w:pPr>
              <w:pStyle w:val="11"/>
            </w:pPr>
            <w:r>
              <w:t>本科及以上学历。</w:t>
            </w:r>
          </w:p>
        </w:tc>
        <w:tc>
          <w:tcPr>
            <w:tcW w:w="1371" w:type="dxa"/>
            <w:noWrap/>
            <w:vAlign w:val="center"/>
          </w:tcPr>
          <w:p w14:paraId="16548B15">
            <w:pPr>
              <w:pStyle w:val="11"/>
            </w:pPr>
            <w:r>
              <w:t>驻场不少于5人</w:t>
            </w:r>
          </w:p>
        </w:tc>
      </w:tr>
    </w:tbl>
    <w:p w14:paraId="6E68C362">
      <w:pPr>
        <w:rPr>
          <w:rFonts w:hint="eastAsia"/>
        </w:rPr>
      </w:pPr>
      <w:r>
        <w:t>2）投标人应针对本项目提供不少于</w:t>
      </w:r>
      <w:r>
        <w:rPr>
          <w:rFonts w:hint="eastAsia"/>
        </w:rPr>
        <w:t>5</w:t>
      </w:r>
      <w:r>
        <w:t>人的质保期间支撑团队（其中技术经理</w:t>
      </w:r>
      <w:r>
        <w:rPr>
          <w:rFonts w:hint="eastAsia"/>
        </w:rPr>
        <w:t>1</w:t>
      </w:r>
      <w:r>
        <w:t>人，</w:t>
      </w:r>
      <w:r>
        <w:rPr>
          <w:rFonts w:hint="eastAsia"/>
        </w:rPr>
        <w:t>安全工程师1</w:t>
      </w:r>
      <w:r>
        <w:t>人，技术工程师不少于</w:t>
      </w:r>
      <w:r>
        <w:rPr>
          <w:rFonts w:hint="eastAsia"/>
        </w:rPr>
        <w:t>3</w:t>
      </w:r>
      <w:r>
        <w:t>人）</w:t>
      </w:r>
      <w:r>
        <w:rPr>
          <w:rFonts w:hint="eastAsia"/>
        </w:rPr>
        <w:t>，且至少有1名技术工程师驻场服务</w:t>
      </w:r>
      <w:r>
        <w:t>；投标人的相关服务人员需具备相应的服务能力，需提供相关证明。</w:t>
      </w:r>
    </w:p>
    <w:p w14:paraId="08BF21BD">
      <w:pPr>
        <w:rPr>
          <w:rFonts w:hint="eastAsia"/>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910"/>
        <w:gridCol w:w="1345"/>
        <w:gridCol w:w="2744"/>
        <w:gridCol w:w="1113"/>
      </w:tblGrid>
      <w:tr w14:paraId="237D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4F09D149">
            <w:pPr>
              <w:pStyle w:val="11"/>
            </w:pPr>
            <w:r>
              <w:t>角色</w:t>
            </w:r>
          </w:p>
        </w:tc>
        <w:tc>
          <w:tcPr>
            <w:tcW w:w="1910" w:type="dxa"/>
            <w:noWrap/>
            <w:vAlign w:val="center"/>
          </w:tcPr>
          <w:p w14:paraId="275CCBED">
            <w:pPr>
              <w:pStyle w:val="11"/>
            </w:pPr>
            <w:r>
              <w:t>主要职责</w:t>
            </w:r>
          </w:p>
        </w:tc>
        <w:tc>
          <w:tcPr>
            <w:tcW w:w="1345" w:type="dxa"/>
            <w:noWrap/>
            <w:vAlign w:val="center"/>
          </w:tcPr>
          <w:p w14:paraId="0238BBAF">
            <w:pPr>
              <w:pStyle w:val="11"/>
            </w:pPr>
            <w:r>
              <w:t>人员数量</w:t>
            </w:r>
          </w:p>
        </w:tc>
        <w:tc>
          <w:tcPr>
            <w:tcW w:w="2744" w:type="dxa"/>
            <w:vAlign w:val="center"/>
          </w:tcPr>
          <w:p w14:paraId="0482B00C">
            <w:pPr>
              <w:pStyle w:val="11"/>
            </w:pPr>
            <w:r>
              <w:t>人员要求</w:t>
            </w:r>
          </w:p>
        </w:tc>
        <w:tc>
          <w:tcPr>
            <w:tcW w:w="1113" w:type="dxa"/>
            <w:noWrap/>
            <w:vAlign w:val="center"/>
          </w:tcPr>
          <w:p w14:paraId="6318D444">
            <w:pPr>
              <w:pStyle w:val="11"/>
            </w:pPr>
            <w:r>
              <w:t>驻场要求</w:t>
            </w:r>
          </w:p>
        </w:tc>
      </w:tr>
      <w:tr w14:paraId="3CEA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2BC4D63">
            <w:pPr>
              <w:pStyle w:val="11"/>
            </w:pPr>
            <w:r>
              <w:t>技术经理</w:t>
            </w:r>
          </w:p>
        </w:tc>
        <w:tc>
          <w:tcPr>
            <w:tcW w:w="1910" w:type="dxa"/>
            <w:vAlign w:val="center"/>
          </w:tcPr>
          <w:p w14:paraId="43ABAF5D">
            <w:pPr>
              <w:pStyle w:val="11"/>
            </w:pPr>
            <w:r>
              <w:t>负责质保期间项目运维任务的制定和管控。</w:t>
            </w:r>
          </w:p>
        </w:tc>
        <w:tc>
          <w:tcPr>
            <w:tcW w:w="1345" w:type="dxa"/>
            <w:noWrap/>
            <w:vAlign w:val="center"/>
          </w:tcPr>
          <w:p w14:paraId="56932026">
            <w:pPr>
              <w:pStyle w:val="11"/>
            </w:pPr>
            <w:r>
              <w:t>1人</w:t>
            </w:r>
          </w:p>
        </w:tc>
        <w:tc>
          <w:tcPr>
            <w:tcW w:w="2744" w:type="dxa"/>
            <w:vAlign w:val="center"/>
          </w:tcPr>
          <w:p w14:paraId="1F0D3E2B">
            <w:pPr>
              <w:pStyle w:val="11"/>
            </w:pPr>
            <w:r>
              <w:t>本科及以上学历，具备信息系统项目管理师证书，类似项目 5 年以上经历。</w:t>
            </w:r>
          </w:p>
        </w:tc>
        <w:tc>
          <w:tcPr>
            <w:tcW w:w="1113" w:type="dxa"/>
            <w:noWrap/>
            <w:vAlign w:val="center"/>
          </w:tcPr>
          <w:p w14:paraId="609F01C1">
            <w:pPr>
              <w:pStyle w:val="11"/>
            </w:pPr>
            <w:r>
              <w:t>不驻场</w:t>
            </w:r>
          </w:p>
        </w:tc>
      </w:tr>
      <w:tr w14:paraId="203B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416" w:type="dxa"/>
            <w:noWrap/>
            <w:vAlign w:val="center"/>
          </w:tcPr>
          <w:p w14:paraId="687307EA">
            <w:pPr>
              <w:pStyle w:val="11"/>
            </w:pPr>
            <w:r>
              <w:t>安全工程师</w:t>
            </w:r>
          </w:p>
        </w:tc>
        <w:tc>
          <w:tcPr>
            <w:tcW w:w="1910" w:type="dxa"/>
            <w:vAlign w:val="center"/>
          </w:tcPr>
          <w:p w14:paraId="6A4E9E81">
            <w:pPr>
              <w:pStyle w:val="11"/>
            </w:pPr>
            <w:r>
              <w:t>负责质保期间系统安全问题的应对和技术指导。</w:t>
            </w:r>
          </w:p>
        </w:tc>
        <w:tc>
          <w:tcPr>
            <w:tcW w:w="1345" w:type="dxa"/>
            <w:noWrap/>
            <w:vAlign w:val="center"/>
          </w:tcPr>
          <w:p w14:paraId="3DAEB067">
            <w:pPr>
              <w:pStyle w:val="11"/>
            </w:pPr>
            <w:r>
              <w:t>1人</w:t>
            </w:r>
          </w:p>
        </w:tc>
        <w:tc>
          <w:tcPr>
            <w:tcW w:w="2744" w:type="dxa"/>
            <w:vAlign w:val="center"/>
          </w:tcPr>
          <w:p w14:paraId="76DDBC06">
            <w:pPr>
              <w:pStyle w:val="11"/>
            </w:pPr>
            <w:r>
              <w:t>本科及以上学历，具备信息安全工程师认证。类似项目3 年以上经历。</w:t>
            </w:r>
          </w:p>
        </w:tc>
        <w:tc>
          <w:tcPr>
            <w:tcW w:w="1113" w:type="dxa"/>
            <w:noWrap/>
            <w:vAlign w:val="center"/>
          </w:tcPr>
          <w:p w14:paraId="3747706C">
            <w:pPr>
              <w:pStyle w:val="11"/>
            </w:pPr>
            <w:r>
              <w:t>不驻场</w:t>
            </w:r>
          </w:p>
        </w:tc>
      </w:tr>
      <w:tr w14:paraId="59F2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49223DF8">
            <w:pPr>
              <w:pStyle w:val="11"/>
            </w:pPr>
            <w:r>
              <w:t>技术工程师</w:t>
            </w:r>
          </w:p>
        </w:tc>
        <w:tc>
          <w:tcPr>
            <w:tcW w:w="1910" w:type="dxa"/>
            <w:vAlign w:val="center"/>
          </w:tcPr>
          <w:p w14:paraId="7807C809">
            <w:pPr>
              <w:pStyle w:val="11"/>
            </w:pPr>
            <w:r>
              <w:t>负责项目具体运行维护和故障修复。</w:t>
            </w:r>
          </w:p>
        </w:tc>
        <w:tc>
          <w:tcPr>
            <w:tcW w:w="1345" w:type="dxa"/>
            <w:noWrap/>
            <w:vAlign w:val="center"/>
          </w:tcPr>
          <w:p w14:paraId="2EEA439D">
            <w:pPr>
              <w:pStyle w:val="11"/>
            </w:pPr>
            <w:r>
              <w:t>至少3人</w:t>
            </w:r>
          </w:p>
        </w:tc>
        <w:tc>
          <w:tcPr>
            <w:tcW w:w="2744" w:type="dxa"/>
            <w:vAlign w:val="center"/>
          </w:tcPr>
          <w:p w14:paraId="0F3C2D50">
            <w:pPr>
              <w:pStyle w:val="11"/>
            </w:pPr>
            <w:r>
              <w:t>本科及以上学历</w:t>
            </w:r>
          </w:p>
        </w:tc>
        <w:tc>
          <w:tcPr>
            <w:tcW w:w="1113" w:type="dxa"/>
            <w:noWrap/>
            <w:vAlign w:val="center"/>
          </w:tcPr>
          <w:p w14:paraId="077754CD">
            <w:pPr>
              <w:pStyle w:val="11"/>
            </w:pPr>
            <w:r>
              <w:t>驻场不少于1人</w:t>
            </w:r>
          </w:p>
        </w:tc>
      </w:tr>
    </w:tbl>
    <w:p w14:paraId="63DAABA8">
      <w:pPr>
        <w:pStyle w:val="3"/>
        <w:rPr>
          <w:rFonts w:hint="eastAsia"/>
        </w:rPr>
      </w:pPr>
      <w:bookmarkStart w:id="33" w:name="_Toc63785511"/>
      <w:r>
        <w:rPr>
          <w:rFonts w:hint="eastAsia"/>
        </w:rPr>
        <w:t>等级保护要求</w:t>
      </w:r>
      <w:bookmarkEnd w:id="33"/>
    </w:p>
    <w:p w14:paraId="3FD2F90D">
      <w:pPr>
        <w:rPr>
          <w:rFonts w:hint="eastAsia" w:ascii="仿宋_GB2312" w:eastAsia="仿宋_GB2312" w:cs="仿宋_GB2312"/>
          <w:kern w:val="0"/>
          <w:sz w:val="28"/>
          <w:szCs w:val="28"/>
        </w:rPr>
      </w:pPr>
      <w:r>
        <w:t>本项目等级保护要求：</w:t>
      </w:r>
      <w:r>
        <w:rPr>
          <w:rFonts w:hint="eastAsia"/>
        </w:rPr>
        <w:t>三级。</w:t>
      </w:r>
    </w:p>
    <w:p w14:paraId="0F58BB89">
      <w:pPr>
        <w:pStyle w:val="3"/>
        <w:rPr>
          <w:rFonts w:hint="eastAsia"/>
        </w:rPr>
      </w:pPr>
      <w:r>
        <w:rPr>
          <w:rFonts w:hint="eastAsia"/>
        </w:rPr>
        <w:t>商业密码应用需求</w:t>
      </w:r>
    </w:p>
    <w:p w14:paraId="1278D1DF">
      <w:pPr>
        <w:rPr>
          <w:rFonts w:hint="eastAsia"/>
        </w:rPr>
      </w:pPr>
      <w:r>
        <w:rPr>
          <w:rFonts w:hint="eastAsia"/>
        </w:rPr>
        <w:t>参照商业密码应用第三级建设。基于电子政务云平台提供的安全认证网关、签名验签、数据库加密等密码服务以及系统的应用功能，需开发适配若干密码应用功能模块，以实现网络和通信、设备和计算、应用和数据等层面的各密码应用功能。</w:t>
      </w:r>
    </w:p>
    <w:tbl>
      <w:tblPr>
        <w:tblStyle w:val="7"/>
        <w:tblW w:w="50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900"/>
        <w:gridCol w:w="3225"/>
        <w:gridCol w:w="1921"/>
      </w:tblGrid>
      <w:tr w14:paraId="7242215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69" w:type="pct"/>
            <w:shd w:val="clear" w:color="auto" w:fill="D9D9D9"/>
            <w:vAlign w:val="center"/>
          </w:tcPr>
          <w:p w14:paraId="59BE4DC4">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b/>
                <w:bCs/>
                <w:kern w:val="0"/>
                <w:sz w:val="18"/>
                <w:szCs w:val="18"/>
              </w:rPr>
            </w:pPr>
            <w:r>
              <w:rPr>
                <w:rFonts w:ascii="宋体" w:hAnsi="宋体"/>
                <w:b/>
                <w:bCs/>
                <w:kern w:val="0"/>
                <w:sz w:val="18"/>
                <w:szCs w:val="18"/>
              </w:rPr>
              <w:t>指标要求</w:t>
            </w:r>
          </w:p>
        </w:tc>
        <w:tc>
          <w:tcPr>
            <w:tcW w:w="1114" w:type="pct"/>
            <w:shd w:val="clear" w:color="auto" w:fill="D9D9D9"/>
            <w:vAlign w:val="center"/>
          </w:tcPr>
          <w:p w14:paraId="3D4CC05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b/>
                <w:bCs/>
                <w:kern w:val="0"/>
                <w:sz w:val="18"/>
                <w:szCs w:val="18"/>
              </w:rPr>
            </w:pPr>
            <w:r>
              <w:rPr>
                <w:rFonts w:ascii="宋体" w:hAnsi="宋体"/>
                <w:b/>
                <w:bCs/>
                <w:kern w:val="0"/>
                <w:sz w:val="18"/>
                <w:szCs w:val="18"/>
              </w:rPr>
              <w:t>密码技术应用点</w:t>
            </w:r>
          </w:p>
        </w:tc>
        <w:tc>
          <w:tcPr>
            <w:tcW w:w="1891" w:type="pct"/>
            <w:shd w:val="clear" w:color="auto" w:fill="D9D9D9"/>
            <w:vAlign w:val="center"/>
          </w:tcPr>
          <w:p w14:paraId="31F9E2E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b/>
                <w:bCs/>
                <w:kern w:val="0"/>
                <w:sz w:val="18"/>
                <w:szCs w:val="18"/>
              </w:rPr>
            </w:pPr>
            <w:r>
              <w:rPr>
                <w:rFonts w:hint="eastAsia" w:ascii="宋体" w:hAnsi="宋体"/>
                <w:b/>
                <w:bCs/>
                <w:kern w:val="0"/>
                <w:sz w:val="18"/>
                <w:szCs w:val="18"/>
              </w:rPr>
              <w:t>密码应用需求</w:t>
            </w:r>
          </w:p>
        </w:tc>
        <w:tc>
          <w:tcPr>
            <w:tcW w:w="1126" w:type="pct"/>
            <w:shd w:val="clear" w:color="auto" w:fill="D9D9D9"/>
            <w:vAlign w:val="center"/>
          </w:tcPr>
          <w:p w14:paraId="31D259F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b/>
                <w:bCs/>
                <w:kern w:val="0"/>
                <w:sz w:val="18"/>
                <w:szCs w:val="18"/>
              </w:rPr>
            </w:pPr>
            <w:r>
              <w:rPr>
                <w:rFonts w:ascii="宋体" w:hAnsi="宋体"/>
                <w:b/>
                <w:bCs/>
                <w:kern w:val="0"/>
                <w:sz w:val="18"/>
                <w:szCs w:val="18"/>
              </w:rPr>
              <w:t>说明</w:t>
            </w:r>
          </w:p>
        </w:tc>
      </w:tr>
      <w:tr w14:paraId="1FBC240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3FD1DCA4">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ascii="宋体" w:hAnsi="宋体"/>
                <w:kern w:val="0"/>
                <w:sz w:val="18"/>
                <w:szCs w:val="18"/>
              </w:rPr>
              <w:t>物理和环境安全</w:t>
            </w:r>
          </w:p>
        </w:tc>
        <w:tc>
          <w:tcPr>
            <w:tcW w:w="1114" w:type="pct"/>
            <w:vAlign w:val="center"/>
          </w:tcPr>
          <w:p w14:paraId="2977C4B7">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身份鉴别</w:t>
            </w:r>
          </w:p>
        </w:tc>
        <w:tc>
          <w:tcPr>
            <w:tcW w:w="1891" w:type="pct"/>
            <w:vMerge w:val="restart"/>
            <w:vAlign w:val="center"/>
          </w:tcPr>
          <w:p w14:paraId="5E9217E5">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系统的物理和环境安全由云平台提供安全保障。</w:t>
            </w:r>
          </w:p>
        </w:tc>
        <w:tc>
          <w:tcPr>
            <w:tcW w:w="1126" w:type="pct"/>
            <w:vMerge w:val="restart"/>
            <w:vAlign w:val="center"/>
          </w:tcPr>
          <w:p w14:paraId="3569D09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云平台通过密评，已被完全评估</w:t>
            </w:r>
          </w:p>
        </w:tc>
      </w:tr>
      <w:tr w14:paraId="5F2C62A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42FB98F">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21AD5F75">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电子门禁记录数据完整性</w:t>
            </w:r>
          </w:p>
        </w:tc>
        <w:tc>
          <w:tcPr>
            <w:tcW w:w="1891" w:type="pct"/>
            <w:vMerge w:val="continue"/>
            <w:vAlign w:val="center"/>
          </w:tcPr>
          <w:p w14:paraId="035040A1">
            <w:pPr>
              <w:keepNext w:val="0"/>
              <w:keepLines w:val="0"/>
              <w:pageBreakBefore w:val="0"/>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c>
          <w:tcPr>
            <w:tcW w:w="1126" w:type="pct"/>
            <w:vMerge w:val="continue"/>
            <w:vAlign w:val="center"/>
          </w:tcPr>
          <w:p w14:paraId="759EA8F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02AF9D8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F3A9F88">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48E4DF00">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视频监控记录数据完整性</w:t>
            </w:r>
          </w:p>
        </w:tc>
        <w:tc>
          <w:tcPr>
            <w:tcW w:w="1891" w:type="pct"/>
            <w:vMerge w:val="continue"/>
            <w:vAlign w:val="center"/>
          </w:tcPr>
          <w:p w14:paraId="6A3D43C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c>
          <w:tcPr>
            <w:tcW w:w="1126" w:type="pct"/>
            <w:vMerge w:val="continue"/>
            <w:vAlign w:val="center"/>
          </w:tcPr>
          <w:p w14:paraId="14DB0E3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64B6E5E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12C379F">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20704D08">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密码服务</w:t>
            </w:r>
          </w:p>
        </w:tc>
        <w:tc>
          <w:tcPr>
            <w:tcW w:w="1891" w:type="pct"/>
            <w:vMerge w:val="continue"/>
            <w:vAlign w:val="center"/>
          </w:tcPr>
          <w:p w14:paraId="3CCCCDC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c>
          <w:tcPr>
            <w:tcW w:w="1126" w:type="pct"/>
            <w:vMerge w:val="continue"/>
            <w:vAlign w:val="center"/>
          </w:tcPr>
          <w:p w14:paraId="1FB615F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303CE85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B5A42DA">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2F75AFF6">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密码产品</w:t>
            </w:r>
          </w:p>
        </w:tc>
        <w:tc>
          <w:tcPr>
            <w:tcW w:w="1891" w:type="pct"/>
            <w:vMerge w:val="continue"/>
            <w:vAlign w:val="center"/>
          </w:tcPr>
          <w:p w14:paraId="41D998A8">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c>
          <w:tcPr>
            <w:tcW w:w="1126" w:type="pct"/>
            <w:vMerge w:val="continue"/>
            <w:vAlign w:val="center"/>
          </w:tcPr>
          <w:p w14:paraId="7156208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002D37A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24C4D10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ascii="宋体" w:hAnsi="宋体"/>
                <w:kern w:val="0"/>
                <w:sz w:val="18"/>
                <w:szCs w:val="18"/>
              </w:rPr>
              <w:t>网络和通信安全</w:t>
            </w:r>
          </w:p>
        </w:tc>
        <w:tc>
          <w:tcPr>
            <w:tcW w:w="1114" w:type="pct"/>
            <w:vMerge w:val="restart"/>
            <w:vAlign w:val="center"/>
          </w:tcPr>
          <w:p w14:paraId="009C9CB2">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身份鉴别</w:t>
            </w:r>
          </w:p>
        </w:tc>
        <w:tc>
          <w:tcPr>
            <w:tcW w:w="1891" w:type="pct"/>
            <w:vAlign w:val="center"/>
          </w:tcPr>
          <w:p w14:paraId="45E05D3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确保PC终端和服务端通信实体身份的真实性，防止与假冒实体进行通信</w:t>
            </w:r>
          </w:p>
        </w:tc>
        <w:tc>
          <w:tcPr>
            <w:tcW w:w="1126" w:type="pct"/>
            <w:vAlign w:val="center"/>
          </w:tcPr>
          <w:p w14:paraId="4F7390F8">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116E3773">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A86CEA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c>
          <w:tcPr>
            <w:tcW w:w="1114" w:type="pct"/>
            <w:vMerge w:val="continue"/>
            <w:vAlign w:val="center"/>
          </w:tcPr>
          <w:p w14:paraId="3801F65D">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p>
        </w:tc>
        <w:tc>
          <w:tcPr>
            <w:tcW w:w="1891" w:type="pct"/>
            <w:vAlign w:val="center"/>
          </w:tcPr>
          <w:p w14:paraId="7D7D776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管理端的身份鉴别由云平台提供安全保障。</w:t>
            </w:r>
          </w:p>
        </w:tc>
        <w:tc>
          <w:tcPr>
            <w:tcW w:w="1126" w:type="pct"/>
            <w:vAlign w:val="center"/>
          </w:tcPr>
          <w:p w14:paraId="0515D0F5">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22EF3D1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6470630">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Merge w:val="restart"/>
            <w:vAlign w:val="center"/>
          </w:tcPr>
          <w:p w14:paraId="138016E3">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通信数据完整性</w:t>
            </w:r>
          </w:p>
        </w:tc>
        <w:tc>
          <w:tcPr>
            <w:tcW w:w="1891" w:type="pct"/>
            <w:vAlign w:val="center"/>
          </w:tcPr>
          <w:p w14:paraId="606C36C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保护终端和服务端通信过程中业务数据的完整性，防止数据被非授权篡改</w:t>
            </w:r>
          </w:p>
        </w:tc>
        <w:tc>
          <w:tcPr>
            <w:tcW w:w="1126" w:type="pct"/>
            <w:vAlign w:val="center"/>
          </w:tcPr>
          <w:p w14:paraId="28F9A1A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3EFA9229">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C63DD71">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Merge w:val="continue"/>
            <w:vAlign w:val="center"/>
          </w:tcPr>
          <w:p w14:paraId="12FF981F">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p>
        </w:tc>
        <w:tc>
          <w:tcPr>
            <w:tcW w:w="1891" w:type="pct"/>
            <w:vAlign w:val="center"/>
          </w:tcPr>
          <w:p w14:paraId="0437B31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管理端进行远程运维管理时的运维通信数据完整性由云平台提供安全保障</w:t>
            </w:r>
          </w:p>
        </w:tc>
        <w:tc>
          <w:tcPr>
            <w:tcW w:w="1126" w:type="pct"/>
            <w:vAlign w:val="center"/>
          </w:tcPr>
          <w:p w14:paraId="46513F7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6C83969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7DF67EE">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Merge w:val="restart"/>
            <w:vAlign w:val="center"/>
          </w:tcPr>
          <w:p w14:paraId="01CD2B62">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通信过程中重要数据的机密性</w:t>
            </w:r>
          </w:p>
        </w:tc>
        <w:tc>
          <w:tcPr>
            <w:tcW w:w="1891" w:type="pct"/>
            <w:vAlign w:val="center"/>
          </w:tcPr>
          <w:p w14:paraId="5DC35FE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保护PC终端和服务端通信过程中业务数据的机密性，防止重要数据泄露。</w:t>
            </w:r>
          </w:p>
        </w:tc>
        <w:tc>
          <w:tcPr>
            <w:tcW w:w="1126" w:type="pct"/>
            <w:vAlign w:val="center"/>
          </w:tcPr>
          <w:p w14:paraId="018BFC3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65CC9D7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5F00EEE">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Merge w:val="continue"/>
            <w:vAlign w:val="center"/>
          </w:tcPr>
          <w:p w14:paraId="5950B7E1">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p>
        </w:tc>
        <w:tc>
          <w:tcPr>
            <w:tcW w:w="1891" w:type="pct"/>
            <w:vAlign w:val="center"/>
          </w:tcPr>
          <w:p w14:paraId="245A6AA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管理端进行远程运维管理时的运维通信数据机密性由云平台提供安全保障</w:t>
            </w:r>
          </w:p>
        </w:tc>
        <w:tc>
          <w:tcPr>
            <w:tcW w:w="1126" w:type="pct"/>
            <w:vAlign w:val="center"/>
          </w:tcPr>
          <w:p w14:paraId="5F619685">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21D890D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C29697B">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79BE9C7B">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网络边界访问控制信息的完整性</w:t>
            </w:r>
          </w:p>
        </w:tc>
        <w:tc>
          <w:tcPr>
            <w:tcW w:w="1891" w:type="pct"/>
            <w:vAlign w:val="center"/>
          </w:tcPr>
          <w:p w14:paraId="6C3F321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系统网络拓扑中不同区域网络边界需确保访问控制信息的完整性</w:t>
            </w:r>
          </w:p>
        </w:tc>
        <w:tc>
          <w:tcPr>
            <w:tcW w:w="1126" w:type="pct"/>
            <w:vAlign w:val="center"/>
          </w:tcPr>
          <w:p w14:paraId="533E538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6212894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82239E2">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14BE2579">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安全接入认证</w:t>
            </w:r>
          </w:p>
        </w:tc>
        <w:tc>
          <w:tcPr>
            <w:tcW w:w="1891" w:type="pct"/>
            <w:vAlign w:val="center"/>
          </w:tcPr>
          <w:p w14:paraId="6E522B3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不适用</w:t>
            </w:r>
          </w:p>
        </w:tc>
        <w:tc>
          <w:tcPr>
            <w:tcW w:w="1126" w:type="pct"/>
            <w:vAlign w:val="center"/>
          </w:tcPr>
          <w:p w14:paraId="4797D9F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无外部接入设备</w:t>
            </w:r>
          </w:p>
        </w:tc>
      </w:tr>
      <w:tr w14:paraId="39EC9A4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DA438E2">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58A39161">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密码服务</w:t>
            </w:r>
          </w:p>
        </w:tc>
        <w:tc>
          <w:tcPr>
            <w:tcW w:w="1891" w:type="pct"/>
            <w:vAlign w:val="center"/>
          </w:tcPr>
          <w:p w14:paraId="1AC0E9E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采用的数字证书由具备资质的电子认证服务机构签发</w:t>
            </w:r>
          </w:p>
        </w:tc>
        <w:tc>
          <w:tcPr>
            <w:tcW w:w="1126" w:type="pct"/>
            <w:vAlign w:val="center"/>
          </w:tcPr>
          <w:p w14:paraId="1570245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31AFC6E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EEFAE96">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46671AE8">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密码产品</w:t>
            </w:r>
          </w:p>
        </w:tc>
        <w:tc>
          <w:tcPr>
            <w:tcW w:w="1891" w:type="pct"/>
            <w:vAlign w:val="center"/>
          </w:tcPr>
          <w:p w14:paraId="46BD1A0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服务端相关的密码服务由云平台提供</w:t>
            </w:r>
          </w:p>
        </w:tc>
        <w:tc>
          <w:tcPr>
            <w:tcW w:w="1126" w:type="pct"/>
            <w:vAlign w:val="center"/>
          </w:tcPr>
          <w:p w14:paraId="40C7102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37A21E0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337DEC5A">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ascii="宋体" w:hAnsi="宋体"/>
                <w:kern w:val="0"/>
                <w:sz w:val="18"/>
                <w:szCs w:val="18"/>
              </w:rPr>
              <w:t>设备和计算安全</w:t>
            </w:r>
          </w:p>
        </w:tc>
        <w:tc>
          <w:tcPr>
            <w:tcW w:w="1114" w:type="pct"/>
            <w:vAlign w:val="center"/>
          </w:tcPr>
          <w:p w14:paraId="496E08B5">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身份鉴别</w:t>
            </w:r>
          </w:p>
        </w:tc>
        <w:tc>
          <w:tcPr>
            <w:tcW w:w="1891" w:type="pct"/>
            <w:vAlign w:val="center"/>
          </w:tcPr>
          <w:p w14:paraId="5530D65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对远程登录设备的用户身份真实性进行鉴别，防止假冒用户登录</w:t>
            </w:r>
          </w:p>
        </w:tc>
        <w:tc>
          <w:tcPr>
            <w:tcW w:w="1126" w:type="pct"/>
            <w:vAlign w:val="center"/>
          </w:tcPr>
          <w:p w14:paraId="6ABE9608">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5642EA0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A92D9C4">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0FD5BDF2">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远程管理通道安全</w:t>
            </w:r>
          </w:p>
        </w:tc>
        <w:tc>
          <w:tcPr>
            <w:tcW w:w="1891" w:type="pct"/>
            <w:vAlign w:val="center"/>
          </w:tcPr>
          <w:p w14:paraId="1D1B710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远程管理时保护管理员身份鉴别信息等重要数据被非法窃取或非法篡改</w:t>
            </w:r>
          </w:p>
        </w:tc>
        <w:tc>
          <w:tcPr>
            <w:tcW w:w="1126" w:type="pct"/>
            <w:vAlign w:val="center"/>
          </w:tcPr>
          <w:p w14:paraId="2AF3E62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530FDEC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DE32D1C">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4FA480F6">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系统资源访问控制信息完整性</w:t>
            </w:r>
          </w:p>
        </w:tc>
        <w:tc>
          <w:tcPr>
            <w:tcW w:w="1891" w:type="pct"/>
            <w:vAlign w:val="center"/>
          </w:tcPr>
          <w:p w14:paraId="7C60412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保护系统资源访问控制信息免受非法篡改</w:t>
            </w:r>
          </w:p>
        </w:tc>
        <w:tc>
          <w:tcPr>
            <w:tcW w:w="1126" w:type="pct"/>
            <w:vAlign w:val="center"/>
          </w:tcPr>
          <w:p w14:paraId="5D16DA4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1F0BB75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A217401">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6DF1A455">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重要信息资源安全标记的完整性</w:t>
            </w:r>
          </w:p>
        </w:tc>
        <w:tc>
          <w:tcPr>
            <w:tcW w:w="1891" w:type="pct"/>
            <w:vAlign w:val="center"/>
          </w:tcPr>
          <w:p w14:paraId="19B980A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不适用</w:t>
            </w:r>
          </w:p>
        </w:tc>
        <w:tc>
          <w:tcPr>
            <w:tcW w:w="1126" w:type="pct"/>
            <w:vAlign w:val="center"/>
          </w:tcPr>
          <w:p w14:paraId="2C36236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无重要信息资源安全标记</w:t>
            </w:r>
          </w:p>
        </w:tc>
      </w:tr>
      <w:tr w14:paraId="01D0AB0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CC8A037">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1ED0CB73">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日志记录完整性</w:t>
            </w:r>
          </w:p>
        </w:tc>
        <w:tc>
          <w:tcPr>
            <w:tcW w:w="1891" w:type="pct"/>
            <w:vAlign w:val="center"/>
          </w:tcPr>
          <w:p w14:paraId="5AAAF02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保护重要日志记录信息免受非法篡改</w:t>
            </w:r>
          </w:p>
        </w:tc>
        <w:tc>
          <w:tcPr>
            <w:tcW w:w="1126" w:type="pct"/>
            <w:vAlign w:val="center"/>
          </w:tcPr>
          <w:p w14:paraId="426664F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468F6D6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8869D00">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19746C41">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重要可执行程序完整性、重要可执行程序来源真实性</w:t>
            </w:r>
          </w:p>
        </w:tc>
        <w:tc>
          <w:tcPr>
            <w:tcW w:w="1891" w:type="pct"/>
            <w:vAlign w:val="center"/>
          </w:tcPr>
          <w:p w14:paraId="54EB8A7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保护重要可执行程序免受非法篡改</w:t>
            </w:r>
          </w:p>
        </w:tc>
        <w:tc>
          <w:tcPr>
            <w:tcW w:w="1126" w:type="pct"/>
            <w:vAlign w:val="center"/>
          </w:tcPr>
          <w:p w14:paraId="5E94480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44D827B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B179087">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7A8F38A0">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密码服务</w:t>
            </w:r>
          </w:p>
        </w:tc>
        <w:tc>
          <w:tcPr>
            <w:tcW w:w="1891" w:type="pct"/>
            <w:vAlign w:val="center"/>
          </w:tcPr>
          <w:p w14:paraId="6A1FC66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采用的数字证书由具备资质的电子认证服务机构签发</w:t>
            </w:r>
          </w:p>
        </w:tc>
        <w:tc>
          <w:tcPr>
            <w:tcW w:w="1126" w:type="pct"/>
            <w:vAlign w:val="center"/>
          </w:tcPr>
          <w:p w14:paraId="587F357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12D27A4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DF806EF">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1DB19785">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密码产品</w:t>
            </w:r>
          </w:p>
        </w:tc>
        <w:tc>
          <w:tcPr>
            <w:tcW w:w="1891" w:type="pct"/>
            <w:vAlign w:val="center"/>
          </w:tcPr>
          <w:p w14:paraId="75C1BB3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服务端相关的密码服务由云平台提供安全保障</w:t>
            </w:r>
          </w:p>
        </w:tc>
        <w:tc>
          <w:tcPr>
            <w:tcW w:w="1126" w:type="pct"/>
            <w:vAlign w:val="center"/>
          </w:tcPr>
          <w:p w14:paraId="56E554A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75F522F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67E7C99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ascii="宋体" w:hAnsi="宋体"/>
                <w:kern w:val="0"/>
                <w:sz w:val="18"/>
                <w:szCs w:val="18"/>
              </w:rPr>
              <w:t>应用和数据安全</w:t>
            </w:r>
          </w:p>
        </w:tc>
        <w:tc>
          <w:tcPr>
            <w:tcW w:w="1114" w:type="pct"/>
            <w:vAlign w:val="center"/>
          </w:tcPr>
          <w:p w14:paraId="26DC5728">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身份鉴别</w:t>
            </w:r>
          </w:p>
        </w:tc>
        <w:tc>
          <w:tcPr>
            <w:tcW w:w="1891" w:type="pct"/>
            <w:vAlign w:val="center"/>
          </w:tcPr>
          <w:p w14:paraId="08D043F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保护执行关键操作或访问重要数据的用户身份真实性，防止假冒用户访问</w:t>
            </w:r>
          </w:p>
        </w:tc>
        <w:tc>
          <w:tcPr>
            <w:tcW w:w="1126" w:type="pct"/>
            <w:vAlign w:val="center"/>
          </w:tcPr>
          <w:p w14:paraId="5BCFCDD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36AF96E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61C267B">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7EBE5241">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访问控制信息完整性</w:t>
            </w:r>
          </w:p>
        </w:tc>
        <w:tc>
          <w:tcPr>
            <w:tcW w:w="1891" w:type="pct"/>
            <w:vAlign w:val="center"/>
          </w:tcPr>
          <w:p w14:paraId="7F1507D4">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保护应用系统的访问控制信息免受非法篡改</w:t>
            </w:r>
          </w:p>
        </w:tc>
        <w:tc>
          <w:tcPr>
            <w:tcW w:w="1126" w:type="pct"/>
            <w:vAlign w:val="center"/>
          </w:tcPr>
          <w:p w14:paraId="5ECEE3F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4ED957D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75DD7796">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194D3CEA">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重要信息资源安全标记完整性</w:t>
            </w:r>
          </w:p>
        </w:tc>
        <w:tc>
          <w:tcPr>
            <w:tcW w:w="1891" w:type="pct"/>
            <w:vAlign w:val="center"/>
          </w:tcPr>
          <w:p w14:paraId="0A2E686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不适用</w:t>
            </w:r>
          </w:p>
        </w:tc>
        <w:tc>
          <w:tcPr>
            <w:tcW w:w="1126" w:type="pct"/>
            <w:vAlign w:val="center"/>
          </w:tcPr>
          <w:p w14:paraId="2C72B8F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无重要信息资源安全标记</w:t>
            </w:r>
          </w:p>
        </w:tc>
      </w:tr>
      <w:tr w14:paraId="7B82626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CF1C41F">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0E618EBC">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重要数据传输机密性</w:t>
            </w:r>
          </w:p>
        </w:tc>
        <w:tc>
          <w:tcPr>
            <w:tcW w:w="1891" w:type="pct"/>
            <w:vAlign w:val="center"/>
          </w:tcPr>
          <w:p w14:paraId="3CD09A4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保护用户鉴别信息等重要数据传输的机密性</w:t>
            </w:r>
          </w:p>
        </w:tc>
        <w:tc>
          <w:tcPr>
            <w:tcW w:w="1126" w:type="pct"/>
            <w:vAlign w:val="center"/>
          </w:tcPr>
          <w:p w14:paraId="4FC4EFF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317C7C8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0BA0914">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47153096">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重要数据存储机密性</w:t>
            </w:r>
          </w:p>
        </w:tc>
        <w:tc>
          <w:tcPr>
            <w:tcW w:w="1891" w:type="pct"/>
            <w:vAlign w:val="center"/>
          </w:tcPr>
          <w:p w14:paraId="396B267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保护用户鉴别信息等重要数据存储的机密性</w:t>
            </w:r>
          </w:p>
        </w:tc>
        <w:tc>
          <w:tcPr>
            <w:tcW w:w="1126" w:type="pct"/>
            <w:vAlign w:val="center"/>
          </w:tcPr>
          <w:p w14:paraId="0CC0D4C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209BC19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19225F0">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5E4C19E2">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重要数据传输完整性</w:t>
            </w:r>
          </w:p>
        </w:tc>
        <w:tc>
          <w:tcPr>
            <w:tcW w:w="1891" w:type="pct"/>
            <w:vAlign w:val="center"/>
          </w:tcPr>
          <w:p w14:paraId="337C0D3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保护用户鉴别信息等重要数据传输的完整性</w:t>
            </w:r>
          </w:p>
        </w:tc>
        <w:tc>
          <w:tcPr>
            <w:tcW w:w="1126" w:type="pct"/>
            <w:vAlign w:val="center"/>
          </w:tcPr>
          <w:p w14:paraId="27BE9B3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4B5F1A5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AC287D0">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1C0C8AD5">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重要数据存储完整性</w:t>
            </w:r>
          </w:p>
        </w:tc>
        <w:tc>
          <w:tcPr>
            <w:tcW w:w="1891" w:type="pct"/>
            <w:vAlign w:val="center"/>
          </w:tcPr>
          <w:p w14:paraId="48C6A36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保护用户鉴别信息等重要数据存储的完整性</w:t>
            </w:r>
          </w:p>
        </w:tc>
        <w:tc>
          <w:tcPr>
            <w:tcW w:w="1126" w:type="pct"/>
            <w:vAlign w:val="center"/>
          </w:tcPr>
          <w:p w14:paraId="0D56E44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54FF425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36206DE">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5EDDE9EB">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不可否认性</w:t>
            </w:r>
          </w:p>
        </w:tc>
        <w:tc>
          <w:tcPr>
            <w:tcW w:w="1891" w:type="pct"/>
            <w:vAlign w:val="center"/>
          </w:tcPr>
          <w:p w14:paraId="5A2169E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不适用</w:t>
            </w:r>
          </w:p>
        </w:tc>
        <w:tc>
          <w:tcPr>
            <w:tcW w:w="1126" w:type="pct"/>
            <w:vAlign w:val="center"/>
          </w:tcPr>
          <w:p w14:paraId="1BF67C9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宋体" w:hAnsi="宋体" w:eastAsia="宋体"/>
                <w:kern w:val="0"/>
                <w:sz w:val="18"/>
                <w:szCs w:val="18"/>
                <w:lang w:val="en-US" w:eastAsia="zh-CN"/>
              </w:rPr>
            </w:pPr>
          </w:p>
        </w:tc>
      </w:tr>
      <w:tr w14:paraId="3F1BA87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790F0DC">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64C24B5C">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密码服务</w:t>
            </w:r>
          </w:p>
        </w:tc>
        <w:tc>
          <w:tcPr>
            <w:tcW w:w="1891" w:type="pct"/>
            <w:vAlign w:val="center"/>
          </w:tcPr>
          <w:p w14:paraId="06F5DBA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采用的数字证书由具备资质的电子认证服务机构签发</w:t>
            </w:r>
          </w:p>
        </w:tc>
        <w:tc>
          <w:tcPr>
            <w:tcW w:w="1126" w:type="pct"/>
            <w:vAlign w:val="center"/>
          </w:tcPr>
          <w:p w14:paraId="040DC0E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r w14:paraId="77B9B65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80BF2DE">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ascii="宋体" w:hAnsi="宋体"/>
                <w:kern w:val="0"/>
                <w:sz w:val="18"/>
                <w:szCs w:val="18"/>
              </w:rPr>
            </w:pPr>
          </w:p>
        </w:tc>
        <w:tc>
          <w:tcPr>
            <w:tcW w:w="1114" w:type="pct"/>
            <w:vAlign w:val="center"/>
          </w:tcPr>
          <w:p w14:paraId="3122952F">
            <w:pPr>
              <w:pStyle w:val="18"/>
              <w:keepNext w:val="0"/>
              <w:keepLines w:val="0"/>
              <w:pageBreakBefore w:val="0"/>
              <w:kinsoku/>
              <w:wordWrap/>
              <w:overflowPunct/>
              <w:topLinePunct w:val="0"/>
              <w:bidi w:val="0"/>
              <w:adjustRightInd/>
              <w:snapToGrid/>
              <w:spacing w:after="0" w:line="240" w:lineRule="auto"/>
              <w:ind w:firstLine="0" w:firstLineChars="0"/>
              <w:textAlignment w:val="auto"/>
              <w:rPr>
                <w:rFonts w:hAnsi="宋体"/>
                <w:sz w:val="18"/>
                <w:szCs w:val="18"/>
              </w:rPr>
            </w:pPr>
            <w:r>
              <w:rPr>
                <w:rFonts w:hint="eastAsia" w:hAnsi="宋体"/>
                <w:sz w:val="18"/>
                <w:szCs w:val="18"/>
              </w:rPr>
              <w:t>密码产品</w:t>
            </w:r>
          </w:p>
        </w:tc>
        <w:tc>
          <w:tcPr>
            <w:tcW w:w="1891" w:type="pct"/>
            <w:vAlign w:val="center"/>
          </w:tcPr>
          <w:p w14:paraId="565ACD8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r>
              <w:rPr>
                <w:rFonts w:hint="eastAsia" w:ascii="宋体" w:hAnsi="宋体"/>
                <w:kern w:val="0"/>
                <w:sz w:val="18"/>
                <w:szCs w:val="18"/>
              </w:rPr>
              <w:t>服务端相关的密码服务由云平台提供安全保障</w:t>
            </w:r>
          </w:p>
        </w:tc>
        <w:tc>
          <w:tcPr>
            <w:tcW w:w="1126" w:type="pct"/>
            <w:vAlign w:val="center"/>
          </w:tcPr>
          <w:p w14:paraId="0D5E5FD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ascii="宋体" w:hAnsi="宋体"/>
                <w:kern w:val="0"/>
                <w:sz w:val="18"/>
                <w:szCs w:val="18"/>
              </w:rPr>
            </w:pPr>
          </w:p>
        </w:tc>
      </w:tr>
    </w:tbl>
    <w:p w14:paraId="069E407C">
      <w:pPr>
        <w:rPr>
          <w:rFonts w:hint="eastAsia"/>
        </w:rPr>
      </w:pPr>
    </w:p>
    <w:p w14:paraId="4E7EA32B">
      <w:pPr>
        <w:pStyle w:val="3"/>
        <w:rPr>
          <w:rFonts w:hint="eastAsia"/>
        </w:rPr>
      </w:pPr>
      <w:bookmarkStart w:id="34" w:name="_Toc63785512"/>
      <w:r>
        <w:rPr>
          <w:rFonts w:hint="eastAsia"/>
        </w:rPr>
        <w:t>技术文件要求</w:t>
      </w:r>
    </w:p>
    <w:p w14:paraId="5B01DB1E">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7E07F088">
      <w:pPr>
        <w:rPr>
          <w:rFonts w:hint="eastAsia"/>
        </w:rPr>
      </w:pPr>
      <w:r>
        <w:rPr>
          <w:rFonts w:hint="eastAsia"/>
        </w:rPr>
        <w:t>－</w:t>
      </w:r>
      <w:r>
        <w:t xml:space="preserve"> 系统说明文件； </w:t>
      </w:r>
    </w:p>
    <w:p w14:paraId="1E5A5EDA">
      <w:pPr>
        <w:rPr>
          <w:rFonts w:hint="eastAsia"/>
        </w:rPr>
      </w:pPr>
      <w:r>
        <w:rPr>
          <w:rFonts w:hint="eastAsia"/>
        </w:rPr>
        <w:t>－</w:t>
      </w:r>
      <w:r>
        <w:t xml:space="preserve"> 技术手册(安装、测试、操作、维护、故障排除等)； </w:t>
      </w:r>
    </w:p>
    <w:p w14:paraId="4684C394">
      <w:pPr>
        <w:rPr>
          <w:rFonts w:hint="eastAsia"/>
        </w:rPr>
      </w:pPr>
      <w:r>
        <w:rPr>
          <w:rFonts w:hint="eastAsia"/>
        </w:rPr>
        <w:t>－</w:t>
      </w:r>
      <w:r>
        <w:t xml:space="preserve"> 项目文档，应该包括：</w:t>
      </w:r>
    </w:p>
    <w:p w14:paraId="6F22C2D9">
      <w:pPr>
        <w:ind w:left="360"/>
        <w:rPr>
          <w:rFonts w:hint="eastAsia"/>
        </w:rPr>
      </w:pPr>
      <w:r>
        <w:t>(1)软件需求说明书</w:t>
      </w:r>
    </w:p>
    <w:p w14:paraId="1B010269">
      <w:pPr>
        <w:ind w:left="360"/>
        <w:rPr>
          <w:rFonts w:hint="eastAsia"/>
        </w:rPr>
      </w:pPr>
      <w:r>
        <w:t>(2)</w:t>
      </w:r>
      <w:r>
        <w:tab/>
      </w:r>
      <w:r>
        <w:t>系统总体设计说明书</w:t>
      </w:r>
    </w:p>
    <w:p w14:paraId="7C32D11C">
      <w:pPr>
        <w:ind w:left="360"/>
        <w:rPr>
          <w:rFonts w:hint="eastAsia"/>
        </w:rPr>
      </w:pPr>
      <w:r>
        <w:t>(3)</w:t>
      </w:r>
      <w:r>
        <w:tab/>
      </w:r>
      <w:r>
        <w:t>应用软件功能清单</w:t>
      </w:r>
    </w:p>
    <w:p w14:paraId="433694AF">
      <w:r>
        <w:rPr>
          <w:rFonts w:hint="eastAsia"/>
        </w:rPr>
        <w:t>提供全套技术文件纸介质</w:t>
      </w:r>
      <w:r>
        <w:t>3套以及电子文件1套。</w:t>
      </w:r>
    </w:p>
    <w:p w14:paraId="18D6FEAF">
      <w:pPr>
        <w:pStyle w:val="3"/>
        <w:rPr>
          <w:rFonts w:hint="eastAsia"/>
        </w:rPr>
      </w:pPr>
      <w:r>
        <w:rPr>
          <w:rFonts w:hint="eastAsia"/>
          <w:lang w:eastAsia="zh-CN"/>
        </w:rPr>
        <w:t>其他</w:t>
      </w:r>
      <w:r>
        <w:rPr>
          <w:rFonts w:hint="eastAsia"/>
        </w:rPr>
        <w:t>要求</w:t>
      </w:r>
    </w:p>
    <w:p w14:paraId="26AC892B">
      <w:pPr>
        <w:rPr>
          <w:rFonts w:hint="eastAsia" w:eastAsia="宋体"/>
          <w:lang w:eastAsia="zh-CN"/>
        </w:rPr>
      </w:pPr>
      <w:r>
        <w:rPr>
          <w:rFonts w:hint="eastAsia"/>
        </w:rPr>
        <w:t>供应商具备有效的信息技术服务管理体系认证（ISO/IEC20000或GB/T 24405）、信息安全管理体系认证（ISO/IEC 27001或GB/T 22080）、隐私信息管理体系认证（ISO/IEC 27701）</w:t>
      </w:r>
      <w:r>
        <w:rPr>
          <w:rFonts w:hint="eastAsia"/>
          <w:lang w:eastAsia="zh-CN"/>
        </w:rPr>
        <w:t>的优先考虑</w:t>
      </w:r>
      <w:bookmarkStart w:id="37" w:name="_GoBack"/>
      <w:bookmarkEnd w:id="37"/>
      <w:r>
        <w:rPr>
          <w:rFonts w:hint="eastAsia"/>
          <w:lang w:eastAsia="zh-CN"/>
        </w:rPr>
        <w:t>。</w:t>
      </w:r>
    </w:p>
    <w:p w14:paraId="085E335F">
      <w:pPr>
        <w:rPr>
          <w:rFonts w:hint="eastAsia"/>
        </w:rPr>
      </w:pPr>
    </w:p>
    <w:bookmarkEnd w:id="34"/>
    <w:p w14:paraId="65C1AE7D">
      <w:pPr>
        <w:pStyle w:val="2"/>
        <w:rPr>
          <w:rFonts w:hint="eastAsia"/>
        </w:rPr>
      </w:pPr>
      <w:bookmarkStart w:id="35" w:name="_Toc63785513"/>
      <w:r>
        <w:rPr>
          <w:rFonts w:hint="eastAsia"/>
        </w:rPr>
        <w:t>关于转让和分包的规定</w:t>
      </w:r>
    </w:p>
    <w:p w14:paraId="7A1791DF">
      <w:pPr>
        <w:rPr>
          <w:rFonts w:hint="eastAsia"/>
        </w:rPr>
      </w:pPr>
      <w:r>
        <w:rPr>
          <w:rFonts w:hint="eastAsia"/>
        </w:rPr>
        <w:t>1、本项目严禁任何形式的合同转让（转包）行为。所谓转让（转包），是指中标供应商将本项目的合同履行权整体转让给第三人，自身退出合同履行义务，仅收取“转让费”或类似费用的行为。</w:t>
      </w:r>
    </w:p>
    <w:p w14:paraId="09659A6D">
      <w:pPr>
        <w:rPr>
          <w:rFonts w:hint="eastAsia"/>
        </w:rPr>
      </w:pPr>
      <w:r>
        <w:rPr>
          <w:rFonts w:hint="eastAsia"/>
        </w:rPr>
        <w:t>2、本项目允许分包，其中本项目主体部分、关键性工作不得分包，分包金仅允许对项目非主体、非关键性的辅助性工作进行分包。考虑到本项目为纯软件开发项目，允许分包的功能清单如下表所示：</w:t>
      </w:r>
    </w:p>
    <w:tbl>
      <w:tblPr>
        <w:tblStyle w:val="7"/>
        <w:tblW w:w="665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5"/>
        <w:gridCol w:w="975"/>
      </w:tblGrid>
      <w:tr w14:paraId="5C97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70" w:type="dxa"/>
            <w:noWrap/>
            <w:vAlign w:val="center"/>
          </w:tcPr>
          <w:p w14:paraId="719F47AB">
            <w:pPr>
              <w:pStyle w:val="11"/>
            </w:pPr>
            <w:r>
              <w:t>1、水生态环境质量综合监管子系统升级改造</w:t>
            </w:r>
          </w:p>
        </w:tc>
        <w:tc>
          <w:tcPr>
            <w:tcW w:w="1780" w:type="dxa"/>
            <w:noWrap/>
            <w:vAlign w:val="center"/>
          </w:tcPr>
          <w:p w14:paraId="24E51D11">
            <w:pPr>
              <w:pStyle w:val="11"/>
            </w:pPr>
          </w:p>
        </w:tc>
      </w:tr>
      <w:tr w14:paraId="68D4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2BF41A4">
            <w:pPr>
              <w:pStyle w:val="11"/>
            </w:pPr>
            <w:r>
              <w:t>功能名称</w:t>
            </w:r>
          </w:p>
        </w:tc>
        <w:tc>
          <w:tcPr>
            <w:tcW w:w="0" w:type="auto"/>
            <w:noWrap/>
            <w:vAlign w:val="center"/>
          </w:tcPr>
          <w:p w14:paraId="6656A18C">
            <w:pPr>
              <w:pStyle w:val="11"/>
            </w:pPr>
            <w:r>
              <w:t>是否允许分包</w:t>
            </w:r>
          </w:p>
        </w:tc>
      </w:tr>
      <w:tr w14:paraId="5D2C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136A4D8">
            <w:pPr>
              <w:pStyle w:val="11"/>
            </w:pPr>
            <w:r>
              <w:t>溯源分析模块-排放清单管理-污染源信息管理-纳管企业信息查询功能点</w:t>
            </w:r>
          </w:p>
        </w:tc>
        <w:tc>
          <w:tcPr>
            <w:tcW w:w="0" w:type="auto"/>
            <w:noWrap/>
            <w:vAlign w:val="center"/>
          </w:tcPr>
          <w:p w14:paraId="0C92E6E9">
            <w:pPr>
              <w:pStyle w:val="11"/>
            </w:pPr>
            <w:r>
              <w:t>否</w:t>
            </w:r>
          </w:p>
        </w:tc>
      </w:tr>
      <w:tr w14:paraId="6D76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2C087C8">
            <w:pPr>
              <w:pStyle w:val="11"/>
            </w:pPr>
            <w:r>
              <w:t>溯源分析模块-排放清单管理-污染源信息管理-溯源拓扑关系查询功能点</w:t>
            </w:r>
          </w:p>
        </w:tc>
        <w:tc>
          <w:tcPr>
            <w:tcW w:w="0" w:type="auto"/>
            <w:noWrap/>
            <w:vAlign w:val="center"/>
          </w:tcPr>
          <w:p w14:paraId="655DE18F">
            <w:pPr>
              <w:pStyle w:val="11"/>
            </w:pPr>
            <w:r>
              <w:t>否</w:t>
            </w:r>
          </w:p>
        </w:tc>
      </w:tr>
      <w:tr w14:paraId="2E66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85B2B39">
            <w:pPr>
              <w:pStyle w:val="11"/>
            </w:pPr>
            <w:r>
              <w:t>溯源分析模块-排放清单管理-污染源信息管理-纳管企业行业分类功能点</w:t>
            </w:r>
          </w:p>
        </w:tc>
        <w:tc>
          <w:tcPr>
            <w:tcW w:w="0" w:type="auto"/>
            <w:noWrap/>
            <w:vAlign w:val="center"/>
          </w:tcPr>
          <w:p w14:paraId="68A779ED">
            <w:pPr>
              <w:pStyle w:val="11"/>
            </w:pPr>
            <w:r>
              <w:t>否</w:t>
            </w:r>
          </w:p>
        </w:tc>
      </w:tr>
      <w:tr w14:paraId="5565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F306A66">
            <w:pPr>
              <w:pStyle w:val="11"/>
            </w:pPr>
            <w:r>
              <w:t>溯源分析模块-排放清单管理-污染源信息管理-纳管企业动态更新功能点</w:t>
            </w:r>
          </w:p>
        </w:tc>
        <w:tc>
          <w:tcPr>
            <w:tcW w:w="0" w:type="auto"/>
            <w:noWrap/>
            <w:vAlign w:val="center"/>
          </w:tcPr>
          <w:p w14:paraId="167575A5">
            <w:pPr>
              <w:pStyle w:val="11"/>
            </w:pPr>
            <w:r>
              <w:t>否</w:t>
            </w:r>
          </w:p>
        </w:tc>
      </w:tr>
      <w:tr w14:paraId="4CD8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463F9BC">
            <w:pPr>
              <w:pStyle w:val="11"/>
            </w:pPr>
            <w:r>
              <w:t>溯源分析模块-排放清单管理-水质指纹采集管理-采集任务创建（PC+移动端）</w:t>
            </w:r>
          </w:p>
        </w:tc>
        <w:tc>
          <w:tcPr>
            <w:tcW w:w="0" w:type="auto"/>
            <w:noWrap/>
            <w:vAlign w:val="center"/>
          </w:tcPr>
          <w:p w14:paraId="5CEB159B">
            <w:pPr>
              <w:pStyle w:val="11"/>
            </w:pPr>
            <w:r>
              <w:t>否</w:t>
            </w:r>
          </w:p>
        </w:tc>
      </w:tr>
      <w:tr w14:paraId="1AC9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E69EB22">
            <w:pPr>
              <w:pStyle w:val="11"/>
            </w:pPr>
            <w:r>
              <w:t>溯源分析模块-排放清单管理-水质指纹采集管理-采集信息管理（PC+移动端）</w:t>
            </w:r>
          </w:p>
        </w:tc>
        <w:tc>
          <w:tcPr>
            <w:tcW w:w="0" w:type="auto"/>
            <w:noWrap/>
            <w:vAlign w:val="center"/>
          </w:tcPr>
          <w:p w14:paraId="21FBA885">
            <w:pPr>
              <w:pStyle w:val="11"/>
            </w:pPr>
            <w:r>
              <w:t>否</w:t>
            </w:r>
          </w:p>
        </w:tc>
      </w:tr>
      <w:tr w14:paraId="3F1F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09BAEFD">
            <w:pPr>
              <w:pStyle w:val="11"/>
            </w:pPr>
            <w:r>
              <w:t>溯源分析模块-排放清单管理-水质指纹采集管理-采集流程管理(PC端）</w:t>
            </w:r>
          </w:p>
        </w:tc>
        <w:tc>
          <w:tcPr>
            <w:tcW w:w="0" w:type="auto"/>
            <w:noWrap/>
            <w:vAlign w:val="center"/>
          </w:tcPr>
          <w:p w14:paraId="56CD70D6">
            <w:pPr>
              <w:pStyle w:val="11"/>
            </w:pPr>
            <w:r>
              <w:t>否</w:t>
            </w:r>
          </w:p>
        </w:tc>
      </w:tr>
      <w:tr w14:paraId="6837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D6545AC">
            <w:pPr>
              <w:pStyle w:val="11"/>
            </w:pPr>
            <w:r>
              <w:t>溯源分析模块-排放清单管理-水质指纹图谱库管理-污染源指纹图谱查询</w:t>
            </w:r>
          </w:p>
        </w:tc>
        <w:tc>
          <w:tcPr>
            <w:tcW w:w="0" w:type="auto"/>
            <w:noWrap/>
            <w:vAlign w:val="center"/>
          </w:tcPr>
          <w:p w14:paraId="4DC759D7">
            <w:pPr>
              <w:pStyle w:val="11"/>
            </w:pPr>
            <w:r>
              <w:t>否</w:t>
            </w:r>
          </w:p>
        </w:tc>
      </w:tr>
      <w:tr w14:paraId="55D1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415B84A">
            <w:pPr>
              <w:pStyle w:val="11"/>
            </w:pPr>
            <w:r>
              <w:t>溯源分析模块-排放清单管理-水质指纹图谱库管理-污染源指纹图谱库更新管理</w:t>
            </w:r>
          </w:p>
        </w:tc>
        <w:tc>
          <w:tcPr>
            <w:tcW w:w="0" w:type="auto"/>
            <w:noWrap/>
            <w:vAlign w:val="center"/>
          </w:tcPr>
          <w:p w14:paraId="482038DF">
            <w:pPr>
              <w:pStyle w:val="11"/>
            </w:pPr>
            <w:r>
              <w:t>否</w:t>
            </w:r>
          </w:p>
        </w:tc>
      </w:tr>
      <w:tr w14:paraId="7716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ACC9B2B">
            <w:pPr>
              <w:pStyle w:val="11"/>
            </w:pPr>
            <w:r>
              <w:t>溯源分析模块-排放清单管理-水质指纹图谱库管理-图谱库开放权限管理</w:t>
            </w:r>
          </w:p>
        </w:tc>
        <w:tc>
          <w:tcPr>
            <w:tcW w:w="0" w:type="auto"/>
            <w:noWrap/>
            <w:vAlign w:val="center"/>
          </w:tcPr>
          <w:p w14:paraId="0861DD17">
            <w:pPr>
              <w:pStyle w:val="11"/>
            </w:pPr>
            <w:r>
              <w:t>否</w:t>
            </w:r>
          </w:p>
        </w:tc>
      </w:tr>
      <w:tr w14:paraId="15B4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D487F5B">
            <w:pPr>
              <w:pStyle w:val="11"/>
            </w:pPr>
            <w:r>
              <w:t>溯源分析模块-污染溯源模型应用-水质指纹预警-在线监测</w:t>
            </w:r>
          </w:p>
        </w:tc>
        <w:tc>
          <w:tcPr>
            <w:tcW w:w="0" w:type="auto"/>
            <w:noWrap/>
            <w:vAlign w:val="center"/>
          </w:tcPr>
          <w:p w14:paraId="6BD327F0">
            <w:pPr>
              <w:pStyle w:val="11"/>
            </w:pPr>
            <w:r>
              <w:t>否</w:t>
            </w:r>
          </w:p>
        </w:tc>
      </w:tr>
      <w:tr w14:paraId="7731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9F78B69">
            <w:pPr>
              <w:pStyle w:val="11"/>
            </w:pPr>
            <w:r>
              <w:t>溯源分析模块-污染溯源模型应用-水质指纹预警-污染超标预警</w:t>
            </w:r>
          </w:p>
        </w:tc>
        <w:tc>
          <w:tcPr>
            <w:tcW w:w="0" w:type="auto"/>
            <w:noWrap/>
            <w:vAlign w:val="center"/>
          </w:tcPr>
          <w:p w14:paraId="03CA6639">
            <w:pPr>
              <w:pStyle w:val="11"/>
            </w:pPr>
            <w:r>
              <w:t>否</w:t>
            </w:r>
          </w:p>
        </w:tc>
      </w:tr>
      <w:tr w14:paraId="1C24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18DAEC4">
            <w:pPr>
              <w:pStyle w:val="11"/>
            </w:pPr>
            <w:r>
              <w:t>溯源分析模块-污染溯源模型应用-水质指纹预警-指纹比对算法接口</w:t>
            </w:r>
          </w:p>
        </w:tc>
        <w:tc>
          <w:tcPr>
            <w:tcW w:w="0" w:type="auto"/>
            <w:noWrap/>
            <w:vAlign w:val="center"/>
          </w:tcPr>
          <w:p w14:paraId="439A0821">
            <w:pPr>
              <w:pStyle w:val="11"/>
            </w:pPr>
            <w:r>
              <w:t>否</w:t>
            </w:r>
          </w:p>
        </w:tc>
      </w:tr>
      <w:tr w14:paraId="0046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0B2D5CB">
            <w:pPr>
              <w:pStyle w:val="11"/>
            </w:pPr>
            <w:r>
              <w:t>溯源分析模块-污染溯源模型应用-水质指纹预警-水质指纹对比分析</w:t>
            </w:r>
          </w:p>
        </w:tc>
        <w:tc>
          <w:tcPr>
            <w:tcW w:w="0" w:type="auto"/>
            <w:noWrap/>
            <w:vAlign w:val="center"/>
          </w:tcPr>
          <w:p w14:paraId="0B3412A9">
            <w:pPr>
              <w:pStyle w:val="11"/>
            </w:pPr>
            <w:r>
              <w:t>否</w:t>
            </w:r>
          </w:p>
        </w:tc>
      </w:tr>
      <w:tr w14:paraId="2706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2190B40">
            <w:pPr>
              <w:pStyle w:val="11"/>
            </w:pPr>
            <w:r>
              <w:t>溯源分析模块-污染溯源模型应用-水质指纹预警-成果可视化</w:t>
            </w:r>
          </w:p>
        </w:tc>
        <w:tc>
          <w:tcPr>
            <w:tcW w:w="0" w:type="auto"/>
            <w:noWrap/>
            <w:vAlign w:val="center"/>
          </w:tcPr>
          <w:p w14:paraId="1631897C">
            <w:pPr>
              <w:pStyle w:val="11"/>
            </w:pPr>
            <w:r>
              <w:t>否</w:t>
            </w:r>
          </w:p>
        </w:tc>
      </w:tr>
      <w:tr w14:paraId="27DE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49F910E">
            <w:pPr>
              <w:pStyle w:val="11"/>
            </w:pPr>
            <w:r>
              <w:t>溯源分析模块-污染溯源模型应用-水质指纹预警-工单流程管理</w:t>
            </w:r>
          </w:p>
        </w:tc>
        <w:tc>
          <w:tcPr>
            <w:tcW w:w="0" w:type="auto"/>
            <w:noWrap/>
            <w:vAlign w:val="center"/>
          </w:tcPr>
          <w:p w14:paraId="6F52D5DC">
            <w:pPr>
              <w:pStyle w:val="11"/>
            </w:pPr>
            <w:r>
              <w:t>否</w:t>
            </w:r>
          </w:p>
        </w:tc>
      </w:tr>
      <w:tr w14:paraId="1977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618643B">
            <w:pPr>
              <w:pStyle w:val="11"/>
            </w:pPr>
            <w:r>
              <w:t>溯源分析模块-污染溯源模型应用-水质指纹预警-输出溯源分析报告</w:t>
            </w:r>
          </w:p>
        </w:tc>
        <w:tc>
          <w:tcPr>
            <w:tcW w:w="0" w:type="auto"/>
            <w:noWrap/>
            <w:vAlign w:val="center"/>
          </w:tcPr>
          <w:p w14:paraId="39E32D35">
            <w:pPr>
              <w:pStyle w:val="11"/>
            </w:pPr>
            <w:r>
              <w:t>否</w:t>
            </w:r>
          </w:p>
        </w:tc>
      </w:tr>
      <w:tr w14:paraId="2B72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65C9D53">
            <w:pPr>
              <w:pStyle w:val="11"/>
            </w:pPr>
            <w:r>
              <w:t>水源地模块-水源地保护区常态化检查-项目检查上报-施工项目检查上报</w:t>
            </w:r>
          </w:p>
        </w:tc>
        <w:tc>
          <w:tcPr>
            <w:tcW w:w="0" w:type="auto"/>
            <w:noWrap/>
            <w:vAlign w:val="center"/>
          </w:tcPr>
          <w:p w14:paraId="33729748">
            <w:pPr>
              <w:pStyle w:val="11"/>
            </w:pPr>
            <w:r>
              <w:t>是</w:t>
            </w:r>
          </w:p>
        </w:tc>
      </w:tr>
      <w:tr w14:paraId="542C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9F0B45C">
            <w:pPr>
              <w:pStyle w:val="11"/>
            </w:pPr>
            <w:r>
              <w:t>水源地模块-水源地保护区常态化检查-项目检查上报-日常检查上报</w:t>
            </w:r>
          </w:p>
        </w:tc>
        <w:tc>
          <w:tcPr>
            <w:tcW w:w="0" w:type="auto"/>
            <w:noWrap/>
            <w:vAlign w:val="center"/>
          </w:tcPr>
          <w:p w14:paraId="674A42FD">
            <w:pPr>
              <w:pStyle w:val="11"/>
            </w:pPr>
            <w:r>
              <w:t>是</w:t>
            </w:r>
          </w:p>
        </w:tc>
      </w:tr>
      <w:tr w14:paraId="0D49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DDF241D">
            <w:pPr>
              <w:pStyle w:val="11"/>
            </w:pPr>
            <w:r>
              <w:t>水源地模块-水源地保护区常态化检查-问题整改上报</w:t>
            </w:r>
          </w:p>
        </w:tc>
        <w:tc>
          <w:tcPr>
            <w:tcW w:w="0" w:type="auto"/>
            <w:noWrap/>
            <w:vAlign w:val="center"/>
          </w:tcPr>
          <w:p w14:paraId="0FF8490F">
            <w:pPr>
              <w:pStyle w:val="11"/>
            </w:pPr>
            <w:r>
              <w:t>是</w:t>
            </w:r>
          </w:p>
        </w:tc>
      </w:tr>
      <w:tr w14:paraId="739B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6D06778">
            <w:pPr>
              <w:pStyle w:val="11"/>
            </w:pPr>
            <w:r>
              <w:t>水源地模块-水源地保护区常态化检查-施工项目检查记录</w:t>
            </w:r>
          </w:p>
        </w:tc>
        <w:tc>
          <w:tcPr>
            <w:tcW w:w="0" w:type="auto"/>
            <w:noWrap/>
            <w:vAlign w:val="center"/>
          </w:tcPr>
          <w:p w14:paraId="22A2FAEE">
            <w:pPr>
              <w:pStyle w:val="11"/>
            </w:pPr>
            <w:r>
              <w:t>是</w:t>
            </w:r>
          </w:p>
        </w:tc>
      </w:tr>
      <w:tr w14:paraId="4BBA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C7BBDE0">
            <w:pPr>
              <w:pStyle w:val="11"/>
            </w:pPr>
            <w:r>
              <w:t>水源地模块-水源地保护区常态化检查-日常检查记录</w:t>
            </w:r>
          </w:p>
        </w:tc>
        <w:tc>
          <w:tcPr>
            <w:tcW w:w="0" w:type="auto"/>
            <w:noWrap/>
            <w:vAlign w:val="center"/>
          </w:tcPr>
          <w:p w14:paraId="43A9F120">
            <w:pPr>
              <w:pStyle w:val="11"/>
            </w:pPr>
            <w:r>
              <w:t>是</w:t>
            </w:r>
          </w:p>
        </w:tc>
      </w:tr>
      <w:tr w14:paraId="53DA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1D4F339">
            <w:pPr>
              <w:pStyle w:val="11"/>
            </w:pPr>
            <w:r>
              <w:t>水源地模块-水源地保护区常态化检查-问题整改销项台账</w:t>
            </w:r>
          </w:p>
        </w:tc>
        <w:tc>
          <w:tcPr>
            <w:tcW w:w="0" w:type="auto"/>
            <w:noWrap/>
            <w:vAlign w:val="center"/>
          </w:tcPr>
          <w:p w14:paraId="1F6C48F7">
            <w:pPr>
              <w:pStyle w:val="11"/>
            </w:pPr>
            <w:r>
              <w:t>是</w:t>
            </w:r>
          </w:p>
        </w:tc>
      </w:tr>
      <w:tr w14:paraId="5568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C159F41">
            <w:pPr>
              <w:pStyle w:val="11"/>
            </w:pPr>
            <w:r>
              <w:t>水源地模块-水源地保护区常态化检查-权限管理</w:t>
            </w:r>
          </w:p>
        </w:tc>
        <w:tc>
          <w:tcPr>
            <w:tcW w:w="0" w:type="auto"/>
            <w:noWrap/>
            <w:vAlign w:val="center"/>
          </w:tcPr>
          <w:p w14:paraId="22070B78">
            <w:pPr>
              <w:pStyle w:val="11"/>
            </w:pPr>
            <w:r>
              <w:t>是</w:t>
            </w:r>
          </w:p>
        </w:tc>
      </w:tr>
      <w:tr w14:paraId="3775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81F35F6">
            <w:pPr>
              <w:pStyle w:val="11"/>
            </w:pPr>
            <w:r>
              <w:t>水源地模块-水源地保护区巡查-巡查管理</w:t>
            </w:r>
          </w:p>
        </w:tc>
        <w:tc>
          <w:tcPr>
            <w:tcW w:w="0" w:type="auto"/>
            <w:noWrap/>
            <w:vAlign w:val="center"/>
          </w:tcPr>
          <w:p w14:paraId="11F60750">
            <w:pPr>
              <w:pStyle w:val="11"/>
            </w:pPr>
            <w:r>
              <w:t>是</w:t>
            </w:r>
          </w:p>
        </w:tc>
      </w:tr>
      <w:tr w14:paraId="4CB4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CA7EC2C">
            <w:pPr>
              <w:pStyle w:val="11"/>
            </w:pPr>
            <w:r>
              <w:t>水源地模块-水源地保护区巡查-巡查问题管理</w:t>
            </w:r>
          </w:p>
        </w:tc>
        <w:tc>
          <w:tcPr>
            <w:tcW w:w="0" w:type="auto"/>
            <w:noWrap/>
            <w:vAlign w:val="center"/>
          </w:tcPr>
          <w:p w14:paraId="2E193AFB">
            <w:pPr>
              <w:pStyle w:val="11"/>
            </w:pPr>
            <w:r>
              <w:t>是</w:t>
            </w:r>
          </w:p>
        </w:tc>
      </w:tr>
      <w:tr w14:paraId="1EF3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A678B66">
            <w:pPr>
              <w:pStyle w:val="11"/>
            </w:pPr>
            <w:r>
              <w:t>水源地模块-监测预警问题-遥感监测问题工单-问题工单流转流程</w:t>
            </w:r>
          </w:p>
        </w:tc>
        <w:tc>
          <w:tcPr>
            <w:tcW w:w="0" w:type="auto"/>
            <w:noWrap/>
            <w:vAlign w:val="center"/>
          </w:tcPr>
          <w:p w14:paraId="547D4E06">
            <w:pPr>
              <w:pStyle w:val="11"/>
            </w:pPr>
            <w:r>
              <w:t>是</w:t>
            </w:r>
          </w:p>
        </w:tc>
      </w:tr>
      <w:tr w14:paraId="0072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DF2BA95">
            <w:pPr>
              <w:pStyle w:val="11"/>
            </w:pPr>
            <w:r>
              <w:t>水源地模块-监测预警问题-遥感监测问题工单-生态处系统工单同步</w:t>
            </w:r>
          </w:p>
        </w:tc>
        <w:tc>
          <w:tcPr>
            <w:tcW w:w="0" w:type="auto"/>
            <w:noWrap/>
            <w:vAlign w:val="center"/>
          </w:tcPr>
          <w:p w14:paraId="5307FCE4">
            <w:pPr>
              <w:pStyle w:val="11"/>
            </w:pPr>
            <w:r>
              <w:t>是</w:t>
            </w:r>
          </w:p>
        </w:tc>
      </w:tr>
      <w:tr w14:paraId="7C0A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5A10FE2">
            <w:pPr>
              <w:pStyle w:val="11"/>
            </w:pPr>
            <w:r>
              <w:t>考核评估模块-水质改善评估-水生态考核评估-水生态达标分析</w:t>
            </w:r>
          </w:p>
        </w:tc>
        <w:tc>
          <w:tcPr>
            <w:tcW w:w="0" w:type="auto"/>
            <w:noWrap/>
            <w:vAlign w:val="center"/>
          </w:tcPr>
          <w:p w14:paraId="6D4807E5">
            <w:pPr>
              <w:pStyle w:val="11"/>
            </w:pPr>
            <w:r>
              <w:t>是</w:t>
            </w:r>
          </w:p>
        </w:tc>
      </w:tr>
      <w:tr w14:paraId="3052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04E1B10">
            <w:pPr>
              <w:pStyle w:val="11"/>
            </w:pPr>
            <w:r>
              <w:t>考核评估模块-水质改善评估-水生态考核评估-水生态监测评价数据管理和展示</w:t>
            </w:r>
          </w:p>
        </w:tc>
        <w:tc>
          <w:tcPr>
            <w:tcW w:w="0" w:type="auto"/>
            <w:noWrap/>
            <w:vAlign w:val="center"/>
          </w:tcPr>
          <w:p w14:paraId="0513BCCF">
            <w:pPr>
              <w:pStyle w:val="11"/>
            </w:pPr>
            <w:r>
              <w:t>是</w:t>
            </w:r>
          </w:p>
        </w:tc>
      </w:tr>
      <w:tr w14:paraId="5D16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4C707B1">
            <w:pPr>
              <w:pStyle w:val="11"/>
            </w:pPr>
            <w:r>
              <w:t>考核评估模块-美丽幸福河湖-河湖总览</w:t>
            </w:r>
          </w:p>
        </w:tc>
        <w:tc>
          <w:tcPr>
            <w:tcW w:w="0" w:type="auto"/>
            <w:noWrap/>
            <w:vAlign w:val="center"/>
          </w:tcPr>
          <w:p w14:paraId="3CFF4BFA">
            <w:pPr>
              <w:pStyle w:val="11"/>
            </w:pPr>
            <w:r>
              <w:t>是</w:t>
            </w:r>
          </w:p>
        </w:tc>
      </w:tr>
      <w:tr w14:paraId="759B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AFDCD34">
            <w:pPr>
              <w:pStyle w:val="11"/>
            </w:pPr>
            <w:r>
              <w:t>考核评估模块-美丽幸福河湖-准则层展示</w:t>
            </w:r>
          </w:p>
        </w:tc>
        <w:tc>
          <w:tcPr>
            <w:tcW w:w="0" w:type="auto"/>
            <w:noWrap/>
            <w:vAlign w:val="center"/>
          </w:tcPr>
          <w:p w14:paraId="561ED2CD">
            <w:pPr>
              <w:pStyle w:val="11"/>
            </w:pPr>
            <w:r>
              <w:t>是</w:t>
            </w:r>
          </w:p>
        </w:tc>
      </w:tr>
      <w:tr w14:paraId="5A31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9E7973E">
            <w:pPr>
              <w:pStyle w:val="11"/>
            </w:pPr>
            <w:r>
              <w:t>考核评估模块-美丽幸福河湖-示范美丽幸福河湖展示</w:t>
            </w:r>
          </w:p>
        </w:tc>
        <w:tc>
          <w:tcPr>
            <w:tcW w:w="0" w:type="auto"/>
            <w:noWrap/>
            <w:vAlign w:val="center"/>
          </w:tcPr>
          <w:p w14:paraId="69F83617">
            <w:pPr>
              <w:pStyle w:val="11"/>
            </w:pPr>
            <w:r>
              <w:t>是</w:t>
            </w:r>
          </w:p>
        </w:tc>
      </w:tr>
      <w:tr w14:paraId="3EA9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645944B">
            <w:pPr>
              <w:pStyle w:val="11"/>
            </w:pPr>
            <w:r>
              <w:t>考核评估模块-美丽幸福河湖-河湖信息录入</w:t>
            </w:r>
          </w:p>
        </w:tc>
        <w:tc>
          <w:tcPr>
            <w:tcW w:w="0" w:type="auto"/>
            <w:noWrap/>
            <w:vAlign w:val="center"/>
          </w:tcPr>
          <w:p w14:paraId="2BE5BFE5">
            <w:pPr>
              <w:pStyle w:val="11"/>
            </w:pPr>
            <w:r>
              <w:t>是</w:t>
            </w:r>
          </w:p>
        </w:tc>
      </w:tr>
      <w:tr w14:paraId="3AF3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F896CBB">
            <w:pPr>
              <w:pStyle w:val="11"/>
            </w:pPr>
            <w:r>
              <w:t>考核评估模块-美丽幸福河湖-评估结果录入</w:t>
            </w:r>
          </w:p>
        </w:tc>
        <w:tc>
          <w:tcPr>
            <w:tcW w:w="0" w:type="auto"/>
            <w:noWrap/>
            <w:vAlign w:val="center"/>
          </w:tcPr>
          <w:p w14:paraId="1D131903">
            <w:pPr>
              <w:pStyle w:val="11"/>
            </w:pPr>
            <w:r>
              <w:t>是</w:t>
            </w:r>
          </w:p>
        </w:tc>
      </w:tr>
      <w:tr w14:paraId="5E10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8042F88">
            <w:pPr>
              <w:pStyle w:val="11"/>
            </w:pPr>
            <w:r>
              <w:t>考核评估模块-美丽幸福河湖-美丽幸福河湖达标分析</w:t>
            </w:r>
          </w:p>
        </w:tc>
        <w:tc>
          <w:tcPr>
            <w:tcW w:w="0" w:type="auto"/>
            <w:noWrap/>
            <w:vAlign w:val="center"/>
          </w:tcPr>
          <w:p w14:paraId="3EAE0C72">
            <w:pPr>
              <w:pStyle w:val="11"/>
            </w:pPr>
            <w:r>
              <w:t>是</w:t>
            </w:r>
          </w:p>
        </w:tc>
      </w:tr>
      <w:tr w14:paraId="24B9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C95F43F">
            <w:pPr>
              <w:pStyle w:val="11"/>
            </w:pPr>
            <w:r>
              <w:t>水环境-海洋（湾）监管模块-海洋垃圾漂移预测溯源分析-大数据中心数据接入</w:t>
            </w:r>
          </w:p>
        </w:tc>
        <w:tc>
          <w:tcPr>
            <w:tcW w:w="0" w:type="auto"/>
            <w:noWrap/>
            <w:vAlign w:val="center"/>
          </w:tcPr>
          <w:p w14:paraId="7521012A">
            <w:pPr>
              <w:pStyle w:val="11"/>
            </w:pPr>
            <w:r>
              <w:t>是</w:t>
            </w:r>
          </w:p>
        </w:tc>
      </w:tr>
      <w:tr w14:paraId="4A1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780E390">
            <w:pPr>
              <w:pStyle w:val="11"/>
            </w:pPr>
            <w:r>
              <w:t>水环境-海洋（湾）监管模块-海洋垃圾漂移预测溯源分析-数据质量控制</w:t>
            </w:r>
          </w:p>
        </w:tc>
        <w:tc>
          <w:tcPr>
            <w:tcW w:w="0" w:type="auto"/>
            <w:noWrap/>
            <w:vAlign w:val="center"/>
          </w:tcPr>
          <w:p w14:paraId="1CAEECBD">
            <w:pPr>
              <w:pStyle w:val="11"/>
            </w:pPr>
            <w:r>
              <w:t>是</w:t>
            </w:r>
          </w:p>
        </w:tc>
      </w:tr>
      <w:tr w14:paraId="4EE7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732C7A4">
            <w:pPr>
              <w:pStyle w:val="11"/>
            </w:pPr>
            <w:r>
              <w:t>水环境-海洋（湾）监管模块-海洋垃圾漂移预测溯源分析-模型参数配置</w:t>
            </w:r>
          </w:p>
        </w:tc>
        <w:tc>
          <w:tcPr>
            <w:tcW w:w="0" w:type="auto"/>
            <w:noWrap/>
            <w:vAlign w:val="center"/>
          </w:tcPr>
          <w:p w14:paraId="02C11394">
            <w:pPr>
              <w:pStyle w:val="11"/>
            </w:pPr>
            <w:r>
              <w:t>是</w:t>
            </w:r>
          </w:p>
        </w:tc>
      </w:tr>
      <w:tr w14:paraId="2D79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BB5399D">
            <w:pPr>
              <w:pStyle w:val="11"/>
            </w:pPr>
            <w:r>
              <w:t>水环境-海洋（湾）监管模块-海洋垃圾漂移预测溯源分析-海洋垃圾漂移预测-多粒子轨迹模拟</w:t>
            </w:r>
          </w:p>
        </w:tc>
        <w:tc>
          <w:tcPr>
            <w:tcW w:w="0" w:type="auto"/>
            <w:noWrap/>
            <w:vAlign w:val="center"/>
          </w:tcPr>
          <w:p w14:paraId="2694DD6A">
            <w:pPr>
              <w:pStyle w:val="11"/>
            </w:pPr>
            <w:r>
              <w:t>是</w:t>
            </w:r>
          </w:p>
        </w:tc>
      </w:tr>
      <w:tr w14:paraId="6B16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E98943C">
            <w:pPr>
              <w:pStyle w:val="11"/>
            </w:pPr>
            <w:r>
              <w:t>水环境-海洋（湾）监管模块-海洋垃圾漂移预测溯源分析-海洋垃圾漂移预测-动态时间切片预测</w:t>
            </w:r>
          </w:p>
        </w:tc>
        <w:tc>
          <w:tcPr>
            <w:tcW w:w="0" w:type="auto"/>
            <w:noWrap/>
            <w:vAlign w:val="center"/>
          </w:tcPr>
          <w:p w14:paraId="7224AFC0">
            <w:pPr>
              <w:pStyle w:val="11"/>
            </w:pPr>
            <w:r>
              <w:t>是</w:t>
            </w:r>
          </w:p>
        </w:tc>
      </w:tr>
      <w:tr w14:paraId="548B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9146871">
            <w:pPr>
              <w:pStyle w:val="11"/>
            </w:pPr>
            <w:r>
              <w:t>水环境-海洋（湾）监管模块-海洋垃圾漂移预测溯源分析-海洋垃圾漂移预测-路径误差校准</w:t>
            </w:r>
          </w:p>
        </w:tc>
        <w:tc>
          <w:tcPr>
            <w:tcW w:w="0" w:type="auto"/>
            <w:noWrap/>
            <w:vAlign w:val="center"/>
          </w:tcPr>
          <w:p w14:paraId="6CE4AE9B">
            <w:pPr>
              <w:pStyle w:val="11"/>
            </w:pPr>
            <w:r>
              <w:t>是</w:t>
            </w:r>
          </w:p>
        </w:tc>
      </w:tr>
      <w:tr w14:paraId="7C46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5ABC7DC">
            <w:pPr>
              <w:pStyle w:val="11"/>
            </w:pPr>
            <w:r>
              <w:t>水环境-海洋（湾）监管模块-海洋垃圾漂移预测溯源分析-海洋垃圾漂移预测报告生成</w:t>
            </w:r>
          </w:p>
        </w:tc>
        <w:tc>
          <w:tcPr>
            <w:tcW w:w="0" w:type="auto"/>
            <w:noWrap/>
            <w:vAlign w:val="center"/>
          </w:tcPr>
          <w:p w14:paraId="2AAA01E5">
            <w:pPr>
              <w:pStyle w:val="11"/>
            </w:pPr>
            <w:r>
              <w:t>是</w:t>
            </w:r>
          </w:p>
        </w:tc>
      </w:tr>
      <w:tr w14:paraId="679B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AA04E86">
            <w:pPr>
              <w:pStyle w:val="11"/>
            </w:pPr>
            <w:r>
              <w:t>水环境-海洋（湾）监管模块-海洋垃圾漂移预测溯源分析-海洋垃圾源逆向溯源分析-反向轨迹追踪</w:t>
            </w:r>
          </w:p>
        </w:tc>
        <w:tc>
          <w:tcPr>
            <w:tcW w:w="0" w:type="auto"/>
            <w:noWrap/>
            <w:vAlign w:val="center"/>
          </w:tcPr>
          <w:p w14:paraId="1DEF154D">
            <w:pPr>
              <w:pStyle w:val="11"/>
            </w:pPr>
            <w:r>
              <w:t>是</w:t>
            </w:r>
          </w:p>
        </w:tc>
      </w:tr>
      <w:tr w14:paraId="7FCE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FF90016">
            <w:pPr>
              <w:pStyle w:val="11"/>
            </w:pPr>
            <w:r>
              <w:t>水环境-海洋（湾）监管模块-海洋垃圾漂移预测溯源分析-海洋垃圾源逆向溯源分析-多因子关联分析</w:t>
            </w:r>
          </w:p>
        </w:tc>
        <w:tc>
          <w:tcPr>
            <w:tcW w:w="0" w:type="auto"/>
            <w:noWrap/>
            <w:vAlign w:val="center"/>
          </w:tcPr>
          <w:p w14:paraId="006A15F4">
            <w:pPr>
              <w:pStyle w:val="11"/>
            </w:pPr>
            <w:r>
              <w:t>是</w:t>
            </w:r>
          </w:p>
        </w:tc>
      </w:tr>
      <w:tr w14:paraId="6D75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E02CC52">
            <w:pPr>
              <w:pStyle w:val="11"/>
            </w:pPr>
            <w:r>
              <w:t>水环境-海洋（湾）监管模块-海洋垃圾漂移预测溯源分析-海洋垃圾源逆向溯源分析-溯源报告生成</w:t>
            </w:r>
          </w:p>
        </w:tc>
        <w:tc>
          <w:tcPr>
            <w:tcW w:w="0" w:type="auto"/>
            <w:noWrap/>
            <w:vAlign w:val="center"/>
          </w:tcPr>
          <w:p w14:paraId="62FEFAEC">
            <w:pPr>
              <w:pStyle w:val="11"/>
            </w:pPr>
            <w:r>
              <w:t>是</w:t>
            </w:r>
          </w:p>
        </w:tc>
      </w:tr>
      <w:tr w14:paraId="7C0C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828A3BE">
            <w:pPr>
              <w:pStyle w:val="11"/>
            </w:pPr>
            <w:r>
              <w:t>水环境-海洋（湾）监管模块-综合态势-海洋环境动态监测</w:t>
            </w:r>
          </w:p>
        </w:tc>
        <w:tc>
          <w:tcPr>
            <w:tcW w:w="0" w:type="auto"/>
            <w:noWrap/>
            <w:vAlign w:val="center"/>
          </w:tcPr>
          <w:p w14:paraId="68F0D539">
            <w:pPr>
              <w:pStyle w:val="11"/>
            </w:pPr>
            <w:r>
              <w:t>是</w:t>
            </w:r>
          </w:p>
        </w:tc>
      </w:tr>
      <w:tr w14:paraId="2F19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F9F6AD6">
            <w:pPr>
              <w:pStyle w:val="11"/>
            </w:pPr>
            <w:r>
              <w:t>水环境-海洋（湾）监管模块-综合态势-多维度数据融合展示</w:t>
            </w:r>
          </w:p>
        </w:tc>
        <w:tc>
          <w:tcPr>
            <w:tcW w:w="0" w:type="auto"/>
            <w:noWrap/>
            <w:vAlign w:val="center"/>
          </w:tcPr>
          <w:p w14:paraId="05D47000">
            <w:pPr>
              <w:pStyle w:val="11"/>
            </w:pPr>
            <w:r>
              <w:t>是</w:t>
            </w:r>
          </w:p>
        </w:tc>
      </w:tr>
      <w:tr w14:paraId="6384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F392B67">
            <w:pPr>
              <w:pStyle w:val="11"/>
            </w:pPr>
            <w:r>
              <w:t>水环境-海洋（湾）监管模块-分析画像-海洋生态健康画像</w:t>
            </w:r>
          </w:p>
        </w:tc>
        <w:tc>
          <w:tcPr>
            <w:tcW w:w="0" w:type="auto"/>
            <w:noWrap/>
            <w:vAlign w:val="center"/>
          </w:tcPr>
          <w:p w14:paraId="163794C4">
            <w:pPr>
              <w:pStyle w:val="11"/>
            </w:pPr>
            <w:r>
              <w:t>是</w:t>
            </w:r>
          </w:p>
        </w:tc>
      </w:tr>
      <w:tr w14:paraId="753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2262C9E">
            <w:pPr>
              <w:pStyle w:val="11"/>
            </w:pPr>
            <w:r>
              <w:t>水环境-海洋（湾）监管模块-分析画像-海洋垃圾污染画像</w:t>
            </w:r>
          </w:p>
        </w:tc>
        <w:tc>
          <w:tcPr>
            <w:tcW w:w="0" w:type="auto"/>
            <w:noWrap/>
            <w:vAlign w:val="center"/>
          </w:tcPr>
          <w:p w14:paraId="5C307CCF">
            <w:pPr>
              <w:pStyle w:val="11"/>
            </w:pPr>
            <w:r>
              <w:t>是</w:t>
            </w:r>
          </w:p>
        </w:tc>
      </w:tr>
      <w:tr w14:paraId="0D7A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36DA51E">
            <w:pPr>
              <w:pStyle w:val="11"/>
            </w:pPr>
            <w:r>
              <w:t>水环境-海洋（湾）监管模块-问题发现与工单流转-问题智能发现与工单派发</w:t>
            </w:r>
          </w:p>
        </w:tc>
        <w:tc>
          <w:tcPr>
            <w:tcW w:w="0" w:type="auto"/>
            <w:noWrap/>
            <w:vAlign w:val="center"/>
          </w:tcPr>
          <w:p w14:paraId="707AA431">
            <w:pPr>
              <w:pStyle w:val="11"/>
            </w:pPr>
            <w:r>
              <w:t>是</w:t>
            </w:r>
          </w:p>
        </w:tc>
      </w:tr>
      <w:tr w14:paraId="60FC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145565C">
            <w:pPr>
              <w:pStyle w:val="11"/>
            </w:pPr>
            <w:r>
              <w:t>水环境-海洋（湾）监管模块-问题发现与工单流转-任务执行与过程监控</w:t>
            </w:r>
          </w:p>
        </w:tc>
        <w:tc>
          <w:tcPr>
            <w:tcW w:w="0" w:type="auto"/>
            <w:noWrap/>
            <w:vAlign w:val="center"/>
          </w:tcPr>
          <w:p w14:paraId="2705F8DF">
            <w:pPr>
              <w:pStyle w:val="11"/>
            </w:pPr>
            <w:r>
              <w:t>是</w:t>
            </w:r>
          </w:p>
        </w:tc>
      </w:tr>
      <w:tr w14:paraId="3752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55B558D">
            <w:pPr>
              <w:pStyle w:val="11"/>
            </w:pPr>
            <w:r>
              <w:t>2、上海市碳排放综合管理子系统升级改造</w:t>
            </w:r>
          </w:p>
        </w:tc>
        <w:tc>
          <w:tcPr>
            <w:tcW w:w="0" w:type="auto"/>
            <w:noWrap/>
            <w:vAlign w:val="center"/>
          </w:tcPr>
          <w:p w14:paraId="2D2AE95A">
            <w:pPr>
              <w:pStyle w:val="11"/>
            </w:pPr>
          </w:p>
        </w:tc>
      </w:tr>
      <w:tr w14:paraId="5878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5EEE93F">
            <w:pPr>
              <w:pStyle w:val="11"/>
            </w:pPr>
            <w:r>
              <w:t>功能名称</w:t>
            </w:r>
          </w:p>
        </w:tc>
        <w:tc>
          <w:tcPr>
            <w:tcW w:w="0" w:type="auto"/>
            <w:noWrap/>
            <w:vAlign w:val="center"/>
          </w:tcPr>
          <w:p w14:paraId="395152AC">
            <w:pPr>
              <w:pStyle w:val="11"/>
            </w:pPr>
          </w:p>
        </w:tc>
      </w:tr>
      <w:tr w14:paraId="34EF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D8318D5">
            <w:pPr>
              <w:pStyle w:val="11"/>
            </w:pPr>
            <w:r>
              <w:t>碳普惠管理子系统-碳普惠新增碳减排场景建设及已有场景功能优化-碳普惠管理子系统-碳普惠新增碳减排场景建设及已有场景功能优化-扩展减排场景</w:t>
            </w:r>
          </w:p>
        </w:tc>
        <w:tc>
          <w:tcPr>
            <w:tcW w:w="0" w:type="auto"/>
            <w:noWrap/>
            <w:vAlign w:val="center"/>
          </w:tcPr>
          <w:p w14:paraId="725A122A">
            <w:pPr>
              <w:pStyle w:val="11"/>
            </w:pPr>
            <w:r>
              <w:t>是</w:t>
            </w:r>
          </w:p>
        </w:tc>
      </w:tr>
      <w:tr w14:paraId="297A7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E4809B7">
            <w:pPr>
              <w:pStyle w:val="11"/>
            </w:pPr>
            <w:r>
              <w:t>碳普惠管理子系统-碳普惠新增碳减排场景建设及已有场景功能优化-碳普惠管理子系统-碳普惠新增碳减排场景建设及已有场景功能优化-一体化办公平台对接</w:t>
            </w:r>
          </w:p>
        </w:tc>
        <w:tc>
          <w:tcPr>
            <w:tcW w:w="0" w:type="auto"/>
            <w:noWrap/>
            <w:vAlign w:val="center"/>
          </w:tcPr>
          <w:p w14:paraId="6BFD9AD3">
            <w:pPr>
              <w:pStyle w:val="11"/>
            </w:pPr>
            <w:r>
              <w:t>是</w:t>
            </w:r>
          </w:p>
        </w:tc>
      </w:tr>
      <w:tr w14:paraId="64E0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DEED219">
            <w:pPr>
              <w:pStyle w:val="11"/>
            </w:pPr>
            <w:r>
              <w:t>碳普惠管理子系统-碳普惠新增碳减排场景建设及已有场景功能优化-碳普惠管理子系统-碳普惠新增碳减排场景建设及已有场景功能优化-菜单配置及审批流程改造</w:t>
            </w:r>
          </w:p>
        </w:tc>
        <w:tc>
          <w:tcPr>
            <w:tcW w:w="0" w:type="auto"/>
            <w:noWrap/>
            <w:vAlign w:val="center"/>
          </w:tcPr>
          <w:p w14:paraId="45D4FA28">
            <w:pPr>
              <w:pStyle w:val="11"/>
            </w:pPr>
            <w:r>
              <w:t>是</w:t>
            </w:r>
          </w:p>
        </w:tc>
      </w:tr>
      <w:tr w14:paraId="43E2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C57265F">
            <w:pPr>
              <w:pStyle w:val="11"/>
            </w:pPr>
            <w:r>
              <w:t>碳普惠管理子系统-碳普惠新增碳减排场景建设及已有场景功能优化-碳普惠管理子系统-碳普惠新增碳减排场景建设及已有场景功能优化-方法学库管理</w:t>
            </w:r>
          </w:p>
        </w:tc>
        <w:tc>
          <w:tcPr>
            <w:tcW w:w="0" w:type="auto"/>
            <w:noWrap/>
            <w:vAlign w:val="center"/>
          </w:tcPr>
          <w:p w14:paraId="46FC0351">
            <w:pPr>
              <w:pStyle w:val="11"/>
            </w:pPr>
            <w:r>
              <w:t>是</w:t>
            </w:r>
          </w:p>
        </w:tc>
      </w:tr>
      <w:tr w14:paraId="0B85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5BD24DB">
            <w:pPr>
              <w:pStyle w:val="11"/>
            </w:pPr>
            <w:r>
              <w:t>碳普惠管理子系统-碳普惠新增碳减排场景建设及已有场景功能优化-碳普惠管理子系统-碳普惠新增碳减排场景建设及已有场景功能优化-减排场景库管理</w:t>
            </w:r>
          </w:p>
        </w:tc>
        <w:tc>
          <w:tcPr>
            <w:tcW w:w="0" w:type="auto"/>
            <w:noWrap/>
            <w:vAlign w:val="center"/>
          </w:tcPr>
          <w:p w14:paraId="55AEA447">
            <w:pPr>
              <w:pStyle w:val="11"/>
            </w:pPr>
            <w:r>
              <w:t>是</w:t>
            </w:r>
          </w:p>
        </w:tc>
      </w:tr>
      <w:tr w14:paraId="7858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9DBEB92">
            <w:pPr>
              <w:pStyle w:val="11"/>
            </w:pPr>
            <w:r>
              <w:t>碳普惠管理子系统-碳普惠新增碳减排场景建设及已有场景功能优化-碳普惠管理子系统-碳普惠新增碳减排场景建设及已有场景功能优化-减排项目库管理</w:t>
            </w:r>
          </w:p>
        </w:tc>
        <w:tc>
          <w:tcPr>
            <w:tcW w:w="0" w:type="auto"/>
            <w:noWrap/>
            <w:vAlign w:val="center"/>
          </w:tcPr>
          <w:p w14:paraId="40254888">
            <w:pPr>
              <w:pStyle w:val="11"/>
            </w:pPr>
            <w:r>
              <w:t>是</w:t>
            </w:r>
          </w:p>
        </w:tc>
      </w:tr>
      <w:tr w14:paraId="11F9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A7B2B47">
            <w:pPr>
              <w:pStyle w:val="11"/>
            </w:pPr>
            <w:r>
              <w:t>碳普惠管理子系统-碳普惠新增碳减排场景建设及已有场景功能优化-碳普惠管理子系统-碳普惠新增碳减排场景建设及已有场景功能优化-权益商城库管理</w:t>
            </w:r>
          </w:p>
        </w:tc>
        <w:tc>
          <w:tcPr>
            <w:tcW w:w="0" w:type="auto"/>
            <w:noWrap/>
            <w:vAlign w:val="center"/>
          </w:tcPr>
          <w:p w14:paraId="35CA70C3">
            <w:pPr>
              <w:pStyle w:val="11"/>
            </w:pPr>
            <w:r>
              <w:t>是</w:t>
            </w:r>
          </w:p>
        </w:tc>
      </w:tr>
      <w:tr w14:paraId="7209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210867C">
            <w:pPr>
              <w:pStyle w:val="11"/>
            </w:pPr>
            <w:r>
              <w:t>碳普惠管理子系统-碳普惠新增碳减排场景建设及已有场景功能优化-碳普惠管理子系统-碳普惠新增碳减排场景建设及已有场景功能优化-项目/场景线上评分管理</w:t>
            </w:r>
          </w:p>
        </w:tc>
        <w:tc>
          <w:tcPr>
            <w:tcW w:w="0" w:type="auto"/>
            <w:noWrap/>
            <w:vAlign w:val="center"/>
          </w:tcPr>
          <w:p w14:paraId="027E3824">
            <w:pPr>
              <w:pStyle w:val="11"/>
            </w:pPr>
            <w:r>
              <w:t>是</w:t>
            </w:r>
          </w:p>
        </w:tc>
      </w:tr>
      <w:tr w14:paraId="573A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BAF352E">
            <w:pPr>
              <w:pStyle w:val="11"/>
            </w:pPr>
            <w:r>
              <w:t>碳普惠管理子系统-碳普惠新增碳减排场景建设及已有场景功能优化-碳普惠管理子系统-碳普惠新增碳减排场景建设及已有场景功能优化-技术评估会管理</w:t>
            </w:r>
          </w:p>
        </w:tc>
        <w:tc>
          <w:tcPr>
            <w:tcW w:w="0" w:type="auto"/>
            <w:noWrap/>
            <w:vAlign w:val="center"/>
          </w:tcPr>
          <w:p w14:paraId="615A6DDE">
            <w:pPr>
              <w:pStyle w:val="11"/>
            </w:pPr>
            <w:r>
              <w:t>是</w:t>
            </w:r>
          </w:p>
        </w:tc>
      </w:tr>
      <w:tr w14:paraId="7C17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E0CD480">
            <w:pPr>
              <w:pStyle w:val="11"/>
            </w:pPr>
            <w:r>
              <w:t>碳普惠管理子系统-碳普惠新增碳减排场景建设及已有场景功能优化-碳普惠管理子系统-碳普惠新增碳减排场景建设及已有场景功能优化-场景/权益平台对接配置</w:t>
            </w:r>
          </w:p>
        </w:tc>
        <w:tc>
          <w:tcPr>
            <w:tcW w:w="0" w:type="auto"/>
            <w:noWrap/>
            <w:vAlign w:val="center"/>
          </w:tcPr>
          <w:p w14:paraId="7031C5F1">
            <w:pPr>
              <w:pStyle w:val="11"/>
            </w:pPr>
            <w:r>
              <w:t>是</w:t>
            </w:r>
          </w:p>
        </w:tc>
      </w:tr>
      <w:tr w14:paraId="33AF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168427D">
            <w:pPr>
              <w:pStyle w:val="11"/>
            </w:pPr>
            <w:r>
              <w:t>碳普惠管理子系统-碳普惠资产管理优化-碳普惠管理子系统-碳普惠资产管理优化-一般减排量及整存减排量追溯</w:t>
            </w:r>
          </w:p>
        </w:tc>
        <w:tc>
          <w:tcPr>
            <w:tcW w:w="0" w:type="auto"/>
            <w:noWrap/>
            <w:vAlign w:val="center"/>
          </w:tcPr>
          <w:p w14:paraId="1749A88C">
            <w:pPr>
              <w:pStyle w:val="11"/>
            </w:pPr>
            <w:r>
              <w:t>是</w:t>
            </w:r>
          </w:p>
        </w:tc>
      </w:tr>
      <w:tr w14:paraId="7BDB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4191A39">
            <w:pPr>
              <w:pStyle w:val="11"/>
            </w:pPr>
            <w:r>
              <w:t>碳普惠管理子系统-碳普惠资产管理优化-碳普惠管理子系统-碳普惠资产管理优化-碳账户多级管理</w:t>
            </w:r>
          </w:p>
        </w:tc>
        <w:tc>
          <w:tcPr>
            <w:tcW w:w="0" w:type="auto"/>
            <w:noWrap/>
            <w:vAlign w:val="center"/>
          </w:tcPr>
          <w:p w14:paraId="19F66887">
            <w:pPr>
              <w:pStyle w:val="11"/>
            </w:pPr>
            <w:r>
              <w:t>是</w:t>
            </w:r>
          </w:p>
        </w:tc>
      </w:tr>
      <w:tr w14:paraId="4770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EE56415">
            <w:pPr>
              <w:pStyle w:val="11"/>
            </w:pPr>
            <w:r>
              <w:t>碳普惠管理子系统-碳普惠资产管理优化-碳普惠管理子系统-碳普惠资产管理优化-减排量查询及自动审查管理</w:t>
            </w:r>
          </w:p>
        </w:tc>
        <w:tc>
          <w:tcPr>
            <w:tcW w:w="0" w:type="auto"/>
            <w:noWrap/>
            <w:vAlign w:val="center"/>
          </w:tcPr>
          <w:p w14:paraId="04CB16EC">
            <w:pPr>
              <w:pStyle w:val="11"/>
            </w:pPr>
            <w:r>
              <w:t>是</w:t>
            </w:r>
          </w:p>
        </w:tc>
      </w:tr>
      <w:tr w14:paraId="3C6B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14C61C7">
            <w:pPr>
              <w:pStyle w:val="11"/>
            </w:pPr>
            <w:r>
              <w:t>碳普惠管理子系统-碳普惠资产管理优化-碳普惠管理子系统-碳普惠资产管理优化-报表生成和导出</w:t>
            </w:r>
          </w:p>
        </w:tc>
        <w:tc>
          <w:tcPr>
            <w:tcW w:w="0" w:type="auto"/>
            <w:noWrap/>
            <w:vAlign w:val="center"/>
          </w:tcPr>
          <w:p w14:paraId="00E8AEE3">
            <w:pPr>
              <w:pStyle w:val="11"/>
            </w:pPr>
            <w:r>
              <w:t>是</w:t>
            </w:r>
          </w:p>
        </w:tc>
      </w:tr>
      <w:tr w14:paraId="05CD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54ABC6C">
            <w:pPr>
              <w:pStyle w:val="11"/>
            </w:pPr>
            <w:r>
              <w:t>碳普惠管理子系统-碳普惠—碳普惠专区-一网通办碳普惠专区-碳普惠管理子系统-碳普惠—碳普惠专区-一网通办碳普惠专区-光伏项目管理流程重构</w:t>
            </w:r>
          </w:p>
        </w:tc>
        <w:tc>
          <w:tcPr>
            <w:tcW w:w="0" w:type="auto"/>
            <w:noWrap/>
            <w:vAlign w:val="center"/>
          </w:tcPr>
          <w:p w14:paraId="533F2A04">
            <w:pPr>
              <w:pStyle w:val="11"/>
            </w:pPr>
            <w:r>
              <w:t>是</w:t>
            </w:r>
          </w:p>
        </w:tc>
      </w:tr>
      <w:tr w14:paraId="6DC2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5004243">
            <w:pPr>
              <w:pStyle w:val="11"/>
            </w:pPr>
            <w:r>
              <w:t>碳普惠管理子系统-碳普惠—碳普惠专区-一网通办碳普惠专区-碳普惠管理子系统-碳普惠—碳普惠专区-一网通办碳普惠专区-数据签发减排量流程</w:t>
            </w:r>
          </w:p>
        </w:tc>
        <w:tc>
          <w:tcPr>
            <w:tcW w:w="0" w:type="auto"/>
            <w:noWrap/>
            <w:vAlign w:val="center"/>
          </w:tcPr>
          <w:p w14:paraId="5E854918">
            <w:pPr>
              <w:pStyle w:val="11"/>
            </w:pPr>
            <w:r>
              <w:t>是</w:t>
            </w:r>
          </w:p>
        </w:tc>
      </w:tr>
      <w:tr w14:paraId="2DB6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D94816A">
            <w:pPr>
              <w:pStyle w:val="11"/>
            </w:pPr>
            <w:r>
              <w:t>大型活动碳中和管理功能模块-计划申报-大型活动碳中和管理功能模块-计划申报-</w:t>
            </w:r>
          </w:p>
        </w:tc>
        <w:tc>
          <w:tcPr>
            <w:tcW w:w="0" w:type="auto"/>
            <w:noWrap/>
            <w:vAlign w:val="center"/>
          </w:tcPr>
          <w:p w14:paraId="1CB9BDD1">
            <w:pPr>
              <w:pStyle w:val="11"/>
            </w:pPr>
            <w:r>
              <w:t>否</w:t>
            </w:r>
          </w:p>
        </w:tc>
      </w:tr>
      <w:tr w14:paraId="4096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912F903">
            <w:pPr>
              <w:pStyle w:val="11"/>
            </w:pPr>
            <w:r>
              <w:t>大型活动碳中和管理功能模块-碳排放量化-大型活动碳中和管理功能模块-碳排放量化-碳排放量诊断</w:t>
            </w:r>
          </w:p>
        </w:tc>
        <w:tc>
          <w:tcPr>
            <w:tcW w:w="0" w:type="auto"/>
            <w:noWrap/>
            <w:vAlign w:val="center"/>
          </w:tcPr>
          <w:p w14:paraId="3104D3E2">
            <w:pPr>
              <w:pStyle w:val="11"/>
            </w:pPr>
            <w:r>
              <w:t>否</w:t>
            </w:r>
          </w:p>
        </w:tc>
      </w:tr>
      <w:tr w14:paraId="755E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BBA79C1">
            <w:pPr>
              <w:pStyle w:val="11"/>
            </w:pPr>
            <w:r>
              <w:t>大型活动碳中和管理功能模块-碳排放量化-大型活动碳中和管理功能模块-碳排放量化-碳排放量核验</w:t>
            </w:r>
          </w:p>
        </w:tc>
        <w:tc>
          <w:tcPr>
            <w:tcW w:w="0" w:type="auto"/>
            <w:noWrap/>
            <w:vAlign w:val="center"/>
          </w:tcPr>
          <w:p w14:paraId="6811C2DD">
            <w:pPr>
              <w:pStyle w:val="11"/>
            </w:pPr>
            <w:r>
              <w:t>否</w:t>
            </w:r>
          </w:p>
        </w:tc>
      </w:tr>
      <w:tr w14:paraId="74DD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D615109">
            <w:pPr>
              <w:pStyle w:val="11"/>
            </w:pPr>
            <w:r>
              <w:t>大型活动碳中和管理功能模块-碳抵销与管理-大型活动碳中和管理功能模块-碳抵销与管理-</w:t>
            </w:r>
          </w:p>
        </w:tc>
        <w:tc>
          <w:tcPr>
            <w:tcW w:w="0" w:type="auto"/>
            <w:noWrap/>
            <w:vAlign w:val="center"/>
          </w:tcPr>
          <w:p w14:paraId="598AAA58">
            <w:pPr>
              <w:pStyle w:val="11"/>
            </w:pPr>
            <w:r>
              <w:t>否</w:t>
            </w:r>
          </w:p>
        </w:tc>
      </w:tr>
      <w:tr w14:paraId="30EA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054EC90">
            <w:pPr>
              <w:pStyle w:val="11"/>
            </w:pPr>
            <w:r>
              <w:t>大型活动碳中和管理功能模块-碳中和认证-大型活动碳中和管理功能模块-碳中和认证-</w:t>
            </w:r>
          </w:p>
        </w:tc>
        <w:tc>
          <w:tcPr>
            <w:tcW w:w="0" w:type="auto"/>
            <w:noWrap/>
            <w:vAlign w:val="center"/>
          </w:tcPr>
          <w:p w14:paraId="0EFA6866">
            <w:pPr>
              <w:pStyle w:val="11"/>
            </w:pPr>
            <w:r>
              <w:t>否</w:t>
            </w:r>
          </w:p>
        </w:tc>
      </w:tr>
      <w:tr w14:paraId="5130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852C745">
            <w:pPr>
              <w:pStyle w:val="11"/>
            </w:pPr>
            <w:r>
              <w:t>大型活动碳中和管理功能模块-试点项目管理-大型活动碳中和管理功能模块-试点项目管理-试点名单创建与复核</w:t>
            </w:r>
          </w:p>
        </w:tc>
        <w:tc>
          <w:tcPr>
            <w:tcW w:w="0" w:type="auto"/>
            <w:noWrap/>
            <w:vAlign w:val="center"/>
          </w:tcPr>
          <w:p w14:paraId="750AF7CB">
            <w:pPr>
              <w:pStyle w:val="11"/>
            </w:pPr>
            <w:r>
              <w:t>否</w:t>
            </w:r>
          </w:p>
        </w:tc>
      </w:tr>
      <w:tr w14:paraId="7B2B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1098A39">
            <w:pPr>
              <w:pStyle w:val="11"/>
            </w:pPr>
            <w:r>
              <w:t>大型活动碳中和管理功能模块-试点项目管理-大型活动碳中和管理功能模块-试点项目管理-试点实施情况汇总</w:t>
            </w:r>
          </w:p>
        </w:tc>
        <w:tc>
          <w:tcPr>
            <w:tcW w:w="0" w:type="auto"/>
            <w:noWrap/>
            <w:vAlign w:val="center"/>
          </w:tcPr>
          <w:p w14:paraId="4B4F36E2">
            <w:pPr>
              <w:pStyle w:val="11"/>
            </w:pPr>
            <w:r>
              <w:t>否</w:t>
            </w:r>
          </w:p>
        </w:tc>
      </w:tr>
      <w:tr w14:paraId="4A19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3B402A6">
            <w:pPr>
              <w:pStyle w:val="11"/>
            </w:pPr>
            <w:r>
              <w:t>大型活动碳中和管理功能模块-活动跟踪与评估-大型活动碳中和管理功能模块-活动跟踪与评估-排放源影响分析</w:t>
            </w:r>
          </w:p>
        </w:tc>
        <w:tc>
          <w:tcPr>
            <w:tcW w:w="0" w:type="auto"/>
            <w:noWrap/>
            <w:vAlign w:val="center"/>
          </w:tcPr>
          <w:p w14:paraId="44512725">
            <w:pPr>
              <w:pStyle w:val="11"/>
            </w:pPr>
            <w:r>
              <w:t>否</w:t>
            </w:r>
          </w:p>
        </w:tc>
      </w:tr>
      <w:tr w14:paraId="0671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F14E2A5">
            <w:pPr>
              <w:pStyle w:val="11"/>
            </w:pPr>
            <w:r>
              <w:t>大型活动碳中和管理功能模块-活动跟踪与评估-大型活动碳中和管理功能模块-活动跟踪与评估-碳中和效果评估</w:t>
            </w:r>
          </w:p>
        </w:tc>
        <w:tc>
          <w:tcPr>
            <w:tcW w:w="0" w:type="auto"/>
            <w:noWrap/>
            <w:vAlign w:val="center"/>
          </w:tcPr>
          <w:p w14:paraId="333F526E">
            <w:pPr>
              <w:pStyle w:val="11"/>
            </w:pPr>
            <w:r>
              <w:t>否</w:t>
            </w:r>
          </w:p>
        </w:tc>
      </w:tr>
      <w:tr w14:paraId="3D5D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51FD1A8">
            <w:pPr>
              <w:pStyle w:val="11"/>
            </w:pPr>
            <w:r>
              <w:t>温室气体清单编制及管理模块-市/区活动水平协同调度-温室气体清单编制及管理模块-市/区活动水平协同调度-能源活动管理</w:t>
            </w:r>
          </w:p>
        </w:tc>
        <w:tc>
          <w:tcPr>
            <w:tcW w:w="0" w:type="auto"/>
            <w:noWrap/>
            <w:vAlign w:val="center"/>
          </w:tcPr>
          <w:p w14:paraId="60009DEC">
            <w:pPr>
              <w:pStyle w:val="11"/>
            </w:pPr>
            <w:r>
              <w:t>否</w:t>
            </w:r>
          </w:p>
        </w:tc>
      </w:tr>
      <w:tr w14:paraId="026F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24854CF">
            <w:pPr>
              <w:pStyle w:val="11"/>
            </w:pPr>
            <w:r>
              <w:t>温室气体清单编制及管理模块-市/区活动水平协同调度-温室气体清单编制及管理模块-市/区活动水平协同调度-工业生产过程管理</w:t>
            </w:r>
          </w:p>
        </w:tc>
        <w:tc>
          <w:tcPr>
            <w:tcW w:w="0" w:type="auto"/>
            <w:noWrap/>
            <w:vAlign w:val="center"/>
          </w:tcPr>
          <w:p w14:paraId="11CF5F56">
            <w:pPr>
              <w:pStyle w:val="11"/>
            </w:pPr>
            <w:r>
              <w:t>否</w:t>
            </w:r>
          </w:p>
        </w:tc>
      </w:tr>
      <w:tr w14:paraId="1BC3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E1A4DE8">
            <w:pPr>
              <w:pStyle w:val="11"/>
            </w:pPr>
            <w:r>
              <w:t>温室气体清单编制及管理模块-市/区活动水平协同调度-温室气体清单编制及管理模块-市/区活动水平协同调度-其他活动管理</w:t>
            </w:r>
          </w:p>
        </w:tc>
        <w:tc>
          <w:tcPr>
            <w:tcW w:w="0" w:type="auto"/>
            <w:noWrap/>
            <w:vAlign w:val="center"/>
          </w:tcPr>
          <w:p w14:paraId="4F116F38">
            <w:pPr>
              <w:pStyle w:val="11"/>
            </w:pPr>
            <w:r>
              <w:t>否</w:t>
            </w:r>
          </w:p>
        </w:tc>
      </w:tr>
      <w:tr w14:paraId="35A4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6C9762B">
            <w:pPr>
              <w:pStyle w:val="11"/>
            </w:pPr>
            <w:r>
              <w:t>温室气体清单编制及管理模块-温室气体排放清单编制-温室气体清单编制及管理模块-温室气体排放清单编制-排放清单版本管理</w:t>
            </w:r>
          </w:p>
        </w:tc>
        <w:tc>
          <w:tcPr>
            <w:tcW w:w="0" w:type="auto"/>
            <w:noWrap/>
            <w:vAlign w:val="center"/>
          </w:tcPr>
          <w:p w14:paraId="64402D94">
            <w:pPr>
              <w:pStyle w:val="11"/>
            </w:pPr>
            <w:r>
              <w:t>否</w:t>
            </w:r>
          </w:p>
        </w:tc>
      </w:tr>
      <w:tr w14:paraId="0974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B0285D1">
            <w:pPr>
              <w:pStyle w:val="11"/>
            </w:pPr>
            <w:r>
              <w:t>温室气体清单编制及管理模块-温室气体排放清单编制-温室气体清单编制及管理模块-温室气体排放清单编制-温室气体排量核定</w:t>
            </w:r>
          </w:p>
        </w:tc>
        <w:tc>
          <w:tcPr>
            <w:tcW w:w="0" w:type="auto"/>
            <w:noWrap/>
            <w:vAlign w:val="center"/>
          </w:tcPr>
          <w:p w14:paraId="5AF03987">
            <w:pPr>
              <w:pStyle w:val="11"/>
            </w:pPr>
            <w:r>
              <w:t>否</w:t>
            </w:r>
          </w:p>
        </w:tc>
      </w:tr>
      <w:tr w14:paraId="3E64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248D95E">
            <w:pPr>
              <w:pStyle w:val="11"/>
            </w:pPr>
            <w:r>
              <w:t>温室气体清单编制及管理模块-温室气体排放清单编制-温室气体清单编制及管理模块-温室气体排放清单编制-编制方案个性化管理</w:t>
            </w:r>
          </w:p>
        </w:tc>
        <w:tc>
          <w:tcPr>
            <w:tcW w:w="0" w:type="auto"/>
            <w:noWrap/>
            <w:vAlign w:val="center"/>
          </w:tcPr>
          <w:p w14:paraId="5CF46583">
            <w:pPr>
              <w:pStyle w:val="11"/>
            </w:pPr>
            <w:r>
              <w:t>否</w:t>
            </w:r>
          </w:p>
        </w:tc>
      </w:tr>
      <w:tr w14:paraId="0ED4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F58704A">
            <w:pPr>
              <w:pStyle w:val="11"/>
            </w:pPr>
            <w:r>
              <w:t>温室气体清单编制及管理模块-温室气体综合评价-温室气体清单编制及管理模块-温室气体综合评价-区域基准碳画像</w:t>
            </w:r>
          </w:p>
        </w:tc>
        <w:tc>
          <w:tcPr>
            <w:tcW w:w="0" w:type="auto"/>
            <w:noWrap/>
            <w:vAlign w:val="center"/>
          </w:tcPr>
          <w:p w14:paraId="08CAE5C7">
            <w:pPr>
              <w:pStyle w:val="11"/>
            </w:pPr>
            <w:r>
              <w:t>否</w:t>
            </w:r>
          </w:p>
        </w:tc>
      </w:tr>
      <w:tr w14:paraId="3AE5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B0E3FA6">
            <w:pPr>
              <w:pStyle w:val="11"/>
            </w:pPr>
            <w:r>
              <w:t>温室气体清单编制及管理模块-温室气体综合评价-温室气体清单编制及管理模块-温室气体综合评价-排放特征差异分析</w:t>
            </w:r>
          </w:p>
        </w:tc>
        <w:tc>
          <w:tcPr>
            <w:tcW w:w="0" w:type="auto"/>
            <w:noWrap/>
            <w:vAlign w:val="center"/>
          </w:tcPr>
          <w:p w14:paraId="0F4C3729">
            <w:pPr>
              <w:pStyle w:val="11"/>
            </w:pPr>
            <w:r>
              <w:t>否</w:t>
            </w:r>
          </w:p>
        </w:tc>
      </w:tr>
      <w:tr w14:paraId="6107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4411051">
            <w:pPr>
              <w:pStyle w:val="11"/>
            </w:pPr>
            <w:r>
              <w:t>温室气体清单编制及管理模块-温室气体综合评价-温室气体清单编制及管理模块-温室气体综合评价-碳排历史演进分析</w:t>
            </w:r>
          </w:p>
        </w:tc>
        <w:tc>
          <w:tcPr>
            <w:tcW w:w="0" w:type="auto"/>
            <w:noWrap/>
            <w:vAlign w:val="center"/>
          </w:tcPr>
          <w:p w14:paraId="6161ADC7">
            <w:pPr>
              <w:pStyle w:val="11"/>
            </w:pPr>
            <w:r>
              <w:t>否</w:t>
            </w:r>
          </w:p>
        </w:tc>
      </w:tr>
      <w:tr w14:paraId="20CE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28C686F">
            <w:pPr>
              <w:pStyle w:val="11"/>
            </w:pPr>
            <w:r>
              <w:t>温室气体清单编制及管理模块-温室气体排放清单报告管理-温室气体清单编制及管理模块-温室气体排放清单报告管理-温室气体排放清单报告管理</w:t>
            </w:r>
          </w:p>
        </w:tc>
        <w:tc>
          <w:tcPr>
            <w:tcW w:w="0" w:type="auto"/>
            <w:noWrap/>
            <w:vAlign w:val="center"/>
          </w:tcPr>
          <w:p w14:paraId="3D9C163D">
            <w:pPr>
              <w:pStyle w:val="11"/>
            </w:pPr>
            <w:r>
              <w:t>否</w:t>
            </w:r>
          </w:p>
        </w:tc>
      </w:tr>
      <w:tr w14:paraId="4307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EB20876">
            <w:pPr>
              <w:pStyle w:val="11"/>
            </w:pPr>
            <w:r>
              <w:t>3、碳普惠链和隐私计算</w:t>
            </w:r>
          </w:p>
        </w:tc>
        <w:tc>
          <w:tcPr>
            <w:tcW w:w="0" w:type="auto"/>
            <w:noWrap/>
            <w:vAlign w:val="center"/>
          </w:tcPr>
          <w:p w14:paraId="4FDD9D41">
            <w:pPr>
              <w:pStyle w:val="11"/>
            </w:pPr>
          </w:p>
        </w:tc>
      </w:tr>
      <w:tr w14:paraId="7F30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65A7EDB">
            <w:pPr>
              <w:pStyle w:val="11"/>
            </w:pPr>
            <w:r>
              <w:t>功能名称</w:t>
            </w:r>
          </w:p>
        </w:tc>
        <w:tc>
          <w:tcPr>
            <w:tcW w:w="0" w:type="auto"/>
            <w:noWrap/>
            <w:vAlign w:val="center"/>
          </w:tcPr>
          <w:p w14:paraId="6DD24217">
            <w:pPr>
              <w:pStyle w:val="11"/>
            </w:pPr>
          </w:p>
        </w:tc>
      </w:tr>
      <w:tr w14:paraId="10C1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73C5AD8">
            <w:pPr>
              <w:pStyle w:val="11"/>
            </w:pPr>
            <w:r>
              <w:t>碳普惠服务链-碳账户管理合约-创建子场景碳账户</w:t>
            </w:r>
          </w:p>
        </w:tc>
        <w:tc>
          <w:tcPr>
            <w:tcW w:w="0" w:type="auto"/>
            <w:noWrap/>
            <w:vAlign w:val="center"/>
          </w:tcPr>
          <w:p w14:paraId="1302C5C7">
            <w:pPr>
              <w:pStyle w:val="11"/>
            </w:pPr>
            <w:r>
              <w:t>否</w:t>
            </w:r>
          </w:p>
        </w:tc>
      </w:tr>
      <w:tr w14:paraId="166D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BA2489C">
            <w:pPr>
              <w:pStyle w:val="11"/>
            </w:pPr>
            <w:r>
              <w:t>碳账户管理合约-查询子场景碳账户</w:t>
            </w:r>
          </w:p>
        </w:tc>
        <w:tc>
          <w:tcPr>
            <w:tcW w:w="0" w:type="auto"/>
            <w:noWrap/>
            <w:vAlign w:val="center"/>
          </w:tcPr>
          <w:p w14:paraId="35667C83">
            <w:pPr>
              <w:pStyle w:val="11"/>
            </w:pPr>
            <w:r>
              <w:t>否</w:t>
            </w:r>
          </w:p>
        </w:tc>
      </w:tr>
      <w:tr w14:paraId="2003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7F0116A">
            <w:pPr>
              <w:pStyle w:val="11"/>
            </w:pPr>
            <w:r>
              <w:t>碳账户管理合约-注销碳主账户</w:t>
            </w:r>
          </w:p>
        </w:tc>
        <w:tc>
          <w:tcPr>
            <w:tcW w:w="0" w:type="auto"/>
            <w:noWrap/>
            <w:vAlign w:val="center"/>
          </w:tcPr>
          <w:p w14:paraId="3E0EDB56">
            <w:pPr>
              <w:pStyle w:val="11"/>
            </w:pPr>
            <w:r>
              <w:t>否</w:t>
            </w:r>
          </w:p>
        </w:tc>
      </w:tr>
      <w:tr w14:paraId="7A76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FE6070D">
            <w:pPr>
              <w:pStyle w:val="11"/>
            </w:pPr>
            <w:r>
              <w:t>碳账户管理合约-注销子场景碳账户</w:t>
            </w:r>
          </w:p>
        </w:tc>
        <w:tc>
          <w:tcPr>
            <w:tcW w:w="0" w:type="auto"/>
            <w:noWrap/>
            <w:vAlign w:val="center"/>
          </w:tcPr>
          <w:p w14:paraId="60258ED0">
            <w:pPr>
              <w:pStyle w:val="11"/>
            </w:pPr>
            <w:r>
              <w:t>否</w:t>
            </w:r>
          </w:p>
        </w:tc>
      </w:tr>
      <w:tr w14:paraId="14FE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8A17D77">
            <w:pPr>
              <w:pStyle w:val="11"/>
            </w:pPr>
            <w:r>
              <w:t>一般减排量管理合约-查询减排量签发申请记录</w:t>
            </w:r>
          </w:p>
        </w:tc>
        <w:tc>
          <w:tcPr>
            <w:tcW w:w="0" w:type="auto"/>
            <w:noWrap/>
            <w:vAlign w:val="center"/>
          </w:tcPr>
          <w:p w14:paraId="1584CD3F">
            <w:pPr>
              <w:pStyle w:val="11"/>
            </w:pPr>
            <w:r>
              <w:t>否</w:t>
            </w:r>
          </w:p>
        </w:tc>
      </w:tr>
      <w:tr w14:paraId="15E1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EC5B9DC">
            <w:pPr>
              <w:pStyle w:val="11"/>
            </w:pPr>
            <w:r>
              <w:t>一般减排量管理合约-更新一般减排量</w:t>
            </w:r>
          </w:p>
        </w:tc>
        <w:tc>
          <w:tcPr>
            <w:tcW w:w="0" w:type="auto"/>
            <w:noWrap/>
            <w:vAlign w:val="center"/>
          </w:tcPr>
          <w:p w14:paraId="78019808">
            <w:pPr>
              <w:pStyle w:val="11"/>
            </w:pPr>
            <w:r>
              <w:t>否</w:t>
            </w:r>
          </w:p>
        </w:tc>
      </w:tr>
      <w:tr w14:paraId="20F6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538EFF5">
            <w:pPr>
              <w:pStyle w:val="11"/>
            </w:pPr>
            <w:r>
              <w:t>一般减排量管理合约-场景方注销一般减排量</w:t>
            </w:r>
          </w:p>
        </w:tc>
        <w:tc>
          <w:tcPr>
            <w:tcW w:w="0" w:type="auto"/>
            <w:noWrap/>
            <w:vAlign w:val="center"/>
          </w:tcPr>
          <w:p w14:paraId="737A38EA">
            <w:pPr>
              <w:pStyle w:val="11"/>
            </w:pPr>
            <w:r>
              <w:t>否</w:t>
            </w:r>
          </w:p>
        </w:tc>
      </w:tr>
      <w:tr w14:paraId="6790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FDA62FF">
            <w:pPr>
              <w:pStyle w:val="11"/>
            </w:pPr>
            <w:r>
              <w:t>一般减排量管理合约-一般减排量资产查询</w:t>
            </w:r>
          </w:p>
        </w:tc>
        <w:tc>
          <w:tcPr>
            <w:tcW w:w="0" w:type="auto"/>
            <w:noWrap/>
            <w:vAlign w:val="center"/>
          </w:tcPr>
          <w:p w14:paraId="62AD7293">
            <w:pPr>
              <w:pStyle w:val="11"/>
            </w:pPr>
            <w:r>
              <w:t>否</w:t>
            </w:r>
          </w:p>
        </w:tc>
      </w:tr>
      <w:tr w14:paraId="07AC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4C06363">
            <w:pPr>
              <w:pStyle w:val="11"/>
            </w:pPr>
            <w:r>
              <w:t>一般减排量管理合约-一般减排量资产追溯</w:t>
            </w:r>
          </w:p>
        </w:tc>
        <w:tc>
          <w:tcPr>
            <w:tcW w:w="0" w:type="auto"/>
            <w:noWrap/>
            <w:vAlign w:val="center"/>
          </w:tcPr>
          <w:p w14:paraId="7581A342">
            <w:pPr>
              <w:pStyle w:val="11"/>
            </w:pPr>
            <w:r>
              <w:t>否</w:t>
            </w:r>
          </w:p>
        </w:tc>
      </w:tr>
      <w:tr w14:paraId="06CB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A7CA897">
            <w:pPr>
              <w:pStyle w:val="11"/>
            </w:pPr>
            <w:r>
              <w:t>一般减排量管理合约-一般减排量有效期处置</w:t>
            </w:r>
          </w:p>
        </w:tc>
        <w:tc>
          <w:tcPr>
            <w:tcW w:w="0" w:type="auto"/>
            <w:noWrap/>
            <w:vAlign w:val="center"/>
          </w:tcPr>
          <w:p w14:paraId="68742CD6">
            <w:pPr>
              <w:pStyle w:val="11"/>
            </w:pPr>
            <w:r>
              <w:t>否</w:t>
            </w:r>
          </w:p>
        </w:tc>
      </w:tr>
      <w:tr w14:paraId="378E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BCE8160">
            <w:pPr>
              <w:pStyle w:val="11"/>
            </w:pPr>
            <w:r>
              <w:t>一般减排量交易账本-一般减排量交易记账</w:t>
            </w:r>
          </w:p>
        </w:tc>
        <w:tc>
          <w:tcPr>
            <w:tcW w:w="0" w:type="auto"/>
            <w:noWrap/>
            <w:vAlign w:val="center"/>
          </w:tcPr>
          <w:p w14:paraId="70E471FA">
            <w:pPr>
              <w:pStyle w:val="11"/>
            </w:pPr>
            <w:r>
              <w:t>否</w:t>
            </w:r>
          </w:p>
        </w:tc>
      </w:tr>
      <w:tr w14:paraId="6D65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EB711C3">
            <w:pPr>
              <w:pStyle w:val="11"/>
            </w:pPr>
            <w:r>
              <w:t>一般减排量交易账本-一般减排量交易查询</w:t>
            </w:r>
          </w:p>
        </w:tc>
        <w:tc>
          <w:tcPr>
            <w:tcW w:w="0" w:type="auto"/>
            <w:noWrap/>
            <w:vAlign w:val="center"/>
          </w:tcPr>
          <w:p w14:paraId="5865EC2A">
            <w:pPr>
              <w:pStyle w:val="11"/>
            </w:pPr>
            <w:r>
              <w:t>否</w:t>
            </w:r>
          </w:p>
        </w:tc>
      </w:tr>
      <w:tr w14:paraId="302B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AD9DBDF">
            <w:pPr>
              <w:pStyle w:val="11"/>
            </w:pPr>
            <w:r>
              <w:t>一般减排量交易账本-一般减排量交易明细记账</w:t>
            </w:r>
          </w:p>
        </w:tc>
        <w:tc>
          <w:tcPr>
            <w:tcW w:w="0" w:type="auto"/>
            <w:noWrap/>
            <w:vAlign w:val="center"/>
          </w:tcPr>
          <w:p w14:paraId="0874EE68">
            <w:pPr>
              <w:pStyle w:val="11"/>
            </w:pPr>
            <w:r>
              <w:t>否</w:t>
            </w:r>
          </w:p>
        </w:tc>
      </w:tr>
      <w:tr w14:paraId="5F46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9457DC7">
            <w:pPr>
              <w:pStyle w:val="11"/>
            </w:pPr>
            <w:r>
              <w:t>一般减排量交易账本-一般减排量交易明细查询</w:t>
            </w:r>
          </w:p>
        </w:tc>
        <w:tc>
          <w:tcPr>
            <w:tcW w:w="0" w:type="auto"/>
            <w:noWrap/>
            <w:vAlign w:val="center"/>
          </w:tcPr>
          <w:p w14:paraId="45AEA7DE">
            <w:pPr>
              <w:pStyle w:val="11"/>
            </w:pPr>
            <w:r>
              <w:t>否</w:t>
            </w:r>
          </w:p>
        </w:tc>
      </w:tr>
      <w:tr w14:paraId="5FB0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B71FF08">
            <w:pPr>
              <w:pStyle w:val="11"/>
            </w:pPr>
            <w:r>
              <w:t>里程码表合约-新增地铁站点距离</w:t>
            </w:r>
          </w:p>
        </w:tc>
        <w:tc>
          <w:tcPr>
            <w:tcW w:w="0" w:type="auto"/>
            <w:noWrap/>
            <w:vAlign w:val="center"/>
          </w:tcPr>
          <w:p w14:paraId="7F3EB069">
            <w:pPr>
              <w:pStyle w:val="11"/>
            </w:pPr>
            <w:r>
              <w:t>否</w:t>
            </w:r>
          </w:p>
        </w:tc>
      </w:tr>
      <w:tr w14:paraId="56F0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E6CA45E">
            <w:pPr>
              <w:pStyle w:val="11"/>
            </w:pPr>
            <w:r>
              <w:t>里程码表合约-更新地铁站点距离</w:t>
            </w:r>
          </w:p>
        </w:tc>
        <w:tc>
          <w:tcPr>
            <w:tcW w:w="0" w:type="auto"/>
            <w:noWrap/>
            <w:vAlign w:val="center"/>
          </w:tcPr>
          <w:p w14:paraId="60DD39E2">
            <w:pPr>
              <w:pStyle w:val="11"/>
            </w:pPr>
            <w:r>
              <w:t>否</w:t>
            </w:r>
          </w:p>
        </w:tc>
      </w:tr>
      <w:tr w14:paraId="3196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2EC8CA0">
            <w:pPr>
              <w:pStyle w:val="11"/>
            </w:pPr>
            <w:r>
              <w:t>里程码表合约-根据ID查询码表信息</w:t>
            </w:r>
          </w:p>
        </w:tc>
        <w:tc>
          <w:tcPr>
            <w:tcW w:w="0" w:type="auto"/>
            <w:noWrap/>
            <w:vAlign w:val="center"/>
          </w:tcPr>
          <w:p w14:paraId="2EF78B8E">
            <w:pPr>
              <w:pStyle w:val="11"/>
            </w:pPr>
            <w:r>
              <w:t>否</w:t>
            </w:r>
          </w:p>
        </w:tc>
      </w:tr>
      <w:tr w14:paraId="0095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8494A3A">
            <w:pPr>
              <w:pStyle w:val="11"/>
            </w:pPr>
            <w:r>
              <w:t>里程码表合约-查询站点间距离</w:t>
            </w:r>
          </w:p>
        </w:tc>
        <w:tc>
          <w:tcPr>
            <w:tcW w:w="0" w:type="auto"/>
            <w:noWrap/>
            <w:vAlign w:val="center"/>
          </w:tcPr>
          <w:p w14:paraId="6B8B2B03">
            <w:pPr>
              <w:pStyle w:val="11"/>
            </w:pPr>
            <w:r>
              <w:t>否</w:t>
            </w:r>
          </w:p>
        </w:tc>
      </w:tr>
      <w:tr w14:paraId="0A79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4227906">
            <w:pPr>
              <w:pStyle w:val="11"/>
            </w:pPr>
            <w:r>
              <w:t>里程码表合约-码表历史版本追溯</w:t>
            </w:r>
          </w:p>
        </w:tc>
        <w:tc>
          <w:tcPr>
            <w:tcW w:w="0" w:type="auto"/>
            <w:noWrap/>
            <w:vAlign w:val="center"/>
          </w:tcPr>
          <w:p w14:paraId="7A17D156">
            <w:pPr>
              <w:pStyle w:val="11"/>
            </w:pPr>
            <w:r>
              <w:t>否</w:t>
            </w:r>
          </w:p>
        </w:tc>
      </w:tr>
      <w:tr w14:paraId="2888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CB78C9D">
            <w:pPr>
              <w:pStyle w:val="11"/>
            </w:pPr>
            <w:r>
              <w:t>隐私计算复核合约-隐私计算抽样复核记录存证</w:t>
            </w:r>
          </w:p>
        </w:tc>
        <w:tc>
          <w:tcPr>
            <w:tcW w:w="0" w:type="auto"/>
            <w:noWrap/>
            <w:vAlign w:val="center"/>
          </w:tcPr>
          <w:p w14:paraId="296837CF">
            <w:pPr>
              <w:pStyle w:val="11"/>
            </w:pPr>
            <w:r>
              <w:t>否</w:t>
            </w:r>
          </w:p>
        </w:tc>
      </w:tr>
      <w:tr w14:paraId="65FE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8889BBC">
            <w:pPr>
              <w:pStyle w:val="11"/>
            </w:pPr>
            <w:r>
              <w:t>隐私计算复核合约-隐私计算抽样复核记录更新</w:t>
            </w:r>
          </w:p>
        </w:tc>
        <w:tc>
          <w:tcPr>
            <w:tcW w:w="0" w:type="auto"/>
            <w:noWrap/>
            <w:vAlign w:val="center"/>
          </w:tcPr>
          <w:p w14:paraId="326421BC">
            <w:pPr>
              <w:pStyle w:val="11"/>
            </w:pPr>
            <w:r>
              <w:t>否</w:t>
            </w:r>
          </w:p>
        </w:tc>
      </w:tr>
      <w:tr w14:paraId="63EC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51B8F1E">
            <w:pPr>
              <w:pStyle w:val="11"/>
            </w:pPr>
            <w:r>
              <w:t>隐私计算复核合约-隐私计算抽样复核结果查验</w:t>
            </w:r>
          </w:p>
        </w:tc>
        <w:tc>
          <w:tcPr>
            <w:tcW w:w="0" w:type="auto"/>
            <w:noWrap/>
            <w:vAlign w:val="center"/>
          </w:tcPr>
          <w:p w14:paraId="7EE7E3E9">
            <w:pPr>
              <w:pStyle w:val="11"/>
            </w:pPr>
            <w:r>
              <w:t>否</w:t>
            </w:r>
          </w:p>
        </w:tc>
      </w:tr>
      <w:tr w14:paraId="4C00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0DCCDD0">
            <w:pPr>
              <w:pStyle w:val="11"/>
            </w:pPr>
            <w:r>
              <w:t>碳积分管理合约-积分转一般减排量</w:t>
            </w:r>
          </w:p>
        </w:tc>
        <w:tc>
          <w:tcPr>
            <w:tcW w:w="0" w:type="auto"/>
            <w:noWrap/>
            <w:vAlign w:val="center"/>
          </w:tcPr>
          <w:p w14:paraId="0857673C">
            <w:pPr>
              <w:pStyle w:val="11"/>
            </w:pPr>
            <w:r>
              <w:t>否</w:t>
            </w:r>
          </w:p>
        </w:tc>
      </w:tr>
      <w:tr w14:paraId="6570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D7ABF96">
            <w:pPr>
              <w:pStyle w:val="11"/>
            </w:pPr>
            <w:r>
              <w:t>碳积分管理合约-积分失效处置</w:t>
            </w:r>
          </w:p>
        </w:tc>
        <w:tc>
          <w:tcPr>
            <w:tcW w:w="0" w:type="auto"/>
            <w:noWrap/>
            <w:vAlign w:val="center"/>
          </w:tcPr>
          <w:p w14:paraId="1760D9DB">
            <w:pPr>
              <w:pStyle w:val="11"/>
            </w:pPr>
            <w:r>
              <w:t>否</w:t>
            </w:r>
          </w:p>
        </w:tc>
      </w:tr>
      <w:tr w14:paraId="16D8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362127C">
            <w:pPr>
              <w:pStyle w:val="11"/>
            </w:pPr>
            <w:r>
              <w:t>碳积分管理合约-碳积分资产追溯</w:t>
            </w:r>
          </w:p>
        </w:tc>
        <w:tc>
          <w:tcPr>
            <w:tcW w:w="0" w:type="auto"/>
            <w:noWrap/>
            <w:vAlign w:val="center"/>
          </w:tcPr>
          <w:p w14:paraId="1094A89D">
            <w:pPr>
              <w:pStyle w:val="11"/>
            </w:pPr>
            <w:r>
              <w:t>否</w:t>
            </w:r>
          </w:p>
        </w:tc>
      </w:tr>
      <w:tr w14:paraId="694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A7DB256">
            <w:pPr>
              <w:pStyle w:val="11"/>
            </w:pPr>
            <w:r>
              <w:t>碳积分交易账本-碳积分交易记账</w:t>
            </w:r>
          </w:p>
        </w:tc>
        <w:tc>
          <w:tcPr>
            <w:tcW w:w="0" w:type="auto"/>
            <w:noWrap/>
            <w:vAlign w:val="center"/>
          </w:tcPr>
          <w:p w14:paraId="462DD982">
            <w:pPr>
              <w:pStyle w:val="11"/>
            </w:pPr>
            <w:r>
              <w:t>否</w:t>
            </w:r>
          </w:p>
        </w:tc>
      </w:tr>
      <w:tr w14:paraId="35AC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E8534AF">
            <w:pPr>
              <w:pStyle w:val="11"/>
            </w:pPr>
            <w:r>
              <w:t>碳积分交易账本-碳积分交易查询</w:t>
            </w:r>
          </w:p>
        </w:tc>
        <w:tc>
          <w:tcPr>
            <w:tcW w:w="0" w:type="auto"/>
            <w:noWrap/>
            <w:vAlign w:val="center"/>
          </w:tcPr>
          <w:p w14:paraId="68548479">
            <w:pPr>
              <w:pStyle w:val="11"/>
            </w:pPr>
            <w:r>
              <w:t>否</w:t>
            </w:r>
          </w:p>
        </w:tc>
      </w:tr>
      <w:tr w14:paraId="40A0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3566BDD">
            <w:pPr>
              <w:pStyle w:val="11"/>
            </w:pPr>
            <w:r>
              <w:t>碳积分交易账本-碳积分交易明细记账</w:t>
            </w:r>
          </w:p>
        </w:tc>
        <w:tc>
          <w:tcPr>
            <w:tcW w:w="0" w:type="auto"/>
            <w:noWrap/>
            <w:vAlign w:val="center"/>
          </w:tcPr>
          <w:p w14:paraId="648BC0F2">
            <w:pPr>
              <w:pStyle w:val="11"/>
            </w:pPr>
            <w:r>
              <w:t>否</w:t>
            </w:r>
          </w:p>
        </w:tc>
      </w:tr>
      <w:tr w14:paraId="17E3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851C6A1">
            <w:pPr>
              <w:pStyle w:val="11"/>
            </w:pPr>
            <w:r>
              <w:t>碳积分交易账本-碳积分交易明细查询</w:t>
            </w:r>
          </w:p>
        </w:tc>
        <w:tc>
          <w:tcPr>
            <w:tcW w:w="0" w:type="auto"/>
            <w:noWrap/>
            <w:vAlign w:val="center"/>
          </w:tcPr>
          <w:p w14:paraId="5B95E671">
            <w:pPr>
              <w:pStyle w:val="11"/>
            </w:pPr>
            <w:r>
              <w:t>否</w:t>
            </w:r>
          </w:p>
        </w:tc>
      </w:tr>
      <w:tr w14:paraId="53EF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8DB6DA5">
            <w:pPr>
              <w:pStyle w:val="11"/>
            </w:pPr>
            <w:r>
              <w:t>整存减排量资产管理合约-一般转整存</w:t>
            </w:r>
          </w:p>
        </w:tc>
        <w:tc>
          <w:tcPr>
            <w:tcW w:w="0" w:type="auto"/>
            <w:noWrap/>
            <w:vAlign w:val="center"/>
          </w:tcPr>
          <w:p w14:paraId="2CF3A5D5">
            <w:pPr>
              <w:pStyle w:val="11"/>
            </w:pPr>
            <w:r>
              <w:t>否</w:t>
            </w:r>
          </w:p>
        </w:tc>
      </w:tr>
      <w:tr w14:paraId="5B9E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6BC8AFF">
            <w:pPr>
              <w:pStyle w:val="11"/>
            </w:pPr>
            <w:r>
              <w:t>整存减排量资产管理合约-整存减排量自愿注销</w:t>
            </w:r>
          </w:p>
        </w:tc>
        <w:tc>
          <w:tcPr>
            <w:tcW w:w="0" w:type="auto"/>
            <w:noWrap/>
            <w:vAlign w:val="center"/>
          </w:tcPr>
          <w:p w14:paraId="1FAC4919">
            <w:pPr>
              <w:pStyle w:val="11"/>
            </w:pPr>
            <w:r>
              <w:t>否</w:t>
            </w:r>
          </w:p>
        </w:tc>
      </w:tr>
      <w:tr w14:paraId="6B4C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94DF2DF">
            <w:pPr>
              <w:pStyle w:val="11"/>
            </w:pPr>
            <w:r>
              <w:t>整存减排量资产管理合约-整存减排量资产查询</w:t>
            </w:r>
          </w:p>
        </w:tc>
        <w:tc>
          <w:tcPr>
            <w:tcW w:w="0" w:type="auto"/>
            <w:noWrap/>
            <w:vAlign w:val="center"/>
          </w:tcPr>
          <w:p w14:paraId="687A10BA">
            <w:pPr>
              <w:pStyle w:val="11"/>
            </w:pPr>
            <w:r>
              <w:t>否</w:t>
            </w:r>
          </w:p>
        </w:tc>
      </w:tr>
      <w:tr w14:paraId="717E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0EC9869">
            <w:pPr>
              <w:pStyle w:val="11"/>
            </w:pPr>
            <w:r>
              <w:t>整存减排量资产管理合约-整存减排量资产追溯</w:t>
            </w:r>
          </w:p>
        </w:tc>
        <w:tc>
          <w:tcPr>
            <w:tcW w:w="0" w:type="auto"/>
            <w:noWrap/>
            <w:vAlign w:val="center"/>
          </w:tcPr>
          <w:p w14:paraId="3A7EB64E">
            <w:pPr>
              <w:pStyle w:val="11"/>
            </w:pPr>
            <w:r>
              <w:t>否</w:t>
            </w:r>
          </w:p>
        </w:tc>
      </w:tr>
      <w:tr w14:paraId="1715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8F09F3C">
            <w:pPr>
              <w:pStyle w:val="11"/>
            </w:pPr>
            <w:r>
              <w:t>整存减排量交易账本-整存减排量交易记账</w:t>
            </w:r>
          </w:p>
        </w:tc>
        <w:tc>
          <w:tcPr>
            <w:tcW w:w="0" w:type="auto"/>
            <w:noWrap/>
            <w:vAlign w:val="center"/>
          </w:tcPr>
          <w:p w14:paraId="42246A85">
            <w:pPr>
              <w:pStyle w:val="11"/>
            </w:pPr>
            <w:r>
              <w:t>否</w:t>
            </w:r>
          </w:p>
        </w:tc>
      </w:tr>
      <w:tr w14:paraId="0D13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4B0604D">
            <w:pPr>
              <w:pStyle w:val="11"/>
            </w:pPr>
            <w:r>
              <w:t>整存减排量交易账本-整存减排量交易查询</w:t>
            </w:r>
          </w:p>
        </w:tc>
        <w:tc>
          <w:tcPr>
            <w:tcW w:w="0" w:type="auto"/>
            <w:noWrap/>
            <w:vAlign w:val="center"/>
          </w:tcPr>
          <w:p w14:paraId="0A22C334">
            <w:pPr>
              <w:pStyle w:val="11"/>
            </w:pPr>
            <w:r>
              <w:t>否</w:t>
            </w:r>
          </w:p>
        </w:tc>
      </w:tr>
      <w:tr w14:paraId="77AC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78633B6">
            <w:pPr>
              <w:pStyle w:val="11"/>
            </w:pPr>
            <w:r>
              <w:t>整存减排量交易账本-整存减排量交易明细记账</w:t>
            </w:r>
          </w:p>
        </w:tc>
        <w:tc>
          <w:tcPr>
            <w:tcW w:w="0" w:type="auto"/>
            <w:noWrap/>
            <w:vAlign w:val="center"/>
          </w:tcPr>
          <w:p w14:paraId="4F727A39">
            <w:pPr>
              <w:pStyle w:val="11"/>
            </w:pPr>
            <w:r>
              <w:t>否</w:t>
            </w:r>
          </w:p>
        </w:tc>
      </w:tr>
      <w:tr w14:paraId="5A34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A213C0F">
            <w:pPr>
              <w:pStyle w:val="11"/>
            </w:pPr>
            <w:r>
              <w:t>整存减排量交易账本-整存减排量交易明细查询</w:t>
            </w:r>
          </w:p>
        </w:tc>
        <w:tc>
          <w:tcPr>
            <w:tcW w:w="0" w:type="auto"/>
            <w:noWrap/>
            <w:vAlign w:val="center"/>
          </w:tcPr>
          <w:p w14:paraId="7032F63B">
            <w:pPr>
              <w:pStyle w:val="11"/>
            </w:pPr>
            <w:r>
              <w:t>否</w:t>
            </w:r>
          </w:p>
        </w:tc>
      </w:tr>
      <w:tr w14:paraId="692E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791767D">
            <w:pPr>
              <w:pStyle w:val="11"/>
            </w:pPr>
            <w:r>
              <w:t>碳市场交易减排量资产管理合约-整存转交易</w:t>
            </w:r>
          </w:p>
        </w:tc>
        <w:tc>
          <w:tcPr>
            <w:tcW w:w="0" w:type="auto"/>
            <w:noWrap/>
            <w:vAlign w:val="center"/>
          </w:tcPr>
          <w:p w14:paraId="103811AE">
            <w:pPr>
              <w:pStyle w:val="11"/>
            </w:pPr>
            <w:r>
              <w:t>否</w:t>
            </w:r>
          </w:p>
        </w:tc>
      </w:tr>
      <w:tr w14:paraId="05FC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B53D46B">
            <w:pPr>
              <w:pStyle w:val="11"/>
            </w:pPr>
            <w:r>
              <w:t>碳市场交易减排量资产管理合约-交易转整存</w:t>
            </w:r>
          </w:p>
        </w:tc>
        <w:tc>
          <w:tcPr>
            <w:tcW w:w="0" w:type="auto"/>
            <w:noWrap/>
            <w:vAlign w:val="center"/>
          </w:tcPr>
          <w:p w14:paraId="22F24B88">
            <w:pPr>
              <w:pStyle w:val="11"/>
            </w:pPr>
            <w:r>
              <w:t>否</w:t>
            </w:r>
          </w:p>
        </w:tc>
      </w:tr>
      <w:tr w14:paraId="543F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C50821F">
            <w:pPr>
              <w:pStyle w:val="11"/>
            </w:pPr>
            <w:r>
              <w:t>碳市场交易减排量资产管理合约-交易减排量资产查询</w:t>
            </w:r>
          </w:p>
        </w:tc>
        <w:tc>
          <w:tcPr>
            <w:tcW w:w="0" w:type="auto"/>
            <w:noWrap/>
            <w:vAlign w:val="center"/>
          </w:tcPr>
          <w:p w14:paraId="172AC071">
            <w:pPr>
              <w:pStyle w:val="11"/>
            </w:pPr>
            <w:r>
              <w:t>否</w:t>
            </w:r>
          </w:p>
        </w:tc>
      </w:tr>
      <w:tr w14:paraId="74A4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D4711C3">
            <w:pPr>
              <w:pStyle w:val="11"/>
            </w:pPr>
            <w:r>
              <w:t>碳市场交易减排量资产管理合约-交易减排量资产追溯</w:t>
            </w:r>
          </w:p>
        </w:tc>
        <w:tc>
          <w:tcPr>
            <w:tcW w:w="0" w:type="auto"/>
            <w:noWrap/>
            <w:vAlign w:val="center"/>
          </w:tcPr>
          <w:p w14:paraId="4EEB064C">
            <w:pPr>
              <w:pStyle w:val="11"/>
            </w:pPr>
            <w:r>
              <w:t>否</w:t>
            </w:r>
          </w:p>
        </w:tc>
      </w:tr>
      <w:tr w14:paraId="5BE3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A5162C8">
            <w:pPr>
              <w:pStyle w:val="11"/>
            </w:pPr>
            <w:r>
              <w:t>碳市场交易减排量交易账本-碳市场交易记账</w:t>
            </w:r>
          </w:p>
        </w:tc>
        <w:tc>
          <w:tcPr>
            <w:tcW w:w="0" w:type="auto"/>
            <w:noWrap/>
            <w:vAlign w:val="center"/>
          </w:tcPr>
          <w:p w14:paraId="3C319A8C">
            <w:pPr>
              <w:pStyle w:val="11"/>
            </w:pPr>
            <w:r>
              <w:t>否</w:t>
            </w:r>
          </w:p>
        </w:tc>
      </w:tr>
      <w:tr w14:paraId="7115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56FA20A">
            <w:pPr>
              <w:pStyle w:val="11"/>
            </w:pPr>
            <w:r>
              <w:t>碳市场交易减排量交易账本-交易账户整存减排量交易记账</w:t>
            </w:r>
          </w:p>
        </w:tc>
        <w:tc>
          <w:tcPr>
            <w:tcW w:w="0" w:type="auto"/>
            <w:noWrap/>
            <w:vAlign w:val="center"/>
          </w:tcPr>
          <w:p w14:paraId="1DBCE855">
            <w:pPr>
              <w:pStyle w:val="11"/>
            </w:pPr>
            <w:r>
              <w:t>否</w:t>
            </w:r>
          </w:p>
        </w:tc>
      </w:tr>
      <w:tr w14:paraId="4C6A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8BD13CE">
            <w:pPr>
              <w:pStyle w:val="11"/>
            </w:pPr>
            <w:r>
              <w:t>碳市场交易减排量交易账本-交易账户整存减排量交易查询</w:t>
            </w:r>
          </w:p>
        </w:tc>
        <w:tc>
          <w:tcPr>
            <w:tcW w:w="0" w:type="auto"/>
            <w:noWrap/>
            <w:vAlign w:val="center"/>
          </w:tcPr>
          <w:p w14:paraId="5BAF1FEE">
            <w:pPr>
              <w:pStyle w:val="11"/>
            </w:pPr>
            <w:r>
              <w:t>否</w:t>
            </w:r>
          </w:p>
        </w:tc>
      </w:tr>
      <w:tr w14:paraId="5E83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23E75E1">
            <w:pPr>
              <w:pStyle w:val="11"/>
            </w:pPr>
            <w:r>
              <w:t>碳市场交易减排量交易账本-交易账户整存减排量交易明细记账</w:t>
            </w:r>
          </w:p>
        </w:tc>
        <w:tc>
          <w:tcPr>
            <w:tcW w:w="0" w:type="auto"/>
            <w:noWrap/>
            <w:vAlign w:val="center"/>
          </w:tcPr>
          <w:p w14:paraId="5FC83932">
            <w:pPr>
              <w:pStyle w:val="11"/>
            </w:pPr>
            <w:r>
              <w:t>否</w:t>
            </w:r>
          </w:p>
        </w:tc>
      </w:tr>
      <w:tr w14:paraId="160E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CA02B35">
            <w:pPr>
              <w:pStyle w:val="11"/>
            </w:pPr>
            <w:r>
              <w:t>碳市场交易减排量交易账本-交易账户整存减排量交易明细查询</w:t>
            </w:r>
          </w:p>
        </w:tc>
        <w:tc>
          <w:tcPr>
            <w:tcW w:w="0" w:type="auto"/>
            <w:noWrap/>
            <w:vAlign w:val="center"/>
          </w:tcPr>
          <w:p w14:paraId="771EAC3B">
            <w:pPr>
              <w:pStyle w:val="11"/>
            </w:pPr>
            <w:r>
              <w:t>否</w:t>
            </w:r>
          </w:p>
        </w:tc>
      </w:tr>
      <w:tr w14:paraId="7E48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4155337">
            <w:pPr>
              <w:pStyle w:val="11"/>
            </w:pPr>
            <w:r>
              <w:t>项目减排量管理合约-项目方申请签发减排量</w:t>
            </w:r>
          </w:p>
        </w:tc>
        <w:tc>
          <w:tcPr>
            <w:tcW w:w="0" w:type="auto"/>
            <w:noWrap/>
            <w:vAlign w:val="center"/>
          </w:tcPr>
          <w:p w14:paraId="745332C7">
            <w:pPr>
              <w:pStyle w:val="11"/>
            </w:pPr>
            <w:r>
              <w:t>否</w:t>
            </w:r>
          </w:p>
        </w:tc>
      </w:tr>
      <w:tr w14:paraId="720D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F36CB24">
            <w:pPr>
              <w:pStyle w:val="11"/>
            </w:pPr>
            <w:r>
              <w:t>项目减排量管理合约-项目减排量签发审核生成资产</w:t>
            </w:r>
          </w:p>
        </w:tc>
        <w:tc>
          <w:tcPr>
            <w:tcW w:w="0" w:type="auto"/>
            <w:noWrap/>
            <w:vAlign w:val="center"/>
          </w:tcPr>
          <w:p w14:paraId="1CAF9012">
            <w:pPr>
              <w:pStyle w:val="11"/>
            </w:pPr>
            <w:r>
              <w:t>否</w:t>
            </w:r>
          </w:p>
        </w:tc>
      </w:tr>
      <w:tr w14:paraId="62CF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ED541EB">
            <w:pPr>
              <w:pStyle w:val="11"/>
            </w:pPr>
            <w:r>
              <w:t>项目减排量管理合约-项目减排量转整存</w:t>
            </w:r>
          </w:p>
        </w:tc>
        <w:tc>
          <w:tcPr>
            <w:tcW w:w="0" w:type="auto"/>
            <w:noWrap/>
            <w:vAlign w:val="center"/>
          </w:tcPr>
          <w:p w14:paraId="436256C5">
            <w:pPr>
              <w:pStyle w:val="11"/>
            </w:pPr>
            <w:r>
              <w:t>否</w:t>
            </w:r>
          </w:p>
        </w:tc>
      </w:tr>
      <w:tr w14:paraId="296B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0BF8AD7">
            <w:pPr>
              <w:pStyle w:val="11"/>
            </w:pPr>
            <w:r>
              <w:t>项目减排量管理合约-项目减排量兑换权益</w:t>
            </w:r>
          </w:p>
        </w:tc>
        <w:tc>
          <w:tcPr>
            <w:tcW w:w="0" w:type="auto"/>
            <w:noWrap/>
            <w:vAlign w:val="center"/>
          </w:tcPr>
          <w:p w14:paraId="7043A42E">
            <w:pPr>
              <w:pStyle w:val="11"/>
            </w:pPr>
            <w:r>
              <w:t>否</w:t>
            </w:r>
          </w:p>
        </w:tc>
      </w:tr>
      <w:tr w14:paraId="78BB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A2A0B8C">
            <w:pPr>
              <w:pStyle w:val="11"/>
            </w:pPr>
            <w:r>
              <w:t>项目减排量管理合约-项目减排量交易记账</w:t>
            </w:r>
          </w:p>
        </w:tc>
        <w:tc>
          <w:tcPr>
            <w:tcW w:w="0" w:type="auto"/>
            <w:noWrap/>
            <w:vAlign w:val="center"/>
          </w:tcPr>
          <w:p w14:paraId="16BEF2A0">
            <w:pPr>
              <w:pStyle w:val="11"/>
            </w:pPr>
            <w:r>
              <w:t>否</w:t>
            </w:r>
          </w:p>
        </w:tc>
      </w:tr>
      <w:tr w14:paraId="275F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E7EA0A6">
            <w:pPr>
              <w:pStyle w:val="11"/>
            </w:pPr>
            <w:r>
              <w:t>项目减排量管理合约-项目减排量交易查询</w:t>
            </w:r>
          </w:p>
        </w:tc>
        <w:tc>
          <w:tcPr>
            <w:tcW w:w="0" w:type="auto"/>
            <w:noWrap/>
            <w:vAlign w:val="center"/>
          </w:tcPr>
          <w:p w14:paraId="456CCBC7">
            <w:pPr>
              <w:pStyle w:val="11"/>
            </w:pPr>
            <w:r>
              <w:t>否</w:t>
            </w:r>
          </w:p>
        </w:tc>
      </w:tr>
      <w:tr w14:paraId="376D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AA0752D">
            <w:pPr>
              <w:pStyle w:val="11"/>
            </w:pPr>
            <w:r>
              <w:t>项目减排量管理合约-项目减排量交易明细记账</w:t>
            </w:r>
          </w:p>
        </w:tc>
        <w:tc>
          <w:tcPr>
            <w:tcW w:w="0" w:type="auto"/>
            <w:noWrap/>
            <w:vAlign w:val="center"/>
          </w:tcPr>
          <w:p w14:paraId="604B9B09">
            <w:pPr>
              <w:pStyle w:val="11"/>
            </w:pPr>
            <w:r>
              <w:t>否</w:t>
            </w:r>
          </w:p>
        </w:tc>
      </w:tr>
      <w:tr w14:paraId="5073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18CA8E0">
            <w:pPr>
              <w:pStyle w:val="11"/>
            </w:pPr>
            <w:r>
              <w:t>项目减排量管理合约-项目减排量交易明细查询</w:t>
            </w:r>
          </w:p>
        </w:tc>
        <w:tc>
          <w:tcPr>
            <w:tcW w:w="0" w:type="auto"/>
            <w:noWrap/>
            <w:vAlign w:val="center"/>
          </w:tcPr>
          <w:p w14:paraId="5D07144D">
            <w:pPr>
              <w:pStyle w:val="11"/>
            </w:pPr>
            <w:r>
              <w:t>否</w:t>
            </w:r>
          </w:p>
        </w:tc>
      </w:tr>
      <w:tr w14:paraId="43A8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A101282">
            <w:pPr>
              <w:pStyle w:val="11"/>
            </w:pPr>
            <w:r>
              <w:t>项目减排量管理合约-项目减排量资产查询</w:t>
            </w:r>
          </w:p>
        </w:tc>
        <w:tc>
          <w:tcPr>
            <w:tcW w:w="0" w:type="auto"/>
            <w:noWrap/>
            <w:vAlign w:val="center"/>
          </w:tcPr>
          <w:p w14:paraId="7BFD53AB">
            <w:pPr>
              <w:pStyle w:val="11"/>
            </w:pPr>
            <w:r>
              <w:t>否</w:t>
            </w:r>
          </w:p>
        </w:tc>
      </w:tr>
      <w:tr w14:paraId="4DC5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B4565F1">
            <w:pPr>
              <w:pStyle w:val="11"/>
            </w:pPr>
            <w:r>
              <w:t>项目减排量管理合约-项目减排量资产追溯</w:t>
            </w:r>
          </w:p>
        </w:tc>
        <w:tc>
          <w:tcPr>
            <w:tcW w:w="0" w:type="auto"/>
            <w:noWrap/>
            <w:vAlign w:val="center"/>
          </w:tcPr>
          <w:p w14:paraId="2190BE8F">
            <w:pPr>
              <w:pStyle w:val="11"/>
            </w:pPr>
            <w:r>
              <w:t>否</w:t>
            </w:r>
          </w:p>
        </w:tc>
      </w:tr>
      <w:tr w14:paraId="46CB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07C3E94">
            <w:pPr>
              <w:pStyle w:val="11"/>
            </w:pPr>
            <w:r>
              <w:t>上链服务网关碳资产追溯服务-一般减排量资产追溯展示</w:t>
            </w:r>
          </w:p>
        </w:tc>
        <w:tc>
          <w:tcPr>
            <w:tcW w:w="0" w:type="auto"/>
            <w:noWrap/>
            <w:vAlign w:val="center"/>
          </w:tcPr>
          <w:p w14:paraId="1FA37839">
            <w:pPr>
              <w:pStyle w:val="11"/>
            </w:pPr>
            <w:r>
              <w:t>是</w:t>
            </w:r>
          </w:p>
        </w:tc>
      </w:tr>
      <w:tr w14:paraId="3092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1F94CBE">
            <w:pPr>
              <w:pStyle w:val="11"/>
            </w:pPr>
            <w:r>
              <w:t>碳资产追溯服务-项目减排量资产追溯展示</w:t>
            </w:r>
          </w:p>
        </w:tc>
        <w:tc>
          <w:tcPr>
            <w:tcW w:w="0" w:type="auto"/>
            <w:noWrap/>
            <w:vAlign w:val="center"/>
          </w:tcPr>
          <w:p w14:paraId="0750932B">
            <w:pPr>
              <w:pStyle w:val="11"/>
            </w:pPr>
            <w:r>
              <w:t>是</w:t>
            </w:r>
          </w:p>
        </w:tc>
      </w:tr>
      <w:tr w14:paraId="5AE2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E059F99">
            <w:pPr>
              <w:pStyle w:val="11"/>
            </w:pPr>
            <w:r>
              <w:t>碳资产追溯服务-碳积分资产追溯展示</w:t>
            </w:r>
          </w:p>
        </w:tc>
        <w:tc>
          <w:tcPr>
            <w:tcW w:w="0" w:type="auto"/>
            <w:noWrap/>
            <w:vAlign w:val="center"/>
          </w:tcPr>
          <w:p w14:paraId="5CAFBCD8">
            <w:pPr>
              <w:pStyle w:val="11"/>
            </w:pPr>
            <w:r>
              <w:t>是</w:t>
            </w:r>
          </w:p>
        </w:tc>
      </w:tr>
      <w:tr w14:paraId="7BB8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E237ADF">
            <w:pPr>
              <w:pStyle w:val="11"/>
            </w:pPr>
            <w:r>
              <w:t>碳资产追溯服务-整存减排量资产追溯展示</w:t>
            </w:r>
          </w:p>
        </w:tc>
        <w:tc>
          <w:tcPr>
            <w:tcW w:w="0" w:type="auto"/>
            <w:noWrap/>
            <w:vAlign w:val="center"/>
          </w:tcPr>
          <w:p w14:paraId="5CED9317">
            <w:pPr>
              <w:pStyle w:val="11"/>
            </w:pPr>
            <w:r>
              <w:t>是</w:t>
            </w:r>
          </w:p>
        </w:tc>
      </w:tr>
      <w:tr w14:paraId="5D50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6F579CB">
            <w:pPr>
              <w:pStyle w:val="11"/>
            </w:pPr>
            <w:r>
              <w:t>碳资产追溯服务-碳市场交易减排量资产追溯展示</w:t>
            </w:r>
          </w:p>
        </w:tc>
        <w:tc>
          <w:tcPr>
            <w:tcW w:w="0" w:type="auto"/>
            <w:noWrap/>
            <w:vAlign w:val="center"/>
          </w:tcPr>
          <w:p w14:paraId="649B26A9">
            <w:pPr>
              <w:pStyle w:val="11"/>
            </w:pPr>
            <w:r>
              <w:t>是</w:t>
            </w:r>
          </w:p>
        </w:tc>
      </w:tr>
      <w:tr w14:paraId="5169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72A6E5C">
            <w:pPr>
              <w:pStyle w:val="11"/>
            </w:pPr>
            <w:r>
              <w:t>同/异步上链服务-同步上链服务接口</w:t>
            </w:r>
          </w:p>
        </w:tc>
        <w:tc>
          <w:tcPr>
            <w:tcW w:w="0" w:type="auto"/>
            <w:noWrap/>
            <w:vAlign w:val="center"/>
          </w:tcPr>
          <w:p w14:paraId="730EACC0">
            <w:pPr>
              <w:pStyle w:val="11"/>
            </w:pPr>
            <w:r>
              <w:t>是</w:t>
            </w:r>
          </w:p>
        </w:tc>
      </w:tr>
      <w:tr w14:paraId="1241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51F41A4">
            <w:pPr>
              <w:pStyle w:val="11"/>
            </w:pPr>
            <w:r>
              <w:t>同/异步上链服务-同步上链执行记录</w:t>
            </w:r>
          </w:p>
        </w:tc>
        <w:tc>
          <w:tcPr>
            <w:tcW w:w="0" w:type="auto"/>
            <w:noWrap/>
            <w:vAlign w:val="center"/>
          </w:tcPr>
          <w:p w14:paraId="0769286E">
            <w:pPr>
              <w:pStyle w:val="11"/>
            </w:pPr>
            <w:r>
              <w:t>是</w:t>
            </w:r>
          </w:p>
        </w:tc>
      </w:tr>
      <w:tr w14:paraId="2697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ECC7B6F">
            <w:pPr>
              <w:pStyle w:val="11"/>
            </w:pPr>
            <w:r>
              <w:t>同/异步上链服务-上链数据分类管理</w:t>
            </w:r>
          </w:p>
        </w:tc>
        <w:tc>
          <w:tcPr>
            <w:tcW w:w="0" w:type="auto"/>
            <w:noWrap/>
            <w:vAlign w:val="center"/>
          </w:tcPr>
          <w:p w14:paraId="67DDB2ED">
            <w:pPr>
              <w:pStyle w:val="11"/>
            </w:pPr>
            <w:r>
              <w:t>是</w:t>
            </w:r>
          </w:p>
        </w:tc>
      </w:tr>
      <w:tr w14:paraId="5B33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30647EA">
            <w:pPr>
              <w:pStyle w:val="11"/>
            </w:pPr>
            <w:r>
              <w:t>同/异步上链服务-异步批量上链服务接口</w:t>
            </w:r>
          </w:p>
        </w:tc>
        <w:tc>
          <w:tcPr>
            <w:tcW w:w="0" w:type="auto"/>
            <w:noWrap/>
            <w:vAlign w:val="center"/>
          </w:tcPr>
          <w:p w14:paraId="4FEB9E17">
            <w:pPr>
              <w:pStyle w:val="11"/>
            </w:pPr>
            <w:r>
              <w:t>是</w:t>
            </w:r>
          </w:p>
        </w:tc>
      </w:tr>
      <w:tr w14:paraId="6D1A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283714A">
            <w:pPr>
              <w:pStyle w:val="11"/>
            </w:pPr>
            <w:r>
              <w:t>同/异步上链服务-分类上链任务列表管理</w:t>
            </w:r>
          </w:p>
        </w:tc>
        <w:tc>
          <w:tcPr>
            <w:tcW w:w="0" w:type="auto"/>
            <w:noWrap/>
            <w:vAlign w:val="center"/>
          </w:tcPr>
          <w:p w14:paraId="3591DB2E">
            <w:pPr>
              <w:pStyle w:val="11"/>
            </w:pPr>
            <w:r>
              <w:t>是</w:t>
            </w:r>
          </w:p>
        </w:tc>
      </w:tr>
      <w:tr w14:paraId="62E4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2AB3410">
            <w:pPr>
              <w:pStyle w:val="11"/>
            </w:pPr>
            <w:r>
              <w:t>同/异步上链服务-上链任务执行详情</w:t>
            </w:r>
          </w:p>
        </w:tc>
        <w:tc>
          <w:tcPr>
            <w:tcW w:w="0" w:type="auto"/>
            <w:noWrap/>
            <w:vAlign w:val="center"/>
          </w:tcPr>
          <w:p w14:paraId="6099C6F0">
            <w:pPr>
              <w:pStyle w:val="11"/>
            </w:pPr>
            <w:r>
              <w:t>是</w:t>
            </w:r>
          </w:p>
        </w:tc>
      </w:tr>
      <w:tr w14:paraId="1158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35E2D53">
            <w:pPr>
              <w:pStyle w:val="11"/>
            </w:pPr>
            <w:r>
              <w:t>同/异步上链服务-上链任务执行监控</w:t>
            </w:r>
          </w:p>
        </w:tc>
        <w:tc>
          <w:tcPr>
            <w:tcW w:w="0" w:type="auto"/>
            <w:noWrap/>
            <w:vAlign w:val="center"/>
          </w:tcPr>
          <w:p w14:paraId="0572354A">
            <w:pPr>
              <w:pStyle w:val="11"/>
            </w:pPr>
            <w:r>
              <w:t>是</w:t>
            </w:r>
          </w:p>
        </w:tc>
      </w:tr>
      <w:tr w14:paraId="34AE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B33B028">
            <w:pPr>
              <w:pStyle w:val="11"/>
            </w:pPr>
            <w:r>
              <w:t>同/异步上链服务-异步单条上链任务调度（有序/无序）</w:t>
            </w:r>
          </w:p>
        </w:tc>
        <w:tc>
          <w:tcPr>
            <w:tcW w:w="0" w:type="auto"/>
            <w:noWrap/>
            <w:vAlign w:val="center"/>
          </w:tcPr>
          <w:p w14:paraId="4F4D06EC">
            <w:pPr>
              <w:pStyle w:val="11"/>
            </w:pPr>
            <w:r>
              <w:t>是</w:t>
            </w:r>
          </w:p>
        </w:tc>
      </w:tr>
      <w:tr w14:paraId="7B2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70BFF1A">
            <w:pPr>
              <w:pStyle w:val="11"/>
            </w:pPr>
            <w:r>
              <w:t>同/异步上链服务-异步单条上链</w:t>
            </w:r>
          </w:p>
        </w:tc>
        <w:tc>
          <w:tcPr>
            <w:tcW w:w="0" w:type="auto"/>
            <w:noWrap/>
            <w:vAlign w:val="center"/>
          </w:tcPr>
          <w:p w14:paraId="3A1B4061">
            <w:pPr>
              <w:pStyle w:val="11"/>
            </w:pPr>
            <w:r>
              <w:t>是</w:t>
            </w:r>
          </w:p>
        </w:tc>
      </w:tr>
      <w:tr w14:paraId="4F16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965AFBB">
            <w:pPr>
              <w:pStyle w:val="11"/>
            </w:pPr>
            <w:r>
              <w:t>同/异步上链服务-异步批量上链任务调度（有序/无序）</w:t>
            </w:r>
          </w:p>
        </w:tc>
        <w:tc>
          <w:tcPr>
            <w:tcW w:w="0" w:type="auto"/>
            <w:noWrap/>
            <w:vAlign w:val="center"/>
          </w:tcPr>
          <w:p w14:paraId="38352FCF">
            <w:pPr>
              <w:pStyle w:val="11"/>
            </w:pPr>
            <w:r>
              <w:t>是</w:t>
            </w:r>
          </w:p>
        </w:tc>
      </w:tr>
      <w:tr w14:paraId="774A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8138B61">
            <w:pPr>
              <w:pStyle w:val="11"/>
            </w:pPr>
            <w:r>
              <w:t>同/异步上链服务-异步批量上链</w:t>
            </w:r>
          </w:p>
        </w:tc>
        <w:tc>
          <w:tcPr>
            <w:tcW w:w="0" w:type="auto"/>
            <w:noWrap/>
            <w:vAlign w:val="center"/>
          </w:tcPr>
          <w:p w14:paraId="3F085A45">
            <w:pPr>
              <w:pStyle w:val="11"/>
            </w:pPr>
            <w:r>
              <w:t>是</w:t>
            </w:r>
          </w:p>
        </w:tc>
      </w:tr>
      <w:tr w14:paraId="329C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DF9EE7A">
            <w:pPr>
              <w:pStyle w:val="11"/>
            </w:pPr>
            <w:r>
              <w:t>同/异步上链服务-异步上链结果回调</w:t>
            </w:r>
          </w:p>
        </w:tc>
        <w:tc>
          <w:tcPr>
            <w:tcW w:w="0" w:type="auto"/>
            <w:noWrap/>
            <w:vAlign w:val="center"/>
          </w:tcPr>
          <w:p w14:paraId="53BC3FB7">
            <w:pPr>
              <w:pStyle w:val="11"/>
            </w:pPr>
            <w:r>
              <w:t>是</w:t>
            </w:r>
          </w:p>
        </w:tc>
      </w:tr>
      <w:tr w14:paraId="75E2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B88D90E">
            <w:pPr>
              <w:pStyle w:val="11"/>
            </w:pPr>
            <w:r>
              <w:t>上链状态管理-同步上链状态跟踪展示</w:t>
            </w:r>
          </w:p>
        </w:tc>
        <w:tc>
          <w:tcPr>
            <w:tcW w:w="0" w:type="auto"/>
            <w:noWrap/>
            <w:vAlign w:val="center"/>
          </w:tcPr>
          <w:p w14:paraId="2DDC67A3">
            <w:pPr>
              <w:pStyle w:val="11"/>
            </w:pPr>
            <w:r>
              <w:t>是</w:t>
            </w:r>
          </w:p>
        </w:tc>
      </w:tr>
      <w:tr w14:paraId="27D6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6DFE61D">
            <w:pPr>
              <w:pStyle w:val="11"/>
            </w:pPr>
            <w:r>
              <w:t>上链状态管理-异步上链状态订阅展示</w:t>
            </w:r>
          </w:p>
        </w:tc>
        <w:tc>
          <w:tcPr>
            <w:tcW w:w="0" w:type="auto"/>
            <w:noWrap/>
            <w:vAlign w:val="center"/>
          </w:tcPr>
          <w:p w14:paraId="5FF3D733">
            <w:pPr>
              <w:pStyle w:val="11"/>
            </w:pPr>
            <w:r>
              <w:t>是</w:t>
            </w:r>
          </w:p>
        </w:tc>
      </w:tr>
      <w:tr w14:paraId="4AA2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E51833A">
            <w:pPr>
              <w:pStyle w:val="11"/>
            </w:pPr>
            <w:r>
              <w:t>上链状态管理-上链异常重试规则设置</w:t>
            </w:r>
          </w:p>
        </w:tc>
        <w:tc>
          <w:tcPr>
            <w:tcW w:w="0" w:type="auto"/>
            <w:noWrap/>
            <w:vAlign w:val="center"/>
          </w:tcPr>
          <w:p w14:paraId="0D04DAEC">
            <w:pPr>
              <w:pStyle w:val="11"/>
            </w:pPr>
            <w:r>
              <w:t>是</w:t>
            </w:r>
          </w:p>
        </w:tc>
      </w:tr>
      <w:tr w14:paraId="4053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B605805">
            <w:pPr>
              <w:pStyle w:val="11"/>
            </w:pPr>
            <w:r>
              <w:t>上链状态管理-上链异常按规则自动重试</w:t>
            </w:r>
          </w:p>
        </w:tc>
        <w:tc>
          <w:tcPr>
            <w:tcW w:w="0" w:type="auto"/>
            <w:noWrap/>
            <w:vAlign w:val="center"/>
          </w:tcPr>
          <w:p w14:paraId="76822BFC">
            <w:pPr>
              <w:pStyle w:val="11"/>
            </w:pPr>
            <w:r>
              <w:t>是</w:t>
            </w:r>
          </w:p>
        </w:tc>
      </w:tr>
      <w:tr w14:paraId="0E5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14B1D7F">
            <w:pPr>
              <w:pStyle w:val="11"/>
            </w:pPr>
            <w:r>
              <w:t>上链状态管理-上链异常重试失败预警</w:t>
            </w:r>
          </w:p>
        </w:tc>
        <w:tc>
          <w:tcPr>
            <w:tcW w:w="0" w:type="auto"/>
            <w:noWrap/>
            <w:vAlign w:val="center"/>
          </w:tcPr>
          <w:p w14:paraId="4B0B86CB">
            <w:pPr>
              <w:pStyle w:val="11"/>
            </w:pPr>
            <w:r>
              <w:t>是</w:t>
            </w:r>
          </w:p>
        </w:tc>
      </w:tr>
      <w:tr w14:paraId="0BC0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DC82581">
            <w:pPr>
              <w:pStyle w:val="11"/>
            </w:pPr>
            <w:r>
              <w:t>上链状态管理-上链异常统计分析</w:t>
            </w:r>
          </w:p>
        </w:tc>
        <w:tc>
          <w:tcPr>
            <w:tcW w:w="0" w:type="auto"/>
            <w:noWrap/>
            <w:vAlign w:val="center"/>
          </w:tcPr>
          <w:p w14:paraId="2337819D">
            <w:pPr>
              <w:pStyle w:val="11"/>
            </w:pPr>
            <w:r>
              <w:t>是</w:t>
            </w:r>
          </w:p>
        </w:tc>
      </w:tr>
      <w:tr w14:paraId="3F55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0D7F9DC">
            <w:pPr>
              <w:pStyle w:val="11"/>
            </w:pPr>
            <w:r>
              <w:t>上链状态管理-上链结果每日自动对账</w:t>
            </w:r>
          </w:p>
        </w:tc>
        <w:tc>
          <w:tcPr>
            <w:tcW w:w="0" w:type="auto"/>
            <w:noWrap/>
            <w:vAlign w:val="center"/>
          </w:tcPr>
          <w:p w14:paraId="295C6A9A">
            <w:pPr>
              <w:pStyle w:val="11"/>
            </w:pPr>
            <w:r>
              <w:t>是</w:t>
            </w:r>
          </w:p>
        </w:tc>
      </w:tr>
      <w:tr w14:paraId="3648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2DC5CAF">
            <w:pPr>
              <w:pStyle w:val="11"/>
            </w:pPr>
            <w:r>
              <w:t>上链状态管理-上链对账报告生成</w:t>
            </w:r>
          </w:p>
        </w:tc>
        <w:tc>
          <w:tcPr>
            <w:tcW w:w="0" w:type="auto"/>
            <w:noWrap/>
            <w:vAlign w:val="center"/>
          </w:tcPr>
          <w:p w14:paraId="3C2F6F47">
            <w:pPr>
              <w:pStyle w:val="11"/>
            </w:pPr>
            <w:r>
              <w:t>是</w:t>
            </w:r>
          </w:p>
        </w:tc>
      </w:tr>
      <w:tr w14:paraId="58E7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BAE8DC8">
            <w:pPr>
              <w:pStyle w:val="11"/>
            </w:pPr>
            <w:r>
              <w:t>上链状态管理-上链对账报告查询及导出</w:t>
            </w:r>
          </w:p>
        </w:tc>
        <w:tc>
          <w:tcPr>
            <w:tcW w:w="0" w:type="auto"/>
            <w:noWrap/>
            <w:vAlign w:val="center"/>
          </w:tcPr>
          <w:p w14:paraId="20C5F631">
            <w:pPr>
              <w:pStyle w:val="11"/>
            </w:pPr>
            <w:r>
              <w:t>是</w:t>
            </w:r>
          </w:p>
        </w:tc>
      </w:tr>
      <w:tr w14:paraId="2BD7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ECCCD77">
            <w:pPr>
              <w:pStyle w:val="11"/>
            </w:pPr>
            <w:r>
              <w:t>碳减排量风控核验隐私计算场景碳减排方法学隐私计算PQL-碳减排方法学（轨道交通）PQL比对一致模块</w:t>
            </w:r>
          </w:p>
        </w:tc>
        <w:tc>
          <w:tcPr>
            <w:tcW w:w="0" w:type="auto"/>
            <w:noWrap/>
            <w:vAlign w:val="center"/>
          </w:tcPr>
          <w:p w14:paraId="46952E3E">
            <w:pPr>
              <w:pStyle w:val="11"/>
            </w:pPr>
            <w:r>
              <w:t>否</w:t>
            </w:r>
          </w:p>
        </w:tc>
      </w:tr>
      <w:tr w14:paraId="579C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7792CB9">
            <w:pPr>
              <w:pStyle w:val="11"/>
            </w:pPr>
            <w:r>
              <w:t>碳减排方法学隐私计算PQL-碳减排方法学（轨道交通）PQL判断减排行为无数据模块</w:t>
            </w:r>
          </w:p>
        </w:tc>
        <w:tc>
          <w:tcPr>
            <w:tcW w:w="0" w:type="auto"/>
            <w:noWrap/>
            <w:vAlign w:val="center"/>
          </w:tcPr>
          <w:p w14:paraId="7D1B2E36">
            <w:pPr>
              <w:pStyle w:val="11"/>
            </w:pPr>
            <w:r>
              <w:t>否</w:t>
            </w:r>
          </w:p>
        </w:tc>
      </w:tr>
      <w:tr w14:paraId="3BDA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75254CE">
            <w:pPr>
              <w:pStyle w:val="11"/>
            </w:pPr>
            <w:r>
              <w:t>碳减排方法学隐私计算PQL-碳减排方法学（轨道交通）PQL比对原始数据哈希不一致模块</w:t>
            </w:r>
          </w:p>
        </w:tc>
        <w:tc>
          <w:tcPr>
            <w:tcW w:w="0" w:type="auto"/>
            <w:noWrap/>
            <w:vAlign w:val="center"/>
          </w:tcPr>
          <w:p w14:paraId="53A3F64A">
            <w:pPr>
              <w:pStyle w:val="11"/>
            </w:pPr>
            <w:r>
              <w:t>否</w:t>
            </w:r>
          </w:p>
        </w:tc>
      </w:tr>
      <w:tr w14:paraId="002F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2B547C2">
            <w:pPr>
              <w:pStyle w:val="11"/>
            </w:pPr>
            <w:r>
              <w:t>碳减排方法学隐私计算PQL-碳减排方法学（轨道交通）PQL原始数据里程和链上里程不一致模块</w:t>
            </w:r>
          </w:p>
        </w:tc>
        <w:tc>
          <w:tcPr>
            <w:tcW w:w="0" w:type="auto"/>
            <w:noWrap/>
            <w:vAlign w:val="center"/>
          </w:tcPr>
          <w:p w14:paraId="03BE3CF7">
            <w:pPr>
              <w:pStyle w:val="11"/>
            </w:pPr>
            <w:r>
              <w:t>否</w:t>
            </w:r>
          </w:p>
        </w:tc>
      </w:tr>
      <w:tr w14:paraId="5EF1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B42E292">
            <w:pPr>
              <w:pStyle w:val="11"/>
            </w:pPr>
            <w:r>
              <w:t>碳减排方法学隐私计算PQL-碳减排方法学（轨道交通）PQL原始数据里程和码表里程不一致模块</w:t>
            </w:r>
          </w:p>
        </w:tc>
        <w:tc>
          <w:tcPr>
            <w:tcW w:w="0" w:type="auto"/>
            <w:noWrap/>
            <w:vAlign w:val="center"/>
          </w:tcPr>
          <w:p w14:paraId="352E08E8">
            <w:pPr>
              <w:pStyle w:val="11"/>
            </w:pPr>
            <w:r>
              <w:t>否</w:t>
            </w:r>
          </w:p>
        </w:tc>
      </w:tr>
      <w:tr w14:paraId="0E0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5C2AD3A">
            <w:pPr>
              <w:pStyle w:val="11"/>
            </w:pPr>
            <w:r>
              <w:t>碳减排方法学隐私计算PQL-碳减排方法学（轨道交通）PQL码表生效时间未查询到里程模块</w:t>
            </w:r>
          </w:p>
        </w:tc>
        <w:tc>
          <w:tcPr>
            <w:tcW w:w="0" w:type="auto"/>
            <w:noWrap/>
            <w:vAlign w:val="center"/>
          </w:tcPr>
          <w:p w14:paraId="237F0C83">
            <w:pPr>
              <w:pStyle w:val="11"/>
            </w:pPr>
            <w:r>
              <w:t>否</w:t>
            </w:r>
          </w:p>
        </w:tc>
      </w:tr>
      <w:tr w14:paraId="28FE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E4F78C4">
            <w:pPr>
              <w:pStyle w:val="11"/>
            </w:pPr>
            <w:r>
              <w:t>碳减排方法学隐私计算PQL-碳减排方法学（轨道交通）PQL复核任务处理异常模块</w:t>
            </w:r>
          </w:p>
        </w:tc>
        <w:tc>
          <w:tcPr>
            <w:tcW w:w="0" w:type="auto"/>
            <w:noWrap/>
            <w:vAlign w:val="center"/>
          </w:tcPr>
          <w:p w14:paraId="7F444813">
            <w:pPr>
              <w:pStyle w:val="11"/>
            </w:pPr>
            <w:r>
              <w:t>否</w:t>
            </w:r>
          </w:p>
        </w:tc>
      </w:tr>
      <w:tr w14:paraId="0B27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F8877BE">
            <w:pPr>
              <w:pStyle w:val="11"/>
            </w:pPr>
            <w:r>
              <w:t>隐私计算定制服务对外接口-鉴权接口</w:t>
            </w:r>
          </w:p>
        </w:tc>
        <w:tc>
          <w:tcPr>
            <w:tcW w:w="0" w:type="auto"/>
            <w:noWrap/>
            <w:vAlign w:val="center"/>
          </w:tcPr>
          <w:p w14:paraId="1AB7498B">
            <w:pPr>
              <w:pStyle w:val="11"/>
            </w:pPr>
            <w:r>
              <w:t>否</w:t>
            </w:r>
          </w:p>
        </w:tc>
      </w:tr>
      <w:tr w14:paraId="3FC8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6C597733">
            <w:pPr>
              <w:pStyle w:val="11"/>
            </w:pPr>
            <w:r>
              <w:t>隐私计算定制服务对外接口-触发隐私计算复核任务接口</w:t>
            </w:r>
          </w:p>
        </w:tc>
        <w:tc>
          <w:tcPr>
            <w:tcW w:w="0" w:type="auto"/>
            <w:noWrap/>
            <w:vAlign w:val="center"/>
          </w:tcPr>
          <w:p w14:paraId="2ECB426F">
            <w:pPr>
              <w:pStyle w:val="11"/>
            </w:pPr>
            <w:r>
              <w:t>否</w:t>
            </w:r>
          </w:p>
        </w:tc>
      </w:tr>
      <w:tr w14:paraId="412D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DDC2EAB">
            <w:pPr>
              <w:pStyle w:val="11"/>
            </w:pPr>
            <w:r>
              <w:t>隐私计算定制服务对外接口-通知平台方复核结果</w:t>
            </w:r>
          </w:p>
        </w:tc>
        <w:tc>
          <w:tcPr>
            <w:tcW w:w="0" w:type="auto"/>
            <w:noWrap/>
            <w:vAlign w:val="center"/>
          </w:tcPr>
          <w:p w14:paraId="4E56B0DC">
            <w:pPr>
              <w:pStyle w:val="11"/>
            </w:pPr>
            <w:r>
              <w:t>否</w:t>
            </w:r>
          </w:p>
        </w:tc>
      </w:tr>
      <w:tr w14:paraId="3D52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D6EFFE6">
            <w:pPr>
              <w:pStyle w:val="11"/>
            </w:pPr>
            <w:r>
              <w:t>隐私计算定制服务对外接口-通知场景方提供减排行为原始数据</w:t>
            </w:r>
          </w:p>
        </w:tc>
        <w:tc>
          <w:tcPr>
            <w:tcW w:w="0" w:type="auto"/>
            <w:noWrap/>
            <w:vAlign w:val="center"/>
          </w:tcPr>
          <w:p w14:paraId="7B8A8CCD">
            <w:pPr>
              <w:pStyle w:val="11"/>
            </w:pPr>
            <w:r>
              <w:t>否</w:t>
            </w:r>
          </w:p>
        </w:tc>
      </w:tr>
      <w:tr w14:paraId="13F9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0BDB647">
            <w:pPr>
              <w:pStyle w:val="11"/>
            </w:pPr>
            <w:r>
              <w:t>隐私计算定制服务对外接口-接收数据包接口</w:t>
            </w:r>
          </w:p>
        </w:tc>
        <w:tc>
          <w:tcPr>
            <w:tcW w:w="0" w:type="auto"/>
            <w:noWrap/>
            <w:vAlign w:val="center"/>
          </w:tcPr>
          <w:p w14:paraId="4AD79DE8">
            <w:pPr>
              <w:pStyle w:val="11"/>
            </w:pPr>
            <w:r>
              <w:t>否</w:t>
            </w:r>
          </w:p>
        </w:tc>
      </w:tr>
      <w:tr w14:paraId="22F6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C52636B">
            <w:pPr>
              <w:pStyle w:val="11"/>
            </w:pPr>
            <w:r>
              <w:t>隐私计算定制服务与碳普惠服务链对接-调用碳普惠服务链减排行为数据管理合约</w:t>
            </w:r>
          </w:p>
        </w:tc>
        <w:tc>
          <w:tcPr>
            <w:tcW w:w="0" w:type="auto"/>
            <w:noWrap/>
            <w:vAlign w:val="center"/>
          </w:tcPr>
          <w:p w14:paraId="4F4C8DD8">
            <w:pPr>
              <w:pStyle w:val="11"/>
            </w:pPr>
            <w:r>
              <w:t>否</w:t>
            </w:r>
          </w:p>
        </w:tc>
      </w:tr>
      <w:tr w14:paraId="06E6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2E98286">
            <w:pPr>
              <w:pStyle w:val="11"/>
            </w:pPr>
            <w:r>
              <w:t>隐私计算定制服务与碳普惠服务链对接-订阅码表</w:t>
            </w:r>
          </w:p>
        </w:tc>
        <w:tc>
          <w:tcPr>
            <w:tcW w:w="0" w:type="auto"/>
            <w:noWrap/>
            <w:vAlign w:val="center"/>
          </w:tcPr>
          <w:p w14:paraId="350B48B6">
            <w:pPr>
              <w:pStyle w:val="11"/>
            </w:pPr>
            <w:r>
              <w:t>否</w:t>
            </w:r>
          </w:p>
        </w:tc>
      </w:tr>
      <w:tr w14:paraId="63D5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08192CC">
            <w:pPr>
              <w:pStyle w:val="11"/>
            </w:pPr>
            <w:r>
              <w:t>隐私计算定制服务与碳普惠服务链对接-碳普惠隐私计算复核结果上链</w:t>
            </w:r>
          </w:p>
        </w:tc>
        <w:tc>
          <w:tcPr>
            <w:tcW w:w="0" w:type="auto"/>
            <w:noWrap/>
            <w:vAlign w:val="center"/>
          </w:tcPr>
          <w:p w14:paraId="2B314397">
            <w:pPr>
              <w:pStyle w:val="11"/>
            </w:pPr>
            <w:r>
              <w:t>否</w:t>
            </w:r>
          </w:p>
        </w:tc>
      </w:tr>
      <w:tr w14:paraId="4DC0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87342D0">
            <w:pPr>
              <w:pStyle w:val="11"/>
            </w:pPr>
            <w:r>
              <w:t>隐私计算定制服务与碳普惠服务链对接-碳普惠隐私计算复核结果更新</w:t>
            </w:r>
          </w:p>
        </w:tc>
        <w:tc>
          <w:tcPr>
            <w:tcW w:w="0" w:type="auto"/>
            <w:noWrap/>
            <w:vAlign w:val="center"/>
          </w:tcPr>
          <w:p w14:paraId="2F863413">
            <w:pPr>
              <w:pStyle w:val="11"/>
            </w:pPr>
            <w:r>
              <w:t>否</w:t>
            </w:r>
          </w:p>
        </w:tc>
      </w:tr>
      <w:tr w14:paraId="47E4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25472ADD">
            <w:pPr>
              <w:pStyle w:val="11"/>
            </w:pPr>
            <w:r>
              <w:t>隐私计算定制服务与碳普惠服务链对接-碳普惠隐私计算复核结果查验</w:t>
            </w:r>
          </w:p>
        </w:tc>
        <w:tc>
          <w:tcPr>
            <w:tcW w:w="0" w:type="auto"/>
            <w:noWrap/>
            <w:vAlign w:val="center"/>
          </w:tcPr>
          <w:p w14:paraId="1F2CA69C">
            <w:pPr>
              <w:pStyle w:val="11"/>
            </w:pPr>
            <w:r>
              <w:t>否</w:t>
            </w:r>
          </w:p>
        </w:tc>
      </w:tr>
      <w:tr w14:paraId="41A1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6FE1753">
            <w:pPr>
              <w:pStyle w:val="11"/>
            </w:pPr>
            <w:r>
              <w:t>隐私计算定制服务与隐私计算平台对接-启动TEE任务的执行实例</w:t>
            </w:r>
          </w:p>
        </w:tc>
        <w:tc>
          <w:tcPr>
            <w:tcW w:w="0" w:type="auto"/>
            <w:noWrap/>
            <w:vAlign w:val="center"/>
          </w:tcPr>
          <w:p w14:paraId="301CC425">
            <w:pPr>
              <w:pStyle w:val="11"/>
            </w:pPr>
            <w:r>
              <w:t>否</w:t>
            </w:r>
          </w:p>
        </w:tc>
      </w:tr>
      <w:tr w14:paraId="404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18794BA0">
            <w:pPr>
              <w:pStyle w:val="11"/>
            </w:pPr>
            <w:r>
              <w:t>隐私计算定制服务与隐私计算平台对接-获取已启动TEE任务执行实例的代码度量结果</w:t>
            </w:r>
          </w:p>
        </w:tc>
        <w:tc>
          <w:tcPr>
            <w:tcW w:w="0" w:type="auto"/>
            <w:noWrap/>
            <w:vAlign w:val="center"/>
          </w:tcPr>
          <w:p w14:paraId="489D6D43">
            <w:pPr>
              <w:pStyle w:val="11"/>
            </w:pPr>
            <w:r>
              <w:t>否</w:t>
            </w:r>
          </w:p>
        </w:tc>
      </w:tr>
      <w:tr w14:paraId="5237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91A04E7">
            <w:pPr>
              <w:pStyle w:val="11"/>
            </w:pPr>
            <w:r>
              <w:t>隐私计算定制服务与隐私计算平台对接-输入TEE任务执行实例的待计算数据</w:t>
            </w:r>
          </w:p>
        </w:tc>
        <w:tc>
          <w:tcPr>
            <w:tcW w:w="0" w:type="auto"/>
            <w:noWrap/>
            <w:vAlign w:val="center"/>
          </w:tcPr>
          <w:p w14:paraId="2E2FAE3C">
            <w:pPr>
              <w:pStyle w:val="11"/>
            </w:pPr>
            <w:r>
              <w:t>否</w:t>
            </w:r>
          </w:p>
        </w:tc>
      </w:tr>
      <w:tr w14:paraId="3355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CCD2E1A">
            <w:pPr>
              <w:pStyle w:val="11"/>
            </w:pPr>
            <w:r>
              <w:t>隐私计算定制服务与隐私计算平台对接-启动TEE任务执行实例的计算</w:t>
            </w:r>
          </w:p>
        </w:tc>
        <w:tc>
          <w:tcPr>
            <w:tcW w:w="0" w:type="auto"/>
            <w:noWrap/>
            <w:vAlign w:val="center"/>
          </w:tcPr>
          <w:p w14:paraId="077FDDF2">
            <w:pPr>
              <w:pStyle w:val="11"/>
            </w:pPr>
            <w:r>
              <w:t>否</w:t>
            </w:r>
          </w:p>
        </w:tc>
      </w:tr>
      <w:tr w14:paraId="2A91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75721B4">
            <w:pPr>
              <w:pStyle w:val="11"/>
            </w:pPr>
            <w:r>
              <w:t>隐私计算定制服务与隐私计算平台对接-获取TEE任务执行实例的计算结果</w:t>
            </w:r>
          </w:p>
        </w:tc>
        <w:tc>
          <w:tcPr>
            <w:tcW w:w="0" w:type="auto"/>
            <w:noWrap/>
            <w:vAlign w:val="center"/>
          </w:tcPr>
          <w:p w14:paraId="22436094">
            <w:pPr>
              <w:pStyle w:val="11"/>
            </w:pPr>
            <w:r>
              <w:t>否</w:t>
            </w:r>
          </w:p>
        </w:tc>
      </w:tr>
      <w:tr w14:paraId="609A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5962B7F8">
            <w:pPr>
              <w:pStyle w:val="11"/>
            </w:pPr>
            <w:r>
              <w:t>风控复核场景方SDK-初始化加载SDK配置</w:t>
            </w:r>
          </w:p>
        </w:tc>
        <w:tc>
          <w:tcPr>
            <w:tcW w:w="0" w:type="auto"/>
            <w:noWrap/>
            <w:vAlign w:val="center"/>
          </w:tcPr>
          <w:p w14:paraId="334E407A">
            <w:pPr>
              <w:pStyle w:val="11"/>
            </w:pPr>
            <w:r>
              <w:t>否</w:t>
            </w:r>
          </w:p>
        </w:tc>
      </w:tr>
      <w:tr w14:paraId="3937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4DEC5545">
            <w:pPr>
              <w:pStyle w:val="11"/>
            </w:pPr>
            <w:r>
              <w:t>风控复核场景方SDK-鉴权接口</w:t>
            </w:r>
          </w:p>
        </w:tc>
        <w:tc>
          <w:tcPr>
            <w:tcW w:w="0" w:type="auto"/>
            <w:noWrap/>
            <w:vAlign w:val="center"/>
          </w:tcPr>
          <w:p w14:paraId="7B7AA053">
            <w:pPr>
              <w:pStyle w:val="11"/>
            </w:pPr>
            <w:r>
              <w:t>否</w:t>
            </w:r>
          </w:p>
        </w:tc>
      </w:tr>
      <w:tr w14:paraId="6772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CCB1127">
            <w:pPr>
              <w:pStyle w:val="11"/>
            </w:pPr>
            <w:r>
              <w:t>风控复核场景方SDK-密钥接口</w:t>
            </w:r>
          </w:p>
        </w:tc>
        <w:tc>
          <w:tcPr>
            <w:tcW w:w="0" w:type="auto"/>
            <w:noWrap/>
            <w:vAlign w:val="center"/>
          </w:tcPr>
          <w:p w14:paraId="751B3322">
            <w:pPr>
              <w:pStyle w:val="11"/>
            </w:pPr>
            <w:r>
              <w:t>否</w:t>
            </w:r>
          </w:p>
        </w:tc>
      </w:tr>
      <w:tr w14:paraId="734D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38A7DF80">
            <w:pPr>
              <w:pStyle w:val="11"/>
            </w:pPr>
            <w:r>
              <w:t>风控复核场景方SDK-分包数据加密接口</w:t>
            </w:r>
          </w:p>
        </w:tc>
        <w:tc>
          <w:tcPr>
            <w:tcW w:w="0" w:type="auto"/>
            <w:noWrap/>
            <w:vAlign w:val="center"/>
          </w:tcPr>
          <w:p w14:paraId="6BF33B77">
            <w:pPr>
              <w:pStyle w:val="11"/>
            </w:pPr>
            <w:r>
              <w:t>否</w:t>
            </w:r>
          </w:p>
        </w:tc>
      </w:tr>
      <w:tr w14:paraId="0F41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0582D1FB">
            <w:pPr>
              <w:pStyle w:val="11"/>
            </w:pPr>
            <w:r>
              <w:t>风控复核场景方SDK-发送数据包接口</w:t>
            </w:r>
          </w:p>
        </w:tc>
        <w:tc>
          <w:tcPr>
            <w:tcW w:w="0" w:type="auto"/>
            <w:noWrap/>
            <w:vAlign w:val="center"/>
          </w:tcPr>
          <w:p w14:paraId="1F9AD9C9">
            <w:pPr>
              <w:pStyle w:val="11"/>
            </w:pPr>
            <w:r>
              <w:t>否</w:t>
            </w:r>
          </w:p>
        </w:tc>
      </w:tr>
      <w:tr w14:paraId="1D1A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noWrap/>
            <w:vAlign w:val="center"/>
          </w:tcPr>
          <w:p w14:paraId="70F87BDF">
            <w:pPr>
              <w:pStyle w:val="11"/>
            </w:pPr>
            <w:r>
              <w:t>碳普惠平台上链改造数据同步上链-同步模式上链数据加工</w:t>
            </w:r>
          </w:p>
        </w:tc>
        <w:tc>
          <w:tcPr>
            <w:tcW w:w="0" w:type="auto"/>
            <w:noWrap/>
            <w:vAlign w:val="center"/>
          </w:tcPr>
          <w:p w14:paraId="220F211E">
            <w:pPr>
              <w:pStyle w:val="11"/>
            </w:pPr>
            <w:r>
              <w:t>否</w:t>
            </w:r>
          </w:p>
        </w:tc>
      </w:tr>
    </w:tbl>
    <w:p w14:paraId="11E0FB77">
      <w:pPr>
        <w:rPr>
          <w:rFonts w:hint="eastAsia"/>
        </w:rPr>
      </w:pPr>
    </w:p>
    <w:p w14:paraId="673C53B1">
      <w:pPr>
        <w:rPr>
          <w:rFonts w:hint="eastAsia"/>
        </w:rPr>
      </w:pPr>
      <w:r>
        <w:rPr>
          <w:rFonts w:hint="eastAsia"/>
        </w:rPr>
        <w:t>3、本项目允许分包的功能模块共77个，累计预算232.5万元，约为项目采购总预算的29.9%。</w:t>
      </w:r>
    </w:p>
    <w:bookmarkEnd w:id="35"/>
    <w:p w14:paraId="267250C6">
      <w:pPr>
        <w:pStyle w:val="2"/>
        <w:rPr>
          <w:rFonts w:hint="eastAsia"/>
        </w:rPr>
      </w:pPr>
      <w:bookmarkStart w:id="36" w:name="_Toc68798863"/>
      <w:r>
        <w:rPr>
          <w:rFonts w:hint="eastAsia"/>
        </w:rPr>
        <w:t>附录</w:t>
      </w:r>
      <w:bookmarkEnd w:id="36"/>
    </w:p>
    <w:p w14:paraId="4D2B1547">
      <w:pPr>
        <w:ind w:firstLine="482"/>
        <w:rPr>
          <w:rFonts w:hint="eastAsia"/>
          <w:b/>
        </w:rPr>
      </w:pPr>
      <w:r>
        <w:rPr>
          <w:rFonts w:hint="eastAsia"/>
          <w:b/>
        </w:rPr>
        <w:t>若项目建设过程中需符合相关技术标准或规范文件的要求，请将相关文件作为附件列出。</w:t>
      </w:r>
    </w:p>
    <w:p w14:paraId="7E9FCE4B">
      <w:pPr>
        <w:ind w:firstLine="482"/>
        <w:rPr>
          <w:rFonts w:hint="eastAsia"/>
        </w:rPr>
      </w:pPr>
      <w:r>
        <w:rPr>
          <w:rFonts w:hint="eastAsia"/>
          <w:b/>
        </w:rPr>
        <w:t>参考如下：</w:t>
      </w:r>
    </w:p>
    <w:p w14:paraId="0493C1EB">
      <w:pPr>
        <w:ind w:firstLine="0" w:firstLineChars="0"/>
        <w:outlineLvl w:val="1"/>
        <w:rPr>
          <w:rFonts w:hint="eastAsia"/>
        </w:rPr>
      </w:pPr>
      <w:r>
        <w:rPr>
          <w:rFonts w:hint="eastAsia"/>
        </w:rPr>
        <w:t>1、</w:t>
      </w:r>
      <w:r>
        <w:t>《政务网络安全监测平台总体技术要求》</w:t>
      </w:r>
    </w:p>
    <w:p w14:paraId="63F5CB4E">
      <w:pPr>
        <w:ind w:firstLine="0" w:firstLineChars="0"/>
        <w:rPr>
          <w:rFonts w:hint="eastAsia"/>
        </w:rPr>
      </w:pPr>
      <w:r>
        <w:object>
          <v:shape id="_x0000_i1025" o:spt="75" type="#_x0000_t75" style="height:55pt;width:76.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7743C203">
      <w:pPr>
        <w:ind w:firstLine="0" w:firstLineChars="0"/>
        <w:rPr>
          <w:rFonts w:hint="eastAsia"/>
        </w:rPr>
      </w:pPr>
    </w:p>
    <w:p w14:paraId="45203B79">
      <w:pPr>
        <w:ind w:firstLine="0" w:firstLineChars="0"/>
        <w:jc w:val="left"/>
        <w:outlineLvl w:val="1"/>
        <w:rPr>
          <w:rFonts w:hint="eastAsia"/>
        </w:rPr>
      </w:pPr>
      <w:r>
        <w:rPr>
          <w:rFonts w:hint="eastAsia"/>
        </w:rPr>
        <w:t>2、《上海市电子政务外网建设和运行管理指南（试行）》</w:t>
      </w:r>
    </w:p>
    <w:p w14:paraId="7A625CC8">
      <w:pPr>
        <w:ind w:firstLine="0" w:firstLineChars="0"/>
        <w:jc w:val="left"/>
        <w:rPr>
          <w:rFonts w:hint="eastAsia"/>
        </w:rPr>
      </w:pPr>
      <w:r>
        <w:object>
          <v:shape id="_x0000_i1026" o:spt="75" type="#_x0000_t75" style="height:55pt;width:76.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761483F6">
      <w:pPr>
        <w:ind w:firstLine="0" w:firstLineChars="0"/>
        <w:jc w:val="left"/>
        <w:outlineLvl w:val="1"/>
        <w:rPr>
          <w:rFonts w:hint="eastAsia"/>
          <w:b/>
          <w:bCs/>
        </w:rPr>
      </w:pPr>
      <w:r>
        <w:rPr>
          <w:rFonts w:hint="eastAsia"/>
        </w:rPr>
        <w:t>3、其他标准</w:t>
      </w:r>
    </w:p>
    <w:p w14:paraId="5BEA8AEC">
      <w:pPr>
        <w:rPr>
          <w:rFonts w:hint="eastAsia"/>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swiss"/>
    <w:pitch w:val="default"/>
    <w:sig w:usb0="00000000" w:usb1="00000000" w:usb2="00000009" w:usb3="00000000" w:csb0="400001FF" w:csb1="FFFF0000"/>
  </w:font>
  <w:font w:name="宋体">
    <w:altName w:val="方正书宋_GBK"/>
    <w:panose1 w:val="02010600030101010101"/>
    <w:charset w:val="88"/>
    <w:family w:val="modern"/>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BD72F">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23420421">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F22A2">
    <w:pPr>
      <w:rPr>
        <w:rFonts w:hint="eastAsia"/>
      </w:rPr>
    </w:pPr>
  </w:p>
  <w:p w14:paraId="21B97243">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DEBF">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8E681">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0909086">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FC6D">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A27BD">
    <w:pPr>
      <w:rPr>
        <w:rFonts w:hint="eastAsia"/>
      </w:rPr>
    </w:pPr>
  </w:p>
  <w:p w14:paraId="7DE41BF8">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7A9CB">
    <w:pPr>
      <w:pStyle w:val="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520121C2"/>
    <w:rsid w:val="005555EA"/>
    <w:rsid w:val="00581DE5"/>
    <w:rsid w:val="0094152B"/>
    <w:rsid w:val="00A136F3"/>
    <w:rsid w:val="00A31508"/>
    <w:rsid w:val="00EE01F8"/>
    <w:rsid w:val="01786AFF"/>
    <w:rsid w:val="03DD77CD"/>
    <w:rsid w:val="040524E3"/>
    <w:rsid w:val="044C3E9A"/>
    <w:rsid w:val="0458352F"/>
    <w:rsid w:val="070B25E4"/>
    <w:rsid w:val="08586B7F"/>
    <w:rsid w:val="088558BF"/>
    <w:rsid w:val="0903330B"/>
    <w:rsid w:val="0ABE26FA"/>
    <w:rsid w:val="0ACB331C"/>
    <w:rsid w:val="0E5723AE"/>
    <w:rsid w:val="0F565B36"/>
    <w:rsid w:val="0FB64C56"/>
    <w:rsid w:val="12454124"/>
    <w:rsid w:val="15A639EC"/>
    <w:rsid w:val="19E54357"/>
    <w:rsid w:val="1BBC447B"/>
    <w:rsid w:val="23711FEF"/>
    <w:rsid w:val="24C12D57"/>
    <w:rsid w:val="272D45D3"/>
    <w:rsid w:val="2DBE739B"/>
    <w:rsid w:val="2E7012FD"/>
    <w:rsid w:val="365D0BBE"/>
    <w:rsid w:val="384D7D48"/>
    <w:rsid w:val="396A2D68"/>
    <w:rsid w:val="3AF78700"/>
    <w:rsid w:val="3BF31041"/>
    <w:rsid w:val="3C9F5EC5"/>
    <w:rsid w:val="3CCF7CCF"/>
    <w:rsid w:val="3F6F01A1"/>
    <w:rsid w:val="3FEF0F0B"/>
    <w:rsid w:val="42557F64"/>
    <w:rsid w:val="42C52FD7"/>
    <w:rsid w:val="454A307C"/>
    <w:rsid w:val="497B799C"/>
    <w:rsid w:val="49A0145B"/>
    <w:rsid w:val="4AD773DA"/>
    <w:rsid w:val="4BB73A44"/>
    <w:rsid w:val="4BC81760"/>
    <w:rsid w:val="520121C2"/>
    <w:rsid w:val="56E77B1E"/>
    <w:rsid w:val="57F95CC8"/>
    <w:rsid w:val="5A0267D9"/>
    <w:rsid w:val="5BE27F13"/>
    <w:rsid w:val="5D207CD9"/>
    <w:rsid w:val="5DE940F1"/>
    <w:rsid w:val="645930FA"/>
    <w:rsid w:val="648C7242"/>
    <w:rsid w:val="69C27DBD"/>
    <w:rsid w:val="69D43F2F"/>
    <w:rsid w:val="6BF803B2"/>
    <w:rsid w:val="6CC224C4"/>
    <w:rsid w:val="6F65C8BD"/>
    <w:rsid w:val="6F6B0B29"/>
    <w:rsid w:val="780A11FC"/>
    <w:rsid w:val="7AE6609A"/>
    <w:rsid w:val="7CF6E87C"/>
    <w:rsid w:val="ADFB070F"/>
    <w:rsid w:val="B3BF3B85"/>
    <w:rsid w:val="DBADE964"/>
    <w:rsid w:val="DCFECB94"/>
    <w:rsid w:val="DFFF9EC9"/>
    <w:rsid w:val="EE3DA621"/>
    <w:rsid w:val="EFFF951E"/>
    <w:rsid w:val="FBB3DB12"/>
    <w:rsid w:val="FEEBB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5"/>
    <w:qFormat/>
    <w:uiPriority w:val="0"/>
    <w:pPr>
      <w:jc w:val="left"/>
    </w:pPr>
  </w:style>
  <w:style w:type="paragraph" w:styleId="5">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6">
    <w:name w:val="annotation subject"/>
    <w:basedOn w:val="4"/>
    <w:next w:val="4"/>
    <w:link w:val="16"/>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paragraph" w:customStyle="1" w:styleId="11">
    <w:name w:val="表格"/>
    <w:basedOn w:val="1"/>
    <w:qFormat/>
    <w:uiPriority w:val="0"/>
    <w:pPr>
      <w:spacing w:line="240" w:lineRule="auto"/>
      <w:ind w:firstLine="0" w:firstLineChars="0"/>
      <w:jc w:val="center"/>
    </w:pPr>
    <w:rPr>
      <w:rFonts w:hint="eastAsia"/>
      <w:sz w:val="21"/>
    </w:rPr>
  </w:style>
  <w:style w:type="character" w:customStyle="1" w:styleId="12">
    <w:name w:val="font61"/>
    <w:basedOn w:val="9"/>
    <w:qFormat/>
    <w:uiPriority w:val="0"/>
    <w:rPr>
      <w:rFonts w:hint="default" w:ascii="仿宋_GB2312" w:eastAsia="仿宋_GB2312" w:cs="仿宋_GB2312"/>
      <w:color w:val="000000"/>
      <w:sz w:val="24"/>
      <w:szCs w:val="24"/>
      <w:u w:val="none"/>
    </w:rPr>
  </w:style>
  <w:style w:type="character" w:customStyle="1" w:styleId="13">
    <w:name w:val="font01"/>
    <w:basedOn w:val="9"/>
    <w:qFormat/>
    <w:uiPriority w:val="0"/>
    <w:rPr>
      <w:rFonts w:hint="default" w:ascii="仿宋_GB2312" w:eastAsia="仿宋_GB2312" w:cs="仿宋_GB2312"/>
      <w:color w:val="000000"/>
      <w:sz w:val="24"/>
      <w:szCs w:val="24"/>
      <w:u w:val="none"/>
    </w:rPr>
  </w:style>
  <w:style w:type="paragraph" w:customStyle="1" w:styleId="14">
    <w:name w:val="Revision"/>
    <w:hidden/>
    <w:unhideWhenUsed/>
    <w:qFormat/>
    <w:uiPriority w:val="99"/>
    <w:rPr>
      <w:rFonts w:ascii="宋体" w:hAnsi="宋体" w:eastAsia="宋体" w:cs="Times New Roman"/>
      <w:kern w:val="2"/>
      <w:sz w:val="24"/>
      <w:szCs w:val="24"/>
      <w:lang w:val="en-US" w:eastAsia="zh-CN" w:bidi="ar-SA"/>
    </w:rPr>
  </w:style>
  <w:style w:type="character" w:customStyle="1" w:styleId="15">
    <w:name w:val="批注文字 字符"/>
    <w:basedOn w:val="9"/>
    <w:link w:val="4"/>
    <w:qFormat/>
    <w:uiPriority w:val="0"/>
    <w:rPr>
      <w:rFonts w:ascii="宋体" w:hAnsi="宋体"/>
      <w:kern w:val="2"/>
      <w:sz w:val="24"/>
      <w:szCs w:val="24"/>
    </w:rPr>
  </w:style>
  <w:style w:type="character" w:customStyle="1" w:styleId="16">
    <w:name w:val="批注主题 字符"/>
    <w:basedOn w:val="15"/>
    <w:link w:val="6"/>
    <w:qFormat/>
    <w:uiPriority w:val="0"/>
    <w:rPr>
      <w:rFonts w:ascii="宋体" w:hAnsi="宋体"/>
      <w:b/>
      <w:bCs/>
      <w:kern w:val="2"/>
      <w:sz w:val="24"/>
      <w:szCs w:val="24"/>
    </w:rPr>
  </w:style>
  <w:style w:type="paragraph" w:styleId="17">
    <w:name w:val="List Paragraph"/>
    <w:basedOn w:val="1"/>
    <w:unhideWhenUsed/>
    <w:qFormat/>
    <w:uiPriority w:val="99"/>
    <w:pPr>
      <w:ind w:firstLine="420"/>
    </w:pPr>
  </w:style>
  <w:style w:type="paragraph" w:customStyle="1" w:styleId="18">
    <w:name w:val="段"/>
    <w:qFormat/>
    <w:uiPriority w:val="0"/>
    <w:pPr>
      <w:autoSpaceDE w:val="0"/>
      <w:autoSpaceDN w:val="0"/>
      <w:spacing w:after="200" w:line="276" w:lineRule="auto"/>
      <w:ind w:firstLine="200" w:firstLineChars="200"/>
      <w:jc w:val="both"/>
    </w:pPr>
    <w:rPr>
      <w:rFonts w:ascii="宋体" w:hAnsi="Cambria"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上海市分公司</Company>
  <Pages>36</Pages>
  <Words>37395</Words>
  <Characters>37964</Characters>
  <Lines>277</Lines>
  <Paragraphs>78</Paragraphs>
  <TotalTime>161</TotalTime>
  <ScaleCrop>false</ScaleCrop>
  <LinksUpToDate>false</LinksUpToDate>
  <CharactersWithSpaces>38144</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2025-12-23T08:28:00Z</dcterms:created>
  <dc:creator>涂钢</dc:creator>
  <cp:lastModifiedBy>user</cp:lastModifiedBy>
  <dcterms:modified xsi:type="dcterms:W3CDTF">2026-01-29T09:29:46Z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1541C74110904E3EA3085581C7F3CBBA</vt:lpwstr>
  </property>
  <property fmtid="{D5CDD505-2E9C-101B-9397-08002B2CF9AE}" pid="4" name="KSOTemplateDocerSaveRecord">
    <vt:lpwstr>eyJoZGlkIjoiZjA1MTMxYjczMDAzZjJiNjI4NjIyNjdlMzE5YjM0NDkiLCJ1c2VySWQiOiI0MTU0NDAxMDcifQ==</vt:lpwstr>
  </property>
</Properties>
</file>